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C06" w:rsidRPr="001B210A" w:rsidRDefault="00340C06" w:rsidP="00703C74">
      <w:pPr>
        <w:pStyle w:val="Title"/>
      </w:pPr>
      <w:r w:rsidRPr="001B210A">
        <w:t>Cost-effectiveness of e-cigarettes compared with nicotine replacement therapy in stop smoking service</w:t>
      </w:r>
      <w:r w:rsidR="006059B7">
        <w:t>s in Engl</w:t>
      </w:r>
      <w:r w:rsidR="00D63151">
        <w:t>and</w:t>
      </w:r>
      <w:r w:rsidRPr="001B210A">
        <w:t xml:space="preserve"> (TEC study): a randomised controlled trial</w:t>
      </w:r>
    </w:p>
    <w:p w:rsidR="00340C06" w:rsidRPr="001B210A" w:rsidRDefault="00340C06"/>
    <w:p w:rsidR="00340C06" w:rsidRPr="001B210A" w:rsidRDefault="00340C06">
      <w:r w:rsidRPr="001B210A">
        <w:t>Jinshuo Li</w:t>
      </w:r>
      <w:r w:rsidRPr="001B210A">
        <w:rPr>
          <w:vertAlign w:val="superscript"/>
        </w:rPr>
        <w:t>1</w:t>
      </w:r>
      <w:r w:rsidRPr="001B210A">
        <w:t>, Peter Hajek</w:t>
      </w:r>
      <w:r w:rsidRPr="001B210A">
        <w:rPr>
          <w:vertAlign w:val="superscript"/>
        </w:rPr>
        <w:t>2</w:t>
      </w:r>
      <w:r w:rsidRPr="001B210A">
        <w:t>, Francesca Pesola</w:t>
      </w:r>
      <w:r>
        <w:rPr>
          <w:vertAlign w:val="superscript"/>
        </w:rPr>
        <w:t>3</w:t>
      </w:r>
      <w:r w:rsidRPr="001B210A">
        <w:t>, Qi Wu</w:t>
      </w:r>
      <w:r w:rsidRPr="001B210A">
        <w:rPr>
          <w:vertAlign w:val="superscript"/>
        </w:rPr>
        <w:t>1</w:t>
      </w:r>
      <w:r w:rsidRPr="001B210A">
        <w:t>, Anna Phi</w:t>
      </w:r>
      <w:r>
        <w:t>l</w:t>
      </w:r>
      <w:r w:rsidRPr="001B210A">
        <w:t>lips-Waller</w:t>
      </w:r>
      <w:r w:rsidRPr="001B210A">
        <w:rPr>
          <w:vertAlign w:val="superscript"/>
        </w:rPr>
        <w:t>2</w:t>
      </w:r>
      <w:r w:rsidRPr="001B210A">
        <w:t>, Dun</w:t>
      </w:r>
      <w:r>
        <w:t>j</w:t>
      </w:r>
      <w:r w:rsidRPr="001B210A">
        <w:t>a Przulj</w:t>
      </w:r>
      <w:r w:rsidRPr="001B210A">
        <w:rPr>
          <w:vertAlign w:val="superscript"/>
        </w:rPr>
        <w:t>2</w:t>
      </w:r>
      <w:r w:rsidRPr="001B210A">
        <w:t>, Kat</w:t>
      </w:r>
      <w:r>
        <w:t>i</w:t>
      </w:r>
      <w:r w:rsidRPr="001B210A">
        <w:t>e Myers Smith</w:t>
      </w:r>
      <w:r w:rsidRPr="001B210A">
        <w:rPr>
          <w:vertAlign w:val="superscript"/>
        </w:rPr>
        <w:t>2</w:t>
      </w:r>
      <w:r w:rsidRPr="001B210A">
        <w:t>, Natalie Bisal</w:t>
      </w:r>
      <w:r w:rsidRPr="001B210A">
        <w:rPr>
          <w:vertAlign w:val="superscript"/>
        </w:rPr>
        <w:t>2</w:t>
      </w:r>
      <w:r w:rsidRPr="001B210A">
        <w:t>, Peter Sasieni</w:t>
      </w:r>
      <w:r w:rsidRPr="001B210A">
        <w:rPr>
          <w:vertAlign w:val="superscript"/>
        </w:rPr>
        <w:t>3</w:t>
      </w:r>
      <w:r w:rsidRPr="001B210A">
        <w:t>, Lynne Dawkins</w:t>
      </w:r>
      <w:r w:rsidRPr="001B210A">
        <w:rPr>
          <w:vertAlign w:val="superscript"/>
        </w:rPr>
        <w:t>4</w:t>
      </w:r>
      <w:r w:rsidRPr="001B210A">
        <w:t>, Louise Ross</w:t>
      </w:r>
      <w:r w:rsidRPr="001B210A">
        <w:rPr>
          <w:vertAlign w:val="superscript"/>
        </w:rPr>
        <w:t>5</w:t>
      </w:r>
      <w:r w:rsidRPr="001B210A">
        <w:t>, Maciej L</w:t>
      </w:r>
      <w:r>
        <w:t>ukasz</w:t>
      </w:r>
      <w:r w:rsidRPr="001B210A">
        <w:t xml:space="preserve"> Goniewicz</w:t>
      </w:r>
      <w:r w:rsidRPr="001B210A">
        <w:rPr>
          <w:vertAlign w:val="superscript"/>
        </w:rPr>
        <w:t>6</w:t>
      </w:r>
      <w:r w:rsidRPr="001B210A">
        <w:t>, H</w:t>
      </w:r>
      <w:r>
        <w:t>ayden</w:t>
      </w:r>
      <w:r w:rsidRPr="001B210A">
        <w:t xml:space="preserve"> McRobbie</w:t>
      </w:r>
      <w:r w:rsidRPr="001B210A">
        <w:rPr>
          <w:vertAlign w:val="superscript"/>
        </w:rPr>
        <w:t>2</w:t>
      </w:r>
      <w:r w:rsidRPr="001B210A">
        <w:t>, Steve Parrott</w:t>
      </w:r>
      <w:r w:rsidRPr="001B210A">
        <w:rPr>
          <w:vertAlign w:val="superscript"/>
        </w:rPr>
        <w:t>1</w:t>
      </w:r>
    </w:p>
    <w:p w:rsidR="00340C06" w:rsidRPr="001B210A" w:rsidRDefault="00340C06">
      <w:r w:rsidRPr="001B210A">
        <w:t>Mental Health and Addiction Research Group, Department of Health Sciences, University of York, York, UK</w:t>
      </w:r>
      <w:r w:rsidRPr="001B210A">
        <w:rPr>
          <w:vertAlign w:val="superscript"/>
        </w:rPr>
        <w:t>1</w:t>
      </w:r>
    </w:p>
    <w:p w:rsidR="00340C06" w:rsidRPr="001B210A" w:rsidRDefault="00340C06">
      <w:r w:rsidRPr="001B210A">
        <w:t>Queen Mary University of London, London, UK</w:t>
      </w:r>
      <w:r w:rsidRPr="001B210A">
        <w:rPr>
          <w:vertAlign w:val="superscript"/>
        </w:rPr>
        <w:t>2</w:t>
      </w:r>
    </w:p>
    <w:p w:rsidR="00340C06" w:rsidRPr="001B210A" w:rsidRDefault="00340C06">
      <w:r w:rsidRPr="001B210A">
        <w:t>King’s College London, London, UK</w:t>
      </w:r>
      <w:r w:rsidRPr="001B210A">
        <w:rPr>
          <w:vertAlign w:val="superscript"/>
        </w:rPr>
        <w:t>3</w:t>
      </w:r>
    </w:p>
    <w:p w:rsidR="00340C06" w:rsidRPr="001B210A" w:rsidRDefault="00340C06">
      <w:r w:rsidRPr="001B210A">
        <w:t>London South Bank University, London, UK</w:t>
      </w:r>
      <w:r w:rsidRPr="001B210A">
        <w:rPr>
          <w:vertAlign w:val="superscript"/>
        </w:rPr>
        <w:t>4</w:t>
      </w:r>
    </w:p>
    <w:p w:rsidR="00340C06" w:rsidRPr="001B210A" w:rsidRDefault="00340C06">
      <w:r w:rsidRPr="001B210A">
        <w:t>Leicester City Council, Leicester, UK</w:t>
      </w:r>
      <w:r w:rsidRPr="001B210A">
        <w:rPr>
          <w:vertAlign w:val="superscript"/>
        </w:rPr>
        <w:t>5</w:t>
      </w:r>
    </w:p>
    <w:p w:rsidR="00340C06" w:rsidRPr="001B210A" w:rsidRDefault="00340C06">
      <w:r w:rsidRPr="001B210A">
        <w:t>Roswell Park Comprehensive Cancer Centre, Buffalo, USA</w:t>
      </w:r>
      <w:r w:rsidRPr="001B210A">
        <w:rPr>
          <w:vertAlign w:val="superscript"/>
        </w:rPr>
        <w:t>6</w:t>
      </w:r>
    </w:p>
    <w:p w:rsidR="00340C06" w:rsidRPr="001B210A" w:rsidRDefault="00340C06">
      <w:r>
        <w:t>Corresponding author: Jinshuo Li, e-mail jinshuo.li@york.ac.uk</w:t>
      </w:r>
    </w:p>
    <w:p w:rsidR="00340C06" w:rsidRDefault="00340C06">
      <w:r w:rsidRPr="001B210A">
        <w:t xml:space="preserve">Word count: </w:t>
      </w:r>
      <w:r w:rsidR="00347A62">
        <w:t>4032</w:t>
      </w:r>
    </w:p>
    <w:p w:rsidR="00340C06" w:rsidRPr="001B210A" w:rsidRDefault="00340C06">
      <w:r>
        <w:t>Funding:</w:t>
      </w:r>
    </w:p>
    <w:p w:rsidR="00340C06" w:rsidRDefault="00340C06">
      <w:pPr>
        <w:rPr>
          <w:rFonts w:ascii="Calibri" w:hAnsi="Calibri" w:cs="Calibri"/>
          <w:color w:val="000000"/>
        </w:rPr>
      </w:pPr>
      <w:r w:rsidRPr="001B210A">
        <w:rPr>
          <w:rFonts w:ascii="Calibri" w:hAnsi="Calibri" w:cs="Calibri"/>
          <w:color w:val="000000"/>
        </w:rPr>
        <w:t xml:space="preserve">This project was funded by </w:t>
      </w:r>
      <w:r>
        <w:rPr>
          <w:rFonts w:ascii="Calibri" w:hAnsi="Calibri" w:cs="Calibri"/>
          <w:color w:val="000000"/>
        </w:rPr>
        <w:t xml:space="preserve">the </w:t>
      </w:r>
      <w:r w:rsidRPr="001B210A">
        <w:rPr>
          <w:rFonts w:ascii="Calibri" w:hAnsi="Calibri" w:cs="Calibri"/>
          <w:color w:val="000000"/>
        </w:rPr>
        <w:t>National Institute for Health Research (NIHR) Health Technology Assessment programme (12/167/135)</w:t>
      </w:r>
      <w:r>
        <w:rPr>
          <w:rFonts w:ascii="Calibri" w:hAnsi="Calibri" w:cs="Calibri"/>
          <w:color w:val="000000"/>
        </w:rPr>
        <w:t xml:space="preserve"> and by a grant (A16893) from the Cancer Research UK Prevention Trials Unit</w:t>
      </w:r>
      <w:r w:rsidRPr="001B210A">
        <w:rPr>
          <w:rFonts w:ascii="Calibri" w:hAnsi="Calibri" w:cs="Calibri"/>
          <w:color w:val="000000"/>
        </w:rPr>
        <w:t>.</w:t>
      </w:r>
    </w:p>
    <w:p w:rsidR="00340C06" w:rsidRDefault="00340C06" w:rsidP="00703C74">
      <w:r w:rsidRPr="001B210A">
        <w:t>Declarations of competing interests:</w:t>
      </w:r>
    </w:p>
    <w:p w:rsidR="00340C06" w:rsidRDefault="00340C06" w:rsidP="00703C74">
      <w:r>
        <w:t>Peter Hajek has received research grant from and provided consultancy to Pfizer.</w:t>
      </w:r>
    </w:p>
    <w:p w:rsidR="00340C06" w:rsidRPr="001B210A" w:rsidRDefault="00340C06" w:rsidP="00703C74">
      <w:r>
        <w:t>Dunja Pruzlj has received research grant from Pfizer.</w:t>
      </w:r>
    </w:p>
    <w:p w:rsidR="00340C06" w:rsidRPr="00892A15" w:rsidRDefault="00340C06" w:rsidP="00703C74">
      <w:pPr>
        <w:rPr>
          <w:rFonts w:ascii="Calibri" w:hAnsi="Calibri" w:cs="Calibri"/>
          <w:color w:val="000000"/>
        </w:rPr>
      </w:pPr>
      <w:r w:rsidRPr="00892A15">
        <w:rPr>
          <w:rFonts w:ascii="Calibri" w:hAnsi="Calibri" w:cs="Calibri"/>
          <w:color w:val="000000"/>
        </w:rPr>
        <w:t>L</w:t>
      </w:r>
      <w:r>
        <w:rPr>
          <w:rFonts w:ascii="Calibri" w:hAnsi="Calibri" w:cs="Calibri"/>
          <w:color w:val="000000"/>
        </w:rPr>
        <w:t xml:space="preserve">ynne </w:t>
      </w:r>
      <w:r w:rsidRPr="00892A15">
        <w:rPr>
          <w:rFonts w:ascii="Calibri" w:hAnsi="Calibri" w:cs="Calibri"/>
          <w:color w:val="000000"/>
        </w:rPr>
        <w:t>D</w:t>
      </w:r>
      <w:r>
        <w:rPr>
          <w:rFonts w:ascii="Calibri" w:hAnsi="Calibri" w:cs="Calibri"/>
          <w:color w:val="000000"/>
        </w:rPr>
        <w:t>awkins</w:t>
      </w:r>
      <w:r w:rsidRPr="00892A15">
        <w:rPr>
          <w:rFonts w:ascii="Calibri" w:hAnsi="Calibri" w:cs="Calibri"/>
          <w:color w:val="000000"/>
        </w:rPr>
        <w:t xml:space="preserve"> has provided consultancy for the pharmaceutical industry (2015, 2017) and acted as an expert witness for an e-cigarette patent infringement case (2015).</w:t>
      </w:r>
    </w:p>
    <w:p w:rsidR="00340C06" w:rsidRPr="00CB29B2" w:rsidRDefault="00340C06" w:rsidP="00703C74">
      <w:pPr>
        <w:rPr>
          <w:rFonts w:ascii="Calibri" w:hAnsi="Calibri" w:cs="Calibri"/>
          <w:color w:val="000000"/>
          <w:lang w:val="en-US"/>
        </w:rPr>
      </w:pPr>
      <w:r w:rsidRPr="00CB29B2">
        <w:rPr>
          <w:rFonts w:ascii="Calibri" w:hAnsi="Calibri" w:cs="Calibri"/>
          <w:color w:val="000000"/>
          <w:lang w:val="en-US"/>
        </w:rPr>
        <w:t>Maciej L Goniewicz has rec</w:t>
      </w:r>
      <w:r>
        <w:rPr>
          <w:rFonts w:ascii="Calibri" w:hAnsi="Calibri" w:cs="Calibri"/>
          <w:color w:val="000000"/>
          <w:lang w:val="en-US"/>
        </w:rPr>
        <w:t>e</w:t>
      </w:r>
      <w:r w:rsidRPr="00CB29B2">
        <w:rPr>
          <w:rFonts w:ascii="Calibri" w:hAnsi="Calibri" w:cs="Calibri"/>
          <w:color w:val="000000"/>
          <w:lang w:val="en-US"/>
        </w:rPr>
        <w:t>ived research grant from Pfizer and served as a member of scientific advisory board to Johnson</w:t>
      </w:r>
      <w:r>
        <w:rPr>
          <w:rFonts w:ascii="Calibri" w:hAnsi="Calibri" w:cs="Calibri"/>
          <w:color w:val="000000"/>
          <w:lang w:val="en-US"/>
        </w:rPr>
        <w:t xml:space="preserve"> </w:t>
      </w:r>
      <w:r w:rsidRPr="00CB29B2">
        <w:rPr>
          <w:rFonts w:ascii="Calibri" w:hAnsi="Calibri" w:cs="Calibri"/>
          <w:color w:val="000000"/>
          <w:lang w:val="en-US"/>
        </w:rPr>
        <w:t>&amp;</w:t>
      </w:r>
      <w:r>
        <w:rPr>
          <w:rFonts w:ascii="Calibri" w:hAnsi="Calibri" w:cs="Calibri"/>
          <w:color w:val="000000"/>
          <w:lang w:val="en-US"/>
        </w:rPr>
        <w:t xml:space="preserve"> </w:t>
      </w:r>
      <w:r w:rsidRPr="00CB29B2">
        <w:rPr>
          <w:rFonts w:ascii="Calibri" w:hAnsi="Calibri" w:cs="Calibri"/>
          <w:color w:val="000000"/>
          <w:lang w:val="en-US"/>
        </w:rPr>
        <w:t>Johnson.</w:t>
      </w:r>
    </w:p>
    <w:p w:rsidR="00340C06" w:rsidRPr="00892A15" w:rsidRDefault="00340C06">
      <w:pPr>
        <w:rPr>
          <w:rFonts w:ascii="Calibri" w:hAnsi="Calibri" w:cs="Calibri"/>
          <w:color w:val="000000"/>
        </w:rPr>
      </w:pPr>
      <w:r w:rsidRPr="0074146F">
        <w:rPr>
          <w:rFonts w:ascii="Calibri" w:hAnsi="Calibri" w:cs="Calibri"/>
          <w:color w:val="000000"/>
        </w:rPr>
        <w:t>Hayden Mc</w:t>
      </w:r>
      <w:r w:rsidRPr="00892A15">
        <w:rPr>
          <w:rFonts w:ascii="Calibri" w:hAnsi="Calibri" w:cs="Calibri"/>
          <w:color w:val="000000"/>
        </w:rPr>
        <w:t>Robbie has received honoraria for speaking at smoking cessation meetings and attending advisory board meetings that have been organised by Pfizer and Johnson &amp; Johnson.</w:t>
      </w:r>
    </w:p>
    <w:p w:rsidR="00340C06" w:rsidRPr="001B210A" w:rsidRDefault="00340C06">
      <w:r w:rsidRPr="001B210A">
        <w:lastRenderedPageBreak/>
        <w:t>Clinical trial registration: ISRCTN60477608</w:t>
      </w:r>
    </w:p>
    <w:p w:rsidR="00340C06" w:rsidRPr="001B210A" w:rsidRDefault="00340C06">
      <w:r w:rsidRPr="001B210A">
        <w:br w:type="page"/>
      </w:r>
    </w:p>
    <w:p w:rsidR="00340C06" w:rsidRPr="001B210A" w:rsidRDefault="00340C06" w:rsidP="00703C74">
      <w:pPr>
        <w:pStyle w:val="Heading1"/>
      </w:pPr>
      <w:r w:rsidRPr="001B210A">
        <w:t>Abstract</w:t>
      </w:r>
    </w:p>
    <w:p w:rsidR="00340C06" w:rsidRPr="001B210A" w:rsidRDefault="00340C06">
      <w:r w:rsidRPr="001B210A">
        <w:t>Aim</w:t>
      </w:r>
    </w:p>
    <w:p w:rsidR="00340C06" w:rsidRPr="001B210A" w:rsidRDefault="00340C06">
      <w:r w:rsidRPr="001B210A">
        <w:t xml:space="preserve">To </w:t>
      </w:r>
      <w:r>
        <w:t>evaluate</w:t>
      </w:r>
      <w:r w:rsidRPr="001B210A">
        <w:t xml:space="preserve"> the cost-effectiveness of e-cigarettes as a smoking cessation aid used in routine </w:t>
      </w:r>
      <w:r>
        <w:t xml:space="preserve">stop </w:t>
      </w:r>
      <w:r w:rsidRPr="001B210A">
        <w:t>smoking service</w:t>
      </w:r>
      <w:r w:rsidR="00D63151">
        <w:t>s in England</w:t>
      </w:r>
      <w:r w:rsidRPr="001B210A">
        <w:t>.</w:t>
      </w:r>
    </w:p>
    <w:p w:rsidR="00340C06" w:rsidRPr="001B210A" w:rsidRDefault="00340C06">
      <w:r w:rsidRPr="001B210A">
        <w:t>Design</w:t>
      </w:r>
    </w:p>
    <w:p w:rsidR="00340C06" w:rsidRPr="00403753" w:rsidRDefault="00340C06" w:rsidP="00703C74">
      <w:pPr>
        <w:rPr>
          <w:rFonts w:cstheme="minorHAnsi"/>
        </w:rPr>
      </w:pPr>
      <w:r w:rsidRPr="00A93294">
        <w:rPr>
          <w:rFonts w:cstheme="minorHAnsi"/>
        </w:rPr>
        <w:t xml:space="preserve">Cost-effectiveness analysis </w:t>
      </w:r>
      <w:r>
        <w:rPr>
          <w:rFonts w:cstheme="minorHAnsi"/>
        </w:rPr>
        <w:t xml:space="preserve">was </w:t>
      </w:r>
      <w:r w:rsidRPr="00A93294">
        <w:rPr>
          <w:rFonts w:cstheme="minorHAnsi"/>
        </w:rPr>
        <w:t xml:space="preserve">performed from the </w:t>
      </w:r>
      <w:r w:rsidRPr="00067B38">
        <w:rPr>
          <w:rFonts w:cstheme="minorHAnsi"/>
        </w:rPr>
        <w:t>N</w:t>
      </w:r>
      <w:r>
        <w:rPr>
          <w:rFonts w:cstheme="minorHAnsi"/>
        </w:rPr>
        <w:t xml:space="preserve">ational </w:t>
      </w:r>
      <w:r w:rsidRPr="00067B38">
        <w:rPr>
          <w:rFonts w:cstheme="minorHAnsi"/>
        </w:rPr>
        <w:t>H</w:t>
      </w:r>
      <w:r>
        <w:rPr>
          <w:rFonts w:cstheme="minorHAnsi"/>
        </w:rPr>
        <w:t xml:space="preserve">ealth </w:t>
      </w:r>
      <w:r w:rsidRPr="00067B38">
        <w:rPr>
          <w:rFonts w:cstheme="minorHAnsi"/>
        </w:rPr>
        <w:t>S</w:t>
      </w:r>
      <w:r>
        <w:rPr>
          <w:rFonts w:cstheme="minorHAnsi"/>
        </w:rPr>
        <w:t>ervice (NHS)</w:t>
      </w:r>
      <w:r w:rsidRPr="00067B38">
        <w:rPr>
          <w:rFonts w:cstheme="minorHAnsi"/>
        </w:rPr>
        <w:t xml:space="preserve"> and Personal Social Services</w:t>
      </w:r>
      <w:r>
        <w:rPr>
          <w:rFonts w:cstheme="minorHAnsi"/>
        </w:rPr>
        <w:t xml:space="preserve"> (PSS)</w:t>
      </w:r>
      <w:r w:rsidRPr="00067B38">
        <w:rPr>
          <w:rFonts w:cstheme="minorHAnsi"/>
        </w:rPr>
        <w:t xml:space="preserve"> perspective</w:t>
      </w:r>
      <w:r>
        <w:rPr>
          <w:rFonts w:cstheme="minorHAnsi"/>
        </w:rPr>
        <w:t xml:space="preserve"> for 12 months period and lifetime</w:t>
      </w:r>
      <w:r w:rsidRPr="00067B38">
        <w:rPr>
          <w:rFonts w:cstheme="minorHAnsi"/>
        </w:rPr>
        <w:t xml:space="preserve">. </w:t>
      </w:r>
      <w:r>
        <w:rPr>
          <w:rFonts w:cstheme="minorHAnsi"/>
        </w:rPr>
        <w:t>Costs,</w:t>
      </w:r>
      <w:r w:rsidRPr="0040394D">
        <w:t xml:space="preserve"> </w:t>
      </w:r>
      <w:r w:rsidRPr="001B210A">
        <w:t>including that of both treatments, other sm</w:t>
      </w:r>
      <w:r>
        <w:t>oking cessation help and health</w:t>
      </w:r>
      <w:r w:rsidRPr="001B210A">
        <w:t>care services</w:t>
      </w:r>
      <w:r>
        <w:rPr>
          <w:rFonts w:cstheme="minorHAnsi"/>
        </w:rPr>
        <w:t xml:space="preserve">, and health benefits, estimated from EQ-5D-5L and measured in </w:t>
      </w:r>
      <w:r w:rsidR="00D63151">
        <w:rPr>
          <w:rFonts w:cstheme="minorHAnsi"/>
        </w:rPr>
        <w:t>q</w:t>
      </w:r>
      <w:r>
        <w:rPr>
          <w:rFonts w:cstheme="minorHAnsi"/>
        </w:rPr>
        <w:t xml:space="preserve">uality-adjusted </w:t>
      </w:r>
      <w:r w:rsidR="00D63151">
        <w:rPr>
          <w:rFonts w:cstheme="minorHAnsi"/>
        </w:rPr>
        <w:t>l</w:t>
      </w:r>
      <w:r>
        <w:rPr>
          <w:rFonts w:cstheme="minorHAnsi"/>
        </w:rPr>
        <w:t>ife years (QALYs), for the 12-month analysis</w:t>
      </w:r>
      <w:r w:rsidR="00D63151">
        <w:rPr>
          <w:rFonts w:cstheme="minorHAnsi"/>
        </w:rPr>
        <w:t>,</w:t>
      </w:r>
      <w:r>
        <w:rPr>
          <w:rFonts w:cstheme="minorHAnsi"/>
        </w:rPr>
        <w:t xml:space="preserve"> came from a randomised controlled trial. L</w:t>
      </w:r>
      <w:r w:rsidRPr="00067B38">
        <w:rPr>
          <w:rFonts w:cstheme="minorHAnsi"/>
        </w:rPr>
        <w:t xml:space="preserve">ifetime </w:t>
      </w:r>
      <w:r>
        <w:rPr>
          <w:rFonts w:cstheme="minorHAnsi"/>
        </w:rPr>
        <w:t xml:space="preserve">analysis was </w:t>
      </w:r>
      <w:r w:rsidRPr="00067B38">
        <w:rPr>
          <w:rFonts w:cstheme="minorHAnsi"/>
        </w:rPr>
        <w:t xml:space="preserve">model-based </w:t>
      </w:r>
      <w:r>
        <w:rPr>
          <w:rFonts w:cstheme="minorHAnsi"/>
        </w:rPr>
        <w:t>with input from both trial data and published secondary data sources</w:t>
      </w:r>
      <w:r w:rsidRPr="00067B38">
        <w:rPr>
          <w:rFonts w:cstheme="minorHAnsi"/>
        </w:rPr>
        <w:t>.</w:t>
      </w:r>
      <w:r>
        <w:rPr>
          <w:rFonts w:cstheme="minorHAnsi"/>
        </w:rPr>
        <w:t xml:space="preserve"> Cost-effectiveness was measured by an incremental cost-effectiveness ratio (ICER).</w:t>
      </w:r>
    </w:p>
    <w:p w:rsidR="00340C06" w:rsidRPr="001B210A" w:rsidRDefault="00340C06">
      <w:r w:rsidRPr="001B210A">
        <w:t>Setting</w:t>
      </w:r>
    </w:p>
    <w:p w:rsidR="00340C06" w:rsidRPr="001B210A" w:rsidRDefault="00340C06">
      <w:r w:rsidRPr="001B210A">
        <w:t xml:space="preserve">Three </w:t>
      </w:r>
      <w:r>
        <w:t>Stop-</w:t>
      </w:r>
      <w:r w:rsidRPr="001B210A">
        <w:t>Smoking Service sites in England</w:t>
      </w:r>
    </w:p>
    <w:p w:rsidR="00340C06" w:rsidRPr="001B210A" w:rsidRDefault="00340C06">
      <w:r w:rsidRPr="001B210A">
        <w:t>Participants</w:t>
      </w:r>
    </w:p>
    <w:p w:rsidR="00340C06" w:rsidRPr="001B210A" w:rsidRDefault="00340C06">
      <w:r w:rsidRPr="001B210A">
        <w:t xml:space="preserve">Adult smokers </w:t>
      </w:r>
      <w:r w:rsidR="00D63151">
        <w:t xml:space="preserve">(n=886) </w:t>
      </w:r>
      <w:r w:rsidRPr="001B210A">
        <w:t>who sought help to quit in the participating sites</w:t>
      </w:r>
    </w:p>
    <w:p w:rsidR="00340C06" w:rsidRPr="001B210A" w:rsidRDefault="00340C06">
      <w:r w:rsidRPr="001B210A">
        <w:t>Intervention and comparator</w:t>
      </w:r>
    </w:p>
    <w:p w:rsidR="00340C06" w:rsidRPr="001B210A" w:rsidRDefault="00340C06" w:rsidP="00703C74">
      <w:r>
        <w:t>An</w:t>
      </w:r>
      <w:r w:rsidRPr="001B210A">
        <w:t xml:space="preserve"> e-cigarette (EC) starter kit </w:t>
      </w:r>
      <w:r>
        <w:t>versus</w:t>
      </w:r>
      <w:r w:rsidRPr="001B210A">
        <w:t xml:space="preserve"> provision of nicotine replacement therapy (NRT)</w:t>
      </w:r>
      <w:r>
        <w:t xml:space="preserve"> for up to three months</w:t>
      </w:r>
      <w:r w:rsidRPr="001B210A">
        <w:t>, both with standard behavioural support.</w:t>
      </w:r>
      <w:r>
        <w:t xml:space="preserve"> </w:t>
      </w:r>
      <w:r w:rsidRPr="001B210A">
        <w:t>A</w:t>
      </w:r>
      <w:r>
        <w:t xml:space="preserve"> total of</w:t>
      </w:r>
      <w:r w:rsidRPr="001B210A">
        <w:t xml:space="preserve"> 88</w:t>
      </w:r>
      <w:r>
        <w:t>6</w:t>
      </w:r>
      <w:r w:rsidRPr="001B210A">
        <w:t xml:space="preserve"> participants</w:t>
      </w:r>
      <w:r>
        <w:t xml:space="preserve"> were randomised</w:t>
      </w:r>
      <w:r w:rsidRPr="001B210A">
        <w:t xml:space="preserve"> (439 in EC arm</w:t>
      </w:r>
      <w:r>
        <w:t>, 447 in NRT arm).</w:t>
      </w:r>
      <w:r w:rsidRPr="001B210A">
        <w:t xml:space="preserve"> </w:t>
      </w:r>
      <w:r>
        <w:t>Excluding one death in each arm, the one-year quit rate was 18.0% and 9.9%, respectively.</w:t>
      </w:r>
    </w:p>
    <w:p w:rsidR="00340C06" w:rsidRPr="001B210A" w:rsidRDefault="00340C06">
      <w:r w:rsidRPr="001B210A">
        <w:t>Measurements</w:t>
      </w:r>
    </w:p>
    <w:p w:rsidR="00340C06" w:rsidRPr="001B210A" w:rsidRDefault="00340C06">
      <w:r>
        <w:t>Cost of treatments was estimated from treatment log. Costs of other smoking cessation help and healthcare services, and EQ-5D-5L were collected at baseline, six- and 12-month follow-ups. Incremental costs and incremental QALYs were estimated using regression adjusting for baseline covariates and their respective baseline values.</w:t>
      </w:r>
    </w:p>
    <w:p w:rsidR="00340C06" w:rsidRPr="001B210A" w:rsidRDefault="00340C06">
      <w:r w:rsidRPr="001B210A">
        <w:t>Findings</w:t>
      </w:r>
    </w:p>
    <w:p w:rsidR="00340C06" w:rsidRPr="001B210A" w:rsidRDefault="00340C06" w:rsidP="00703C74">
      <w:r w:rsidRPr="001B210A">
        <w:t>The</w:t>
      </w:r>
      <w:r>
        <w:t xml:space="preserve"> </w:t>
      </w:r>
      <w:r w:rsidRPr="001B210A">
        <w:t xml:space="preserve">ICER was £1,100 per QALY gained </w:t>
      </w:r>
      <w:r>
        <w:t>at</w:t>
      </w:r>
      <w:r w:rsidRPr="001B210A">
        <w:t xml:space="preserve"> the 12 months </w:t>
      </w:r>
      <w:r>
        <w:t>after</w:t>
      </w:r>
      <w:r w:rsidRPr="001B210A">
        <w:t xml:space="preserve"> quit date</w:t>
      </w:r>
      <w:r>
        <w:t xml:space="preserve"> (87% probability </w:t>
      </w:r>
      <w:r w:rsidR="00703C74">
        <w:t>below</w:t>
      </w:r>
      <w:r>
        <w:t xml:space="preserve"> £20,000/QALY)</w:t>
      </w:r>
      <w:r w:rsidRPr="001B210A">
        <w:t xml:space="preserve">. Markov model </w:t>
      </w:r>
      <w:r>
        <w:t xml:space="preserve">estimated the lifetime ICER of EC to be £65 per QALY (85% probability </w:t>
      </w:r>
      <w:r w:rsidR="00703C74">
        <w:t>below</w:t>
      </w:r>
      <w:r>
        <w:t xml:space="preserve"> £20,000/QALY).</w:t>
      </w:r>
    </w:p>
    <w:p w:rsidR="00340C06" w:rsidRPr="001B210A" w:rsidRDefault="00340C06">
      <w:r w:rsidRPr="001B210A">
        <w:t>Conclusion</w:t>
      </w:r>
    </w:p>
    <w:p w:rsidR="00340C06" w:rsidRPr="001B210A" w:rsidRDefault="00340C06">
      <w:r w:rsidRPr="001B210A">
        <w:t xml:space="preserve">Using </w:t>
      </w:r>
      <w:r>
        <w:t>e-cigarette</w:t>
      </w:r>
      <w:r w:rsidR="00D63151">
        <w:t>s</w:t>
      </w:r>
      <w:r w:rsidRPr="001B210A">
        <w:t xml:space="preserve"> as a smoking cessation aid with standard behavioural support in </w:t>
      </w:r>
      <w:r w:rsidR="00D63151">
        <w:t>s</w:t>
      </w:r>
      <w:r>
        <w:t>top-</w:t>
      </w:r>
      <w:r w:rsidR="00D63151">
        <w:t>s</w:t>
      </w:r>
      <w:r>
        <w:t xml:space="preserve">moking </w:t>
      </w:r>
      <w:r w:rsidR="00D63151">
        <w:t>s</w:t>
      </w:r>
      <w:r>
        <w:t>ervice</w:t>
      </w:r>
      <w:r w:rsidR="00D63151">
        <w:t>s in England</w:t>
      </w:r>
      <w:r w:rsidRPr="001B210A">
        <w:t xml:space="preserve"> is </w:t>
      </w:r>
      <w:bookmarkStart w:id="0" w:name="_GoBack"/>
      <w:r w:rsidR="006059B7">
        <w:t xml:space="preserve">likely to be </w:t>
      </w:r>
      <w:bookmarkEnd w:id="0"/>
      <w:r>
        <w:t xml:space="preserve">more </w:t>
      </w:r>
      <w:r w:rsidRPr="001B210A">
        <w:t>cost-effective</w:t>
      </w:r>
      <w:r>
        <w:t xml:space="preserve"> than </w:t>
      </w:r>
      <w:r w:rsidRPr="001B210A">
        <w:t xml:space="preserve">using </w:t>
      </w:r>
      <w:r>
        <w:t>nicotine replacement therapy</w:t>
      </w:r>
      <w:r w:rsidRPr="001B210A">
        <w:t xml:space="preserve"> in the same setting.</w:t>
      </w:r>
    </w:p>
    <w:p w:rsidR="00D63151" w:rsidRDefault="00D63151"/>
    <w:p w:rsidR="00D63151" w:rsidRDefault="00D63151"/>
    <w:p w:rsidR="00D63151" w:rsidRDefault="00D63151"/>
    <w:p w:rsidR="00D63151" w:rsidRDefault="00D63151"/>
    <w:p w:rsidR="00D63151" w:rsidRDefault="00D63151"/>
    <w:p w:rsidR="00340C06" w:rsidRPr="001B210A" w:rsidRDefault="00340C06">
      <w:r w:rsidRPr="001B210A">
        <w:t>Key words</w:t>
      </w:r>
    </w:p>
    <w:p w:rsidR="00340C06" w:rsidRPr="001B210A" w:rsidRDefault="00340C06">
      <w:r w:rsidRPr="001B210A">
        <w:t xml:space="preserve">e-cigarette; cost-effectiveness; smoking cessation; nicotine replacement therapy; life-time modelling; </w:t>
      </w:r>
      <w:r>
        <w:t xml:space="preserve">Markov model; </w:t>
      </w:r>
      <w:r w:rsidRPr="001B210A">
        <w:t>stop smoking services; economic evaluation</w:t>
      </w:r>
      <w:r w:rsidRPr="001B210A">
        <w:br w:type="page"/>
      </w:r>
    </w:p>
    <w:p w:rsidR="00340C06" w:rsidRPr="001B210A" w:rsidRDefault="00340C06" w:rsidP="00703C74">
      <w:pPr>
        <w:pStyle w:val="Heading1"/>
      </w:pPr>
      <w:r w:rsidRPr="001B210A">
        <w:t>Introduction</w:t>
      </w:r>
    </w:p>
    <w:p w:rsidR="00340C06" w:rsidRPr="001B210A" w:rsidRDefault="00340C06">
      <w:r w:rsidRPr="001B210A">
        <w:t xml:space="preserve">In Great Britain, the prevalence of </w:t>
      </w:r>
      <w:r>
        <w:t>e-cigarette (</w:t>
      </w:r>
      <w:r w:rsidRPr="001B210A">
        <w:t>EC</w:t>
      </w:r>
      <w:r>
        <w:t>)</w:t>
      </w:r>
      <w:r w:rsidRPr="001B210A">
        <w:t xml:space="preserve"> use in adults is approximately 6% of the adult population in 2017 </w:t>
      </w:r>
      <w:r>
        <w:rPr>
          <w:noProof/>
        </w:rPr>
        <w:t>[1]</w:t>
      </w:r>
      <w:r w:rsidRPr="001B210A">
        <w:t>. The policy on EC varies internationally,</w:t>
      </w:r>
      <w:r>
        <w:t xml:space="preserve"> and whether or not it should be promoted as a way to quit smoking remains a controversial issue</w:t>
      </w:r>
      <w:r w:rsidRPr="001B210A">
        <w:t xml:space="preserve"> </w:t>
      </w:r>
      <w:r>
        <w:rPr>
          <w:noProof/>
        </w:rPr>
        <w:t>[2]</w:t>
      </w:r>
      <w:r w:rsidRPr="001B210A">
        <w:t>.</w:t>
      </w:r>
    </w:p>
    <w:p w:rsidR="00340C06" w:rsidRPr="001B210A" w:rsidRDefault="00340C06">
      <w:r>
        <w:t>T</w:t>
      </w:r>
      <w:r w:rsidRPr="001B210A">
        <w:t xml:space="preserve">he </w:t>
      </w:r>
      <w:r>
        <w:t xml:space="preserve">UK </w:t>
      </w:r>
      <w:r w:rsidRPr="001B210A">
        <w:t xml:space="preserve">National Institute for Health and Care Excellence (NICE) </w:t>
      </w:r>
      <w:r>
        <w:t xml:space="preserve">guidance for Stop-Smoking Service (SSS) currently advises that ‘people who smoke should not be discouraged from switching to e-cigarettes, and as a result continue to smoke’ </w:t>
      </w:r>
      <w:r>
        <w:rPr>
          <w:noProof/>
        </w:rPr>
        <w:t>[3]</w:t>
      </w:r>
      <w:r>
        <w:t>.</w:t>
      </w:r>
      <w:r w:rsidRPr="001B210A">
        <w:t xml:space="preserve"> </w:t>
      </w:r>
      <w:r>
        <w:t>The evidence base is still developing and further</w:t>
      </w:r>
      <w:r w:rsidRPr="001B210A">
        <w:t xml:space="preserve"> research on effectiveness and cost-effectiveness </w:t>
      </w:r>
      <w:r>
        <w:t>of EC is needed to inform policy.</w:t>
      </w:r>
    </w:p>
    <w:p w:rsidR="00340C06" w:rsidRPr="001B210A" w:rsidRDefault="00340C06">
      <w:r w:rsidRPr="001B210A">
        <w:t xml:space="preserve">We </w:t>
      </w:r>
      <w:r>
        <w:t>conducted</w:t>
      </w:r>
      <w:r w:rsidRPr="001B210A">
        <w:t xml:space="preserve"> a </w:t>
      </w:r>
      <w:r>
        <w:t xml:space="preserve">two-group, pragmatic, multi-centre, individually </w:t>
      </w:r>
      <w:r w:rsidRPr="001B210A">
        <w:t>randomised controlled trial (RCT) comparing EC with nicotine replacement therapy (NRT)</w:t>
      </w:r>
      <w:r>
        <w:t xml:space="preserve"> within the English </w:t>
      </w:r>
      <w:r w:rsidRPr="001B210A">
        <w:t>SSS</w:t>
      </w:r>
      <w:r>
        <w:t xml:space="preserve"> (National Research Ethics Service approval 14/LO/2235)</w:t>
      </w:r>
      <w:r w:rsidRPr="001B210A">
        <w:t xml:space="preserve">. The protocol has been published previously </w:t>
      </w:r>
      <w:r>
        <w:rPr>
          <w:noProof/>
        </w:rPr>
        <w:t>[4]</w:t>
      </w:r>
      <w:r w:rsidRPr="001B210A">
        <w:t xml:space="preserve"> </w:t>
      </w:r>
      <w:r>
        <w:t>and t</w:t>
      </w:r>
      <w:r w:rsidRPr="001B210A">
        <w:t>he CO-validated 12</w:t>
      </w:r>
      <w:r>
        <w:t>-</w:t>
      </w:r>
      <w:r w:rsidRPr="001B210A">
        <w:t>month sustained abstinence rate was 9.9% (S</w:t>
      </w:r>
      <w:r>
        <w:t>E</w:t>
      </w:r>
      <w:r w:rsidRPr="001B210A">
        <w:t xml:space="preserve"> 1</w:t>
      </w:r>
      <w:r>
        <w:t>.</w:t>
      </w:r>
      <w:r w:rsidRPr="001B210A">
        <w:t>4%) in the NRT arm and 18.0% (SE 1</w:t>
      </w:r>
      <w:r>
        <w:t>.7</w:t>
      </w:r>
      <w:r w:rsidRPr="001B210A">
        <w:t>%) in the EC arm</w:t>
      </w:r>
      <w:r>
        <w:t xml:space="preserve"> </w:t>
      </w:r>
      <w:r>
        <w:rPr>
          <w:noProof/>
        </w:rPr>
        <w:t>[5]</w:t>
      </w:r>
      <w:r w:rsidRPr="001B210A">
        <w:t xml:space="preserve">. </w:t>
      </w:r>
      <w:r w:rsidR="00CD57AF">
        <w:t>The project has been published in full in Health Technology Assessment</w:t>
      </w:r>
      <w:r w:rsidR="00E51EB1">
        <w:t xml:space="preserve"> [6]</w:t>
      </w:r>
      <w:r w:rsidR="00CD57AF">
        <w:t xml:space="preserve">. </w:t>
      </w:r>
      <w:r w:rsidRPr="001B210A">
        <w:t xml:space="preserve">Here we </w:t>
      </w:r>
      <w:r>
        <w:t>present the analyses 1) to evaluate 12-month cost-effectiveness of EC comparing with NRT from a National Health Service (NHS) and Personal Social Services (PSS) perspective; 2) to observe if the participants spend more on smoking cessation due to EC; 3) to estimate lifetime cost-effectiveness of EC comparing with NRT from a NHS/PSS perspective</w:t>
      </w:r>
      <w:r w:rsidRPr="001B210A">
        <w:t>.</w:t>
      </w:r>
    </w:p>
    <w:p w:rsidR="00340C06" w:rsidRPr="001B210A" w:rsidRDefault="00340C06" w:rsidP="00703C74">
      <w:pPr>
        <w:pStyle w:val="Heading1"/>
      </w:pPr>
      <w:r w:rsidRPr="001B210A">
        <w:t>Methods</w:t>
      </w:r>
    </w:p>
    <w:p w:rsidR="00340C06" w:rsidRPr="001B210A" w:rsidRDefault="00340C06" w:rsidP="00703C74">
      <w:pPr>
        <w:pStyle w:val="Heading2"/>
      </w:pPr>
      <w:r w:rsidRPr="001B210A">
        <w:t>Trial design</w:t>
      </w:r>
    </w:p>
    <w:p w:rsidR="00340C06" w:rsidRPr="001B210A" w:rsidRDefault="00340C06" w:rsidP="00703C74">
      <w:pPr>
        <w:pStyle w:val="Heading3"/>
      </w:pPr>
      <w:r w:rsidRPr="001B210A">
        <w:t>Intervention and comparator</w:t>
      </w:r>
    </w:p>
    <w:p w:rsidR="00340C06" w:rsidRPr="001B210A" w:rsidRDefault="00340C06" w:rsidP="00703C74">
      <w:r w:rsidRPr="001B210A">
        <w:t xml:space="preserve">All participants were </w:t>
      </w:r>
      <w:r>
        <w:t>offered</w:t>
      </w:r>
      <w:r w:rsidRPr="001B210A">
        <w:t xml:space="preserve"> six weekly behavioural support sessions at their SSS </w:t>
      </w:r>
      <w:r>
        <w:t xml:space="preserve">as </w:t>
      </w:r>
      <w:r w:rsidRPr="001B210A">
        <w:t xml:space="preserve">per standard practice, with the second session on the </w:t>
      </w:r>
      <w:r>
        <w:t xml:space="preserve">target </w:t>
      </w:r>
      <w:r w:rsidRPr="001B210A">
        <w:t>quit date (TQD).</w:t>
      </w:r>
    </w:p>
    <w:p w:rsidR="00340C06" w:rsidRPr="001B210A" w:rsidRDefault="00340C06" w:rsidP="00703C74">
      <w:r w:rsidRPr="001B210A">
        <w:t>Participants in the NRT arm</w:t>
      </w:r>
      <w:r>
        <w:t>, the comparator,</w:t>
      </w:r>
      <w:r w:rsidRPr="001B210A">
        <w:t xml:space="preserve"> could choose two products</w:t>
      </w:r>
      <w:r>
        <w:t xml:space="preserve"> and</w:t>
      </w:r>
      <w:r w:rsidRPr="001B210A">
        <w:t xml:space="preserve"> were free to switch products. </w:t>
      </w:r>
      <w:r>
        <w:t>The trial sites</w:t>
      </w:r>
      <w:r w:rsidRPr="001B210A">
        <w:t xml:space="preserve"> provided NRT products either directly or through a letter of recommendation (LOR)</w:t>
      </w:r>
      <w:r>
        <w:t xml:space="preserve"> to use in local pharmacies (</w:t>
      </w:r>
      <w:r w:rsidRPr="007D1C65">
        <w:t>Details see supporting information</w:t>
      </w:r>
      <w:r>
        <w:t>)</w:t>
      </w:r>
      <w:r w:rsidRPr="001B210A">
        <w:t>. Direct provision was free of charge, while LOR imposed a prescription charge upon redeeming if not exempted.</w:t>
      </w:r>
      <w:r>
        <w:t xml:space="preserve"> S</w:t>
      </w:r>
      <w:r w:rsidRPr="001B210A">
        <w:t>upplies</w:t>
      </w:r>
      <w:r>
        <w:t xml:space="preserve"> were provided for up to 3 months, as per usual practice</w:t>
      </w:r>
      <w:r w:rsidRPr="001B210A">
        <w:t xml:space="preserve"> </w:t>
      </w:r>
      <w:r>
        <w:t xml:space="preserve">and </w:t>
      </w:r>
      <w:r w:rsidRPr="001B210A">
        <w:t xml:space="preserve">could be </w:t>
      </w:r>
      <w:r>
        <w:t>obtained through GP prescription after that</w:t>
      </w:r>
      <w:r w:rsidRPr="001B210A">
        <w:t>.</w:t>
      </w:r>
    </w:p>
    <w:p w:rsidR="00340C06" w:rsidRPr="001B210A" w:rsidRDefault="00340C06" w:rsidP="00703C74">
      <w:r w:rsidRPr="001B210A">
        <w:t>The EC arm</w:t>
      </w:r>
      <w:r>
        <w:t>, the intervention,</w:t>
      </w:r>
      <w:r w:rsidRPr="001B210A">
        <w:t xml:space="preserve"> was provided with the ‘One Kit’</w:t>
      </w:r>
      <w:r>
        <w:t xml:space="preserve"> device</w:t>
      </w:r>
      <w:r w:rsidRPr="001B210A">
        <w:t xml:space="preserve"> and a </w:t>
      </w:r>
      <w:r>
        <w:t xml:space="preserve">30ml </w:t>
      </w:r>
      <w:r w:rsidRPr="001B210A">
        <w:t>bottle of e-liquid (18mg/ml nicotine). Due to the discontinuation of the original product, the One Kit 2016 was given to a small group of participants entering the trial at a later time</w:t>
      </w:r>
      <w:r>
        <w:t xml:space="preserve"> </w:t>
      </w:r>
      <w:r w:rsidRPr="007D1C65">
        <w:t>(Device details see supporting information</w:t>
      </w:r>
      <w:r>
        <w:t>)</w:t>
      </w:r>
      <w:r w:rsidRPr="001B210A">
        <w:t xml:space="preserve">. Participants were instructed to obtain further e-liquid </w:t>
      </w:r>
      <w:r>
        <w:t xml:space="preserve">supplies </w:t>
      </w:r>
      <w:r w:rsidRPr="001B210A">
        <w:t xml:space="preserve">themselves and advised on possible channels of purchase. </w:t>
      </w:r>
      <w:r>
        <w:t>I</w:t>
      </w:r>
      <w:r w:rsidRPr="001B210A">
        <w:t>nformation sheets on how to operate the EC</w:t>
      </w:r>
      <w:r>
        <w:t xml:space="preserve"> were also provided</w:t>
      </w:r>
      <w:r w:rsidRPr="001B210A">
        <w:t xml:space="preserve">. </w:t>
      </w:r>
      <w:r>
        <w:t>One additional</w:t>
      </w:r>
      <w:r w:rsidRPr="001B210A">
        <w:t xml:space="preserve"> 10ml </w:t>
      </w:r>
      <w:r>
        <w:t>bottle</w:t>
      </w:r>
      <w:r w:rsidRPr="001B210A">
        <w:t xml:space="preserve"> of e-liquid could be requested </w:t>
      </w:r>
      <w:r>
        <w:t>if required</w:t>
      </w:r>
      <w:r w:rsidRPr="001B210A">
        <w:t>.</w:t>
      </w:r>
    </w:p>
    <w:p w:rsidR="00340C06" w:rsidRPr="001B210A" w:rsidRDefault="00340C06" w:rsidP="00703C74">
      <w:r>
        <w:t>The initiation of NRT or EC use started immediately after randomisation on TQD.</w:t>
      </w:r>
    </w:p>
    <w:p w:rsidR="00340C06" w:rsidRPr="001B210A" w:rsidRDefault="00340C06" w:rsidP="00703C74">
      <w:pPr>
        <w:pStyle w:val="Heading3"/>
      </w:pPr>
      <w:r w:rsidRPr="001B210A">
        <w:t>Participants</w:t>
      </w:r>
    </w:p>
    <w:p w:rsidR="00340C06" w:rsidRDefault="00340C06" w:rsidP="00703C74">
      <w:r w:rsidRPr="001B210A">
        <w:t>Participants were recruited from three</w:t>
      </w:r>
      <w:r>
        <w:t xml:space="preserve"> SSS </w:t>
      </w:r>
      <w:r w:rsidRPr="001B210A">
        <w:t xml:space="preserve">sites in England. Smokers aged 18 or over, who sought help to quit and were able to read/write/understand English, were eligible for the trial. </w:t>
      </w:r>
      <w:r>
        <w:t>Those who</w:t>
      </w:r>
      <w:r w:rsidRPr="001B210A">
        <w:t xml:space="preserve"> were pregnant or breastfeeding, had a strong preference to use or not to use NRT or EC in their quit attempt, or were currently enrolled in other interventional research or </w:t>
      </w:r>
      <w:r>
        <w:t xml:space="preserve">currently </w:t>
      </w:r>
      <w:r w:rsidRPr="001B210A">
        <w:t>using NRT or EC</w:t>
      </w:r>
      <w:r>
        <w:t>, were excluded</w:t>
      </w:r>
      <w:r w:rsidRPr="001B210A">
        <w:t>.</w:t>
      </w:r>
      <w:r>
        <w:t xml:space="preserve"> Written informed consent was obtained at baseline.</w:t>
      </w:r>
    </w:p>
    <w:p w:rsidR="00340C06" w:rsidRPr="001B210A" w:rsidRDefault="00340C06" w:rsidP="00703C74">
      <w:r w:rsidRPr="001B210A">
        <w:t>From May 2015 to January 2017, 886 participants were randomised (447 in the NRT arm and 439 in the EC arm). The median age was 41 (IQR: 33</w:t>
      </w:r>
      <w:r>
        <w:t xml:space="preserve"> to</w:t>
      </w:r>
      <w:r w:rsidRPr="001B210A">
        <w:t xml:space="preserve"> 51) in the NRT arm and 41 (IQR: 33</w:t>
      </w:r>
      <w:r>
        <w:t xml:space="preserve"> to</w:t>
      </w:r>
      <w:r w:rsidRPr="001B210A">
        <w:t xml:space="preserve"> 53) in the EC arm. Male </w:t>
      </w:r>
      <w:r>
        <w:t>represented</w:t>
      </w:r>
      <w:r w:rsidRPr="001B210A">
        <w:t xml:space="preserve"> 52% (228/439) of the EC arm and 52% (233/447) of the NRT arm. One death occurred before 6</w:t>
      </w:r>
      <w:r>
        <w:t>-</w:t>
      </w:r>
      <w:r w:rsidRPr="001B210A">
        <w:t xml:space="preserve">month follow-up in the NRT arm and one death occurred </w:t>
      </w:r>
      <w:r>
        <w:t>before 12-month</w:t>
      </w:r>
      <w:r w:rsidRPr="001B210A">
        <w:t xml:space="preserve"> follow-up in the EC arm.</w:t>
      </w:r>
    </w:p>
    <w:p w:rsidR="00340C06" w:rsidRPr="001B210A" w:rsidRDefault="00340C06" w:rsidP="00703C74">
      <w:pPr>
        <w:pStyle w:val="Heading3"/>
      </w:pPr>
      <w:r>
        <w:t>B</w:t>
      </w:r>
      <w:r w:rsidRPr="001B210A">
        <w:t>linding</w:t>
      </w:r>
    </w:p>
    <w:p w:rsidR="00340C06" w:rsidRPr="001B210A" w:rsidRDefault="00340C06" w:rsidP="00703C74">
      <w:r w:rsidRPr="001B210A">
        <w:t xml:space="preserve">It was not possible to mask the allocation when conducting the cost-effectiveness analysis. However, the data were not accessed by the health economists before data lock, and the </w:t>
      </w:r>
      <w:r>
        <w:t>smoking cessation</w:t>
      </w:r>
      <w:r w:rsidRPr="001B210A">
        <w:t xml:space="preserve"> outcome data were only made available as </w:t>
      </w:r>
      <w:r>
        <w:t>an input</w:t>
      </w:r>
      <w:r w:rsidRPr="001B210A">
        <w:t xml:space="preserve"> </w:t>
      </w:r>
      <w:r>
        <w:t>to</w:t>
      </w:r>
      <w:r w:rsidRPr="001B210A">
        <w:t xml:space="preserve"> the model</w:t>
      </w:r>
      <w:r>
        <w:t>-based secondary analysis</w:t>
      </w:r>
      <w:r w:rsidRPr="001B210A">
        <w:t xml:space="preserve"> after the </w:t>
      </w:r>
      <w:r>
        <w:t>primary</w:t>
      </w:r>
      <w:r w:rsidRPr="001B210A">
        <w:t xml:space="preserve"> analysis was completed.</w:t>
      </w:r>
    </w:p>
    <w:p w:rsidR="00340C06" w:rsidRPr="001B210A" w:rsidRDefault="00340C06" w:rsidP="00703C74">
      <w:pPr>
        <w:pStyle w:val="Heading2"/>
      </w:pPr>
      <w:r w:rsidRPr="001B210A">
        <w:t>Data collection</w:t>
      </w:r>
    </w:p>
    <w:p w:rsidR="00340C06" w:rsidRPr="001B210A" w:rsidRDefault="00340C06" w:rsidP="00703C74">
      <w:pPr>
        <w:pStyle w:val="Heading3"/>
      </w:pPr>
      <w:r w:rsidRPr="001B210A">
        <w:t>Costs</w:t>
      </w:r>
    </w:p>
    <w:p w:rsidR="00340C06" w:rsidRPr="001B210A" w:rsidRDefault="00340C06" w:rsidP="00703C74">
      <w:r w:rsidRPr="001B210A">
        <w:t>All costs and expenses are presented in 2015/16 Sterling Pounds (£).</w:t>
      </w:r>
      <w:r>
        <w:t xml:space="preserve"> Table S1 </w:t>
      </w:r>
      <w:r w:rsidRPr="001B210A">
        <w:t>shows all the unit costs used in the analysis.</w:t>
      </w:r>
    </w:p>
    <w:p w:rsidR="00340C06" w:rsidRPr="001B210A" w:rsidRDefault="00340C06" w:rsidP="00703C74">
      <w:pPr>
        <w:pStyle w:val="Heading4"/>
      </w:pPr>
      <w:r w:rsidRPr="001B210A">
        <w:t>Treatment cost</w:t>
      </w:r>
    </w:p>
    <w:p w:rsidR="00340C06" w:rsidRPr="001B210A" w:rsidRDefault="00340C06" w:rsidP="00703C74">
      <w:r w:rsidRPr="001B210A">
        <w:t xml:space="preserve">Treatment costs consisted of training and delivery costs. Training for SSS advisors on EC use was a one-hour session delivered once at each site by two members of the research team. A total of 30 advisors attended the training. Each advisor was equipped with one demonstration </w:t>
      </w:r>
      <w:r>
        <w:t>‘One K</w:t>
      </w:r>
      <w:r w:rsidRPr="001B210A">
        <w:t>it</w:t>
      </w:r>
      <w:r>
        <w:t>’</w:t>
      </w:r>
      <w:r w:rsidRPr="001B210A">
        <w:t xml:space="preserve"> at a cost of £19.35 per kit including liquid and accessories. The advisors were costed at mid-point of NHS pay band 5 and 6. The two trainers were costed at NHS pay band 6. Including salary oncosts, overheads and capital, the cost was estimated at £37 per hour for advisors and £42 per hour for trainers </w:t>
      </w:r>
      <w:r>
        <w:rPr>
          <w:noProof/>
        </w:rPr>
        <w:t>[</w:t>
      </w:r>
      <w:r w:rsidR="001812A6">
        <w:rPr>
          <w:noProof/>
        </w:rPr>
        <w:t>7</w:t>
      </w:r>
      <w:r>
        <w:rPr>
          <w:noProof/>
        </w:rPr>
        <w:t>]</w:t>
      </w:r>
      <w:r w:rsidRPr="001B210A">
        <w:t>.</w:t>
      </w:r>
      <w:r>
        <w:t xml:space="preserve"> We assumed that all advisors had received routine training in behavioural support and NRT use on the job so these costs only applied to the EC arm and the NRT arm did not require extra training.</w:t>
      </w:r>
    </w:p>
    <w:p w:rsidR="00340C06" w:rsidRPr="001B210A" w:rsidRDefault="00340C06" w:rsidP="00703C74">
      <w:r w:rsidRPr="001B210A">
        <w:t xml:space="preserve">For treatment delivery, attendance of weekly support sessions and the provision of NRT, LORs or EC was recorded at each session. We assumed that all LORs issued would be redeemed therefore the cost of prescribed NRT products incurred. NRTs were costed at their weighted average net ingredient cost (NIC) per prescription item by form and dosage plus dispense fee </w:t>
      </w:r>
      <w:r>
        <w:rPr>
          <w:noProof/>
        </w:rPr>
        <w:t>[8</w:t>
      </w:r>
      <w:r w:rsidR="001812A6">
        <w:rPr>
          <w:noProof/>
        </w:rPr>
        <w:t>, 9</w:t>
      </w:r>
      <w:r>
        <w:rPr>
          <w:noProof/>
        </w:rPr>
        <w:t>]</w:t>
      </w:r>
      <w:r w:rsidRPr="001B210A">
        <w:t>. The cost of EC and e-liquid provided by the study, and the printing cost of EC leaflets and pharmacy lists were recorded by the research team.</w:t>
      </w:r>
      <w:r>
        <w:t xml:space="preserve"> Only the sessions attended and EC or NRT issued on record were costed.</w:t>
      </w:r>
    </w:p>
    <w:p w:rsidR="00340C06" w:rsidRPr="001B210A" w:rsidRDefault="00340C06" w:rsidP="00703C74">
      <w:pPr>
        <w:pStyle w:val="Heading4"/>
      </w:pPr>
      <w:r w:rsidRPr="001B210A">
        <w:t>Smoking cessation help costs and health care services costs outside of the trial</w:t>
      </w:r>
    </w:p>
    <w:p w:rsidR="00340C06" w:rsidRPr="001B210A" w:rsidRDefault="00340C06" w:rsidP="00703C74">
      <w:r>
        <w:t>S</w:t>
      </w:r>
      <w:r w:rsidRPr="001B210A">
        <w:t xml:space="preserve">moking cessation </w:t>
      </w:r>
      <w:r>
        <w:t>and other health care services utilisation and quantities</w:t>
      </w:r>
      <w:r w:rsidRPr="001B210A">
        <w:t xml:space="preserve"> outside of the trial was collected through self-reported questionnaire at baseline, six</w:t>
      </w:r>
      <w:r>
        <w:t>-</w:t>
      </w:r>
      <w:r w:rsidRPr="001B210A">
        <w:t xml:space="preserve"> and 12</w:t>
      </w:r>
      <w:r>
        <w:t>-</w:t>
      </w:r>
      <w:r w:rsidRPr="001B210A">
        <w:t xml:space="preserve">month follow-up </w:t>
      </w:r>
      <w:r>
        <w:t xml:space="preserve">for </w:t>
      </w:r>
      <w:r w:rsidRPr="001B210A">
        <w:t>the previous six</w:t>
      </w:r>
      <w:r>
        <w:t>-</w:t>
      </w:r>
      <w:r w:rsidRPr="001B210A">
        <w:t>month</w:t>
      </w:r>
      <w:r>
        <w:t xml:space="preserve"> period</w:t>
      </w:r>
      <w:r w:rsidRPr="001B210A">
        <w:t xml:space="preserve">. </w:t>
      </w:r>
      <w:r>
        <w:t>Q</w:t>
      </w:r>
      <w:r w:rsidRPr="001B210A">
        <w:t xml:space="preserve">uantities were then multiplied by the unit costs of the services or weighted average NIC plus dispensing fee of prescribed items using secondary data sources </w:t>
      </w:r>
      <w:r>
        <w:rPr>
          <w:noProof/>
        </w:rPr>
        <w:t>[</w:t>
      </w:r>
      <w:r w:rsidR="001812A6">
        <w:rPr>
          <w:noProof/>
        </w:rPr>
        <w:t>7-13</w:t>
      </w:r>
      <w:r>
        <w:rPr>
          <w:noProof/>
        </w:rPr>
        <w:t>]</w:t>
      </w:r>
      <w:r w:rsidRPr="001B210A">
        <w:t>.</w:t>
      </w:r>
    </w:p>
    <w:p w:rsidR="00340C06" w:rsidRPr="001B210A" w:rsidRDefault="00340C06" w:rsidP="00703C74">
      <w:pPr>
        <w:pStyle w:val="Heading4"/>
      </w:pPr>
      <w:r w:rsidRPr="001B210A">
        <w:t>Participants’ expenses on smoking cessation</w:t>
      </w:r>
    </w:p>
    <w:p w:rsidR="00340C06" w:rsidRPr="001B210A" w:rsidRDefault="00340C06" w:rsidP="00703C74">
      <w:r w:rsidRPr="001B210A">
        <w:t xml:space="preserve">EC </w:t>
      </w:r>
      <w:r>
        <w:t xml:space="preserve">purchasing expenses </w:t>
      </w:r>
      <w:r w:rsidRPr="001B210A">
        <w:t>(including refills), NRT over</w:t>
      </w:r>
      <w:r>
        <w:t>-</w:t>
      </w:r>
      <w:r w:rsidRPr="001B210A">
        <w:t>the</w:t>
      </w:r>
      <w:r>
        <w:t>-</w:t>
      </w:r>
      <w:r w:rsidRPr="001B210A">
        <w:t xml:space="preserve">counter, and prescription charges were estimated in both arms based on self-reported data </w:t>
      </w:r>
      <w:r>
        <w:t xml:space="preserve">collected </w:t>
      </w:r>
      <w:r w:rsidRPr="001B210A">
        <w:t>at baseline, six</w:t>
      </w:r>
      <w:r>
        <w:t>-</w:t>
      </w:r>
      <w:r w:rsidRPr="001B210A">
        <w:t xml:space="preserve"> and 12</w:t>
      </w:r>
      <w:r>
        <w:t>-month</w:t>
      </w:r>
      <w:r w:rsidRPr="001B210A">
        <w:t xml:space="preserve"> follow-ups</w:t>
      </w:r>
      <w:r>
        <w:t>. NRT over-</w:t>
      </w:r>
      <w:r w:rsidRPr="001B210A">
        <w:t>the</w:t>
      </w:r>
      <w:r>
        <w:t>-</w:t>
      </w:r>
      <w:r w:rsidRPr="001B210A">
        <w:t>counter</w:t>
      </w:r>
      <w:r>
        <w:t xml:space="preserve"> expenses</w:t>
      </w:r>
      <w:r w:rsidRPr="001B210A">
        <w:t xml:space="preserve"> were estimated using the quantities of the products multiplied by the NIC plus dispensing fee </w:t>
      </w:r>
      <w:r>
        <w:rPr>
          <w:noProof/>
        </w:rPr>
        <w:t>[8</w:t>
      </w:r>
      <w:r w:rsidR="001812A6">
        <w:rPr>
          <w:noProof/>
        </w:rPr>
        <w:t>, 9</w:t>
      </w:r>
      <w:r>
        <w:rPr>
          <w:noProof/>
        </w:rPr>
        <w:t>]</w:t>
      </w:r>
      <w:r w:rsidRPr="001B210A">
        <w:t>. EC expenses were reported in monetary terms.</w:t>
      </w:r>
      <w:r>
        <w:t xml:space="preserve"> The prescription charges were costed at £8.2 per item where applicable </w:t>
      </w:r>
      <w:r>
        <w:rPr>
          <w:noProof/>
        </w:rPr>
        <w:t>[1</w:t>
      </w:r>
      <w:r w:rsidR="001812A6">
        <w:rPr>
          <w:noProof/>
        </w:rPr>
        <w:t>4</w:t>
      </w:r>
      <w:r>
        <w:rPr>
          <w:noProof/>
        </w:rPr>
        <w:t>]</w:t>
      </w:r>
      <w:r>
        <w:t>.</w:t>
      </w:r>
    </w:p>
    <w:p w:rsidR="00340C06" w:rsidRPr="001B210A" w:rsidRDefault="00340C06" w:rsidP="00703C74"/>
    <w:p w:rsidR="00340C06" w:rsidRPr="001B210A" w:rsidRDefault="00340C06" w:rsidP="00703C74">
      <w:pPr>
        <w:pStyle w:val="Heading3"/>
      </w:pPr>
      <w:r w:rsidRPr="001B210A">
        <w:t>Quality-adjusted life years (QALYs)</w:t>
      </w:r>
    </w:p>
    <w:p w:rsidR="00340C06" w:rsidRPr="001B210A" w:rsidRDefault="00340C06" w:rsidP="00703C74">
      <w:r w:rsidRPr="001B210A">
        <w:t xml:space="preserve">The 5-level EuroQol 5-dimension (EQ-5D-5L) questionnaire was used to measure health-related quality of life at baseline, six and 12 months </w:t>
      </w:r>
      <w:r>
        <w:rPr>
          <w:noProof/>
        </w:rPr>
        <w:t>[1</w:t>
      </w:r>
      <w:r w:rsidR="001812A6">
        <w:rPr>
          <w:noProof/>
        </w:rPr>
        <w:t>5</w:t>
      </w:r>
      <w:r>
        <w:rPr>
          <w:noProof/>
        </w:rPr>
        <w:t>]</w:t>
      </w:r>
      <w:r w:rsidRPr="001B210A">
        <w:t xml:space="preserve">. It consists of five domains (mobility, self-care, usual activities, pain/discomfort, anxiety/depression), each with five levels of severity ranging from no problem to severe problem, </w:t>
      </w:r>
      <w:r>
        <w:t>and</w:t>
      </w:r>
      <w:r w:rsidRPr="001B210A">
        <w:t xml:space="preserve"> a Visual Analogue Scale (EQ VAS) ranging from 0-100 with </w:t>
      </w:r>
      <w:r>
        <w:t>a</w:t>
      </w:r>
      <w:r w:rsidRPr="001B210A">
        <w:t xml:space="preserve"> higher score </w:t>
      </w:r>
      <w:r>
        <w:t>reflecting</w:t>
      </w:r>
      <w:r w:rsidRPr="001B210A">
        <w:t xml:space="preserve"> better health on the day. Following the NICE statement on valuation set at the time of the analysis, the recommended mapping function was used to calculate utility values </w:t>
      </w:r>
      <w:r>
        <w:rPr>
          <w:noProof/>
        </w:rPr>
        <w:t>[16</w:t>
      </w:r>
      <w:r w:rsidR="001812A6">
        <w:rPr>
          <w:noProof/>
        </w:rPr>
        <w:t>, 17</w:t>
      </w:r>
      <w:r>
        <w:rPr>
          <w:noProof/>
        </w:rPr>
        <w:t>]</w:t>
      </w:r>
      <w:r w:rsidRPr="001B210A">
        <w:t xml:space="preserve">. QALYs were then derived by calculating the area under the curve from baseline to six months and six to 12 months </w:t>
      </w:r>
      <w:r>
        <w:rPr>
          <w:noProof/>
        </w:rPr>
        <w:t>[1</w:t>
      </w:r>
      <w:r w:rsidR="001812A6">
        <w:rPr>
          <w:noProof/>
        </w:rPr>
        <w:t>8</w:t>
      </w:r>
      <w:r>
        <w:rPr>
          <w:noProof/>
        </w:rPr>
        <w:t>]</w:t>
      </w:r>
      <w:r w:rsidRPr="001B210A">
        <w:t>.</w:t>
      </w:r>
    </w:p>
    <w:p w:rsidR="00340C06" w:rsidRPr="001B210A" w:rsidRDefault="00340C06" w:rsidP="00703C74">
      <w:pPr>
        <w:pStyle w:val="Heading2"/>
      </w:pPr>
      <w:r w:rsidRPr="001B210A">
        <w:t>Missing data</w:t>
      </w:r>
    </w:p>
    <w:p w:rsidR="00340C06" w:rsidRDefault="00340C06" w:rsidP="00703C74">
      <w:r w:rsidRPr="001B210A">
        <w:t xml:space="preserve">Missing data at baseline and follow-ups were handled by multiple imputation following Rubin’s rules, assuming missing at random </w:t>
      </w:r>
      <w:r>
        <w:rPr>
          <w:noProof/>
        </w:rPr>
        <w:t>[1</w:t>
      </w:r>
      <w:r w:rsidR="001812A6">
        <w:rPr>
          <w:noProof/>
        </w:rPr>
        <w:t>9</w:t>
      </w:r>
      <w:r>
        <w:rPr>
          <w:noProof/>
        </w:rPr>
        <w:t>]</w:t>
      </w:r>
      <w:r w:rsidRPr="001B210A">
        <w:t>. The imputation was performed by treatment arms</w:t>
      </w:r>
      <w:r>
        <w:t>.</w:t>
      </w:r>
      <w:r w:rsidRPr="001B210A">
        <w:t xml:space="preserve"> The imputation model included</w:t>
      </w:r>
      <w:r>
        <w:t xml:space="preserve"> variables:</w:t>
      </w:r>
      <w:r w:rsidRPr="001B210A">
        <w:t xml:space="preserve"> training cost, intervention delivery costs, smoking cessation help costs, pharmacotherapy costs, health care services use costs and EQ-5D (VAS and utility values) at baseline, six</w:t>
      </w:r>
      <w:r>
        <w:t>-</w:t>
      </w:r>
      <w:r w:rsidRPr="001B210A">
        <w:t xml:space="preserve"> and 12</w:t>
      </w:r>
      <w:r>
        <w:t>-</w:t>
      </w:r>
      <w:r w:rsidRPr="001B210A">
        <w:t>month follow-up</w:t>
      </w:r>
      <w:r>
        <w:t>s,</w:t>
      </w:r>
      <w:r w:rsidRPr="001B210A">
        <w:t xml:space="preserve"> age, gender, ethnic</w:t>
      </w:r>
      <w:r>
        <w:t>ity, study site, Fagerströ</w:t>
      </w:r>
      <w:r w:rsidRPr="001B210A">
        <w:t xml:space="preserve">m Test of </w:t>
      </w:r>
      <w:r>
        <w:t>Cigarette</w:t>
      </w:r>
      <w:r w:rsidRPr="001B210A">
        <w:t xml:space="preserve"> Dependence (FT</w:t>
      </w:r>
      <w:r>
        <w:t>C</w:t>
      </w:r>
      <w:r w:rsidRPr="001B210A">
        <w:t>D) at baseline, entitlement of free pres</w:t>
      </w:r>
      <w:r>
        <w:t>criptions, expenses on NRT over-</w:t>
      </w:r>
      <w:r w:rsidRPr="001B210A">
        <w:t>the</w:t>
      </w:r>
      <w:r>
        <w:t>-</w:t>
      </w:r>
      <w:r w:rsidRPr="001B210A">
        <w:t xml:space="preserve">counter, </w:t>
      </w:r>
      <w:r>
        <w:t>EC</w:t>
      </w:r>
      <w:r w:rsidRPr="001B210A">
        <w:t xml:space="preserve"> purchase, and prescription charges</w:t>
      </w:r>
      <w:r>
        <w:t>.</w:t>
      </w:r>
      <w:r w:rsidRPr="001B210A">
        <w:t xml:space="preserve"> A chained equation model was developed and predictive mean matching was used as the imputation method, using the 10 nearest neighbours to the prediction as a set to draw from. As a rule of thumb, the number of imputations was set to approximately the highest percentage of missing data in all variables </w:t>
      </w:r>
      <w:r>
        <w:rPr>
          <w:noProof/>
        </w:rPr>
        <w:t>[</w:t>
      </w:r>
      <w:r w:rsidR="001812A6">
        <w:rPr>
          <w:noProof/>
        </w:rPr>
        <w:t>20</w:t>
      </w:r>
      <w:r>
        <w:rPr>
          <w:noProof/>
        </w:rPr>
        <w:t>]</w:t>
      </w:r>
      <w:r w:rsidRPr="001B210A">
        <w:t>. Costs and QALYs of those who died were replaced with zero after the date of death.</w:t>
      </w:r>
    </w:p>
    <w:p w:rsidR="00340C06" w:rsidRPr="001B210A" w:rsidRDefault="00340C06" w:rsidP="00703C74">
      <w:r>
        <w:t>Since smoking cessation outcomes were not revealed to health economists before the completion of the primary analysis, the cessation rate at 12 months after quit date was not imputed with other variables. Those who were lost to follow-up or had no CO reading were classified as smoking and those who died were excluded in the calculation.</w:t>
      </w:r>
    </w:p>
    <w:p w:rsidR="00340C06" w:rsidRPr="001B210A" w:rsidRDefault="00340C06" w:rsidP="00703C74">
      <w:pPr>
        <w:pStyle w:val="Heading2"/>
      </w:pPr>
      <w:r>
        <w:t>Primary</w:t>
      </w:r>
      <w:r w:rsidRPr="001B210A">
        <w:t xml:space="preserve"> analysis</w:t>
      </w:r>
    </w:p>
    <w:p w:rsidR="00340C06" w:rsidRPr="001B210A" w:rsidRDefault="00340C06" w:rsidP="00703C74">
      <w:r w:rsidRPr="001B210A">
        <w:t>The analysis was undertaken according to a pre-specified analysis plan</w:t>
      </w:r>
      <w:r>
        <w:t xml:space="preserve"> </w:t>
      </w:r>
      <w:r>
        <w:rPr>
          <w:noProof/>
        </w:rPr>
        <w:t>[2</w:t>
      </w:r>
      <w:r w:rsidR="001812A6">
        <w:rPr>
          <w:noProof/>
        </w:rPr>
        <w:t>1</w:t>
      </w:r>
      <w:r>
        <w:rPr>
          <w:noProof/>
        </w:rPr>
        <w:t>]</w:t>
      </w:r>
      <w:r w:rsidRPr="001B210A">
        <w:t xml:space="preserve">. The primary analysis was an incremental cost-effectiveness analysis on an intention-to-treat basis from a NHS and </w:t>
      </w:r>
      <w:r>
        <w:t>PSS</w:t>
      </w:r>
      <w:r w:rsidRPr="001B210A">
        <w:t xml:space="preserve"> perspective</w:t>
      </w:r>
      <w:r>
        <w:t xml:space="preserve"> in the 12-month trial period</w:t>
      </w:r>
      <w:r w:rsidRPr="001B210A">
        <w:t xml:space="preserve"> </w:t>
      </w:r>
      <w:r>
        <w:rPr>
          <w:noProof/>
        </w:rPr>
        <w:t>[2</w:t>
      </w:r>
      <w:r w:rsidR="001812A6">
        <w:rPr>
          <w:noProof/>
        </w:rPr>
        <w:t>2</w:t>
      </w:r>
      <w:r>
        <w:rPr>
          <w:noProof/>
        </w:rPr>
        <w:t>]</w:t>
      </w:r>
      <w:r w:rsidRPr="001B210A">
        <w:t>. The total costs consisted of treatment cost and the costs to the</w:t>
      </w:r>
      <w:r>
        <w:t xml:space="preserve"> SSS and</w:t>
      </w:r>
      <w:r w:rsidRPr="001B210A">
        <w:t xml:space="preserve"> NHS (smoking cessation services cost outside of the trial and health care services use costs) during the 12-month period. The difference in costs between arms was </w:t>
      </w:r>
      <w:r>
        <w:t>estimated by a generalised linear regression model controlling</w:t>
      </w:r>
      <w:r w:rsidRPr="001B210A">
        <w:t xml:space="preserve"> for the costs to the </w:t>
      </w:r>
      <w:r>
        <w:t xml:space="preserve">SSS and </w:t>
      </w:r>
      <w:r w:rsidRPr="001B210A">
        <w:t>NHS at baseline, age, gender, study site, entitlement of free prescriptions, and FT</w:t>
      </w:r>
      <w:r>
        <w:t>C</w:t>
      </w:r>
      <w:r w:rsidRPr="001B210A">
        <w:t xml:space="preserve">D at baseline. The effectiveness was presented in terms of QALYs, the difference in which </w:t>
      </w:r>
      <w:r>
        <w:t xml:space="preserve">was estimated by a generalised linear regression model </w:t>
      </w:r>
      <w:r w:rsidRPr="001B210A">
        <w:t>controll</w:t>
      </w:r>
      <w:r>
        <w:t>ing</w:t>
      </w:r>
      <w:r w:rsidRPr="001B210A">
        <w:t xml:space="preserve"> for utility value at baseline, age, gender, study site, entitlement of free prescriptions, and FT</w:t>
      </w:r>
      <w:r>
        <w:t>C</w:t>
      </w:r>
      <w:r w:rsidRPr="001B210A">
        <w:t xml:space="preserve">D at baseline. By dividing the difference in total costs by the difference in QALYs, an incremental cost-effectiveness ratio (ICER) was calculated to </w:t>
      </w:r>
      <w:r>
        <w:t>measure</w:t>
      </w:r>
      <w:r w:rsidRPr="001B210A">
        <w:t xml:space="preserve"> the additional cost per QALY gained by EC, compared with NRT. It was then measured against the NICE recommended willingness-to-pay (WTP) threshold of £20,000</w:t>
      </w:r>
      <w:r w:rsidR="00134930">
        <w:t xml:space="preserve"> and </w:t>
      </w:r>
      <w:r w:rsidRPr="001B210A">
        <w:t xml:space="preserve">£30,000 per QALY gained </w:t>
      </w:r>
      <w:r>
        <w:rPr>
          <w:noProof/>
        </w:rPr>
        <w:t>[2</w:t>
      </w:r>
      <w:r w:rsidR="001812A6">
        <w:rPr>
          <w:noProof/>
        </w:rPr>
        <w:t>2</w:t>
      </w:r>
      <w:r>
        <w:rPr>
          <w:noProof/>
        </w:rPr>
        <w:t>]</w:t>
      </w:r>
      <w:r w:rsidRPr="001B210A">
        <w:t>.</w:t>
      </w:r>
      <w:r>
        <w:t xml:space="preserve"> Neither costs nor QALYs were discounted as they were collected within one year.</w:t>
      </w:r>
    </w:p>
    <w:p w:rsidR="00340C06" w:rsidRDefault="00340C06" w:rsidP="00703C74">
      <w:r w:rsidRPr="001B210A">
        <w:t xml:space="preserve">The uncertainty surrounding the ICER was assessed through a non-parametric bootstrap re-sampling technique </w:t>
      </w:r>
      <w:r>
        <w:rPr>
          <w:noProof/>
        </w:rPr>
        <w:t>[2</w:t>
      </w:r>
      <w:r w:rsidR="001812A6">
        <w:rPr>
          <w:noProof/>
        </w:rPr>
        <w:t>3</w:t>
      </w:r>
      <w:r>
        <w:rPr>
          <w:noProof/>
        </w:rPr>
        <w:t>]</w:t>
      </w:r>
      <w:r w:rsidRPr="001B210A">
        <w:t xml:space="preserve">. </w:t>
      </w:r>
      <w:r w:rsidR="002E6811">
        <w:t xml:space="preserve">Bootstrap randomly drew individuals from the original sample by arm to construct a slightly different replicate sample with the same sample size. Each bootstrap iteration then estimated the incremental costs and QALYs based on the replicate sample of that iteration. </w:t>
      </w:r>
      <w:r w:rsidRPr="001B210A">
        <w:t>A cost-effectiveness plane (CEP) and cost-effectiveness acceptability curve</w:t>
      </w:r>
      <w:r>
        <w:t>s</w:t>
      </w:r>
      <w:r w:rsidRPr="001B210A">
        <w:t xml:space="preserve"> (CEAC</w:t>
      </w:r>
      <w:r>
        <w:t>s</w:t>
      </w:r>
      <w:r w:rsidRPr="001B210A">
        <w:t xml:space="preserve">) was </w:t>
      </w:r>
      <w:r>
        <w:t>plotted with</w:t>
      </w:r>
      <w:r w:rsidRPr="001B210A">
        <w:t xml:space="preserve"> 5,000 bootstrapped </w:t>
      </w:r>
      <w:r w:rsidR="002E6811">
        <w:t>estimate</w:t>
      </w:r>
      <w:r w:rsidR="002E6811" w:rsidRPr="001B210A">
        <w:t xml:space="preserve">s </w:t>
      </w:r>
      <w:r>
        <w:rPr>
          <w:noProof/>
        </w:rPr>
        <w:t>[2</w:t>
      </w:r>
      <w:r w:rsidR="001812A6">
        <w:rPr>
          <w:noProof/>
        </w:rPr>
        <w:t>4</w:t>
      </w:r>
      <w:r>
        <w:rPr>
          <w:noProof/>
        </w:rPr>
        <w:t>]</w:t>
      </w:r>
      <w:r w:rsidRPr="001B210A">
        <w:t>.</w:t>
      </w:r>
    </w:p>
    <w:p w:rsidR="00340C06" w:rsidRDefault="00340C06" w:rsidP="00703C74">
      <w:pPr>
        <w:pStyle w:val="Heading2"/>
      </w:pPr>
      <w:r>
        <w:t>Secondary analyses</w:t>
      </w:r>
    </w:p>
    <w:p w:rsidR="00340C06" w:rsidRPr="001B210A" w:rsidRDefault="00340C06" w:rsidP="00703C74">
      <w:r w:rsidRPr="001B210A">
        <w:t>To assess the impact of imputation, a complete case analysis (CCA) was undertaken</w:t>
      </w:r>
      <w:r>
        <w:t xml:space="preserve"> using the same regression method in the primary analysis</w:t>
      </w:r>
      <w:r w:rsidRPr="001B210A">
        <w:t>.</w:t>
      </w:r>
      <w:r>
        <w:t xml:space="preserve"> Only the participants who had complete data on all variables in the regression model were included.</w:t>
      </w:r>
    </w:p>
    <w:p w:rsidR="00340C06" w:rsidRPr="001B210A" w:rsidRDefault="00340C06" w:rsidP="00703C74">
      <w:r>
        <w:t>Pres</w:t>
      </w:r>
      <w:r w:rsidRPr="001B210A">
        <w:t xml:space="preserve">ently, participants </w:t>
      </w:r>
      <w:r>
        <w:t>bore</w:t>
      </w:r>
      <w:r w:rsidRPr="001B210A">
        <w:t xml:space="preserve"> the whole financial burden</w:t>
      </w:r>
      <w:r>
        <w:t xml:space="preserve"> of EC</w:t>
      </w:r>
      <w:r w:rsidRPr="001B210A">
        <w:t xml:space="preserve"> after the initial pack, while NRT could be acquired on prescription for a longer period. To assess if </w:t>
      </w:r>
      <w:r>
        <w:t>provision of a</w:t>
      </w:r>
      <w:r w:rsidRPr="001B210A">
        <w:t xml:space="preserve"> free </w:t>
      </w:r>
      <w:r>
        <w:t>starter kit</w:t>
      </w:r>
      <w:r w:rsidRPr="001B210A">
        <w:t xml:space="preserve"> for smoking cessation shifts the later cost burden to smokers, participants’ expenses on smoking cessation aids</w:t>
      </w:r>
      <w:r>
        <w:t xml:space="preserve"> were estimated and compared descriptively between arms</w:t>
      </w:r>
      <w:r w:rsidRPr="001B210A">
        <w:t>.</w:t>
      </w:r>
    </w:p>
    <w:p w:rsidR="00340C06" w:rsidRPr="001B210A" w:rsidRDefault="00340C06" w:rsidP="00703C74">
      <w:r w:rsidRPr="001B210A">
        <w:t>A Markov model used in a previous trial was updated and used to project long-term costs and effectiveness</w:t>
      </w:r>
      <w:r>
        <w:t xml:space="preserve"> </w:t>
      </w:r>
      <w:r>
        <w:rPr>
          <w:noProof/>
        </w:rPr>
        <w:t>[1</w:t>
      </w:r>
      <w:r w:rsidR="001812A6">
        <w:rPr>
          <w:noProof/>
        </w:rPr>
        <w:t>1</w:t>
      </w:r>
      <w:r>
        <w:rPr>
          <w:noProof/>
        </w:rPr>
        <w:t>]</w:t>
      </w:r>
      <w:r w:rsidRPr="001B210A">
        <w:t xml:space="preserve">. </w:t>
      </w:r>
      <w:r w:rsidRPr="001B210A">
        <w:fldChar w:fldCharType="begin"/>
      </w:r>
      <w:r w:rsidRPr="001B210A">
        <w:instrText xml:space="preserve"> REF _Ref522630806 \h  \* MERGEFORMAT </w:instrText>
      </w:r>
      <w:r w:rsidRPr="001B210A">
        <w:fldChar w:fldCharType="separate"/>
      </w:r>
      <w:r w:rsidRPr="001B210A">
        <w:t xml:space="preserve">Figure </w:t>
      </w:r>
      <w:r>
        <w:rPr>
          <w:noProof/>
        </w:rPr>
        <w:t>1</w:t>
      </w:r>
      <w:r w:rsidRPr="001B210A">
        <w:fldChar w:fldCharType="end"/>
      </w:r>
      <w:r w:rsidRPr="001B210A">
        <w:t xml:space="preserve"> illustrates the </w:t>
      </w:r>
      <w:r>
        <w:t xml:space="preserve">three-state </w:t>
      </w:r>
      <w:r w:rsidRPr="001B210A">
        <w:t>model structure: smoker, ex-smoker and death. The arrows between states indicate the possible pathways of transition and their direction. The model simulated a cohort of 1,000 smokers who were assigned to the states proportionally according to the</w:t>
      </w:r>
      <w:r>
        <w:t xml:space="preserve"> one-year quit rate from</w:t>
      </w:r>
      <w:r w:rsidRPr="001B210A">
        <w:t xml:space="preserve"> trial results at the end of the first cycle of the model. </w:t>
      </w:r>
      <w:r>
        <w:t>An annual relapse rate of 10% was applied for the following 10 years and abstinence was assumed to be permanent after that</w:t>
      </w:r>
      <w:r w:rsidRPr="001B210A">
        <w:t xml:space="preserve"> </w:t>
      </w:r>
      <w:r>
        <w:rPr>
          <w:noProof/>
        </w:rPr>
        <w:t>[</w:t>
      </w:r>
      <w:r w:rsidR="001812A6">
        <w:rPr>
          <w:noProof/>
        </w:rPr>
        <w:t>25-27</w:t>
      </w:r>
      <w:r>
        <w:rPr>
          <w:noProof/>
        </w:rPr>
        <w:t>]</w:t>
      </w:r>
      <w:r>
        <w:t>.</w:t>
      </w:r>
    </w:p>
    <w:p w:rsidR="00340C06" w:rsidRDefault="00340C06" w:rsidP="00703C74">
      <w:r>
        <w:t>Death occurred</w:t>
      </w:r>
      <w:r w:rsidRPr="001B210A">
        <w:t xml:space="preserve"> during the trial were used to estimate the mortality rate of the first cycle. The long-term mortality rates were obtained from the Deaths registered in England and Wales in 2016 by the Office for National Statistics, adjusted for the increased risk for smokers and ex-smokers based on </w:t>
      </w:r>
      <w:r>
        <w:t xml:space="preserve">the </w:t>
      </w:r>
      <w:r w:rsidRPr="001B210A">
        <w:t xml:space="preserve">Doll’s British doctors’ study </w:t>
      </w:r>
      <w:r>
        <w:rPr>
          <w:noProof/>
        </w:rPr>
        <w:t>[28</w:t>
      </w:r>
      <w:r w:rsidR="001812A6">
        <w:rPr>
          <w:noProof/>
        </w:rPr>
        <w:t>, 29</w:t>
      </w:r>
      <w:r>
        <w:rPr>
          <w:noProof/>
        </w:rPr>
        <w:t>]</w:t>
      </w:r>
      <w:r>
        <w:t xml:space="preserve">. </w:t>
      </w:r>
      <w:r w:rsidRPr="001B210A">
        <w:t>The model then ran on one-year cycles until the survivors reached their 90th year</w:t>
      </w:r>
      <w:r>
        <w:t xml:space="preserve">, which could be considered </w:t>
      </w:r>
      <w:r w:rsidRPr="0047541C">
        <w:t>a lifetime horizon</w:t>
      </w:r>
      <w:r w:rsidRPr="001B210A">
        <w:t xml:space="preserve">. </w:t>
      </w:r>
      <w:r>
        <w:t xml:space="preserve">It was </w:t>
      </w:r>
      <w:r w:rsidRPr="001B210A">
        <w:t>assum</w:t>
      </w:r>
      <w:r>
        <w:t>ed</w:t>
      </w:r>
      <w:r w:rsidRPr="001B210A">
        <w:t xml:space="preserve"> that </w:t>
      </w:r>
      <w:r>
        <w:t>no attempt to quit was made in the modelling period</w:t>
      </w:r>
      <w:r w:rsidRPr="001B210A">
        <w:t>.</w:t>
      </w:r>
      <w:r>
        <w:t xml:space="preserve"> </w:t>
      </w:r>
    </w:p>
    <w:p w:rsidR="00340C06" w:rsidRPr="001B210A" w:rsidRDefault="00340C06" w:rsidP="00703C74">
      <w:r w:rsidRPr="001B210A">
        <w:t xml:space="preserve">The total costs and QALYs estimated from the trial were taken as costs and effectiveness input for the first cycle of the model. </w:t>
      </w:r>
      <w:r w:rsidRPr="001B210A">
        <w:fldChar w:fldCharType="begin"/>
      </w:r>
      <w:r w:rsidRPr="001B210A">
        <w:instrText xml:space="preserve"> REF _Ref522632518 \h  \* MERGEFORMAT </w:instrText>
      </w:r>
      <w:r w:rsidRPr="001B210A">
        <w:fldChar w:fldCharType="separate"/>
      </w:r>
      <w:r w:rsidRPr="001B210A">
        <w:t xml:space="preserve">Table </w:t>
      </w:r>
      <w:r>
        <w:t>1</w:t>
      </w:r>
      <w:r w:rsidRPr="001B210A">
        <w:fldChar w:fldCharType="end"/>
      </w:r>
      <w:r w:rsidRPr="001B210A">
        <w:t xml:space="preserve"> shows the model inputs </w:t>
      </w:r>
      <w:r>
        <w:t xml:space="preserve">after the first cycle </w:t>
      </w:r>
      <w:r w:rsidRPr="001B210A">
        <w:t>estimate</w:t>
      </w:r>
      <w:r>
        <w:t>d</w:t>
      </w:r>
      <w:r w:rsidRPr="001B210A">
        <w:t xml:space="preserve"> from various literature </w:t>
      </w:r>
      <w:r>
        <w:rPr>
          <w:noProof/>
        </w:rPr>
        <w:t>[2</w:t>
      </w:r>
      <w:r w:rsidR="001812A6">
        <w:rPr>
          <w:noProof/>
        </w:rPr>
        <w:t>5</w:t>
      </w:r>
      <w:r>
        <w:rPr>
          <w:noProof/>
        </w:rPr>
        <w:t xml:space="preserve">, </w:t>
      </w:r>
      <w:r w:rsidR="001812A6">
        <w:rPr>
          <w:noProof/>
        </w:rPr>
        <w:t>29-32</w:t>
      </w:r>
      <w:r>
        <w:rPr>
          <w:noProof/>
        </w:rPr>
        <w:t>]</w:t>
      </w:r>
      <w:r w:rsidRPr="001B210A">
        <w:t xml:space="preserve">. </w:t>
      </w:r>
      <w:r>
        <w:t xml:space="preserve">The model took into account the lifetime incidence of smoking-related diseases and the costs of secondary care for </w:t>
      </w:r>
      <w:r w:rsidRPr="00455D45">
        <w:t>treating smoking-related diseases.</w:t>
      </w:r>
      <w:r>
        <w:rPr>
          <w:rFonts w:ascii="AdvTTebabd7da" w:hAnsi="AdvTTebabd7da" w:cs="AdvTTebabd7da"/>
          <w:sz w:val="20"/>
          <w:szCs w:val="20"/>
        </w:rPr>
        <w:t xml:space="preserve"> </w:t>
      </w:r>
      <w:r>
        <w:t>P</w:t>
      </w:r>
      <w:r w:rsidRPr="001B210A">
        <w:t xml:space="preserve">atients’ utilisation of hospital inpatient care </w:t>
      </w:r>
      <w:r>
        <w:t xml:space="preserve">were </w:t>
      </w:r>
      <w:r w:rsidRPr="001B210A">
        <w:t xml:space="preserve">derived from Hospital Episode Statistics </w:t>
      </w:r>
      <w:r>
        <w:rPr>
          <w:noProof/>
        </w:rPr>
        <w:t>[3</w:t>
      </w:r>
      <w:r w:rsidR="001812A6">
        <w:rPr>
          <w:noProof/>
        </w:rPr>
        <w:t>3</w:t>
      </w:r>
      <w:r>
        <w:rPr>
          <w:noProof/>
        </w:rPr>
        <w:t>]</w:t>
      </w:r>
      <w:r>
        <w:t xml:space="preserve"> and</w:t>
      </w:r>
      <w:r w:rsidRPr="001B210A">
        <w:t xml:space="preserve"> combined with the NHS reference costs </w:t>
      </w:r>
      <w:r>
        <w:rPr>
          <w:noProof/>
        </w:rPr>
        <w:t>[1</w:t>
      </w:r>
      <w:r w:rsidR="001812A6">
        <w:rPr>
          <w:noProof/>
        </w:rPr>
        <w:t>2</w:t>
      </w:r>
      <w:r>
        <w:rPr>
          <w:noProof/>
        </w:rPr>
        <w:t>]</w:t>
      </w:r>
      <w:r>
        <w:t xml:space="preserve"> </w:t>
      </w:r>
      <w:r w:rsidRPr="001B210A">
        <w:t>to calculate the annual cost</w:t>
      </w:r>
      <w:r>
        <w:t>s</w:t>
      </w:r>
      <w:r w:rsidRPr="001B210A">
        <w:t xml:space="preserve"> </w:t>
      </w:r>
      <w:r>
        <w:t xml:space="preserve">of secondary care </w:t>
      </w:r>
      <w:r w:rsidRPr="001B210A">
        <w:t xml:space="preserve">for smoking-related diseases by age and gender. </w:t>
      </w:r>
      <w:r>
        <w:t>Using the</w:t>
      </w:r>
      <w:r w:rsidRPr="001B210A">
        <w:t xml:space="preserve"> methods introduced by the </w:t>
      </w:r>
      <w:r>
        <w:t>World Health Organisation</w:t>
      </w:r>
      <w:r w:rsidRPr="001B210A">
        <w:t xml:space="preserve"> Economics of Tobacco Toolkit </w:t>
      </w:r>
      <w:r>
        <w:rPr>
          <w:noProof/>
        </w:rPr>
        <w:t>[3</w:t>
      </w:r>
      <w:r w:rsidR="001812A6">
        <w:rPr>
          <w:noProof/>
        </w:rPr>
        <w:t>4</w:t>
      </w:r>
      <w:r>
        <w:rPr>
          <w:noProof/>
        </w:rPr>
        <w:t>]</w:t>
      </w:r>
      <w:r>
        <w:t>,</w:t>
      </w:r>
      <w:r w:rsidRPr="001B210A">
        <w:t xml:space="preserve"> the costs attributable to </w:t>
      </w:r>
      <w:r>
        <w:t xml:space="preserve">smoking for </w:t>
      </w:r>
      <w:r w:rsidRPr="001B210A">
        <w:t>smokers and ex-smokers</w:t>
      </w:r>
      <w:r w:rsidRPr="001B210A" w:rsidDel="009D3070">
        <w:t xml:space="preserve"> </w:t>
      </w:r>
      <w:r w:rsidRPr="001B210A">
        <w:t xml:space="preserve">were </w:t>
      </w:r>
      <w:r>
        <w:t xml:space="preserve">estimated by </w:t>
      </w:r>
      <w:r w:rsidRPr="001B210A">
        <w:t>multipl</w:t>
      </w:r>
      <w:r>
        <w:t>ying the calculated annual costs for smoking-related diseases</w:t>
      </w:r>
      <w:r w:rsidRPr="001B210A">
        <w:t xml:space="preserve"> by the</w:t>
      </w:r>
      <w:r>
        <w:t>ir respective</w:t>
      </w:r>
      <w:r w:rsidRPr="001B210A">
        <w:t xml:space="preserve"> smoking-attributable proportion (</w:t>
      </w:r>
      <w:r>
        <w:t>E</w:t>
      </w:r>
      <w:r w:rsidRPr="001B210A">
        <w:t>quation 1).</w:t>
      </w:r>
      <w:r>
        <w:t xml:space="preserve"> These attributable costs formed the long-term cost inputs after the first cycle of the model.</w:t>
      </w:r>
    </w:p>
    <w:p w:rsidR="00340C06" w:rsidRPr="001B210A" w:rsidRDefault="00340C06" w:rsidP="00703C74">
      <m:oMath>
        <m:r>
          <w:rPr>
            <w:rFonts w:ascii="Cambria Math" w:hAnsi="Cambria Math" w:cs="Cambria Math"/>
          </w:rPr>
          <m:t>Smoking attributable proportion</m:t>
        </m:r>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cur</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cur</m:t>
                    </m:r>
                  </m:sub>
                </m:sSub>
                <m:r>
                  <m:rPr>
                    <m:sty m:val="p"/>
                  </m:rPr>
                  <w:rPr>
                    <w:rFonts w:ascii="Cambria Math" w:hAnsi="Cambria Math" w:cs="Cambria Math"/>
                  </w:rPr>
                  <m:t>-1</m:t>
                </m:r>
              </m:e>
            </m:d>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ex</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ex</m:t>
                    </m:r>
                  </m:sub>
                </m:sSub>
                <m:r>
                  <m:rPr>
                    <m:sty m:val="p"/>
                  </m:rPr>
                  <w:rPr>
                    <w:rFonts w:ascii="Cambria Math" w:hAnsi="Cambria Math" w:cs="Cambria Math"/>
                  </w:rPr>
                  <m:t>-1</m:t>
                </m:r>
              </m:e>
            </m:d>
          </m:num>
          <m:den>
            <m:sSub>
              <m:sSubPr>
                <m:ctrlPr>
                  <w:rPr>
                    <w:rFonts w:ascii="Cambria Math" w:hAnsi="Cambria Math" w:cs="Cambria Math"/>
                  </w:rPr>
                </m:ctrlPr>
              </m:sSubPr>
              <m:e>
                <m:r>
                  <w:rPr>
                    <w:rFonts w:ascii="Cambria Math" w:hAnsi="Cambria Math" w:cs="Cambria Math"/>
                  </w:rPr>
                  <m:t>1+p</m:t>
                </m:r>
              </m:e>
              <m:sub>
                <m:r>
                  <w:rPr>
                    <w:rFonts w:ascii="Cambria Math" w:hAnsi="Cambria Math" w:cs="Cambria Math"/>
                  </w:rPr>
                  <m:t>cur</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cur</m:t>
                    </m:r>
                  </m:sub>
                </m:sSub>
                <m:r>
                  <m:rPr>
                    <m:sty m:val="p"/>
                  </m:rPr>
                  <w:rPr>
                    <w:rFonts w:ascii="Cambria Math" w:hAnsi="Cambria Math" w:cs="Cambria Math"/>
                  </w:rPr>
                  <m:t>-1</m:t>
                </m:r>
              </m:e>
            </m:d>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ex</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ex</m:t>
                    </m:r>
                  </m:sub>
                </m:sSub>
                <m:r>
                  <m:rPr>
                    <m:sty m:val="p"/>
                  </m:rPr>
                  <w:rPr>
                    <w:rFonts w:ascii="Cambria Math" w:hAnsi="Cambria Math" w:cs="Cambria Math"/>
                  </w:rPr>
                  <m:t>-1</m:t>
                </m:r>
              </m:e>
            </m:d>
          </m:den>
        </m:f>
      </m:oMath>
      <w:r w:rsidRPr="001B210A">
        <w:t xml:space="preserve">     (</w:t>
      </w:r>
      <w:r>
        <w:t>E</w:t>
      </w:r>
      <w:r w:rsidRPr="001B210A">
        <w:t>quation 1)</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where</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p</w:t>
      </w:r>
      <w:r w:rsidRPr="001B210A">
        <w:rPr>
          <w:rFonts w:ascii="AdvTTb20e5d60" w:hAnsi="AdvTTb20e5d60" w:cs="AdvTTb20e5d60"/>
          <w:sz w:val="12"/>
          <w:szCs w:val="12"/>
        </w:rPr>
        <w:t>cur/</w:t>
      </w:r>
      <w:r w:rsidRPr="001B210A">
        <w:rPr>
          <w:rFonts w:ascii="AdvTTb20e5d60" w:hAnsi="AdvTTb20e5d60" w:cs="AdvTTb20e5d60"/>
          <w:sz w:val="18"/>
          <w:szCs w:val="18"/>
        </w:rPr>
        <w:t xml:space="preserve"> p</w:t>
      </w:r>
      <w:r w:rsidRPr="001B210A">
        <w:rPr>
          <w:rFonts w:ascii="AdvTTb20e5d60" w:hAnsi="AdvTTb20e5d60" w:cs="AdvTTb20e5d60"/>
          <w:sz w:val="12"/>
          <w:szCs w:val="12"/>
        </w:rPr>
        <w:t xml:space="preserve">ex </w:t>
      </w:r>
      <w:r w:rsidRPr="001B210A">
        <w:rPr>
          <w:rFonts w:ascii="AdvTTb20e5d60" w:hAnsi="AdvTTb20e5d60" w:cs="AdvTTb20e5d60"/>
          <w:sz w:val="18"/>
          <w:szCs w:val="18"/>
        </w:rPr>
        <w:t>=smoking prevalence / proportion of ex-smokers</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r</w:t>
      </w:r>
      <w:r w:rsidRPr="001B210A">
        <w:rPr>
          <w:rFonts w:ascii="AdvTTb20e5d60" w:hAnsi="AdvTTb20e5d60" w:cs="AdvTTb20e5d60"/>
          <w:sz w:val="12"/>
          <w:szCs w:val="12"/>
        </w:rPr>
        <w:t xml:space="preserve">cur / </w:t>
      </w:r>
      <w:r w:rsidRPr="001B210A">
        <w:rPr>
          <w:rFonts w:ascii="AdvTTb20e5d60" w:hAnsi="AdvTTb20e5d60" w:cs="AdvTTb20e5d60"/>
          <w:sz w:val="18"/>
          <w:szCs w:val="18"/>
        </w:rPr>
        <w:t>r</w:t>
      </w:r>
      <w:r w:rsidRPr="001B210A">
        <w:rPr>
          <w:rFonts w:ascii="AdvTTb20e5d60" w:hAnsi="AdvTTb20e5d60" w:cs="AdvTTb20e5d60"/>
          <w:sz w:val="12"/>
          <w:szCs w:val="12"/>
        </w:rPr>
        <w:t xml:space="preserve">ex </w:t>
      </w:r>
      <w:r w:rsidRPr="001B210A">
        <w:rPr>
          <w:rFonts w:ascii="AdvTTb20e5d60" w:hAnsi="AdvTTb20e5d60" w:cs="AdvTTb20e5d60"/>
          <w:sz w:val="18"/>
          <w:szCs w:val="18"/>
        </w:rPr>
        <w:t>=increased risk for having smoking-related diseases for current /ex-smokers compared to people who never smoked</w:t>
      </w:r>
    </w:p>
    <w:p w:rsidR="00340C06" w:rsidRPr="001B210A" w:rsidRDefault="00340C06" w:rsidP="00703C74"/>
    <w:p w:rsidR="00340C06" w:rsidRPr="001B210A" w:rsidRDefault="00340C06" w:rsidP="00703C74">
      <w:r w:rsidRPr="001B210A">
        <w:t xml:space="preserve">The annual QALYs </w:t>
      </w:r>
      <w:r w:rsidRPr="001B210A">
        <w:rPr>
          <w:rFonts w:hint="eastAsia"/>
        </w:rPr>
        <w:t>we</w:t>
      </w:r>
      <w:r w:rsidRPr="001B210A">
        <w:t xml:space="preserve">re derived from the EQ-5D utility values based on a study of Health Survey for England data with a sample size of 13,241 </w:t>
      </w:r>
      <w:r>
        <w:rPr>
          <w:noProof/>
        </w:rPr>
        <w:t>[</w:t>
      </w:r>
      <w:r w:rsidR="001812A6">
        <w:rPr>
          <w:noProof/>
        </w:rPr>
        <w:t>30</w:t>
      </w:r>
      <w:r>
        <w:rPr>
          <w:noProof/>
        </w:rPr>
        <w:t>]</w:t>
      </w:r>
      <w:r w:rsidRPr="001B210A">
        <w:t xml:space="preserve">. Both costs and QALYs were discounted at a yearly 3.5% rate beyond 12 months </w:t>
      </w:r>
      <w:r>
        <w:t>after</w:t>
      </w:r>
      <w:r w:rsidRPr="001B210A">
        <w:t xml:space="preserve"> randomisation </w:t>
      </w:r>
      <w:r>
        <w:rPr>
          <w:noProof/>
        </w:rPr>
        <w:t>[2</w:t>
      </w:r>
      <w:r w:rsidR="001812A6">
        <w:rPr>
          <w:noProof/>
        </w:rPr>
        <w:t>2</w:t>
      </w:r>
      <w:r>
        <w:rPr>
          <w:noProof/>
        </w:rPr>
        <w:t>]</w:t>
      </w:r>
      <w:r w:rsidRPr="001B210A">
        <w:t>.</w:t>
      </w:r>
    </w:p>
    <w:p w:rsidR="00340C06" w:rsidRPr="001B210A" w:rsidRDefault="00340C06" w:rsidP="00703C74">
      <w:pPr>
        <w:jc w:val="center"/>
      </w:pPr>
      <w:r w:rsidRPr="001B210A">
        <w:t xml:space="preserve">[Insert </w:t>
      </w:r>
      <w:r w:rsidRPr="001B210A">
        <w:fldChar w:fldCharType="begin"/>
      </w:r>
      <w:r w:rsidRPr="001B210A">
        <w:instrText xml:space="preserve"> REF _Ref522630806 \h  \* MERGEFORMAT </w:instrText>
      </w:r>
      <w:r w:rsidRPr="001B210A">
        <w:fldChar w:fldCharType="separate"/>
      </w:r>
      <w:r w:rsidRPr="001B210A">
        <w:t xml:space="preserve">Figure </w:t>
      </w:r>
      <w:r>
        <w:rPr>
          <w:noProof/>
        </w:rPr>
        <w:t>1</w:t>
      </w:r>
      <w:r w:rsidRPr="001B210A">
        <w:fldChar w:fldCharType="end"/>
      </w:r>
      <w:r w:rsidRPr="001B210A">
        <w:t xml:space="preserve"> here]</w:t>
      </w:r>
    </w:p>
    <w:p w:rsidR="00340C06" w:rsidRPr="001B210A" w:rsidRDefault="00340C06" w:rsidP="00703C74">
      <w:pPr>
        <w:jc w:val="center"/>
      </w:pPr>
      <w:r w:rsidRPr="001B210A">
        <w:t xml:space="preserve">[Insert </w:t>
      </w:r>
      <w:r w:rsidRPr="001B210A">
        <w:fldChar w:fldCharType="begin"/>
      </w:r>
      <w:r w:rsidRPr="001B210A">
        <w:instrText xml:space="preserve"> REF _Ref522632518 \h  \* MERGEFORMAT </w:instrText>
      </w:r>
      <w:r w:rsidRPr="001B210A">
        <w:fldChar w:fldCharType="separate"/>
      </w:r>
      <w:r w:rsidRPr="001B210A">
        <w:t xml:space="preserve">Table </w:t>
      </w:r>
      <w:r>
        <w:rPr>
          <w:noProof/>
        </w:rPr>
        <w:t>1</w:t>
      </w:r>
      <w:r w:rsidRPr="001B210A">
        <w:fldChar w:fldCharType="end"/>
      </w:r>
      <w:r w:rsidRPr="001B210A">
        <w:t xml:space="preserve"> here]</w:t>
      </w:r>
    </w:p>
    <w:p w:rsidR="00340C06" w:rsidRPr="001B210A" w:rsidRDefault="00340C06" w:rsidP="00703C74">
      <w:r w:rsidRPr="001B210A">
        <w:t xml:space="preserve">The model reported a </w:t>
      </w:r>
      <w:r>
        <w:t>lifetime</w:t>
      </w:r>
      <w:r w:rsidRPr="001B210A">
        <w:t xml:space="preserve"> ICER of a one-off use of EC, compared with NRT, as smoking cessation aid in English SSS setting</w:t>
      </w:r>
      <w:r>
        <w:t xml:space="preserve"> from the NHS and PSS perspective</w:t>
      </w:r>
      <w:r w:rsidRPr="001B210A">
        <w:t xml:space="preserve">. For a probabilistic sensitivity analysis, beta distribution was assigned to parameters for probabilities and gamma distribution to those for costs and QALYs. Monte Carlo simulation was used to randomly draw </w:t>
      </w:r>
      <w:r>
        <w:t>values for</w:t>
      </w:r>
      <w:r w:rsidRPr="001B210A">
        <w:t xml:space="preserve"> the parameters from their assigned distribution and the expected values of costs and QALYs were calculated. The process was repeated 1</w:t>
      </w:r>
      <w:r>
        <w:t>0</w:t>
      </w:r>
      <w:r w:rsidRPr="001B210A">
        <w:t xml:space="preserve">,000 times and the results were </w:t>
      </w:r>
      <w:r>
        <w:t>presented by</w:t>
      </w:r>
      <w:r w:rsidRPr="001B210A">
        <w:t xml:space="preserve"> CEP and CEAC</w:t>
      </w:r>
      <w:r>
        <w:t>s</w:t>
      </w:r>
      <w:r w:rsidRPr="001B210A">
        <w:t>.</w:t>
      </w:r>
    </w:p>
    <w:p w:rsidR="00340C06" w:rsidRPr="001B210A" w:rsidRDefault="00340C06" w:rsidP="00703C74">
      <w:r>
        <w:t>All analyses were</w:t>
      </w:r>
      <w:r w:rsidRPr="001B210A">
        <w:t xml:space="preserve"> undertaken using STATA SE 15.0</w:t>
      </w:r>
      <w:r>
        <w:t xml:space="preserve">, except that </w:t>
      </w:r>
      <w:r w:rsidRPr="001B210A">
        <w:t>the Markov model was programmed in Microsoft Excel 2016.</w:t>
      </w:r>
    </w:p>
    <w:p w:rsidR="00340C06" w:rsidRPr="001B210A" w:rsidRDefault="00340C06" w:rsidP="00703C74">
      <w:pPr>
        <w:pStyle w:val="Heading1"/>
      </w:pPr>
      <w:r w:rsidRPr="001B210A">
        <w:t>Results</w:t>
      </w:r>
    </w:p>
    <w:p w:rsidR="00340C06" w:rsidRPr="001B210A" w:rsidRDefault="00340C06" w:rsidP="00703C74">
      <w:pPr>
        <w:pStyle w:val="Heading2"/>
      </w:pPr>
      <w:r w:rsidRPr="001B210A">
        <w:t>Treatment cost</w:t>
      </w:r>
    </w:p>
    <w:p w:rsidR="00340C06" w:rsidRPr="001B210A" w:rsidRDefault="00340C06">
      <w:r w:rsidRPr="001B210A">
        <w:t>The training cost amounted to £4.40 per participant for the EC arm and zero cost for the NRT arm.</w:t>
      </w:r>
    </w:p>
    <w:p w:rsidR="00340C06" w:rsidRPr="001B210A" w:rsidRDefault="00340C06">
      <w:r w:rsidRPr="001B210A">
        <w:t xml:space="preserve">Session 1 and 2 lasted for 30 minutes each and the following sessions were estimated at 20 minutes. The cost of behavioural support sessions was £80 (SD £12) per participant in the EC arm (mean number of sessions: 5.5, SD 1.0) and £77 (SD £15) per participant in the NRT arm (mean number of sessions: 5.2, SD 1.2). Information sheets for the use of </w:t>
      </w:r>
      <w:r>
        <w:t>EC</w:t>
      </w:r>
      <w:r w:rsidRPr="001B210A">
        <w:t xml:space="preserve"> costed £0.09 per participant and pharmacy lists for redeeming NRT costed £0.05 per participant. LOR was £0.01 each and issued in total 732 </w:t>
      </w:r>
      <w:r>
        <w:t>time</w:t>
      </w:r>
      <w:r w:rsidRPr="001B210A">
        <w:t xml:space="preserve">s. Forty-two participants in the EC arm were </w:t>
      </w:r>
      <w:r>
        <w:t>given</w:t>
      </w:r>
      <w:r w:rsidRPr="001B210A">
        <w:t xml:space="preserve"> One Kit 2016</w:t>
      </w:r>
      <w:r>
        <w:t>,</w:t>
      </w:r>
      <w:r w:rsidRPr="001B210A">
        <w:t xml:space="preserve"> at £30.54 per kit. One participant did not accept the kit. Thirty participants requested an extra bottle of e-liquid costed at £1.34 each. </w:t>
      </w:r>
      <w:r>
        <w:t>The mean cost of products</w:t>
      </w:r>
      <w:r w:rsidRPr="001B210A">
        <w:t xml:space="preserve"> was £20 (SD £4) per participant</w:t>
      </w:r>
      <w:r>
        <w:t xml:space="preserve"> in the EC arm, and</w:t>
      </w:r>
      <w:r w:rsidRPr="001B210A">
        <w:t xml:space="preserve"> £124 (SD £67) per participant in the NRT arm. The delivery cost was therefore £100 (SD £13) per participant in the EC arm and £201 (SD £77) per participant in the NRT arm.</w:t>
      </w:r>
    </w:p>
    <w:p w:rsidR="00340C06" w:rsidRPr="001B210A" w:rsidRDefault="00340C06" w:rsidP="00703C74">
      <w:pPr>
        <w:pStyle w:val="Heading2"/>
      </w:pPr>
      <w:r w:rsidRPr="001B210A">
        <w:t>Missing data</w:t>
      </w:r>
    </w:p>
    <w:p w:rsidR="00340C06" w:rsidRPr="001B210A" w:rsidRDefault="00B75CA4" w:rsidP="00703C74">
      <w:r>
        <w:t>In the NRT arm, 59% (265/447) participants</w:t>
      </w:r>
      <w:r w:rsidR="00340C06">
        <w:t xml:space="preserve"> complete</w:t>
      </w:r>
      <w:r>
        <w:t>d</w:t>
      </w:r>
      <w:r w:rsidR="00340C06">
        <w:t xml:space="preserve"> health service use section of six-month follow-up questionnaire</w:t>
      </w:r>
      <w:r>
        <w:t>,</w:t>
      </w:r>
      <w:r w:rsidR="00340C06">
        <w:t xml:space="preserve"> and </w:t>
      </w:r>
      <w:r>
        <w:t xml:space="preserve">in the EC arm, </w:t>
      </w:r>
      <w:r w:rsidR="00340C06">
        <w:t xml:space="preserve">69% (304/439) </w:t>
      </w:r>
      <w:r>
        <w:t xml:space="preserve">participants did so </w:t>
      </w:r>
      <w:r w:rsidR="00340C06">
        <w:t>(Pearson’s chi-squared test P=0.002). This rate at 12-month follow-up was 62% (277/447) in the NRT arm and 71% (312/439) in the EC arm (Pearson’s chi-squared test P=0.004). T</w:t>
      </w:r>
      <w:r w:rsidR="00340C06" w:rsidRPr="001B210A">
        <w:t>he missing data pattern showed that most missed the entire section rather than single items (</w:t>
      </w:r>
      <w:r w:rsidR="00340C06" w:rsidRPr="007D1C65">
        <w:t>Table S</w:t>
      </w:r>
      <w:r w:rsidR="00340C06">
        <w:t>2</w:t>
      </w:r>
      <w:r w:rsidR="00340C06" w:rsidRPr="007D1C65">
        <w:t xml:space="preserve"> &amp; S</w:t>
      </w:r>
      <w:r w:rsidR="00340C06">
        <w:t>3</w:t>
      </w:r>
      <w:r w:rsidR="00340C06" w:rsidRPr="001B210A">
        <w:t xml:space="preserve">). </w:t>
      </w:r>
      <w:r w:rsidR="00340C06">
        <w:t xml:space="preserve">The cost, expenses and EQ-5D-5L variables at six- and 12-month follow-ups all required imputation. </w:t>
      </w:r>
      <w:r w:rsidR="00340C06" w:rsidRPr="001B210A">
        <w:t>The highest level of the missing data was 35% at six months</w:t>
      </w:r>
      <w:r w:rsidR="00340C06">
        <w:t xml:space="preserve"> (Table S4)</w:t>
      </w:r>
      <w:r w:rsidR="00340C06" w:rsidRPr="001B210A">
        <w:t>. The number of imputation was therefore set to 35</w:t>
      </w:r>
      <w:r w:rsidR="007D23B6">
        <w:t>. Unless otherwise specified, analyses were performed on the 35 imputed datasets</w:t>
      </w:r>
      <w:r w:rsidR="00340C06" w:rsidRPr="001B210A">
        <w:t>.</w:t>
      </w:r>
    </w:p>
    <w:p w:rsidR="00340C06" w:rsidRPr="001B210A" w:rsidRDefault="00340C06" w:rsidP="00703C74">
      <w:pPr>
        <w:pStyle w:val="Heading2"/>
      </w:pPr>
      <w:r>
        <w:t>Primary</w:t>
      </w:r>
      <w:r w:rsidRPr="001B210A">
        <w:t xml:space="preserve"> analysis</w:t>
      </w:r>
    </w:p>
    <w:p w:rsidR="00340C06" w:rsidRPr="001B210A" w:rsidRDefault="00340C06" w:rsidP="00703C74">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(left) summarises the results of the primary analysis. The mean cost of treatment was £201 (SE £4) per participant in the NRT arm and £105 (SE £1) in the EC arm. The mean </w:t>
      </w:r>
      <w:r>
        <w:t>total</w:t>
      </w:r>
      <w:r w:rsidRPr="001B210A">
        <w:t xml:space="preserve"> costs were </w:t>
      </w:r>
      <w:r>
        <w:t>£1,116 (SE £163)</w:t>
      </w:r>
      <w:r w:rsidRPr="001B210A">
        <w:t xml:space="preserve"> in the NRT arm </w:t>
      </w:r>
      <w:r>
        <w:t>and £1,174 (SE £147)</w:t>
      </w:r>
      <w:r w:rsidRPr="001B210A">
        <w:t xml:space="preserve"> in the EC arm during the 12-month trial period. </w:t>
      </w:r>
      <w:r>
        <w:t>After adjustment, the</w:t>
      </w:r>
      <w:r w:rsidRPr="001B210A">
        <w:t xml:space="preserve"> mean total costs</w:t>
      </w:r>
      <w:r>
        <w:t xml:space="preserve"> in the EC arm</w:t>
      </w:r>
      <w:r w:rsidRPr="001B210A">
        <w:t xml:space="preserve"> was £11 (95% CI -£104 to £147) higher than </w:t>
      </w:r>
      <w:r>
        <w:t xml:space="preserve">in </w:t>
      </w:r>
      <w:r w:rsidRPr="001B210A">
        <w:t xml:space="preserve">the NRT arm. The mean QALYs in the NRT arm was 0.882 (SE 0.009) and 0.886 (SE 0.008) in the EC arm. </w:t>
      </w:r>
      <w:r>
        <w:t>After adjustment, the</w:t>
      </w:r>
      <w:r w:rsidRPr="001B210A">
        <w:t xml:space="preserve"> mean QALYs </w:t>
      </w:r>
      <w:r>
        <w:t xml:space="preserve">in the EC arm </w:t>
      </w:r>
      <w:r w:rsidRPr="001B210A">
        <w:t>was 0.010 (95% CI -0.003 to 0.023) higher than</w:t>
      </w:r>
      <w:r>
        <w:t xml:space="preserve"> in</w:t>
      </w:r>
      <w:r w:rsidRPr="001B210A">
        <w:t xml:space="preserve"> the NRT arm. The ICER was calculated at £1,100 per QALY gained</w:t>
      </w:r>
      <w:r>
        <w:t xml:space="preserve">, </w:t>
      </w:r>
      <w:r w:rsidRPr="000466D2">
        <w:t>indicat</w:t>
      </w:r>
      <w:r>
        <w:t>ing</w:t>
      </w:r>
      <w:r w:rsidRPr="000466D2">
        <w:t xml:space="preserve"> that compared with the NRT</w:t>
      </w:r>
      <w:r>
        <w:t xml:space="preserve"> arm</w:t>
      </w:r>
      <w:r w:rsidRPr="000466D2">
        <w:t xml:space="preserve">, </w:t>
      </w:r>
      <w:r>
        <w:t>EC arm</w:t>
      </w:r>
      <w:r w:rsidRPr="000466D2">
        <w:t xml:space="preserve"> spen</w:t>
      </w:r>
      <w:r>
        <w:t>t</w:t>
      </w:r>
      <w:r w:rsidRPr="000466D2">
        <w:t xml:space="preserve"> an extra £1,100 to yield an additional QALY</w:t>
      </w:r>
      <w:r>
        <w:t xml:space="preserve"> per person</w:t>
      </w:r>
      <w:r w:rsidRPr="000466D2">
        <w:t xml:space="preserve">. If the </w:t>
      </w:r>
      <w:r>
        <w:t>decision maker</w:t>
      </w:r>
      <w:r w:rsidRPr="000466D2">
        <w:t xml:space="preserve"> is willing to pay £1,100 and above for an additional QALY</w:t>
      </w:r>
      <w:r>
        <w:t xml:space="preserve"> per person</w:t>
      </w:r>
      <w:r w:rsidRPr="000466D2">
        <w:t xml:space="preserve">, the </w:t>
      </w:r>
      <w:r>
        <w:t>EC treatment</w:t>
      </w:r>
      <w:r w:rsidRPr="000466D2">
        <w:t xml:space="preserve"> </w:t>
      </w:r>
      <w:r>
        <w:t>would be</w:t>
      </w:r>
      <w:r w:rsidRPr="000466D2">
        <w:t xml:space="preserve"> considered as the cost-effective option.</w:t>
      </w:r>
    </w:p>
    <w:p w:rsidR="00340C06" w:rsidRPr="001B210A" w:rsidRDefault="00340C06" w:rsidP="00703C74">
      <w:pPr>
        <w:jc w:val="center"/>
      </w:pPr>
      <w:r w:rsidRPr="001B210A">
        <w:t xml:space="preserve">[Insert </w:t>
      </w:r>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here]</w:t>
      </w:r>
    </w:p>
    <w:p w:rsidR="00340C06" w:rsidRPr="001B210A" w:rsidRDefault="00340C06" w:rsidP="00703C74">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(upper) shows the CEP and CEAC</w:t>
      </w:r>
      <w:r>
        <w:t>s</w:t>
      </w:r>
      <w:r w:rsidRPr="001B210A">
        <w:t xml:space="preserve"> constructed with bootstrapped replicates. The overall majority (93%) of them fell on the right of</w:t>
      </w:r>
      <w:r>
        <w:t xml:space="preserve"> the Y-</w:t>
      </w:r>
      <w:r w:rsidRPr="001B210A">
        <w:t xml:space="preserve">axis on the CEP, indicating a highly likely effective intervention while the </w:t>
      </w:r>
      <w:r>
        <w:t xml:space="preserve">existence of difference in </w:t>
      </w:r>
      <w:r w:rsidRPr="001B210A">
        <w:t>cost</w:t>
      </w:r>
      <w:r>
        <w:t>s</w:t>
      </w:r>
      <w:r w:rsidRPr="001B210A">
        <w:t xml:space="preserve"> was </w:t>
      </w:r>
      <w:r>
        <w:t>less</w:t>
      </w:r>
      <w:r w:rsidRPr="001B210A">
        <w:t xml:space="preserve"> certain. However, most of the replicates fell below the WTP thresholds, suggesting the EC was likely to be more cost-effective than the NRT. The CEAC</w:t>
      </w:r>
      <w:r>
        <w:t>s</w:t>
      </w:r>
      <w:r w:rsidRPr="001B210A">
        <w:t xml:space="preserve"> further illustrated this point by estimating the probability of EC being cost-effective in comparison with NRT </w:t>
      </w:r>
      <w:r>
        <w:t xml:space="preserve">to be </w:t>
      </w:r>
      <w:r w:rsidRPr="001B210A">
        <w:t>87% at £20,000/QALY and 90% at £30,000/QALY.</w:t>
      </w:r>
    </w:p>
    <w:p w:rsidR="00340C06" w:rsidRPr="001B210A" w:rsidRDefault="00340C06" w:rsidP="00703C74">
      <w:pPr>
        <w:jc w:val="center"/>
      </w:pPr>
      <w:r w:rsidRPr="001B210A">
        <w:t xml:space="preserve">[Insert </w:t>
      </w:r>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here]</w:t>
      </w:r>
    </w:p>
    <w:p w:rsidR="00340C06" w:rsidRDefault="00340C06" w:rsidP="00703C74">
      <w:pPr>
        <w:pStyle w:val="Heading2"/>
      </w:pPr>
      <w:r>
        <w:t>Secondary analyses</w:t>
      </w:r>
    </w:p>
    <w:p w:rsidR="00340C06" w:rsidRPr="00965163" w:rsidRDefault="00340C06">
      <w:pPr>
        <w:pStyle w:val="Heading3"/>
      </w:pPr>
      <w:r>
        <w:t>Complete case analysis</w:t>
      </w:r>
    </w:p>
    <w:p w:rsidR="00340C06" w:rsidRPr="001B210A" w:rsidRDefault="00340C06" w:rsidP="00703C74">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(right) summarises the results of the CCA which was undertaken on 254/439 (58%) participants in the EC arm and 204/447 (46%) in the NRT arm. The treatment cost was £216 (SD £73) per participant in the NRT arm and £108 (SD £10) in the EC arm. After similar adjustment as the primary analysis, the incremental cost</w:t>
      </w:r>
      <w:r>
        <w:t>s</w:t>
      </w:r>
      <w:r w:rsidRPr="001B210A">
        <w:t xml:space="preserve"> became negative, suggesting a cost saving</w:t>
      </w:r>
      <w:r>
        <w:t xml:space="preserve"> in the</w:t>
      </w:r>
      <w:r w:rsidRPr="001B210A">
        <w:t xml:space="preserve"> EC arm. The </w:t>
      </w:r>
      <w:r>
        <w:t xml:space="preserve">adjusted </w:t>
      </w:r>
      <w:r w:rsidRPr="001B210A">
        <w:t xml:space="preserve">mean </w:t>
      </w:r>
      <w:r>
        <w:t>difference in QALYs</w:t>
      </w:r>
      <w:r w:rsidRPr="001B210A">
        <w:t xml:space="preserve"> was </w:t>
      </w:r>
      <w:r>
        <w:t>0.003 (95% CI -0.018 to 0.023), with the EC arm slightly higher</w:t>
      </w:r>
      <w:r w:rsidRPr="001B210A">
        <w:t xml:space="preserve">. The mean ICER indicated a dominance situation where the EC arm was less costly but more effective. </w:t>
      </w:r>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(lower) shows that the difference in QALYs became more uncertain while the overall majority (86%) fell below zero for the difference in costs. The probability of cost-effective was 75% at £20,000/QALY and 70% at £30,000/QALY. </w:t>
      </w:r>
      <w:r w:rsidRPr="001B210A">
        <w:fldChar w:fldCharType="begin"/>
      </w:r>
      <w:r w:rsidRPr="001B210A">
        <w:instrText xml:space="preserve"> REF _Ref523399275 \h  \* MERGEFORMAT </w:instrText>
      </w:r>
      <w:r w:rsidRPr="001B210A">
        <w:fldChar w:fldCharType="separate"/>
      </w:r>
      <w:r w:rsidRPr="001B210A">
        <w:t xml:space="preserve">Table </w:t>
      </w:r>
      <w:r>
        <w:rPr>
          <w:noProof/>
        </w:rPr>
        <w:t>3</w:t>
      </w:r>
      <w:r w:rsidRPr="001B210A">
        <w:fldChar w:fldCharType="end"/>
      </w:r>
      <w:r w:rsidRPr="001B210A">
        <w:t xml:space="preserve"> compares the estimated mean costs to the </w:t>
      </w:r>
      <w:r>
        <w:t xml:space="preserve">SSS and </w:t>
      </w:r>
      <w:r w:rsidRPr="001B210A">
        <w:t xml:space="preserve">NHS and mean EQ-5D-5L utility in the CCA with the primary analysis. Both arms </w:t>
      </w:r>
      <w:r>
        <w:t>indicat</w:t>
      </w:r>
      <w:r w:rsidRPr="001B210A">
        <w:t xml:space="preserve">ed </w:t>
      </w:r>
      <w:r>
        <w:t xml:space="preserve">slightly </w:t>
      </w:r>
      <w:r w:rsidRPr="001B210A">
        <w:t>higher mean costs to the</w:t>
      </w:r>
      <w:r>
        <w:t xml:space="preserve"> SSS and</w:t>
      </w:r>
      <w:r w:rsidRPr="001B210A">
        <w:t xml:space="preserve"> NHS</w:t>
      </w:r>
      <w:r>
        <w:t xml:space="preserve"> </w:t>
      </w:r>
      <w:r w:rsidRPr="001B210A">
        <w:t xml:space="preserve">but the </w:t>
      </w:r>
      <w:r>
        <w:t>difference</w:t>
      </w:r>
      <w:r w:rsidRPr="001B210A">
        <w:t xml:space="preserve"> in the NRT arm was more prominent.</w:t>
      </w:r>
      <w:r>
        <w:t xml:space="preserve"> Mean utility in the CCA appeared consistently higher than in the primary analysis in the NRT arm.</w:t>
      </w:r>
    </w:p>
    <w:p w:rsidR="00340C06" w:rsidRPr="001B210A" w:rsidRDefault="00340C06" w:rsidP="00703C74">
      <w:pPr>
        <w:jc w:val="center"/>
      </w:pPr>
      <w:r w:rsidRPr="001B210A">
        <w:t xml:space="preserve">[Insert </w:t>
      </w:r>
      <w:r w:rsidRPr="001B210A">
        <w:fldChar w:fldCharType="begin"/>
      </w:r>
      <w:r w:rsidRPr="001B210A">
        <w:instrText xml:space="preserve"> REF _Ref523399275 \h  \* MERGEFORMAT </w:instrText>
      </w:r>
      <w:r w:rsidRPr="001B210A">
        <w:fldChar w:fldCharType="separate"/>
      </w:r>
      <w:r w:rsidRPr="001B210A">
        <w:t xml:space="preserve">Table </w:t>
      </w:r>
      <w:r>
        <w:rPr>
          <w:noProof/>
        </w:rPr>
        <w:t>3</w:t>
      </w:r>
      <w:r w:rsidRPr="001B210A">
        <w:fldChar w:fldCharType="end"/>
      </w:r>
      <w:r w:rsidRPr="001B210A">
        <w:t xml:space="preserve"> here]</w:t>
      </w:r>
    </w:p>
    <w:p w:rsidR="00340C06" w:rsidRPr="001B210A" w:rsidRDefault="00340C06" w:rsidP="00703C74"/>
    <w:p w:rsidR="00340C06" w:rsidRPr="001B210A" w:rsidRDefault="00340C06" w:rsidP="00703C74">
      <w:pPr>
        <w:pStyle w:val="Heading3"/>
      </w:pPr>
      <w:r>
        <w:t xml:space="preserve">Comparison of </w:t>
      </w:r>
      <w:r w:rsidRPr="001B210A">
        <w:t xml:space="preserve">Participants’ Expenses on smoking cessation </w:t>
      </w:r>
      <w:r>
        <w:t>between arms</w:t>
      </w:r>
    </w:p>
    <w:p w:rsidR="00340C06" w:rsidRPr="001B210A" w:rsidRDefault="00340C06" w:rsidP="00703C74">
      <w:r w:rsidRPr="001B210A">
        <w:t>The mean expenses on smoking cessation aids were £158 (SE £27) per participant in the NRT arm</w:t>
      </w:r>
      <w:r>
        <w:t xml:space="preserve"> in the 12 months post-TQD, including £89 (SE £26) for NRT, £49 (SE £6) for EC, and £20 (SE £2) for prescription charge.</w:t>
      </w:r>
      <w:r w:rsidRPr="001B210A">
        <w:t xml:space="preserve"> </w:t>
      </w:r>
      <w:r>
        <w:t>During the same period, the mean expenses were</w:t>
      </w:r>
      <w:r w:rsidRPr="001B210A">
        <w:t xml:space="preserve"> £168 (SE £11) in the EC arm</w:t>
      </w:r>
      <w:r>
        <w:t>, including £12 (SE £5) for NRT, £152 (SE £10) for EC, and £4 (SE £2) for prescription charge.</w:t>
      </w:r>
    </w:p>
    <w:p w:rsidR="00340C06" w:rsidRPr="001B210A" w:rsidRDefault="00340C06" w:rsidP="00703C74">
      <w:pPr>
        <w:pStyle w:val="Heading3"/>
      </w:pPr>
      <w:r w:rsidRPr="001B210A">
        <w:t>Long-term model</w:t>
      </w:r>
    </w:p>
    <w:p w:rsidR="00340C06" w:rsidRPr="001B210A" w:rsidRDefault="00340C06" w:rsidP="00703C74">
      <w:r w:rsidRPr="001B210A">
        <w:t>The cohort of 1</w:t>
      </w:r>
      <w:r>
        <w:t>,</w:t>
      </w:r>
      <w:r w:rsidRPr="001B210A">
        <w:t>000 people entered the model at the age of 41.</w:t>
      </w:r>
      <w:r>
        <w:t xml:space="preserve"> </w:t>
      </w:r>
      <w:r w:rsidRPr="001B210A">
        <w:t>The mean lifetime smoking-</w:t>
      </w:r>
      <w:r>
        <w:t>attributable</w:t>
      </w:r>
      <w:r w:rsidRPr="001B210A">
        <w:t xml:space="preserve"> costs were estimated at £3,175 (SE £161) per </w:t>
      </w:r>
      <w:r>
        <w:t>smoker</w:t>
      </w:r>
      <w:r w:rsidRPr="001B210A">
        <w:t xml:space="preserve"> who used NRT as cessation aid and £3,184 (SE £169) per </w:t>
      </w:r>
      <w:r>
        <w:t>smoker</w:t>
      </w:r>
      <w:r w:rsidRPr="001B210A">
        <w:t xml:space="preserve"> who used EC. The mean QALYs were estimated at 24.14 (SE 0.31) per person who used NRT and 24.28 (SE 0.31) per person who used EC. The ICER was calculated at £65 per QALY gained by </w:t>
      </w:r>
      <w:r>
        <w:t>using</w:t>
      </w:r>
      <w:r w:rsidRPr="001B210A">
        <w:t xml:space="preserve"> EC as smoking cessation aid, in comparison with NRT. </w:t>
      </w:r>
      <w:r w:rsidRPr="001B210A">
        <w:fldChar w:fldCharType="begin"/>
      </w:r>
      <w:r w:rsidRPr="001B210A">
        <w:instrText xml:space="preserve"> REF _Ref536716042 \h </w:instrText>
      </w:r>
      <w:r>
        <w:instrText xml:space="preserve"> \* MERGEFORMAT </w:instrText>
      </w:r>
      <w:r w:rsidRPr="001B210A">
        <w:fldChar w:fldCharType="separate"/>
      </w:r>
      <w:r w:rsidRPr="001B210A">
        <w:t xml:space="preserve">Figure </w:t>
      </w:r>
      <w:r>
        <w:rPr>
          <w:noProof/>
        </w:rPr>
        <w:t>3</w:t>
      </w:r>
      <w:r w:rsidRPr="001B210A">
        <w:fldChar w:fldCharType="end"/>
      </w:r>
      <w:r w:rsidRPr="001B210A">
        <w:t xml:space="preserve"> shows the life-time CEP and CEAC</w:t>
      </w:r>
      <w:r>
        <w:t>s</w:t>
      </w:r>
      <w:r w:rsidRPr="001B210A">
        <w:t xml:space="preserve"> constructed from the probabilistic sensitivity analysis. It </w:t>
      </w:r>
      <w:r>
        <w:t>indicated that the lifetime costs were likely to be similar between using EC and NRT</w:t>
      </w:r>
      <w:r w:rsidRPr="001B210A">
        <w:t xml:space="preserve"> but the </w:t>
      </w:r>
      <w:r>
        <w:t xml:space="preserve">EC </w:t>
      </w:r>
      <w:r w:rsidRPr="001B210A">
        <w:t xml:space="preserve">intervention resulted in a positive QALY gain with high certainty. The probability of EC being more cost-effective than NRT </w:t>
      </w:r>
      <w:r w:rsidR="007D23B6">
        <w:t>remains at</w:t>
      </w:r>
      <w:r w:rsidRPr="001B210A">
        <w:t xml:space="preserve"> 85% </w:t>
      </w:r>
      <w:r w:rsidR="007D23B6">
        <w:t>at</w:t>
      </w:r>
      <w:r w:rsidRPr="001B210A">
        <w:t xml:space="preserve"> £20,000 </w:t>
      </w:r>
      <w:r w:rsidR="007D23B6">
        <w:t>and</w:t>
      </w:r>
      <w:r w:rsidR="007D23B6" w:rsidRPr="001B210A">
        <w:t xml:space="preserve"> </w:t>
      </w:r>
      <w:r w:rsidRPr="001B210A">
        <w:t>£30,000 per QALY</w:t>
      </w:r>
      <w:r w:rsidR="007D23B6">
        <w:t xml:space="preserve"> WTP threshold</w:t>
      </w:r>
      <w:r w:rsidRPr="001B210A">
        <w:t>.</w:t>
      </w:r>
    </w:p>
    <w:p w:rsidR="00340C06" w:rsidRPr="001B210A" w:rsidRDefault="00340C06" w:rsidP="00703C74">
      <w:pPr>
        <w:jc w:val="center"/>
      </w:pPr>
      <w:r w:rsidRPr="001B210A">
        <w:t xml:space="preserve">[Insert </w:t>
      </w:r>
      <w:r w:rsidRPr="001B210A">
        <w:fldChar w:fldCharType="begin"/>
      </w:r>
      <w:r w:rsidRPr="001B210A">
        <w:instrText xml:space="preserve"> REF _Ref536716042 \h  \* MERGEFORMAT </w:instrText>
      </w:r>
      <w:r w:rsidRPr="001B210A">
        <w:fldChar w:fldCharType="separate"/>
      </w:r>
      <w:r w:rsidRPr="001B210A">
        <w:t xml:space="preserve">Figure </w:t>
      </w:r>
      <w:r>
        <w:rPr>
          <w:noProof/>
        </w:rPr>
        <w:t>3</w:t>
      </w:r>
      <w:r w:rsidRPr="001B210A">
        <w:fldChar w:fldCharType="end"/>
      </w:r>
      <w:r w:rsidRPr="001B210A">
        <w:t xml:space="preserve"> here]</w:t>
      </w:r>
    </w:p>
    <w:p w:rsidR="00340C06" w:rsidRPr="001B210A" w:rsidRDefault="00340C06" w:rsidP="00703C74">
      <w:pPr>
        <w:pStyle w:val="Heading1"/>
      </w:pPr>
      <w:r w:rsidRPr="001B210A">
        <w:t>Discussion</w:t>
      </w:r>
    </w:p>
    <w:p w:rsidR="00340C06" w:rsidRPr="001B210A" w:rsidRDefault="00340C06">
      <w:r w:rsidRPr="001B210A">
        <w:t>The</w:t>
      </w:r>
      <w:r>
        <w:t xml:space="preserve"> mean</w:t>
      </w:r>
      <w:r w:rsidRPr="001B210A">
        <w:t xml:space="preserve"> treatment cost was £201 (SE £4) per participant in the NRT arm and £105 (SE £1) in the EC arm. The </w:t>
      </w:r>
      <w:r>
        <w:t xml:space="preserve">12-month </w:t>
      </w:r>
      <w:r w:rsidRPr="001B210A">
        <w:t>ICER in the primary analysis was</w:t>
      </w:r>
      <w:r>
        <w:t xml:space="preserve"> </w:t>
      </w:r>
      <w:r w:rsidRPr="001B210A">
        <w:t>£1,100 per QALY gained</w:t>
      </w:r>
      <w:r>
        <w:t xml:space="preserve"> from a NHS and PSS perspective,</w:t>
      </w:r>
      <w:r w:rsidRPr="001B210A">
        <w:t xml:space="preserve"> </w:t>
      </w:r>
      <w:r>
        <w:t>with t</w:t>
      </w:r>
      <w:r w:rsidRPr="001B210A">
        <w:t xml:space="preserve">he probability of cost-effective </w:t>
      </w:r>
      <w:r w:rsidR="007D23B6">
        <w:t xml:space="preserve">being </w:t>
      </w:r>
      <w:r w:rsidRPr="001B210A">
        <w:t xml:space="preserve">87% </w:t>
      </w:r>
      <w:r w:rsidR="007D23B6">
        <w:t xml:space="preserve">at </w:t>
      </w:r>
      <w:r w:rsidR="007D23B6" w:rsidRPr="001B210A">
        <w:t xml:space="preserve">£20,000 </w:t>
      </w:r>
      <w:r w:rsidR="007D23B6">
        <w:t>and</w:t>
      </w:r>
      <w:r w:rsidRPr="001B210A">
        <w:t xml:space="preserve"> 90% </w:t>
      </w:r>
      <w:r w:rsidR="007D23B6">
        <w:t>at</w:t>
      </w:r>
      <w:r w:rsidRPr="001B210A">
        <w:t xml:space="preserve"> £30,000 WTP thresholds</w:t>
      </w:r>
      <w:r>
        <w:t>.</w:t>
      </w:r>
      <w:r w:rsidRPr="001B210A">
        <w:t xml:space="preserve"> </w:t>
      </w:r>
      <w:r>
        <w:t xml:space="preserve">The </w:t>
      </w:r>
      <w:r w:rsidRPr="001B210A">
        <w:t>CCA suggest</w:t>
      </w:r>
      <w:r>
        <w:t>ed</w:t>
      </w:r>
      <w:r w:rsidRPr="001B210A">
        <w:t xml:space="preserve"> the effect of missing data was more prominent in the NRT arm, possibly due to the lower completion rate, which renders the estimates of the NRT arm </w:t>
      </w:r>
      <w:r>
        <w:t xml:space="preserve">in the primary analysis </w:t>
      </w:r>
      <w:r w:rsidRPr="001B210A">
        <w:t xml:space="preserve">less certain. The long-term modelling </w:t>
      </w:r>
      <w:r>
        <w:t>estimat</w:t>
      </w:r>
      <w:r w:rsidRPr="001B210A">
        <w:t>ed a lifetime ICER at £</w:t>
      </w:r>
      <w:r>
        <w:t>65</w:t>
      </w:r>
      <w:r w:rsidRPr="001B210A">
        <w:t xml:space="preserve"> per QALY gained</w:t>
      </w:r>
      <w:r>
        <w:t xml:space="preserve">, with a probability of 85% that EC is more cost-effective </w:t>
      </w:r>
      <w:r w:rsidR="00605F77">
        <w:t>at both £20,000 and £30,000 per QALY gained</w:t>
      </w:r>
      <w:r>
        <w:t xml:space="preserve">. This indicated </w:t>
      </w:r>
      <w:r w:rsidRPr="001B210A">
        <w:t>EC as a highly cost-effective cessation aid, compar</w:t>
      </w:r>
      <w:r>
        <w:t>ed</w:t>
      </w:r>
      <w:r w:rsidRPr="001B210A">
        <w:t xml:space="preserve"> with NRT, as part of the </w:t>
      </w:r>
      <w:r>
        <w:t>English</w:t>
      </w:r>
      <w:r w:rsidRPr="001B210A">
        <w:t xml:space="preserve"> SSS</w:t>
      </w:r>
      <w:r>
        <w:t>, from the NHS and PSS perspective</w:t>
      </w:r>
      <w:r w:rsidRPr="001B210A">
        <w:t>.</w:t>
      </w:r>
      <w:r w:rsidRPr="003E4FC4">
        <w:t xml:space="preserve"> </w:t>
      </w:r>
      <w:r>
        <w:t>The comparison between participants’ expenses on smoking cessation between arms showed no apparent difference, while the costs of smoking cessation borne by the SSS and NHS were lower in the EC arm. This suggested that the EC intervention could potentially reduce the costs to the SSS and NHS without increasing the financial burden on smokers’ part.</w:t>
      </w:r>
    </w:p>
    <w:p w:rsidR="00340C06" w:rsidRPr="001B210A" w:rsidRDefault="00340C06">
      <w:r w:rsidRPr="001B210A">
        <w:t xml:space="preserve">The sample size of 886 reduced the possibility of random individuals with particularly high health care use being allocated to one arm. </w:t>
      </w:r>
      <w:r>
        <w:t>However, 79% one-year follow-up rate, adding on the incomplete rate of health economic section, contributed to a 35% missing data level at the highest. Although multiple imputation and complete case analyses showed consistent conclusion, the high level of missing data makes it less certain as to how cost-effective the intervention really is and represents one of the limitations of the study. In addition, the six-month recall period for self-reported healthcare services use and comprehensive but long questionnaire could potentially cause recall bias.</w:t>
      </w:r>
    </w:p>
    <w:p w:rsidR="00340C06" w:rsidRPr="001B210A" w:rsidRDefault="00340C06">
      <w:r>
        <w:t>We used t</w:t>
      </w:r>
      <w:r w:rsidRPr="001B210A">
        <w:t xml:space="preserve">he long-term model </w:t>
      </w:r>
      <w:r>
        <w:t xml:space="preserve">to evaluate the EC use in an appropriate time horizon for smoking cessation. It </w:t>
      </w:r>
      <w:r w:rsidRPr="001B210A">
        <w:t xml:space="preserve">showed a favourable result of EC use mainly due to the </w:t>
      </w:r>
      <w:r>
        <w:t>significantly</w:t>
      </w:r>
      <w:r w:rsidRPr="001B210A">
        <w:t xml:space="preserve"> higher abstinence rate at 12 months post-TQD in the EC arm. However, the model did not take into account </w:t>
      </w:r>
      <w:r>
        <w:t>repeated</w:t>
      </w:r>
      <w:r w:rsidRPr="001B210A">
        <w:t xml:space="preserve"> attempts </w:t>
      </w:r>
      <w:r>
        <w:t>to quit</w:t>
      </w:r>
      <w:r w:rsidRPr="001B210A">
        <w:t xml:space="preserve"> nor the possible long-term effects of using EC</w:t>
      </w:r>
      <w:r>
        <w:t xml:space="preserve"> on health and personal finance</w:t>
      </w:r>
      <w:r w:rsidRPr="001B210A">
        <w:t xml:space="preserve">. </w:t>
      </w:r>
      <w:r>
        <w:t xml:space="preserve">There is a lack of evidence on user behaviour regarding EC and the impact of continuous use of EC on health in the long term. </w:t>
      </w:r>
      <w:r w:rsidRPr="001B210A">
        <w:t>Whilst the costs of smoking-related diseases were better identified and estimated, the QALYs were derived from population tariff based on smoking status and were not disease-specific.</w:t>
      </w:r>
    </w:p>
    <w:p w:rsidR="00340C06" w:rsidRPr="001B210A" w:rsidRDefault="00340C06">
      <w:r>
        <w:t>Our</w:t>
      </w:r>
      <w:r w:rsidRPr="001B210A">
        <w:t xml:space="preserve"> </w:t>
      </w:r>
      <w:r>
        <w:t>study provided</w:t>
      </w:r>
      <w:r w:rsidRPr="001B210A">
        <w:t xml:space="preserve"> the initial </w:t>
      </w:r>
      <w:r>
        <w:t xml:space="preserve">EC </w:t>
      </w:r>
      <w:r w:rsidRPr="001B210A">
        <w:t xml:space="preserve">products </w:t>
      </w:r>
      <w:r>
        <w:t>at no costs</w:t>
      </w:r>
      <w:r w:rsidRPr="001B210A">
        <w:t xml:space="preserve"> to the participants</w:t>
      </w:r>
      <w:r>
        <w:t>,</w:t>
      </w:r>
      <w:r w:rsidRPr="001B210A">
        <w:t xml:space="preserve"> </w:t>
      </w:r>
      <w:r>
        <w:t>which is not common practice within SSS at present time</w:t>
      </w:r>
      <w:r w:rsidRPr="001B210A">
        <w:t xml:space="preserve">. </w:t>
      </w:r>
      <w:r>
        <w:t>While the relevant policy change remains uncertain, people who want to quit might ask for advice on the use of EC. This requires staff in the SSS and NHS to be equipped with correct and sufficient information about the potential role of EC in aiding smoking cessation. Decision makers should also be aware that the implementation costs of EC treatment was not in the scope of our analysis but might add an influence if free provision of EC starter pack is incorporated in standard SSS.</w:t>
      </w:r>
    </w:p>
    <w:p w:rsidR="00340C06" w:rsidRPr="001B210A" w:rsidRDefault="00340C06">
      <w:r>
        <w:t xml:space="preserve">Existing evidence suggests varenicline, as a smoking cessation aid, to be more cost-effective or even cost-saving comparing with bupropion and NRT </w:t>
      </w:r>
      <w:r>
        <w:rPr>
          <w:noProof/>
        </w:rPr>
        <w:t>[</w:t>
      </w:r>
      <w:r w:rsidR="001812A6">
        <w:rPr>
          <w:noProof/>
        </w:rPr>
        <w:t>35-37</w:t>
      </w:r>
      <w:r>
        <w:rPr>
          <w:noProof/>
        </w:rPr>
        <w:t>]</w:t>
      </w:r>
      <w:r>
        <w:t xml:space="preserve">. While counselling is a cost-effective treatment for smoking cessation, it has been suggested that counselling plus NRT might be more cost-effective </w:t>
      </w:r>
      <w:r>
        <w:rPr>
          <w:noProof/>
        </w:rPr>
        <w:t>[3</w:t>
      </w:r>
      <w:r w:rsidR="001812A6">
        <w:rPr>
          <w:noProof/>
        </w:rPr>
        <w:t>8</w:t>
      </w:r>
      <w:r>
        <w:rPr>
          <w:noProof/>
        </w:rPr>
        <w:t>]</w:t>
      </w:r>
      <w:r>
        <w:t xml:space="preserve">. </w:t>
      </w:r>
      <w:r w:rsidRPr="001B210A">
        <w:t xml:space="preserve">There are few published RCTs studying EC as a smoking cessation or reduction aid. Hartmann-Boyce and colleagues identified four </w:t>
      </w:r>
      <w:r>
        <w:rPr>
          <w:noProof/>
        </w:rPr>
        <w:t>[39</w:t>
      </w:r>
      <w:r w:rsidR="001812A6">
        <w:rPr>
          <w:noProof/>
        </w:rPr>
        <w:t>, 40</w:t>
      </w:r>
      <w:r>
        <w:rPr>
          <w:noProof/>
        </w:rPr>
        <w:t>]</w:t>
      </w:r>
      <w:r>
        <w:t>, none of which compared EC with NRT in the standard SSS settings</w:t>
      </w:r>
      <w:r w:rsidRPr="001B210A">
        <w:t xml:space="preserve">. As far as we know, </w:t>
      </w:r>
      <w:bookmarkStart w:id="1" w:name="_Hlk10056905"/>
      <w:r w:rsidRPr="001B210A">
        <w:t>this is the first cost-effectiveness study comparing EC and NRT as alternative cessation aids as part of the SSS.</w:t>
      </w:r>
      <w:r>
        <w:t xml:space="preserve"> The relative cost-effectiveness of varenicline and EC remains unstudied.</w:t>
      </w:r>
    </w:p>
    <w:bookmarkEnd w:id="1"/>
    <w:p w:rsidR="00340C06" w:rsidRPr="001B210A" w:rsidRDefault="00340C06">
      <w:r w:rsidRPr="001B210A">
        <w:t>The provision of an EC starter pack, compared with using NRT, in a standard SSS for smoking cessation is cost-effective. There was no evidence in the trial to suggest the participants’ expenses on smoking cessation aids increased due to the initiation of EC. The long-term impact on cost-effectiveness requires further research on the possible health side-effects of EC.</w:t>
      </w:r>
    </w:p>
    <w:p w:rsidR="00340C06" w:rsidRPr="001B210A" w:rsidRDefault="00340C06" w:rsidP="00703C74">
      <w:pPr>
        <w:pStyle w:val="Heading1"/>
      </w:pPr>
      <w:r w:rsidRPr="001B210A">
        <w:t>Acknowledgements</w:t>
      </w:r>
    </w:p>
    <w:p w:rsidR="00340C06" w:rsidRPr="001B210A" w:rsidRDefault="00340C06" w:rsidP="00703C74">
      <w:r w:rsidRPr="001B210A">
        <w:t>We would like to thank:</w:t>
      </w:r>
    </w:p>
    <w:p w:rsidR="00340C06" w:rsidRPr="001B210A" w:rsidRDefault="00340C06" w:rsidP="00703C74">
      <w:r w:rsidRPr="001B210A">
        <w:t xml:space="preserve">All study participants and the participating SSS. </w:t>
      </w:r>
    </w:p>
    <w:p w:rsidR="00340C06" w:rsidRPr="001B210A" w:rsidRDefault="00340C06" w:rsidP="00703C74">
      <w:r w:rsidRPr="001B210A">
        <w:t xml:space="preserve">TSC and DMEC </w:t>
      </w:r>
      <w:r>
        <w:t xml:space="preserve">chairs and </w:t>
      </w:r>
      <w:r w:rsidRPr="001B210A">
        <w:t>membersand Professor Sarah Lewis, for her independent review of the statistical analysis plan.</w:t>
      </w:r>
    </w:p>
    <w:p w:rsidR="00340C06" w:rsidRPr="001B210A" w:rsidRDefault="00340C06" w:rsidP="00703C74">
      <w:r w:rsidRPr="001B210A">
        <w:t>NIHR research project managers: Simon Bevan, Alexa Cross, Avril Lloyd and Jennifer Cook.</w:t>
      </w:r>
    </w:p>
    <w:p w:rsidR="00340C06" w:rsidRPr="001B210A" w:rsidRDefault="00340C06" w:rsidP="00703C74">
      <w:r w:rsidRPr="001B210A">
        <w:t xml:space="preserve">The team at the HAL who assisted with intervention delivery, data collection, and data entry. </w:t>
      </w:r>
    </w:p>
    <w:p w:rsidR="00340C06" w:rsidRPr="001B210A" w:rsidRDefault="00340C06" w:rsidP="00703C74">
      <w:r w:rsidRPr="001B210A">
        <w:t>The Barts CTU, in particular Benoit Aigret, Richard Ostler, Samanah Haidary and Alberto Stella, for their support throughout the trial.</w:t>
      </w:r>
    </w:p>
    <w:p w:rsidR="00340C06" w:rsidRPr="001B210A" w:rsidRDefault="00340C06">
      <w:pPr>
        <w:rPr>
          <w:rFonts w:asciiTheme="majorHAnsi" w:eastAsiaTheme="majorEastAsia" w:hAnsiTheme="majorHAnsi" w:cstheme="majorBidi"/>
          <w:color w:val="2E74B5" w:themeColor="accent1" w:themeShade="BF"/>
          <w:sz w:val="32"/>
          <w:szCs w:val="32"/>
        </w:rPr>
      </w:pPr>
      <w:r w:rsidRPr="001B210A">
        <w:br w:type="page"/>
      </w:r>
    </w:p>
    <w:p w:rsidR="00340C06" w:rsidRPr="001B210A" w:rsidRDefault="00340C06" w:rsidP="00703C74">
      <w:pPr>
        <w:pStyle w:val="Heading1"/>
      </w:pPr>
      <w:r w:rsidRPr="001B210A">
        <w:t>References</w:t>
      </w:r>
    </w:p>
    <w:p w:rsidR="00340C06" w:rsidRPr="00340C06" w:rsidRDefault="00340C06" w:rsidP="00703C74">
      <w:pPr>
        <w:pStyle w:val="EndNoteBibliography"/>
        <w:spacing w:after="0"/>
        <w:rPr>
          <w:sz w:val="22"/>
        </w:rPr>
      </w:pPr>
      <w:r w:rsidRPr="00340C06">
        <w:rPr>
          <w:sz w:val="22"/>
        </w:rPr>
        <w:t>1.</w:t>
      </w:r>
      <w:r w:rsidRPr="00340C06">
        <w:rPr>
          <w:sz w:val="22"/>
        </w:rPr>
        <w:tab/>
        <w:t>McNeill A, Brose LS, Calder R, Bauld L, Robson D. Evidence review of e-cigarettes and heated tobacco products 2018 - A report commissioned by Public Health England. London: Public Health England; 2018. Available at: https://assets.publishing.service.gov.uk/government/uploads/system/uploads/attachment_data/file/684963/Evidence_review_of_e-cigarettes_and_heated_tobacco_products_2018.pdf Archived at: http://www.webcitation.org/766YKiEgJ</w:t>
      </w:r>
    </w:p>
    <w:p w:rsidR="00340C06" w:rsidRPr="00340C06" w:rsidRDefault="00340C06" w:rsidP="00703C74">
      <w:pPr>
        <w:pStyle w:val="EndNoteBibliography"/>
        <w:spacing w:after="0"/>
        <w:rPr>
          <w:sz w:val="22"/>
        </w:rPr>
      </w:pPr>
      <w:r w:rsidRPr="00340C06">
        <w:rPr>
          <w:sz w:val="22"/>
        </w:rPr>
        <w:t>2.</w:t>
      </w:r>
      <w:r w:rsidRPr="00340C06">
        <w:rPr>
          <w:sz w:val="22"/>
        </w:rPr>
        <w:tab/>
        <w:t>Newton JN, Dockrell M, Marczylo T. Making sense of the latest evidence on electronic cigarettes. Lancet. 2018;391(10121):639-42.</w:t>
      </w:r>
    </w:p>
    <w:p w:rsidR="00340C06" w:rsidRPr="00340C06" w:rsidRDefault="00340C06" w:rsidP="00703C74">
      <w:pPr>
        <w:pStyle w:val="EndNoteBibliography"/>
        <w:spacing w:after="0"/>
        <w:rPr>
          <w:sz w:val="22"/>
        </w:rPr>
      </w:pPr>
      <w:r w:rsidRPr="00340C06">
        <w:rPr>
          <w:sz w:val="22"/>
        </w:rPr>
        <w:t>3.</w:t>
      </w:r>
      <w:r w:rsidRPr="00340C06">
        <w:rPr>
          <w:sz w:val="22"/>
        </w:rPr>
        <w:tab/>
        <w:t>National Institute for Health and Care Excellence (NICE). Smoking cessation interventions and services: envidence review for advice on e-consumer cigarettes [Final]. 2018 March. Report No.: NICE guideline [NG92]. Available at https://www.nice.org.uk/guidance/ng92/evidence/c-advice-on-ecigarettes-on-general-sale-pdf-4788920848 Archived at http://www.webcitation.org/729wb0utz</w:t>
      </w:r>
    </w:p>
    <w:p w:rsidR="00E51EB1" w:rsidRPr="00340C06" w:rsidRDefault="00340C06" w:rsidP="00703C74">
      <w:pPr>
        <w:pStyle w:val="EndNoteBibliography"/>
        <w:spacing w:after="0"/>
        <w:rPr>
          <w:sz w:val="22"/>
        </w:rPr>
      </w:pPr>
      <w:r w:rsidRPr="00340C06">
        <w:rPr>
          <w:sz w:val="22"/>
        </w:rPr>
        <w:t>4.</w:t>
      </w:r>
      <w:r w:rsidRPr="00340C06">
        <w:rPr>
          <w:sz w:val="22"/>
        </w:rPr>
        <w:tab/>
        <w:t xml:space="preserve">McRobbie H, Hajek P, Smith KM, Sasieni P, Ross L, Croghan E, et al. A randomised controlled trial to examine the efficacy of e-cigarettes compared with nicotine replacement therapy, when used within the UK stop smoking service- Study Protocol. 2015 18 Sept 2015.  Contract No.: 05 Sept. Available at https://njl-admin.nihr.ac.uk/document/download/2007208 Archived at </w:t>
      </w:r>
      <w:hyperlink r:id="rId6" w:history="1">
        <w:r w:rsidR="00E51EB1" w:rsidRPr="00182A13">
          <w:rPr>
            <w:rStyle w:val="Hyperlink"/>
            <w:sz w:val="22"/>
          </w:rPr>
          <w:t>http://www.webcitation.org/72D0uG6lY</w:t>
        </w:r>
      </w:hyperlink>
    </w:p>
    <w:p w:rsidR="00340C06" w:rsidRPr="00340C06" w:rsidRDefault="00340C06" w:rsidP="00703C74">
      <w:pPr>
        <w:pStyle w:val="EndNoteBibliography"/>
        <w:spacing w:after="0"/>
        <w:rPr>
          <w:sz w:val="22"/>
        </w:rPr>
      </w:pPr>
      <w:r w:rsidRPr="00340C06">
        <w:rPr>
          <w:sz w:val="22"/>
        </w:rPr>
        <w:t>5.</w:t>
      </w:r>
      <w:r w:rsidRPr="00340C06">
        <w:rPr>
          <w:sz w:val="22"/>
        </w:rPr>
        <w:tab/>
        <w:t>Hajek P, Phillips-Waller A, Przulj D, Pesola F, Myers Smith K, Bisal N, et al. A Randomized Trial of E-Cigarettes versus Nicotine-Replacement Therapy. The New England journal of medicine. 2019;380(7):629-37.</w:t>
      </w:r>
    </w:p>
    <w:p w:rsidR="001812A6" w:rsidRPr="00340C06" w:rsidRDefault="001812A6" w:rsidP="001812A6">
      <w:pPr>
        <w:pStyle w:val="EndNoteBibliography"/>
        <w:spacing w:after="0"/>
        <w:rPr>
          <w:sz w:val="22"/>
        </w:rPr>
      </w:pPr>
      <w:r>
        <w:rPr>
          <w:sz w:val="22"/>
        </w:rPr>
        <w:t>6.</w:t>
      </w:r>
      <w:r>
        <w:rPr>
          <w:sz w:val="22"/>
        </w:rPr>
        <w:tab/>
      </w:r>
      <w:r w:rsidRPr="00E51EB1">
        <w:rPr>
          <w:sz w:val="22"/>
        </w:rPr>
        <w:t>Hajek P, Phillips-Waller A, Przulj D, Pesola F, Smith KM, Bisal N, et al. E-cigarettes compared with nicotine replacement therapy within the UK Stop Smoking Services: the TEC RCT. Health Technol Assess. 2019;23(43):1-82.</w:t>
      </w:r>
    </w:p>
    <w:p w:rsidR="00340C06" w:rsidRPr="00340C06" w:rsidRDefault="00E51EB1" w:rsidP="00703C74">
      <w:pPr>
        <w:pStyle w:val="EndNoteBibliography"/>
        <w:spacing w:after="0"/>
        <w:rPr>
          <w:sz w:val="22"/>
        </w:rPr>
      </w:pPr>
      <w:r>
        <w:rPr>
          <w:sz w:val="22"/>
        </w:rPr>
        <w:t>7</w:t>
      </w:r>
      <w:r w:rsidR="00340C06" w:rsidRPr="00340C06">
        <w:rPr>
          <w:sz w:val="22"/>
        </w:rPr>
        <w:t>.</w:t>
      </w:r>
      <w:r w:rsidR="00340C06" w:rsidRPr="00340C06">
        <w:rPr>
          <w:sz w:val="22"/>
        </w:rPr>
        <w:tab/>
        <w:t>Curtis L, Burns A. Unit Costs of Health &amp; Social Care 2016. Canterbury: Personal Social Services Research Unit, University of Kent; 2016. Available at: https://www.pssru.ac.uk/pub/uc/uc2016/full.pdf?uc=2016-full Archived at: http://www.webcitation.org/766eDhxAH</w:t>
      </w:r>
    </w:p>
    <w:p w:rsidR="00340C06" w:rsidRPr="00340C06" w:rsidRDefault="00E51EB1" w:rsidP="00703C74">
      <w:pPr>
        <w:pStyle w:val="EndNoteBibliography"/>
        <w:spacing w:after="0"/>
        <w:rPr>
          <w:sz w:val="22"/>
        </w:rPr>
      </w:pPr>
      <w:r>
        <w:rPr>
          <w:sz w:val="22"/>
        </w:rPr>
        <w:t>8</w:t>
      </w:r>
      <w:r w:rsidR="00340C06" w:rsidRPr="00340C06">
        <w:rPr>
          <w:sz w:val="22"/>
        </w:rPr>
        <w:t>.</w:t>
      </w:r>
      <w:r w:rsidR="00340C06" w:rsidRPr="00340C06">
        <w:rPr>
          <w:sz w:val="22"/>
        </w:rPr>
        <w:tab/>
        <w:t>Prescribing &amp; Medicines Team. Prescription Cost Analysis: England 2016. Health and Social Care Information Centre; 2017 30th March. Available at: https://files.digital.nhs.uk/publicationimport/pub23xxx/pub23631/pres-cost-anal-eng-2016-rep.pdf Archived at: http://www.webcitation.org/766gSvNpi</w:t>
      </w:r>
    </w:p>
    <w:p w:rsidR="00340C06" w:rsidRPr="00340C06" w:rsidRDefault="00E51EB1" w:rsidP="00703C74">
      <w:pPr>
        <w:pStyle w:val="EndNoteBibliography"/>
        <w:spacing w:after="0"/>
        <w:rPr>
          <w:sz w:val="22"/>
        </w:rPr>
      </w:pPr>
      <w:r>
        <w:rPr>
          <w:sz w:val="22"/>
        </w:rPr>
        <w:t>9</w:t>
      </w:r>
      <w:r w:rsidR="00340C06" w:rsidRPr="00340C06">
        <w:rPr>
          <w:sz w:val="22"/>
        </w:rPr>
        <w:t>.</w:t>
      </w:r>
      <w:r w:rsidR="00340C06" w:rsidRPr="00340C06">
        <w:rPr>
          <w:sz w:val="22"/>
        </w:rPr>
        <w:tab/>
        <w:t>PD1 reports [Internet]. 2017 [cited Oct 10 2017]. Available at: https://www.nhsbsa.nhs.uk/prescription-data/dispensing-data/information-services-pd1-reports Archived at: http://www.webcitation.org/75q4ZZK7q.</w:t>
      </w:r>
    </w:p>
    <w:p w:rsidR="00340C06" w:rsidRPr="00340C06" w:rsidRDefault="00E51EB1" w:rsidP="00703C74">
      <w:pPr>
        <w:pStyle w:val="EndNoteBibliography"/>
        <w:spacing w:after="0"/>
        <w:rPr>
          <w:sz w:val="22"/>
        </w:rPr>
      </w:pPr>
      <w:r>
        <w:rPr>
          <w:sz w:val="22"/>
        </w:rPr>
        <w:t>10</w:t>
      </w:r>
      <w:r w:rsidR="00340C06" w:rsidRPr="00340C06">
        <w:rPr>
          <w:sz w:val="22"/>
        </w:rPr>
        <w:t>.</w:t>
      </w:r>
      <w:r w:rsidR="00340C06" w:rsidRPr="00340C06">
        <w:rPr>
          <w:sz w:val="22"/>
        </w:rPr>
        <w:tab/>
        <w:t>National Institute for Health and Care Excellence (NICE). Putting NICE guidance into practice - Resource impact report: Stop smoking interventions and services (NG92). 2018 March. Available at: https://www.nice.org.uk/guidance/ng92/resources/resource-impact-report-pdf-4788823645 Archived at: http://www.webcitation.org/766hqbhTb</w:t>
      </w:r>
    </w:p>
    <w:p w:rsidR="00340C06" w:rsidRPr="00340C06" w:rsidRDefault="00340C06" w:rsidP="00703C74">
      <w:pPr>
        <w:pStyle w:val="EndNoteBibliography"/>
        <w:spacing w:after="0"/>
        <w:rPr>
          <w:sz w:val="22"/>
        </w:rPr>
      </w:pPr>
      <w:r w:rsidRPr="00340C06">
        <w:rPr>
          <w:sz w:val="22"/>
        </w:rPr>
        <w:t>1</w:t>
      </w:r>
      <w:r w:rsidR="00E51EB1">
        <w:rPr>
          <w:sz w:val="22"/>
        </w:rPr>
        <w:t>1</w:t>
      </w:r>
      <w:r w:rsidRPr="00340C06">
        <w:rPr>
          <w:sz w:val="22"/>
        </w:rPr>
        <w:t>.</w:t>
      </w:r>
      <w:r w:rsidRPr="00340C06">
        <w:rPr>
          <w:sz w:val="22"/>
        </w:rPr>
        <w:tab/>
        <w:t>Wu Q, Parrott S, Godfrey C, Gilbert H, Nazareth I, Leurent B, et al. Cost-effectiveness of computer-tailored smoking cessation advice in primary care: a randomized trial (ESCAPE). Nicotine &amp; tobacco research : official journal of the Society for Research on Nicotine and Tobacco. 2014;16(3):270-8.</w:t>
      </w:r>
    </w:p>
    <w:p w:rsidR="00340C06" w:rsidRPr="00340C06" w:rsidRDefault="00340C06" w:rsidP="00703C74">
      <w:pPr>
        <w:pStyle w:val="EndNoteBibliography"/>
        <w:spacing w:after="0"/>
        <w:rPr>
          <w:sz w:val="22"/>
        </w:rPr>
      </w:pPr>
      <w:r w:rsidRPr="00340C06">
        <w:rPr>
          <w:sz w:val="22"/>
        </w:rPr>
        <w:t>1</w:t>
      </w:r>
      <w:r w:rsidR="00E51EB1">
        <w:rPr>
          <w:sz w:val="22"/>
        </w:rPr>
        <w:t>2</w:t>
      </w:r>
      <w:r w:rsidRPr="00340C06">
        <w:rPr>
          <w:sz w:val="22"/>
        </w:rPr>
        <w:t>.</w:t>
      </w:r>
      <w:r w:rsidRPr="00340C06">
        <w:rPr>
          <w:sz w:val="22"/>
        </w:rPr>
        <w:tab/>
        <w:t>Department of Health. Reference costs 2015-16. 2016. Available at: https://www.gov.uk/government/publications/nhs-reference-costs-2015-to-2016 Archived at: http://www.webcitation.org/766iw6DiA</w:t>
      </w:r>
    </w:p>
    <w:p w:rsidR="00340C06" w:rsidRPr="00340C06" w:rsidRDefault="00340C06" w:rsidP="00703C74">
      <w:pPr>
        <w:pStyle w:val="EndNoteBibliography"/>
        <w:spacing w:after="0"/>
        <w:rPr>
          <w:sz w:val="22"/>
        </w:rPr>
      </w:pPr>
      <w:r w:rsidRPr="00340C06">
        <w:rPr>
          <w:sz w:val="22"/>
        </w:rPr>
        <w:t>1</w:t>
      </w:r>
      <w:r w:rsidR="00E51EB1">
        <w:rPr>
          <w:sz w:val="22"/>
        </w:rPr>
        <w:t>3</w:t>
      </w:r>
      <w:r w:rsidRPr="00340C06">
        <w:rPr>
          <w:sz w:val="22"/>
        </w:rPr>
        <w:t>.</w:t>
      </w:r>
      <w:r w:rsidRPr="00340C06">
        <w:rPr>
          <w:sz w:val="22"/>
        </w:rPr>
        <w:tab/>
        <w:t>Curtis L, Burns A. Unit Costs of Health and Social Care 2015. Kent: Personal Social Services Research Unit, The University of Kent; 2015. Available at: https://www.pssru.ac.uk/pub/uc/uc2015/full.pdf Archived at: http://www.webcitation.org/6zJ4r87qP</w:t>
      </w:r>
    </w:p>
    <w:p w:rsidR="00340C06" w:rsidRPr="00340C06" w:rsidRDefault="00340C06" w:rsidP="00703C74">
      <w:pPr>
        <w:pStyle w:val="EndNoteBibliography"/>
        <w:spacing w:after="0"/>
        <w:rPr>
          <w:sz w:val="22"/>
        </w:rPr>
      </w:pPr>
      <w:r w:rsidRPr="00340C06">
        <w:rPr>
          <w:sz w:val="22"/>
        </w:rPr>
        <w:t>1</w:t>
      </w:r>
      <w:r w:rsidR="00E51EB1">
        <w:rPr>
          <w:sz w:val="22"/>
        </w:rPr>
        <w:t>4</w:t>
      </w:r>
      <w:r w:rsidRPr="00340C06">
        <w:rPr>
          <w:sz w:val="22"/>
        </w:rPr>
        <w:t>.</w:t>
      </w:r>
      <w:r w:rsidRPr="00340C06">
        <w:rPr>
          <w:sz w:val="22"/>
        </w:rPr>
        <w:tab/>
        <w:t>Department of Health. Charges for NHS prescriptions, dental charges, elastic stockings and tights, wigs and fabric supports and optical voucher values:Written statement - HLWS346 2015 [cited 2018 Feb 1].  http://www.parliament.uk/business/publications/written-questions-answers-statements/written-statement/Lords/2015-03-11/HLWS346/ Archived at: http://www.webcitation.org/6wu8wxGSR.</w:t>
      </w:r>
    </w:p>
    <w:p w:rsidR="00340C06" w:rsidRPr="00340C06" w:rsidRDefault="00340C06" w:rsidP="00703C74">
      <w:pPr>
        <w:pStyle w:val="EndNoteBibliography"/>
        <w:spacing w:after="0"/>
        <w:rPr>
          <w:sz w:val="22"/>
        </w:rPr>
      </w:pPr>
      <w:r w:rsidRPr="00340C06">
        <w:rPr>
          <w:sz w:val="22"/>
        </w:rPr>
        <w:t>1</w:t>
      </w:r>
      <w:r w:rsidR="00E51EB1">
        <w:rPr>
          <w:sz w:val="22"/>
        </w:rPr>
        <w:t>5</w:t>
      </w:r>
      <w:r w:rsidRPr="00340C06">
        <w:rPr>
          <w:sz w:val="22"/>
        </w:rPr>
        <w:t>.</w:t>
      </w:r>
      <w:r w:rsidRPr="00340C06">
        <w:rPr>
          <w:sz w:val="22"/>
        </w:rPr>
        <w:tab/>
        <w:t>The EuroQol Group. EQ-5D-5L User Guide: Basic information on how to use the EQ-5D-5L instrument (version 2.1)2015 09/10/2018. Available from: Available at: https://euroqol.org/wp-content/uploads/2016/09/EQ-5D-5L_UserGuide_2015.pdf Archived at: http://www.webcitation.org/6xHG7nFyg.</w:t>
      </w:r>
    </w:p>
    <w:p w:rsidR="00340C06" w:rsidRPr="00340C06" w:rsidRDefault="00340C06" w:rsidP="00703C74">
      <w:pPr>
        <w:pStyle w:val="EndNoteBibliography"/>
        <w:spacing w:after="0"/>
        <w:rPr>
          <w:sz w:val="22"/>
        </w:rPr>
      </w:pPr>
      <w:r w:rsidRPr="00340C06">
        <w:rPr>
          <w:sz w:val="22"/>
        </w:rPr>
        <w:t>1</w:t>
      </w:r>
      <w:r w:rsidR="00E51EB1">
        <w:rPr>
          <w:sz w:val="22"/>
        </w:rPr>
        <w:t>6</w:t>
      </w:r>
      <w:r w:rsidRPr="00340C06">
        <w:rPr>
          <w:sz w:val="22"/>
        </w:rPr>
        <w:t>.</w:t>
      </w:r>
      <w:r w:rsidRPr="00340C06">
        <w:rPr>
          <w:sz w:val="22"/>
        </w:rPr>
        <w:tab/>
        <w:t>National Institute for Health and Care Excellence (NICE). Position statement on use of the EQ-5D-5L valuation set [online PDF]. 2017 [updated August 2017; cited 2017 29th September].  Available at: https://www.nice.org.uk/Media/Default/About/what-we-do/NICE-guidance/NICE-technology-appraisal-guidance/eq5d5l_nice_position_statement.pdf Archived at: http://www.webcitation.org/732OMnjTw.</w:t>
      </w:r>
    </w:p>
    <w:p w:rsidR="00340C06" w:rsidRPr="00340C06" w:rsidRDefault="00340C06" w:rsidP="00703C74">
      <w:pPr>
        <w:pStyle w:val="EndNoteBibliography"/>
        <w:spacing w:after="0"/>
        <w:rPr>
          <w:sz w:val="22"/>
        </w:rPr>
      </w:pPr>
      <w:r w:rsidRPr="00340C06">
        <w:rPr>
          <w:sz w:val="22"/>
          <w:lang w:val="de-DE"/>
        </w:rPr>
        <w:t>1</w:t>
      </w:r>
      <w:r w:rsidR="00E51EB1">
        <w:rPr>
          <w:sz w:val="22"/>
          <w:lang w:val="de-DE"/>
        </w:rPr>
        <w:t>7</w:t>
      </w:r>
      <w:r w:rsidRPr="00340C06">
        <w:rPr>
          <w:sz w:val="22"/>
          <w:lang w:val="de-DE"/>
        </w:rPr>
        <w:t>.</w:t>
      </w:r>
      <w:r w:rsidRPr="00340C06">
        <w:rPr>
          <w:sz w:val="22"/>
          <w:lang w:val="de-DE"/>
        </w:rPr>
        <w:tab/>
        <w:t xml:space="preserve">van Hout B, Janssen MF, Feng YS, Kohlmann T, Busschbach J, Golicki D, et al. </w:t>
      </w:r>
      <w:r w:rsidRPr="00340C06">
        <w:rPr>
          <w:sz w:val="22"/>
        </w:rPr>
        <w:t>Interim scoring for the EQ-5D-5L: mapping the EQ-5D-5L to EQ-5D-3L value sets. Value in health : the journal of the International Society for Pharmacoeconomics and Outcomes Research. 2012;15(5):708-15.</w:t>
      </w:r>
    </w:p>
    <w:p w:rsidR="00340C06" w:rsidRPr="00340C06" w:rsidRDefault="00340C06" w:rsidP="00703C74">
      <w:pPr>
        <w:pStyle w:val="EndNoteBibliography"/>
        <w:spacing w:after="0"/>
        <w:rPr>
          <w:sz w:val="22"/>
        </w:rPr>
      </w:pPr>
      <w:r w:rsidRPr="00340C06">
        <w:rPr>
          <w:sz w:val="22"/>
        </w:rPr>
        <w:t>1</w:t>
      </w:r>
      <w:r w:rsidR="00E51EB1">
        <w:rPr>
          <w:sz w:val="22"/>
        </w:rPr>
        <w:t>8</w:t>
      </w:r>
      <w:r w:rsidRPr="00340C06">
        <w:rPr>
          <w:sz w:val="22"/>
        </w:rPr>
        <w:t>.</w:t>
      </w:r>
      <w:r w:rsidRPr="00340C06">
        <w:rPr>
          <w:sz w:val="22"/>
        </w:rPr>
        <w:tab/>
        <w:t>Richardson G, Manca A. Calculation of quality adjusted life years in the published literature: a review of methodology and transparency. Health Econ. 2004;13(12):1203-10.</w:t>
      </w:r>
    </w:p>
    <w:p w:rsidR="00340C06" w:rsidRPr="00340C06" w:rsidRDefault="00340C06" w:rsidP="00703C74">
      <w:pPr>
        <w:pStyle w:val="EndNoteBibliography"/>
        <w:spacing w:after="0"/>
        <w:rPr>
          <w:sz w:val="22"/>
        </w:rPr>
      </w:pPr>
      <w:r w:rsidRPr="00340C06">
        <w:rPr>
          <w:sz w:val="22"/>
        </w:rPr>
        <w:t>1</w:t>
      </w:r>
      <w:r w:rsidR="00E51EB1">
        <w:rPr>
          <w:sz w:val="22"/>
        </w:rPr>
        <w:t>9</w:t>
      </w:r>
      <w:r w:rsidRPr="00340C06">
        <w:rPr>
          <w:sz w:val="22"/>
        </w:rPr>
        <w:t>.</w:t>
      </w:r>
      <w:r w:rsidRPr="00340C06">
        <w:rPr>
          <w:sz w:val="22"/>
        </w:rPr>
        <w:tab/>
        <w:t>Rubin DB. Statistical Matching Using File Concatenation with Adjusted Weights and Multiple Imputations. Journal of Business &amp; Economic Statistics. 1986;4(1):87-94.</w:t>
      </w:r>
    </w:p>
    <w:p w:rsidR="00340C06" w:rsidRPr="00340C06" w:rsidRDefault="00E51EB1" w:rsidP="00703C74">
      <w:pPr>
        <w:pStyle w:val="EndNoteBibliography"/>
        <w:spacing w:after="0"/>
        <w:rPr>
          <w:sz w:val="22"/>
        </w:rPr>
      </w:pPr>
      <w:r>
        <w:rPr>
          <w:sz w:val="22"/>
        </w:rPr>
        <w:t>20</w:t>
      </w:r>
      <w:r w:rsidR="00340C06" w:rsidRPr="00340C06">
        <w:rPr>
          <w:sz w:val="22"/>
        </w:rPr>
        <w:t>.</w:t>
      </w:r>
      <w:r w:rsidR="00340C06" w:rsidRPr="00340C06">
        <w:rPr>
          <w:sz w:val="22"/>
        </w:rPr>
        <w:tab/>
        <w:t>White IR, Royston P, Wood AM. Multiple imputation using chained equations: Issues and guidance for practice. Statistics in medicine. 2011;30(4):377-99.</w:t>
      </w:r>
    </w:p>
    <w:p w:rsidR="00340C06" w:rsidRPr="00340C06" w:rsidRDefault="00340C06" w:rsidP="00703C74">
      <w:pPr>
        <w:pStyle w:val="EndNoteBibliography"/>
        <w:spacing w:after="0"/>
        <w:rPr>
          <w:sz w:val="22"/>
        </w:rPr>
      </w:pPr>
      <w:r w:rsidRPr="00340C06">
        <w:rPr>
          <w:sz w:val="22"/>
        </w:rPr>
        <w:t>2</w:t>
      </w:r>
      <w:r w:rsidR="00E51EB1">
        <w:rPr>
          <w:sz w:val="22"/>
        </w:rPr>
        <w:t>1</w:t>
      </w:r>
      <w:r w:rsidRPr="00340C06">
        <w:rPr>
          <w:sz w:val="22"/>
        </w:rPr>
        <w:t>.</w:t>
      </w:r>
      <w:r w:rsidRPr="00340C06">
        <w:rPr>
          <w:sz w:val="22"/>
        </w:rPr>
        <w:tab/>
        <w:t>McRobbie H, Hajek P, Phillips-Waller A, Kaimi I, Pesola F, Sasieni P. Statistical Analysis Plan - A randomised controlled trial to examine the efficacy of e-cigarettes compared with nicotine replacement therapy, when used within the UK stop smoking service2018 07/07/2019 [cited 2019 7th Mar]. Available from: Available at: https://njl-admin.nihr.ac.uk/document/download/2021344 Archived at: http://www.webcitation.org/76hKPJul8.</w:t>
      </w:r>
    </w:p>
    <w:p w:rsidR="00340C06" w:rsidRPr="00340C06" w:rsidRDefault="00340C06" w:rsidP="00703C74">
      <w:pPr>
        <w:pStyle w:val="EndNoteBibliography"/>
        <w:spacing w:after="0"/>
        <w:rPr>
          <w:sz w:val="22"/>
        </w:rPr>
      </w:pPr>
      <w:r w:rsidRPr="00340C06">
        <w:rPr>
          <w:sz w:val="22"/>
        </w:rPr>
        <w:t>2</w:t>
      </w:r>
      <w:r w:rsidR="00E51EB1">
        <w:rPr>
          <w:sz w:val="22"/>
        </w:rPr>
        <w:t>2</w:t>
      </w:r>
      <w:r w:rsidRPr="00340C06">
        <w:rPr>
          <w:sz w:val="22"/>
        </w:rPr>
        <w:t>.</w:t>
      </w:r>
      <w:r w:rsidRPr="00340C06">
        <w:rPr>
          <w:sz w:val="22"/>
        </w:rPr>
        <w:tab/>
        <w:t>National Institute for Health and Care Excellence (NICE). Guide to the methods of technology appraisal 2013. 2013. Report No.: PMG9. Available from: https://www.nice.org.uk/process/pmg9/chapter/foreword Archived at http://www.webcitation.org/6nPNLLCaz</w:t>
      </w:r>
    </w:p>
    <w:p w:rsidR="00340C06" w:rsidRPr="00340C06" w:rsidRDefault="00340C06" w:rsidP="00703C74">
      <w:pPr>
        <w:pStyle w:val="EndNoteBibliography"/>
        <w:spacing w:after="0"/>
        <w:rPr>
          <w:sz w:val="22"/>
        </w:rPr>
      </w:pPr>
      <w:r w:rsidRPr="00340C06">
        <w:rPr>
          <w:sz w:val="22"/>
        </w:rPr>
        <w:t>2</w:t>
      </w:r>
      <w:r w:rsidR="00E51EB1">
        <w:rPr>
          <w:sz w:val="22"/>
        </w:rPr>
        <w:t>3</w:t>
      </w:r>
      <w:r w:rsidRPr="00340C06">
        <w:rPr>
          <w:sz w:val="22"/>
        </w:rPr>
        <w:t>.</w:t>
      </w:r>
      <w:r w:rsidRPr="00340C06">
        <w:rPr>
          <w:sz w:val="22"/>
        </w:rPr>
        <w:tab/>
        <w:t>Severens JL, De Boo TM, Konst EM. Uncertainty of incremental cost-effectiveness ratios. A comparison of Fieller and bootstrap confidence intervals. International journal of technology assessment in health care. 1999;15(3):608-14.</w:t>
      </w:r>
    </w:p>
    <w:p w:rsidR="00340C06" w:rsidRPr="00340C06" w:rsidRDefault="00340C06" w:rsidP="00703C74">
      <w:pPr>
        <w:pStyle w:val="EndNoteBibliography"/>
        <w:spacing w:after="0"/>
        <w:rPr>
          <w:sz w:val="22"/>
        </w:rPr>
      </w:pPr>
      <w:r w:rsidRPr="00340C06">
        <w:rPr>
          <w:sz w:val="22"/>
        </w:rPr>
        <w:t>2</w:t>
      </w:r>
      <w:r w:rsidR="00E51EB1">
        <w:rPr>
          <w:sz w:val="22"/>
        </w:rPr>
        <w:t>4</w:t>
      </w:r>
      <w:r w:rsidRPr="00340C06">
        <w:rPr>
          <w:sz w:val="22"/>
        </w:rPr>
        <w:t>.</w:t>
      </w:r>
      <w:r w:rsidRPr="00340C06">
        <w:rPr>
          <w:sz w:val="22"/>
        </w:rPr>
        <w:tab/>
        <w:t>Fenwick E, Claxton K, Sculpher M. Representing uncertainty: the role of cost-effectiveness acceptability curves. Health Econ. 2001;10(8):779-87.</w:t>
      </w:r>
    </w:p>
    <w:p w:rsidR="00340C06" w:rsidRPr="00340C06" w:rsidRDefault="00340C06" w:rsidP="00703C74">
      <w:pPr>
        <w:pStyle w:val="EndNoteBibliography"/>
        <w:spacing w:after="0"/>
        <w:rPr>
          <w:sz w:val="22"/>
        </w:rPr>
      </w:pPr>
      <w:r w:rsidRPr="00340C06">
        <w:rPr>
          <w:sz w:val="22"/>
        </w:rPr>
        <w:t>2</w:t>
      </w:r>
      <w:r w:rsidR="00E51EB1">
        <w:rPr>
          <w:sz w:val="22"/>
        </w:rPr>
        <w:t>5</w:t>
      </w:r>
      <w:r w:rsidRPr="00340C06">
        <w:rPr>
          <w:sz w:val="22"/>
        </w:rPr>
        <w:t>.</w:t>
      </w:r>
      <w:r w:rsidRPr="00340C06">
        <w:rPr>
          <w:sz w:val="22"/>
        </w:rPr>
        <w:tab/>
        <w:t>Hughes JR, Peters EN, Naud S. Relapse to smoking after 1 year of abstinence: a meta-analysis. Addictive behaviors. 2008;33(12):1516-20.</w:t>
      </w:r>
    </w:p>
    <w:p w:rsidR="00340C06" w:rsidRPr="00340C06" w:rsidRDefault="00340C06" w:rsidP="00703C74">
      <w:pPr>
        <w:pStyle w:val="EndNoteBibliography"/>
        <w:spacing w:after="0"/>
        <w:rPr>
          <w:sz w:val="22"/>
        </w:rPr>
      </w:pPr>
      <w:r w:rsidRPr="00340C06">
        <w:rPr>
          <w:sz w:val="22"/>
        </w:rPr>
        <w:t>2</w:t>
      </w:r>
      <w:r w:rsidR="00E51EB1">
        <w:rPr>
          <w:sz w:val="22"/>
        </w:rPr>
        <w:t>6</w:t>
      </w:r>
      <w:r w:rsidRPr="00340C06">
        <w:rPr>
          <w:sz w:val="22"/>
        </w:rPr>
        <w:t>.</w:t>
      </w:r>
      <w:r w:rsidRPr="00340C06">
        <w:rPr>
          <w:sz w:val="22"/>
        </w:rPr>
        <w:tab/>
        <w:t>US Department of Health and Human Services. The Health Benefits of Smoking Cessation. A Report of the US Surgeon General. MD: Office on Smoking &amp; Health; 1990. Available at: https://profiles.nlm.nih.gov/ps/access/NNBBCT.pdf Archived at: http://www.webcitation.org/64prUFqWD</w:t>
      </w:r>
    </w:p>
    <w:p w:rsidR="00340C06" w:rsidRPr="00340C06" w:rsidRDefault="00340C06" w:rsidP="00703C74">
      <w:pPr>
        <w:pStyle w:val="EndNoteBibliography"/>
        <w:spacing w:after="0"/>
        <w:rPr>
          <w:sz w:val="22"/>
        </w:rPr>
      </w:pPr>
      <w:r w:rsidRPr="00340C06">
        <w:rPr>
          <w:sz w:val="22"/>
        </w:rPr>
        <w:t>2</w:t>
      </w:r>
      <w:r w:rsidR="00E51EB1">
        <w:rPr>
          <w:sz w:val="22"/>
        </w:rPr>
        <w:t>7</w:t>
      </w:r>
      <w:r w:rsidRPr="00340C06">
        <w:rPr>
          <w:sz w:val="22"/>
        </w:rPr>
        <w:t>.</w:t>
      </w:r>
      <w:r w:rsidRPr="00340C06">
        <w:rPr>
          <w:sz w:val="22"/>
        </w:rPr>
        <w:tab/>
        <w:t>Hawkins J, Hollingworth W, Campbell R. Long-term smoking relapse: a study using the british household panel survey. Nicotine &amp; tobacco research : official journal of the Society for Research on Nicotine and Tobacco. 2010;12(12):1228-35.</w:t>
      </w:r>
    </w:p>
    <w:p w:rsidR="00340C06" w:rsidRPr="00340C06" w:rsidRDefault="00340C06" w:rsidP="00703C74">
      <w:pPr>
        <w:pStyle w:val="EndNoteBibliography"/>
        <w:spacing w:after="0"/>
        <w:rPr>
          <w:sz w:val="22"/>
        </w:rPr>
      </w:pPr>
      <w:r w:rsidRPr="00340C06">
        <w:rPr>
          <w:sz w:val="22"/>
        </w:rPr>
        <w:t>2</w:t>
      </w:r>
      <w:r w:rsidR="00E51EB1">
        <w:rPr>
          <w:sz w:val="22"/>
        </w:rPr>
        <w:t>8</w:t>
      </w:r>
      <w:r w:rsidRPr="00340C06">
        <w:rPr>
          <w:sz w:val="22"/>
        </w:rPr>
        <w:t>.</w:t>
      </w:r>
      <w:r w:rsidRPr="00340C06">
        <w:rPr>
          <w:sz w:val="22"/>
        </w:rPr>
        <w:tab/>
        <w:t xml:space="preserve">Office for National Statistics. Deaths registered in England and Wales: 2016. 2017. </w:t>
      </w:r>
      <w:r w:rsidRPr="00340C06">
        <w:rPr>
          <w:sz w:val="22"/>
          <w:u w:val="single"/>
        </w:rPr>
        <w:t xml:space="preserve">Available at: </w:t>
      </w:r>
      <w:r w:rsidRPr="00340C06">
        <w:rPr>
          <w:sz w:val="22"/>
        </w:rPr>
        <w:t xml:space="preserve">https://www.ons.gov.uk/peoplepopulationandcommunity/birthsdeathsandmarriages/deaths/bulletins/deathsregistrationsummarytables/2016 </w:t>
      </w:r>
      <w:r w:rsidRPr="00340C06">
        <w:rPr>
          <w:sz w:val="22"/>
          <w:u w:val="single"/>
        </w:rPr>
        <w:t xml:space="preserve">Archived at: </w:t>
      </w:r>
      <w:r w:rsidRPr="00340C06">
        <w:rPr>
          <w:sz w:val="22"/>
        </w:rPr>
        <w:t>http://www.webcitation.org/766mIDVi3</w:t>
      </w:r>
    </w:p>
    <w:p w:rsidR="00340C06" w:rsidRPr="00340C06" w:rsidRDefault="00340C06" w:rsidP="00703C74">
      <w:pPr>
        <w:pStyle w:val="EndNoteBibliography"/>
        <w:spacing w:after="0"/>
        <w:rPr>
          <w:sz w:val="22"/>
        </w:rPr>
      </w:pPr>
      <w:r w:rsidRPr="00340C06">
        <w:rPr>
          <w:sz w:val="22"/>
        </w:rPr>
        <w:t>2</w:t>
      </w:r>
      <w:r w:rsidR="00E51EB1">
        <w:rPr>
          <w:sz w:val="22"/>
        </w:rPr>
        <w:t>9</w:t>
      </w:r>
      <w:r w:rsidRPr="00340C06">
        <w:rPr>
          <w:sz w:val="22"/>
        </w:rPr>
        <w:t>.</w:t>
      </w:r>
      <w:r w:rsidRPr="00340C06">
        <w:rPr>
          <w:sz w:val="22"/>
        </w:rPr>
        <w:tab/>
        <w:t>Doll R, Peto R, Boreham J, Sutherland I. Mortality in relation to smoking: 50 years' observations on male British doctors. BMJ. 2004;328(7455):1519.</w:t>
      </w:r>
    </w:p>
    <w:p w:rsidR="00340C06" w:rsidRPr="00340C06" w:rsidRDefault="00E51EB1" w:rsidP="00703C74">
      <w:pPr>
        <w:pStyle w:val="EndNoteBibliography"/>
        <w:spacing w:after="0"/>
        <w:rPr>
          <w:sz w:val="22"/>
        </w:rPr>
      </w:pPr>
      <w:r>
        <w:rPr>
          <w:sz w:val="22"/>
        </w:rPr>
        <w:t>30</w:t>
      </w:r>
      <w:r w:rsidR="00340C06" w:rsidRPr="00340C06">
        <w:rPr>
          <w:sz w:val="22"/>
        </w:rPr>
        <w:t>.</w:t>
      </w:r>
      <w:r w:rsidR="00340C06" w:rsidRPr="00340C06">
        <w:rPr>
          <w:sz w:val="22"/>
        </w:rPr>
        <w:tab/>
        <w:t>Vogl M, Wenig CM, Leidl R, Pokhrel S. Smoking and health-related quality of life in English general population: implications for economic evaluations. BMC public health. 2012;12(1):203.</w:t>
      </w:r>
    </w:p>
    <w:p w:rsidR="00340C06" w:rsidRPr="00340C06" w:rsidRDefault="00340C06" w:rsidP="00703C74">
      <w:pPr>
        <w:pStyle w:val="EndNoteBibliography"/>
        <w:spacing w:after="0"/>
        <w:rPr>
          <w:sz w:val="22"/>
        </w:rPr>
      </w:pPr>
      <w:r w:rsidRPr="00340C06">
        <w:rPr>
          <w:sz w:val="22"/>
        </w:rPr>
        <w:t>3</w:t>
      </w:r>
      <w:r w:rsidR="00E51EB1">
        <w:rPr>
          <w:sz w:val="22"/>
        </w:rPr>
        <w:t>1</w:t>
      </w:r>
      <w:r w:rsidRPr="00340C06">
        <w:rPr>
          <w:sz w:val="22"/>
        </w:rPr>
        <w:t>.</w:t>
      </w:r>
      <w:r w:rsidRPr="00340C06">
        <w:rPr>
          <w:sz w:val="22"/>
        </w:rPr>
        <w:tab/>
        <w:t>Public Health England. Cost of smoking to the NHS in England: 2015 2017 [updated July 18.  Available from https://www.gov.uk/government/publications/cost-of-smoking-to-the-nhs-in-england-2015/cost-of-smoking-to-the-nhs-in-england-2015 Archived at http://www.webcitation.org/6xOy5Gamo.</w:t>
      </w:r>
    </w:p>
    <w:p w:rsidR="00340C06" w:rsidRPr="00340C06" w:rsidRDefault="00340C06" w:rsidP="00703C74">
      <w:pPr>
        <w:pStyle w:val="EndNoteBibliography"/>
        <w:spacing w:after="0"/>
        <w:rPr>
          <w:sz w:val="22"/>
        </w:rPr>
      </w:pPr>
      <w:r w:rsidRPr="00340C06">
        <w:rPr>
          <w:sz w:val="22"/>
        </w:rPr>
        <w:t>3</w:t>
      </w:r>
      <w:r w:rsidR="00E51EB1">
        <w:rPr>
          <w:sz w:val="22"/>
        </w:rPr>
        <w:t>2</w:t>
      </w:r>
      <w:r w:rsidRPr="00340C06">
        <w:rPr>
          <w:sz w:val="22"/>
        </w:rPr>
        <w:t>.</w:t>
      </w:r>
      <w:r w:rsidRPr="00340C06">
        <w:rPr>
          <w:sz w:val="22"/>
        </w:rPr>
        <w:tab/>
        <w:t>Code to Group: HRG4+ 2015/16 Reference Costs Grouper [Internet]. 2016. Available at: https://digital.nhs.uk/services/national-casemix-office/downloads-groupers-and-tools/costing-hrg4-2017-18-reference-costs-grouper Archived at: http://www.webcitation.org/766mj6Wdj.</w:t>
      </w:r>
    </w:p>
    <w:p w:rsidR="00340C06" w:rsidRPr="00340C06" w:rsidRDefault="00340C06" w:rsidP="00703C74">
      <w:pPr>
        <w:pStyle w:val="EndNoteBibliography"/>
        <w:spacing w:after="0"/>
        <w:rPr>
          <w:sz w:val="22"/>
        </w:rPr>
      </w:pPr>
      <w:r w:rsidRPr="00340C06">
        <w:rPr>
          <w:sz w:val="22"/>
        </w:rPr>
        <w:t>3</w:t>
      </w:r>
      <w:r w:rsidR="00E51EB1">
        <w:rPr>
          <w:sz w:val="22"/>
        </w:rPr>
        <w:t>3</w:t>
      </w:r>
      <w:r w:rsidRPr="00340C06">
        <w:rPr>
          <w:sz w:val="22"/>
        </w:rPr>
        <w:t>.</w:t>
      </w:r>
      <w:r w:rsidRPr="00340C06">
        <w:rPr>
          <w:sz w:val="22"/>
        </w:rPr>
        <w:tab/>
        <w:t>NHS Digital. Hospital Admitted Patient Care Activity, 2016-17. 2017. Available at: https://digital.nhs.uk/data-and-information/publications/statistical/hospital-admitted-patient-care-activity/2016-17 Archived at: http://www.webcitation.org/766lvZeh3</w:t>
      </w:r>
    </w:p>
    <w:p w:rsidR="00340C06" w:rsidRPr="00340C06" w:rsidRDefault="00340C06" w:rsidP="00703C74">
      <w:pPr>
        <w:pStyle w:val="EndNoteBibliography"/>
        <w:spacing w:after="0"/>
        <w:rPr>
          <w:sz w:val="22"/>
        </w:rPr>
      </w:pPr>
      <w:r w:rsidRPr="00340C06">
        <w:rPr>
          <w:sz w:val="22"/>
        </w:rPr>
        <w:t>3</w:t>
      </w:r>
      <w:r w:rsidR="00E51EB1">
        <w:rPr>
          <w:sz w:val="22"/>
        </w:rPr>
        <w:t>4</w:t>
      </w:r>
      <w:r w:rsidRPr="00340C06">
        <w:rPr>
          <w:sz w:val="22"/>
        </w:rPr>
        <w:t>.</w:t>
      </w:r>
      <w:r w:rsidRPr="00340C06">
        <w:rPr>
          <w:sz w:val="22"/>
        </w:rPr>
        <w:tab/>
        <w:t>World Health Organization. Economics of tobacco toolkit: assessment of the economic costs of smoking. Geneva: World Health Organization; 2011. Available at: https://apps.who.int/iris/bitstream/handle/10665/44596/9789241501576_eng.pdf?sequence=1&amp;isAllowed=y Archived at: http://www.webcitation.org/766nUVTzo</w:t>
      </w:r>
    </w:p>
    <w:p w:rsidR="00340C06" w:rsidRPr="00340C06" w:rsidRDefault="00340C06" w:rsidP="00703C74">
      <w:pPr>
        <w:pStyle w:val="EndNoteBibliography"/>
        <w:spacing w:after="0"/>
        <w:rPr>
          <w:sz w:val="22"/>
        </w:rPr>
      </w:pPr>
      <w:r w:rsidRPr="00340C06">
        <w:rPr>
          <w:sz w:val="22"/>
        </w:rPr>
        <w:t>3</w:t>
      </w:r>
      <w:r w:rsidR="00E51EB1">
        <w:rPr>
          <w:sz w:val="22"/>
        </w:rPr>
        <w:t>5</w:t>
      </w:r>
      <w:r w:rsidRPr="00340C06">
        <w:rPr>
          <w:sz w:val="22"/>
        </w:rPr>
        <w:t>.</w:t>
      </w:r>
      <w:r w:rsidRPr="00340C06">
        <w:rPr>
          <w:sz w:val="22"/>
        </w:rPr>
        <w:tab/>
        <w:t>Baker CL, Pietri G. A cost-effectiveness analysis of varenicline for smoking cessation using data from the EAGLES trial. Clinicoecon Outcomes Res. 2018;10:67-74.</w:t>
      </w:r>
    </w:p>
    <w:p w:rsidR="00340C06" w:rsidRPr="00340C06" w:rsidRDefault="00340C06" w:rsidP="00703C74">
      <w:pPr>
        <w:pStyle w:val="EndNoteBibliography"/>
        <w:spacing w:after="0"/>
        <w:rPr>
          <w:sz w:val="22"/>
        </w:rPr>
      </w:pPr>
      <w:r w:rsidRPr="005E6D00">
        <w:rPr>
          <w:sz w:val="22"/>
        </w:rPr>
        <w:t>3</w:t>
      </w:r>
      <w:r w:rsidR="00E51EB1" w:rsidRPr="005E6D00">
        <w:rPr>
          <w:sz w:val="22"/>
        </w:rPr>
        <w:t>6</w:t>
      </w:r>
      <w:r w:rsidRPr="005E6D00">
        <w:rPr>
          <w:sz w:val="22"/>
        </w:rPr>
        <w:t>.</w:t>
      </w:r>
      <w:r w:rsidRPr="005E6D00">
        <w:rPr>
          <w:sz w:val="22"/>
        </w:rPr>
        <w:tab/>
        <w:t xml:space="preserve">Hoogendoorn M, Welsing P, Rutten-van Molken MP. </w:t>
      </w:r>
      <w:r w:rsidRPr="00340C06">
        <w:rPr>
          <w:sz w:val="22"/>
        </w:rPr>
        <w:t>Cost-effectiveness of varenicline compared with bupropion, NRT, and nortriptyline for smoking cessation in the Netherlands. Current medical research and opinion. 2008;24(1):51-61.</w:t>
      </w:r>
    </w:p>
    <w:p w:rsidR="00340C06" w:rsidRPr="00340C06" w:rsidRDefault="00340C06" w:rsidP="00703C74">
      <w:pPr>
        <w:pStyle w:val="EndNoteBibliography"/>
        <w:spacing w:after="0"/>
        <w:rPr>
          <w:sz w:val="22"/>
        </w:rPr>
      </w:pPr>
      <w:r w:rsidRPr="00340C06">
        <w:rPr>
          <w:sz w:val="22"/>
        </w:rPr>
        <w:t>3</w:t>
      </w:r>
      <w:r w:rsidR="00E51EB1">
        <w:rPr>
          <w:sz w:val="22"/>
        </w:rPr>
        <w:t>7</w:t>
      </w:r>
      <w:r w:rsidRPr="00340C06">
        <w:rPr>
          <w:sz w:val="22"/>
        </w:rPr>
        <w:t>.</w:t>
      </w:r>
      <w:r w:rsidRPr="00340C06">
        <w:rPr>
          <w:sz w:val="22"/>
        </w:rPr>
        <w:tab/>
        <w:t>Athanasakis K, Igoumenidis M, Karampli E, Vitsou E, Sykara G, Kyriopoulos J. Cost-effectiveness of varenicline versus bupropion, nicotine-replacement therapy, and unaided cessation in Greece. Clinical therapeutics. 2012;34(8):1803-14.</w:t>
      </w:r>
    </w:p>
    <w:p w:rsidR="00340C06" w:rsidRPr="00340C06" w:rsidRDefault="00340C06" w:rsidP="00703C74">
      <w:pPr>
        <w:pStyle w:val="EndNoteBibliography"/>
        <w:spacing w:after="0"/>
        <w:rPr>
          <w:sz w:val="22"/>
        </w:rPr>
      </w:pPr>
      <w:r w:rsidRPr="00340C06">
        <w:rPr>
          <w:sz w:val="22"/>
        </w:rPr>
        <w:t>3</w:t>
      </w:r>
      <w:r w:rsidR="00E51EB1">
        <w:rPr>
          <w:sz w:val="22"/>
        </w:rPr>
        <w:t>8</w:t>
      </w:r>
      <w:r w:rsidRPr="00340C06">
        <w:rPr>
          <w:sz w:val="22"/>
        </w:rPr>
        <w:t>.</w:t>
      </w:r>
      <w:r w:rsidRPr="00340C06">
        <w:rPr>
          <w:sz w:val="22"/>
        </w:rPr>
        <w:tab/>
        <w:t>Kahende JW, Loomis BR, Adhikari B, Marshall L. A review of economic evaluations of tobacco control programs. International journal of environmental research and public health. 2009;6(1):51-68.</w:t>
      </w:r>
    </w:p>
    <w:p w:rsidR="00340C06" w:rsidRPr="00340C06" w:rsidRDefault="00340C06" w:rsidP="00703C74">
      <w:pPr>
        <w:pStyle w:val="EndNoteBibliography"/>
        <w:spacing w:after="0"/>
        <w:rPr>
          <w:sz w:val="22"/>
        </w:rPr>
      </w:pPr>
      <w:r w:rsidRPr="00340C06">
        <w:rPr>
          <w:sz w:val="22"/>
        </w:rPr>
        <w:t>3</w:t>
      </w:r>
      <w:r w:rsidR="00E51EB1">
        <w:rPr>
          <w:sz w:val="22"/>
        </w:rPr>
        <w:t>9</w:t>
      </w:r>
      <w:r w:rsidRPr="00340C06">
        <w:rPr>
          <w:sz w:val="22"/>
        </w:rPr>
        <w:t>.</w:t>
      </w:r>
      <w:r w:rsidRPr="00340C06">
        <w:rPr>
          <w:sz w:val="22"/>
        </w:rPr>
        <w:tab/>
        <w:t>Hartmann-Boyce J, Begh R, Aveyard P. Electronic cigarettes for smoking cessation. BMJ. 2018;360:j5543.</w:t>
      </w:r>
    </w:p>
    <w:p w:rsidR="00340C06" w:rsidRPr="00340C06" w:rsidRDefault="00E51EB1" w:rsidP="00703C74">
      <w:pPr>
        <w:pStyle w:val="EndNoteBibliography"/>
        <w:rPr>
          <w:sz w:val="22"/>
        </w:rPr>
      </w:pPr>
      <w:r>
        <w:rPr>
          <w:sz w:val="22"/>
        </w:rPr>
        <w:t>40</w:t>
      </w:r>
      <w:r w:rsidR="00340C06" w:rsidRPr="00340C06">
        <w:rPr>
          <w:sz w:val="22"/>
        </w:rPr>
        <w:t>.</w:t>
      </w:r>
      <w:r w:rsidR="00340C06" w:rsidRPr="00340C06">
        <w:rPr>
          <w:sz w:val="22"/>
        </w:rPr>
        <w:tab/>
        <w:t>Hartmann-Boyce J, McRobbie H, Bullen C, Begh R, Stead LF, Hajek P. Electronic cigarettes for smoking cessation. Cochrane Database Syst Rev. 2016;9:CD010216.</w:t>
      </w:r>
    </w:p>
    <w:p w:rsidR="00340C06" w:rsidRPr="001B210A" w:rsidRDefault="00340C06" w:rsidP="00703C74">
      <w:pPr>
        <w:rPr>
          <w:rFonts w:cstheme="minorHAnsi"/>
        </w:rPr>
      </w:pPr>
    </w:p>
    <w:p w:rsidR="00340C06" w:rsidRPr="001B210A" w:rsidRDefault="00340C06">
      <w:pPr>
        <w:rPr>
          <w:rFonts w:cstheme="minorHAnsi"/>
        </w:rPr>
      </w:pPr>
      <w:r w:rsidRPr="001B210A">
        <w:rPr>
          <w:rFonts w:cstheme="minorHAnsi"/>
        </w:rPr>
        <w:br w:type="page"/>
      </w:r>
    </w:p>
    <w:p w:rsidR="00340C06" w:rsidRPr="001B210A" w:rsidRDefault="00340C06" w:rsidP="00703C74">
      <w:pPr>
        <w:pStyle w:val="Heading1"/>
      </w:pPr>
      <w:r w:rsidRPr="001B210A">
        <w:t>Tables and Figures with legends</w:t>
      </w:r>
    </w:p>
    <w:p w:rsidR="00340C06" w:rsidRPr="001B210A" w:rsidRDefault="00340C06" w:rsidP="00703C74">
      <w:pPr>
        <w:pStyle w:val="Caption"/>
        <w:keepNext/>
      </w:pPr>
      <w:bookmarkStart w:id="2" w:name="_Ref522632518"/>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1</w:t>
      </w:r>
      <w:r w:rsidRPr="001B210A">
        <w:rPr>
          <w:noProof/>
        </w:rPr>
        <w:fldChar w:fldCharType="end"/>
      </w:r>
      <w:bookmarkEnd w:id="2"/>
      <w:r w:rsidRPr="001B210A">
        <w:rPr>
          <w:noProof/>
        </w:rPr>
        <w:t xml:space="preserve"> Model </w:t>
      </w:r>
      <w:r>
        <w:rPr>
          <w:noProof/>
        </w:rPr>
        <w:t>input</w:t>
      </w:r>
      <w:r w:rsidRPr="001B210A">
        <w:rPr>
          <w:noProof/>
        </w:rPr>
        <w:t>s from the literature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91"/>
        <w:gridCol w:w="1844"/>
        <w:gridCol w:w="1705"/>
      </w:tblGrid>
      <w:tr w:rsidR="00340C06" w:rsidRPr="001B210A" w:rsidTr="00703C74">
        <w:trPr>
          <w:trHeight w:val="275"/>
        </w:trPr>
        <w:tc>
          <w:tcPr>
            <w:tcW w:w="2972" w:type="dxa"/>
            <w:noWrap/>
          </w:tcPr>
          <w:p w:rsidR="00340C06" w:rsidRPr="001B210A" w:rsidRDefault="00340C06" w:rsidP="00703C74">
            <w:pPr>
              <w:spacing w:after="0" w:line="240" w:lineRule="auto"/>
              <w:rPr>
                <w:rFonts w:cstheme="minorHAnsi"/>
                <w:bCs/>
              </w:rPr>
            </w:pPr>
            <w:r w:rsidRPr="001B210A">
              <w:rPr>
                <w:rFonts w:cstheme="minorHAnsi"/>
                <w:bCs/>
              </w:rPr>
              <w:t>Parameters</w:t>
            </w:r>
          </w:p>
        </w:tc>
        <w:tc>
          <w:tcPr>
            <w:tcW w:w="3835" w:type="dxa"/>
            <w:gridSpan w:val="2"/>
            <w:noWrap/>
            <w:hideMark/>
          </w:tcPr>
          <w:p w:rsidR="00340C06" w:rsidRPr="001B210A" w:rsidRDefault="00340C06" w:rsidP="00703C74">
            <w:pPr>
              <w:spacing w:after="0" w:line="240" w:lineRule="auto"/>
              <w:rPr>
                <w:rFonts w:cstheme="minorHAnsi"/>
              </w:rPr>
            </w:pPr>
            <w:r w:rsidRPr="001B210A">
              <w:rPr>
                <w:rFonts w:cstheme="minorHAnsi"/>
              </w:rPr>
              <w:t xml:space="preserve">Value </w:t>
            </w:r>
            <w:r w:rsidRPr="001B210A">
              <w:rPr>
                <w:rFonts w:cstheme="minorHAnsi"/>
                <w:bCs/>
              </w:rPr>
              <w:t>(SE)</w:t>
            </w:r>
          </w:p>
        </w:tc>
        <w:tc>
          <w:tcPr>
            <w:tcW w:w="1705" w:type="dxa"/>
            <w:noWrap/>
            <w:hideMark/>
          </w:tcPr>
          <w:p w:rsidR="00340C06" w:rsidRPr="001B210A" w:rsidRDefault="00340C06" w:rsidP="00703C74">
            <w:pPr>
              <w:spacing w:after="0" w:line="240" w:lineRule="auto"/>
              <w:rPr>
                <w:rFonts w:cstheme="minorHAnsi"/>
              </w:rPr>
            </w:pPr>
            <w:r w:rsidRPr="001B210A">
              <w:rPr>
                <w:rFonts w:cstheme="minorHAnsi"/>
              </w:rPr>
              <w:t>Source</w:t>
            </w:r>
          </w:p>
        </w:tc>
      </w:tr>
      <w:tr w:rsidR="00340C06" w:rsidRPr="001B210A" w:rsidTr="00703C74">
        <w:trPr>
          <w:trHeight w:val="275"/>
        </w:trPr>
        <w:tc>
          <w:tcPr>
            <w:tcW w:w="8512" w:type="dxa"/>
            <w:gridSpan w:val="4"/>
            <w:noWrap/>
          </w:tcPr>
          <w:p w:rsidR="00340C06" w:rsidRPr="001B210A" w:rsidRDefault="00340C06" w:rsidP="00703C74">
            <w:pPr>
              <w:spacing w:after="0" w:line="240" w:lineRule="auto"/>
              <w:rPr>
                <w:rFonts w:cstheme="minorHAnsi"/>
              </w:rPr>
            </w:pPr>
            <w:r>
              <w:rPr>
                <w:rFonts w:cstheme="minorHAnsi"/>
                <w:bCs/>
              </w:rPr>
              <w:t>Annual probability of relapse</w:t>
            </w:r>
          </w:p>
        </w:tc>
      </w:tr>
      <w:tr w:rsidR="00340C06" w:rsidRPr="001B210A" w:rsidTr="00703C74">
        <w:trPr>
          <w:trHeight w:val="290"/>
        </w:trPr>
        <w:tc>
          <w:tcPr>
            <w:tcW w:w="2972" w:type="dxa"/>
            <w:noWrap/>
          </w:tcPr>
          <w:p w:rsidR="00340C06" w:rsidRPr="001B210A" w:rsidRDefault="00340C06" w:rsidP="00703C74">
            <w:pPr>
              <w:spacing w:after="0" w:line="240" w:lineRule="auto"/>
              <w:rPr>
                <w:rFonts w:cstheme="minorHAnsi"/>
              </w:rPr>
            </w:pPr>
            <w:r>
              <w:rPr>
                <w:rFonts w:cstheme="minorHAnsi"/>
                <w:bCs/>
              </w:rPr>
              <w:t>In the</w:t>
            </w:r>
            <w:r w:rsidRPr="001B210A">
              <w:rPr>
                <w:rFonts w:cstheme="minorHAnsi"/>
                <w:bCs/>
              </w:rPr>
              <w:t xml:space="preserve"> 10 years</w:t>
            </w:r>
            <w:r>
              <w:rPr>
                <w:rFonts w:cstheme="minorHAnsi"/>
                <w:bCs/>
              </w:rPr>
              <w:t xml:space="preserve"> after first cycle</w:t>
            </w:r>
          </w:p>
        </w:tc>
        <w:tc>
          <w:tcPr>
            <w:tcW w:w="3835" w:type="dxa"/>
            <w:gridSpan w:val="2"/>
            <w:noWrap/>
          </w:tcPr>
          <w:p w:rsidR="00340C06" w:rsidRPr="001B210A" w:rsidRDefault="00340C06" w:rsidP="00703C74">
            <w:pPr>
              <w:spacing w:after="0" w:line="240" w:lineRule="auto"/>
              <w:rPr>
                <w:rFonts w:cstheme="minorHAnsi"/>
              </w:rPr>
            </w:pPr>
            <w:r w:rsidRPr="001B210A">
              <w:rPr>
                <w:rFonts w:cstheme="minorHAnsi"/>
              </w:rPr>
              <w:t>10.00% (3.06%)</w:t>
            </w:r>
          </w:p>
        </w:tc>
        <w:tc>
          <w:tcPr>
            <w:tcW w:w="1705" w:type="dxa"/>
            <w:noWrap/>
          </w:tcPr>
          <w:p w:rsidR="00340C06" w:rsidRPr="001B210A" w:rsidRDefault="00340C06" w:rsidP="00E51EB1">
            <w:pPr>
              <w:spacing w:after="0" w:line="240" w:lineRule="auto"/>
              <w:rPr>
                <w:rFonts w:cstheme="minorHAnsi"/>
              </w:rPr>
            </w:pPr>
            <w:r>
              <w:rPr>
                <w:noProof/>
              </w:rPr>
              <w:t>[2</w:t>
            </w:r>
            <w:r w:rsidR="00E51EB1">
              <w:rPr>
                <w:noProof/>
              </w:rPr>
              <w:t>5</w:t>
            </w:r>
            <w:r>
              <w:rPr>
                <w:noProof/>
              </w:rPr>
              <w:t>-2</w:t>
            </w:r>
            <w:r w:rsidR="00E51EB1">
              <w:rPr>
                <w:noProof/>
              </w:rPr>
              <w:t>7</w:t>
            </w:r>
            <w:r>
              <w:rPr>
                <w:noProof/>
              </w:rPr>
              <w:t>]</w:t>
            </w:r>
          </w:p>
        </w:tc>
      </w:tr>
      <w:tr w:rsidR="00340C06" w:rsidRPr="001B210A" w:rsidTr="00703C74">
        <w:trPr>
          <w:trHeight w:val="290"/>
        </w:trPr>
        <w:tc>
          <w:tcPr>
            <w:tcW w:w="2972" w:type="dxa"/>
            <w:noWrap/>
          </w:tcPr>
          <w:p w:rsidR="00340C06" w:rsidRPr="001B210A" w:rsidRDefault="00340C06" w:rsidP="00703C74">
            <w:pPr>
              <w:spacing w:after="0" w:line="240" w:lineRule="auto"/>
              <w:rPr>
                <w:rFonts w:cstheme="minorHAnsi"/>
                <w:bCs/>
              </w:rPr>
            </w:pPr>
            <w:r>
              <w:rPr>
                <w:rFonts w:cstheme="minorHAnsi"/>
                <w:bCs/>
              </w:rPr>
              <w:t>A</w:t>
            </w:r>
            <w:r w:rsidRPr="001B210A">
              <w:rPr>
                <w:rFonts w:cstheme="minorHAnsi"/>
                <w:bCs/>
              </w:rPr>
              <w:t>fter 10 years</w:t>
            </w:r>
            <w:r>
              <w:rPr>
                <w:rFonts w:cstheme="minorHAnsi"/>
                <w:bCs/>
              </w:rPr>
              <w:t xml:space="preserve"> after first cycle</w:t>
            </w:r>
          </w:p>
        </w:tc>
        <w:tc>
          <w:tcPr>
            <w:tcW w:w="3835" w:type="dxa"/>
            <w:gridSpan w:val="2"/>
            <w:noWrap/>
          </w:tcPr>
          <w:p w:rsidR="00340C06" w:rsidRPr="001B210A" w:rsidRDefault="00340C06" w:rsidP="00703C74">
            <w:pPr>
              <w:spacing w:after="0" w:line="240" w:lineRule="auto"/>
              <w:rPr>
                <w:rFonts w:cstheme="minorHAnsi"/>
              </w:rPr>
            </w:pPr>
            <w:r w:rsidRPr="001B210A">
              <w:rPr>
                <w:rFonts w:cstheme="minorHAnsi"/>
              </w:rPr>
              <w:t>0%</w:t>
            </w:r>
          </w:p>
        </w:tc>
        <w:tc>
          <w:tcPr>
            <w:tcW w:w="1705" w:type="dxa"/>
            <w:noWrap/>
          </w:tcPr>
          <w:p w:rsidR="00340C06" w:rsidRPr="001B210A" w:rsidRDefault="00340C06" w:rsidP="00E51EB1">
            <w:pPr>
              <w:spacing w:after="0" w:line="240" w:lineRule="auto"/>
            </w:pPr>
            <w:r>
              <w:rPr>
                <w:noProof/>
              </w:rPr>
              <w:t>[2</w:t>
            </w:r>
            <w:r w:rsidR="00E51EB1">
              <w:rPr>
                <w:noProof/>
              </w:rPr>
              <w:t>5</w:t>
            </w:r>
            <w:r>
              <w:rPr>
                <w:noProof/>
              </w:rPr>
              <w:t>-2</w:t>
            </w:r>
            <w:r w:rsidR="00E51EB1">
              <w:rPr>
                <w:noProof/>
              </w:rPr>
              <w:t>7</w:t>
            </w:r>
            <w:r>
              <w:rPr>
                <w:noProof/>
              </w:rPr>
              <w:t>]</w:t>
            </w:r>
          </w:p>
        </w:tc>
      </w:tr>
      <w:tr w:rsidR="00340C06" w:rsidRPr="001B210A" w:rsidTr="00703C74">
        <w:trPr>
          <w:trHeight w:val="290"/>
        </w:trPr>
        <w:tc>
          <w:tcPr>
            <w:tcW w:w="8512" w:type="dxa"/>
            <w:gridSpan w:val="4"/>
            <w:noWrap/>
            <w:hideMark/>
          </w:tcPr>
          <w:p w:rsidR="00340C06" w:rsidRPr="001B210A" w:rsidRDefault="00340C06" w:rsidP="00703C74">
            <w:pPr>
              <w:spacing w:after="0" w:line="240" w:lineRule="auto"/>
              <w:rPr>
                <w:rFonts w:cstheme="minorHAnsi"/>
              </w:rPr>
            </w:pPr>
            <w:r w:rsidRPr="001B210A">
              <w:rPr>
                <w:rFonts w:cstheme="minorHAnsi"/>
                <w:bCs/>
              </w:rPr>
              <w:t xml:space="preserve">Mortality </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0.24% (0.40%)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0.18% (0.35%)</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0.80% (0.40%)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0.51% (0.73%)</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1.94% (0.52%)</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1.24% (0.58%)</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5.15% (0.82%)</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3.08% (0.59%)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25.36% (2.04%)</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15.12% (1.14%)</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0.14% (0.31%)</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0.11% (0.27%)</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0.53% (0.33%)</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0.34% (0.59%)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1.30% (0.43%)</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0.83% (0.48%)</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3.45% (0.68%)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2.06% (0.49%)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20.79% (1.90%)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12.40% (1.05%)</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8512" w:type="dxa"/>
            <w:gridSpan w:val="4"/>
            <w:noWrap/>
            <w:vAlign w:val="center"/>
          </w:tcPr>
          <w:p w:rsidR="00340C06" w:rsidRPr="001B210A" w:rsidRDefault="00340C06" w:rsidP="00703C74">
            <w:pPr>
              <w:spacing w:after="0" w:line="240" w:lineRule="auto"/>
              <w:rPr>
                <w:rFonts w:cstheme="minorHAnsi"/>
              </w:rPr>
            </w:pPr>
            <w:r w:rsidRPr="001B210A">
              <w:rPr>
                <w:rFonts w:cstheme="minorHAnsi"/>
                <w:bCs/>
              </w:rPr>
              <w:t>Annual smoking-related healthcare costs after the first year</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£54.48 (£0)</w:t>
            </w:r>
          </w:p>
        </w:tc>
        <w:tc>
          <w:tcPr>
            <w:tcW w:w="1844" w:type="dxa"/>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£16.57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£54.48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£16.57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£181.97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£64.99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£315.75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£83.82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£535.22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£105.36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£41.31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£10.72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£41.31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£10.72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£119.83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£40.95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£249.03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£71.25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£470.69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£103.18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8512" w:type="dxa"/>
            <w:gridSpan w:val="4"/>
            <w:noWrap/>
          </w:tcPr>
          <w:p w:rsidR="00340C06" w:rsidRPr="001B210A" w:rsidRDefault="00340C06" w:rsidP="00703C74">
            <w:pPr>
              <w:spacing w:after="0" w:line="240" w:lineRule="auto"/>
              <w:rPr>
                <w:rFonts w:cstheme="minorHAnsi"/>
              </w:rPr>
            </w:pPr>
            <w:r w:rsidRPr="001B210A">
              <w:rPr>
                <w:rFonts w:cstheme="minorHAnsi"/>
                <w:bCs/>
              </w:rPr>
              <w:t xml:space="preserve">Annual QALY gain after the first year </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0.889 (0.007)</w:t>
            </w:r>
          </w:p>
        </w:tc>
        <w:tc>
          <w:tcPr>
            <w:tcW w:w="1844" w:type="dxa"/>
          </w:tcPr>
          <w:p w:rsidR="00340C06" w:rsidRPr="001B210A" w:rsidRDefault="00340C06" w:rsidP="00703C74">
            <w:pPr>
              <w:spacing w:after="0" w:line="240" w:lineRule="auto"/>
              <w:rPr>
                <w:rFonts w:cstheme="minorHAnsi"/>
              </w:rPr>
            </w:pPr>
            <w:r w:rsidRPr="0062619F">
              <w:t>0.908 (0.005)</w:t>
            </w:r>
          </w:p>
        </w:tc>
        <w:tc>
          <w:tcPr>
            <w:tcW w:w="1705" w:type="dxa"/>
            <w:noWrap/>
          </w:tcPr>
          <w:p w:rsidR="00340C06" w:rsidRPr="001B210A" w:rsidRDefault="00340C06" w:rsidP="001812A6">
            <w:pPr>
              <w:spacing w:after="0" w:line="240" w:lineRule="auto"/>
            </w:pPr>
            <w:r>
              <w:rPr>
                <w:noProof/>
              </w:rPr>
              <w:t>[</w:t>
            </w:r>
            <w:r w:rsidR="001812A6">
              <w:rPr>
                <w:noProof/>
              </w:rPr>
              <w:t>30</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0.841 (0.007)</w:t>
            </w:r>
          </w:p>
        </w:tc>
        <w:tc>
          <w:tcPr>
            <w:tcW w:w="1844" w:type="dxa"/>
          </w:tcPr>
          <w:p w:rsidR="00340C06" w:rsidRPr="001B210A" w:rsidRDefault="00340C06" w:rsidP="00703C74">
            <w:pPr>
              <w:spacing w:after="0" w:line="240" w:lineRule="auto"/>
              <w:rPr>
                <w:rFonts w:cstheme="minorHAnsi"/>
              </w:rPr>
            </w:pPr>
            <w:r w:rsidRPr="0062619F">
              <w:t>0.861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0.780 (0.008)</w:t>
            </w:r>
          </w:p>
        </w:tc>
        <w:tc>
          <w:tcPr>
            <w:tcW w:w="1844" w:type="dxa"/>
          </w:tcPr>
          <w:p w:rsidR="00340C06" w:rsidRPr="001B210A" w:rsidRDefault="00340C06" w:rsidP="00703C74">
            <w:pPr>
              <w:spacing w:after="0" w:line="240" w:lineRule="auto"/>
              <w:rPr>
                <w:rFonts w:cstheme="minorHAnsi"/>
              </w:rPr>
            </w:pPr>
            <w:r w:rsidRPr="0062619F">
              <w:t>0.803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0.756 (0.008)</w:t>
            </w:r>
          </w:p>
        </w:tc>
        <w:tc>
          <w:tcPr>
            <w:tcW w:w="1844" w:type="dxa"/>
          </w:tcPr>
          <w:p w:rsidR="00340C06" w:rsidRPr="001B210A" w:rsidRDefault="00340C06" w:rsidP="00703C74">
            <w:pPr>
              <w:spacing w:after="0" w:line="240" w:lineRule="auto"/>
              <w:rPr>
                <w:rFonts w:cstheme="minorHAnsi"/>
              </w:rPr>
            </w:pPr>
            <w:r w:rsidRPr="0062619F">
              <w:t>0.781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0.710 (0.009)</w:t>
            </w:r>
          </w:p>
        </w:tc>
        <w:tc>
          <w:tcPr>
            <w:tcW w:w="1844" w:type="dxa"/>
          </w:tcPr>
          <w:p w:rsidR="00340C06" w:rsidRPr="001B210A" w:rsidRDefault="00340C06" w:rsidP="00703C74">
            <w:pPr>
              <w:spacing w:after="0" w:line="240" w:lineRule="auto"/>
              <w:rPr>
                <w:rFonts w:cstheme="minorHAnsi"/>
              </w:rPr>
            </w:pPr>
            <w:r w:rsidRPr="0062619F">
              <w:t>0.737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0.870 (0.007)</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0.889 (0.004)</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0.830 (0.007)</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0.850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0.763 (0.008)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0.784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0.751 (0.008)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0.773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0.676 (0.009)</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0.700 (0.007)</w:t>
            </w:r>
          </w:p>
        </w:tc>
        <w:tc>
          <w:tcPr>
            <w:tcW w:w="1705" w:type="dxa"/>
            <w:noWrap/>
          </w:tcPr>
          <w:p w:rsidR="00340C06" w:rsidRPr="001B210A" w:rsidRDefault="001812A6" w:rsidP="00703C74">
            <w:pPr>
              <w:spacing w:after="0" w:line="240" w:lineRule="auto"/>
            </w:pPr>
            <w:r>
              <w:rPr>
                <w:noProof/>
              </w:rPr>
              <w:t>[30]</w:t>
            </w:r>
          </w:p>
        </w:tc>
      </w:tr>
    </w:tbl>
    <w:p w:rsidR="00340C06" w:rsidRPr="001B210A" w:rsidRDefault="00340C06" w:rsidP="00703C74"/>
    <w:p w:rsidR="00340C06" w:rsidRPr="001B210A" w:rsidRDefault="00340C06" w:rsidP="00703C74">
      <w:pPr>
        <w:pStyle w:val="Caption"/>
        <w:keepNext/>
      </w:pPr>
      <w:bookmarkStart w:id="3" w:name="_Ref523326824"/>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2</w:t>
      </w:r>
      <w:r w:rsidRPr="001B210A">
        <w:rPr>
          <w:noProof/>
        </w:rPr>
        <w:fldChar w:fldCharType="end"/>
      </w:r>
      <w:bookmarkEnd w:id="3"/>
      <w:r w:rsidRPr="001B210A">
        <w:rPr>
          <w:noProof/>
        </w:rPr>
        <w:t xml:space="preserve"> Incremental cost-effectiveness analysis for the primary analysis (left) and the complete case analysis (right)</w:t>
      </w:r>
    </w:p>
    <w:tbl>
      <w:tblPr>
        <w:tblStyle w:val="TableGrid"/>
        <w:tblW w:w="8926" w:type="dxa"/>
        <w:tblLayout w:type="fixed"/>
        <w:tblLook w:val="04A0" w:firstRow="1" w:lastRow="0" w:firstColumn="1" w:lastColumn="0" w:noHBand="0" w:noVBand="1"/>
      </w:tblPr>
      <w:tblGrid>
        <w:gridCol w:w="2404"/>
        <w:gridCol w:w="1559"/>
        <w:gridCol w:w="1561"/>
        <w:gridCol w:w="1696"/>
        <w:gridCol w:w="1706"/>
      </w:tblGrid>
      <w:tr w:rsidR="00340C06" w:rsidRPr="001B210A" w:rsidTr="00703C74">
        <w:tc>
          <w:tcPr>
            <w:tcW w:w="2404" w:type="dxa"/>
          </w:tcPr>
          <w:p w:rsidR="00340C06" w:rsidRPr="001B210A" w:rsidRDefault="00340C06" w:rsidP="00703C74">
            <w:pPr>
              <w:rPr>
                <w:rFonts w:cstheme="minorHAnsi"/>
              </w:rPr>
            </w:pPr>
          </w:p>
        </w:tc>
        <w:tc>
          <w:tcPr>
            <w:tcW w:w="3120" w:type="dxa"/>
            <w:gridSpan w:val="2"/>
          </w:tcPr>
          <w:p w:rsidR="00340C06" w:rsidRPr="001B210A" w:rsidRDefault="00340C06" w:rsidP="00703C74">
            <w:pPr>
              <w:jc w:val="center"/>
              <w:rPr>
                <w:rFonts w:cstheme="minorHAnsi"/>
              </w:rPr>
            </w:pPr>
            <w:r w:rsidRPr="001B210A">
              <w:rPr>
                <w:rFonts w:cstheme="minorHAnsi"/>
              </w:rPr>
              <w:t>Primary analysis</w:t>
            </w:r>
          </w:p>
        </w:tc>
        <w:tc>
          <w:tcPr>
            <w:tcW w:w="3402" w:type="dxa"/>
            <w:gridSpan w:val="2"/>
          </w:tcPr>
          <w:p w:rsidR="00340C06" w:rsidRPr="001B210A" w:rsidRDefault="00340C06" w:rsidP="00703C74">
            <w:pPr>
              <w:jc w:val="center"/>
              <w:rPr>
                <w:rFonts w:cstheme="minorHAnsi"/>
              </w:rPr>
            </w:pPr>
            <w:r w:rsidRPr="001B210A">
              <w:rPr>
                <w:rFonts w:cstheme="minorHAnsi"/>
              </w:rPr>
              <w:t>Complete case analysis</w:t>
            </w:r>
          </w:p>
        </w:tc>
      </w:tr>
      <w:tr w:rsidR="00340C06" w:rsidRPr="001B210A" w:rsidTr="00703C74">
        <w:tc>
          <w:tcPr>
            <w:tcW w:w="2404" w:type="dxa"/>
          </w:tcPr>
          <w:p w:rsidR="00340C06" w:rsidRPr="001B210A" w:rsidRDefault="00340C06" w:rsidP="00703C74">
            <w:pPr>
              <w:rPr>
                <w:rFonts w:cstheme="minorHAnsi"/>
              </w:rPr>
            </w:pPr>
          </w:p>
        </w:tc>
        <w:tc>
          <w:tcPr>
            <w:tcW w:w="1559" w:type="dxa"/>
          </w:tcPr>
          <w:p w:rsidR="00340C06" w:rsidRPr="001B210A" w:rsidRDefault="00340C06" w:rsidP="00703C74">
            <w:pPr>
              <w:jc w:val="right"/>
              <w:rPr>
                <w:rFonts w:cstheme="minorHAnsi"/>
              </w:rPr>
            </w:pPr>
            <w:r w:rsidRPr="001B210A">
              <w:rPr>
                <w:rFonts w:cstheme="minorHAnsi"/>
              </w:rPr>
              <w:t>NRT (n=447)</w:t>
            </w:r>
          </w:p>
        </w:tc>
        <w:tc>
          <w:tcPr>
            <w:tcW w:w="1561" w:type="dxa"/>
          </w:tcPr>
          <w:p w:rsidR="00340C06" w:rsidRPr="001B210A" w:rsidRDefault="00340C06" w:rsidP="00703C74">
            <w:pPr>
              <w:jc w:val="right"/>
              <w:rPr>
                <w:rFonts w:cstheme="minorHAnsi"/>
              </w:rPr>
            </w:pPr>
            <w:r w:rsidRPr="001B210A">
              <w:rPr>
                <w:rFonts w:cstheme="minorHAnsi"/>
              </w:rPr>
              <w:t>EC (n=439)</w:t>
            </w:r>
          </w:p>
        </w:tc>
        <w:tc>
          <w:tcPr>
            <w:tcW w:w="1696" w:type="dxa"/>
          </w:tcPr>
          <w:p w:rsidR="00340C06" w:rsidRPr="001B210A" w:rsidRDefault="00340C06" w:rsidP="00703C74">
            <w:pPr>
              <w:jc w:val="right"/>
              <w:rPr>
                <w:rFonts w:cstheme="minorHAnsi"/>
              </w:rPr>
            </w:pPr>
            <w:r w:rsidRPr="001B210A">
              <w:rPr>
                <w:rFonts w:cstheme="minorHAnsi"/>
              </w:rPr>
              <w:t>NRT (N=204)</w:t>
            </w:r>
          </w:p>
        </w:tc>
        <w:tc>
          <w:tcPr>
            <w:tcW w:w="1706" w:type="dxa"/>
          </w:tcPr>
          <w:p w:rsidR="00340C06" w:rsidRPr="001B210A" w:rsidRDefault="00340C06" w:rsidP="00703C74">
            <w:pPr>
              <w:jc w:val="right"/>
              <w:rPr>
                <w:rFonts w:cstheme="minorHAnsi"/>
              </w:rPr>
            </w:pPr>
            <w:r w:rsidRPr="001B210A">
              <w:rPr>
                <w:rFonts w:cstheme="minorHAnsi"/>
              </w:rPr>
              <w:t>EC (N=254)</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Costs during the trial period</w:t>
            </w:r>
          </w:p>
        </w:tc>
        <w:tc>
          <w:tcPr>
            <w:tcW w:w="3120" w:type="dxa"/>
            <w:gridSpan w:val="2"/>
          </w:tcPr>
          <w:p w:rsidR="00340C06" w:rsidRPr="001B210A" w:rsidRDefault="00340C06" w:rsidP="00703C74">
            <w:pPr>
              <w:jc w:val="center"/>
              <w:rPr>
                <w:rFonts w:cstheme="minorHAnsi"/>
              </w:rPr>
            </w:pPr>
            <w:r w:rsidRPr="001B210A">
              <w:rPr>
                <w:rFonts w:cstheme="minorHAnsi"/>
              </w:rPr>
              <w:t>Mean (SE)</w:t>
            </w:r>
          </w:p>
        </w:tc>
        <w:tc>
          <w:tcPr>
            <w:tcW w:w="3402" w:type="dxa"/>
            <w:gridSpan w:val="2"/>
          </w:tcPr>
          <w:p w:rsidR="00340C06" w:rsidRPr="001B210A" w:rsidRDefault="00340C06" w:rsidP="00703C74">
            <w:pPr>
              <w:jc w:val="center"/>
              <w:rPr>
                <w:rFonts w:cstheme="minorHAnsi"/>
              </w:rPr>
            </w:pPr>
            <w:r w:rsidRPr="001B210A">
              <w:rPr>
                <w:rFonts w:cstheme="minorHAnsi"/>
              </w:rPr>
              <w:t>Mean (SD)</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Treatment cost</w:t>
            </w:r>
          </w:p>
        </w:tc>
        <w:tc>
          <w:tcPr>
            <w:tcW w:w="1559" w:type="dxa"/>
          </w:tcPr>
          <w:p w:rsidR="00340C06" w:rsidRPr="001B210A" w:rsidRDefault="00340C06" w:rsidP="00703C74">
            <w:pPr>
              <w:jc w:val="right"/>
              <w:rPr>
                <w:rFonts w:cstheme="minorHAnsi"/>
              </w:rPr>
            </w:pPr>
            <w:r w:rsidRPr="001B210A">
              <w:rPr>
                <w:rFonts w:cstheme="minorHAnsi"/>
              </w:rPr>
              <w:t>£201 (£4)</w:t>
            </w:r>
          </w:p>
        </w:tc>
        <w:tc>
          <w:tcPr>
            <w:tcW w:w="1561" w:type="dxa"/>
          </w:tcPr>
          <w:p w:rsidR="00340C06" w:rsidRPr="001B210A" w:rsidRDefault="00340C06" w:rsidP="00703C74">
            <w:pPr>
              <w:jc w:val="right"/>
              <w:rPr>
                <w:rFonts w:cstheme="minorHAnsi"/>
              </w:rPr>
            </w:pPr>
            <w:r w:rsidRPr="001B210A">
              <w:rPr>
                <w:rFonts w:cstheme="minorHAnsi"/>
              </w:rPr>
              <w:t>£105 (£1)</w:t>
            </w:r>
          </w:p>
        </w:tc>
        <w:tc>
          <w:tcPr>
            <w:tcW w:w="1696" w:type="dxa"/>
          </w:tcPr>
          <w:p w:rsidR="00340C06" w:rsidRPr="001B210A" w:rsidRDefault="00340C06" w:rsidP="00703C74">
            <w:pPr>
              <w:jc w:val="right"/>
              <w:rPr>
                <w:rFonts w:cstheme="minorHAnsi"/>
              </w:rPr>
            </w:pPr>
            <w:r w:rsidRPr="001B210A">
              <w:rPr>
                <w:rFonts w:cstheme="minorHAnsi"/>
              </w:rPr>
              <w:t>£216 (£73)</w:t>
            </w:r>
          </w:p>
        </w:tc>
        <w:tc>
          <w:tcPr>
            <w:tcW w:w="1706" w:type="dxa"/>
          </w:tcPr>
          <w:p w:rsidR="00340C06" w:rsidRPr="001B210A" w:rsidRDefault="00340C06" w:rsidP="00703C74">
            <w:pPr>
              <w:jc w:val="right"/>
              <w:rPr>
                <w:rFonts w:cstheme="minorHAnsi"/>
              </w:rPr>
            </w:pPr>
            <w:r w:rsidRPr="001B210A">
              <w:rPr>
                <w:rFonts w:cstheme="minorHAnsi"/>
              </w:rPr>
              <w:t>£108 (£10)</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Smoking cessation costs</w:t>
            </w:r>
          </w:p>
        </w:tc>
        <w:tc>
          <w:tcPr>
            <w:tcW w:w="1559" w:type="dxa"/>
          </w:tcPr>
          <w:p w:rsidR="00340C06" w:rsidRPr="001B210A" w:rsidRDefault="00340C06" w:rsidP="00703C74">
            <w:pPr>
              <w:jc w:val="right"/>
              <w:rPr>
                <w:rFonts w:cstheme="minorHAnsi"/>
              </w:rPr>
            </w:pPr>
            <w:r w:rsidRPr="001B210A">
              <w:rPr>
                <w:rFonts w:cstheme="minorHAnsi"/>
              </w:rPr>
              <w:t>£77 (£13)</w:t>
            </w:r>
          </w:p>
        </w:tc>
        <w:tc>
          <w:tcPr>
            <w:tcW w:w="1561" w:type="dxa"/>
          </w:tcPr>
          <w:p w:rsidR="00340C06" w:rsidRPr="001B210A" w:rsidRDefault="00340C06" w:rsidP="00703C74">
            <w:pPr>
              <w:jc w:val="right"/>
              <w:rPr>
                <w:rFonts w:cstheme="minorHAnsi"/>
              </w:rPr>
            </w:pPr>
            <w:r w:rsidRPr="001B210A">
              <w:rPr>
                <w:rFonts w:cstheme="minorHAnsi"/>
              </w:rPr>
              <w:t>£48 (£11)</w:t>
            </w:r>
          </w:p>
        </w:tc>
        <w:tc>
          <w:tcPr>
            <w:tcW w:w="1696" w:type="dxa"/>
          </w:tcPr>
          <w:p w:rsidR="00340C06" w:rsidRPr="001B210A" w:rsidRDefault="00340C06" w:rsidP="00703C74">
            <w:pPr>
              <w:jc w:val="right"/>
              <w:rPr>
                <w:rFonts w:cstheme="minorHAnsi"/>
              </w:rPr>
            </w:pPr>
            <w:r w:rsidRPr="001B210A">
              <w:rPr>
                <w:rFonts w:cstheme="minorHAnsi"/>
              </w:rPr>
              <w:t>£71 (£165)</w:t>
            </w:r>
          </w:p>
        </w:tc>
        <w:tc>
          <w:tcPr>
            <w:tcW w:w="1706" w:type="dxa"/>
          </w:tcPr>
          <w:p w:rsidR="00340C06" w:rsidRPr="001B210A" w:rsidRDefault="00340C06" w:rsidP="00703C74">
            <w:pPr>
              <w:jc w:val="right"/>
              <w:rPr>
                <w:rFonts w:cstheme="minorHAnsi"/>
              </w:rPr>
            </w:pPr>
            <w:r w:rsidRPr="001B210A">
              <w:rPr>
                <w:rFonts w:cstheme="minorHAnsi"/>
              </w:rPr>
              <w:t>£46 (£190)</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Health care costs</w:t>
            </w:r>
          </w:p>
        </w:tc>
        <w:tc>
          <w:tcPr>
            <w:tcW w:w="1559" w:type="dxa"/>
          </w:tcPr>
          <w:p w:rsidR="00340C06" w:rsidRPr="001B210A" w:rsidRDefault="00340C06" w:rsidP="00703C74">
            <w:pPr>
              <w:jc w:val="right"/>
              <w:rPr>
                <w:rFonts w:cstheme="minorHAnsi"/>
              </w:rPr>
            </w:pPr>
            <w:r w:rsidRPr="001B210A">
              <w:rPr>
                <w:rFonts w:cstheme="minorHAnsi"/>
              </w:rPr>
              <w:t>£839 (£162)</w:t>
            </w:r>
          </w:p>
        </w:tc>
        <w:tc>
          <w:tcPr>
            <w:tcW w:w="1561" w:type="dxa"/>
          </w:tcPr>
          <w:p w:rsidR="00340C06" w:rsidRPr="001B210A" w:rsidRDefault="00340C06" w:rsidP="00703C74">
            <w:pPr>
              <w:jc w:val="right"/>
              <w:rPr>
                <w:rFonts w:cstheme="minorHAnsi"/>
              </w:rPr>
            </w:pPr>
            <w:r w:rsidRPr="001B210A">
              <w:rPr>
                <w:rFonts w:cstheme="minorHAnsi"/>
              </w:rPr>
              <w:t>£1,022 (£147)</w:t>
            </w:r>
          </w:p>
        </w:tc>
        <w:tc>
          <w:tcPr>
            <w:tcW w:w="1696" w:type="dxa"/>
          </w:tcPr>
          <w:p w:rsidR="00340C06" w:rsidRPr="001B210A" w:rsidRDefault="00340C06" w:rsidP="00703C74">
            <w:pPr>
              <w:jc w:val="right"/>
              <w:rPr>
                <w:rFonts w:cstheme="minorHAnsi"/>
              </w:rPr>
            </w:pPr>
            <w:r w:rsidRPr="001B210A">
              <w:rPr>
                <w:rFonts w:cstheme="minorHAnsi"/>
              </w:rPr>
              <w:t>£1,051 (£4,611)</w:t>
            </w:r>
          </w:p>
        </w:tc>
        <w:tc>
          <w:tcPr>
            <w:tcW w:w="1706" w:type="dxa"/>
          </w:tcPr>
          <w:p w:rsidR="00340C06" w:rsidRPr="001B210A" w:rsidRDefault="00340C06" w:rsidP="00703C74">
            <w:pPr>
              <w:jc w:val="right"/>
              <w:rPr>
                <w:rFonts w:cstheme="minorHAnsi"/>
              </w:rPr>
            </w:pPr>
            <w:r w:rsidRPr="001B210A">
              <w:rPr>
                <w:rFonts w:cstheme="minorHAnsi"/>
              </w:rPr>
              <w:t>£1,110 (£3,018)</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Total costs during the trial period</w:t>
            </w:r>
          </w:p>
        </w:tc>
        <w:tc>
          <w:tcPr>
            <w:tcW w:w="1559" w:type="dxa"/>
          </w:tcPr>
          <w:p w:rsidR="00340C06" w:rsidRPr="001B210A" w:rsidRDefault="00340C06" w:rsidP="00703C74">
            <w:pPr>
              <w:jc w:val="right"/>
              <w:rPr>
                <w:rFonts w:cstheme="minorHAnsi"/>
              </w:rPr>
            </w:pPr>
            <w:r w:rsidRPr="001B210A">
              <w:rPr>
                <w:rFonts w:cstheme="minorHAnsi"/>
              </w:rPr>
              <w:t>£1,116 (£163)</w:t>
            </w:r>
          </w:p>
        </w:tc>
        <w:tc>
          <w:tcPr>
            <w:tcW w:w="1561" w:type="dxa"/>
          </w:tcPr>
          <w:p w:rsidR="00340C06" w:rsidRPr="001B210A" w:rsidRDefault="00340C06" w:rsidP="00703C74">
            <w:pPr>
              <w:jc w:val="right"/>
              <w:rPr>
                <w:rFonts w:cstheme="minorHAnsi"/>
              </w:rPr>
            </w:pPr>
            <w:r w:rsidRPr="001B210A">
              <w:rPr>
                <w:rFonts w:cstheme="minorHAnsi"/>
              </w:rPr>
              <w:t>£1,174 (£147)</w:t>
            </w:r>
          </w:p>
        </w:tc>
        <w:tc>
          <w:tcPr>
            <w:tcW w:w="1696" w:type="dxa"/>
          </w:tcPr>
          <w:p w:rsidR="00340C06" w:rsidRPr="001B210A" w:rsidRDefault="00340C06" w:rsidP="00703C74">
            <w:pPr>
              <w:jc w:val="right"/>
              <w:rPr>
                <w:rFonts w:cstheme="minorHAnsi"/>
              </w:rPr>
            </w:pPr>
            <w:r w:rsidRPr="001B210A">
              <w:rPr>
                <w:rFonts w:cstheme="minorHAnsi"/>
              </w:rPr>
              <w:t>£1,339 (£4,616)</w:t>
            </w:r>
          </w:p>
        </w:tc>
        <w:tc>
          <w:tcPr>
            <w:tcW w:w="1706" w:type="dxa"/>
          </w:tcPr>
          <w:p w:rsidR="00340C06" w:rsidRPr="001B210A" w:rsidRDefault="00340C06" w:rsidP="00703C74">
            <w:pPr>
              <w:jc w:val="right"/>
              <w:rPr>
                <w:rFonts w:cstheme="minorHAnsi"/>
              </w:rPr>
            </w:pPr>
            <w:r w:rsidRPr="001B210A">
              <w:rPr>
                <w:rFonts w:cstheme="minorHAnsi"/>
              </w:rPr>
              <w:t>£1,264 (£3,031)</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costs, mean (95% CI)</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Adjusted difference in total costs during the trial period</w:t>
            </w:r>
          </w:p>
        </w:tc>
        <w:tc>
          <w:tcPr>
            <w:tcW w:w="3120" w:type="dxa"/>
            <w:gridSpan w:val="2"/>
          </w:tcPr>
          <w:p w:rsidR="00340C06" w:rsidRPr="001B210A" w:rsidRDefault="00340C06" w:rsidP="00703C74">
            <w:pPr>
              <w:jc w:val="right"/>
              <w:rPr>
                <w:rFonts w:cstheme="minorHAnsi"/>
              </w:rPr>
            </w:pPr>
            <w:r w:rsidRPr="001B210A">
              <w:rPr>
                <w:rFonts w:cstheme="minorHAnsi"/>
              </w:rPr>
              <w:t>£11 (-£104 to £147)</w:t>
            </w:r>
          </w:p>
        </w:tc>
        <w:tc>
          <w:tcPr>
            <w:tcW w:w="3402" w:type="dxa"/>
            <w:gridSpan w:val="2"/>
          </w:tcPr>
          <w:p w:rsidR="00340C06" w:rsidRPr="001B210A" w:rsidRDefault="00340C06" w:rsidP="00703C74">
            <w:pPr>
              <w:jc w:val="right"/>
              <w:rPr>
                <w:rFonts w:cstheme="minorHAnsi"/>
              </w:rPr>
            </w:pPr>
            <w:r w:rsidRPr="001B210A">
              <w:rPr>
                <w:rFonts w:cstheme="minorHAnsi"/>
              </w:rPr>
              <w:t>-£96 (-£304 to £81)</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Quality of life during the trial period</w:t>
            </w:r>
          </w:p>
        </w:tc>
        <w:tc>
          <w:tcPr>
            <w:tcW w:w="3120" w:type="dxa"/>
            <w:gridSpan w:val="2"/>
          </w:tcPr>
          <w:p w:rsidR="00340C06" w:rsidRPr="001B210A" w:rsidRDefault="00340C06" w:rsidP="00703C74">
            <w:pPr>
              <w:jc w:val="center"/>
              <w:rPr>
                <w:rFonts w:cstheme="minorHAnsi"/>
              </w:rPr>
            </w:pPr>
            <w:r w:rsidRPr="001B210A">
              <w:rPr>
                <w:rFonts w:cstheme="minorHAnsi"/>
              </w:rPr>
              <w:t>Mean (SE)</w:t>
            </w:r>
          </w:p>
        </w:tc>
        <w:tc>
          <w:tcPr>
            <w:tcW w:w="3402" w:type="dxa"/>
            <w:gridSpan w:val="2"/>
          </w:tcPr>
          <w:p w:rsidR="00340C06" w:rsidRPr="001B210A" w:rsidRDefault="00340C06" w:rsidP="00703C74">
            <w:pPr>
              <w:jc w:val="center"/>
              <w:rPr>
                <w:rFonts w:cstheme="minorHAnsi"/>
              </w:rPr>
            </w:pPr>
            <w:r w:rsidRPr="001B210A">
              <w:rPr>
                <w:rFonts w:cstheme="minorHAnsi"/>
              </w:rPr>
              <w:t>Mean (SD)</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QALYs</w:t>
            </w:r>
          </w:p>
        </w:tc>
        <w:tc>
          <w:tcPr>
            <w:tcW w:w="1559" w:type="dxa"/>
          </w:tcPr>
          <w:p w:rsidR="00340C06" w:rsidRPr="001B210A" w:rsidRDefault="00340C06" w:rsidP="00703C74">
            <w:pPr>
              <w:jc w:val="right"/>
              <w:rPr>
                <w:rFonts w:cstheme="minorHAnsi"/>
              </w:rPr>
            </w:pPr>
            <w:r w:rsidRPr="001B210A">
              <w:rPr>
                <w:rFonts w:cstheme="minorHAnsi"/>
              </w:rPr>
              <w:t>0.882 (0.009)</w:t>
            </w:r>
          </w:p>
        </w:tc>
        <w:tc>
          <w:tcPr>
            <w:tcW w:w="1561" w:type="dxa"/>
          </w:tcPr>
          <w:p w:rsidR="00340C06" w:rsidRPr="001B210A" w:rsidRDefault="00340C06" w:rsidP="00703C74">
            <w:pPr>
              <w:jc w:val="right"/>
              <w:rPr>
                <w:rFonts w:cstheme="minorHAnsi"/>
              </w:rPr>
            </w:pPr>
            <w:r w:rsidRPr="001B210A">
              <w:rPr>
                <w:rFonts w:cstheme="minorHAnsi"/>
              </w:rPr>
              <w:t>0.886 (0.008)</w:t>
            </w:r>
          </w:p>
        </w:tc>
        <w:tc>
          <w:tcPr>
            <w:tcW w:w="1696" w:type="dxa"/>
          </w:tcPr>
          <w:p w:rsidR="00340C06" w:rsidRPr="001B210A" w:rsidRDefault="00340C06" w:rsidP="00703C74">
            <w:pPr>
              <w:jc w:val="right"/>
              <w:rPr>
                <w:rFonts w:cstheme="minorHAnsi"/>
              </w:rPr>
            </w:pPr>
            <w:r w:rsidRPr="001B210A">
              <w:rPr>
                <w:rFonts w:cstheme="minorHAnsi"/>
              </w:rPr>
              <w:t>0.893 (0.162)</w:t>
            </w:r>
          </w:p>
        </w:tc>
        <w:tc>
          <w:tcPr>
            <w:tcW w:w="1706" w:type="dxa"/>
          </w:tcPr>
          <w:p w:rsidR="00340C06" w:rsidRPr="001B210A" w:rsidRDefault="00340C06" w:rsidP="00703C74">
            <w:pPr>
              <w:jc w:val="right"/>
              <w:rPr>
                <w:rFonts w:cstheme="minorHAnsi"/>
              </w:rPr>
            </w:pPr>
            <w:r w:rsidRPr="001B210A">
              <w:rPr>
                <w:rFonts w:cstheme="minorHAnsi"/>
              </w:rPr>
              <w:t>0.883 (0.170)</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QALYs, mean (95% CI)</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Adjusted difference in QALYs</w:t>
            </w:r>
          </w:p>
        </w:tc>
        <w:tc>
          <w:tcPr>
            <w:tcW w:w="3120" w:type="dxa"/>
            <w:gridSpan w:val="2"/>
          </w:tcPr>
          <w:p w:rsidR="00340C06" w:rsidRPr="001B210A" w:rsidRDefault="00340C06" w:rsidP="00703C74">
            <w:pPr>
              <w:jc w:val="right"/>
              <w:rPr>
                <w:rFonts w:cstheme="minorHAnsi"/>
              </w:rPr>
            </w:pPr>
            <w:r w:rsidRPr="001B210A">
              <w:rPr>
                <w:rFonts w:cstheme="minorHAnsi"/>
              </w:rPr>
              <w:t>0.010 (-0.003 to 0.023)</w:t>
            </w:r>
          </w:p>
        </w:tc>
        <w:tc>
          <w:tcPr>
            <w:tcW w:w="3402" w:type="dxa"/>
            <w:gridSpan w:val="2"/>
          </w:tcPr>
          <w:p w:rsidR="00340C06" w:rsidRPr="001B210A" w:rsidRDefault="00340C06" w:rsidP="00703C74">
            <w:pPr>
              <w:jc w:val="right"/>
              <w:rPr>
                <w:rFonts w:cstheme="minorHAnsi"/>
              </w:rPr>
            </w:pPr>
            <w:r w:rsidRPr="001B210A">
              <w:rPr>
                <w:rFonts w:cstheme="minorHAnsi"/>
              </w:rPr>
              <w:t>0.003 (-0.018 to 0.023)</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cost-effectiveness ratio (ICER), mean (</w:t>
            </w:r>
            <w:r>
              <w:rPr>
                <w:rFonts w:cstheme="minorHAnsi"/>
              </w:rPr>
              <w:t>Uncertainty</w:t>
            </w:r>
            <w:r w:rsidRPr="001B210A">
              <w:rPr>
                <w:rFonts w:cstheme="minorHAnsi"/>
              </w:rPr>
              <w:t>)</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ICER at 12 months post quit date</w:t>
            </w:r>
          </w:p>
        </w:tc>
        <w:tc>
          <w:tcPr>
            <w:tcW w:w="3120" w:type="dxa"/>
            <w:gridSpan w:val="2"/>
          </w:tcPr>
          <w:p w:rsidR="00340C06" w:rsidRPr="001B210A" w:rsidRDefault="00340C06" w:rsidP="00703C74">
            <w:pPr>
              <w:jc w:val="right"/>
              <w:rPr>
                <w:rFonts w:cstheme="minorHAnsi"/>
              </w:rPr>
            </w:pPr>
            <w:r w:rsidRPr="001B210A">
              <w:rPr>
                <w:rFonts w:cstheme="minorHAnsi"/>
              </w:rPr>
              <w:t>£1,100 per QALY gained (</w:t>
            </w:r>
            <w:r>
              <w:rPr>
                <w:rFonts w:cstheme="minorHAnsi"/>
              </w:rPr>
              <w:fldChar w:fldCharType="begin"/>
            </w:r>
            <w:r>
              <w:rPr>
                <w:rFonts w:cstheme="minorHAnsi"/>
              </w:rPr>
              <w:instrText xml:space="preserve"> REF _Ref523327705 \h </w:instrText>
            </w:r>
            <w:r>
              <w:rPr>
                <w:rFonts w:cstheme="minorHAnsi"/>
              </w:rPr>
            </w:r>
            <w:r>
              <w:rPr>
                <w:rFonts w:cstheme="minorHAnsi"/>
              </w:rPr>
              <w:fldChar w:fldCharType="separate"/>
            </w:r>
            <w:r w:rsidRPr="001B210A">
              <w:t xml:space="preserve">Figure </w:t>
            </w:r>
            <w:r>
              <w:rPr>
                <w:noProof/>
              </w:rPr>
              <w:t>2</w:t>
            </w:r>
            <w:r>
              <w:rPr>
                <w:rFonts w:cstheme="minorHAnsi"/>
              </w:rPr>
              <w:fldChar w:fldCharType="end"/>
            </w:r>
            <w:r>
              <w:rPr>
                <w:rFonts w:cstheme="minorHAnsi"/>
              </w:rPr>
              <w:t xml:space="preserve"> upper left Cost-effectiveness plane</w:t>
            </w:r>
            <w:r w:rsidRPr="001B210A">
              <w:rPr>
                <w:rFonts w:cstheme="minorHAnsi"/>
              </w:rPr>
              <w:t>)</w:t>
            </w:r>
          </w:p>
        </w:tc>
        <w:tc>
          <w:tcPr>
            <w:tcW w:w="3402" w:type="dxa"/>
            <w:gridSpan w:val="2"/>
          </w:tcPr>
          <w:p w:rsidR="00340C06" w:rsidRPr="001B210A" w:rsidRDefault="00340C06" w:rsidP="00703C74">
            <w:pPr>
              <w:jc w:val="right"/>
              <w:rPr>
                <w:rFonts w:cstheme="minorHAnsi"/>
              </w:rPr>
            </w:pPr>
            <w:r w:rsidRPr="001B210A">
              <w:rPr>
                <w:rFonts w:cstheme="minorHAnsi"/>
              </w:rPr>
              <w:t>EC dominant (less costly, more effective) (</w:t>
            </w:r>
            <w:r>
              <w:rPr>
                <w:rFonts w:cstheme="minorHAnsi"/>
              </w:rPr>
              <w:fldChar w:fldCharType="begin"/>
            </w:r>
            <w:r>
              <w:rPr>
                <w:rFonts w:cstheme="minorHAnsi"/>
              </w:rPr>
              <w:instrText xml:space="preserve"> REF _Ref523327705 \h </w:instrText>
            </w:r>
            <w:r>
              <w:rPr>
                <w:rFonts w:cstheme="minorHAnsi"/>
              </w:rPr>
            </w:r>
            <w:r>
              <w:rPr>
                <w:rFonts w:cstheme="minorHAnsi"/>
              </w:rPr>
              <w:fldChar w:fldCharType="separate"/>
            </w:r>
            <w:r w:rsidRPr="001B210A">
              <w:t xml:space="preserve">Figure </w:t>
            </w:r>
            <w:r>
              <w:rPr>
                <w:noProof/>
              </w:rPr>
              <w:t>2</w:t>
            </w:r>
            <w:r>
              <w:rPr>
                <w:rFonts w:cstheme="minorHAnsi"/>
              </w:rPr>
              <w:fldChar w:fldCharType="end"/>
            </w:r>
            <w:r>
              <w:rPr>
                <w:rFonts w:cstheme="minorHAnsi"/>
              </w:rPr>
              <w:t xml:space="preserve"> lower left Cost-effectiveness plane</w:t>
            </w:r>
            <w:r w:rsidRPr="001B210A">
              <w:rPr>
                <w:rFonts w:cstheme="minorHAnsi"/>
              </w:rPr>
              <w:t>)</w:t>
            </w:r>
          </w:p>
        </w:tc>
      </w:tr>
    </w:tbl>
    <w:p w:rsidR="00340C06" w:rsidRPr="001B210A" w:rsidRDefault="00340C06" w:rsidP="00703C74"/>
    <w:p w:rsidR="00340C06" w:rsidRPr="001B210A" w:rsidRDefault="00340C06" w:rsidP="00703C74">
      <w:pPr>
        <w:pStyle w:val="Caption"/>
        <w:keepNext/>
      </w:pPr>
      <w:bookmarkStart w:id="4" w:name="_Ref523399275"/>
      <w:bookmarkStart w:id="5" w:name="_Ref523399259"/>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3</w:t>
      </w:r>
      <w:r w:rsidRPr="001B210A">
        <w:rPr>
          <w:noProof/>
        </w:rPr>
        <w:fldChar w:fldCharType="end"/>
      </w:r>
      <w:bookmarkEnd w:id="4"/>
      <w:r w:rsidRPr="001B210A">
        <w:rPr>
          <w:noProof/>
        </w:rPr>
        <w:t xml:space="preserve"> Comaprison of costs to the NHS and EQ-5D-5L utility values between the imputed data and the complete case</w:t>
      </w:r>
      <w:bookmarkEnd w:id="5"/>
    </w:p>
    <w:tbl>
      <w:tblPr>
        <w:tblStyle w:val="TableGrid"/>
        <w:tblW w:w="0" w:type="auto"/>
        <w:tblLook w:val="04A0" w:firstRow="1" w:lastRow="0" w:firstColumn="1" w:lastColumn="0" w:noHBand="0" w:noVBand="1"/>
      </w:tblPr>
      <w:tblGrid>
        <w:gridCol w:w="237"/>
        <w:gridCol w:w="184"/>
        <w:gridCol w:w="2976"/>
        <w:gridCol w:w="851"/>
        <w:gridCol w:w="1701"/>
        <w:gridCol w:w="850"/>
        <w:gridCol w:w="1701"/>
      </w:tblGrid>
      <w:tr w:rsidR="00340C06" w:rsidRPr="001B210A" w:rsidTr="00703C74">
        <w:tc>
          <w:tcPr>
            <w:tcW w:w="3397" w:type="dxa"/>
            <w:gridSpan w:val="3"/>
          </w:tcPr>
          <w:p w:rsidR="00340C06" w:rsidRPr="001B210A" w:rsidRDefault="00340C06" w:rsidP="00703C74">
            <w:r w:rsidRPr="001B210A">
              <w:t>Analysis</w:t>
            </w:r>
          </w:p>
        </w:tc>
        <w:tc>
          <w:tcPr>
            <w:tcW w:w="2552" w:type="dxa"/>
            <w:gridSpan w:val="2"/>
          </w:tcPr>
          <w:p w:rsidR="00340C06" w:rsidRPr="001B210A" w:rsidRDefault="00340C06" w:rsidP="00703C74">
            <w:r w:rsidRPr="001B210A">
              <w:t>NRT</w:t>
            </w:r>
          </w:p>
        </w:tc>
        <w:tc>
          <w:tcPr>
            <w:tcW w:w="2551" w:type="dxa"/>
            <w:gridSpan w:val="2"/>
          </w:tcPr>
          <w:p w:rsidR="00340C06" w:rsidRPr="001B210A" w:rsidRDefault="00340C06" w:rsidP="00703C74">
            <w:r w:rsidRPr="001B210A">
              <w:t>EC</w:t>
            </w:r>
          </w:p>
        </w:tc>
      </w:tr>
      <w:tr w:rsidR="00340C06" w:rsidRPr="001B210A" w:rsidTr="00703C74">
        <w:tc>
          <w:tcPr>
            <w:tcW w:w="3397" w:type="dxa"/>
            <w:gridSpan w:val="3"/>
          </w:tcPr>
          <w:p w:rsidR="00340C06" w:rsidRPr="001B210A" w:rsidRDefault="00340C06" w:rsidP="00703C74"/>
        </w:tc>
        <w:tc>
          <w:tcPr>
            <w:tcW w:w="851" w:type="dxa"/>
          </w:tcPr>
          <w:p w:rsidR="00340C06" w:rsidRPr="001B210A" w:rsidRDefault="00340C06" w:rsidP="00703C74">
            <w:r w:rsidRPr="001B210A">
              <w:t>n</w:t>
            </w:r>
          </w:p>
        </w:tc>
        <w:tc>
          <w:tcPr>
            <w:tcW w:w="1701" w:type="dxa"/>
          </w:tcPr>
          <w:p w:rsidR="00340C06" w:rsidRPr="001B210A" w:rsidRDefault="00340C06" w:rsidP="00703C74">
            <w:r w:rsidRPr="001B210A">
              <w:t>Mean</w:t>
            </w:r>
          </w:p>
        </w:tc>
        <w:tc>
          <w:tcPr>
            <w:tcW w:w="850" w:type="dxa"/>
          </w:tcPr>
          <w:p w:rsidR="00340C06" w:rsidRPr="001B210A" w:rsidRDefault="00340C06" w:rsidP="00703C74">
            <w:r w:rsidRPr="001B210A">
              <w:t>n</w:t>
            </w:r>
          </w:p>
        </w:tc>
        <w:tc>
          <w:tcPr>
            <w:tcW w:w="1701" w:type="dxa"/>
          </w:tcPr>
          <w:p w:rsidR="00340C06" w:rsidRPr="001B210A" w:rsidRDefault="00340C06" w:rsidP="00703C74">
            <w:r w:rsidRPr="001B210A">
              <w:t>Mean</w:t>
            </w:r>
          </w:p>
        </w:tc>
      </w:tr>
      <w:tr w:rsidR="00340C06" w:rsidRPr="001B210A" w:rsidTr="00703C74">
        <w:tc>
          <w:tcPr>
            <w:tcW w:w="8500" w:type="dxa"/>
            <w:gridSpan w:val="7"/>
          </w:tcPr>
          <w:p w:rsidR="00340C06" w:rsidRPr="001B210A" w:rsidRDefault="00340C06" w:rsidP="00703C74">
            <w:r w:rsidRPr="001B210A">
              <w:t>Costs to the</w:t>
            </w:r>
            <w:r>
              <w:t xml:space="preserve"> SSS and</w:t>
            </w:r>
            <w:r w:rsidRPr="001B210A">
              <w:t xml:space="preserve"> NHS</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In the 6 months before trial</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£645 (£109)</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£539 (£62)</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£688 (£2,811)</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£593 (£1,490)</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In the 12 months trial period</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£915 (£163)</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£1,069 (£147)</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£1,123 (£4,621)</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£1,156 (£3,032)</w:t>
            </w:r>
          </w:p>
        </w:tc>
      </w:tr>
      <w:tr w:rsidR="00340C06" w:rsidRPr="001B210A" w:rsidTr="00703C74">
        <w:tc>
          <w:tcPr>
            <w:tcW w:w="8500" w:type="dxa"/>
            <w:gridSpan w:val="7"/>
          </w:tcPr>
          <w:p w:rsidR="00340C06" w:rsidRPr="001B210A" w:rsidRDefault="00340C06" w:rsidP="00703C74">
            <w:r w:rsidRPr="001B210A">
              <w:t>EQ-5D-5L utility</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Baseline</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0.878 (0.008)</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0.868 (0.009)</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0.885 (0.162)</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0.868 (0.193)</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Six months</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0.882 (0.011)</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0.888 (0.010)</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0.897 (0.198)</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0.882 (0.199)</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Twelve months</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0.887 (0.011)</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0.898 (0.011)</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0.893 (0.205)</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0.900 (0.202)</w:t>
            </w:r>
          </w:p>
        </w:tc>
      </w:tr>
    </w:tbl>
    <w:p w:rsidR="00340C06" w:rsidRPr="001B210A" w:rsidRDefault="00340C06" w:rsidP="00703C74"/>
    <w:p w:rsidR="00340C06" w:rsidRPr="001B210A" w:rsidRDefault="00340C06" w:rsidP="00703C74"/>
    <w:p w:rsidR="00340C06" w:rsidRPr="001B210A" w:rsidRDefault="00340C06" w:rsidP="00703C74">
      <w:pPr>
        <w:keepNext/>
      </w:pPr>
      <w:r w:rsidRPr="001B210A">
        <w:rPr>
          <w:noProof/>
        </w:rPr>
        <w:drawing>
          <wp:inline distT="0" distB="0" distL="0" distR="0" wp14:anchorId="4B865900" wp14:editId="7C113CEC">
            <wp:extent cx="3228323" cy="22238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 structure.jpg"/>
                    <pic:cNvPicPr/>
                  </pic:nvPicPr>
                  <pic:blipFill rotWithShape="1">
                    <a:blip r:embed="rId7" cstate="print">
                      <a:extLst>
                        <a:ext uri="{28A0092B-C50C-407E-A947-70E740481C1C}">
                          <a14:useLocalDpi xmlns:a14="http://schemas.microsoft.com/office/drawing/2010/main" val="0"/>
                        </a:ext>
                      </a:extLst>
                    </a:blip>
                    <a:srcRect l="10544" t="12168" r="12324" b="12676"/>
                    <a:stretch/>
                  </pic:blipFill>
                  <pic:spPr bwMode="auto">
                    <a:xfrm>
                      <a:off x="0" y="0"/>
                      <a:ext cx="3259487" cy="224528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340C06" w:rsidRPr="001B210A" w:rsidRDefault="00340C06" w:rsidP="00703C74">
      <w:pPr>
        <w:pStyle w:val="Caption"/>
        <w:rPr>
          <w:noProof/>
        </w:rPr>
      </w:pPr>
      <w:bookmarkStart w:id="6" w:name="_Ref522630806"/>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1</w:t>
      </w:r>
      <w:r w:rsidRPr="001B210A">
        <w:rPr>
          <w:noProof/>
        </w:rPr>
        <w:fldChar w:fldCharType="end"/>
      </w:r>
      <w:bookmarkEnd w:id="6"/>
      <w:r w:rsidRPr="001B210A">
        <w:rPr>
          <w:noProof/>
        </w:rPr>
        <w:t xml:space="preserve"> Schematic representation of Markov model</w:t>
      </w:r>
    </w:p>
    <w:p w:rsidR="00340C06" w:rsidRPr="001B210A" w:rsidRDefault="00340C06" w:rsidP="00703C74"/>
    <w:p w:rsidR="00340C06" w:rsidRPr="001B210A" w:rsidRDefault="00340C06" w:rsidP="00703C74">
      <w:pPr>
        <w:keepNext/>
      </w:pPr>
      <w:r w:rsidRPr="001B210A">
        <w:rPr>
          <w:noProof/>
        </w:rPr>
        <w:drawing>
          <wp:inline distT="0" distB="0" distL="0" distR="0" wp14:anchorId="64A484E4" wp14:editId="7D504DAD">
            <wp:extent cx="5152390" cy="378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2390" cy="3784600"/>
                    </a:xfrm>
                    <a:prstGeom prst="rect">
                      <a:avLst/>
                    </a:prstGeom>
                    <a:noFill/>
                    <a:ln>
                      <a:noFill/>
                    </a:ln>
                  </pic:spPr>
                </pic:pic>
              </a:graphicData>
            </a:graphic>
          </wp:inline>
        </w:drawing>
      </w:r>
    </w:p>
    <w:p w:rsidR="00340C06" w:rsidRPr="001B210A" w:rsidRDefault="00340C06" w:rsidP="00703C74">
      <w:pPr>
        <w:pStyle w:val="Caption"/>
      </w:pPr>
      <w:bookmarkStart w:id="7" w:name="_Ref523327705"/>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2</w:t>
      </w:r>
      <w:r w:rsidRPr="001B210A">
        <w:rPr>
          <w:noProof/>
        </w:rPr>
        <w:fldChar w:fldCharType="end"/>
      </w:r>
      <w:bookmarkEnd w:id="7"/>
      <w:r w:rsidRPr="001B210A">
        <w:rPr>
          <w:noProof/>
        </w:rPr>
        <w:t xml:space="preserve"> Cost-effectiveness plane and cost-effectiveness acceptability curve for the primary analysis (upper) and complete case analysis (lower)</w:t>
      </w:r>
    </w:p>
    <w:p w:rsidR="00340C06" w:rsidRPr="001B210A" w:rsidRDefault="00340C06" w:rsidP="00703C74"/>
    <w:p w:rsidR="00340C06" w:rsidRPr="001B210A" w:rsidRDefault="00340C06" w:rsidP="00703C74">
      <w:pPr>
        <w:keepNext/>
      </w:pPr>
      <w:r>
        <w:rPr>
          <w:noProof/>
        </w:rPr>
        <w:drawing>
          <wp:inline distT="0" distB="0" distL="0" distR="0" wp14:anchorId="78837D64" wp14:editId="627BCEBE">
            <wp:extent cx="5731510" cy="2040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 CEP CEAC.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040890"/>
                    </a:xfrm>
                    <a:prstGeom prst="rect">
                      <a:avLst/>
                    </a:prstGeom>
                  </pic:spPr>
                </pic:pic>
              </a:graphicData>
            </a:graphic>
          </wp:inline>
        </w:drawing>
      </w:r>
    </w:p>
    <w:p w:rsidR="00340C06" w:rsidRPr="00747459" w:rsidRDefault="00340C06" w:rsidP="00703C74">
      <w:pPr>
        <w:pStyle w:val="Caption"/>
      </w:pPr>
      <w:bookmarkStart w:id="8" w:name="_Ref536716042"/>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3</w:t>
      </w:r>
      <w:r w:rsidRPr="001B210A">
        <w:rPr>
          <w:noProof/>
        </w:rPr>
        <w:fldChar w:fldCharType="end"/>
      </w:r>
      <w:bookmarkEnd w:id="8"/>
      <w:r w:rsidRPr="001B210A">
        <w:rPr>
          <w:noProof/>
        </w:rPr>
        <w:t xml:space="preserve"> Life-time cost-effectiveness plane and cost-effectiveness acceptability curve</w:t>
      </w:r>
    </w:p>
    <w:p w:rsidR="00B943AF" w:rsidRDefault="00B943AF"/>
    <w:sectPr w:rsidR="00B943AF" w:rsidSect="00703C7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463" w:rsidRDefault="007D3463">
      <w:pPr>
        <w:spacing w:after="0" w:line="240" w:lineRule="auto"/>
      </w:pPr>
      <w:r>
        <w:separator/>
      </w:r>
    </w:p>
  </w:endnote>
  <w:endnote w:type="continuationSeparator" w:id="0">
    <w:p w:rsidR="007D3463" w:rsidRDefault="007D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vTTebabd7d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Tb20e5d6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353085"/>
      <w:docPartObj>
        <w:docPartGallery w:val="Page Numbers (Bottom of Page)"/>
        <w:docPartUnique/>
      </w:docPartObj>
    </w:sdtPr>
    <w:sdtEndPr>
      <w:rPr>
        <w:noProof/>
      </w:rPr>
    </w:sdtEndPr>
    <w:sdtContent>
      <w:p w:rsidR="00CD57AF" w:rsidRDefault="00CD57AF">
        <w:pPr>
          <w:pStyle w:val="Footer"/>
          <w:jc w:val="center"/>
        </w:pPr>
        <w:r>
          <w:fldChar w:fldCharType="begin"/>
        </w:r>
        <w:r>
          <w:instrText xml:space="preserve"> PAGE   \* MERGEFORMAT </w:instrText>
        </w:r>
        <w:r>
          <w:fldChar w:fldCharType="separate"/>
        </w:r>
        <w:r w:rsidR="007B3F85">
          <w:rPr>
            <w:noProof/>
          </w:rPr>
          <w:t>3</w:t>
        </w:r>
        <w:r>
          <w:rPr>
            <w:noProof/>
          </w:rPr>
          <w:fldChar w:fldCharType="end"/>
        </w:r>
      </w:p>
    </w:sdtContent>
  </w:sdt>
  <w:p w:rsidR="00CD57AF" w:rsidRDefault="00CD5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463" w:rsidRDefault="007D3463">
      <w:pPr>
        <w:spacing w:after="0" w:line="240" w:lineRule="auto"/>
      </w:pPr>
      <w:r>
        <w:separator/>
      </w:r>
    </w:p>
  </w:footnote>
  <w:footnote w:type="continuationSeparator" w:id="0">
    <w:p w:rsidR="007D3463" w:rsidRDefault="007D3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7AF" w:rsidRDefault="00CD57AF">
    <w:pPr>
      <w:pStyle w:val="Header"/>
    </w:pPr>
    <w:r>
      <w:t>Cost-effectiveness of e-cig vs NRT in SSS</w:t>
    </w:r>
  </w:p>
  <w:p w:rsidR="00CD57AF" w:rsidRDefault="00CD57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40C06"/>
    <w:rsid w:val="000E7162"/>
    <w:rsid w:val="000F1384"/>
    <w:rsid w:val="00134930"/>
    <w:rsid w:val="001537FA"/>
    <w:rsid w:val="001812A6"/>
    <w:rsid w:val="001D75DE"/>
    <w:rsid w:val="002E536A"/>
    <w:rsid w:val="002E6811"/>
    <w:rsid w:val="003062D9"/>
    <w:rsid w:val="00340C06"/>
    <w:rsid w:val="00347A62"/>
    <w:rsid w:val="003A7063"/>
    <w:rsid w:val="003B316E"/>
    <w:rsid w:val="00477E57"/>
    <w:rsid w:val="00590771"/>
    <w:rsid w:val="005E6D00"/>
    <w:rsid w:val="006059B7"/>
    <w:rsid w:val="00605F77"/>
    <w:rsid w:val="00624E99"/>
    <w:rsid w:val="00703C74"/>
    <w:rsid w:val="00796CF6"/>
    <w:rsid w:val="007B3F85"/>
    <w:rsid w:val="007D23B6"/>
    <w:rsid w:val="007D3463"/>
    <w:rsid w:val="007E10F6"/>
    <w:rsid w:val="00884A57"/>
    <w:rsid w:val="00972FD8"/>
    <w:rsid w:val="00A6576C"/>
    <w:rsid w:val="00AB4D84"/>
    <w:rsid w:val="00AB62D0"/>
    <w:rsid w:val="00B23E0B"/>
    <w:rsid w:val="00B75CA4"/>
    <w:rsid w:val="00B943AF"/>
    <w:rsid w:val="00CD4D58"/>
    <w:rsid w:val="00CD57AF"/>
    <w:rsid w:val="00D6197A"/>
    <w:rsid w:val="00D63151"/>
    <w:rsid w:val="00D9138B"/>
    <w:rsid w:val="00DD2CB8"/>
    <w:rsid w:val="00E51EB1"/>
    <w:rsid w:val="00E7013F"/>
    <w:rsid w:val="00EB6AA9"/>
    <w:rsid w:val="00FB5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E973C3-31DA-4352-88B3-3697ECA8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C06"/>
  </w:style>
  <w:style w:type="paragraph" w:styleId="Heading1">
    <w:name w:val="heading 1"/>
    <w:basedOn w:val="Normal"/>
    <w:next w:val="Normal"/>
    <w:link w:val="Heading1Char"/>
    <w:uiPriority w:val="9"/>
    <w:qFormat/>
    <w:rsid w:val="0034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0C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0C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40C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C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40C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0C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40C06"/>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340C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C06"/>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340C06"/>
    <w:pPr>
      <w:spacing w:after="0"/>
      <w:jc w:val="center"/>
    </w:pPr>
    <w:rPr>
      <w:rFonts w:ascii="Calibri Light" w:hAnsi="Calibri Light" w:cs="Calibri Light"/>
      <w:noProof/>
      <w:sz w:val="32"/>
    </w:rPr>
  </w:style>
  <w:style w:type="character" w:customStyle="1" w:styleId="EndNoteBibliographyTitleChar">
    <w:name w:val="EndNote Bibliography Title Char"/>
    <w:basedOn w:val="DefaultParagraphFont"/>
    <w:link w:val="EndNoteBibliographyTitle"/>
    <w:rsid w:val="00340C06"/>
    <w:rPr>
      <w:rFonts w:ascii="Calibri Light" w:hAnsi="Calibri Light" w:cs="Calibri Light"/>
      <w:noProof/>
      <w:sz w:val="32"/>
    </w:rPr>
  </w:style>
  <w:style w:type="paragraph" w:customStyle="1" w:styleId="EndNoteBibliography">
    <w:name w:val="EndNote Bibliography"/>
    <w:basedOn w:val="Normal"/>
    <w:link w:val="EndNoteBibliographyChar"/>
    <w:rsid w:val="00340C06"/>
    <w:pPr>
      <w:spacing w:line="240" w:lineRule="auto"/>
    </w:pPr>
    <w:rPr>
      <w:rFonts w:ascii="Calibri Light" w:hAnsi="Calibri Light" w:cs="Calibri Light"/>
      <w:noProof/>
      <w:sz w:val="32"/>
    </w:rPr>
  </w:style>
  <w:style w:type="character" w:customStyle="1" w:styleId="EndNoteBibliographyChar">
    <w:name w:val="EndNote Bibliography Char"/>
    <w:basedOn w:val="DefaultParagraphFont"/>
    <w:link w:val="EndNoteBibliography"/>
    <w:rsid w:val="00340C06"/>
    <w:rPr>
      <w:rFonts w:ascii="Calibri Light" w:hAnsi="Calibri Light" w:cs="Calibri Light"/>
      <w:noProof/>
      <w:sz w:val="32"/>
    </w:rPr>
  </w:style>
  <w:style w:type="character" w:styleId="Hyperlink">
    <w:name w:val="Hyperlink"/>
    <w:basedOn w:val="DefaultParagraphFont"/>
    <w:uiPriority w:val="99"/>
    <w:unhideWhenUsed/>
    <w:rsid w:val="00340C06"/>
    <w:rPr>
      <w:color w:val="0563C1" w:themeColor="hyperlink"/>
      <w:u w:val="single"/>
    </w:rPr>
  </w:style>
  <w:style w:type="table" w:styleId="TableGrid">
    <w:name w:val="Table Grid"/>
    <w:basedOn w:val="TableNormal"/>
    <w:uiPriority w:val="39"/>
    <w:rsid w:val="00340C0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0C0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40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C06"/>
    <w:rPr>
      <w:rFonts w:ascii="Segoe UI" w:hAnsi="Segoe UI" w:cs="Segoe UI"/>
      <w:sz w:val="18"/>
      <w:szCs w:val="18"/>
    </w:rPr>
  </w:style>
  <w:style w:type="character" w:styleId="CommentReference">
    <w:name w:val="annotation reference"/>
    <w:basedOn w:val="DefaultParagraphFont"/>
    <w:uiPriority w:val="99"/>
    <w:semiHidden/>
    <w:unhideWhenUsed/>
    <w:rsid w:val="00340C06"/>
    <w:rPr>
      <w:sz w:val="16"/>
      <w:szCs w:val="16"/>
    </w:rPr>
  </w:style>
  <w:style w:type="paragraph" w:styleId="CommentText">
    <w:name w:val="annotation text"/>
    <w:basedOn w:val="Normal"/>
    <w:link w:val="CommentTextChar"/>
    <w:uiPriority w:val="99"/>
    <w:semiHidden/>
    <w:unhideWhenUsed/>
    <w:rsid w:val="00340C06"/>
    <w:pPr>
      <w:spacing w:line="240" w:lineRule="auto"/>
    </w:pPr>
    <w:rPr>
      <w:sz w:val="20"/>
      <w:szCs w:val="20"/>
    </w:rPr>
  </w:style>
  <w:style w:type="character" w:customStyle="1" w:styleId="CommentTextChar">
    <w:name w:val="Comment Text Char"/>
    <w:basedOn w:val="DefaultParagraphFont"/>
    <w:link w:val="CommentText"/>
    <w:uiPriority w:val="99"/>
    <w:semiHidden/>
    <w:rsid w:val="00340C06"/>
    <w:rPr>
      <w:sz w:val="20"/>
      <w:szCs w:val="20"/>
    </w:rPr>
  </w:style>
  <w:style w:type="paragraph" w:styleId="CommentSubject">
    <w:name w:val="annotation subject"/>
    <w:basedOn w:val="CommentText"/>
    <w:next w:val="CommentText"/>
    <w:link w:val="CommentSubjectChar"/>
    <w:uiPriority w:val="99"/>
    <w:semiHidden/>
    <w:unhideWhenUsed/>
    <w:rsid w:val="00340C06"/>
    <w:rPr>
      <w:b/>
      <w:bCs/>
    </w:rPr>
  </w:style>
  <w:style w:type="character" w:customStyle="1" w:styleId="CommentSubjectChar">
    <w:name w:val="Comment Subject Char"/>
    <w:basedOn w:val="CommentTextChar"/>
    <w:link w:val="CommentSubject"/>
    <w:uiPriority w:val="99"/>
    <w:semiHidden/>
    <w:rsid w:val="00340C06"/>
    <w:rPr>
      <w:b/>
      <w:bCs/>
      <w:sz w:val="20"/>
      <w:szCs w:val="20"/>
    </w:rPr>
  </w:style>
  <w:style w:type="paragraph" w:styleId="Revision">
    <w:name w:val="Revision"/>
    <w:hidden/>
    <w:uiPriority w:val="99"/>
    <w:semiHidden/>
    <w:rsid w:val="00340C06"/>
    <w:pPr>
      <w:spacing w:after="0" w:line="240" w:lineRule="auto"/>
    </w:pPr>
  </w:style>
  <w:style w:type="paragraph" w:styleId="Header">
    <w:name w:val="header"/>
    <w:basedOn w:val="Normal"/>
    <w:link w:val="HeaderChar"/>
    <w:uiPriority w:val="99"/>
    <w:unhideWhenUsed/>
    <w:rsid w:val="0034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C06"/>
  </w:style>
  <w:style w:type="paragraph" w:styleId="Footer">
    <w:name w:val="footer"/>
    <w:basedOn w:val="Normal"/>
    <w:link w:val="FooterChar"/>
    <w:uiPriority w:val="99"/>
    <w:unhideWhenUsed/>
    <w:rsid w:val="0034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C06"/>
  </w:style>
  <w:style w:type="character" w:styleId="LineNumber">
    <w:name w:val="line number"/>
    <w:basedOn w:val="DefaultParagraphFont"/>
    <w:uiPriority w:val="99"/>
    <w:semiHidden/>
    <w:unhideWhenUsed/>
    <w:rsid w:val="00340C06"/>
  </w:style>
  <w:style w:type="character" w:styleId="FollowedHyperlink">
    <w:name w:val="FollowedHyperlink"/>
    <w:basedOn w:val="DefaultParagraphFont"/>
    <w:uiPriority w:val="99"/>
    <w:semiHidden/>
    <w:unhideWhenUsed/>
    <w:rsid w:val="00340C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ebcitation.org/72D0uG6lY"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6665</Words>
  <Characters>37993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Jinshuo</dc:creator>
  <cp:keywords/>
  <dc:description/>
  <cp:lastModifiedBy>Li, Jinshuo</cp:lastModifiedBy>
  <cp:revision>2</cp:revision>
  <dcterms:created xsi:type="dcterms:W3CDTF">2019-10-24T09:24:00Z</dcterms:created>
  <dcterms:modified xsi:type="dcterms:W3CDTF">2019-10-24T09:24:00Z</dcterms:modified>
</cp:coreProperties>
</file>