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77553" w14:textId="6689898C" w:rsidR="00EC7DD0" w:rsidRPr="00D458C1" w:rsidRDefault="00EC7DD0" w:rsidP="00EC7DD0">
      <w:pPr>
        <w:pStyle w:val="Title"/>
        <w:rPr>
          <w:rFonts w:ascii="Calibri" w:eastAsia="Linux Libertine G" w:hAnsi="Calibri" w:cs="Linux Libertine G"/>
          <w:caps/>
          <w:lang w:eastAsia="zh-CN" w:bidi="hi-IN"/>
        </w:rPr>
      </w:pPr>
      <w:bookmarkStart w:id="0" w:name="_GoBack"/>
      <w:bookmarkEnd w:id="0"/>
      <w:r w:rsidRPr="00D458C1">
        <w:rPr>
          <w:rFonts w:ascii="Calibri" w:eastAsia="Linux Libertine G" w:hAnsi="Calibri" w:cs="Linux Libertine G"/>
          <w:caps/>
          <w:lang w:eastAsia="zh-CN" w:bidi="hi-IN"/>
        </w:rPr>
        <w:t>M</w:t>
      </w:r>
      <w:r w:rsidR="00D71F3E">
        <w:rPr>
          <w:rFonts w:ascii="Calibri" w:eastAsia="Linux Libertine G" w:hAnsi="Calibri" w:cs="Linux Libertine G"/>
          <w:caps/>
          <w:lang w:eastAsia="zh-CN" w:bidi="hi-IN"/>
        </w:rPr>
        <w:t xml:space="preserve">echanical and </w:t>
      </w:r>
      <w:r w:rsidRPr="00D458C1">
        <w:rPr>
          <w:rFonts w:ascii="Calibri" w:eastAsia="Linux Libertine G" w:hAnsi="Calibri" w:cs="Linux Libertine G"/>
          <w:caps/>
          <w:lang w:eastAsia="zh-CN" w:bidi="hi-IN"/>
        </w:rPr>
        <w:t>E</w:t>
      </w:r>
      <w:r w:rsidR="00D71F3E">
        <w:rPr>
          <w:rFonts w:ascii="Calibri" w:eastAsia="Linux Libertine G" w:hAnsi="Calibri" w:cs="Linux Libertine G"/>
          <w:caps/>
          <w:lang w:eastAsia="zh-CN" w:bidi="hi-IN"/>
        </w:rPr>
        <w:t>lectrical (M&amp;E)</w:t>
      </w:r>
      <w:r w:rsidRPr="00D458C1">
        <w:rPr>
          <w:rFonts w:ascii="Calibri" w:eastAsia="Linux Libertine G" w:hAnsi="Calibri" w:cs="Linux Libertine G"/>
          <w:caps/>
          <w:lang w:eastAsia="zh-CN" w:bidi="hi-IN"/>
        </w:rPr>
        <w:t xml:space="preserve"> TRaining for quantity surveyors to contribute to carbon reduction in buidings </w:t>
      </w:r>
    </w:p>
    <w:p w14:paraId="387F2B43" w14:textId="3F3AC66D" w:rsidR="00D71F3E" w:rsidRPr="004342EC" w:rsidRDefault="00D71F3E" w:rsidP="00D71F3E">
      <w:pPr>
        <w:pStyle w:val="Authors"/>
      </w:pPr>
      <w:bookmarkStart w:id="1" w:name="_Hlk529039108"/>
      <w:r>
        <w:rPr>
          <w:lang w:eastAsia="en-GB"/>
        </w:rPr>
        <w:t xml:space="preserve">Rafiu </w:t>
      </w:r>
      <w:r w:rsidRPr="004342EC">
        <w:rPr>
          <w:lang w:eastAsia="en-GB"/>
        </w:rPr>
        <w:t>D</w:t>
      </w:r>
      <w:r>
        <w:rPr>
          <w:lang w:eastAsia="en-GB"/>
        </w:rPr>
        <w:t>imeji</w:t>
      </w:r>
      <w:r w:rsidRPr="004342EC">
        <w:rPr>
          <w:lang w:eastAsia="en-GB"/>
        </w:rPr>
        <w:t xml:space="preserve"> Seidu</w:t>
      </w:r>
      <w:bookmarkEnd w:id="1"/>
      <w:r>
        <w:rPr>
          <w:rStyle w:val="FootnoteReference"/>
          <w:lang w:eastAsia="en-GB"/>
        </w:rPr>
        <w:footnoteReference w:id="1"/>
      </w:r>
      <w:r w:rsidRPr="004342EC">
        <w:rPr>
          <w:lang w:eastAsia="en-GB"/>
        </w:rPr>
        <w:t>,</w:t>
      </w:r>
      <w:r>
        <w:rPr>
          <w:lang w:eastAsia="en-GB"/>
        </w:rPr>
        <w:t xml:space="preserve"> </w:t>
      </w:r>
      <w:r w:rsidR="00443B67">
        <w:rPr>
          <w:lang w:eastAsia="en-GB"/>
        </w:rPr>
        <w:t xml:space="preserve">Bert Ediale </w:t>
      </w:r>
      <w:r w:rsidR="00443B67" w:rsidRPr="004342EC">
        <w:rPr>
          <w:lang w:eastAsia="en-GB"/>
        </w:rPr>
        <w:t>Young</w:t>
      </w:r>
      <w:r w:rsidR="00443B67" w:rsidRPr="004342EC">
        <w:rPr>
          <w:sz w:val="36"/>
          <w:vertAlign w:val="superscript"/>
          <w:lang w:eastAsia="en-GB"/>
        </w:rPr>
        <w:t xml:space="preserve"> </w:t>
      </w:r>
      <w:r w:rsidRPr="00443B67">
        <w:rPr>
          <w:rStyle w:val="FootnoteReference"/>
        </w:rPr>
        <w:t>2</w:t>
      </w:r>
      <w:r w:rsidRPr="004342EC">
        <w:rPr>
          <w:lang w:eastAsia="en-GB"/>
        </w:rPr>
        <w:t>,</w:t>
      </w:r>
      <w:r w:rsidRPr="009A4E85">
        <w:rPr>
          <w:lang w:eastAsia="en-GB"/>
        </w:rPr>
        <w:t xml:space="preserve"> </w:t>
      </w:r>
      <w:r>
        <w:rPr>
          <w:lang w:eastAsia="en-GB"/>
        </w:rPr>
        <w:t xml:space="preserve">Menaha </w:t>
      </w:r>
      <w:r w:rsidRPr="00D71F3E">
        <w:rPr>
          <w:lang w:eastAsia="en-GB"/>
        </w:rPr>
        <w:t>Thayaparan</w:t>
      </w:r>
      <w:r w:rsidRPr="00443B67">
        <w:rPr>
          <w:rStyle w:val="FootnoteReference"/>
        </w:rPr>
        <w:t>3</w:t>
      </w:r>
      <w:r>
        <w:rPr>
          <w:sz w:val="32"/>
          <w:lang w:eastAsia="en-GB"/>
        </w:rPr>
        <w:t xml:space="preserve">, </w:t>
      </w:r>
      <w:r w:rsidR="00443B67">
        <w:rPr>
          <w:lang w:eastAsia="en-GB"/>
        </w:rPr>
        <w:t>Sam Rodmell</w:t>
      </w:r>
      <w:r w:rsidR="00443B67" w:rsidRPr="00D71F3E">
        <w:rPr>
          <w:lang w:eastAsia="en-GB"/>
        </w:rPr>
        <w:t xml:space="preserve"> </w:t>
      </w:r>
      <w:r w:rsidRPr="00443B67">
        <w:rPr>
          <w:rStyle w:val="FootnoteReference"/>
        </w:rPr>
        <w:t>4</w:t>
      </w:r>
      <w:r w:rsidRPr="004342EC">
        <w:rPr>
          <w:lang w:eastAsia="en-GB"/>
        </w:rPr>
        <w:t>,</w:t>
      </w:r>
      <w:r w:rsidRPr="009A4E85">
        <w:rPr>
          <w:lang w:eastAsia="en-GB"/>
        </w:rPr>
        <w:t xml:space="preserve"> </w:t>
      </w:r>
      <w:r w:rsidR="00443B67" w:rsidRPr="00D71F3E">
        <w:rPr>
          <w:lang w:eastAsia="en-GB"/>
        </w:rPr>
        <w:t>Hebert</w:t>
      </w:r>
      <w:r w:rsidR="00443B67" w:rsidRPr="004342EC">
        <w:rPr>
          <w:lang w:eastAsia="en-GB"/>
        </w:rPr>
        <w:t xml:space="preserve"> Robinson</w:t>
      </w:r>
      <w:r w:rsidRPr="00443B67">
        <w:rPr>
          <w:rStyle w:val="FootnoteReference"/>
        </w:rPr>
        <w:t>5</w:t>
      </w:r>
    </w:p>
    <w:p w14:paraId="6DA6F48D" w14:textId="77777777" w:rsidR="004D4E18" w:rsidRPr="00D458C1" w:rsidRDefault="004D4E18" w:rsidP="004D4E18">
      <w:pPr>
        <w:pStyle w:val="AbstractHeading"/>
      </w:pPr>
      <w:r w:rsidRPr="00D458C1">
        <w:t xml:space="preserve">ABSTRACT </w:t>
      </w:r>
    </w:p>
    <w:p w14:paraId="6CA502AC" w14:textId="345D34F6" w:rsidR="00494590" w:rsidRPr="00D71F3E" w:rsidRDefault="00494590" w:rsidP="00D71F3E">
      <w:pPr>
        <w:pStyle w:val="AbstractText"/>
      </w:pPr>
      <w:r w:rsidRPr="00D458C1">
        <w:t xml:space="preserve">Estimates on the level of carbon emission varies but it is generally accepted that buildings </w:t>
      </w:r>
      <w:r w:rsidR="00925571" w:rsidRPr="00D458C1">
        <w:t xml:space="preserve">consume </w:t>
      </w:r>
      <w:r w:rsidRPr="00D458C1">
        <w:t>about half of energy and</w:t>
      </w:r>
      <w:r w:rsidR="00925571" w:rsidRPr="00D458C1">
        <w:t xml:space="preserve"> contribute to</w:t>
      </w:r>
      <w:r w:rsidRPr="00D458C1">
        <w:t xml:space="preserve"> greenhouse gas emissions. Mechanical and electrical (M&amp;E) services accounts for a significant proportion of building projects. Apart from the cost effect, a reduction in carbon footprint can be achieved through M&amp;E services as the capital allowances system and tax relief provides the mechanism to promote sustainability through innovation in green technologies and energy efficiency.  However, the training of quantity surveyors in M</w:t>
      </w:r>
      <w:r w:rsidR="00925571" w:rsidRPr="00D458C1">
        <w:t>&amp;</w:t>
      </w:r>
      <w:r w:rsidRPr="00D458C1">
        <w:t xml:space="preserve">E is often ad hoc making it difficult to realise the maximum potential in carbon reduction. </w:t>
      </w:r>
      <w:r w:rsidR="00BF6C0D" w:rsidRPr="00D458C1">
        <w:t xml:space="preserve">The aim of the study is to enhance the M&amp;E trainings to the Quantity Surveyors (QSs) in order to better contribute to carbon reduction and sustainability of buildings. </w:t>
      </w:r>
      <w:r w:rsidRPr="00D458C1">
        <w:t xml:space="preserve">The </w:t>
      </w:r>
      <w:r w:rsidR="00BF6C0D" w:rsidRPr="00D458C1">
        <w:t>objectives were formulated as</w:t>
      </w:r>
      <w:r w:rsidRPr="00D458C1">
        <w:t xml:space="preserve"> to examine the opportunities for carbon reduction through capital allowances and tax relief and the training implications for Q</w:t>
      </w:r>
      <w:r w:rsidR="00925571" w:rsidRPr="00D458C1">
        <w:t xml:space="preserve">uantity </w:t>
      </w:r>
      <w:r w:rsidRPr="00D458C1">
        <w:t>S</w:t>
      </w:r>
      <w:r w:rsidR="00925571" w:rsidRPr="00D458C1">
        <w:t>urveyors (QS</w:t>
      </w:r>
      <w:r w:rsidRPr="00D458C1">
        <w:t>s</w:t>
      </w:r>
      <w:r w:rsidR="00925571" w:rsidRPr="00D458C1">
        <w:t>)</w:t>
      </w:r>
      <w:r w:rsidRPr="00D458C1">
        <w:t>.</w:t>
      </w:r>
      <w:r w:rsidR="00925571" w:rsidRPr="00D458C1">
        <w:t xml:space="preserve"> </w:t>
      </w:r>
      <w:r w:rsidRPr="00D458C1">
        <w:t>Using an explorative survey and semi-structured interviews, the study found significant gaps in knowledge of the quantity surveyor</w:t>
      </w:r>
      <w:r w:rsidR="002455EB" w:rsidRPr="00D458C1">
        <w:t>s</w:t>
      </w:r>
      <w:r w:rsidRPr="00D458C1">
        <w:t xml:space="preserve"> as limited attention is given to training in M</w:t>
      </w:r>
      <w:r w:rsidR="00925571" w:rsidRPr="00D458C1">
        <w:t>&amp;</w:t>
      </w:r>
      <w:r w:rsidRPr="00D458C1">
        <w:t xml:space="preserve">E services. </w:t>
      </w:r>
      <w:r w:rsidRPr="00D458C1">
        <w:rPr>
          <w:rFonts w:eastAsia="Calibri"/>
        </w:rPr>
        <w:t xml:space="preserve">There is need for a review of </w:t>
      </w:r>
      <w:r w:rsidRPr="00D458C1">
        <w:t>training programmes to ensure that the QS professionals can maximi</w:t>
      </w:r>
      <w:r w:rsidR="00BF6C0D" w:rsidRPr="00D458C1">
        <w:t>s</w:t>
      </w:r>
      <w:r w:rsidRPr="00D458C1">
        <w:t>e the potential in reducing carbon emission through the provision of appropriate cost advice on M&amp;E services that will benefit from capital allowances and tax relief. Other countries can learn from the experience of the UK Government policy, statutory and regulatory framework that underpins the development of capital allowances and tax relief to change behaviour by providing tax and fiscal incentives that will have a positive impact on carbon reduction to mitigate climate change.</w:t>
      </w:r>
    </w:p>
    <w:p w14:paraId="11647E98" w14:textId="0C71B65D" w:rsidR="00494590" w:rsidRPr="00D458C1" w:rsidRDefault="00494590" w:rsidP="004D4E18">
      <w:pPr>
        <w:tabs>
          <w:tab w:val="left" w:pos="1560"/>
        </w:tabs>
        <w:spacing w:after="240"/>
        <w:ind w:left="1560" w:right="567" w:hanging="993"/>
        <w:jc w:val="both"/>
        <w:rPr>
          <w:i/>
          <w:sz w:val="21"/>
          <w:szCs w:val="21"/>
        </w:rPr>
      </w:pPr>
      <w:r w:rsidRPr="00D458C1">
        <w:rPr>
          <w:b/>
          <w:i/>
          <w:sz w:val="21"/>
          <w:szCs w:val="21"/>
        </w:rPr>
        <w:t xml:space="preserve">Keywords: </w:t>
      </w:r>
      <w:r w:rsidR="004D4E18" w:rsidRPr="00D458C1">
        <w:rPr>
          <w:i/>
          <w:sz w:val="21"/>
          <w:szCs w:val="21"/>
        </w:rPr>
        <w:t>Capital Allowances,</w:t>
      </w:r>
      <w:r w:rsidRPr="00D458C1">
        <w:rPr>
          <w:i/>
          <w:sz w:val="21"/>
          <w:szCs w:val="21"/>
        </w:rPr>
        <w:t xml:space="preserve"> Carbon Emission</w:t>
      </w:r>
      <w:r w:rsidR="004D4E18" w:rsidRPr="00D458C1">
        <w:rPr>
          <w:i/>
          <w:sz w:val="21"/>
          <w:szCs w:val="21"/>
        </w:rPr>
        <w:t>,</w:t>
      </w:r>
      <w:r w:rsidRPr="00D458C1">
        <w:rPr>
          <w:i/>
          <w:sz w:val="21"/>
          <w:szCs w:val="21"/>
        </w:rPr>
        <w:t xml:space="preserve"> </w:t>
      </w:r>
      <w:r w:rsidR="004D4E18" w:rsidRPr="00D458C1">
        <w:rPr>
          <w:i/>
          <w:sz w:val="21"/>
          <w:szCs w:val="21"/>
        </w:rPr>
        <w:t>Mechanical and Electrical (M&amp;E),</w:t>
      </w:r>
      <w:r w:rsidRPr="00D458C1">
        <w:rPr>
          <w:i/>
          <w:sz w:val="21"/>
          <w:szCs w:val="21"/>
        </w:rPr>
        <w:t xml:space="preserve"> Quantity Surveyor</w:t>
      </w:r>
      <w:r w:rsidR="004D4E18" w:rsidRPr="00D458C1">
        <w:rPr>
          <w:i/>
          <w:sz w:val="21"/>
          <w:szCs w:val="21"/>
        </w:rPr>
        <w:t>, Sustainability, Tax Relief</w:t>
      </w:r>
    </w:p>
    <w:p w14:paraId="2F7DA3A0" w14:textId="77777777" w:rsidR="00D14140" w:rsidRPr="00D458C1" w:rsidRDefault="00D14140" w:rsidP="004D4E18">
      <w:pPr>
        <w:tabs>
          <w:tab w:val="left" w:pos="1560"/>
        </w:tabs>
        <w:spacing w:after="240"/>
        <w:ind w:left="1560" w:right="567" w:hanging="993"/>
        <w:jc w:val="both"/>
        <w:rPr>
          <w:i/>
          <w:sz w:val="21"/>
          <w:szCs w:val="21"/>
        </w:rPr>
      </w:pPr>
    </w:p>
    <w:p w14:paraId="5AEEDE7A" w14:textId="77777777" w:rsidR="00494590" w:rsidRPr="00D458C1" w:rsidRDefault="00494590" w:rsidP="004D4E18">
      <w:pPr>
        <w:pStyle w:val="Heading1"/>
      </w:pPr>
      <w:r w:rsidRPr="00D458C1">
        <w:t>INTRODUCTION</w:t>
      </w:r>
    </w:p>
    <w:p w14:paraId="18D9D43A" w14:textId="612976E4" w:rsidR="00494590" w:rsidRPr="00D458C1" w:rsidRDefault="00494590" w:rsidP="004D4E18">
      <w:pPr>
        <w:pStyle w:val="PaperBodyText"/>
      </w:pPr>
      <w:r w:rsidRPr="00D458C1">
        <w:t xml:space="preserve">Climate change has been an integral part of the UK government agenda since the Rio, Kyoto and Paris Summits, and it is recognised today as one of the world’s most challenging issues to address (Myers, 2005). The UK government as part of its response have created the legislative framework underpinned by policies and strategies for improving the heat efficiency of buildings responsible for significant carbon emission. </w:t>
      </w:r>
      <w:r w:rsidRPr="00D458C1">
        <w:lastRenderedPageBreak/>
        <w:t xml:space="preserve">Estimates on the level of emission varies but it is generally accepted that buildings </w:t>
      </w:r>
      <w:r w:rsidR="00925571" w:rsidRPr="00D458C1">
        <w:t xml:space="preserve">consume </w:t>
      </w:r>
      <w:r w:rsidRPr="00D458C1">
        <w:t xml:space="preserve">about half of energy and </w:t>
      </w:r>
      <w:r w:rsidR="00925571" w:rsidRPr="00D458C1">
        <w:t xml:space="preserve">contribute to </w:t>
      </w:r>
      <w:r w:rsidRPr="00D458C1">
        <w:t>greenhouse gas emissions (Miller and Buys, 2008). For example, commercial property in the UK produces 10% of greenhouse gas emissions and consumes 7% of energy. It is also estimated in the UK that by 2050 about 70% of today’s buildings will be standing, with 40% built before 1985 (Dixon, 2014). The UK energy policy has been redesigned recently to respond to this challenge of minimizing the impact on climate change by creating buildings with zero carbon emissions (Stevenson, 2013). In the UK, several government initiatives encouraging reform in the construction industry have been published.</w:t>
      </w:r>
    </w:p>
    <w:p w14:paraId="77AF69BE" w14:textId="77777777" w:rsidR="00494590" w:rsidRPr="00D458C1" w:rsidRDefault="00494590" w:rsidP="004D4E18">
      <w:pPr>
        <w:pStyle w:val="PaperBodyText"/>
      </w:pPr>
      <w:r w:rsidRPr="00D458C1">
        <w:rPr>
          <w:rFonts w:eastAsia="Calibri"/>
        </w:rPr>
        <w:t xml:space="preserve">Mechanical and electrical (M&amp;E) services are significant in construction projects in relation to the building total cost. Apart from the cost effect, issues such as energy performance, sustainability, innovation, and life cycle performance have become critical in meeting the government target of reducing carbon through decarbonisation and energy reduction in built environment. Reducing carbon footprint can also be achieved through an appropriate selection of M&amp;E services that will benefit from tax relief as part construction expenditure. However, the industry professionals need to be trained especially those who are responsible for giving cost or procurement advice to maximize the potential in reducing carbon emission in construction projects. </w:t>
      </w:r>
      <w:r w:rsidRPr="00D458C1">
        <w:t xml:space="preserve"> The Governments policy, statutory and regulatory framework are in the form of taxation and levies, reliefs and allowances such as plant and machinery allowances, enhanced capital allowances (ECAs), subsidies and other incentives (HM Government, 2011). </w:t>
      </w:r>
    </w:p>
    <w:p w14:paraId="1F789277" w14:textId="4EFBB17E" w:rsidR="00494590" w:rsidRPr="00D458C1" w:rsidRDefault="00494590" w:rsidP="004D4E18">
      <w:pPr>
        <w:pStyle w:val="PaperBodyText"/>
      </w:pPr>
      <w:r w:rsidRPr="00D458C1">
        <w:t xml:space="preserve">Concern is often expressed regarding the challenge of meeting the requirements of clients in terms of capital expenditure (Capex) and operating expenditure (Opex) of construction projects using more sophisticated project appraisal and cost control techniques that reflects life cycle costs, cash flow and indirect costs such as taxation. However, the client’s requirement must be balanced against any regulation, rules, energy sources and the liquidity of the project (HM Government, 2011). Farey (2015) argued that a longer term approach of whole life cost will provide a more balanced picture reflecting economics, energy and carbon. The challenge for professionals in the built environment, including quantity surveyors is to find an approach where economic, social and environmental factors can be effectively captured for the clients through tax relief and capital allowances for profit maximisation. The assets that benefit from tax relief and capital allowances are mainly mechanical and electrical systems, and related systems such as cold water systems, lifts, escalators and moving walkways, external solar shading, space or water heating systems. However, limited attention is given to training of quantity surveyors in M&amp;E services to maximize the potential in reducing carbon emission through appropriate cost advice on tax relief and capital allowances available for a range of technologies. </w:t>
      </w:r>
      <w:r w:rsidR="00BF6C0D" w:rsidRPr="00D458C1">
        <w:t xml:space="preserve">In this context this paper addresses to examine the scope and opportunities for carbon reduction through M&amp;E services and to </w:t>
      </w:r>
      <w:r w:rsidRPr="00D458C1">
        <w:t>assess the implications for</w:t>
      </w:r>
      <w:r w:rsidR="00BF6C0D" w:rsidRPr="00D458C1">
        <w:t xml:space="preserve"> the training of </w:t>
      </w:r>
      <w:r w:rsidRPr="00D458C1">
        <w:t xml:space="preserve">quantity surveyors (QSs) in </w:t>
      </w:r>
      <w:r w:rsidR="00847CCF" w:rsidRPr="00D458C1">
        <w:t>M</w:t>
      </w:r>
      <w:r w:rsidRPr="00D458C1">
        <w:t>&amp;E services.</w:t>
      </w:r>
      <w:r w:rsidR="00847CCF" w:rsidRPr="00D458C1">
        <w:t xml:space="preserve"> </w:t>
      </w:r>
    </w:p>
    <w:p w14:paraId="66241145" w14:textId="2102F9DE" w:rsidR="00FA0FF3" w:rsidRPr="00D458C1" w:rsidRDefault="00FA0FF3" w:rsidP="00FA0FF3">
      <w:pPr>
        <w:pStyle w:val="Heading1"/>
      </w:pPr>
      <w:r w:rsidRPr="00D458C1">
        <w:t>RESEARCH METHODOLOGY</w:t>
      </w:r>
    </w:p>
    <w:p w14:paraId="050DC0D1" w14:textId="2BCF4F9B" w:rsidR="00BF6C0D" w:rsidRPr="00D458C1" w:rsidRDefault="00FA0FF3" w:rsidP="00FA0FF3">
      <w:pPr>
        <w:jc w:val="both"/>
        <w:rPr>
          <w:rFonts w:cs="Times New Roman"/>
          <w:b/>
        </w:rPr>
      </w:pPr>
      <w:r w:rsidRPr="00D458C1">
        <w:t xml:space="preserve">The objectives of the study were to examine the scope and opportunities for carbon reduction through M&amp;E services, with particular focus on capital-allowances and tax-relief, and to assess the implications for the training of quantity surveyors (QSs) in M&amp;E services. The objective on examining the scope and opportunities for carbon reduction through capital allowance and tax relief was achieved through a comprehensive literature </w:t>
      </w:r>
      <w:r w:rsidRPr="00D458C1">
        <w:lastRenderedPageBreak/>
        <w:t xml:space="preserve">review, which has been presented in the next section. In addition, </w:t>
      </w:r>
      <w:r w:rsidRPr="00D458C1">
        <w:rPr>
          <w:rFonts w:cs="Times New Roman"/>
        </w:rPr>
        <w:t xml:space="preserve">data was collected on </w:t>
      </w:r>
      <w:r w:rsidR="002455EB" w:rsidRPr="00D458C1">
        <w:rPr>
          <w:rFonts w:cs="Times New Roman"/>
        </w:rPr>
        <w:t>twenty-two</w:t>
      </w:r>
      <w:r w:rsidRPr="00D458C1">
        <w:rPr>
          <w:rFonts w:cs="Times New Roman"/>
        </w:rPr>
        <w:t xml:space="preserve"> (22) completed high rise building projects using the Building Cost Information System (BCIS) database to assess the provision of M&amp;E in elemental cost plans in order to highlight the significance of M&amp;E in relation to the total building cost and to find out the scope for reducing the carbon foot print of a project. An exploratory survey was also conducted to establish the M&amp;E related factors that are significantly contributing to the quality of cost plans. As part of this survey, fifty (50) questionnaires were distributed to industry professionals such as Project Quantity Surveyor (PQS) firms/consultancies, main contractors, M&amp;E sub-contractors and specialist M&amp;E sub-contractors and </w:t>
      </w:r>
      <w:r w:rsidR="002455EB" w:rsidRPr="00D458C1">
        <w:rPr>
          <w:rFonts w:cs="Times New Roman"/>
        </w:rPr>
        <w:t>twenty-six</w:t>
      </w:r>
      <w:r w:rsidRPr="00D458C1">
        <w:rPr>
          <w:rFonts w:cs="Times New Roman"/>
        </w:rPr>
        <w:t xml:space="preserve"> (26) completed questionnaires were received, making a response rate of 52%. Finally, three (3) in-depth qualitative expert interviews were conducted to assess the training implications for the QSs.</w:t>
      </w:r>
    </w:p>
    <w:p w14:paraId="27B346D5" w14:textId="119D04CC" w:rsidR="00494590" w:rsidRPr="00D458C1" w:rsidRDefault="00494590" w:rsidP="004D4E18">
      <w:pPr>
        <w:pStyle w:val="Heading1"/>
      </w:pPr>
      <w:r w:rsidRPr="00D458C1">
        <w:t>LITERATURE REVIEW</w:t>
      </w:r>
    </w:p>
    <w:p w14:paraId="23B11D44" w14:textId="588807B2" w:rsidR="00494590" w:rsidRPr="00D458C1" w:rsidRDefault="00494590" w:rsidP="004F070A">
      <w:pPr>
        <w:pStyle w:val="Heading2"/>
        <w:numPr>
          <w:ilvl w:val="1"/>
          <w:numId w:val="11"/>
        </w:numPr>
        <w:rPr>
          <w:rFonts w:eastAsia="Linux Libertine G"/>
          <w:lang w:eastAsia="zh-CN" w:bidi="hi-IN"/>
        </w:rPr>
      </w:pPr>
      <w:r w:rsidRPr="00D458C1">
        <w:rPr>
          <w:rFonts w:eastAsia="Linux Libertine G"/>
          <w:lang w:eastAsia="zh-CN" w:bidi="hi-IN"/>
        </w:rPr>
        <w:t>SIGNIFICANCE OF M</w:t>
      </w:r>
      <w:r w:rsidR="00F81EAF" w:rsidRPr="00D458C1">
        <w:rPr>
          <w:rFonts w:eastAsia="Linux Libertine G"/>
          <w:lang w:eastAsia="zh-CN" w:bidi="hi-IN"/>
        </w:rPr>
        <w:t>&amp;</w:t>
      </w:r>
      <w:r w:rsidRPr="00D458C1">
        <w:rPr>
          <w:rFonts w:eastAsia="Linux Libertine G"/>
          <w:lang w:eastAsia="zh-CN" w:bidi="hi-IN"/>
        </w:rPr>
        <w:t>E SERVICES IN BUILDINGS</w:t>
      </w:r>
    </w:p>
    <w:p w14:paraId="5CBC82E8" w14:textId="7CDB9A9E" w:rsidR="00494590" w:rsidRPr="00D458C1" w:rsidRDefault="00494590" w:rsidP="004D4E18">
      <w:pPr>
        <w:pStyle w:val="PaperBodyText"/>
      </w:pPr>
      <w:r w:rsidRPr="00D458C1">
        <w:t>The provision of mechanical and electrical (M&amp;E) services is a significant component of a building’s overall cost, and in determining the relative success of a project (Cunningham, 2017). The more complex the building, the greater the M&amp;E input that will be required and often the value of M&amp;E can easily exceed other elements of a building project. The total cost of M&amp;E services has grown significantly over the last two decades due to rapidly developing technology, innovation and stringent BREEAM</w:t>
      </w:r>
      <w:r w:rsidR="00F81EAF" w:rsidRPr="00D458C1">
        <w:t xml:space="preserve"> (Building Research Establishment Environmental Assessment Method)</w:t>
      </w:r>
      <w:r w:rsidRPr="00D458C1">
        <w:t xml:space="preserve"> requirements (Li et al, 2013). For example, M&amp;E costs for traditional buildings has risen from 15 to 30% to between 15 to 70% of the total building costs depending on the sophistication of the services (Rawlinson and Dedman, 2010).  Hence, there is a need for robust cost p</w:t>
      </w:r>
      <w:r w:rsidR="003E6C69" w:rsidRPr="00D458C1">
        <w:t>lanning procedures at both pre and post</w:t>
      </w:r>
      <w:r w:rsidRPr="00D458C1">
        <w:t xml:space="preserve"> contract stages of a </w:t>
      </w:r>
      <w:r w:rsidR="003E6C69" w:rsidRPr="00D458C1">
        <w:t>project to ensure the cost of M&amp;</w:t>
      </w:r>
      <w:r w:rsidRPr="00D458C1">
        <w:t>E services is adequately controlled and managed as the design evolves (Swaffield and Pasquire, 2000).</w:t>
      </w:r>
    </w:p>
    <w:p w14:paraId="4FCDB145" w14:textId="17D86464" w:rsidR="004D4E18" w:rsidRPr="00D458C1" w:rsidRDefault="003E6C69" w:rsidP="004D4E18">
      <w:pPr>
        <w:pStyle w:val="PaperBodyText"/>
      </w:pPr>
      <w:r w:rsidRPr="00D458C1">
        <w:rPr>
          <w:rFonts w:eastAsia="Times New Roman"/>
          <w:lang w:eastAsia="en-GB"/>
        </w:rPr>
        <w:t xml:space="preserve">After evaluating cost plans prepared by PQS on </w:t>
      </w:r>
      <w:r w:rsidRPr="00D458C1">
        <w:t>twenty-six different projects,</w:t>
      </w:r>
      <w:r w:rsidR="001C4723" w:rsidRPr="00D458C1">
        <w:t xml:space="preserve"> Yusuf and Mohamed (2014</w:t>
      </w:r>
      <w:r w:rsidRPr="00D458C1">
        <w:t xml:space="preserve">) found that 97% of cost plans were based on incomplete design information. </w:t>
      </w:r>
      <w:r w:rsidR="00494590" w:rsidRPr="00D458C1">
        <w:t>The more uncertain the design information is at pre-contract stage, the more risk there is for the client at tender stage (Davies et al</w:t>
      </w:r>
      <w:r w:rsidR="00443B67">
        <w:t>.</w:t>
      </w:r>
      <w:r w:rsidR="00494590" w:rsidRPr="00D458C1">
        <w:t>, 2009).</w:t>
      </w:r>
      <w:r w:rsidR="00494590" w:rsidRPr="00D458C1">
        <w:rPr>
          <w:b/>
        </w:rPr>
        <w:t xml:space="preserve"> </w:t>
      </w:r>
      <w:r w:rsidR="00494590" w:rsidRPr="00D458C1">
        <w:t>This is further complicated by the practices of some specialist M&amp;E sub-contractors who hold back design ideas to gain competitive advantage during the tender, leading to difficulties in improving design solutions and providing reliable estimates (Mathew &amp; Howell</w:t>
      </w:r>
      <w:r w:rsidR="001C4723" w:rsidRPr="00D458C1">
        <w:t>, 2005). Yusuf and Mohamed (2014</w:t>
      </w:r>
      <w:r w:rsidR="00494590" w:rsidRPr="00D458C1">
        <w:t>) also noted that works not shown on M&amp;E consultant drawings were covered wit</w:t>
      </w:r>
      <w:r w:rsidR="00AE7E0A" w:rsidRPr="00D458C1">
        <w:t>h provisional items including Bills of Quantities (B</w:t>
      </w:r>
      <w:r w:rsidR="00494590" w:rsidRPr="00D458C1">
        <w:t>Q</w:t>
      </w:r>
      <w:r w:rsidR="00AE7E0A" w:rsidRPr="00D458C1">
        <w:t>)</w:t>
      </w:r>
      <w:r w:rsidR="00494590" w:rsidRPr="00D458C1">
        <w:t>/pricing schedules used for tendering purposes. Potts (2008) argued this approach of lump sum provision create a significant risk for the contractor for items missed by the PQS/M&amp;E Consultant. Odeyinka et al (2009) noted that this practice made it extremely difficult and created problems in determining contractors’ interim valuations and pricing variations for M&amp;E sub-contractors. Oforeh (2008) further noted that M&amp;E services were not classified properly in sections as only 10% of the cost plans reviewed made references to the appropriate location of work i.e. external, internal or roof, to allow the tenderer to make necessary allowances</w:t>
      </w:r>
      <w:r w:rsidR="001C4723" w:rsidRPr="00D458C1">
        <w:t>. Yusuf and Mohamed (2014</w:t>
      </w:r>
      <w:r w:rsidR="00494590" w:rsidRPr="00D458C1">
        <w:t xml:space="preserve">) also cited numerous elements such as measurement of pipework and fittings including necessary accessories not clarified in the </w:t>
      </w:r>
      <w:r w:rsidR="00494590" w:rsidRPr="00D458C1">
        <w:lastRenderedPageBreak/>
        <w:t>cost plans. Potts (2008) argued that this pr</w:t>
      </w:r>
      <w:r w:rsidR="00AE7E0A" w:rsidRPr="00D458C1">
        <w:t>actice defeated the idea of a B</w:t>
      </w:r>
      <w:r w:rsidR="00494590" w:rsidRPr="00D458C1">
        <w:t>Q, which is meant to provide a uniform basis for a tenderer and process of “market tests” by the PQS. For example, items</w:t>
      </w:r>
      <w:r w:rsidR="00494590" w:rsidRPr="00D458C1">
        <w:rPr>
          <w:b/>
        </w:rPr>
        <w:t xml:space="preserve"> </w:t>
      </w:r>
      <w:r w:rsidR="00494590" w:rsidRPr="00D458C1">
        <w:t>such as</w:t>
      </w:r>
      <w:r w:rsidR="00494590" w:rsidRPr="00D458C1">
        <w:rPr>
          <w:b/>
        </w:rPr>
        <w:t xml:space="preserve"> </w:t>
      </w:r>
      <w:r w:rsidR="00494590" w:rsidRPr="00D458C1">
        <w:t>Conduit, Trunking, Cable Tray and Cable</w:t>
      </w:r>
      <w:r w:rsidR="00494590" w:rsidRPr="00D458C1">
        <w:rPr>
          <w:b/>
        </w:rPr>
        <w:t xml:space="preserve"> </w:t>
      </w:r>
      <w:r w:rsidR="00494590" w:rsidRPr="00D458C1">
        <w:t xml:space="preserve">are measured separately in the </w:t>
      </w:r>
      <w:r w:rsidR="00AE7E0A" w:rsidRPr="00D458C1">
        <w:t>BQ</w:t>
      </w:r>
      <w:r w:rsidR="00494590" w:rsidRPr="00D458C1">
        <w:t xml:space="preserve"> but in all the cost plans they were lumped in together.</w:t>
      </w:r>
    </w:p>
    <w:p w14:paraId="09773049" w14:textId="54F1F792" w:rsidR="00494590" w:rsidRPr="00D458C1" w:rsidRDefault="00494590" w:rsidP="004F070A">
      <w:pPr>
        <w:pStyle w:val="Heading2"/>
        <w:numPr>
          <w:ilvl w:val="1"/>
          <w:numId w:val="11"/>
        </w:numPr>
        <w:rPr>
          <w:rFonts w:eastAsia="Linux Libertine G"/>
          <w:lang w:eastAsia="zh-CN" w:bidi="hi-IN"/>
        </w:rPr>
      </w:pPr>
      <w:r w:rsidRPr="00D458C1">
        <w:rPr>
          <w:rFonts w:eastAsia="Linux Libertine G"/>
          <w:lang w:eastAsia="zh-CN" w:bidi="hi-IN"/>
        </w:rPr>
        <w:t>CAPIT</w:t>
      </w:r>
      <w:r w:rsidR="00170686" w:rsidRPr="00D458C1">
        <w:rPr>
          <w:rFonts w:eastAsia="Linux Libertine G"/>
          <w:lang w:eastAsia="zh-CN" w:bidi="hi-IN"/>
        </w:rPr>
        <w:t>AL ALLOWANCES AND TAXATION ON M&amp;</w:t>
      </w:r>
      <w:r w:rsidRPr="00D458C1">
        <w:rPr>
          <w:rFonts w:eastAsia="Linux Libertine G"/>
          <w:lang w:eastAsia="zh-CN" w:bidi="hi-IN"/>
        </w:rPr>
        <w:t xml:space="preserve">E SERVICES </w:t>
      </w:r>
    </w:p>
    <w:p w14:paraId="7E5CEDE5" w14:textId="0747CD76" w:rsidR="00203B94" w:rsidRPr="00D458C1" w:rsidRDefault="00494590" w:rsidP="00203B94">
      <w:pPr>
        <w:pStyle w:val="PaperBodyText"/>
      </w:pPr>
      <w:r w:rsidRPr="00D458C1">
        <w:t>The capital allowances and tax relief is a specialist area within the construction industry in the UK with one of the most complex and opaque tax codes (BBC, 2010). The issue becomes complicated when working to meet the sustainability target of the government on low energy and carbon reduction. The capital allowances provide some relief on capital expenditure incurred by clients and end users as they reduce taxable profits which represent real savings. Capital allow</w:t>
      </w:r>
      <w:r w:rsidR="00AE7E0A" w:rsidRPr="00D458C1">
        <w:t>ances on M&amp;E services include: p</w:t>
      </w:r>
      <w:r w:rsidRPr="00D458C1">
        <w:t xml:space="preserve">lant and machinery assets, fixtures and chattels, renovation of a business premises, expenditure on research and development and enterprises Zone allowances backed by </w:t>
      </w:r>
      <w:r w:rsidR="00AE7E0A" w:rsidRPr="00D458C1">
        <w:t>the capital allowances Act 2001 and</w:t>
      </w:r>
      <w:r w:rsidRPr="00D458C1">
        <w:t xml:space="preserve"> Finance Act 2008. Enhanced Capital Allowances (ECAs) was introduced in 2001 in responding to the Kyoto Agreement to reduce UK carbon emission. The assets which are considered are mainly mechanical and electrical systems, cold water systems, lifts, escalators and moving walkways, external solar shading, space or water heating systems. Such assets or systems are for improving the electrical efficiency of lighting and appliances, including the use of heating systems with renewable energy sources which can change building owners and occupiers’ behaviour.</w:t>
      </w:r>
      <w:r w:rsidR="00FC6F91" w:rsidRPr="00D458C1">
        <w:t xml:space="preserve"> </w:t>
      </w:r>
      <w:r w:rsidRPr="00D458C1">
        <w:t>In the UK, capital allowances can improve investment yield and reduce tax liability in property transactions, with the aim of achieving a significant reduction in carbon emissions through reducing demand for energy in buildings, reducing water usage, decarbonising heating and cooling supply (Robinson et al, 2015). Capital allowances are also available on expenditure incurred on refurbishment and fitting out works. Businesses are often under the misconception that becoming an environmentally responsible corporation can be costly and complicated.</w:t>
      </w:r>
      <w:r w:rsidR="00203B94" w:rsidRPr="00D458C1">
        <w:t xml:space="preserve"> </w:t>
      </w:r>
      <w:r w:rsidR="001C4723" w:rsidRPr="00D458C1">
        <w:t>Nevertheless</w:t>
      </w:r>
      <w:r w:rsidR="00203B94" w:rsidRPr="00D458C1">
        <w:t>, significant savings can be achieved on energy bills through the government’s Enhanced Capital Allowances (ECA) scheme (Remark Group, 2013).</w:t>
      </w:r>
      <w:r w:rsidR="00203B94" w:rsidRPr="00D458C1">
        <w:rPr>
          <w:rFonts w:eastAsia="Calibri"/>
        </w:rPr>
        <w:t xml:space="preserve"> </w:t>
      </w:r>
    </w:p>
    <w:p w14:paraId="4EABF485" w14:textId="7B365B71" w:rsidR="008C1A32" w:rsidRPr="00D458C1" w:rsidRDefault="00494590" w:rsidP="004D4E18">
      <w:pPr>
        <w:pStyle w:val="PaperBodyText"/>
      </w:pPr>
      <w:r w:rsidRPr="00D458C1">
        <w:t>Modern energy-efficient equipment can be installed into existing fittings to minimise energy bills which, coupled with the government’s ECA scheme, could offer return on investment within two to three years. It is important that industry professionals such as quantity surveyors responsible for cost advice understand where saving opportunities may lie. The UK government aim to achieve 34% reduction in carbon emissions by 2020 and half of the heat used in buildings will come from low carbon technologies by 2030 which will be backed up by government statue (HM Government, 2011). As part of the government’s climate change management programme, the Enhanced Capital Allowances (ECA) provides 100 per cent first year capital allowance for businesses investing in energy-saving equipment. Companies can apply for assistance with upgrades through the ECA scheme, with the tax relief also extending to parts and labour. As of 1st December 2012, there were 15,968 energy-efficient products eligible for 100 per cent tax relief (Remark Group, 2013).</w:t>
      </w:r>
      <w:r w:rsidRPr="00D458C1">
        <w:rPr>
          <w:rFonts w:eastAsia="Calibri"/>
        </w:rPr>
        <w:t xml:space="preserve"> </w:t>
      </w:r>
      <w:r w:rsidRPr="00D458C1">
        <w:t>Eligibility is determined from the Energy Technology List (ETL) which is typically product specific to review whether they will benefit from ECA (Farey, 2015). For residential or certain charitable developments, consideration is on energy-saving materials subject to a reduced rate of VAT. A variety of tools are available to assess carbon emission such as the Carbon Calculat</w:t>
      </w:r>
      <w:r w:rsidR="00203B94" w:rsidRPr="00D458C1">
        <w:t xml:space="preserve">or (Faithful </w:t>
      </w:r>
      <w:r w:rsidR="00A1343F" w:rsidRPr="00D458C1">
        <w:t>+</w:t>
      </w:r>
      <w:r w:rsidR="00203B94" w:rsidRPr="00D458C1">
        <w:t xml:space="preserve"> </w:t>
      </w:r>
      <w:r w:rsidRPr="00D458C1">
        <w:t xml:space="preserve">Gould, 2012). </w:t>
      </w:r>
      <w:r w:rsidR="008C1A32" w:rsidRPr="00D458C1">
        <w:t xml:space="preserve">Technologies contribute to carbon reduction on variety of M&amp;E services. Some examples </w:t>
      </w:r>
      <w:r w:rsidR="008C1A32" w:rsidRPr="00D458C1">
        <w:lastRenderedPageBreak/>
        <w:t xml:space="preserve">are; a </w:t>
      </w:r>
      <w:r w:rsidR="008C1A32" w:rsidRPr="00D458C1">
        <w:rPr>
          <w:rFonts w:eastAsia="Calibri"/>
        </w:rPr>
        <w:t xml:space="preserve">high efficiency boilers increase capital cost (Capex) by £9,000 (£1/m2), reduce annual running cost (opex) by £15,000 but significantly reduce carbon emissions (35,000 kg CO2 per annum or 4kg CO2/m2); geothermal and heat pumps increase capital cost (capex) by £55,000  (£6.5/m2), decrease annual running cost (opex) by £6,000 with significant reduction in annual carbon emission by 28,000 kg CO2 (3.5 kg CO2/m2); </w:t>
      </w:r>
      <w:r w:rsidR="0006177A" w:rsidRPr="00D458C1">
        <w:rPr>
          <w:rFonts w:eastAsia="Calibri"/>
        </w:rPr>
        <w:t>high efficiency l</w:t>
      </w:r>
      <w:r w:rsidR="008C1A32" w:rsidRPr="00D458C1">
        <w:rPr>
          <w:rFonts w:eastAsia="Calibri"/>
        </w:rPr>
        <w:t>ighting controls initially increase capital cost (capex) by £230,000 (£27/m2), decrease annual running cost (opex) by £4,000 with significant reduction in annual carbon emission by 12,000 kg (1.5kg CO2/m2)</w:t>
      </w:r>
      <w:r w:rsidR="0006177A" w:rsidRPr="00D458C1">
        <w:rPr>
          <w:rFonts w:eastAsia="Calibri"/>
        </w:rPr>
        <w:t>;</w:t>
      </w:r>
      <w:r w:rsidR="008C1A32" w:rsidRPr="00D458C1">
        <w:rPr>
          <w:rFonts w:eastAsia="Calibri"/>
        </w:rPr>
        <w:t xml:space="preserve"> and Photovoltaics (PV) increase capital cost (capex)  by £510,000 (£60/m2), decrease annual running cost (opex) by £11,000 with significant reduction of carbon by 61,000 kg CO2 (7.5 kg CO2/m2)</w:t>
      </w:r>
      <w:r w:rsidR="0006177A" w:rsidRPr="00D458C1">
        <w:rPr>
          <w:rFonts w:eastAsia="Calibri"/>
        </w:rPr>
        <w:t xml:space="preserve"> (</w:t>
      </w:r>
      <w:r w:rsidR="0006177A" w:rsidRPr="00D458C1">
        <w:rPr>
          <w:strike/>
        </w:rPr>
        <w:t>Carbon Trust, 2012 and</w:t>
      </w:r>
      <w:r w:rsidR="0006177A" w:rsidRPr="00D458C1">
        <w:t xml:space="preserve"> Lockie, 2015)</w:t>
      </w:r>
      <w:r w:rsidR="008C1A32" w:rsidRPr="00D458C1">
        <w:rPr>
          <w:rFonts w:eastAsia="Calibri"/>
        </w:rPr>
        <w:t xml:space="preserve">. </w:t>
      </w:r>
    </w:p>
    <w:p w14:paraId="0D318BCD" w14:textId="4B7CACE2" w:rsidR="00494590" w:rsidRPr="00D458C1" w:rsidRDefault="00494590" w:rsidP="004F070A">
      <w:pPr>
        <w:pStyle w:val="Heading2"/>
        <w:numPr>
          <w:ilvl w:val="1"/>
          <w:numId w:val="11"/>
        </w:numPr>
        <w:rPr>
          <w:rFonts w:eastAsia="Linux Libertine G"/>
          <w:lang w:eastAsia="zh-CN" w:bidi="hi-IN"/>
        </w:rPr>
      </w:pPr>
      <w:r w:rsidRPr="00D458C1">
        <w:rPr>
          <w:rFonts w:eastAsia="Linux Libertine G"/>
          <w:lang w:eastAsia="zh-CN" w:bidi="hi-IN"/>
        </w:rPr>
        <w:t xml:space="preserve">SKILLS OF PROFESSIONAL QUANTITY SURVEYOR’S (PQS) </w:t>
      </w:r>
    </w:p>
    <w:p w14:paraId="40CCF032" w14:textId="1B6C3CAA" w:rsidR="00494590" w:rsidRPr="00D458C1" w:rsidRDefault="00494590" w:rsidP="004D4E18">
      <w:pPr>
        <w:pStyle w:val="PaperBodyText"/>
      </w:pPr>
      <w:r w:rsidRPr="00D458C1">
        <w:t>Due to the rising and significant proportion of building cost that is represented by M&amp;E services, the demand for measurement skills required to</w:t>
      </w:r>
      <w:r w:rsidR="00203B94" w:rsidRPr="00D458C1">
        <w:t xml:space="preserve"> produce bills of quantities (B</w:t>
      </w:r>
      <w:r w:rsidRPr="00D458C1">
        <w:t>Q) for M&amp;E services is increasing (McCaffrey, 2010).  However, PQS’s and main contractor QS’s do not have the required skills and knowledge to provide adequate cost advice for M&amp;E services (Olanrewaju &amp; Anahve, 2015). Ashworth et al</w:t>
      </w:r>
      <w:r w:rsidR="00D71F3E">
        <w:t>.,</w:t>
      </w:r>
      <w:r w:rsidRPr="00D458C1">
        <w:t xml:space="preserve"> (2013) found that most PQS firms consider M&amp;E services as the responsibility of a specialist. Some PQS firms only provide mainstream QS services that are focused on the entire project including all specialist work packages. However, </w:t>
      </w:r>
      <w:r w:rsidR="0006177A" w:rsidRPr="00D458C1">
        <w:t>certain</w:t>
      </w:r>
      <w:r w:rsidRPr="00D458C1">
        <w:t xml:space="preserve"> consultancies emp</w:t>
      </w:r>
      <w:r w:rsidR="0006177A" w:rsidRPr="00D458C1">
        <w:t>loy dedicated M&amp;E specialist QS</w:t>
      </w:r>
      <w:r w:rsidRPr="00D458C1">
        <w:t>s to manage the M&amp;E section of all projects.</w:t>
      </w:r>
    </w:p>
    <w:p w14:paraId="112774E6" w14:textId="1F41DF6D" w:rsidR="00494590" w:rsidRDefault="00494590" w:rsidP="004D4E18">
      <w:pPr>
        <w:pStyle w:val="PaperBodyText"/>
      </w:pPr>
      <w:r w:rsidRPr="00D458C1">
        <w:t xml:space="preserve">Earlier studies by Swaffield and Pasquire (2000) noted that there were problems with the knowledge base and skills of quantity surveyors relating to the technologies associated with M&amp;E services. Most recently, Mitchell (2016) identified the main barrier as the lack of technical knowledge of the PQS in the development of fully measured mechanical and electrical </w:t>
      </w:r>
      <w:r w:rsidR="0006177A" w:rsidRPr="00D458C1">
        <w:t>BQ</w:t>
      </w:r>
      <w:r w:rsidRPr="00D458C1">
        <w:t xml:space="preserve">. Mitchell (2016) also noted that M&amp;E sub-contractors had inadequate experience with items measured in </w:t>
      </w:r>
      <w:r w:rsidR="0006177A" w:rsidRPr="00D458C1">
        <w:t>BQ by the PQS</w:t>
      </w:r>
      <w:r w:rsidRPr="00D458C1">
        <w:t xml:space="preserve">. Cunningham (2017) argued that incomplete designs and lack of M&amp;E knowledge by PQS’s has contributed to the absence of detailed measurement of M&amp;E services in the production of bills of quantities. Mitchell (2016) noted that PQS consultancies were still best placed to control project costing but there is a need for upskilling on the technology side. </w:t>
      </w:r>
      <w:r w:rsidR="0006177A" w:rsidRPr="00D458C1">
        <w:t>It</w:t>
      </w:r>
      <w:r w:rsidRPr="00D458C1">
        <w:t xml:space="preserve"> is widely acknowledged that main contractors’ QS also lack M&amp;E knowledge but their interaction with the M&amp;E sub-contractors’ QSs provide strong channels for knowledge transfer and support upstream (Olanrewaju &amp; Anahve, 2015). </w:t>
      </w:r>
      <w:r w:rsidR="007C4A82" w:rsidRPr="00D458C1">
        <w:t xml:space="preserve">Though QSs have a better understanding of M&amp;E services compared to twenty years ago (Cartlidge, 2011), </w:t>
      </w:r>
      <w:r w:rsidR="0006177A" w:rsidRPr="00D458C1">
        <w:t>c</w:t>
      </w:r>
      <w:r w:rsidRPr="00D458C1">
        <w:t xml:space="preserve">lients are increasingly frustrated with the inability of PQS’s to provide accurate cost advice in their cost plans for M&amp;E services as using lump sum approaches to price M&amp;E services is inadequate (Olanrewaju &amp; Anahve 2015). It was further noted by Olanrewaju &amp; Anahve (2015) that despite the existence of limited specialist degree programmes in place at UK universities, there are still question marks with regard to the quality and content of the programmes in terms of the required knowledge expected of M&amp;E quantity surveyors including measurement skills in M&amp;E works. </w:t>
      </w:r>
      <w:r w:rsidR="00AD2567" w:rsidRPr="00AD2567">
        <w:t>Ashworth</w:t>
      </w:r>
      <w:r w:rsidR="00AD2567">
        <w:t>, et al.</w:t>
      </w:r>
      <w:r w:rsidR="00AD2567" w:rsidRPr="00AD2567">
        <w:t xml:space="preserve"> (2013) argued that Quantity Surveyors, who do not possess the required competencies, could not provide value added service for the Client, design team or their employer.</w:t>
      </w:r>
    </w:p>
    <w:p w14:paraId="3D252E8A" w14:textId="77777777" w:rsidR="00342608" w:rsidRPr="00D458C1" w:rsidRDefault="00342608" w:rsidP="004D4E18">
      <w:pPr>
        <w:pStyle w:val="PaperBodyText"/>
        <w:rPr>
          <w:strike/>
        </w:rPr>
      </w:pPr>
    </w:p>
    <w:p w14:paraId="5209B8F5" w14:textId="05838C66" w:rsidR="00494590" w:rsidRPr="00D458C1" w:rsidRDefault="00494590" w:rsidP="004D4E18">
      <w:pPr>
        <w:pStyle w:val="Heading1"/>
      </w:pPr>
      <w:r w:rsidRPr="00D458C1">
        <w:lastRenderedPageBreak/>
        <w:t>FINDINGS AND DISCUSSIONS</w:t>
      </w:r>
    </w:p>
    <w:p w14:paraId="35783E9C" w14:textId="5F9CD754" w:rsidR="00494590" w:rsidRPr="00D458C1" w:rsidRDefault="00494590" w:rsidP="004F070A">
      <w:pPr>
        <w:pStyle w:val="Heading2"/>
        <w:numPr>
          <w:ilvl w:val="1"/>
          <w:numId w:val="11"/>
        </w:numPr>
        <w:rPr>
          <w:rFonts w:eastAsia="Linux Libertine G"/>
          <w:lang w:eastAsia="zh-CN" w:bidi="hi-IN"/>
        </w:rPr>
      </w:pPr>
      <w:r w:rsidRPr="00D458C1">
        <w:rPr>
          <w:rFonts w:eastAsia="Linux Libertine G"/>
          <w:lang w:eastAsia="zh-CN" w:bidi="hi-IN"/>
        </w:rPr>
        <w:t xml:space="preserve">COST OF M&amp;E SERVICES IN BUILDING PROJECTS </w:t>
      </w:r>
    </w:p>
    <w:p w14:paraId="57655DAE" w14:textId="21EC5F43" w:rsidR="00494590" w:rsidRPr="00D458C1" w:rsidRDefault="00494590" w:rsidP="004D4E18">
      <w:pPr>
        <w:pStyle w:val="PaperBodyText"/>
      </w:pPr>
      <w:r w:rsidRPr="00D458C1">
        <w:t>M</w:t>
      </w:r>
      <w:r w:rsidR="00027D90" w:rsidRPr="00D458C1">
        <w:t>&amp;</w:t>
      </w:r>
      <w:r w:rsidRPr="00D458C1">
        <w:t xml:space="preserve">E services are categorised in the Building Cost Information Service (BCIS) database into various sub-elements. For example, 5F (Space Heating and Air Conditioning), 5H (Electrical Installations), 5K (Fire and Lightning Protection) or 5L (Communications and Security Installations). Investing in carbon efficient M&amp;E services can significantly reduce the demand for energy and carbon footprint. Prevention is better than cure as money spent putting measures in place at the initial stage of a project by exploring the provision for enhanced capital allowances systems in meeting the government target can reduce the carbon footprint of a building over its life cycle and promote sustainable homes.  Based on 22 projects analysed (See Table 3) from the BCIS database, the cost for M&amp;E provision is significant in building projects. </w:t>
      </w:r>
    </w:p>
    <w:p w14:paraId="17E793A7" w14:textId="77777777" w:rsidR="00494590" w:rsidRPr="00D458C1" w:rsidRDefault="00494590" w:rsidP="004D4E18">
      <w:pPr>
        <w:pStyle w:val="TableCaption"/>
      </w:pPr>
      <w:r w:rsidRPr="00D458C1">
        <w:t xml:space="preserve">Table 3:  Analysis of M&amp;E Provision in Projects. </w:t>
      </w:r>
    </w:p>
    <w:tbl>
      <w:tblPr>
        <w:tblStyle w:val="LightList-Accent1"/>
        <w:tblW w:w="9062" w:type="dxa"/>
        <w:tblBorders>
          <w:top w:val="single" w:sz="12" w:space="0" w:color="auto"/>
          <w:left w:val="none" w:sz="0" w:space="0" w:color="auto"/>
          <w:bottom w:val="single" w:sz="8" w:space="0" w:color="auto"/>
          <w:right w:val="none" w:sz="0" w:space="0" w:color="auto"/>
        </w:tblBorders>
        <w:tblLayout w:type="fixed"/>
        <w:tblLook w:val="04A0" w:firstRow="1" w:lastRow="0" w:firstColumn="1" w:lastColumn="0" w:noHBand="0" w:noVBand="1"/>
      </w:tblPr>
      <w:tblGrid>
        <w:gridCol w:w="517"/>
        <w:gridCol w:w="2000"/>
        <w:gridCol w:w="592"/>
        <w:gridCol w:w="1276"/>
        <w:gridCol w:w="1275"/>
        <w:gridCol w:w="1418"/>
        <w:gridCol w:w="992"/>
        <w:gridCol w:w="992"/>
      </w:tblGrid>
      <w:tr w:rsidR="00342608" w:rsidRPr="00342608" w14:paraId="243ECD45" w14:textId="77777777" w:rsidTr="00443B67">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517" w:type="dxa"/>
            <w:tcBorders>
              <w:top w:val="single" w:sz="12" w:space="0" w:color="auto"/>
              <w:bottom w:val="single" w:sz="6" w:space="0" w:color="auto"/>
            </w:tcBorders>
            <w:shd w:val="clear" w:color="auto" w:fill="auto"/>
          </w:tcPr>
          <w:p w14:paraId="2A183D9E" w14:textId="77777777" w:rsidR="00494590" w:rsidRPr="00342608" w:rsidRDefault="00494590" w:rsidP="004D4E18">
            <w:pPr>
              <w:rPr>
                <w:color w:val="000000" w:themeColor="text1"/>
              </w:rPr>
            </w:pPr>
          </w:p>
        </w:tc>
        <w:tc>
          <w:tcPr>
            <w:tcW w:w="2000" w:type="dxa"/>
            <w:tcBorders>
              <w:top w:val="single" w:sz="12" w:space="0" w:color="auto"/>
              <w:bottom w:val="single" w:sz="6" w:space="0" w:color="auto"/>
            </w:tcBorders>
            <w:shd w:val="clear" w:color="auto" w:fill="auto"/>
          </w:tcPr>
          <w:p w14:paraId="7F00A8F7" w14:textId="77777777"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Description and type</w:t>
            </w:r>
          </w:p>
        </w:tc>
        <w:tc>
          <w:tcPr>
            <w:tcW w:w="592" w:type="dxa"/>
            <w:tcBorders>
              <w:top w:val="single" w:sz="12" w:space="0" w:color="auto"/>
              <w:bottom w:val="single" w:sz="6" w:space="0" w:color="auto"/>
            </w:tcBorders>
            <w:shd w:val="clear" w:color="auto" w:fill="auto"/>
          </w:tcPr>
          <w:p w14:paraId="575F1260" w14:textId="77777777"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No of Storey</w:t>
            </w:r>
          </w:p>
        </w:tc>
        <w:tc>
          <w:tcPr>
            <w:tcW w:w="1276" w:type="dxa"/>
            <w:tcBorders>
              <w:top w:val="single" w:sz="12" w:space="0" w:color="auto"/>
              <w:bottom w:val="single" w:sz="6" w:space="0" w:color="auto"/>
            </w:tcBorders>
            <w:shd w:val="clear" w:color="auto" w:fill="auto"/>
          </w:tcPr>
          <w:p w14:paraId="7550D672" w14:textId="77777777"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Building Cost (£)</w:t>
            </w:r>
          </w:p>
        </w:tc>
        <w:tc>
          <w:tcPr>
            <w:tcW w:w="1275" w:type="dxa"/>
            <w:tcBorders>
              <w:top w:val="single" w:sz="12" w:space="0" w:color="auto"/>
              <w:bottom w:val="single" w:sz="6" w:space="0" w:color="auto"/>
            </w:tcBorders>
            <w:shd w:val="clear" w:color="auto" w:fill="auto"/>
          </w:tcPr>
          <w:p w14:paraId="393FD0FF" w14:textId="77777777"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Floor area (m</w:t>
            </w:r>
            <w:r w:rsidRPr="00342608">
              <w:rPr>
                <w:color w:val="000000" w:themeColor="text1"/>
                <w:vertAlign w:val="superscript"/>
              </w:rPr>
              <w:t xml:space="preserve">2 </w:t>
            </w:r>
            <w:r w:rsidRPr="00342608">
              <w:rPr>
                <w:color w:val="000000" w:themeColor="text1"/>
              </w:rPr>
              <w:t>)</w:t>
            </w:r>
          </w:p>
        </w:tc>
        <w:tc>
          <w:tcPr>
            <w:tcW w:w="1418" w:type="dxa"/>
            <w:tcBorders>
              <w:top w:val="single" w:sz="12" w:space="0" w:color="auto"/>
              <w:bottom w:val="single" w:sz="6" w:space="0" w:color="auto"/>
            </w:tcBorders>
            <w:shd w:val="clear" w:color="auto" w:fill="auto"/>
          </w:tcPr>
          <w:p w14:paraId="60418A98" w14:textId="5841E314"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color w:val="000000" w:themeColor="text1"/>
              </w:rPr>
            </w:pPr>
            <w:r w:rsidRPr="00342608">
              <w:rPr>
                <w:color w:val="000000" w:themeColor="text1"/>
              </w:rPr>
              <w:t>M&amp;E Cost</w:t>
            </w:r>
          </w:p>
          <w:p w14:paraId="4D6EDFC1" w14:textId="77777777"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 )</w:t>
            </w:r>
          </w:p>
        </w:tc>
        <w:tc>
          <w:tcPr>
            <w:tcW w:w="992" w:type="dxa"/>
            <w:tcBorders>
              <w:top w:val="single" w:sz="12" w:space="0" w:color="auto"/>
              <w:bottom w:val="single" w:sz="6" w:space="0" w:color="auto"/>
            </w:tcBorders>
            <w:shd w:val="clear" w:color="auto" w:fill="auto"/>
          </w:tcPr>
          <w:p w14:paraId="318AD697" w14:textId="1A91087F" w:rsidR="00494590" w:rsidRPr="00342608" w:rsidRDefault="00494590" w:rsidP="00027D90">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M&amp;E as % of Building Cost</w:t>
            </w:r>
          </w:p>
        </w:tc>
        <w:tc>
          <w:tcPr>
            <w:tcW w:w="992" w:type="dxa"/>
            <w:tcBorders>
              <w:top w:val="single" w:sz="12" w:space="0" w:color="auto"/>
              <w:bottom w:val="single" w:sz="6" w:space="0" w:color="auto"/>
              <w:right w:val="nil"/>
            </w:tcBorders>
            <w:shd w:val="clear" w:color="auto" w:fill="auto"/>
          </w:tcPr>
          <w:p w14:paraId="365732C7" w14:textId="13BB7E1F"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color w:val="000000" w:themeColor="text1"/>
              </w:rPr>
            </w:pPr>
            <w:r w:rsidRPr="00342608">
              <w:rPr>
                <w:color w:val="000000" w:themeColor="text1"/>
              </w:rPr>
              <w:t>M&amp;E Cost</w:t>
            </w:r>
          </w:p>
          <w:p w14:paraId="4A43C08D" w14:textId="77777777" w:rsidR="00494590" w:rsidRPr="00342608" w:rsidRDefault="00494590" w:rsidP="004D4E1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42608">
              <w:rPr>
                <w:color w:val="000000" w:themeColor="text1"/>
              </w:rPr>
              <w:t>(£/m2)</w:t>
            </w:r>
          </w:p>
        </w:tc>
      </w:tr>
      <w:tr w:rsidR="00342608" w:rsidRPr="00342608" w14:paraId="0F2722E3"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single" w:sz="6" w:space="0" w:color="auto"/>
              <w:left w:val="nil"/>
              <w:bottom w:val="nil"/>
            </w:tcBorders>
            <w:shd w:val="clear" w:color="auto" w:fill="auto"/>
          </w:tcPr>
          <w:p w14:paraId="1855A710" w14:textId="77777777" w:rsidR="00494590" w:rsidRPr="00342608" w:rsidRDefault="00494590" w:rsidP="004D4E18">
            <w:pPr>
              <w:rPr>
                <w:color w:val="000000" w:themeColor="text1"/>
                <w:sz w:val="18"/>
                <w:szCs w:val="18"/>
              </w:rPr>
            </w:pPr>
            <w:r w:rsidRPr="00342608">
              <w:rPr>
                <w:color w:val="000000" w:themeColor="text1"/>
                <w:sz w:val="18"/>
                <w:szCs w:val="18"/>
              </w:rPr>
              <w:t>1</w:t>
            </w:r>
          </w:p>
        </w:tc>
        <w:tc>
          <w:tcPr>
            <w:tcW w:w="2000" w:type="dxa"/>
            <w:tcBorders>
              <w:top w:val="single" w:sz="6" w:space="0" w:color="auto"/>
              <w:bottom w:val="nil"/>
            </w:tcBorders>
            <w:shd w:val="clear" w:color="auto" w:fill="auto"/>
          </w:tcPr>
          <w:p w14:paraId="28F6BFDF"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45 Flats. </w:t>
            </w:r>
          </w:p>
        </w:tc>
        <w:tc>
          <w:tcPr>
            <w:tcW w:w="592" w:type="dxa"/>
            <w:tcBorders>
              <w:top w:val="single" w:sz="6" w:space="0" w:color="auto"/>
              <w:bottom w:val="nil"/>
            </w:tcBorders>
            <w:shd w:val="clear" w:color="auto" w:fill="auto"/>
          </w:tcPr>
          <w:p w14:paraId="1D2B8430"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single" w:sz="6" w:space="0" w:color="auto"/>
              <w:bottom w:val="nil"/>
            </w:tcBorders>
            <w:shd w:val="clear" w:color="auto" w:fill="auto"/>
          </w:tcPr>
          <w:p w14:paraId="297AE56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£6,303,654  </w:t>
            </w:r>
          </w:p>
        </w:tc>
        <w:tc>
          <w:tcPr>
            <w:tcW w:w="1275" w:type="dxa"/>
            <w:tcBorders>
              <w:top w:val="single" w:sz="6" w:space="0" w:color="auto"/>
              <w:bottom w:val="nil"/>
            </w:tcBorders>
            <w:shd w:val="clear" w:color="auto" w:fill="auto"/>
          </w:tcPr>
          <w:p w14:paraId="6AC0651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3,863m</w:t>
            </w:r>
            <w:r w:rsidRPr="00342608">
              <w:rPr>
                <w:color w:val="000000" w:themeColor="text1"/>
                <w:sz w:val="18"/>
                <w:szCs w:val="18"/>
                <w:vertAlign w:val="superscript"/>
              </w:rPr>
              <w:t>2</w:t>
            </w:r>
          </w:p>
        </w:tc>
        <w:tc>
          <w:tcPr>
            <w:tcW w:w="1418" w:type="dxa"/>
            <w:tcBorders>
              <w:top w:val="single" w:sz="6" w:space="0" w:color="auto"/>
              <w:bottom w:val="nil"/>
            </w:tcBorders>
            <w:shd w:val="clear" w:color="auto" w:fill="auto"/>
          </w:tcPr>
          <w:p w14:paraId="71F2B257"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£1,494,452</w:t>
            </w:r>
          </w:p>
        </w:tc>
        <w:tc>
          <w:tcPr>
            <w:tcW w:w="992" w:type="dxa"/>
            <w:tcBorders>
              <w:top w:val="single" w:sz="6" w:space="0" w:color="auto"/>
              <w:bottom w:val="nil"/>
            </w:tcBorders>
            <w:shd w:val="clear" w:color="auto" w:fill="auto"/>
          </w:tcPr>
          <w:p w14:paraId="06B09A09"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24</w:t>
            </w:r>
          </w:p>
        </w:tc>
        <w:tc>
          <w:tcPr>
            <w:tcW w:w="992" w:type="dxa"/>
            <w:tcBorders>
              <w:top w:val="single" w:sz="6" w:space="0" w:color="auto"/>
              <w:bottom w:val="nil"/>
              <w:right w:val="nil"/>
            </w:tcBorders>
            <w:shd w:val="clear" w:color="auto" w:fill="auto"/>
          </w:tcPr>
          <w:p w14:paraId="40120A6F"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£387</w:t>
            </w:r>
          </w:p>
        </w:tc>
      </w:tr>
      <w:tr w:rsidR="00342608" w:rsidRPr="00342608" w14:paraId="49E92F31"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6B721AC8" w14:textId="77777777" w:rsidR="00494590" w:rsidRPr="00342608" w:rsidRDefault="00494590" w:rsidP="004D4E18">
            <w:pPr>
              <w:rPr>
                <w:color w:val="000000" w:themeColor="text1"/>
                <w:sz w:val="18"/>
                <w:szCs w:val="18"/>
              </w:rPr>
            </w:pPr>
            <w:r w:rsidRPr="00342608">
              <w:rPr>
                <w:color w:val="000000" w:themeColor="text1"/>
                <w:sz w:val="18"/>
                <w:szCs w:val="18"/>
              </w:rPr>
              <w:t>2</w:t>
            </w:r>
          </w:p>
        </w:tc>
        <w:tc>
          <w:tcPr>
            <w:tcW w:w="2000" w:type="dxa"/>
            <w:tcBorders>
              <w:top w:val="nil"/>
              <w:bottom w:val="nil"/>
            </w:tcBorders>
            <w:shd w:val="clear" w:color="auto" w:fill="auto"/>
          </w:tcPr>
          <w:p w14:paraId="137A4CF7"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New 11 Apartments.</w:t>
            </w:r>
          </w:p>
        </w:tc>
        <w:tc>
          <w:tcPr>
            <w:tcW w:w="592" w:type="dxa"/>
            <w:tcBorders>
              <w:top w:val="nil"/>
              <w:bottom w:val="nil"/>
            </w:tcBorders>
            <w:shd w:val="clear" w:color="auto" w:fill="auto"/>
          </w:tcPr>
          <w:p w14:paraId="55E75F32"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283BD53C"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£1,274,196</w:t>
            </w:r>
          </w:p>
        </w:tc>
        <w:tc>
          <w:tcPr>
            <w:tcW w:w="1275" w:type="dxa"/>
            <w:tcBorders>
              <w:top w:val="nil"/>
              <w:bottom w:val="nil"/>
            </w:tcBorders>
            <w:shd w:val="clear" w:color="auto" w:fill="auto"/>
          </w:tcPr>
          <w:p w14:paraId="1A7030FF"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845m</w:t>
            </w:r>
            <w:r w:rsidRPr="00342608">
              <w:rPr>
                <w:color w:val="000000" w:themeColor="text1"/>
                <w:sz w:val="18"/>
                <w:szCs w:val="18"/>
                <w:vertAlign w:val="superscript"/>
              </w:rPr>
              <w:t>2</w:t>
            </w:r>
          </w:p>
        </w:tc>
        <w:tc>
          <w:tcPr>
            <w:tcW w:w="1418" w:type="dxa"/>
            <w:tcBorders>
              <w:top w:val="nil"/>
              <w:bottom w:val="nil"/>
            </w:tcBorders>
            <w:shd w:val="clear" w:color="auto" w:fill="auto"/>
          </w:tcPr>
          <w:p w14:paraId="5D14641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£190,880 </w:t>
            </w:r>
          </w:p>
          <w:p w14:paraId="72502B0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088EBA1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15</w:t>
            </w:r>
          </w:p>
        </w:tc>
        <w:tc>
          <w:tcPr>
            <w:tcW w:w="992" w:type="dxa"/>
            <w:tcBorders>
              <w:top w:val="nil"/>
              <w:bottom w:val="nil"/>
            </w:tcBorders>
            <w:shd w:val="clear" w:color="auto" w:fill="auto"/>
          </w:tcPr>
          <w:p w14:paraId="66865148"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£226</w:t>
            </w:r>
          </w:p>
        </w:tc>
      </w:tr>
      <w:tr w:rsidR="00342608" w:rsidRPr="00342608" w14:paraId="5B3AECC7"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11C44432" w14:textId="77777777" w:rsidR="00494590" w:rsidRPr="00342608" w:rsidRDefault="00494590" w:rsidP="004D4E18">
            <w:pPr>
              <w:rPr>
                <w:color w:val="000000" w:themeColor="text1"/>
                <w:sz w:val="18"/>
                <w:szCs w:val="18"/>
              </w:rPr>
            </w:pPr>
            <w:r w:rsidRPr="00342608">
              <w:rPr>
                <w:color w:val="000000" w:themeColor="text1"/>
                <w:sz w:val="18"/>
                <w:szCs w:val="18"/>
              </w:rPr>
              <w:t>3</w:t>
            </w:r>
          </w:p>
        </w:tc>
        <w:tc>
          <w:tcPr>
            <w:tcW w:w="2000" w:type="dxa"/>
            <w:tcBorders>
              <w:top w:val="nil"/>
              <w:bottom w:val="nil"/>
            </w:tcBorders>
            <w:shd w:val="clear" w:color="auto" w:fill="auto"/>
          </w:tcPr>
          <w:p w14:paraId="3178DA07"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136 Flats and 13 Houses. </w:t>
            </w:r>
          </w:p>
        </w:tc>
        <w:tc>
          <w:tcPr>
            <w:tcW w:w="592" w:type="dxa"/>
            <w:tcBorders>
              <w:top w:val="nil"/>
              <w:bottom w:val="nil"/>
            </w:tcBorders>
            <w:shd w:val="clear" w:color="auto" w:fill="auto"/>
          </w:tcPr>
          <w:p w14:paraId="04510A4D"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3404D196"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£17,154,111</w:t>
            </w:r>
          </w:p>
        </w:tc>
        <w:tc>
          <w:tcPr>
            <w:tcW w:w="1275" w:type="dxa"/>
            <w:tcBorders>
              <w:top w:val="nil"/>
              <w:bottom w:val="nil"/>
            </w:tcBorders>
            <w:shd w:val="clear" w:color="auto" w:fill="auto"/>
          </w:tcPr>
          <w:p w14:paraId="37E94860"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14,799m</w:t>
            </w:r>
            <w:r w:rsidRPr="00342608">
              <w:rPr>
                <w:color w:val="000000" w:themeColor="text1"/>
                <w:sz w:val="18"/>
                <w:szCs w:val="18"/>
                <w:vertAlign w:val="superscript"/>
              </w:rPr>
              <w:t>2</w:t>
            </w:r>
          </w:p>
        </w:tc>
        <w:tc>
          <w:tcPr>
            <w:tcW w:w="1418" w:type="dxa"/>
            <w:tcBorders>
              <w:top w:val="nil"/>
              <w:bottom w:val="nil"/>
            </w:tcBorders>
            <w:shd w:val="clear" w:color="auto" w:fill="auto"/>
          </w:tcPr>
          <w:p w14:paraId="0B8A5F66"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£4,763,970  </w:t>
            </w:r>
          </w:p>
        </w:tc>
        <w:tc>
          <w:tcPr>
            <w:tcW w:w="992" w:type="dxa"/>
            <w:tcBorders>
              <w:top w:val="nil"/>
              <w:bottom w:val="nil"/>
            </w:tcBorders>
            <w:shd w:val="clear" w:color="auto" w:fill="auto"/>
          </w:tcPr>
          <w:p w14:paraId="567A7B5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28</w:t>
            </w:r>
          </w:p>
        </w:tc>
        <w:tc>
          <w:tcPr>
            <w:tcW w:w="992" w:type="dxa"/>
            <w:tcBorders>
              <w:top w:val="nil"/>
              <w:bottom w:val="nil"/>
              <w:right w:val="nil"/>
            </w:tcBorders>
            <w:shd w:val="clear" w:color="auto" w:fill="auto"/>
          </w:tcPr>
          <w:p w14:paraId="33DA5D52"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£322</w:t>
            </w:r>
          </w:p>
        </w:tc>
      </w:tr>
      <w:tr w:rsidR="00342608" w:rsidRPr="00342608" w14:paraId="75DAD064"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7E9A6DE6" w14:textId="77777777" w:rsidR="00494590" w:rsidRPr="00342608" w:rsidRDefault="00494590" w:rsidP="004D4E18">
            <w:pPr>
              <w:rPr>
                <w:color w:val="000000" w:themeColor="text1"/>
                <w:sz w:val="18"/>
                <w:szCs w:val="18"/>
              </w:rPr>
            </w:pPr>
            <w:r w:rsidRPr="00342608">
              <w:rPr>
                <w:color w:val="000000" w:themeColor="text1"/>
                <w:sz w:val="18"/>
                <w:szCs w:val="18"/>
              </w:rPr>
              <w:t>4</w:t>
            </w:r>
          </w:p>
        </w:tc>
        <w:tc>
          <w:tcPr>
            <w:tcW w:w="2000" w:type="dxa"/>
            <w:tcBorders>
              <w:top w:val="nil"/>
              <w:bottom w:val="nil"/>
            </w:tcBorders>
            <w:shd w:val="clear" w:color="auto" w:fill="auto"/>
          </w:tcPr>
          <w:p w14:paraId="05770812"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New 66 Apartments.</w:t>
            </w:r>
          </w:p>
        </w:tc>
        <w:tc>
          <w:tcPr>
            <w:tcW w:w="592" w:type="dxa"/>
            <w:tcBorders>
              <w:top w:val="nil"/>
              <w:bottom w:val="nil"/>
            </w:tcBorders>
            <w:shd w:val="clear" w:color="auto" w:fill="auto"/>
          </w:tcPr>
          <w:p w14:paraId="427D433A"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5A88D3BF"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£7,732,617  </w:t>
            </w:r>
          </w:p>
        </w:tc>
        <w:tc>
          <w:tcPr>
            <w:tcW w:w="1275" w:type="dxa"/>
            <w:tcBorders>
              <w:top w:val="nil"/>
              <w:bottom w:val="nil"/>
            </w:tcBorders>
            <w:shd w:val="clear" w:color="auto" w:fill="auto"/>
          </w:tcPr>
          <w:p w14:paraId="4E3031C2"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7,367m</w:t>
            </w:r>
            <w:r w:rsidRPr="00342608">
              <w:rPr>
                <w:color w:val="000000" w:themeColor="text1"/>
                <w:sz w:val="18"/>
                <w:szCs w:val="18"/>
                <w:vertAlign w:val="superscript"/>
              </w:rPr>
              <w:t>2</w:t>
            </w:r>
          </w:p>
        </w:tc>
        <w:tc>
          <w:tcPr>
            <w:tcW w:w="1418" w:type="dxa"/>
            <w:tcBorders>
              <w:top w:val="nil"/>
              <w:bottom w:val="nil"/>
            </w:tcBorders>
            <w:shd w:val="clear" w:color="auto" w:fill="auto"/>
          </w:tcPr>
          <w:p w14:paraId="29F1C47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£2,002,416  </w:t>
            </w:r>
          </w:p>
        </w:tc>
        <w:tc>
          <w:tcPr>
            <w:tcW w:w="992" w:type="dxa"/>
            <w:tcBorders>
              <w:top w:val="nil"/>
              <w:bottom w:val="nil"/>
            </w:tcBorders>
            <w:shd w:val="clear" w:color="auto" w:fill="auto"/>
          </w:tcPr>
          <w:p w14:paraId="3B0B76D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26</w:t>
            </w:r>
          </w:p>
        </w:tc>
        <w:tc>
          <w:tcPr>
            <w:tcW w:w="992" w:type="dxa"/>
            <w:tcBorders>
              <w:top w:val="nil"/>
              <w:bottom w:val="nil"/>
            </w:tcBorders>
            <w:shd w:val="clear" w:color="auto" w:fill="auto"/>
          </w:tcPr>
          <w:p w14:paraId="41DA7C2E"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£272   </w:t>
            </w:r>
          </w:p>
        </w:tc>
      </w:tr>
      <w:tr w:rsidR="00342608" w:rsidRPr="00342608" w14:paraId="11FE409C"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66798ACE" w14:textId="77777777" w:rsidR="00494590" w:rsidRPr="00342608" w:rsidRDefault="00494590" w:rsidP="004D4E18">
            <w:pPr>
              <w:rPr>
                <w:color w:val="000000" w:themeColor="text1"/>
                <w:sz w:val="18"/>
                <w:szCs w:val="18"/>
              </w:rPr>
            </w:pPr>
            <w:r w:rsidRPr="00342608">
              <w:rPr>
                <w:color w:val="000000" w:themeColor="text1"/>
                <w:sz w:val="18"/>
                <w:szCs w:val="18"/>
              </w:rPr>
              <w:t>5</w:t>
            </w:r>
          </w:p>
        </w:tc>
        <w:tc>
          <w:tcPr>
            <w:tcW w:w="2000" w:type="dxa"/>
            <w:tcBorders>
              <w:top w:val="nil"/>
              <w:bottom w:val="nil"/>
            </w:tcBorders>
            <w:shd w:val="clear" w:color="auto" w:fill="auto"/>
          </w:tcPr>
          <w:p w14:paraId="5FCEF20D"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188 Flats. </w:t>
            </w:r>
          </w:p>
        </w:tc>
        <w:tc>
          <w:tcPr>
            <w:tcW w:w="592" w:type="dxa"/>
            <w:tcBorders>
              <w:top w:val="nil"/>
              <w:bottom w:val="nil"/>
            </w:tcBorders>
            <w:shd w:val="clear" w:color="auto" w:fill="auto"/>
          </w:tcPr>
          <w:p w14:paraId="2128C82C"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10</w:t>
            </w:r>
          </w:p>
        </w:tc>
        <w:tc>
          <w:tcPr>
            <w:tcW w:w="1276" w:type="dxa"/>
            <w:tcBorders>
              <w:top w:val="nil"/>
              <w:bottom w:val="nil"/>
            </w:tcBorders>
            <w:shd w:val="clear" w:color="auto" w:fill="auto"/>
          </w:tcPr>
          <w:p w14:paraId="34940598"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£26,909,535</w:t>
            </w:r>
          </w:p>
        </w:tc>
        <w:tc>
          <w:tcPr>
            <w:tcW w:w="1275" w:type="dxa"/>
            <w:tcBorders>
              <w:top w:val="nil"/>
              <w:bottom w:val="nil"/>
            </w:tcBorders>
            <w:shd w:val="clear" w:color="auto" w:fill="auto"/>
          </w:tcPr>
          <w:p w14:paraId="2DA7683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20,439m</w:t>
            </w:r>
            <w:r w:rsidRPr="00342608">
              <w:rPr>
                <w:color w:val="000000" w:themeColor="text1"/>
                <w:sz w:val="18"/>
                <w:szCs w:val="18"/>
                <w:vertAlign w:val="superscript"/>
              </w:rPr>
              <w:t>2</w:t>
            </w:r>
          </w:p>
        </w:tc>
        <w:tc>
          <w:tcPr>
            <w:tcW w:w="1418" w:type="dxa"/>
            <w:tcBorders>
              <w:top w:val="nil"/>
              <w:bottom w:val="nil"/>
            </w:tcBorders>
            <w:shd w:val="clear" w:color="auto" w:fill="auto"/>
          </w:tcPr>
          <w:p w14:paraId="0A56EC11"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£5,871,855  </w:t>
            </w:r>
          </w:p>
        </w:tc>
        <w:tc>
          <w:tcPr>
            <w:tcW w:w="992" w:type="dxa"/>
            <w:tcBorders>
              <w:top w:val="nil"/>
              <w:bottom w:val="nil"/>
            </w:tcBorders>
            <w:shd w:val="clear" w:color="auto" w:fill="auto"/>
          </w:tcPr>
          <w:p w14:paraId="43AAFDF9"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22</w:t>
            </w:r>
          </w:p>
        </w:tc>
        <w:tc>
          <w:tcPr>
            <w:tcW w:w="992" w:type="dxa"/>
            <w:tcBorders>
              <w:top w:val="nil"/>
              <w:bottom w:val="nil"/>
              <w:right w:val="nil"/>
            </w:tcBorders>
            <w:shd w:val="clear" w:color="auto" w:fill="auto"/>
          </w:tcPr>
          <w:p w14:paraId="11DE235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£287</w:t>
            </w:r>
          </w:p>
        </w:tc>
      </w:tr>
      <w:tr w:rsidR="00342608" w:rsidRPr="00342608" w14:paraId="0E631087" w14:textId="77777777" w:rsidTr="00B33C0D">
        <w:trPr>
          <w:trHeight w:val="517"/>
        </w:trPr>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62015425" w14:textId="77777777" w:rsidR="00494590" w:rsidRPr="00342608" w:rsidRDefault="00494590" w:rsidP="004D4E18">
            <w:pPr>
              <w:rPr>
                <w:color w:val="000000" w:themeColor="text1"/>
                <w:sz w:val="18"/>
                <w:szCs w:val="18"/>
              </w:rPr>
            </w:pPr>
            <w:r w:rsidRPr="00342608">
              <w:rPr>
                <w:color w:val="000000" w:themeColor="text1"/>
                <w:sz w:val="18"/>
                <w:szCs w:val="18"/>
              </w:rPr>
              <w:t>6</w:t>
            </w:r>
          </w:p>
        </w:tc>
        <w:tc>
          <w:tcPr>
            <w:tcW w:w="2000" w:type="dxa"/>
            <w:tcBorders>
              <w:top w:val="nil"/>
              <w:bottom w:val="nil"/>
            </w:tcBorders>
            <w:shd w:val="clear" w:color="auto" w:fill="auto"/>
          </w:tcPr>
          <w:p w14:paraId="68060779"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Refurbishment of 9 Luxury Flats.</w:t>
            </w:r>
          </w:p>
        </w:tc>
        <w:tc>
          <w:tcPr>
            <w:tcW w:w="592" w:type="dxa"/>
            <w:tcBorders>
              <w:top w:val="nil"/>
              <w:bottom w:val="nil"/>
            </w:tcBorders>
            <w:shd w:val="clear" w:color="auto" w:fill="auto"/>
          </w:tcPr>
          <w:p w14:paraId="4A59ACB6"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6D439057"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£3,366,871  </w:t>
            </w:r>
          </w:p>
        </w:tc>
        <w:tc>
          <w:tcPr>
            <w:tcW w:w="1275" w:type="dxa"/>
            <w:tcBorders>
              <w:top w:val="nil"/>
              <w:bottom w:val="nil"/>
            </w:tcBorders>
            <w:shd w:val="clear" w:color="auto" w:fill="auto"/>
          </w:tcPr>
          <w:p w14:paraId="54054BB8"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1,081m</w:t>
            </w:r>
            <w:r w:rsidRPr="00342608">
              <w:rPr>
                <w:color w:val="000000" w:themeColor="text1"/>
                <w:sz w:val="18"/>
                <w:szCs w:val="18"/>
                <w:vertAlign w:val="superscript"/>
              </w:rPr>
              <w:t>2</w:t>
            </w:r>
          </w:p>
        </w:tc>
        <w:tc>
          <w:tcPr>
            <w:tcW w:w="1418" w:type="dxa"/>
            <w:tcBorders>
              <w:top w:val="nil"/>
              <w:bottom w:val="nil"/>
            </w:tcBorders>
            <w:shd w:val="clear" w:color="auto" w:fill="auto"/>
          </w:tcPr>
          <w:p w14:paraId="6A36C442"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£891,232   </w:t>
            </w:r>
          </w:p>
        </w:tc>
        <w:tc>
          <w:tcPr>
            <w:tcW w:w="992" w:type="dxa"/>
            <w:tcBorders>
              <w:top w:val="nil"/>
              <w:bottom w:val="nil"/>
            </w:tcBorders>
            <w:shd w:val="clear" w:color="auto" w:fill="auto"/>
          </w:tcPr>
          <w:p w14:paraId="5213FFD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27</w:t>
            </w:r>
          </w:p>
        </w:tc>
        <w:tc>
          <w:tcPr>
            <w:tcW w:w="992" w:type="dxa"/>
            <w:tcBorders>
              <w:top w:val="nil"/>
              <w:bottom w:val="nil"/>
            </w:tcBorders>
            <w:shd w:val="clear" w:color="auto" w:fill="auto"/>
          </w:tcPr>
          <w:p w14:paraId="644A3869"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£824</w:t>
            </w:r>
          </w:p>
        </w:tc>
      </w:tr>
      <w:tr w:rsidR="00342608" w:rsidRPr="00342608" w14:paraId="3E218A9A"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097DD29A" w14:textId="77777777" w:rsidR="00494590" w:rsidRPr="00342608" w:rsidRDefault="00494590" w:rsidP="004D4E18">
            <w:pPr>
              <w:rPr>
                <w:color w:val="000000" w:themeColor="text1"/>
                <w:sz w:val="18"/>
                <w:szCs w:val="18"/>
              </w:rPr>
            </w:pPr>
            <w:r w:rsidRPr="00342608">
              <w:rPr>
                <w:color w:val="000000" w:themeColor="text1"/>
                <w:sz w:val="18"/>
                <w:szCs w:val="18"/>
              </w:rPr>
              <w:t>7</w:t>
            </w:r>
          </w:p>
        </w:tc>
        <w:tc>
          <w:tcPr>
            <w:tcW w:w="2000" w:type="dxa"/>
            <w:tcBorders>
              <w:top w:val="nil"/>
              <w:bottom w:val="nil"/>
            </w:tcBorders>
            <w:shd w:val="clear" w:color="auto" w:fill="auto"/>
          </w:tcPr>
          <w:p w14:paraId="3B05235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New 17 Flats.</w:t>
            </w:r>
          </w:p>
        </w:tc>
        <w:tc>
          <w:tcPr>
            <w:tcW w:w="592" w:type="dxa"/>
            <w:tcBorders>
              <w:top w:val="nil"/>
              <w:bottom w:val="nil"/>
            </w:tcBorders>
            <w:shd w:val="clear" w:color="auto" w:fill="auto"/>
          </w:tcPr>
          <w:p w14:paraId="4F292EFF"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79FCD289"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£1,370,581</w:t>
            </w:r>
          </w:p>
        </w:tc>
        <w:tc>
          <w:tcPr>
            <w:tcW w:w="1275" w:type="dxa"/>
            <w:tcBorders>
              <w:top w:val="nil"/>
              <w:bottom w:val="nil"/>
            </w:tcBorders>
            <w:shd w:val="clear" w:color="auto" w:fill="auto"/>
          </w:tcPr>
          <w:p w14:paraId="7325D32B"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1,461m</w:t>
            </w:r>
            <w:r w:rsidRPr="00342608">
              <w:rPr>
                <w:color w:val="000000" w:themeColor="text1"/>
                <w:sz w:val="18"/>
                <w:szCs w:val="18"/>
                <w:vertAlign w:val="superscript"/>
              </w:rPr>
              <w:t>2</w:t>
            </w:r>
          </w:p>
        </w:tc>
        <w:tc>
          <w:tcPr>
            <w:tcW w:w="1418" w:type="dxa"/>
            <w:tcBorders>
              <w:top w:val="nil"/>
              <w:bottom w:val="nil"/>
            </w:tcBorders>
            <w:shd w:val="clear" w:color="auto" w:fill="auto"/>
          </w:tcPr>
          <w:p w14:paraId="0D230D23"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£333,055</w:t>
            </w:r>
          </w:p>
          <w:p w14:paraId="14BBBC9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013E2A79"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24</w:t>
            </w:r>
          </w:p>
        </w:tc>
        <w:tc>
          <w:tcPr>
            <w:tcW w:w="992" w:type="dxa"/>
            <w:tcBorders>
              <w:top w:val="nil"/>
              <w:bottom w:val="nil"/>
              <w:right w:val="nil"/>
            </w:tcBorders>
            <w:shd w:val="clear" w:color="auto" w:fill="auto"/>
          </w:tcPr>
          <w:p w14:paraId="48F019FB"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£228</w:t>
            </w:r>
          </w:p>
        </w:tc>
      </w:tr>
      <w:tr w:rsidR="00342608" w:rsidRPr="00342608" w14:paraId="236D04EC"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27CF01C6" w14:textId="77777777" w:rsidR="00494590" w:rsidRPr="00342608" w:rsidRDefault="00494590" w:rsidP="004D4E18">
            <w:pPr>
              <w:rPr>
                <w:color w:val="000000" w:themeColor="text1"/>
                <w:sz w:val="18"/>
                <w:szCs w:val="18"/>
              </w:rPr>
            </w:pPr>
            <w:r w:rsidRPr="00342608">
              <w:rPr>
                <w:color w:val="000000" w:themeColor="text1"/>
                <w:sz w:val="18"/>
                <w:szCs w:val="18"/>
              </w:rPr>
              <w:t>8</w:t>
            </w:r>
          </w:p>
        </w:tc>
        <w:tc>
          <w:tcPr>
            <w:tcW w:w="2000" w:type="dxa"/>
            <w:tcBorders>
              <w:top w:val="nil"/>
              <w:bottom w:val="nil"/>
            </w:tcBorders>
            <w:shd w:val="clear" w:color="auto" w:fill="auto"/>
          </w:tcPr>
          <w:p w14:paraId="4B83DBE0"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60 Flats. </w:t>
            </w:r>
          </w:p>
        </w:tc>
        <w:tc>
          <w:tcPr>
            <w:tcW w:w="592" w:type="dxa"/>
            <w:tcBorders>
              <w:top w:val="nil"/>
              <w:bottom w:val="nil"/>
            </w:tcBorders>
            <w:shd w:val="clear" w:color="auto" w:fill="auto"/>
          </w:tcPr>
          <w:p w14:paraId="1C96FD24"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6779FC9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£6,877,891</w:t>
            </w:r>
          </w:p>
        </w:tc>
        <w:tc>
          <w:tcPr>
            <w:tcW w:w="1275" w:type="dxa"/>
            <w:tcBorders>
              <w:top w:val="nil"/>
              <w:bottom w:val="nil"/>
            </w:tcBorders>
            <w:shd w:val="clear" w:color="auto" w:fill="auto"/>
          </w:tcPr>
          <w:p w14:paraId="4DDCBEC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5,798m</w:t>
            </w:r>
            <w:r w:rsidRPr="00342608">
              <w:rPr>
                <w:color w:val="000000" w:themeColor="text1"/>
                <w:sz w:val="18"/>
                <w:szCs w:val="18"/>
                <w:vertAlign w:val="superscript"/>
              </w:rPr>
              <w:t>2</w:t>
            </w:r>
          </w:p>
        </w:tc>
        <w:tc>
          <w:tcPr>
            <w:tcW w:w="1418" w:type="dxa"/>
            <w:tcBorders>
              <w:top w:val="nil"/>
              <w:bottom w:val="nil"/>
            </w:tcBorders>
            <w:shd w:val="clear" w:color="auto" w:fill="auto"/>
          </w:tcPr>
          <w:p w14:paraId="28904E96"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£1,506,881  </w:t>
            </w:r>
          </w:p>
          <w:p w14:paraId="432385FE"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44D82F46"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22</w:t>
            </w:r>
          </w:p>
        </w:tc>
        <w:tc>
          <w:tcPr>
            <w:tcW w:w="992" w:type="dxa"/>
            <w:tcBorders>
              <w:top w:val="nil"/>
              <w:bottom w:val="nil"/>
            </w:tcBorders>
            <w:shd w:val="clear" w:color="auto" w:fill="auto"/>
          </w:tcPr>
          <w:p w14:paraId="349A6DA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£260</w:t>
            </w:r>
          </w:p>
        </w:tc>
      </w:tr>
      <w:tr w:rsidR="00342608" w:rsidRPr="00342608" w14:paraId="596FA5D1"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28628B22" w14:textId="77777777" w:rsidR="00494590" w:rsidRPr="00342608" w:rsidRDefault="00494590" w:rsidP="004D4E18">
            <w:pPr>
              <w:rPr>
                <w:color w:val="000000" w:themeColor="text1"/>
                <w:sz w:val="18"/>
                <w:szCs w:val="18"/>
              </w:rPr>
            </w:pPr>
            <w:r w:rsidRPr="00342608">
              <w:rPr>
                <w:color w:val="000000" w:themeColor="text1"/>
                <w:sz w:val="18"/>
                <w:szCs w:val="18"/>
              </w:rPr>
              <w:t>9</w:t>
            </w:r>
          </w:p>
        </w:tc>
        <w:tc>
          <w:tcPr>
            <w:tcW w:w="2000" w:type="dxa"/>
            <w:tcBorders>
              <w:top w:val="nil"/>
              <w:bottom w:val="nil"/>
            </w:tcBorders>
            <w:shd w:val="clear" w:color="auto" w:fill="auto"/>
          </w:tcPr>
          <w:p w14:paraId="67805012"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New 29 Flats.</w:t>
            </w:r>
          </w:p>
        </w:tc>
        <w:tc>
          <w:tcPr>
            <w:tcW w:w="592" w:type="dxa"/>
            <w:tcBorders>
              <w:top w:val="nil"/>
              <w:bottom w:val="nil"/>
            </w:tcBorders>
            <w:shd w:val="clear" w:color="auto" w:fill="auto"/>
          </w:tcPr>
          <w:p w14:paraId="408CAFA3"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703AC5AC"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£2,817,140</w:t>
            </w:r>
          </w:p>
        </w:tc>
        <w:tc>
          <w:tcPr>
            <w:tcW w:w="1275" w:type="dxa"/>
            <w:tcBorders>
              <w:top w:val="nil"/>
              <w:bottom w:val="nil"/>
            </w:tcBorders>
            <w:shd w:val="clear" w:color="auto" w:fill="auto"/>
          </w:tcPr>
          <w:p w14:paraId="19BE3FF0"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2,161m</w:t>
            </w:r>
            <w:r w:rsidRPr="00342608">
              <w:rPr>
                <w:color w:val="000000" w:themeColor="text1"/>
                <w:sz w:val="18"/>
                <w:szCs w:val="18"/>
                <w:vertAlign w:val="superscript"/>
              </w:rPr>
              <w:t>2</w:t>
            </w:r>
          </w:p>
        </w:tc>
        <w:tc>
          <w:tcPr>
            <w:tcW w:w="1418" w:type="dxa"/>
            <w:tcBorders>
              <w:top w:val="nil"/>
              <w:bottom w:val="nil"/>
            </w:tcBorders>
            <w:shd w:val="clear" w:color="auto" w:fill="auto"/>
          </w:tcPr>
          <w:p w14:paraId="32A795C2"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£837,498</w:t>
            </w:r>
          </w:p>
        </w:tc>
        <w:tc>
          <w:tcPr>
            <w:tcW w:w="992" w:type="dxa"/>
            <w:tcBorders>
              <w:top w:val="nil"/>
              <w:bottom w:val="nil"/>
            </w:tcBorders>
            <w:shd w:val="clear" w:color="auto" w:fill="auto"/>
          </w:tcPr>
          <w:p w14:paraId="6228F676"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30</w:t>
            </w:r>
          </w:p>
        </w:tc>
        <w:tc>
          <w:tcPr>
            <w:tcW w:w="992" w:type="dxa"/>
            <w:tcBorders>
              <w:top w:val="nil"/>
              <w:bottom w:val="nil"/>
              <w:right w:val="nil"/>
            </w:tcBorders>
            <w:shd w:val="clear" w:color="auto" w:fill="auto"/>
          </w:tcPr>
          <w:p w14:paraId="5883F58A"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£388</w:t>
            </w:r>
          </w:p>
        </w:tc>
      </w:tr>
      <w:tr w:rsidR="00342608" w:rsidRPr="00342608" w14:paraId="1235E17F"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2B393857" w14:textId="77777777" w:rsidR="00494590" w:rsidRPr="00342608" w:rsidRDefault="00494590" w:rsidP="004D4E18">
            <w:pPr>
              <w:rPr>
                <w:color w:val="000000" w:themeColor="text1"/>
                <w:sz w:val="18"/>
                <w:szCs w:val="18"/>
              </w:rPr>
            </w:pPr>
            <w:r w:rsidRPr="00342608">
              <w:rPr>
                <w:color w:val="000000" w:themeColor="text1"/>
                <w:sz w:val="18"/>
                <w:szCs w:val="18"/>
              </w:rPr>
              <w:t>10</w:t>
            </w:r>
          </w:p>
        </w:tc>
        <w:tc>
          <w:tcPr>
            <w:tcW w:w="2000" w:type="dxa"/>
            <w:tcBorders>
              <w:top w:val="nil"/>
              <w:bottom w:val="nil"/>
            </w:tcBorders>
            <w:shd w:val="clear" w:color="auto" w:fill="auto"/>
          </w:tcPr>
          <w:p w14:paraId="4D332D48"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New 27 Flats.</w:t>
            </w:r>
          </w:p>
        </w:tc>
        <w:tc>
          <w:tcPr>
            <w:tcW w:w="592" w:type="dxa"/>
            <w:tcBorders>
              <w:top w:val="nil"/>
              <w:bottom w:val="nil"/>
            </w:tcBorders>
            <w:shd w:val="clear" w:color="auto" w:fill="auto"/>
          </w:tcPr>
          <w:p w14:paraId="3F5D0E87"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7003360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£2,916,416</w:t>
            </w:r>
          </w:p>
        </w:tc>
        <w:tc>
          <w:tcPr>
            <w:tcW w:w="1275" w:type="dxa"/>
            <w:tcBorders>
              <w:top w:val="nil"/>
              <w:bottom w:val="nil"/>
            </w:tcBorders>
            <w:shd w:val="clear" w:color="auto" w:fill="auto"/>
          </w:tcPr>
          <w:p w14:paraId="463D3E8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2,343m</w:t>
            </w:r>
            <w:r w:rsidRPr="00342608">
              <w:rPr>
                <w:color w:val="000000" w:themeColor="text1"/>
                <w:sz w:val="18"/>
                <w:szCs w:val="18"/>
                <w:vertAlign w:val="superscript"/>
              </w:rPr>
              <w:t>2</w:t>
            </w:r>
          </w:p>
        </w:tc>
        <w:tc>
          <w:tcPr>
            <w:tcW w:w="1418" w:type="dxa"/>
            <w:tcBorders>
              <w:top w:val="nil"/>
              <w:bottom w:val="nil"/>
            </w:tcBorders>
            <w:shd w:val="clear" w:color="auto" w:fill="auto"/>
          </w:tcPr>
          <w:p w14:paraId="3693B41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£590,868</w:t>
            </w:r>
          </w:p>
        </w:tc>
        <w:tc>
          <w:tcPr>
            <w:tcW w:w="992" w:type="dxa"/>
            <w:tcBorders>
              <w:top w:val="nil"/>
              <w:bottom w:val="nil"/>
            </w:tcBorders>
            <w:shd w:val="clear" w:color="auto" w:fill="auto"/>
          </w:tcPr>
          <w:p w14:paraId="5B713019"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20</w:t>
            </w:r>
          </w:p>
        </w:tc>
        <w:tc>
          <w:tcPr>
            <w:tcW w:w="992" w:type="dxa"/>
            <w:tcBorders>
              <w:top w:val="nil"/>
              <w:bottom w:val="nil"/>
            </w:tcBorders>
            <w:shd w:val="clear" w:color="auto" w:fill="auto"/>
          </w:tcPr>
          <w:p w14:paraId="204F031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£252   </w:t>
            </w:r>
          </w:p>
        </w:tc>
      </w:tr>
      <w:tr w:rsidR="00342608" w:rsidRPr="00342608" w14:paraId="08979AB8"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381886B3" w14:textId="77777777" w:rsidR="00494590" w:rsidRPr="00342608" w:rsidRDefault="00494590" w:rsidP="004D4E18">
            <w:pPr>
              <w:rPr>
                <w:color w:val="000000" w:themeColor="text1"/>
                <w:sz w:val="18"/>
                <w:szCs w:val="18"/>
              </w:rPr>
            </w:pPr>
            <w:r w:rsidRPr="00342608">
              <w:rPr>
                <w:color w:val="000000" w:themeColor="text1"/>
                <w:sz w:val="18"/>
                <w:szCs w:val="18"/>
              </w:rPr>
              <w:t>11</w:t>
            </w:r>
          </w:p>
        </w:tc>
        <w:tc>
          <w:tcPr>
            <w:tcW w:w="2000" w:type="dxa"/>
            <w:tcBorders>
              <w:top w:val="nil"/>
              <w:bottom w:val="nil"/>
            </w:tcBorders>
            <w:shd w:val="clear" w:color="auto" w:fill="auto"/>
          </w:tcPr>
          <w:p w14:paraId="1FF4586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67 Flats. </w:t>
            </w:r>
          </w:p>
        </w:tc>
        <w:tc>
          <w:tcPr>
            <w:tcW w:w="592" w:type="dxa"/>
            <w:tcBorders>
              <w:top w:val="nil"/>
              <w:bottom w:val="nil"/>
            </w:tcBorders>
            <w:shd w:val="clear" w:color="auto" w:fill="auto"/>
          </w:tcPr>
          <w:p w14:paraId="7BEFEC96"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3E5424C9"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£8,067,258</w:t>
            </w:r>
          </w:p>
        </w:tc>
        <w:tc>
          <w:tcPr>
            <w:tcW w:w="1275" w:type="dxa"/>
            <w:tcBorders>
              <w:top w:val="nil"/>
              <w:bottom w:val="nil"/>
            </w:tcBorders>
            <w:shd w:val="clear" w:color="auto" w:fill="auto"/>
          </w:tcPr>
          <w:p w14:paraId="3D141B3F"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5,995m</w:t>
            </w:r>
            <w:r w:rsidRPr="00342608">
              <w:rPr>
                <w:color w:val="000000" w:themeColor="text1"/>
                <w:sz w:val="18"/>
                <w:szCs w:val="18"/>
                <w:vertAlign w:val="superscript"/>
              </w:rPr>
              <w:t>2</w:t>
            </w:r>
          </w:p>
        </w:tc>
        <w:tc>
          <w:tcPr>
            <w:tcW w:w="1418" w:type="dxa"/>
            <w:tcBorders>
              <w:top w:val="nil"/>
              <w:bottom w:val="nil"/>
            </w:tcBorders>
            <w:shd w:val="clear" w:color="auto" w:fill="auto"/>
          </w:tcPr>
          <w:p w14:paraId="47660CC3"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£2,286,888  </w:t>
            </w:r>
          </w:p>
          <w:p w14:paraId="31047C9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142D82D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28</w:t>
            </w:r>
          </w:p>
        </w:tc>
        <w:tc>
          <w:tcPr>
            <w:tcW w:w="992" w:type="dxa"/>
            <w:tcBorders>
              <w:top w:val="nil"/>
              <w:bottom w:val="nil"/>
              <w:right w:val="nil"/>
            </w:tcBorders>
            <w:shd w:val="clear" w:color="auto" w:fill="auto"/>
          </w:tcPr>
          <w:p w14:paraId="3100D928"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£381</w:t>
            </w:r>
          </w:p>
        </w:tc>
      </w:tr>
      <w:tr w:rsidR="00342608" w:rsidRPr="00342608" w14:paraId="67861D6B"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3B172763" w14:textId="77777777" w:rsidR="00494590" w:rsidRPr="00342608" w:rsidRDefault="00494590" w:rsidP="004D4E18">
            <w:pPr>
              <w:rPr>
                <w:color w:val="000000" w:themeColor="text1"/>
                <w:sz w:val="18"/>
                <w:szCs w:val="18"/>
              </w:rPr>
            </w:pPr>
            <w:r w:rsidRPr="00342608">
              <w:rPr>
                <w:color w:val="000000" w:themeColor="text1"/>
                <w:sz w:val="18"/>
                <w:szCs w:val="18"/>
              </w:rPr>
              <w:t>12</w:t>
            </w:r>
          </w:p>
        </w:tc>
        <w:tc>
          <w:tcPr>
            <w:tcW w:w="2000" w:type="dxa"/>
            <w:tcBorders>
              <w:top w:val="nil"/>
              <w:bottom w:val="nil"/>
            </w:tcBorders>
            <w:shd w:val="clear" w:color="auto" w:fill="auto"/>
          </w:tcPr>
          <w:p w14:paraId="024ED0B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Conversion of Offices to Flats.</w:t>
            </w:r>
          </w:p>
        </w:tc>
        <w:tc>
          <w:tcPr>
            <w:tcW w:w="592" w:type="dxa"/>
            <w:tcBorders>
              <w:top w:val="nil"/>
              <w:bottom w:val="nil"/>
            </w:tcBorders>
            <w:shd w:val="clear" w:color="auto" w:fill="auto"/>
          </w:tcPr>
          <w:p w14:paraId="24A8D3F8"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7BD89760"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£2,984,391</w:t>
            </w:r>
          </w:p>
        </w:tc>
        <w:tc>
          <w:tcPr>
            <w:tcW w:w="1275" w:type="dxa"/>
            <w:tcBorders>
              <w:top w:val="nil"/>
              <w:bottom w:val="nil"/>
            </w:tcBorders>
            <w:shd w:val="clear" w:color="auto" w:fill="auto"/>
          </w:tcPr>
          <w:p w14:paraId="3F343D4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1,078m</w:t>
            </w:r>
            <w:r w:rsidRPr="00342608">
              <w:rPr>
                <w:color w:val="000000" w:themeColor="text1"/>
                <w:sz w:val="18"/>
                <w:szCs w:val="18"/>
                <w:vertAlign w:val="superscript"/>
              </w:rPr>
              <w:t>2</w:t>
            </w:r>
          </w:p>
        </w:tc>
        <w:tc>
          <w:tcPr>
            <w:tcW w:w="1418" w:type="dxa"/>
            <w:tcBorders>
              <w:top w:val="nil"/>
              <w:bottom w:val="nil"/>
            </w:tcBorders>
            <w:shd w:val="clear" w:color="auto" w:fill="auto"/>
          </w:tcPr>
          <w:p w14:paraId="521EB85C"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£1,067,266  </w:t>
            </w:r>
          </w:p>
          <w:p w14:paraId="7F9381C7"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Not explicit </w:t>
            </w:r>
          </w:p>
        </w:tc>
        <w:tc>
          <w:tcPr>
            <w:tcW w:w="992" w:type="dxa"/>
            <w:tcBorders>
              <w:top w:val="nil"/>
              <w:bottom w:val="nil"/>
            </w:tcBorders>
            <w:shd w:val="clear" w:color="auto" w:fill="auto"/>
          </w:tcPr>
          <w:p w14:paraId="58E69FC2"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36</w:t>
            </w:r>
          </w:p>
        </w:tc>
        <w:tc>
          <w:tcPr>
            <w:tcW w:w="992" w:type="dxa"/>
            <w:tcBorders>
              <w:top w:val="nil"/>
              <w:bottom w:val="nil"/>
            </w:tcBorders>
            <w:shd w:val="clear" w:color="auto" w:fill="auto"/>
          </w:tcPr>
          <w:p w14:paraId="228BC80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£990   </w:t>
            </w:r>
          </w:p>
        </w:tc>
      </w:tr>
      <w:tr w:rsidR="00342608" w:rsidRPr="00342608" w14:paraId="09494721"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1F238065" w14:textId="77777777" w:rsidR="00494590" w:rsidRPr="00342608" w:rsidRDefault="00494590" w:rsidP="004D4E18">
            <w:pPr>
              <w:rPr>
                <w:color w:val="000000" w:themeColor="text1"/>
                <w:sz w:val="18"/>
                <w:szCs w:val="18"/>
              </w:rPr>
            </w:pPr>
            <w:r w:rsidRPr="00342608">
              <w:rPr>
                <w:color w:val="000000" w:themeColor="text1"/>
                <w:sz w:val="18"/>
                <w:szCs w:val="18"/>
              </w:rPr>
              <w:t>13</w:t>
            </w:r>
          </w:p>
        </w:tc>
        <w:tc>
          <w:tcPr>
            <w:tcW w:w="2000" w:type="dxa"/>
            <w:tcBorders>
              <w:top w:val="nil"/>
              <w:bottom w:val="nil"/>
            </w:tcBorders>
            <w:shd w:val="clear" w:color="auto" w:fill="auto"/>
          </w:tcPr>
          <w:p w14:paraId="30015319"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New Flats.</w:t>
            </w:r>
          </w:p>
        </w:tc>
        <w:tc>
          <w:tcPr>
            <w:tcW w:w="592" w:type="dxa"/>
            <w:tcBorders>
              <w:top w:val="nil"/>
              <w:bottom w:val="nil"/>
            </w:tcBorders>
            <w:shd w:val="clear" w:color="auto" w:fill="auto"/>
          </w:tcPr>
          <w:p w14:paraId="3DDDA699"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7B4CFE1D"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£4,296,806  </w:t>
            </w:r>
          </w:p>
        </w:tc>
        <w:tc>
          <w:tcPr>
            <w:tcW w:w="1275" w:type="dxa"/>
            <w:tcBorders>
              <w:top w:val="nil"/>
              <w:bottom w:val="nil"/>
            </w:tcBorders>
            <w:shd w:val="clear" w:color="auto" w:fill="auto"/>
          </w:tcPr>
          <w:p w14:paraId="53BDAA20"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3,856m</w:t>
            </w:r>
            <w:r w:rsidRPr="00342608">
              <w:rPr>
                <w:color w:val="000000" w:themeColor="text1"/>
                <w:sz w:val="18"/>
                <w:szCs w:val="18"/>
                <w:vertAlign w:val="superscript"/>
              </w:rPr>
              <w:t>2</w:t>
            </w:r>
          </w:p>
        </w:tc>
        <w:tc>
          <w:tcPr>
            <w:tcW w:w="1418" w:type="dxa"/>
            <w:tcBorders>
              <w:top w:val="nil"/>
              <w:bottom w:val="nil"/>
            </w:tcBorders>
            <w:shd w:val="clear" w:color="auto" w:fill="auto"/>
          </w:tcPr>
          <w:p w14:paraId="2E3476C0"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£1,132,466</w:t>
            </w:r>
          </w:p>
          <w:p w14:paraId="2DBC778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32420601"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26</w:t>
            </w:r>
          </w:p>
        </w:tc>
        <w:tc>
          <w:tcPr>
            <w:tcW w:w="992" w:type="dxa"/>
            <w:tcBorders>
              <w:top w:val="nil"/>
              <w:bottom w:val="nil"/>
              <w:right w:val="nil"/>
            </w:tcBorders>
            <w:shd w:val="clear" w:color="auto" w:fill="auto"/>
          </w:tcPr>
          <w:p w14:paraId="29ED224A"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£294   </w:t>
            </w:r>
          </w:p>
        </w:tc>
      </w:tr>
      <w:tr w:rsidR="00342608" w:rsidRPr="00342608" w14:paraId="532B45E6"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5B3A7316" w14:textId="77777777" w:rsidR="00494590" w:rsidRPr="00342608" w:rsidRDefault="00494590" w:rsidP="004D4E18">
            <w:pPr>
              <w:rPr>
                <w:color w:val="000000" w:themeColor="text1"/>
                <w:sz w:val="18"/>
                <w:szCs w:val="18"/>
              </w:rPr>
            </w:pPr>
            <w:r w:rsidRPr="00342608">
              <w:rPr>
                <w:color w:val="000000" w:themeColor="text1"/>
                <w:sz w:val="18"/>
                <w:szCs w:val="18"/>
              </w:rPr>
              <w:t>14</w:t>
            </w:r>
          </w:p>
        </w:tc>
        <w:tc>
          <w:tcPr>
            <w:tcW w:w="2000" w:type="dxa"/>
            <w:tcBorders>
              <w:top w:val="nil"/>
              <w:bottom w:val="nil"/>
            </w:tcBorders>
            <w:shd w:val="clear" w:color="auto" w:fill="auto"/>
          </w:tcPr>
          <w:p w14:paraId="6C5DF260"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Apartments, </w:t>
            </w:r>
          </w:p>
        </w:tc>
        <w:tc>
          <w:tcPr>
            <w:tcW w:w="592" w:type="dxa"/>
            <w:tcBorders>
              <w:top w:val="nil"/>
              <w:bottom w:val="nil"/>
            </w:tcBorders>
            <w:shd w:val="clear" w:color="auto" w:fill="auto"/>
          </w:tcPr>
          <w:p w14:paraId="6B282F7A"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8</w:t>
            </w:r>
          </w:p>
        </w:tc>
        <w:tc>
          <w:tcPr>
            <w:tcW w:w="1276" w:type="dxa"/>
            <w:tcBorders>
              <w:top w:val="nil"/>
              <w:bottom w:val="nil"/>
            </w:tcBorders>
            <w:shd w:val="clear" w:color="auto" w:fill="auto"/>
          </w:tcPr>
          <w:p w14:paraId="7FB25D05"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£2,667,871  </w:t>
            </w:r>
          </w:p>
        </w:tc>
        <w:tc>
          <w:tcPr>
            <w:tcW w:w="1275" w:type="dxa"/>
            <w:tcBorders>
              <w:top w:val="nil"/>
              <w:bottom w:val="nil"/>
            </w:tcBorders>
            <w:shd w:val="clear" w:color="auto" w:fill="auto"/>
          </w:tcPr>
          <w:p w14:paraId="78A772D6"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2,695m</w:t>
            </w:r>
            <w:r w:rsidRPr="00342608">
              <w:rPr>
                <w:color w:val="000000" w:themeColor="text1"/>
                <w:sz w:val="18"/>
                <w:szCs w:val="18"/>
                <w:vertAlign w:val="superscript"/>
              </w:rPr>
              <w:t>2</w:t>
            </w:r>
          </w:p>
        </w:tc>
        <w:tc>
          <w:tcPr>
            <w:tcW w:w="1418" w:type="dxa"/>
            <w:tcBorders>
              <w:top w:val="nil"/>
              <w:bottom w:val="nil"/>
            </w:tcBorders>
            <w:shd w:val="clear" w:color="auto" w:fill="auto"/>
          </w:tcPr>
          <w:p w14:paraId="4AED7CD8"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£641,340</w:t>
            </w:r>
          </w:p>
          <w:p w14:paraId="13DB431D"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Not explicit </w:t>
            </w:r>
          </w:p>
        </w:tc>
        <w:tc>
          <w:tcPr>
            <w:tcW w:w="992" w:type="dxa"/>
            <w:tcBorders>
              <w:top w:val="nil"/>
              <w:bottom w:val="nil"/>
            </w:tcBorders>
            <w:shd w:val="clear" w:color="auto" w:fill="auto"/>
          </w:tcPr>
          <w:p w14:paraId="5DAA5E70"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24</w:t>
            </w:r>
          </w:p>
        </w:tc>
        <w:tc>
          <w:tcPr>
            <w:tcW w:w="992" w:type="dxa"/>
            <w:tcBorders>
              <w:top w:val="nil"/>
              <w:bottom w:val="nil"/>
            </w:tcBorders>
            <w:shd w:val="clear" w:color="auto" w:fill="auto"/>
          </w:tcPr>
          <w:p w14:paraId="6BF5E3A6"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£238   </w:t>
            </w:r>
          </w:p>
        </w:tc>
      </w:tr>
      <w:tr w:rsidR="00342608" w:rsidRPr="00342608" w14:paraId="718E8B6E"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3E25664A" w14:textId="77777777" w:rsidR="00494590" w:rsidRPr="00342608" w:rsidRDefault="00494590" w:rsidP="004D4E18">
            <w:pPr>
              <w:rPr>
                <w:color w:val="000000" w:themeColor="text1"/>
                <w:sz w:val="18"/>
                <w:szCs w:val="18"/>
              </w:rPr>
            </w:pPr>
            <w:r w:rsidRPr="00342608">
              <w:rPr>
                <w:color w:val="000000" w:themeColor="text1"/>
                <w:sz w:val="18"/>
                <w:szCs w:val="18"/>
              </w:rPr>
              <w:t>15</w:t>
            </w:r>
          </w:p>
        </w:tc>
        <w:tc>
          <w:tcPr>
            <w:tcW w:w="2000" w:type="dxa"/>
            <w:tcBorders>
              <w:top w:val="nil"/>
              <w:bottom w:val="nil"/>
            </w:tcBorders>
            <w:shd w:val="clear" w:color="auto" w:fill="auto"/>
          </w:tcPr>
          <w:p w14:paraId="3BD207A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12 Flats. </w:t>
            </w:r>
          </w:p>
        </w:tc>
        <w:tc>
          <w:tcPr>
            <w:tcW w:w="592" w:type="dxa"/>
            <w:tcBorders>
              <w:top w:val="nil"/>
              <w:bottom w:val="nil"/>
            </w:tcBorders>
            <w:shd w:val="clear" w:color="auto" w:fill="auto"/>
          </w:tcPr>
          <w:p w14:paraId="037BE17E"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42865A1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£1,058,579  </w:t>
            </w:r>
          </w:p>
        </w:tc>
        <w:tc>
          <w:tcPr>
            <w:tcW w:w="1275" w:type="dxa"/>
            <w:tcBorders>
              <w:top w:val="nil"/>
              <w:bottom w:val="nil"/>
            </w:tcBorders>
            <w:shd w:val="clear" w:color="auto" w:fill="auto"/>
          </w:tcPr>
          <w:p w14:paraId="373C0558"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963m</w:t>
            </w:r>
            <w:r w:rsidRPr="00342608">
              <w:rPr>
                <w:color w:val="000000" w:themeColor="text1"/>
                <w:sz w:val="18"/>
                <w:szCs w:val="18"/>
                <w:vertAlign w:val="superscript"/>
              </w:rPr>
              <w:t>2</w:t>
            </w:r>
          </w:p>
        </w:tc>
        <w:tc>
          <w:tcPr>
            <w:tcW w:w="1418" w:type="dxa"/>
            <w:tcBorders>
              <w:top w:val="nil"/>
              <w:bottom w:val="nil"/>
            </w:tcBorders>
            <w:shd w:val="clear" w:color="auto" w:fill="auto"/>
          </w:tcPr>
          <w:p w14:paraId="14A5CFA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£176,992 Not explicit </w:t>
            </w:r>
          </w:p>
        </w:tc>
        <w:tc>
          <w:tcPr>
            <w:tcW w:w="992" w:type="dxa"/>
            <w:tcBorders>
              <w:top w:val="nil"/>
              <w:bottom w:val="nil"/>
            </w:tcBorders>
            <w:shd w:val="clear" w:color="auto" w:fill="auto"/>
          </w:tcPr>
          <w:p w14:paraId="381BBC2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17</w:t>
            </w:r>
          </w:p>
        </w:tc>
        <w:tc>
          <w:tcPr>
            <w:tcW w:w="992" w:type="dxa"/>
            <w:tcBorders>
              <w:top w:val="nil"/>
              <w:bottom w:val="nil"/>
              <w:right w:val="nil"/>
            </w:tcBorders>
            <w:shd w:val="clear" w:color="auto" w:fill="auto"/>
          </w:tcPr>
          <w:p w14:paraId="1B0D8AB2"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£184</w:t>
            </w:r>
          </w:p>
        </w:tc>
      </w:tr>
      <w:tr w:rsidR="00342608" w:rsidRPr="00342608" w14:paraId="064667C2"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0487E0B8" w14:textId="77777777" w:rsidR="00494590" w:rsidRPr="00342608" w:rsidRDefault="00494590" w:rsidP="004D4E18">
            <w:pPr>
              <w:rPr>
                <w:color w:val="000000" w:themeColor="text1"/>
                <w:sz w:val="18"/>
                <w:szCs w:val="18"/>
              </w:rPr>
            </w:pPr>
            <w:r w:rsidRPr="00342608">
              <w:rPr>
                <w:color w:val="000000" w:themeColor="text1"/>
                <w:sz w:val="18"/>
                <w:szCs w:val="18"/>
              </w:rPr>
              <w:t>16</w:t>
            </w:r>
          </w:p>
        </w:tc>
        <w:tc>
          <w:tcPr>
            <w:tcW w:w="2000" w:type="dxa"/>
            <w:tcBorders>
              <w:top w:val="nil"/>
              <w:bottom w:val="nil"/>
            </w:tcBorders>
            <w:shd w:val="clear" w:color="auto" w:fill="auto"/>
          </w:tcPr>
          <w:p w14:paraId="6BC499B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Houses and Flats, </w:t>
            </w:r>
          </w:p>
        </w:tc>
        <w:tc>
          <w:tcPr>
            <w:tcW w:w="592" w:type="dxa"/>
            <w:tcBorders>
              <w:top w:val="nil"/>
              <w:bottom w:val="nil"/>
            </w:tcBorders>
            <w:shd w:val="clear" w:color="auto" w:fill="auto"/>
          </w:tcPr>
          <w:p w14:paraId="704A7F2F"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74FE2FC6"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£8,314,764</w:t>
            </w:r>
          </w:p>
        </w:tc>
        <w:tc>
          <w:tcPr>
            <w:tcW w:w="1275" w:type="dxa"/>
            <w:tcBorders>
              <w:top w:val="nil"/>
              <w:bottom w:val="nil"/>
            </w:tcBorders>
            <w:shd w:val="clear" w:color="auto" w:fill="auto"/>
          </w:tcPr>
          <w:p w14:paraId="567BA8F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9,229m</w:t>
            </w:r>
            <w:r w:rsidRPr="00342608">
              <w:rPr>
                <w:color w:val="000000" w:themeColor="text1"/>
                <w:sz w:val="18"/>
                <w:szCs w:val="18"/>
                <w:vertAlign w:val="superscript"/>
              </w:rPr>
              <w:t>2</w:t>
            </w:r>
          </w:p>
        </w:tc>
        <w:tc>
          <w:tcPr>
            <w:tcW w:w="1418" w:type="dxa"/>
            <w:tcBorders>
              <w:top w:val="nil"/>
              <w:bottom w:val="nil"/>
            </w:tcBorders>
            <w:shd w:val="clear" w:color="auto" w:fill="auto"/>
          </w:tcPr>
          <w:p w14:paraId="610D736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£176,992</w:t>
            </w:r>
          </w:p>
          <w:p w14:paraId="5C1028CD"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72FA3522"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w:t>
            </w:r>
          </w:p>
        </w:tc>
        <w:tc>
          <w:tcPr>
            <w:tcW w:w="992" w:type="dxa"/>
            <w:tcBorders>
              <w:top w:val="nil"/>
              <w:bottom w:val="nil"/>
            </w:tcBorders>
            <w:shd w:val="clear" w:color="auto" w:fill="auto"/>
          </w:tcPr>
          <w:p w14:paraId="03D5527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£184</w:t>
            </w:r>
          </w:p>
          <w:p w14:paraId="29C85A8C"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42608" w:rsidRPr="00342608" w14:paraId="3846C4A4"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5607281C" w14:textId="77777777" w:rsidR="00494590" w:rsidRPr="00342608" w:rsidRDefault="00494590" w:rsidP="004D4E18">
            <w:pPr>
              <w:rPr>
                <w:color w:val="000000" w:themeColor="text1"/>
                <w:sz w:val="18"/>
                <w:szCs w:val="18"/>
              </w:rPr>
            </w:pPr>
            <w:r w:rsidRPr="00342608">
              <w:rPr>
                <w:color w:val="000000" w:themeColor="text1"/>
                <w:sz w:val="18"/>
                <w:szCs w:val="18"/>
              </w:rPr>
              <w:t>17</w:t>
            </w:r>
          </w:p>
        </w:tc>
        <w:tc>
          <w:tcPr>
            <w:tcW w:w="2000" w:type="dxa"/>
            <w:tcBorders>
              <w:top w:val="nil"/>
              <w:bottom w:val="nil"/>
            </w:tcBorders>
            <w:shd w:val="clear" w:color="auto" w:fill="auto"/>
          </w:tcPr>
          <w:p w14:paraId="6B9AA192"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Apartment Block. </w:t>
            </w:r>
          </w:p>
        </w:tc>
        <w:tc>
          <w:tcPr>
            <w:tcW w:w="592" w:type="dxa"/>
            <w:tcBorders>
              <w:top w:val="nil"/>
              <w:bottom w:val="nil"/>
            </w:tcBorders>
            <w:shd w:val="clear" w:color="auto" w:fill="auto"/>
          </w:tcPr>
          <w:p w14:paraId="2635515B"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10</w:t>
            </w:r>
          </w:p>
        </w:tc>
        <w:tc>
          <w:tcPr>
            <w:tcW w:w="1276" w:type="dxa"/>
            <w:tcBorders>
              <w:top w:val="nil"/>
              <w:bottom w:val="nil"/>
            </w:tcBorders>
            <w:shd w:val="clear" w:color="auto" w:fill="auto"/>
          </w:tcPr>
          <w:p w14:paraId="667ED883"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£22,462,729  </w:t>
            </w:r>
          </w:p>
        </w:tc>
        <w:tc>
          <w:tcPr>
            <w:tcW w:w="1275" w:type="dxa"/>
            <w:tcBorders>
              <w:top w:val="nil"/>
              <w:bottom w:val="nil"/>
            </w:tcBorders>
            <w:shd w:val="clear" w:color="auto" w:fill="auto"/>
          </w:tcPr>
          <w:p w14:paraId="2B450C3B"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9,633m</w:t>
            </w:r>
            <w:r w:rsidRPr="00342608">
              <w:rPr>
                <w:color w:val="000000" w:themeColor="text1"/>
                <w:sz w:val="18"/>
                <w:szCs w:val="18"/>
                <w:vertAlign w:val="superscript"/>
              </w:rPr>
              <w:t>2</w:t>
            </w:r>
          </w:p>
        </w:tc>
        <w:tc>
          <w:tcPr>
            <w:tcW w:w="1418" w:type="dxa"/>
            <w:tcBorders>
              <w:top w:val="nil"/>
              <w:bottom w:val="nil"/>
            </w:tcBorders>
            <w:shd w:val="clear" w:color="auto" w:fill="auto"/>
          </w:tcPr>
          <w:p w14:paraId="12F309D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£7,871,300</w:t>
            </w:r>
          </w:p>
        </w:tc>
        <w:tc>
          <w:tcPr>
            <w:tcW w:w="992" w:type="dxa"/>
            <w:tcBorders>
              <w:top w:val="nil"/>
              <w:bottom w:val="nil"/>
            </w:tcBorders>
            <w:shd w:val="clear" w:color="auto" w:fill="auto"/>
          </w:tcPr>
          <w:p w14:paraId="10CCCE0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35</w:t>
            </w:r>
          </w:p>
        </w:tc>
        <w:tc>
          <w:tcPr>
            <w:tcW w:w="992" w:type="dxa"/>
            <w:tcBorders>
              <w:top w:val="nil"/>
              <w:bottom w:val="nil"/>
              <w:right w:val="nil"/>
            </w:tcBorders>
            <w:shd w:val="clear" w:color="auto" w:fill="auto"/>
          </w:tcPr>
          <w:p w14:paraId="1C099FD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£817</w:t>
            </w:r>
          </w:p>
        </w:tc>
      </w:tr>
      <w:tr w:rsidR="00342608" w:rsidRPr="00342608" w14:paraId="742D23AD"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0DF29BE0" w14:textId="77777777" w:rsidR="00494590" w:rsidRPr="00342608" w:rsidRDefault="00494590" w:rsidP="004D4E18">
            <w:pPr>
              <w:rPr>
                <w:color w:val="000000" w:themeColor="text1"/>
                <w:sz w:val="18"/>
                <w:szCs w:val="18"/>
              </w:rPr>
            </w:pPr>
            <w:r w:rsidRPr="00342608">
              <w:rPr>
                <w:color w:val="000000" w:themeColor="text1"/>
                <w:sz w:val="18"/>
                <w:szCs w:val="18"/>
              </w:rPr>
              <w:t>18</w:t>
            </w:r>
          </w:p>
        </w:tc>
        <w:tc>
          <w:tcPr>
            <w:tcW w:w="2000" w:type="dxa"/>
            <w:tcBorders>
              <w:top w:val="nil"/>
              <w:bottom w:val="nil"/>
            </w:tcBorders>
            <w:shd w:val="clear" w:color="auto" w:fill="auto"/>
          </w:tcPr>
          <w:p w14:paraId="2F52A11D"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New Holiday Apartments.</w:t>
            </w:r>
          </w:p>
        </w:tc>
        <w:tc>
          <w:tcPr>
            <w:tcW w:w="592" w:type="dxa"/>
            <w:tcBorders>
              <w:top w:val="nil"/>
              <w:bottom w:val="nil"/>
            </w:tcBorders>
            <w:shd w:val="clear" w:color="auto" w:fill="auto"/>
          </w:tcPr>
          <w:p w14:paraId="0FFBACFB"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4527CBAF"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£3,049,550</w:t>
            </w:r>
          </w:p>
        </w:tc>
        <w:tc>
          <w:tcPr>
            <w:tcW w:w="1275" w:type="dxa"/>
            <w:tcBorders>
              <w:top w:val="nil"/>
              <w:bottom w:val="nil"/>
            </w:tcBorders>
            <w:shd w:val="clear" w:color="auto" w:fill="auto"/>
          </w:tcPr>
          <w:p w14:paraId="22BDE2C0"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1,832m</w:t>
            </w:r>
            <w:r w:rsidRPr="00342608">
              <w:rPr>
                <w:color w:val="000000" w:themeColor="text1"/>
                <w:sz w:val="18"/>
                <w:szCs w:val="18"/>
                <w:vertAlign w:val="superscript"/>
              </w:rPr>
              <w:t>2</w:t>
            </w:r>
          </w:p>
        </w:tc>
        <w:tc>
          <w:tcPr>
            <w:tcW w:w="1418" w:type="dxa"/>
            <w:tcBorders>
              <w:top w:val="nil"/>
              <w:bottom w:val="nil"/>
            </w:tcBorders>
            <w:shd w:val="clear" w:color="auto" w:fill="auto"/>
          </w:tcPr>
          <w:p w14:paraId="69B0A1FC"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£722,866  </w:t>
            </w:r>
          </w:p>
        </w:tc>
        <w:tc>
          <w:tcPr>
            <w:tcW w:w="992" w:type="dxa"/>
            <w:tcBorders>
              <w:top w:val="nil"/>
              <w:bottom w:val="nil"/>
            </w:tcBorders>
            <w:shd w:val="clear" w:color="auto" w:fill="auto"/>
          </w:tcPr>
          <w:p w14:paraId="3843304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24</w:t>
            </w:r>
          </w:p>
        </w:tc>
        <w:tc>
          <w:tcPr>
            <w:tcW w:w="992" w:type="dxa"/>
            <w:tcBorders>
              <w:top w:val="nil"/>
              <w:bottom w:val="nil"/>
            </w:tcBorders>
            <w:shd w:val="clear" w:color="auto" w:fill="auto"/>
          </w:tcPr>
          <w:p w14:paraId="049F73E1"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£395</w:t>
            </w:r>
          </w:p>
        </w:tc>
      </w:tr>
      <w:tr w:rsidR="00342608" w:rsidRPr="00342608" w14:paraId="74AEC993"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02BE92BF" w14:textId="77777777" w:rsidR="00494590" w:rsidRPr="00342608" w:rsidRDefault="00494590" w:rsidP="004D4E18">
            <w:pPr>
              <w:rPr>
                <w:color w:val="000000" w:themeColor="text1"/>
                <w:sz w:val="18"/>
                <w:szCs w:val="18"/>
              </w:rPr>
            </w:pPr>
            <w:r w:rsidRPr="00342608">
              <w:rPr>
                <w:color w:val="000000" w:themeColor="text1"/>
                <w:sz w:val="18"/>
                <w:szCs w:val="18"/>
              </w:rPr>
              <w:t>19</w:t>
            </w:r>
          </w:p>
        </w:tc>
        <w:tc>
          <w:tcPr>
            <w:tcW w:w="2000" w:type="dxa"/>
            <w:tcBorders>
              <w:top w:val="nil"/>
              <w:bottom w:val="nil"/>
            </w:tcBorders>
            <w:shd w:val="clear" w:color="auto" w:fill="auto"/>
          </w:tcPr>
          <w:p w14:paraId="6410564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Fitting Out of Flats. </w:t>
            </w:r>
          </w:p>
        </w:tc>
        <w:tc>
          <w:tcPr>
            <w:tcW w:w="592" w:type="dxa"/>
            <w:tcBorders>
              <w:top w:val="nil"/>
              <w:bottom w:val="nil"/>
            </w:tcBorders>
            <w:shd w:val="clear" w:color="auto" w:fill="auto"/>
          </w:tcPr>
          <w:p w14:paraId="61CA6757"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w:t>
            </w:r>
          </w:p>
        </w:tc>
        <w:tc>
          <w:tcPr>
            <w:tcW w:w="1276" w:type="dxa"/>
            <w:tcBorders>
              <w:top w:val="nil"/>
              <w:bottom w:val="nil"/>
            </w:tcBorders>
            <w:shd w:val="clear" w:color="auto" w:fill="auto"/>
          </w:tcPr>
          <w:p w14:paraId="2CEB500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£947,798  </w:t>
            </w:r>
          </w:p>
        </w:tc>
        <w:tc>
          <w:tcPr>
            <w:tcW w:w="1275" w:type="dxa"/>
            <w:tcBorders>
              <w:top w:val="nil"/>
              <w:bottom w:val="nil"/>
            </w:tcBorders>
            <w:shd w:val="clear" w:color="auto" w:fill="auto"/>
          </w:tcPr>
          <w:p w14:paraId="5A699A5E"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1,851m</w:t>
            </w:r>
            <w:r w:rsidRPr="00342608">
              <w:rPr>
                <w:color w:val="000000" w:themeColor="text1"/>
                <w:sz w:val="18"/>
                <w:szCs w:val="18"/>
                <w:vertAlign w:val="superscript"/>
              </w:rPr>
              <w:t>2</w:t>
            </w:r>
          </w:p>
        </w:tc>
        <w:tc>
          <w:tcPr>
            <w:tcW w:w="1418" w:type="dxa"/>
            <w:tcBorders>
              <w:top w:val="nil"/>
              <w:bottom w:val="nil"/>
            </w:tcBorders>
            <w:shd w:val="clear" w:color="auto" w:fill="auto"/>
          </w:tcPr>
          <w:p w14:paraId="2053FE16"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£191,555</w:t>
            </w:r>
          </w:p>
        </w:tc>
        <w:tc>
          <w:tcPr>
            <w:tcW w:w="992" w:type="dxa"/>
            <w:tcBorders>
              <w:top w:val="nil"/>
              <w:bottom w:val="nil"/>
            </w:tcBorders>
            <w:shd w:val="clear" w:color="auto" w:fill="auto"/>
          </w:tcPr>
          <w:p w14:paraId="51476816"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20</w:t>
            </w:r>
          </w:p>
        </w:tc>
        <w:tc>
          <w:tcPr>
            <w:tcW w:w="992" w:type="dxa"/>
            <w:tcBorders>
              <w:top w:val="nil"/>
              <w:bottom w:val="nil"/>
              <w:right w:val="nil"/>
            </w:tcBorders>
            <w:shd w:val="clear" w:color="auto" w:fill="auto"/>
          </w:tcPr>
          <w:p w14:paraId="3B70E28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£103</w:t>
            </w:r>
          </w:p>
        </w:tc>
      </w:tr>
      <w:tr w:rsidR="00342608" w:rsidRPr="00342608" w14:paraId="5AC973BF" w14:textId="77777777" w:rsidTr="00B33C0D">
        <w:tc>
          <w:tcPr>
            <w:cnfStyle w:val="001000000000" w:firstRow="0" w:lastRow="0" w:firstColumn="1" w:lastColumn="0" w:oddVBand="0" w:evenVBand="0" w:oddHBand="0" w:evenHBand="0" w:firstRowFirstColumn="0" w:firstRowLastColumn="0" w:lastRowFirstColumn="0" w:lastRowLastColumn="0"/>
            <w:tcW w:w="517" w:type="dxa"/>
            <w:tcBorders>
              <w:top w:val="nil"/>
              <w:bottom w:val="nil"/>
            </w:tcBorders>
            <w:shd w:val="clear" w:color="auto" w:fill="auto"/>
          </w:tcPr>
          <w:p w14:paraId="7078149F" w14:textId="77777777" w:rsidR="00494590" w:rsidRPr="00342608" w:rsidRDefault="00494590" w:rsidP="004D4E18">
            <w:pPr>
              <w:rPr>
                <w:color w:val="000000" w:themeColor="text1"/>
                <w:sz w:val="18"/>
                <w:szCs w:val="18"/>
              </w:rPr>
            </w:pPr>
            <w:r w:rsidRPr="00342608">
              <w:rPr>
                <w:color w:val="000000" w:themeColor="text1"/>
                <w:sz w:val="18"/>
                <w:szCs w:val="18"/>
              </w:rPr>
              <w:t>20</w:t>
            </w:r>
          </w:p>
        </w:tc>
        <w:tc>
          <w:tcPr>
            <w:tcW w:w="2000" w:type="dxa"/>
            <w:tcBorders>
              <w:top w:val="nil"/>
              <w:bottom w:val="nil"/>
            </w:tcBorders>
            <w:shd w:val="clear" w:color="auto" w:fill="auto"/>
          </w:tcPr>
          <w:p w14:paraId="49BBFA4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General and Wheelchair Flats. </w:t>
            </w:r>
          </w:p>
        </w:tc>
        <w:tc>
          <w:tcPr>
            <w:tcW w:w="592" w:type="dxa"/>
            <w:tcBorders>
              <w:top w:val="nil"/>
              <w:bottom w:val="nil"/>
            </w:tcBorders>
            <w:shd w:val="clear" w:color="auto" w:fill="auto"/>
          </w:tcPr>
          <w:p w14:paraId="4B7DE3B1"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w:t>
            </w:r>
          </w:p>
        </w:tc>
        <w:tc>
          <w:tcPr>
            <w:tcW w:w="1276" w:type="dxa"/>
            <w:tcBorders>
              <w:top w:val="nil"/>
              <w:bottom w:val="nil"/>
            </w:tcBorders>
            <w:shd w:val="clear" w:color="auto" w:fill="auto"/>
          </w:tcPr>
          <w:p w14:paraId="3794CBFA"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£2,508,756  </w:t>
            </w:r>
          </w:p>
        </w:tc>
        <w:tc>
          <w:tcPr>
            <w:tcW w:w="1275" w:type="dxa"/>
            <w:tcBorders>
              <w:top w:val="nil"/>
              <w:bottom w:val="nil"/>
            </w:tcBorders>
            <w:shd w:val="clear" w:color="auto" w:fill="auto"/>
          </w:tcPr>
          <w:p w14:paraId="62620505"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2,157m</w:t>
            </w:r>
            <w:r w:rsidRPr="00342608">
              <w:rPr>
                <w:color w:val="000000" w:themeColor="text1"/>
                <w:sz w:val="18"/>
                <w:szCs w:val="18"/>
                <w:vertAlign w:val="superscript"/>
              </w:rPr>
              <w:t>2</w:t>
            </w:r>
          </w:p>
        </w:tc>
        <w:tc>
          <w:tcPr>
            <w:tcW w:w="1418" w:type="dxa"/>
            <w:tcBorders>
              <w:top w:val="nil"/>
              <w:bottom w:val="nil"/>
            </w:tcBorders>
            <w:shd w:val="clear" w:color="auto" w:fill="auto"/>
          </w:tcPr>
          <w:p w14:paraId="65676A6E"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£710,013</w:t>
            </w:r>
          </w:p>
          <w:p w14:paraId="4B6AE117"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Not explicit</w:t>
            </w:r>
          </w:p>
        </w:tc>
        <w:tc>
          <w:tcPr>
            <w:tcW w:w="992" w:type="dxa"/>
            <w:tcBorders>
              <w:top w:val="nil"/>
              <w:bottom w:val="nil"/>
            </w:tcBorders>
            <w:shd w:val="clear" w:color="auto" w:fill="auto"/>
          </w:tcPr>
          <w:p w14:paraId="5E4A151B"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28</w:t>
            </w:r>
          </w:p>
        </w:tc>
        <w:tc>
          <w:tcPr>
            <w:tcW w:w="992" w:type="dxa"/>
            <w:tcBorders>
              <w:top w:val="nil"/>
              <w:bottom w:val="nil"/>
            </w:tcBorders>
            <w:shd w:val="clear" w:color="auto" w:fill="auto"/>
          </w:tcPr>
          <w:p w14:paraId="5B18A046"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£329</w:t>
            </w:r>
          </w:p>
        </w:tc>
      </w:tr>
      <w:tr w:rsidR="00342608" w:rsidRPr="00342608" w14:paraId="41DB999C" w14:textId="77777777" w:rsidTr="00342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nil"/>
              <w:left w:val="nil"/>
              <w:bottom w:val="nil"/>
            </w:tcBorders>
            <w:shd w:val="clear" w:color="auto" w:fill="auto"/>
          </w:tcPr>
          <w:p w14:paraId="7D6A49D0" w14:textId="77777777" w:rsidR="00494590" w:rsidRPr="00342608" w:rsidRDefault="00494590" w:rsidP="004D4E18">
            <w:pPr>
              <w:rPr>
                <w:color w:val="000000" w:themeColor="text1"/>
                <w:sz w:val="18"/>
                <w:szCs w:val="18"/>
              </w:rPr>
            </w:pPr>
            <w:r w:rsidRPr="00342608">
              <w:rPr>
                <w:color w:val="000000" w:themeColor="text1"/>
                <w:sz w:val="18"/>
                <w:szCs w:val="18"/>
              </w:rPr>
              <w:t>21</w:t>
            </w:r>
          </w:p>
        </w:tc>
        <w:tc>
          <w:tcPr>
            <w:tcW w:w="2000" w:type="dxa"/>
            <w:tcBorders>
              <w:top w:val="nil"/>
              <w:bottom w:val="nil"/>
            </w:tcBorders>
            <w:shd w:val="clear" w:color="auto" w:fill="auto"/>
          </w:tcPr>
          <w:p w14:paraId="719EB230"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 xml:space="preserve">New Apartment Block. </w:t>
            </w:r>
          </w:p>
        </w:tc>
        <w:tc>
          <w:tcPr>
            <w:tcW w:w="592" w:type="dxa"/>
            <w:tcBorders>
              <w:top w:val="nil"/>
              <w:bottom w:val="nil"/>
            </w:tcBorders>
            <w:shd w:val="clear" w:color="auto" w:fill="auto"/>
          </w:tcPr>
          <w:p w14:paraId="7026BE91" w14:textId="77777777" w:rsidR="00494590" w:rsidRPr="00342608" w:rsidRDefault="00494590" w:rsidP="004D4E18">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10</w:t>
            </w:r>
          </w:p>
        </w:tc>
        <w:tc>
          <w:tcPr>
            <w:tcW w:w="1276" w:type="dxa"/>
            <w:tcBorders>
              <w:top w:val="nil"/>
              <w:bottom w:val="nil"/>
            </w:tcBorders>
            <w:shd w:val="clear" w:color="auto" w:fill="auto"/>
          </w:tcPr>
          <w:p w14:paraId="1969A682"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£8,723,304  </w:t>
            </w:r>
          </w:p>
        </w:tc>
        <w:tc>
          <w:tcPr>
            <w:tcW w:w="1275" w:type="dxa"/>
            <w:tcBorders>
              <w:top w:val="nil"/>
              <w:bottom w:val="nil"/>
            </w:tcBorders>
            <w:shd w:val="clear" w:color="auto" w:fill="auto"/>
          </w:tcPr>
          <w:p w14:paraId="05257703"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6,202m</w:t>
            </w:r>
            <w:r w:rsidRPr="00342608">
              <w:rPr>
                <w:color w:val="000000" w:themeColor="text1"/>
                <w:sz w:val="18"/>
                <w:szCs w:val="18"/>
                <w:vertAlign w:val="superscript"/>
              </w:rPr>
              <w:t>2</w:t>
            </w:r>
          </w:p>
        </w:tc>
        <w:tc>
          <w:tcPr>
            <w:tcW w:w="1418" w:type="dxa"/>
            <w:tcBorders>
              <w:top w:val="nil"/>
              <w:bottom w:val="nil"/>
            </w:tcBorders>
            <w:shd w:val="clear" w:color="auto" w:fill="auto"/>
          </w:tcPr>
          <w:p w14:paraId="095360E5"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£2,249,844  </w:t>
            </w:r>
          </w:p>
        </w:tc>
        <w:tc>
          <w:tcPr>
            <w:tcW w:w="992" w:type="dxa"/>
            <w:tcBorders>
              <w:top w:val="nil"/>
              <w:bottom w:val="nil"/>
            </w:tcBorders>
            <w:shd w:val="clear" w:color="auto" w:fill="auto"/>
          </w:tcPr>
          <w:p w14:paraId="5EB8EA83"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26</w:t>
            </w:r>
          </w:p>
        </w:tc>
        <w:tc>
          <w:tcPr>
            <w:tcW w:w="992" w:type="dxa"/>
            <w:tcBorders>
              <w:top w:val="nil"/>
              <w:bottom w:val="nil"/>
              <w:right w:val="nil"/>
            </w:tcBorders>
            <w:shd w:val="clear" w:color="auto" w:fill="auto"/>
          </w:tcPr>
          <w:p w14:paraId="77097BB4" w14:textId="77777777" w:rsidR="00494590" w:rsidRPr="00342608" w:rsidRDefault="00494590" w:rsidP="004D4E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42608">
              <w:rPr>
                <w:color w:val="000000" w:themeColor="text1"/>
                <w:sz w:val="18"/>
                <w:szCs w:val="18"/>
              </w:rPr>
              <w:t>£363</w:t>
            </w:r>
          </w:p>
        </w:tc>
      </w:tr>
      <w:tr w:rsidR="00342608" w:rsidRPr="00342608" w14:paraId="5FA70D9C" w14:textId="77777777" w:rsidTr="00443B67">
        <w:tc>
          <w:tcPr>
            <w:cnfStyle w:val="001000000000" w:firstRow="0" w:lastRow="0" w:firstColumn="1" w:lastColumn="0" w:oddVBand="0" w:evenVBand="0" w:oddHBand="0" w:evenHBand="0" w:firstRowFirstColumn="0" w:firstRowLastColumn="0" w:lastRowFirstColumn="0" w:lastRowLastColumn="0"/>
            <w:tcW w:w="517" w:type="dxa"/>
            <w:tcBorders>
              <w:top w:val="nil"/>
              <w:bottom w:val="single" w:sz="6" w:space="0" w:color="auto"/>
            </w:tcBorders>
            <w:shd w:val="clear" w:color="auto" w:fill="auto"/>
          </w:tcPr>
          <w:p w14:paraId="20A0BAD5" w14:textId="77777777" w:rsidR="00494590" w:rsidRPr="00342608" w:rsidRDefault="00494590" w:rsidP="004D4E18">
            <w:pPr>
              <w:rPr>
                <w:color w:val="000000" w:themeColor="text1"/>
                <w:sz w:val="18"/>
                <w:szCs w:val="18"/>
              </w:rPr>
            </w:pPr>
            <w:r w:rsidRPr="00342608">
              <w:rPr>
                <w:color w:val="000000" w:themeColor="text1"/>
                <w:sz w:val="18"/>
                <w:szCs w:val="18"/>
              </w:rPr>
              <w:t>22</w:t>
            </w:r>
          </w:p>
        </w:tc>
        <w:tc>
          <w:tcPr>
            <w:tcW w:w="2000" w:type="dxa"/>
            <w:tcBorders>
              <w:top w:val="nil"/>
              <w:bottom w:val="single" w:sz="6" w:space="0" w:color="auto"/>
            </w:tcBorders>
            <w:shd w:val="clear" w:color="auto" w:fill="auto"/>
          </w:tcPr>
          <w:p w14:paraId="512C49F4"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Conversion of Office Block to Flats.</w:t>
            </w:r>
          </w:p>
        </w:tc>
        <w:tc>
          <w:tcPr>
            <w:tcW w:w="592" w:type="dxa"/>
            <w:tcBorders>
              <w:top w:val="nil"/>
              <w:bottom w:val="single" w:sz="6" w:space="0" w:color="auto"/>
            </w:tcBorders>
            <w:shd w:val="clear" w:color="auto" w:fill="auto"/>
          </w:tcPr>
          <w:p w14:paraId="2B1E07E8" w14:textId="77777777" w:rsidR="00494590" w:rsidRPr="00342608" w:rsidRDefault="00494590" w:rsidP="004D4E18">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9</w:t>
            </w:r>
          </w:p>
        </w:tc>
        <w:tc>
          <w:tcPr>
            <w:tcW w:w="1276" w:type="dxa"/>
            <w:tcBorders>
              <w:top w:val="nil"/>
              <w:bottom w:val="single" w:sz="6" w:space="0" w:color="auto"/>
            </w:tcBorders>
            <w:shd w:val="clear" w:color="auto" w:fill="auto"/>
          </w:tcPr>
          <w:p w14:paraId="3A222932"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£1,398,015  </w:t>
            </w:r>
          </w:p>
        </w:tc>
        <w:tc>
          <w:tcPr>
            <w:tcW w:w="1275" w:type="dxa"/>
            <w:tcBorders>
              <w:top w:val="nil"/>
              <w:bottom w:val="single" w:sz="6" w:space="0" w:color="auto"/>
            </w:tcBorders>
            <w:shd w:val="clear" w:color="auto" w:fill="auto"/>
          </w:tcPr>
          <w:p w14:paraId="4B933BCE"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999m</w:t>
            </w:r>
            <w:r w:rsidRPr="00342608">
              <w:rPr>
                <w:color w:val="000000" w:themeColor="text1"/>
                <w:sz w:val="18"/>
                <w:szCs w:val="18"/>
                <w:vertAlign w:val="superscript"/>
              </w:rPr>
              <w:t>2</w:t>
            </w:r>
          </w:p>
        </w:tc>
        <w:tc>
          <w:tcPr>
            <w:tcW w:w="1418" w:type="dxa"/>
            <w:tcBorders>
              <w:top w:val="nil"/>
              <w:bottom w:val="single" w:sz="6" w:space="0" w:color="auto"/>
            </w:tcBorders>
            <w:shd w:val="clear" w:color="auto" w:fill="auto"/>
          </w:tcPr>
          <w:p w14:paraId="6A6A231A"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£523,796</w:t>
            </w:r>
          </w:p>
        </w:tc>
        <w:tc>
          <w:tcPr>
            <w:tcW w:w="992" w:type="dxa"/>
            <w:tcBorders>
              <w:top w:val="nil"/>
              <w:bottom w:val="single" w:sz="6" w:space="0" w:color="auto"/>
            </w:tcBorders>
            <w:shd w:val="clear" w:color="auto" w:fill="auto"/>
          </w:tcPr>
          <w:p w14:paraId="04D1916A"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38</w:t>
            </w:r>
          </w:p>
        </w:tc>
        <w:tc>
          <w:tcPr>
            <w:tcW w:w="992" w:type="dxa"/>
            <w:tcBorders>
              <w:top w:val="nil"/>
              <w:bottom w:val="single" w:sz="6" w:space="0" w:color="auto"/>
            </w:tcBorders>
            <w:shd w:val="clear" w:color="auto" w:fill="auto"/>
          </w:tcPr>
          <w:p w14:paraId="76C4315F" w14:textId="77777777" w:rsidR="00494590" w:rsidRPr="00342608" w:rsidRDefault="00494590" w:rsidP="004D4E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42608">
              <w:rPr>
                <w:color w:val="000000" w:themeColor="text1"/>
                <w:sz w:val="18"/>
                <w:szCs w:val="18"/>
              </w:rPr>
              <w:t>£524</w:t>
            </w:r>
          </w:p>
        </w:tc>
      </w:tr>
    </w:tbl>
    <w:p w14:paraId="7B00AABD" w14:textId="77777777" w:rsidR="00494590" w:rsidRPr="00D458C1" w:rsidRDefault="00494590" w:rsidP="00494590">
      <w:pPr>
        <w:rPr>
          <w:rFonts w:cs="Times New Roman"/>
          <w:sz w:val="20"/>
          <w:szCs w:val="20"/>
        </w:rPr>
      </w:pPr>
    </w:p>
    <w:p w14:paraId="63A3189B" w14:textId="363744B4" w:rsidR="00494590" w:rsidRPr="00D458C1" w:rsidRDefault="00494590" w:rsidP="004F070A">
      <w:pPr>
        <w:pStyle w:val="PaperBodyText"/>
      </w:pPr>
      <w:r w:rsidRPr="00D458C1">
        <w:lastRenderedPageBreak/>
        <w:t xml:space="preserve">Table 3 shows that the cost of M&amp;E provision is significant in most of the projects with M&amp;E cost of 19 out of 22 projects of at least 20% of the total building cost. In over 10 projects, the M&amp;E cost in relation to total building cost exceeded 25%. In 8 projects, the M&amp;E cost is 20-24% of the total building cost. However, a common barrier to the realising the potential to reducing carbon is the lack of an explicit approach to costing specific items for M&amp;E provision in the cost plan. There is an over reliance on ad hoc approaches with limited specification that affects the accuracy of costing for M&amp;E as well as the potential to explore sustainable technologies to reduce carbon.  The findings suggest there is a need for adequate specification for M&amp;E in the cost plan in order to </w:t>
      </w:r>
      <w:r w:rsidR="00027D90" w:rsidRPr="00D458C1">
        <w:t>strengthen the link between M</w:t>
      </w:r>
      <w:r w:rsidRPr="00D458C1">
        <w:t>&amp;E services and carbon reduction through the enhanced capital allowances system and tax relief.</w:t>
      </w:r>
    </w:p>
    <w:p w14:paraId="62EDA5CC" w14:textId="76D46B24" w:rsidR="00494590" w:rsidRPr="00D458C1" w:rsidRDefault="002534AB" w:rsidP="004F070A">
      <w:pPr>
        <w:pStyle w:val="Heading2"/>
        <w:numPr>
          <w:ilvl w:val="1"/>
          <w:numId w:val="11"/>
        </w:numPr>
        <w:rPr>
          <w:rFonts w:eastAsia="Linux Libertine G"/>
          <w:lang w:eastAsia="zh-CN" w:bidi="hi-IN"/>
        </w:rPr>
      </w:pPr>
      <w:r w:rsidRPr="00D458C1">
        <w:rPr>
          <w:rFonts w:eastAsia="Linux Libertine G"/>
          <w:lang w:eastAsia="zh-CN" w:bidi="hi-IN"/>
        </w:rPr>
        <w:t>REASONS FOR POOR QUALITY IN M&amp;E COST ADVICE AND COST PLAN</w:t>
      </w:r>
    </w:p>
    <w:p w14:paraId="26B3B9C8" w14:textId="5C9B713B" w:rsidR="00494590" w:rsidRPr="00D458C1" w:rsidRDefault="00494590" w:rsidP="004F070A">
      <w:pPr>
        <w:pStyle w:val="PaperBodyText"/>
        <w:rPr>
          <w:rFonts w:eastAsia="Times New Roman"/>
          <w:lang w:eastAsia="en-GB"/>
        </w:rPr>
      </w:pPr>
      <w:r w:rsidRPr="00D458C1">
        <w:rPr>
          <w:rFonts w:eastAsia="Times New Roman"/>
        </w:rPr>
        <w:t>Of the 50 questionnaires sent out 26 were completed and analysed. M</w:t>
      </w:r>
      <w:r w:rsidRPr="00D458C1">
        <w:t>ost of the respondents (91%) were quantity surveyors with 83% having more than five years work experience in the construction industry</w:t>
      </w:r>
      <w:r w:rsidR="002455EB" w:rsidRPr="00D458C1">
        <w:t>, where 63% were at senior management level</w:t>
      </w:r>
      <w:r w:rsidRPr="00D458C1">
        <w:t>. About two-thir</w:t>
      </w:r>
      <w:r w:rsidR="002455EB" w:rsidRPr="00D458C1">
        <w:t>ds surveyed (62.5%) were M&amp;E specialists</w:t>
      </w:r>
      <w:r w:rsidRPr="00D458C1">
        <w:t>.</w:t>
      </w:r>
      <w:r w:rsidRPr="00D458C1">
        <w:rPr>
          <w:rFonts w:eastAsia="Times New Roman"/>
        </w:rPr>
        <w:t xml:space="preserve"> </w:t>
      </w:r>
      <w:r w:rsidR="006C4117" w:rsidRPr="00D458C1">
        <w:rPr>
          <w:rFonts w:eastAsia="Times New Roman"/>
        </w:rPr>
        <w:t xml:space="preserve">The purpose of this survey was to explore the factors contributing to the improved quality of cost plan. It is vital that the QSs should be able to ascertain the costs associated with M&amp;E services clearly in order to find out how and where the carbon reduction can be achieved. Based on Table 3, it is clearly evident that in almost half of the projects the M&amp;E provisions are not clearly accounted or specified. </w:t>
      </w:r>
      <w:r w:rsidR="00C44A1F" w:rsidRPr="00D458C1">
        <w:rPr>
          <w:rFonts w:eastAsia="Times New Roman"/>
        </w:rPr>
        <w:t>Hence, the questionnaire survey identified the main causes for this lack of quality of M&amp;E services in cost plans. T</w:t>
      </w:r>
      <w:r w:rsidR="002455EB" w:rsidRPr="00D458C1">
        <w:rPr>
          <w:rFonts w:eastAsia="Times New Roman"/>
        </w:rPr>
        <w:t>he t</w:t>
      </w:r>
      <w:r w:rsidR="00C44A1F" w:rsidRPr="00D458C1">
        <w:rPr>
          <w:rFonts w:eastAsia="Times New Roman"/>
        </w:rPr>
        <w:t xml:space="preserve">wo major causes identified through the questionnaire </w:t>
      </w:r>
      <w:r w:rsidR="002455EB" w:rsidRPr="00D458C1">
        <w:rPr>
          <w:rFonts w:eastAsia="Times New Roman"/>
        </w:rPr>
        <w:t>are</w:t>
      </w:r>
      <w:r w:rsidR="00C44A1F" w:rsidRPr="00D458C1">
        <w:rPr>
          <w:rFonts w:eastAsia="Times New Roman"/>
        </w:rPr>
        <w:t xml:space="preserve"> lack of consultant’s contribution</w:t>
      </w:r>
      <w:r w:rsidR="002455EB" w:rsidRPr="00D458C1">
        <w:rPr>
          <w:rFonts w:eastAsia="Times New Roman"/>
        </w:rPr>
        <w:t>s</w:t>
      </w:r>
      <w:r w:rsidR="00C44A1F" w:rsidRPr="00D458C1">
        <w:rPr>
          <w:rFonts w:eastAsia="Times New Roman"/>
        </w:rPr>
        <w:t xml:space="preserve"> at the design stage and lack of experience or trainings on M&amp;E services </w:t>
      </w:r>
      <w:r w:rsidR="002455EB" w:rsidRPr="00D458C1">
        <w:rPr>
          <w:rFonts w:eastAsia="Times New Roman"/>
        </w:rPr>
        <w:t>for the QSs. H</w:t>
      </w:r>
      <w:r w:rsidRPr="00D458C1">
        <w:rPr>
          <w:rFonts w:eastAsia="Times New Roman"/>
          <w:lang w:eastAsia="en-GB"/>
        </w:rPr>
        <w:t>alf of the respondents believe the quality of initial M&amp;E design information at RIBA</w:t>
      </w:r>
      <w:r w:rsidR="00C44A1F" w:rsidRPr="00D458C1">
        <w:rPr>
          <w:rFonts w:eastAsia="Times New Roman"/>
          <w:lang w:eastAsia="en-GB"/>
        </w:rPr>
        <w:t xml:space="preserve"> (Royal Institute of British Architect)</w:t>
      </w:r>
      <w:r w:rsidRPr="00D458C1">
        <w:rPr>
          <w:rFonts w:eastAsia="Times New Roman"/>
          <w:lang w:eastAsia="en-GB"/>
        </w:rPr>
        <w:t xml:space="preserve"> stages 1&amp;2 significantly impact on the quality of cost plan.  </w:t>
      </w:r>
      <w:r w:rsidR="00C44A1F" w:rsidRPr="00D458C1">
        <w:rPr>
          <w:rFonts w:eastAsia="Times New Roman"/>
          <w:lang w:eastAsia="en-GB"/>
        </w:rPr>
        <w:t xml:space="preserve">Further, </w:t>
      </w:r>
      <w:r w:rsidRPr="00D458C1">
        <w:rPr>
          <w:rFonts w:eastAsia="Times New Roman"/>
          <w:lang w:eastAsia="en-GB"/>
        </w:rPr>
        <w:t xml:space="preserve">effective communication and level of input by the M&amp;E Consultant </w:t>
      </w:r>
      <w:r w:rsidR="00C44A1F" w:rsidRPr="00D458C1">
        <w:rPr>
          <w:rFonts w:eastAsia="Times New Roman"/>
          <w:lang w:eastAsia="en-GB"/>
        </w:rPr>
        <w:t xml:space="preserve">at the design stage </w:t>
      </w:r>
      <w:r w:rsidRPr="00D458C1">
        <w:rPr>
          <w:rFonts w:eastAsia="Times New Roman"/>
          <w:lang w:eastAsia="en-GB"/>
        </w:rPr>
        <w:t>were significant factors that affect the quality and accuracy of the pre-tender cost plan.</w:t>
      </w:r>
      <w:r w:rsidR="00C44A1F" w:rsidRPr="00D458C1">
        <w:rPr>
          <w:rFonts w:eastAsia="Times New Roman"/>
          <w:lang w:eastAsia="en-GB"/>
        </w:rPr>
        <w:t xml:space="preserve"> </w:t>
      </w:r>
      <w:r w:rsidR="001C3010" w:rsidRPr="00D458C1">
        <w:rPr>
          <w:rFonts w:eastAsia="Times New Roman"/>
          <w:lang w:eastAsia="en-GB"/>
        </w:rPr>
        <w:t>It was revealed that due to the significance of M&amp;E costs, the c</w:t>
      </w:r>
      <w:r w:rsidRPr="00D458C1">
        <w:rPr>
          <w:rFonts w:eastAsia="Times New Roman"/>
          <w:lang w:eastAsia="en-GB"/>
        </w:rPr>
        <w:t xml:space="preserve">lients expect to receive a better </w:t>
      </w:r>
      <w:r w:rsidR="001C3010" w:rsidRPr="00D458C1">
        <w:rPr>
          <w:rFonts w:eastAsia="Times New Roman"/>
          <w:lang w:eastAsia="en-GB"/>
        </w:rPr>
        <w:t xml:space="preserve">cost advice and cost plan that clearly identifies the </w:t>
      </w:r>
      <w:r w:rsidRPr="00D458C1">
        <w:rPr>
          <w:rFonts w:eastAsia="Times New Roman"/>
          <w:lang w:eastAsia="en-GB"/>
        </w:rPr>
        <w:t>M&amp;E cost</w:t>
      </w:r>
      <w:r w:rsidR="001C3010" w:rsidRPr="00D458C1">
        <w:rPr>
          <w:rFonts w:eastAsia="Times New Roman"/>
          <w:lang w:eastAsia="en-GB"/>
        </w:rPr>
        <w:t xml:space="preserve"> components</w:t>
      </w:r>
      <w:r w:rsidRPr="00D458C1">
        <w:rPr>
          <w:rFonts w:eastAsia="Times New Roman"/>
          <w:lang w:eastAsia="en-GB"/>
        </w:rPr>
        <w:t xml:space="preserve">. </w:t>
      </w:r>
      <w:r w:rsidR="001C3010" w:rsidRPr="00D458C1">
        <w:rPr>
          <w:rFonts w:eastAsia="Times New Roman"/>
          <w:lang w:eastAsia="en-GB"/>
        </w:rPr>
        <w:t xml:space="preserve">However, that aspect is still lacking among the QSs, as the M&amp;E costs are mostly not quantified. 50% of the respondents </w:t>
      </w:r>
      <w:r w:rsidRPr="00D458C1">
        <w:rPr>
          <w:rFonts w:eastAsia="Times New Roman"/>
          <w:lang w:eastAsia="en-GB"/>
        </w:rPr>
        <w:t>received some training to put together an M&amp;E cost pl</w:t>
      </w:r>
      <w:r w:rsidR="001C3010" w:rsidRPr="00D458C1">
        <w:rPr>
          <w:rFonts w:eastAsia="Times New Roman"/>
          <w:lang w:eastAsia="en-GB"/>
        </w:rPr>
        <w:t xml:space="preserve">an and believed that the degree or short term </w:t>
      </w:r>
      <w:r w:rsidRPr="00D458C1">
        <w:rPr>
          <w:rFonts w:eastAsia="Times New Roman"/>
          <w:lang w:eastAsia="en-GB"/>
        </w:rPr>
        <w:t>courses undertaken helped in their role. Over half (54%) of participants believed that gaining site experience in installing M&amp;E services</w:t>
      </w:r>
      <w:r w:rsidR="001C3010" w:rsidRPr="00D458C1">
        <w:rPr>
          <w:rFonts w:eastAsia="Times New Roman"/>
          <w:lang w:eastAsia="en-GB"/>
        </w:rPr>
        <w:t xml:space="preserve">, either during graduate training or while working, </w:t>
      </w:r>
      <w:r w:rsidRPr="00D458C1">
        <w:rPr>
          <w:rFonts w:eastAsia="Times New Roman"/>
          <w:lang w:eastAsia="en-GB"/>
        </w:rPr>
        <w:t xml:space="preserve">would improve their ability to understand M&amp;E services. </w:t>
      </w:r>
      <w:r w:rsidR="001C3010" w:rsidRPr="00D458C1">
        <w:rPr>
          <w:rFonts w:eastAsia="Times New Roman"/>
          <w:lang w:eastAsia="en-GB"/>
        </w:rPr>
        <w:t xml:space="preserve">As such, for QSs to produce good cost advice and cost plan on M&amp;E services, improving their knowledge and experience in that filed is vital. </w:t>
      </w:r>
    </w:p>
    <w:p w14:paraId="5F76F0EA" w14:textId="5D25FA59" w:rsidR="002534AB" w:rsidRPr="00D458C1" w:rsidRDefault="002534AB" w:rsidP="004F070A">
      <w:pPr>
        <w:pStyle w:val="Heading2"/>
        <w:numPr>
          <w:ilvl w:val="1"/>
          <w:numId w:val="11"/>
        </w:numPr>
        <w:rPr>
          <w:rFonts w:eastAsia="Linux Libertine G"/>
          <w:lang w:eastAsia="zh-CN" w:bidi="hi-IN"/>
        </w:rPr>
      </w:pPr>
      <w:r w:rsidRPr="00D458C1">
        <w:rPr>
          <w:rFonts w:eastAsia="Linux Libertine G"/>
          <w:lang w:eastAsia="zh-CN" w:bidi="hi-IN"/>
        </w:rPr>
        <w:t>TRAINING OF QUANTITY SURVEYORS</w:t>
      </w:r>
    </w:p>
    <w:p w14:paraId="4E1F3C1D" w14:textId="32B545D4" w:rsidR="002534AB" w:rsidRPr="00D458C1" w:rsidRDefault="002534AB" w:rsidP="002534AB">
      <w:pPr>
        <w:pStyle w:val="PaperBodyText"/>
        <w:rPr>
          <w:lang w:eastAsia="zh-CN" w:bidi="hi-IN"/>
        </w:rPr>
      </w:pPr>
      <w:r w:rsidRPr="00D458C1">
        <w:rPr>
          <w:lang w:eastAsia="zh-CN" w:bidi="hi-IN"/>
        </w:rPr>
        <w:t xml:space="preserve">Expert interviews were conducted to assess the implications of M&amp;E related training for QSs. The findings are discussed below. </w:t>
      </w:r>
    </w:p>
    <w:p w14:paraId="6B6968E3" w14:textId="32A4C9D4" w:rsidR="00494590" w:rsidRPr="00D458C1" w:rsidRDefault="00494590" w:rsidP="004F070A">
      <w:pPr>
        <w:pStyle w:val="Heading3"/>
      </w:pPr>
      <w:r w:rsidRPr="00D458C1">
        <w:t xml:space="preserve">Demand for M&amp;E Quantity Surveyors </w:t>
      </w:r>
    </w:p>
    <w:p w14:paraId="45E9CB18" w14:textId="2661908E" w:rsidR="00494590" w:rsidRPr="00D458C1" w:rsidRDefault="00494590" w:rsidP="004F070A">
      <w:pPr>
        <w:pStyle w:val="PaperBodyText"/>
      </w:pPr>
      <w:r w:rsidRPr="00D458C1">
        <w:t xml:space="preserve">All three experts interviewed agreed that more M&amp;E QS specialists need to be employed within their organisations as there is currently a small pool of specialist in the industry. As a result, a significant number of projects do not have a specialist M&amp;E QS involved leading to costs that is often inaccurate and unrealistic during cost planning. On smaller </w:t>
      </w:r>
      <w:r w:rsidRPr="00D458C1">
        <w:lastRenderedPageBreak/>
        <w:t xml:space="preserve">projects (post contract), the experts noted that M&amp;E involvement may </w:t>
      </w:r>
      <w:r w:rsidR="002534AB" w:rsidRPr="00D458C1">
        <w:t>be limited and more often the M&amp;</w:t>
      </w:r>
      <w:r w:rsidRPr="00D458C1">
        <w:t>E services are provided on an ad-hoc basis dealing with specific areas such as on variations etc. One of the experts noted the following:</w:t>
      </w:r>
    </w:p>
    <w:p w14:paraId="352130A9" w14:textId="77777777" w:rsidR="00494590" w:rsidRPr="00D458C1" w:rsidRDefault="00494590" w:rsidP="00FC6F91">
      <w:pPr>
        <w:spacing w:after="160"/>
        <w:jc w:val="both"/>
        <w:rPr>
          <w:rFonts w:eastAsia="Calibri" w:cs="Times New Roman"/>
          <w:i/>
        </w:rPr>
      </w:pPr>
      <w:r w:rsidRPr="00D458C1">
        <w:rPr>
          <w:rFonts w:eastAsia="Calibri" w:cs="Times New Roman"/>
        </w:rPr>
        <w:t>“</w:t>
      </w:r>
      <w:r w:rsidRPr="00D458C1">
        <w:rPr>
          <w:rFonts w:eastAsia="Calibri" w:cs="Times New Roman"/>
          <w:i/>
        </w:rPr>
        <w:t xml:space="preserve">It is a risk that even on smaller projects if there is no M&amp;E PQS then there could be risks with over-inflated valuations which could mask other more serious issues (such as cash flows) and over exaggerated variation claims”. </w:t>
      </w:r>
    </w:p>
    <w:p w14:paraId="55548E2C" w14:textId="77777777" w:rsidR="00494590" w:rsidRPr="00D458C1" w:rsidRDefault="00494590" w:rsidP="004F070A">
      <w:pPr>
        <w:pStyle w:val="PaperBodyText"/>
      </w:pPr>
      <w:r w:rsidRPr="00D458C1">
        <w:t>Expert B agreed that M&amp;E specialists should have more involvement in the pre-tender costing process and the view of Expert C is that the variation agreements can be hindered by the non-involvement of M&amp;E surveyors. The experts explained that in general PQS’s will lean on the Consultant for technical input, however changes related to design issues will be defended by the Consultant naturally and this will slow down the process of agreeing a change and the costs associated with it. Expert A agreed with this ideology and used the phrase “</w:t>
      </w:r>
      <w:r w:rsidRPr="00D458C1">
        <w:rPr>
          <w:i/>
        </w:rPr>
        <w:t>contractor opportunity</w:t>
      </w:r>
      <w:r w:rsidRPr="00D458C1">
        <w:t xml:space="preserve">”, as they often expose the contractors over inflation. </w:t>
      </w:r>
    </w:p>
    <w:p w14:paraId="33D428F6" w14:textId="76DF94DE" w:rsidR="00494590" w:rsidRPr="00D458C1" w:rsidRDefault="00494590" w:rsidP="004F070A">
      <w:pPr>
        <w:pStyle w:val="Heading3"/>
        <w:rPr>
          <w:rFonts w:eastAsia="Calibri"/>
        </w:rPr>
      </w:pPr>
      <w:r w:rsidRPr="00D458C1">
        <w:rPr>
          <w:rFonts w:eastAsia="Calibri"/>
        </w:rPr>
        <w:t>Need for M&amp;E Specialist Training</w:t>
      </w:r>
    </w:p>
    <w:p w14:paraId="6D343503" w14:textId="77777777" w:rsidR="00494590" w:rsidRPr="00D458C1" w:rsidRDefault="00494590" w:rsidP="004F070A">
      <w:pPr>
        <w:pStyle w:val="PaperBodyText"/>
      </w:pPr>
      <w:r w:rsidRPr="00D458C1">
        <w:t xml:space="preserve">All the experts agreed that there is need for significant improvement in the methods and practices used to provide M&amp;E cost advice to improve the certainty of cost advice at pre-tender stage. Expert A referred to the fact that the industry is constantly evolving, and methods and practices need to be kept up-to-date.  Expert B argued that their needs to be an increase in the number of M&amp;E QS’s in the industry and better liaison with the design team: </w:t>
      </w:r>
    </w:p>
    <w:p w14:paraId="06E2B785" w14:textId="77777777" w:rsidR="00494590" w:rsidRPr="00D458C1" w:rsidRDefault="00494590" w:rsidP="00FC6F91">
      <w:pPr>
        <w:spacing w:after="160"/>
        <w:jc w:val="both"/>
        <w:rPr>
          <w:rFonts w:eastAsia="Calibri" w:cs="Times New Roman"/>
        </w:rPr>
      </w:pPr>
      <w:r w:rsidRPr="00D458C1">
        <w:rPr>
          <w:rFonts w:eastAsia="Calibri" w:cs="Times New Roman"/>
        </w:rPr>
        <w:t>“</w:t>
      </w:r>
      <w:r w:rsidRPr="00D458C1">
        <w:rPr>
          <w:rFonts w:eastAsia="Calibri" w:cs="Times New Roman"/>
          <w:i/>
        </w:rPr>
        <w:t>I think the key to improving M&amp;E cost advice is to increase the number of dedicated M&amp;E QS's in the industry and this could be achieved through apprenticeships which will help improve and develop the technical knowledge earlier on. I also feel that on larger projects there can often be a discord within the project team, i.e. a lack of communication between the design team and the cost team which can often create an air of resentment and be a strain on team morale.”</w:t>
      </w:r>
    </w:p>
    <w:p w14:paraId="42A70D82" w14:textId="77777777" w:rsidR="00494590" w:rsidRPr="00D458C1" w:rsidRDefault="00494590" w:rsidP="004F070A">
      <w:pPr>
        <w:pStyle w:val="PaperBodyText"/>
      </w:pPr>
      <w:r w:rsidRPr="00D458C1">
        <w:t>All three experts explained that their undergraduate degree qualifications had no relevance to M&amp;E services as the content of their programmes and the curriculum specifications did not reflect what is actually required to carry out work in designing, measuring and installing M&amp;E services. However, training programme for Expert B included a sandwich year, which helped him prepare for work in industry. The Experts advised that anyone interested in taking up a career in M&amp;E quantity surveying should obtain a job role first and undertake a degree programme through their respective companies, so they can “</w:t>
      </w:r>
      <w:r w:rsidRPr="00D458C1">
        <w:rPr>
          <w:i/>
        </w:rPr>
        <w:t>learn- on- the- job</w:t>
      </w:r>
      <w:r w:rsidRPr="00D458C1">
        <w:t xml:space="preserve">” and get a blend of experience from practice and the academic environment. </w:t>
      </w:r>
    </w:p>
    <w:p w14:paraId="1DA4A591" w14:textId="7A5EF418" w:rsidR="00494590" w:rsidRPr="00D458C1" w:rsidRDefault="00494590" w:rsidP="004F070A">
      <w:pPr>
        <w:pStyle w:val="Heading3"/>
        <w:rPr>
          <w:rFonts w:eastAsia="Calibri"/>
        </w:rPr>
      </w:pPr>
      <w:r w:rsidRPr="00D458C1">
        <w:rPr>
          <w:rFonts w:eastAsia="Calibri"/>
        </w:rPr>
        <w:t>Developing appropriate M&amp;E training programmes for industry</w:t>
      </w:r>
    </w:p>
    <w:p w14:paraId="50707A33" w14:textId="1082F4C5" w:rsidR="00494590" w:rsidRPr="00D458C1" w:rsidRDefault="00494590" w:rsidP="004F070A">
      <w:pPr>
        <w:pStyle w:val="PaperBodyText"/>
      </w:pPr>
      <w:r w:rsidRPr="00D458C1">
        <w:t>Most of the PQS completed general quantity surveying programmes instead of specialised training on M&amp;E due to a shortage of university offering the programme with the appropriate curriculum content. There is only one university that is offering the course but this is not accessible to students who aspire to become M&amp;E quantity surveyors. The University of Salford offer postgraduate degree programme (PgDip/MSc Mechanical &amp; Electrical Quantity Surveying), with the aim of “</w:t>
      </w:r>
      <w:r w:rsidRPr="00D458C1">
        <w:rPr>
          <w:i/>
        </w:rPr>
        <w:t xml:space="preserve">creating reflective practitioners in quantity surveying who have a knowledge and understanding of procurement and </w:t>
      </w:r>
      <w:r w:rsidRPr="00D458C1">
        <w:rPr>
          <w:i/>
        </w:rPr>
        <w:lastRenderedPageBreak/>
        <w:t>financial management and recognise the significance of process, technology and people to the success of mechanical and electrical projects”</w:t>
      </w:r>
      <w:r w:rsidRPr="00D458C1">
        <w:t xml:space="preserve">. The general degree course has helped PQS to undertake their role with the expectation that sufficient level of M&amp;E on-the-job technical training will be provided. Specialist M&amp;E QS’s working for sub-contractors tend to benefit from on-the-job training due to significant site exposure but this needs to be addressed throughout the supply chain. Graduate and trainee surveyors as part of their training, should be spending a period on site, whether as a block period or intermittently. The exposure to installing M&amp;E services on site can benefit quantity surveyors. </w:t>
      </w:r>
    </w:p>
    <w:p w14:paraId="36B36006" w14:textId="735AB1B7" w:rsidR="00494590" w:rsidRPr="00D458C1" w:rsidRDefault="00494590" w:rsidP="004F070A">
      <w:pPr>
        <w:pStyle w:val="Heading1"/>
      </w:pPr>
      <w:r w:rsidRPr="00D458C1">
        <w:t>CONCLUSION</w:t>
      </w:r>
      <w:r w:rsidR="004F070A" w:rsidRPr="00D458C1">
        <w:t>S</w:t>
      </w:r>
    </w:p>
    <w:p w14:paraId="15E0A2EA" w14:textId="5ECF2896" w:rsidR="00D14140" w:rsidRPr="0063633B" w:rsidRDefault="00494590" w:rsidP="004F070A">
      <w:pPr>
        <w:pStyle w:val="PaperBodyText"/>
      </w:pPr>
      <w:r w:rsidRPr="00D458C1">
        <w:rPr>
          <w:rFonts w:eastAsia="Calibri"/>
        </w:rPr>
        <w:t xml:space="preserve">The study has examined </w:t>
      </w:r>
      <w:r w:rsidRPr="00D458C1">
        <w:t xml:space="preserve">the potential for reducing carbon emission through the system of capital allowances and tax relief and the implications for the training of QSs </w:t>
      </w:r>
      <w:r w:rsidR="002534AB" w:rsidRPr="00D458C1">
        <w:t>in M&amp;</w:t>
      </w:r>
      <w:r w:rsidRPr="00D458C1">
        <w:t>E.</w:t>
      </w:r>
      <w:r w:rsidR="002534AB" w:rsidRPr="00D458C1">
        <w:t xml:space="preserve"> In order to achieve carbon reduction, it is vital to understand the M&amp;E services associated with a building at the initial stage. But it was evident that </w:t>
      </w:r>
      <w:r w:rsidR="003E6C69" w:rsidRPr="00D458C1">
        <w:t xml:space="preserve">in </w:t>
      </w:r>
      <w:r w:rsidR="002534AB" w:rsidRPr="00D458C1">
        <w:t xml:space="preserve">almost half of the building cost plans analysed, there were no clear determination of ME services. </w:t>
      </w:r>
      <w:r w:rsidRPr="00D458C1">
        <w:t xml:space="preserve">A key </w:t>
      </w:r>
      <w:r w:rsidRPr="00D458C1">
        <w:rPr>
          <w:rFonts w:eastAsia="Calibri"/>
        </w:rPr>
        <w:t xml:space="preserve">barrier in reducing carbon in buildings is </w:t>
      </w:r>
      <w:r w:rsidR="003E6C69" w:rsidRPr="00D458C1">
        <w:rPr>
          <w:rFonts w:eastAsia="Calibri"/>
        </w:rPr>
        <w:t xml:space="preserve">therefore, </w:t>
      </w:r>
      <w:r w:rsidR="002534AB" w:rsidRPr="00D458C1">
        <w:rPr>
          <w:rFonts w:eastAsia="Calibri"/>
        </w:rPr>
        <w:t xml:space="preserve">the lack of clear determination of M&amp;E services in the cost plans. One contributing factor for this is </w:t>
      </w:r>
      <w:r w:rsidRPr="00D458C1">
        <w:rPr>
          <w:rFonts w:eastAsia="Calibri"/>
        </w:rPr>
        <w:t xml:space="preserve">the lack of technical knowledge of QS’s </w:t>
      </w:r>
      <w:r w:rsidR="002534AB" w:rsidRPr="00D458C1">
        <w:rPr>
          <w:rFonts w:eastAsia="Calibri"/>
        </w:rPr>
        <w:t>in M&amp;</w:t>
      </w:r>
      <w:r w:rsidRPr="00D458C1">
        <w:rPr>
          <w:rFonts w:eastAsia="Calibri"/>
        </w:rPr>
        <w:t>E. Another contributing factor is the ineffective communication with the design team for technical inputs on range of technological options</w:t>
      </w:r>
      <w:r>
        <w:rPr>
          <w:rFonts w:eastAsia="Calibri"/>
        </w:rPr>
        <w:t xml:space="preserve"> that will attract capital allowances and tax relief and at the same time reduce the</w:t>
      </w:r>
      <w:r w:rsidRPr="00EE725E">
        <w:rPr>
          <w:rFonts w:eastAsia="Calibri"/>
        </w:rPr>
        <w:t xml:space="preserve"> carbon foot print. </w:t>
      </w:r>
      <w:r>
        <w:rPr>
          <w:rFonts w:eastAsia="Calibri"/>
        </w:rPr>
        <w:t>T</w:t>
      </w:r>
      <w:r w:rsidRPr="00EE725E">
        <w:rPr>
          <w:rFonts w:eastAsia="Calibri"/>
        </w:rPr>
        <w:t>here is a need for the introduction of M&amp;E training programmes to improve the knowledge of QSs in providing M&amp;E cost advice</w:t>
      </w:r>
      <w:r>
        <w:rPr>
          <w:rFonts w:eastAsia="Calibri"/>
        </w:rPr>
        <w:t xml:space="preserve"> that will help in reducing the carbon footprint of buildings</w:t>
      </w:r>
      <w:r w:rsidRPr="00EE725E">
        <w:rPr>
          <w:rFonts w:eastAsia="Calibri"/>
        </w:rPr>
        <w:t>. Colleges, universities, companies and professional organisations including</w:t>
      </w:r>
      <w:r>
        <w:rPr>
          <w:rFonts w:eastAsia="Calibri"/>
        </w:rPr>
        <w:t xml:space="preserve"> the RICS, CIOB and AMP should </w:t>
      </w:r>
      <w:r w:rsidRPr="00EE725E">
        <w:rPr>
          <w:rFonts w:eastAsia="Calibri"/>
        </w:rPr>
        <w:t>be providing and/or supporting through ac</w:t>
      </w:r>
      <w:r>
        <w:rPr>
          <w:rFonts w:eastAsia="Calibri"/>
        </w:rPr>
        <w:t xml:space="preserve">creditation and sponsorship of </w:t>
      </w:r>
      <w:r w:rsidRPr="00EE725E">
        <w:rPr>
          <w:rFonts w:eastAsia="Calibri"/>
        </w:rPr>
        <w:t>M&amp;E training programmes (such as internships, thin and thick sandwich placements, guest lectures) at both undergraduate and postgraduate levels</w:t>
      </w:r>
      <w:r>
        <w:rPr>
          <w:rFonts w:eastAsia="Calibri"/>
        </w:rPr>
        <w:t>. Th</w:t>
      </w:r>
      <w:r w:rsidRPr="00EE725E">
        <w:rPr>
          <w:rFonts w:eastAsia="Calibri"/>
        </w:rPr>
        <w:t xml:space="preserve">rough the introduction of </w:t>
      </w:r>
      <w:r>
        <w:rPr>
          <w:rFonts w:eastAsia="Calibri"/>
        </w:rPr>
        <w:t xml:space="preserve">appropriate curriculum content </w:t>
      </w:r>
      <w:r w:rsidRPr="00EE725E">
        <w:rPr>
          <w:rFonts w:eastAsia="Calibri"/>
        </w:rPr>
        <w:t xml:space="preserve">in terms of breadth and depth in core building services modules/credits </w:t>
      </w:r>
      <w:r>
        <w:rPr>
          <w:rFonts w:eastAsia="Calibri"/>
        </w:rPr>
        <w:t xml:space="preserve">the opportunities in </w:t>
      </w:r>
      <w:r w:rsidRPr="00EE725E">
        <w:rPr>
          <w:rFonts w:eastAsia="Calibri"/>
        </w:rPr>
        <w:t xml:space="preserve">carbon reduction </w:t>
      </w:r>
      <w:r>
        <w:rPr>
          <w:rFonts w:eastAsia="Calibri"/>
        </w:rPr>
        <w:t>can be achieved using</w:t>
      </w:r>
      <w:r w:rsidRPr="00EE725E">
        <w:rPr>
          <w:rFonts w:eastAsia="Calibri"/>
        </w:rPr>
        <w:t xml:space="preserve"> fiscal </w:t>
      </w:r>
      <w:r>
        <w:rPr>
          <w:rFonts w:eastAsia="Calibri"/>
        </w:rPr>
        <w:t xml:space="preserve">and tax </w:t>
      </w:r>
      <w:r w:rsidRPr="00EE725E">
        <w:rPr>
          <w:rFonts w:eastAsia="Calibri"/>
        </w:rPr>
        <w:t xml:space="preserve">incentives for sustainable </w:t>
      </w:r>
      <w:r>
        <w:rPr>
          <w:rFonts w:eastAsia="Calibri"/>
        </w:rPr>
        <w:t xml:space="preserve">development. </w:t>
      </w:r>
      <w:r w:rsidRPr="00EE725E">
        <w:rPr>
          <w:rFonts w:eastAsia="Calibri"/>
        </w:rPr>
        <w:t>Training will ensure more clarity a</w:t>
      </w:r>
      <w:r w:rsidR="003E6C69">
        <w:rPr>
          <w:rFonts w:eastAsia="Calibri"/>
        </w:rPr>
        <w:t>nd confidence in dealing with M&amp;</w:t>
      </w:r>
      <w:r w:rsidRPr="00EE725E">
        <w:rPr>
          <w:rFonts w:eastAsia="Calibri"/>
        </w:rPr>
        <w:t xml:space="preserve">E design </w:t>
      </w:r>
      <w:r>
        <w:rPr>
          <w:rFonts w:eastAsia="Calibri"/>
        </w:rPr>
        <w:t xml:space="preserve">options </w:t>
      </w:r>
      <w:r w:rsidRPr="00EE725E">
        <w:rPr>
          <w:rFonts w:eastAsia="Calibri"/>
        </w:rPr>
        <w:t>and UK complicated tax system so that clients can benefit from tax relief and allowance which will result in achieving the UK Government carbon reduction target in delivering sustainable homes.</w:t>
      </w:r>
      <w:r w:rsidRPr="0063633B">
        <w:rPr>
          <w:i/>
        </w:rPr>
        <w:t xml:space="preserve"> </w:t>
      </w:r>
      <w:r w:rsidRPr="0063633B">
        <w:t xml:space="preserve">Other countries can learn from the experience of the UK </w:t>
      </w:r>
      <w:r>
        <w:t>changing</w:t>
      </w:r>
      <w:r w:rsidRPr="0063633B">
        <w:t xml:space="preserve"> behaviour </w:t>
      </w:r>
      <w:r>
        <w:t xml:space="preserve">through tax and fiscal incentives </w:t>
      </w:r>
      <w:r w:rsidRPr="0063633B">
        <w:t>that will have a positive impact on carbon reduction to mitigate climate change.</w:t>
      </w:r>
    </w:p>
    <w:p w14:paraId="67A1FAE3" w14:textId="3260DBB3" w:rsidR="00494590" w:rsidRPr="003E6C69" w:rsidRDefault="00494590" w:rsidP="003E6C69">
      <w:pPr>
        <w:pStyle w:val="Heading1"/>
        <w:numPr>
          <w:ilvl w:val="0"/>
          <w:numId w:val="0"/>
        </w:numPr>
      </w:pPr>
      <w:r w:rsidRPr="004D0ABE">
        <w:t>REFERENCES</w:t>
      </w:r>
    </w:p>
    <w:p w14:paraId="4C22BDB7" w14:textId="70E14600"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Ashworth, A.K.</w:t>
      </w:r>
      <w:r w:rsidR="00A1343F">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Hogg, C</w:t>
      </w:r>
      <w:r w:rsidR="00A1343F">
        <w:rPr>
          <w:rFonts w:ascii="Times New Roman" w:eastAsia="Times New Roman" w:hAnsi="Times New Roman" w:cs="Times New Roman"/>
          <w:color w:val="000000"/>
          <w:sz w:val="20"/>
          <w:szCs w:val="20"/>
        </w:rPr>
        <w:t xml:space="preserve">. and </w:t>
      </w:r>
      <w:r w:rsidRPr="004F070A">
        <w:rPr>
          <w:rFonts w:ascii="Times New Roman" w:eastAsia="Times New Roman" w:hAnsi="Times New Roman" w:cs="Times New Roman"/>
          <w:color w:val="000000"/>
          <w:sz w:val="20"/>
          <w:szCs w:val="20"/>
        </w:rPr>
        <w:t>Higgs, C.</w:t>
      </w:r>
      <w:r w:rsidR="00A1343F">
        <w:rPr>
          <w:rFonts w:ascii="Times New Roman" w:eastAsia="Times New Roman" w:hAnsi="Times New Roman" w:cs="Times New Roman"/>
          <w:color w:val="000000"/>
          <w:sz w:val="20"/>
          <w:szCs w:val="20"/>
        </w:rPr>
        <w:t>, 2013</w:t>
      </w:r>
      <w:r w:rsidRPr="004F070A">
        <w:rPr>
          <w:rFonts w:ascii="Times New Roman" w:eastAsia="Times New Roman" w:hAnsi="Times New Roman" w:cs="Times New Roman"/>
          <w:color w:val="000000"/>
          <w:sz w:val="20"/>
          <w:szCs w:val="20"/>
        </w:rPr>
        <w:t xml:space="preserve">. </w:t>
      </w:r>
      <w:r w:rsidRPr="00A1343F">
        <w:rPr>
          <w:rFonts w:ascii="Times New Roman" w:eastAsia="Times New Roman" w:hAnsi="Times New Roman" w:cs="Times New Roman"/>
          <w:i/>
          <w:iCs/>
          <w:color w:val="000000"/>
          <w:sz w:val="20"/>
          <w:szCs w:val="20"/>
        </w:rPr>
        <w:t>Will’s Practice and Procedure for the Quantity Surveyors</w:t>
      </w:r>
      <w:r w:rsidRPr="004F070A">
        <w:rPr>
          <w:rFonts w:ascii="Times New Roman" w:eastAsia="Times New Roman" w:hAnsi="Times New Roman" w:cs="Times New Roman"/>
          <w:color w:val="000000"/>
          <w:sz w:val="20"/>
          <w:szCs w:val="20"/>
        </w:rPr>
        <w:t>. 13</w:t>
      </w:r>
      <w:r w:rsidRPr="00A1343F">
        <w:rPr>
          <w:rFonts w:ascii="Times New Roman" w:eastAsia="Times New Roman" w:hAnsi="Times New Roman" w:cs="Times New Roman"/>
          <w:color w:val="000000"/>
          <w:sz w:val="20"/>
          <w:szCs w:val="20"/>
          <w:vertAlign w:val="superscript"/>
        </w:rPr>
        <w:t>th</w:t>
      </w:r>
      <w:r w:rsidR="00A1343F">
        <w:rPr>
          <w:rFonts w:ascii="Times New Roman" w:eastAsia="Times New Roman" w:hAnsi="Times New Roman" w:cs="Times New Roman"/>
          <w:color w:val="000000"/>
          <w:sz w:val="20"/>
          <w:szCs w:val="20"/>
        </w:rPr>
        <w:t xml:space="preserve"> ed. </w:t>
      </w:r>
      <w:r w:rsidRPr="004F070A">
        <w:rPr>
          <w:rFonts w:ascii="Times New Roman" w:eastAsia="Times New Roman" w:hAnsi="Times New Roman" w:cs="Times New Roman"/>
          <w:color w:val="000000"/>
          <w:sz w:val="20"/>
          <w:szCs w:val="20"/>
        </w:rPr>
        <w:t>UK: John Wiley and Sons Ltd.</w:t>
      </w:r>
    </w:p>
    <w:p w14:paraId="6BD4FADB" w14:textId="42C58C52"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BBC</w:t>
      </w:r>
      <w:r w:rsidR="00A1343F">
        <w:rPr>
          <w:rFonts w:ascii="Times New Roman" w:eastAsia="Times New Roman" w:hAnsi="Times New Roman" w:cs="Times New Roman"/>
          <w:color w:val="000000"/>
          <w:sz w:val="20"/>
          <w:szCs w:val="20"/>
        </w:rPr>
        <w:t xml:space="preserve">, </w:t>
      </w:r>
      <w:r w:rsidRPr="004F070A">
        <w:rPr>
          <w:rFonts w:ascii="Times New Roman" w:eastAsia="Times New Roman" w:hAnsi="Times New Roman" w:cs="Times New Roman"/>
          <w:color w:val="000000"/>
          <w:sz w:val="20"/>
          <w:szCs w:val="20"/>
        </w:rPr>
        <w:t>2010</w:t>
      </w:r>
      <w:r w:rsidR="00A1343F">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Tax system to be simplified to encourage investment</w:t>
      </w:r>
      <w:r w:rsidR="00A1343F">
        <w:rPr>
          <w:rFonts w:ascii="Times New Roman" w:eastAsia="Times New Roman" w:hAnsi="Times New Roman" w:cs="Times New Roman"/>
          <w:color w:val="000000"/>
          <w:sz w:val="20"/>
          <w:szCs w:val="20"/>
        </w:rPr>
        <w:t xml:space="preserve"> [online]</w:t>
      </w:r>
      <w:r w:rsidRPr="004F070A">
        <w:rPr>
          <w:rFonts w:ascii="Times New Roman" w:eastAsia="Times New Roman" w:hAnsi="Times New Roman" w:cs="Times New Roman"/>
          <w:color w:val="000000"/>
          <w:sz w:val="20"/>
          <w:szCs w:val="20"/>
        </w:rPr>
        <w:t>.</w:t>
      </w:r>
      <w:r w:rsidR="00A1343F">
        <w:rPr>
          <w:rFonts w:ascii="Times New Roman" w:eastAsia="Times New Roman" w:hAnsi="Times New Roman" w:cs="Times New Roman"/>
          <w:color w:val="000000"/>
          <w:sz w:val="20"/>
          <w:szCs w:val="20"/>
        </w:rPr>
        <w:t xml:space="preserve"> Available from: </w:t>
      </w:r>
      <w:r w:rsidRPr="004F070A">
        <w:rPr>
          <w:rFonts w:ascii="Times New Roman" w:eastAsia="Times New Roman" w:hAnsi="Times New Roman" w:cs="Times New Roman"/>
          <w:color w:val="000000"/>
          <w:sz w:val="20"/>
          <w:szCs w:val="20"/>
        </w:rPr>
        <w:t xml:space="preserve"> </w:t>
      </w:r>
      <w:hyperlink r:id="rId8" w:history="1">
        <w:r w:rsidRPr="004F070A">
          <w:rPr>
            <w:rFonts w:ascii="Times New Roman" w:eastAsia="Times New Roman" w:hAnsi="Times New Roman"/>
            <w:color w:val="000000"/>
            <w:sz w:val="20"/>
            <w:szCs w:val="20"/>
          </w:rPr>
          <w:t>http://www.bbc.co.uk/news/uk-politics</w:t>
        </w:r>
      </w:hyperlink>
      <w:r w:rsidRPr="004F070A">
        <w:rPr>
          <w:rFonts w:ascii="Times New Roman" w:eastAsia="Times New Roman" w:hAnsi="Times New Roman" w:cs="Times New Roman"/>
          <w:color w:val="000000"/>
          <w:sz w:val="20"/>
          <w:szCs w:val="20"/>
        </w:rPr>
        <w:t xml:space="preserve"> </w:t>
      </w:r>
      <w:r w:rsidR="00A1343F">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Access </w:t>
      </w:r>
      <w:r w:rsidR="00A1343F">
        <w:rPr>
          <w:rFonts w:ascii="Times New Roman" w:eastAsia="Times New Roman" w:hAnsi="Times New Roman" w:cs="Times New Roman"/>
          <w:color w:val="000000"/>
          <w:sz w:val="20"/>
          <w:szCs w:val="20"/>
        </w:rPr>
        <w:t xml:space="preserve">14 </w:t>
      </w:r>
      <w:r w:rsidRPr="004F070A">
        <w:rPr>
          <w:rFonts w:ascii="Times New Roman" w:eastAsia="Times New Roman" w:hAnsi="Times New Roman" w:cs="Times New Roman"/>
          <w:color w:val="000000"/>
          <w:sz w:val="20"/>
          <w:szCs w:val="20"/>
        </w:rPr>
        <w:t>March 2019</w:t>
      </w:r>
      <w:r w:rsidR="00A1343F">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w:t>
      </w:r>
    </w:p>
    <w:p w14:paraId="64A89A8B" w14:textId="1BA16671"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Cartlidge, D.</w:t>
      </w:r>
      <w:r w:rsidR="00A1343F">
        <w:rPr>
          <w:rFonts w:ascii="Times New Roman" w:eastAsia="Times New Roman" w:hAnsi="Times New Roman" w:cs="Times New Roman"/>
          <w:color w:val="000000"/>
          <w:sz w:val="20"/>
          <w:szCs w:val="20"/>
        </w:rPr>
        <w:t>, 2011</w:t>
      </w:r>
      <w:r w:rsidRPr="004F070A">
        <w:rPr>
          <w:rFonts w:ascii="Times New Roman" w:eastAsia="Times New Roman" w:hAnsi="Times New Roman" w:cs="Times New Roman"/>
          <w:color w:val="000000"/>
          <w:sz w:val="20"/>
          <w:szCs w:val="20"/>
        </w:rPr>
        <w:t xml:space="preserve">. </w:t>
      </w:r>
      <w:r w:rsidRPr="00A1343F">
        <w:rPr>
          <w:rFonts w:ascii="Times New Roman" w:eastAsia="Times New Roman" w:hAnsi="Times New Roman" w:cs="Times New Roman"/>
          <w:i/>
          <w:iCs/>
          <w:color w:val="000000"/>
          <w:sz w:val="20"/>
          <w:szCs w:val="20"/>
        </w:rPr>
        <w:t>New Aspect of Quantity Surveying Practice</w:t>
      </w:r>
      <w:r w:rsidRPr="004F070A">
        <w:rPr>
          <w:rFonts w:ascii="Times New Roman" w:eastAsia="Times New Roman" w:hAnsi="Times New Roman" w:cs="Times New Roman"/>
          <w:color w:val="000000"/>
          <w:sz w:val="20"/>
          <w:szCs w:val="20"/>
        </w:rPr>
        <w:t xml:space="preserve">. </w:t>
      </w:r>
      <w:r w:rsidR="00A1343F">
        <w:rPr>
          <w:rFonts w:ascii="Times New Roman" w:eastAsia="Times New Roman" w:hAnsi="Times New Roman" w:cs="Times New Roman"/>
          <w:color w:val="000000"/>
          <w:sz w:val="20"/>
          <w:szCs w:val="20"/>
        </w:rPr>
        <w:t>UK: Butterworth – Heinemann.</w:t>
      </w:r>
    </w:p>
    <w:p w14:paraId="333DB16B" w14:textId="0666889B" w:rsidR="00494590" w:rsidRPr="00A1343F" w:rsidRDefault="00494590" w:rsidP="004F070A">
      <w:pPr>
        <w:pStyle w:val="Standard"/>
        <w:widowControl/>
        <w:spacing w:before="60" w:after="60"/>
        <w:ind w:left="284" w:hanging="284"/>
        <w:jc w:val="both"/>
        <w:rPr>
          <w:rFonts w:ascii="Times New Roman" w:eastAsia="Times New Roman" w:hAnsi="Times New Roman"/>
          <w:color w:val="000000"/>
          <w:sz w:val="20"/>
          <w:szCs w:val="20"/>
        </w:rPr>
      </w:pPr>
      <w:r w:rsidRPr="00A1343F">
        <w:rPr>
          <w:rFonts w:ascii="Times New Roman" w:eastAsia="Times New Roman" w:hAnsi="Times New Roman"/>
          <w:color w:val="000000"/>
          <w:sz w:val="20"/>
          <w:szCs w:val="20"/>
        </w:rPr>
        <w:t>Cunningham, T.</w:t>
      </w:r>
      <w:r w:rsidR="00A1343F" w:rsidRPr="00A1343F">
        <w:rPr>
          <w:rFonts w:ascii="Times New Roman" w:eastAsia="Times New Roman" w:hAnsi="Times New Roman"/>
          <w:color w:val="000000"/>
          <w:sz w:val="20"/>
          <w:szCs w:val="20"/>
        </w:rPr>
        <w:t>, 2017.</w:t>
      </w:r>
      <w:r w:rsidRPr="00A1343F">
        <w:rPr>
          <w:rFonts w:ascii="Times New Roman" w:eastAsia="Times New Roman" w:hAnsi="Times New Roman"/>
          <w:color w:val="000000"/>
          <w:sz w:val="20"/>
          <w:szCs w:val="20"/>
        </w:rPr>
        <w:t xml:space="preserve"> </w:t>
      </w:r>
      <w:r w:rsidRPr="00A1343F">
        <w:rPr>
          <w:rFonts w:ascii="Times New Roman" w:eastAsia="Times New Roman" w:hAnsi="Times New Roman"/>
          <w:i/>
          <w:iCs/>
          <w:color w:val="000000"/>
          <w:sz w:val="20"/>
          <w:szCs w:val="20"/>
        </w:rPr>
        <w:t>What Causes Cost Overruns on Building Projects? - An Overview</w:t>
      </w:r>
      <w:r w:rsidRPr="00A1343F">
        <w:rPr>
          <w:rFonts w:ascii="Times New Roman" w:eastAsia="Times New Roman" w:hAnsi="Times New Roman"/>
          <w:color w:val="000000"/>
          <w:sz w:val="20"/>
          <w:szCs w:val="20"/>
        </w:rPr>
        <w:t>. Review. School of Surveying and Construction Management</w:t>
      </w:r>
      <w:r w:rsidR="00A1343F">
        <w:rPr>
          <w:rFonts w:ascii="Times New Roman" w:eastAsia="Times New Roman" w:hAnsi="Times New Roman"/>
          <w:color w:val="000000"/>
          <w:sz w:val="20"/>
          <w:szCs w:val="20"/>
        </w:rPr>
        <w:t>,</w:t>
      </w:r>
      <w:r w:rsidRPr="00A1343F">
        <w:rPr>
          <w:rFonts w:ascii="Times New Roman" w:eastAsia="Times New Roman" w:hAnsi="Times New Roman"/>
          <w:color w:val="000000"/>
          <w:sz w:val="20"/>
          <w:szCs w:val="20"/>
        </w:rPr>
        <w:t xml:space="preserve"> Dublin Institute of Technology, Bolton Street, Dublin 1.</w:t>
      </w:r>
    </w:p>
    <w:p w14:paraId="5DC52213" w14:textId="77777777" w:rsidR="00A1343F" w:rsidRPr="00A1343F" w:rsidRDefault="00A1343F" w:rsidP="00A1343F">
      <w:pPr>
        <w:pStyle w:val="Standard"/>
        <w:widowControl/>
        <w:spacing w:before="60" w:after="60"/>
        <w:ind w:left="284" w:hanging="284"/>
        <w:jc w:val="both"/>
        <w:rPr>
          <w:rFonts w:ascii="Times New Roman" w:eastAsia="Times New Roman" w:hAnsi="Times New Roman"/>
          <w:color w:val="000000"/>
          <w:sz w:val="20"/>
          <w:szCs w:val="20"/>
        </w:rPr>
      </w:pPr>
      <w:r w:rsidRPr="00A1343F">
        <w:rPr>
          <w:rFonts w:ascii="Times New Roman" w:eastAsia="Times New Roman" w:hAnsi="Times New Roman"/>
          <w:color w:val="000000"/>
          <w:sz w:val="20"/>
          <w:szCs w:val="20"/>
        </w:rPr>
        <w:t>Davis, P.R., Love, P.E. and Baccarini, D., 2009. Bills of Quantities: nemesis or nirvana?. </w:t>
      </w:r>
      <w:r w:rsidRPr="00A1343F">
        <w:rPr>
          <w:rFonts w:ascii="Times New Roman" w:eastAsia="Times New Roman" w:hAnsi="Times New Roman"/>
          <w:i/>
          <w:iCs/>
          <w:color w:val="000000"/>
          <w:sz w:val="20"/>
          <w:szCs w:val="20"/>
        </w:rPr>
        <w:t>Structural Survey</w:t>
      </w:r>
      <w:r w:rsidRPr="00A1343F">
        <w:rPr>
          <w:rFonts w:ascii="Times New Roman" w:eastAsia="Times New Roman" w:hAnsi="Times New Roman"/>
          <w:color w:val="000000"/>
          <w:sz w:val="20"/>
          <w:szCs w:val="20"/>
        </w:rPr>
        <w:t>, 27(2), pp.99-108.</w:t>
      </w:r>
    </w:p>
    <w:p w14:paraId="36086268" w14:textId="77777777" w:rsidR="00A1343F" w:rsidRPr="00A1343F" w:rsidRDefault="00A1343F" w:rsidP="00A1343F">
      <w:pPr>
        <w:pStyle w:val="Standard"/>
        <w:widowControl/>
        <w:spacing w:before="60" w:after="60"/>
        <w:ind w:left="284" w:hanging="284"/>
        <w:jc w:val="both"/>
        <w:rPr>
          <w:rFonts w:ascii="Times New Roman" w:eastAsia="Times New Roman" w:hAnsi="Times New Roman"/>
          <w:color w:val="000000"/>
          <w:sz w:val="20"/>
          <w:szCs w:val="20"/>
        </w:rPr>
      </w:pPr>
      <w:r w:rsidRPr="00A1343F">
        <w:rPr>
          <w:rFonts w:ascii="Times New Roman" w:eastAsia="Times New Roman" w:hAnsi="Times New Roman"/>
          <w:color w:val="000000"/>
          <w:sz w:val="20"/>
          <w:szCs w:val="20"/>
        </w:rPr>
        <w:lastRenderedPageBreak/>
        <w:t>Dixon, T., 2014. What does “retrofit” mean, and how can we scale up action in the UK sector?. </w:t>
      </w:r>
      <w:r w:rsidRPr="00A1343F">
        <w:rPr>
          <w:rFonts w:ascii="Times New Roman" w:eastAsia="Times New Roman" w:hAnsi="Times New Roman"/>
          <w:i/>
          <w:iCs/>
          <w:color w:val="000000"/>
          <w:sz w:val="20"/>
          <w:szCs w:val="20"/>
        </w:rPr>
        <w:t>Journal of Property Investment and Finance</w:t>
      </w:r>
      <w:r w:rsidRPr="00A1343F">
        <w:rPr>
          <w:rFonts w:ascii="Times New Roman" w:eastAsia="Times New Roman" w:hAnsi="Times New Roman"/>
          <w:color w:val="000000"/>
          <w:sz w:val="20"/>
          <w:szCs w:val="20"/>
        </w:rPr>
        <w:t>, 32(4), pp.443-452.</w:t>
      </w:r>
    </w:p>
    <w:p w14:paraId="1A7DFB83" w14:textId="6A309A8C" w:rsidR="00494590" w:rsidRPr="004F070A" w:rsidRDefault="00A1343F"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Faithful+</w:t>
      </w:r>
      <w:r w:rsidR="00494590" w:rsidRPr="004F070A">
        <w:rPr>
          <w:rFonts w:ascii="Times New Roman" w:eastAsia="Times New Roman" w:hAnsi="Times New Roman" w:cs="Times New Roman"/>
          <w:color w:val="000000"/>
          <w:sz w:val="20"/>
          <w:szCs w:val="20"/>
        </w:rPr>
        <w:t>Gould</w:t>
      </w:r>
      <w:r w:rsidR="006A0176">
        <w:rPr>
          <w:rFonts w:ascii="Times New Roman" w:eastAsia="Times New Roman" w:hAnsi="Times New Roman" w:cs="Times New Roman"/>
          <w:color w:val="000000"/>
          <w:sz w:val="20"/>
          <w:szCs w:val="20"/>
        </w:rPr>
        <w:t>,</w:t>
      </w:r>
      <w:r w:rsidR="00694959">
        <w:rPr>
          <w:rFonts w:ascii="Times New Roman" w:eastAsia="Times New Roman" w:hAnsi="Times New Roman" w:cs="Times New Roman"/>
          <w:color w:val="000000"/>
          <w:sz w:val="20"/>
          <w:szCs w:val="20"/>
        </w:rPr>
        <w:t xml:space="preserve"> </w:t>
      </w:r>
      <w:r w:rsidR="00494590" w:rsidRPr="004F070A">
        <w:rPr>
          <w:rFonts w:ascii="Times New Roman" w:eastAsia="Times New Roman" w:hAnsi="Times New Roman" w:cs="Times New Roman"/>
          <w:color w:val="000000"/>
          <w:sz w:val="20"/>
          <w:szCs w:val="20"/>
        </w:rPr>
        <w:t>2012</w:t>
      </w:r>
      <w:r w:rsidR="006A0176">
        <w:rPr>
          <w:rFonts w:ascii="Times New Roman" w:eastAsia="Times New Roman" w:hAnsi="Times New Roman" w:cs="Times New Roman"/>
          <w:color w:val="000000"/>
          <w:sz w:val="20"/>
          <w:szCs w:val="20"/>
        </w:rPr>
        <w:t>.</w:t>
      </w:r>
      <w:r w:rsidR="00494590" w:rsidRPr="004F070A">
        <w:rPr>
          <w:rFonts w:ascii="Times New Roman" w:eastAsia="Times New Roman" w:hAnsi="Times New Roman" w:cs="Times New Roman"/>
          <w:color w:val="000000"/>
          <w:sz w:val="20"/>
          <w:szCs w:val="20"/>
        </w:rPr>
        <w:t xml:space="preserve"> Construction Carbon Calculator</w:t>
      </w:r>
      <w:r w:rsidR="006A0176">
        <w:rPr>
          <w:rFonts w:ascii="Times New Roman" w:eastAsia="Times New Roman" w:hAnsi="Times New Roman" w:cs="Times New Roman"/>
          <w:color w:val="000000"/>
          <w:sz w:val="20"/>
          <w:szCs w:val="20"/>
        </w:rPr>
        <w:t xml:space="preserve"> [online].</w:t>
      </w:r>
      <w:r>
        <w:rPr>
          <w:rFonts w:ascii="Times New Roman" w:eastAsia="Times New Roman" w:hAnsi="Times New Roman" w:cs="Times New Roman"/>
          <w:color w:val="000000"/>
          <w:sz w:val="20"/>
          <w:szCs w:val="20"/>
        </w:rPr>
        <w:t xml:space="preserve"> </w:t>
      </w:r>
      <w:r w:rsidR="006A0176">
        <w:rPr>
          <w:rFonts w:ascii="Times New Roman" w:eastAsia="Times New Roman" w:hAnsi="Times New Roman" w:cs="Times New Roman"/>
          <w:color w:val="000000"/>
          <w:sz w:val="20"/>
          <w:szCs w:val="20"/>
        </w:rPr>
        <w:t xml:space="preserve">Available from: </w:t>
      </w:r>
      <w:r w:rsidR="006A0176" w:rsidRPr="004F07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http://www.fgould.com/carbon_</w:t>
      </w:r>
      <w:r w:rsidR="006A0176">
        <w:rPr>
          <w:rFonts w:ascii="Times New Roman" w:eastAsia="Times New Roman" w:hAnsi="Times New Roman" w:cs="Times New Roman"/>
          <w:color w:val="000000"/>
          <w:sz w:val="20"/>
          <w:szCs w:val="20"/>
        </w:rPr>
        <w:t>calculator [Accessed 2 February 2012]</w:t>
      </w:r>
      <w:r w:rsidR="00494590" w:rsidRPr="004F070A">
        <w:rPr>
          <w:rFonts w:ascii="Times New Roman" w:eastAsia="Times New Roman" w:hAnsi="Times New Roman" w:cs="Times New Roman"/>
          <w:color w:val="000000"/>
          <w:sz w:val="20"/>
          <w:szCs w:val="20"/>
        </w:rPr>
        <w:t>.</w:t>
      </w:r>
    </w:p>
    <w:p w14:paraId="319456DD" w14:textId="77777777" w:rsidR="006A0176" w:rsidRPr="006A0176" w:rsidRDefault="006A0176" w:rsidP="006A0176">
      <w:pPr>
        <w:pStyle w:val="Standard"/>
        <w:widowControl/>
        <w:spacing w:before="60" w:after="60"/>
        <w:ind w:left="284" w:hanging="284"/>
        <w:jc w:val="both"/>
        <w:rPr>
          <w:rFonts w:ascii="Times New Roman" w:eastAsia="Times New Roman" w:hAnsi="Times New Roman" w:cs="Times New Roman"/>
          <w:color w:val="000000"/>
          <w:sz w:val="20"/>
          <w:szCs w:val="20"/>
        </w:rPr>
      </w:pPr>
      <w:r w:rsidRPr="006A0176">
        <w:rPr>
          <w:rFonts w:ascii="Times New Roman" w:eastAsia="Times New Roman" w:hAnsi="Times New Roman" w:cs="Times New Roman"/>
          <w:color w:val="000000"/>
          <w:sz w:val="20"/>
          <w:szCs w:val="20"/>
        </w:rPr>
        <w:t>Farey, P., 2015. Carbon Reduction and Fiscal Incentives for Sustainable Design. </w:t>
      </w:r>
      <w:r w:rsidRPr="006A0176">
        <w:rPr>
          <w:rFonts w:ascii="Times New Roman" w:eastAsia="Times New Roman" w:hAnsi="Times New Roman" w:cs="Times New Roman"/>
          <w:i/>
          <w:iCs/>
          <w:color w:val="000000"/>
          <w:sz w:val="20"/>
          <w:szCs w:val="20"/>
        </w:rPr>
        <w:t>Design Economics for the Built Environment: Impact of Sustainability on Project Evaluation</w:t>
      </w:r>
      <w:r w:rsidRPr="006A0176">
        <w:rPr>
          <w:rFonts w:ascii="Times New Roman" w:eastAsia="Times New Roman" w:hAnsi="Times New Roman" w:cs="Times New Roman"/>
          <w:color w:val="000000"/>
          <w:sz w:val="20"/>
          <w:szCs w:val="20"/>
        </w:rPr>
        <w:t>, pp.152-176.</w:t>
      </w:r>
    </w:p>
    <w:p w14:paraId="3246B403" w14:textId="785BB1EA"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HM Government</w:t>
      </w:r>
      <w:r w:rsidR="006A0176">
        <w:rPr>
          <w:rFonts w:ascii="Times New Roman" w:eastAsia="Times New Roman" w:hAnsi="Times New Roman" w:cs="Times New Roman"/>
          <w:color w:val="000000"/>
          <w:sz w:val="20"/>
          <w:szCs w:val="20"/>
        </w:rPr>
        <w:t>, 2011.</w:t>
      </w:r>
      <w:r w:rsidRPr="004F070A">
        <w:rPr>
          <w:rFonts w:ascii="Times New Roman" w:eastAsia="Times New Roman" w:hAnsi="Times New Roman" w:cs="Times New Roman"/>
          <w:color w:val="000000"/>
          <w:sz w:val="20"/>
          <w:szCs w:val="20"/>
        </w:rPr>
        <w:t xml:space="preserve"> The Carbon Plan: Delivering our Low Carbon Future</w:t>
      </w:r>
      <w:r w:rsidR="006A0176">
        <w:rPr>
          <w:rFonts w:ascii="Times New Roman" w:eastAsia="Times New Roman" w:hAnsi="Times New Roman" w:cs="Times New Roman"/>
          <w:color w:val="000000"/>
          <w:sz w:val="20"/>
          <w:szCs w:val="20"/>
        </w:rPr>
        <w:t xml:space="preserve"> [online]</w:t>
      </w:r>
      <w:r w:rsidRPr="004F070A">
        <w:rPr>
          <w:rFonts w:ascii="Times New Roman" w:eastAsia="Times New Roman" w:hAnsi="Times New Roman" w:cs="Times New Roman"/>
          <w:color w:val="000000"/>
          <w:sz w:val="20"/>
          <w:szCs w:val="20"/>
        </w:rPr>
        <w:t xml:space="preserve">. HM Government. </w:t>
      </w:r>
      <w:r w:rsidR="006A0176">
        <w:rPr>
          <w:rFonts w:ascii="Times New Roman" w:eastAsia="Times New Roman" w:hAnsi="Times New Roman" w:cs="Times New Roman"/>
          <w:color w:val="000000"/>
          <w:sz w:val="20"/>
          <w:szCs w:val="20"/>
        </w:rPr>
        <w:t xml:space="preserve">Available from: </w:t>
      </w:r>
      <w:hyperlink r:id="rId9" w:history="1">
        <w:r w:rsidRPr="004F070A">
          <w:rPr>
            <w:rFonts w:ascii="Times New Roman" w:eastAsia="Times New Roman" w:hAnsi="Times New Roman"/>
            <w:color w:val="000000"/>
            <w:sz w:val="20"/>
            <w:szCs w:val="20"/>
          </w:rPr>
          <w:t>http://www.hmrc.gov.uk</w:t>
        </w:r>
      </w:hyperlink>
      <w:r w:rsidR="006A0176">
        <w:rPr>
          <w:rFonts w:ascii="Times New Roman" w:eastAsia="Times New Roman" w:hAnsi="Times New Roman" w:cs="Times New Roman"/>
          <w:color w:val="000000"/>
          <w:sz w:val="20"/>
          <w:szCs w:val="20"/>
        </w:rPr>
        <w:t xml:space="preserve"> [</w:t>
      </w:r>
      <w:r w:rsidRPr="004F070A">
        <w:rPr>
          <w:rFonts w:ascii="Times New Roman" w:eastAsia="Times New Roman" w:hAnsi="Times New Roman" w:cs="Times New Roman"/>
          <w:color w:val="000000"/>
          <w:sz w:val="20"/>
          <w:szCs w:val="20"/>
        </w:rPr>
        <w:t xml:space="preserve">Accessed </w:t>
      </w:r>
      <w:r w:rsidR="006A0176">
        <w:rPr>
          <w:rFonts w:ascii="Times New Roman" w:eastAsia="Times New Roman" w:hAnsi="Times New Roman" w:cs="Times New Roman"/>
          <w:color w:val="000000"/>
          <w:sz w:val="20"/>
          <w:szCs w:val="20"/>
        </w:rPr>
        <w:t xml:space="preserve">10 </w:t>
      </w:r>
      <w:r w:rsidRPr="004F070A">
        <w:rPr>
          <w:rFonts w:ascii="Times New Roman" w:eastAsia="Times New Roman" w:hAnsi="Times New Roman" w:cs="Times New Roman"/>
          <w:color w:val="000000"/>
          <w:sz w:val="20"/>
          <w:szCs w:val="20"/>
        </w:rPr>
        <w:t>March 2019</w:t>
      </w:r>
      <w:r w:rsidR="006A0176">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w:t>
      </w:r>
    </w:p>
    <w:p w14:paraId="5D74A0AB" w14:textId="20567CD7"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HMRC</w:t>
      </w:r>
      <w:r w:rsidR="006A0176">
        <w:rPr>
          <w:rFonts w:ascii="Times New Roman" w:eastAsia="Times New Roman" w:hAnsi="Times New Roman" w:cs="Times New Roman"/>
          <w:color w:val="000000"/>
          <w:sz w:val="20"/>
          <w:szCs w:val="20"/>
        </w:rPr>
        <w:t xml:space="preserve">,  2016. </w:t>
      </w:r>
      <w:r w:rsidR="00694959">
        <w:rPr>
          <w:rFonts w:ascii="Times New Roman" w:eastAsia="Times New Roman" w:hAnsi="Times New Roman" w:cs="Times New Roman"/>
          <w:color w:val="000000"/>
          <w:sz w:val="20"/>
          <w:szCs w:val="20"/>
        </w:rPr>
        <w:t>HM Revenue and Customs [online]. Available from:</w:t>
      </w:r>
      <w:r w:rsidRPr="004F070A">
        <w:rPr>
          <w:rFonts w:ascii="Times New Roman" w:eastAsia="Times New Roman" w:hAnsi="Times New Roman" w:cs="Times New Roman"/>
          <w:color w:val="000000"/>
          <w:sz w:val="20"/>
          <w:szCs w:val="20"/>
        </w:rPr>
        <w:t xml:space="preserve"> </w:t>
      </w:r>
      <w:hyperlink r:id="rId10" w:history="1">
        <w:r w:rsidRPr="004F070A">
          <w:rPr>
            <w:rFonts w:ascii="Times New Roman" w:eastAsia="Times New Roman" w:hAnsi="Times New Roman"/>
            <w:color w:val="000000"/>
            <w:sz w:val="20"/>
            <w:szCs w:val="20"/>
          </w:rPr>
          <w:t>http://www.hmrc.gov.uk</w:t>
        </w:r>
      </w:hyperlink>
      <w:r w:rsidR="00694959">
        <w:rPr>
          <w:rFonts w:ascii="Times New Roman" w:eastAsia="Times New Roman" w:hAnsi="Times New Roman" w:cs="Times New Roman"/>
          <w:color w:val="000000"/>
          <w:sz w:val="20"/>
          <w:szCs w:val="20"/>
        </w:rPr>
        <w:t xml:space="preserve"> [Accessed 15, M</w:t>
      </w:r>
      <w:r w:rsidRPr="004F070A">
        <w:rPr>
          <w:rFonts w:ascii="Times New Roman" w:eastAsia="Times New Roman" w:hAnsi="Times New Roman" w:cs="Times New Roman"/>
          <w:color w:val="000000"/>
          <w:sz w:val="20"/>
          <w:szCs w:val="20"/>
        </w:rPr>
        <w:t xml:space="preserve">arch </w:t>
      </w:r>
      <w:r w:rsidR="00694959">
        <w:rPr>
          <w:rFonts w:ascii="Times New Roman" w:eastAsia="Times New Roman" w:hAnsi="Times New Roman" w:cs="Times New Roman"/>
          <w:color w:val="000000"/>
          <w:sz w:val="20"/>
          <w:szCs w:val="20"/>
        </w:rPr>
        <w:t>2019]</w:t>
      </w:r>
      <w:r w:rsidRPr="004F070A">
        <w:rPr>
          <w:rFonts w:ascii="Times New Roman" w:eastAsia="Times New Roman" w:hAnsi="Times New Roman" w:cs="Times New Roman"/>
          <w:color w:val="000000"/>
          <w:sz w:val="20"/>
          <w:szCs w:val="20"/>
        </w:rPr>
        <w:t>.</w:t>
      </w:r>
    </w:p>
    <w:p w14:paraId="5E44A832" w14:textId="58427EA1"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Li, Q.</w:t>
      </w:r>
      <w:r w:rsidR="00694959">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Syal, M. Turner, N. </w:t>
      </w:r>
      <w:r w:rsidR="00694959">
        <w:rPr>
          <w:rFonts w:ascii="Times New Roman" w:eastAsia="Times New Roman" w:hAnsi="Times New Roman" w:cs="Times New Roman"/>
          <w:color w:val="000000"/>
          <w:sz w:val="20"/>
          <w:szCs w:val="20"/>
        </w:rPr>
        <w:t xml:space="preserve">and </w:t>
      </w:r>
      <w:r w:rsidRPr="004F070A">
        <w:rPr>
          <w:rFonts w:ascii="Times New Roman" w:eastAsia="Times New Roman" w:hAnsi="Times New Roman" w:cs="Times New Roman"/>
          <w:color w:val="000000"/>
          <w:sz w:val="20"/>
          <w:szCs w:val="20"/>
        </w:rPr>
        <w:t>Arif, M.</w:t>
      </w:r>
      <w:r w:rsidR="00694959">
        <w:rPr>
          <w:rFonts w:ascii="Times New Roman" w:eastAsia="Times New Roman" w:hAnsi="Times New Roman" w:cs="Times New Roman"/>
          <w:color w:val="000000"/>
          <w:sz w:val="20"/>
          <w:szCs w:val="20"/>
        </w:rPr>
        <w:t>, 2013.</w:t>
      </w:r>
      <w:r w:rsidRPr="004F070A">
        <w:rPr>
          <w:rFonts w:ascii="Times New Roman" w:eastAsia="Times New Roman" w:hAnsi="Times New Roman" w:cs="Times New Roman"/>
          <w:color w:val="000000"/>
          <w:sz w:val="20"/>
          <w:szCs w:val="20"/>
        </w:rPr>
        <w:t xml:space="preserve">Constructors and Innovation Credits in Green Building Projects. </w:t>
      </w:r>
      <w:r w:rsidRPr="00694959">
        <w:rPr>
          <w:rFonts w:ascii="Times New Roman" w:eastAsia="Times New Roman" w:hAnsi="Times New Roman" w:cs="Times New Roman"/>
          <w:i/>
          <w:iCs/>
          <w:color w:val="000000"/>
          <w:sz w:val="20"/>
          <w:szCs w:val="20"/>
        </w:rPr>
        <w:t>Construction Innovation</w:t>
      </w:r>
      <w:r w:rsidR="00694959">
        <w:rPr>
          <w:rFonts w:ascii="Times New Roman" w:eastAsia="Times New Roman" w:hAnsi="Times New Roman" w:cs="Times New Roman"/>
          <w:color w:val="000000"/>
          <w:sz w:val="20"/>
          <w:szCs w:val="20"/>
        </w:rPr>
        <w:t xml:space="preserve">, </w:t>
      </w:r>
      <w:r w:rsidRPr="004F070A">
        <w:rPr>
          <w:rFonts w:ascii="Times New Roman" w:eastAsia="Times New Roman" w:hAnsi="Times New Roman" w:cs="Times New Roman"/>
          <w:color w:val="000000"/>
          <w:sz w:val="20"/>
          <w:szCs w:val="20"/>
        </w:rPr>
        <w:t>13</w:t>
      </w:r>
      <w:r w:rsidR="00694959">
        <w:rPr>
          <w:rFonts w:ascii="Times New Roman" w:eastAsia="Times New Roman" w:hAnsi="Times New Roman" w:cs="Times New Roman"/>
          <w:color w:val="000000"/>
          <w:sz w:val="20"/>
          <w:szCs w:val="20"/>
        </w:rPr>
        <w:t>, pp.</w:t>
      </w:r>
      <w:r w:rsidRPr="004F070A">
        <w:rPr>
          <w:rFonts w:ascii="Times New Roman" w:eastAsia="Times New Roman" w:hAnsi="Times New Roman" w:cs="Times New Roman"/>
          <w:color w:val="000000"/>
          <w:sz w:val="20"/>
          <w:szCs w:val="20"/>
        </w:rPr>
        <w:t>320-338.</w:t>
      </w:r>
    </w:p>
    <w:p w14:paraId="468B95FA" w14:textId="77777777" w:rsidR="00694959" w:rsidRPr="00694959" w:rsidRDefault="00694959" w:rsidP="00694959">
      <w:pPr>
        <w:pStyle w:val="Standard"/>
        <w:widowControl/>
        <w:spacing w:before="60" w:after="60"/>
        <w:ind w:left="284" w:hanging="284"/>
        <w:jc w:val="both"/>
        <w:rPr>
          <w:rFonts w:ascii="Times New Roman" w:eastAsia="Times New Roman" w:hAnsi="Times New Roman" w:cs="Times New Roman"/>
          <w:color w:val="000000"/>
          <w:sz w:val="20"/>
          <w:szCs w:val="20"/>
        </w:rPr>
      </w:pPr>
      <w:r w:rsidRPr="00694959">
        <w:rPr>
          <w:rFonts w:ascii="Times New Roman" w:eastAsia="Times New Roman" w:hAnsi="Times New Roman" w:cs="Times New Roman"/>
          <w:color w:val="000000"/>
          <w:sz w:val="20"/>
          <w:szCs w:val="20"/>
        </w:rPr>
        <w:t>Lockie, S., 2015. Life Cycle Costing and Sustainability Assessments: An Industry Perspective with Case Studies. </w:t>
      </w:r>
      <w:r w:rsidRPr="00694959">
        <w:rPr>
          <w:rFonts w:ascii="Times New Roman" w:eastAsia="Times New Roman" w:hAnsi="Times New Roman" w:cs="Times New Roman"/>
          <w:i/>
          <w:iCs/>
          <w:color w:val="000000"/>
          <w:sz w:val="20"/>
          <w:szCs w:val="20"/>
        </w:rPr>
        <w:t>Design Economics for the Built Environment: Impact of Sustainability on Project Evaluation</w:t>
      </w:r>
      <w:r w:rsidRPr="00694959">
        <w:rPr>
          <w:rFonts w:ascii="Times New Roman" w:eastAsia="Times New Roman" w:hAnsi="Times New Roman" w:cs="Times New Roman"/>
          <w:color w:val="000000"/>
          <w:sz w:val="20"/>
          <w:szCs w:val="20"/>
        </w:rPr>
        <w:t>, pp.262-283.</w:t>
      </w:r>
    </w:p>
    <w:p w14:paraId="7A8E57D0" w14:textId="77777777" w:rsidR="00694959" w:rsidRPr="00694959" w:rsidRDefault="00694959" w:rsidP="00694959">
      <w:pPr>
        <w:rPr>
          <w:rFonts w:eastAsia="Times New Roman" w:cs="Times New Roman"/>
          <w:color w:val="000000"/>
          <w:sz w:val="20"/>
          <w:szCs w:val="20"/>
          <w:lang w:eastAsia="zh-CN" w:bidi="hi-IN"/>
        </w:rPr>
      </w:pPr>
      <w:r w:rsidRPr="00694959">
        <w:rPr>
          <w:rFonts w:eastAsia="Times New Roman" w:cs="Times New Roman"/>
          <w:color w:val="000000"/>
          <w:sz w:val="20"/>
          <w:szCs w:val="20"/>
          <w:lang w:eastAsia="zh-CN" w:bidi="hi-IN"/>
        </w:rPr>
        <w:t>Matthews, O. and Howell, G.A., 2005. Integrated project delivery an example of relational contracting. </w:t>
      </w:r>
      <w:r w:rsidRPr="00694959">
        <w:rPr>
          <w:rFonts w:eastAsia="Times New Roman" w:cs="Times New Roman"/>
          <w:i/>
          <w:iCs/>
          <w:color w:val="000000"/>
          <w:sz w:val="20"/>
          <w:szCs w:val="20"/>
          <w:lang w:eastAsia="zh-CN" w:bidi="hi-IN"/>
        </w:rPr>
        <w:t>Lean construction journal</w:t>
      </w:r>
      <w:r w:rsidRPr="00694959">
        <w:rPr>
          <w:rFonts w:eastAsia="Times New Roman" w:cs="Times New Roman"/>
          <w:color w:val="000000"/>
          <w:sz w:val="20"/>
          <w:szCs w:val="20"/>
          <w:lang w:eastAsia="zh-CN" w:bidi="hi-IN"/>
        </w:rPr>
        <w:t>, 2(1), pp.46-61.</w:t>
      </w:r>
    </w:p>
    <w:p w14:paraId="5B08CDF8" w14:textId="7C4E7D80"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McCaffrey</w:t>
      </w:r>
      <w:r w:rsidR="00694959">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J.</w:t>
      </w:r>
      <w:r w:rsidR="00694959">
        <w:rPr>
          <w:rFonts w:ascii="Times New Roman" w:eastAsia="Times New Roman" w:hAnsi="Times New Roman" w:cs="Times New Roman"/>
          <w:color w:val="000000"/>
          <w:sz w:val="20"/>
          <w:szCs w:val="20"/>
        </w:rPr>
        <w:t xml:space="preserve">, 2010. </w:t>
      </w:r>
      <w:r w:rsidRPr="004F070A">
        <w:rPr>
          <w:rFonts w:ascii="Times New Roman" w:eastAsia="Times New Roman" w:hAnsi="Times New Roman" w:cs="Times New Roman"/>
          <w:color w:val="000000"/>
          <w:sz w:val="20"/>
          <w:szCs w:val="20"/>
        </w:rPr>
        <w:t>What</w:t>
      </w:r>
      <w:r w:rsidR="00694959">
        <w:rPr>
          <w:rFonts w:ascii="Times New Roman" w:eastAsia="Times New Roman" w:hAnsi="Times New Roman" w:cs="Times New Roman"/>
          <w:color w:val="000000"/>
          <w:sz w:val="20"/>
          <w:szCs w:val="20"/>
        </w:rPr>
        <w:t xml:space="preserve"> is an M&amp;E QS, </w:t>
      </w:r>
      <w:r w:rsidRPr="002F5A12">
        <w:rPr>
          <w:rFonts w:ascii="Times New Roman" w:eastAsia="Times New Roman" w:hAnsi="Times New Roman" w:cs="Times New Roman"/>
          <w:i/>
          <w:iCs/>
          <w:color w:val="000000"/>
          <w:sz w:val="20"/>
          <w:szCs w:val="20"/>
        </w:rPr>
        <w:t>Royal Institution of Chattered Surveyor</w:t>
      </w:r>
      <w:r w:rsidR="002F5A12" w:rsidRPr="002F5A12">
        <w:rPr>
          <w:rFonts w:ascii="Times New Roman" w:eastAsia="Times New Roman" w:hAnsi="Times New Roman" w:cs="Times New Roman"/>
          <w:i/>
          <w:iCs/>
          <w:color w:val="000000"/>
          <w:sz w:val="20"/>
          <w:szCs w:val="20"/>
        </w:rPr>
        <w:t>s Students Construction Journal</w:t>
      </w:r>
      <w:r w:rsidR="002F5A12">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22 </w:t>
      </w:r>
      <w:r w:rsidRPr="004F070A">
        <w:rPr>
          <w:rFonts w:ascii="Cambria Math" w:eastAsia="Times New Roman" w:hAnsi="Cambria Math" w:cs="Cambria Math"/>
          <w:color w:val="000000"/>
          <w:sz w:val="20"/>
          <w:szCs w:val="20"/>
        </w:rPr>
        <w:t>‐</w:t>
      </w:r>
      <w:r w:rsidRPr="004F070A">
        <w:rPr>
          <w:rFonts w:ascii="Times New Roman" w:eastAsia="Times New Roman" w:hAnsi="Times New Roman" w:cs="Times New Roman"/>
          <w:color w:val="000000"/>
          <w:sz w:val="20"/>
          <w:szCs w:val="20"/>
        </w:rPr>
        <w:t xml:space="preserve"> 23. </w:t>
      </w:r>
    </w:p>
    <w:p w14:paraId="7BD28E9D" w14:textId="430E5898"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Miller, E</w:t>
      </w:r>
      <w:r w:rsidR="002F5A12">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and Buys, L</w:t>
      </w:r>
      <w:r w:rsidR="002F5A12">
        <w:rPr>
          <w:rFonts w:ascii="Times New Roman" w:eastAsia="Times New Roman" w:hAnsi="Times New Roman" w:cs="Times New Roman"/>
          <w:color w:val="000000"/>
          <w:sz w:val="20"/>
          <w:szCs w:val="20"/>
        </w:rPr>
        <w:t xml:space="preserve">., 2008. </w:t>
      </w:r>
      <w:r w:rsidRPr="004F070A">
        <w:rPr>
          <w:rFonts w:ascii="Times New Roman" w:eastAsia="Times New Roman" w:hAnsi="Times New Roman" w:cs="Times New Roman"/>
          <w:color w:val="000000"/>
          <w:sz w:val="20"/>
          <w:szCs w:val="20"/>
        </w:rPr>
        <w:t>Retrofitting commercial office buildings for sustainability: tenants’ perspective</w:t>
      </w:r>
      <w:r w:rsidR="002F5A12">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w:t>
      </w:r>
      <w:r w:rsidRPr="002F5A12">
        <w:rPr>
          <w:rFonts w:ascii="Times New Roman" w:eastAsia="Times New Roman" w:hAnsi="Times New Roman" w:cs="Times New Roman"/>
          <w:i/>
          <w:iCs/>
          <w:color w:val="000000"/>
          <w:sz w:val="20"/>
          <w:szCs w:val="20"/>
        </w:rPr>
        <w:t>Journal of Property Investment and Finance</w:t>
      </w:r>
      <w:r w:rsidRPr="004F070A">
        <w:rPr>
          <w:rFonts w:ascii="Times New Roman" w:eastAsia="Times New Roman" w:hAnsi="Times New Roman" w:cs="Times New Roman"/>
          <w:color w:val="000000"/>
          <w:sz w:val="20"/>
          <w:szCs w:val="20"/>
        </w:rPr>
        <w:t>, 26</w:t>
      </w:r>
      <w:r w:rsidR="002F5A12">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6</w:t>
      </w:r>
      <w:r w:rsidR="002F5A12">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w:t>
      </w:r>
      <w:r w:rsidR="002F5A12">
        <w:rPr>
          <w:rFonts w:ascii="Times New Roman" w:eastAsia="Times New Roman" w:hAnsi="Times New Roman" w:cs="Times New Roman"/>
          <w:color w:val="000000"/>
          <w:sz w:val="20"/>
          <w:szCs w:val="20"/>
        </w:rPr>
        <w:t>pp.</w:t>
      </w:r>
      <w:r w:rsidRPr="004F070A">
        <w:rPr>
          <w:rFonts w:ascii="Times New Roman" w:eastAsia="Times New Roman" w:hAnsi="Times New Roman" w:cs="Times New Roman"/>
          <w:color w:val="000000"/>
          <w:sz w:val="20"/>
          <w:szCs w:val="20"/>
        </w:rPr>
        <w:t>552-561</w:t>
      </w:r>
      <w:r w:rsidR="002F5A12">
        <w:rPr>
          <w:rFonts w:ascii="Times New Roman" w:eastAsia="Times New Roman" w:hAnsi="Times New Roman" w:cs="Times New Roman"/>
          <w:color w:val="000000"/>
          <w:sz w:val="20"/>
          <w:szCs w:val="20"/>
        </w:rPr>
        <w:t>.</w:t>
      </w:r>
    </w:p>
    <w:p w14:paraId="41498C29" w14:textId="1A857F0B" w:rsidR="002F5A12"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Mitchell, C.</w:t>
      </w:r>
      <w:r w:rsidR="002F5A12">
        <w:rPr>
          <w:rFonts w:ascii="Times New Roman" w:eastAsia="Times New Roman" w:hAnsi="Times New Roman" w:cs="Times New Roman"/>
          <w:color w:val="000000"/>
          <w:sz w:val="20"/>
          <w:szCs w:val="20"/>
        </w:rPr>
        <w:t>, 2016</w:t>
      </w:r>
      <w:r w:rsidRPr="004F070A">
        <w:rPr>
          <w:rFonts w:ascii="Times New Roman" w:eastAsia="Times New Roman" w:hAnsi="Times New Roman" w:cs="Times New Roman"/>
          <w:color w:val="000000"/>
          <w:sz w:val="20"/>
          <w:szCs w:val="20"/>
        </w:rPr>
        <w:t>. A Time for Change - An Evaluation of the Ability of the Quantity Surveyor to Measure Mechanical and Electrical Services Under the Irish Public Works Contracts (designed by the employer) using the Agreed Rules of Measurement</w:t>
      </w:r>
      <w:r w:rsidR="002F5A12">
        <w:rPr>
          <w:rFonts w:ascii="Times New Roman" w:eastAsia="Times New Roman" w:hAnsi="Times New Roman" w:cs="Times New Roman"/>
          <w:color w:val="000000"/>
          <w:sz w:val="20"/>
          <w:szCs w:val="20"/>
        </w:rPr>
        <w:t xml:space="preserve"> [online]</w:t>
      </w:r>
      <w:r w:rsidRPr="004F070A">
        <w:rPr>
          <w:rFonts w:ascii="Times New Roman" w:eastAsia="Times New Roman" w:hAnsi="Times New Roman" w:cs="Times New Roman"/>
          <w:color w:val="000000"/>
          <w:sz w:val="20"/>
          <w:szCs w:val="20"/>
        </w:rPr>
        <w:t xml:space="preserve">. Other Resources. Paper 61. </w:t>
      </w:r>
      <w:r w:rsidR="002F5A12">
        <w:rPr>
          <w:rFonts w:ascii="Times New Roman" w:eastAsia="Times New Roman" w:hAnsi="Times New Roman" w:cs="Times New Roman"/>
          <w:color w:val="000000"/>
          <w:sz w:val="20"/>
          <w:szCs w:val="20"/>
        </w:rPr>
        <w:t xml:space="preserve">Available from: </w:t>
      </w:r>
      <w:r w:rsidR="002F5A12" w:rsidRPr="002F5A12">
        <w:rPr>
          <w:rFonts w:ascii="Times New Roman" w:eastAsia="Times New Roman" w:hAnsi="Times New Roman" w:cs="Times New Roman"/>
          <w:color w:val="000000"/>
          <w:sz w:val="20"/>
          <w:szCs w:val="20"/>
        </w:rPr>
        <w:br/>
      </w:r>
      <w:hyperlink r:id="rId11" w:history="1">
        <w:r w:rsidR="002F5A12" w:rsidRPr="009419BC">
          <w:rPr>
            <w:rStyle w:val="Hyperlink"/>
            <w:rFonts w:ascii="Times New Roman" w:eastAsia="Times New Roman" w:hAnsi="Times New Roman" w:cs="Times New Roman"/>
            <w:sz w:val="20"/>
            <w:szCs w:val="20"/>
          </w:rPr>
          <w:t>https://arrow.dit.ie/beschreoth/61</w:t>
        </w:r>
      </w:hyperlink>
      <w:r w:rsidR="002F5A12">
        <w:rPr>
          <w:rFonts w:ascii="Times New Roman" w:eastAsia="Times New Roman" w:hAnsi="Times New Roman" w:cs="Times New Roman"/>
          <w:color w:val="000000"/>
          <w:sz w:val="20"/>
          <w:szCs w:val="20"/>
        </w:rPr>
        <w:t xml:space="preserve"> [Accessed 23 January 2019] </w:t>
      </w:r>
    </w:p>
    <w:p w14:paraId="4EF4910A" w14:textId="77777777" w:rsidR="002F5A12" w:rsidRPr="002F5A12" w:rsidRDefault="002F5A12" w:rsidP="002F5A12">
      <w:pPr>
        <w:pStyle w:val="Standard"/>
        <w:widowControl/>
        <w:spacing w:before="60" w:after="60"/>
        <w:ind w:left="284" w:hanging="284"/>
        <w:jc w:val="both"/>
        <w:rPr>
          <w:rFonts w:ascii="Times New Roman" w:eastAsia="Times New Roman" w:hAnsi="Times New Roman" w:cs="Times New Roman"/>
          <w:color w:val="000000"/>
          <w:sz w:val="20"/>
          <w:szCs w:val="20"/>
        </w:rPr>
      </w:pPr>
      <w:r w:rsidRPr="002F5A12">
        <w:rPr>
          <w:rFonts w:ascii="Times New Roman" w:eastAsia="Times New Roman" w:hAnsi="Times New Roman" w:cs="Times New Roman"/>
          <w:color w:val="000000"/>
          <w:sz w:val="20"/>
          <w:szCs w:val="20"/>
        </w:rPr>
        <w:t>Myers, D., 2005. A review of construction companies' attitudes to sustainability. </w:t>
      </w:r>
      <w:r w:rsidRPr="002F5A12">
        <w:rPr>
          <w:rFonts w:ascii="Times New Roman" w:eastAsia="Times New Roman" w:hAnsi="Times New Roman" w:cs="Times New Roman"/>
          <w:i/>
          <w:iCs/>
          <w:color w:val="000000"/>
          <w:sz w:val="20"/>
          <w:szCs w:val="20"/>
        </w:rPr>
        <w:t>Construction Management and Economics</w:t>
      </w:r>
      <w:r w:rsidRPr="002F5A12">
        <w:rPr>
          <w:rFonts w:ascii="Times New Roman" w:eastAsia="Times New Roman" w:hAnsi="Times New Roman" w:cs="Times New Roman"/>
          <w:color w:val="000000"/>
          <w:sz w:val="20"/>
          <w:szCs w:val="20"/>
        </w:rPr>
        <w:t>, 23(8), pp.781-785.</w:t>
      </w:r>
    </w:p>
    <w:p w14:paraId="361A3D3A" w14:textId="732D27F7" w:rsidR="00394AB1" w:rsidRPr="00394AB1" w:rsidRDefault="00394AB1"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394AB1">
        <w:rPr>
          <w:rFonts w:ascii="Times New Roman" w:eastAsia="Times New Roman" w:hAnsi="Times New Roman" w:cs="Times New Roman"/>
          <w:color w:val="000000"/>
          <w:sz w:val="20"/>
          <w:szCs w:val="20"/>
        </w:rPr>
        <w:t xml:space="preserve">Odeyinka, H.A., Kelly, S., and Perera, S., 2009. An Evaluation of the Budgetary Reliability of Bills of Quantities in Building Procurement. </w:t>
      </w:r>
      <w:r w:rsidRPr="002F5A12">
        <w:rPr>
          <w:rFonts w:ascii="Times New Roman" w:eastAsia="Times New Roman" w:hAnsi="Times New Roman" w:cs="Times New Roman"/>
          <w:i/>
          <w:iCs/>
          <w:color w:val="000000"/>
          <w:sz w:val="20"/>
          <w:szCs w:val="20"/>
        </w:rPr>
        <w:t>The Construction and Building Research Conference of the Royal Institution of Chartered Surveyors</w:t>
      </w:r>
      <w:r w:rsidR="002F5A12" w:rsidRPr="002F5A12">
        <w:rPr>
          <w:rFonts w:ascii="Times New Roman" w:eastAsia="Times New Roman" w:hAnsi="Times New Roman" w:cs="Times New Roman"/>
          <w:color w:val="000000"/>
          <w:sz w:val="20"/>
          <w:szCs w:val="20"/>
        </w:rPr>
        <w:t>,</w:t>
      </w:r>
      <w:r w:rsidRPr="002F5A12">
        <w:rPr>
          <w:rFonts w:ascii="Times New Roman" w:eastAsia="Times New Roman" w:hAnsi="Times New Roman" w:cs="Times New Roman"/>
          <w:i/>
          <w:iCs/>
          <w:color w:val="000000"/>
          <w:sz w:val="20"/>
          <w:szCs w:val="20"/>
        </w:rPr>
        <w:t xml:space="preserve"> </w:t>
      </w:r>
      <w:r w:rsidR="002F5A12">
        <w:rPr>
          <w:rFonts w:ascii="Times New Roman" w:eastAsia="Times New Roman" w:hAnsi="Times New Roman" w:cs="Times New Roman"/>
          <w:color w:val="000000"/>
          <w:sz w:val="20"/>
          <w:szCs w:val="20"/>
        </w:rPr>
        <w:t xml:space="preserve">11 September 2009, University of Cape Town. </w:t>
      </w:r>
      <w:r w:rsidRPr="00394AB1">
        <w:rPr>
          <w:rFonts w:ascii="Times New Roman" w:eastAsia="Times New Roman" w:hAnsi="Times New Roman" w:cs="Times New Roman"/>
          <w:color w:val="000000"/>
          <w:sz w:val="20"/>
          <w:szCs w:val="20"/>
        </w:rPr>
        <w:t>435-446.</w:t>
      </w:r>
    </w:p>
    <w:p w14:paraId="714F3055" w14:textId="0ED7C471" w:rsidR="00494590" w:rsidRPr="004F070A" w:rsidRDefault="002F5A12"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Oforeh, E., 2008</w:t>
      </w:r>
      <w:r w:rsidR="00494590" w:rsidRPr="004F070A">
        <w:rPr>
          <w:rFonts w:ascii="Times New Roman" w:eastAsia="Times New Roman" w:hAnsi="Times New Roman" w:cs="Times New Roman"/>
          <w:color w:val="000000"/>
          <w:sz w:val="20"/>
          <w:szCs w:val="20"/>
        </w:rPr>
        <w:t xml:space="preserve">. </w:t>
      </w:r>
      <w:r w:rsidR="00494590" w:rsidRPr="002F5A12">
        <w:rPr>
          <w:rFonts w:ascii="Times New Roman" w:eastAsia="Times New Roman" w:hAnsi="Times New Roman" w:cs="Times New Roman"/>
          <w:i/>
          <w:iCs/>
          <w:color w:val="000000"/>
          <w:sz w:val="20"/>
          <w:szCs w:val="20"/>
        </w:rPr>
        <w:t>Installation and Electrical Works in Buildings</w:t>
      </w:r>
      <w:r w:rsidR="00494590" w:rsidRPr="004F07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2F5A12">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ed.</w:t>
      </w:r>
      <w:r w:rsidR="00494590" w:rsidRPr="004F070A">
        <w:rPr>
          <w:rFonts w:ascii="Times New Roman" w:eastAsia="Times New Roman" w:hAnsi="Times New Roman" w:cs="Times New Roman"/>
          <w:color w:val="000000"/>
          <w:sz w:val="20"/>
          <w:szCs w:val="20"/>
        </w:rPr>
        <w:t>, Lagos: Cosines.</w:t>
      </w:r>
    </w:p>
    <w:p w14:paraId="3A4DA7C1" w14:textId="77777777" w:rsidR="00394AB1" w:rsidRPr="00394AB1" w:rsidRDefault="00394AB1" w:rsidP="00394AB1">
      <w:pPr>
        <w:pStyle w:val="Standard"/>
        <w:widowControl/>
        <w:spacing w:before="60" w:after="60"/>
        <w:ind w:left="284" w:hanging="284"/>
        <w:jc w:val="both"/>
        <w:rPr>
          <w:rFonts w:ascii="Times New Roman" w:eastAsia="Times New Roman" w:hAnsi="Times New Roman" w:cs="Times New Roman"/>
          <w:color w:val="000000"/>
          <w:sz w:val="20"/>
          <w:szCs w:val="20"/>
        </w:rPr>
      </w:pPr>
      <w:r w:rsidRPr="00394AB1">
        <w:rPr>
          <w:rFonts w:ascii="Times New Roman" w:eastAsia="Times New Roman" w:hAnsi="Times New Roman" w:cs="Times New Roman"/>
          <w:color w:val="000000"/>
          <w:sz w:val="20"/>
          <w:szCs w:val="20"/>
        </w:rPr>
        <w:t>Olanrewaju, A. and Anahve, P.J., 2015. Duties and responsibilities of quantity surveyors in the procurement of building services engineering. </w:t>
      </w:r>
      <w:r w:rsidRPr="001E63CC">
        <w:rPr>
          <w:rFonts w:ascii="Times New Roman" w:eastAsia="Times New Roman" w:hAnsi="Times New Roman" w:cs="Times New Roman"/>
          <w:i/>
          <w:iCs/>
          <w:color w:val="000000"/>
          <w:sz w:val="20"/>
          <w:szCs w:val="20"/>
        </w:rPr>
        <w:t>Procedia Engineering</w:t>
      </w:r>
      <w:r w:rsidRPr="00394AB1">
        <w:rPr>
          <w:rFonts w:ascii="Times New Roman" w:eastAsia="Times New Roman" w:hAnsi="Times New Roman" w:cs="Times New Roman"/>
          <w:color w:val="000000"/>
          <w:sz w:val="20"/>
          <w:szCs w:val="20"/>
        </w:rPr>
        <w:t>, 123, pp.352-360.</w:t>
      </w:r>
    </w:p>
    <w:p w14:paraId="6AAF7632" w14:textId="77777777" w:rsidR="001E63CC" w:rsidRPr="001E63CC" w:rsidRDefault="001E63CC" w:rsidP="001E63CC">
      <w:pPr>
        <w:pStyle w:val="Standard"/>
        <w:widowControl/>
        <w:spacing w:before="60" w:after="60"/>
        <w:ind w:left="284" w:hanging="284"/>
        <w:jc w:val="both"/>
        <w:rPr>
          <w:rFonts w:ascii="Times New Roman" w:eastAsia="Times New Roman" w:hAnsi="Times New Roman" w:cs="Times New Roman"/>
          <w:color w:val="000000"/>
          <w:sz w:val="20"/>
          <w:szCs w:val="20"/>
        </w:rPr>
      </w:pPr>
      <w:r w:rsidRPr="001E63CC">
        <w:rPr>
          <w:rFonts w:ascii="Times New Roman" w:eastAsia="Times New Roman" w:hAnsi="Times New Roman" w:cs="Times New Roman"/>
          <w:color w:val="000000"/>
          <w:sz w:val="20"/>
          <w:szCs w:val="20"/>
        </w:rPr>
        <w:t>Potts, K., 2008. Change in the quantity surveying profession. </w:t>
      </w:r>
      <w:r w:rsidRPr="001E63CC">
        <w:rPr>
          <w:rFonts w:ascii="Times New Roman" w:eastAsia="Times New Roman" w:hAnsi="Times New Roman" w:cs="Times New Roman"/>
          <w:i/>
          <w:iCs/>
          <w:color w:val="000000"/>
          <w:sz w:val="20"/>
          <w:szCs w:val="20"/>
        </w:rPr>
        <w:t>Collaborative Relationships in Construction</w:t>
      </w:r>
      <w:r w:rsidRPr="001E63CC">
        <w:rPr>
          <w:rFonts w:ascii="Times New Roman" w:eastAsia="Times New Roman" w:hAnsi="Times New Roman" w:cs="Times New Roman"/>
          <w:color w:val="000000"/>
          <w:sz w:val="20"/>
          <w:szCs w:val="20"/>
        </w:rPr>
        <w:t>. UK: Wiley, pp.42-58.</w:t>
      </w:r>
    </w:p>
    <w:p w14:paraId="3FFDE5F0" w14:textId="245998A1" w:rsidR="00494590" w:rsidRPr="004F070A" w:rsidRDefault="001E63CC"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Rawlinson., S., and</w:t>
      </w:r>
      <w:r w:rsidR="00494590" w:rsidRPr="004F070A">
        <w:rPr>
          <w:rFonts w:ascii="Times New Roman" w:eastAsia="Times New Roman" w:hAnsi="Times New Roman" w:cs="Times New Roman"/>
          <w:color w:val="000000"/>
          <w:sz w:val="20"/>
          <w:szCs w:val="20"/>
        </w:rPr>
        <w:t xml:space="preserve"> Dedman, D.</w:t>
      </w:r>
      <w:r>
        <w:rPr>
          <w:rFonts w:ascii="Times New Roman" w:eastAsia="Times New Roman" w:hAnsi="Times New Roman" w:cs="Times New Roman"/>
          <w:color w:val="000000"/>
          <w:sz w:val="20"/>
          <w:szCs w:val="20"/>
        </w:rPr>
        <w:t>, 2010</w:t>
      </w:r>
      <w:r w:rsidR="00494590" w:rsidRPr="004F070A">
        <w:rPr>
          <w:rFonts w:ascii="Times New Roman" w:eastAsia="Times New Roman" w:hAnsi="Times New Roman" w:cs="Times New Roman"/>
          <w:color w:val="000000"/>
          <w:sz w:val="20"/>
          <w:szCs w:val="20"/>
        </w:rPr>
        <w:t>. Specialist Costs: M&amp;E Services</w:t>
      </w:r>
      <w:r>
        <w:rPr>
          <w:rFonts w:ascii="Times New Roman" w:eastAsia="Times New Roman" w:hAnsi="Times New Roman" w:cs="Times New Roman"/>
          <w:color w:val="000000"/>
          <w:sz w:val="20"/>
          <w:szCs w:val="20"/>
        </w:rPr>
        <w:t xml:space="preserve"> [online]</w:t>
      </w:r>
      <w:r w:rsidR="00494590" w:rsidRPr="004F070A">
        <w:rPr>
          <w:rFonts w:ascii="Times New Roman" w:eastAsia="Times New Roman" w:hAnsi="Times New Roman" w:cs="Times New Roman"/>
          <w:color w:val="000000"/>
          <w:sz w:val="20"/>
          <w:szCs w:val="20"/>
        </w:rPr>
        <w:t>. Davis</w:t>
      </w:r>
      <w:r>
        <w:rPr>
          <w:rFonts w:ascii="Times New Roman" w:eastAsia="Times New Roman" w:hAnsi="Times New Roman" w:cs="Times New Roman"/>
          <w:color w:val="000000"/>
          <w:sz w:val="20"/>
          <w:szCs w:val="20"/>
        </w:rPr>
        <w:t xml:space="preserve"> Langdon Building Magazine. Available from:</w:t>
      </w:r>
      <w:r w:rsidR="00494590" w:rsidRPr="004F070A">
        <w:rPr>
          <w:rFonts w:ascii="Times New Roman" w:eastAsia="Times New Roman" w:hAnsi="Times New Roman" w:cs="Times New Roman"/>
          <w:color w:val="000000"/>
          <w:sz w:val="20"/>
          <w:szCs w:val="20"/>
        </w:rPr>
        <w:t xml:space="preserve"> </w:t>
      </w:r>
      <w:hyperlink r:id="rId12" w:history="1">
        <w:r w:rsidR="0078678B" w:rsidRPr="004F070A">
          <w:rPr>
            <w:rFonts w:ascii="Times New Roman" w:eastAsia="Times New Roman" w:hAnsi="Times New Roman" w:cs="Times New Roman"/>
            <w:color w:val="000000"/>
            <w:sz w:val="20"/>
            <w:szCs w:val="20"/>
          </w:rPr>
          <w:t>www.building.co.uk/specialist-costs-me-services/5001903.article</w:t>
        </w:r>
      </w:hyperlink>
      <w:r w:rsidR="0078678B" w:rsidRPr="004F07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78678B">
        <w:rPr>
          <w:rFonts w:ascii="Times New Roman" w:eastAsia="Times New Roman" w:hAnsi="Times New Roman" w:cs="Times New Roman"/>
          <w:color w:val="000000"/>
          <w:sz w:val="20"/>
          <w:szCs w:val="20"/>
        </w:rPr>
        <w:t xml:space="preserve">Accessed </w:t>
      </w:r>
      <w:r>
        <w:rPr>
          <w:rFonts w:ascii="Times New Roman" w:eastAsia="Times New Roman" w:hAnsi="Times New Roman" w:cs="Times New Roman"/>
          <w:color w:val="000000"/>
          <w:sz w:val="20"/>
          <w:szCs w:val="20"/>
        </w:rPr>
        <w:t xml:space="preserve">15 </w:t>
      </w:r>
      <w:r w:rsidR="0078678B">
        <w:rPr>
          <w:rFonts w:ascii="Times New Roman" w:eastAsia="Times New Roman" w:hAnsi="Times New Roman" w:cs="Times New Roman"/>
          <w:color w:val="000000"/>
          <w:sz w:val="20"/>
          <w:szCs w:val="20"/>
        </w:rPr>
        <w:t>May 2017</w:t>
      </w:r>
      <w:r>
        <w:rPr>
          <w:rFonts w:ascii="Times New Roman" w:eastAsia="Times New Roman" w:hAnsi="Times New Roman" w:cs="Times New Roman"/>
          <w:color w:val="000000"/>
          <w:sz w:val="20"/>
          <w:szCs w:val="20"/>
        </w:rPr>
        <w:t>]</w:t>
      </w:r>
    </w:p>
    <w:p w14:paraId="0A6B0720" w14:textId="2FBD8391" w:rsidR="00494590" w:rsidRPr="001E63CC" w:rsidRDefault="001E63CC"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1E63CC">
        <w:rPr>
          <w:rFonts w:ascii="Times New Roman" w:eastAsia="Times New Roman" w:hAnsi="Times New Roman" w:cs="Times New Roman"/>
          <w:color w:val="000000"/>
          <w:sz w:val="20"/>
          <w:szCs w:val="20"/>
        </w:rPr>
        <w:t>Remark Group, 2013</w:t>
      </w:r>
      <w:r w:rsidR="00494590" w:rsidRPr="001E63CC">
        <w:rPr>
          <w:rFonts w:ascii="Times New Roman" w:eastAsia="Times New Roman" w:hAnsi="Times New Roman" w:cs="Times New Roman"/>
          <w:color w:val="000000"/>
          <w:sz w:val="20"/>
          <w:szCs w:val="20"/>
        </w:rPr>
        <w:t xml:space="preserve">. Government Enhanced </w:t>
      </w:r>
      <w:r w:rsidR="00494590" w:rsidRPr="001E63CC">
        <w:rPr>
          <w:rFonts w:ascii="Times New Roman" w:eastAsia="Times New Roman" w:hAnsi="Times New Roman"/>
          <w:color w:val="000000"/>
          <w:sz w:val="20"/>
          <w:szCs w:val="20"/>
        </w:rPr>
        <w:t>Capital</w:t>
      </w:r>
      <w:r w:rsidR="00494590" w:rsidRPr="001E63CC">
        <w:rPr>
          <w:rFonts w:ascii="Times New Roman" w:eastAsia="Times New Roman" w:hAnsi="Times New Roman" w:cs="Times New Roman"/>
          <w:color w:val="000000"/>
          <w:sz w:val="20"/>
          <w:szCs w:val="20"/>
        </w:rPr>
        <w:t xml:space="preserve"> </w:t>
      </w:r>
      <w:r w:rsidR="00494590" w:rsidRPr="001E63CC">
        <w:rPr>
          <w:rFonts w:ascii="Times New Roman" w:eastAsia="Times New Roman" w:hAnsi="Times New Roman"/>
          <w:color w:val="000000"/>
          <w:sz w:val="20"/>
          <w:szCs w:val="20"/>
        </w:rPr>
        <w:t>Allowance</w:t>
      </w:r>
      <w:r w:rsidR="00494590" w:rsidRPr="001E63CC">
        <w:rPr>
          <w:rFonts w:ascii="Times New Roman" w:eastAsia="Times New Roman" w:hAnsi="Times New Roman" w:cs="Times New Roman"/>
          <w:color w:val="000000"/>
          <w:sz w:val="20"/>
          <w:szCs w:val="20"/>
        </w:rPr>
        <w:t xml:space="preserve"> scheme befit</w:t>
      </w:r>
      <w:r>
        <w:rPr>
          <w:rFonts w:ascii="Times New Roman" w:eastAsia="Times New Roman" w:hAnsi="Times New Roman" w:cs="Times New Roman"/>
          <w:color w:val="000000"/>
          <w:sz w:val="20"/>
          <w:szCs w:val="20"/>
        </w:rPr>
        <w:t>s energy-efficient businesses, r</w:t>
      </w:r>
      <w:r w:rsidR="00494590" w:rsidRPr="001E63CC">
        <w:rPr>
          <w:rFonts w:ascii="Times New Roman" w:eastAsia="Times New Roman" w:hAnsi="Times New Roman" w:cs="Times New Roman"/>
          <w:color w:val="000000"/>
          <w:sz w:val="20"/>
          <w:szCs w:val="20"/>
        </w:rPr>
        <w:t xml:space="preserve">eminds the Remark Group. </w:t>
      </w:r>
      <w:r w:rsidR="00494590" w:rsidRPr="001E63CC">
        <w:rPr>
          <w:rFonts w:ascii="Times New Roman" w:eastAsia="Times New Roman" w:hAnsi="Times New Roman" w:cs="Times New Roman"/>
          <w:i/>
          <w:iCs/>
          <w:color w:val="000000"/>
          <w:sz w:val="20"/>
          <w:szCs w:val="20"/>
        </w:rPr>
        <w:t>Business Wire (English) Regional Business News</w:t>
      </w:r>
      <w:r w:rsidR="00494590" w:rsidRPr="001E63CC">
        <w:rPr>
          <w:rFonts w:ascii="Times New Roman" w:eastAsia="Times New Roman" w:hAnsi="Times New Roman" w:cs="Times New Roman"/>
          <w:color w:val="000000"/>
          <w:sz w:val="20"/>
          <w:szCs w:val="20"/>
        </w:rPr>
        <w:t xml:space="preserve">. </w:t>
      </w:r>
    </w:p>
    <w:p w14:paraId="2E3BF55C" w14:textId="352D6423" w:rsidR="001E63CC" w:rsidRPr="004F070A" w:rsidRDefault="001E63CC"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1E63CC">
        <w:rPr>
          <w:rFonts w:ascii="Times New Roman" w:eastAsia="Times New Roman" w:hAnsi="Times New Roman" w:cs="Times New Roman"/>
          <w:color w:val="000000"/>
          <w:sz w:val="20"/>
          <w:szCs w:val="20"/>
        </w:rPr>
        <w:t>Robinson, H., Symonds, B., Gilbertson, B. and Ilozor, B. eds., 2015. </w:t>
      </w:r>
      <w:r w:rsidRPr="001E63CC">
        <w:rPr>
          <w:rFonts w:ascii="Times New Roman" w:eastAsia="Times New Roman" w:hAnsi="Times New Roman" w:cs="Times New Roman"/>
          <w:i/>
          <w:iCs/>
          <w:color w:val="000000"/>
          <w:sz w:val="20"/>
          <w:szCs w:val="20"/>
        </w:rPr>
        <w:t>Design Economics for the Built Environment: Impact of Sustainability on Project Evaluation</w:t>
      </w:r>
      <w:r w:rsidRPr="001E63CC">
        <w:rPr>
          <w:rFonts w:ascii="Times New Roman" w:eastAsia="Times New Roman" w:hAnsi="Times New Roman" w:cs="Times New Roman"/>
          <w:color w:val="000000"/>
          <w:sz w:val="20"/>
          <w:szCs w:val="20"/>
        </w:rPr>
        <w:t>. John Wiley &amp; Sons.</w:t>
      </w:r>
    </w:p>
    <w:p w14:paraId="7AD5BF1F" w14:textId="3D9A28DB" w:rsidR="00494590" w:rsidRPr="004F070A" w:rsidRDefault="00494590"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Stevenson, F</w:t>
      </w:r>
      <w:r w:rsidR="001E63CC">
        <w:rPr>
          <w:rFonts w:ascii="Times New Roman" w:eastAsia="Times New Roman" w:hAnsi="Times New Roman" w:cs="Times New Roman"/>
          <w:color w:val="000000"/>
          <w:sz w:val="20"/>
          <w:szCs w:val="20"/>
        </w:rPr>
        <w:t>., 2013.</w:t>
      </w:r>
      <w:r w:rsidRPr="004F070A">
        <w:rPr>
          <w:rFonts w:ascii="Times New Roman" w:eastAsia="Times New Roman" w:hAnsi="Times New Roman" w:cs="Times New Roman"/>
          <w:color w:val="000000"/>
          <w:sz w:val="20"/>
          <w:szCs w:val="20"/>
        </w:rPr>
        <w:t xml:space="preserve"> Reducing energy demand through retrofitting buildings</w:t>
      </w:r>
      <w:r w:rsidR="001E63CC">
        <w:rPr>
          <w:rFonts w:ascii="Times New Roman" w:eastAsia="Times New Roman" w:hAnsi="Times New Roman" w:cs="Times New Roman"/>
          <w:color w:val="000000"/>
          <w:sz w:val="20"/>
          <w:szCs w:val="20"/>
        </w:rPr>
        <w:t xml:space="preserve">. </w:t>
      </w:r>
      <w:r w:rsidRPr="001E63CC">
        <w:rPr>
          <w:rFonts w:ascii="Times New Roman" w:eastAsia="Times New Roman" w:hAnsi="Times New Roman" w:cs="Times New Roman"/>
          <w:i/>
          <w:iCs/>
          <w:color w:val="000000"/>
          <w:sz w:val="20"/>
          <w:szCs w:val="20"/>
        </w:rPr>
        <w:t>Building Research and Information</w:t>
      </w:r>
      <w:r w:rsidRPr="004F070A">
        <w:rPr>
          <w:rFonts w:ascii="Times New Roman" w:eastAsia="Times New Roman" w:hAnsi="Times New Roman" w:cs="Times New Roman"/>
          <w:color w:val="000000"/>
          <w:sz w:val="20"/>
          <w:szCs w:val="20"/>
        </w:rPr>
        <w:t>, 41</w:t>
      </w:r>
      <w:r w:rsidR="001E63CC">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5</w:t>
      </w:r>
      <w:r w:rsidR="001E63CC">
        <w:rPr>
          <w:rFonts w:ascii="Times New Roman" w:eastAsia="Times New Roman" w:hAnsi="Times New Roman" w:cs="Times New Roman"/>
          <w:color w:val="000000"/>
          <w:sz w:val="20"/>
          <w:szCs w:val="20"/>
        </w:rPr>
        <w:t>)</w:t>
      </w:r>
      <w:r w:rsidRPr="004F070A">
        <w:rPr>
          <w:rFonts w:ascii="Times New Roman" w:eastAsia="Times New Roman" w:hAnsi="Times New Roman" w:cs="Times New Roman"/>
          <w:color w:val="000000"/>
          <w:sz w:val="20"/>
          <w:szCs w:val="20"/>
        </w:rPr>
        <w:t xml:space="preserve">, </w:t>
      </w:r>
      <w:r w:rsidR="001E63CC">
        <w:rPr>
          <w:rFonts w:ascii="Times New Roman" w:eastAsia="Times New Roman" w:hAnsi="Times New Roman" w:cs="Times New Roman"/>
          <w:color w:val="000000"/>
          <w:sz w:val="20"/>
          <w:szCs w:val="20"/>
        </w:rPr>
        <w:t xml:space="preserve">pp. </w:t>
      </w:r>
      <w:r w:rsidRPr="004F070A">
        <w:rPr>
          <w:rFonts w:ascii="Times New Roman" w:eastAsia="Times New Roman" w:hAnsi="Times New Roman" w:cs="Times New Roman"/>
          <w:color w:val="000000"/>
          <w:sz w:val="20"/>
          <w:szCs w:val="20"/>
        </w:rPr>
        <w:t>605-608</w:t>
      </w:r>
      <w:r w:rsidR="001E63CC">
        <w:rPr>
          <w:rFonts w:ascii="Times New Roman" w:eastAsia="Times New Roman" w:hAnsi="Times New Roman" w:cs="Times New Roman"/>
          <w:color w:val="000000"/>
          <w:sz w:val="20"/>
          <w:szCs w:val="20"/>
        </w:rPr>
        <w:t>.</w:t>
      </w:r>
    </w:p>
    <w:p w14:paraId="67DF2E86" w14:textId="1A88A589" w:rsidR="001E63CC" w:rsidRPr="004F070A" w:rsidRDefault="001E63CC"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1E63CC">
        <w:rPr>
          <w:rFonts w:ascii="Times New Roman" w:eastAsia="Times New Roman" w:hAnsi="Times New Roman" w:cs="Times New Roman"/>
          <w:color w:val="000000"/>
          <w:sz w:val="20"/>
          <w:szCs w:val="20"/>
        </w:rPr>
        <w:t>Swaffield, L.M. and Pasquire, C.L., 2000. Improving early cost advice for mechanical and electrical services by considering functions and client/design team communication. </w:t>
      </w:r>
      <w:r w:rsidRPr="001E63CC">
        <w:rPr>
          <w:rFonts w:ascii="Times New Roman" w:eastAsia="Times New Roman" w:hAnsi="Times New Roman" w:cs="Times New Roman"/>
          <w:i/>
          <w:iCs/>
          <w:color w:val="000000"/>
          <w:sz w:val="20"/>
          <w:szCs w:val="20"/>
        </w:rPr>
        <w:t>Journal of Financial Management in Construction and Property</w:t>
      </w:r>
      <w:r w:rsidRPr="001E63CC">
        <w:rPr>
          <w:rFonts w:ascii="Times New Roman" w:eastAsia="Times New Roman" w:hAnsi="Times New Roman" w:cs="Times New Roman"/>
          <w:color w:val="000000"/>
          <w:sz w:val="20"/>
          <w:szCs w:val="20"/>
        </w:rPr>
        <w:t>, 5(12), pp.3-13.</w:t>
      </w:r>
    </w:p>
    <w:p w14:paraId="626E6213" w14:textId="65E7EFF0" w:rsidR="004F070A" w:rsidRPr="004F070A" w:rsidRDefault="004F070A"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4F070A">
        <w:rPr>
          <w:rFonts w:ascii="Times New Roman" w:eastAsia="Times New Roman" w:hAnsi="Times New Roman" w:cs="Times New Roman"/>
          <w:color w:val="000000"/>
          <w:sz w:val="20"/>
          <w:szCs w:val="20"/>
        </w:rPr>
        <w:t xml:space="preserve">University of Salford, </w:t>
      </w:r>
      <w:r w:rsidR="00970FD9">
        <w:rPr>
          <w:rFonts w:ascii="Times New Roman" w:eastAsia="Times New Roman" w:hAnsi="Times New Roman" w:cs="Times New Roman"/>
          <w:color w:val="000000"/>
          <w:sz w:val="20"/>
          <w:szCs w:val="20"/>
        </w:rPr>
        <w:t xml:space="preserve">[online]. Available from </w:t>
      </w:r>
      <w:r w:rsidRPr="004F070A">
        <w:rPr>
          <w:rFonts w:ascii="Times New Roman" w:eastAsia="Times New Roman" w:hAnsi="Times New Roman" w:cs="Times New Roman"/>
          <w:color w:val="000000"/>
          <w:sz w:val="20"/>
          <w:szCs w:val="20"/>
        </w:rPr>
        <w:t xml:space="preserve">http:// </w:t>
      </w:r>
      <w:hyperlink r:id="rId13" w:history="1">
        <w:r w:rsidRPr="004F070A">
          <w:rPr>
            <w:rFonts w:ascii="Times New Roman" w:eastAsia="Times New Roman" w:hAnsi="Times New Roman" w:cs="Times New Roman"/>
            <w:color w:val="000000"/>
            <w:sz w:val="20"/>
            <w:szCs w:val="20"/>
          </w:rPr>
          <w:t>www.salford.ac.uk/pgt-courses/quantity-surveying-mechanical-and-electrical</w:t>
        </w:r>
      </w:hyperlink>
      <w:r w:rsidR="00970F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970FD9">
        <w:rPr>
          <w:rFonts w:ascii="Times New Roman" w:eastAsia="Times New Roman" w:hAnsi="Times New Roman" w:cs="Times New Roman"/>
          <w:color w:val="000000"/>
          <w:sz w:val="20"/>
          <w:szCs w:val="20"/>
        </w:rPr>
        <w:t xml:space="preserve">Accessed 12 </w:t>
      </w:r>
      <w:r w:rsidRPr="004F070A">
        <w:rPr>
          <w:rFonts w:ascii="Times New Roman" w:eastAsia="Times New Roman" w:hAnsi="Times New Roman" w:cs="Times New Roman"/>
          <w:color w:val="000000"/>
          <w:sz w:val="20"/>
          <w:szCs w:val="20"/>
        </w:rPr>
        <w:t>December 2016</w:t>
      </w:r>
      <w:r>
        <w:rPr>
          <w:rFonts w:ascii="Times New Roman" w:eastAsia="Times New Roman" w:hAnsi="Times New Roman" w:cs="Times New Roman"/>
          <w:color w:val="000000"/>
          <w:sz w:val="20"/>
          <w:szCs w:val="20"/>
        </w:rPr>
        <w:t>]</w:t>
      </w:r>
    </w:p>
    <w:p w14:paraId="3826972C" w14:textId="0DECA7B4" w:rsidR="00394AB1" w:rsidRPr="004F070A" w:rsidRDefault="001E63CC" w:rsidP="004F070A">
      <w:pPr>
        <w:pStyle w:val="Standard"/>
        <w:widowControl/>
        <w:spacing w:before="60" w:after="60"/>
        <w:ind w:left="284" w:hanging="284"/>
        <w:jc w:val="both"/>
        <w:rPr>
          <w:rFonts w:ascii="Times New Roman" w:eastAsia="Times New Roman" w:hAnsi="Times New Roman" w:cs="Times New Roman"/>
          <w:color w:val="000000"/>
          <w:sz w:val="20"/>
          <w:szCs w:val="20"/>
        </w:rPr>
      </w:pPr>
      <w:r w:rsidRPr="001E63CC">
        <w:rPr>
          <w:rFonts w:ascii="Times New Roman" w:eastAsia="Times New Roman" w:hAnsi="Times New Roman" w:cs="Times New Roman"/>
          <w:color w:val="000000"/>
          <w:sz w:val="20"/>
          <w:szCs w:val="20"/>
        </w:rPr>
        <w:t>Yusuf, G.A. and Mohamed, S.F., 2014. Perceived benefits of adopting Standard–Based pricing mechanism for mechanical and electrical services installations. </w:t>
      </w:r>
      <w:r w:rsidRPr="001E63CC">
        <w:rPr>
          <w:rFonts w:ascii="Times New Roman" w:eastAsia="Times New Roman" w:hAnsi="Times New Roman" w:cs="Times New Roman"/>
          <w:i/>
          <w:iCs/>
          <w:color w:val="000000"/>
          <w:sz w:val="20"/>
          <w:szCs w:val="20"/>
        </w:rPr>
        <w:t>Construction Economics and Building</w:t>
      </w:r>
      <w:r w:rsidRPr="001E63CC">
        <w:rPr>
          <w:rFonts w:ascii="Times New Roman" w:eastAsia="Times New Roman" w:hAnsi="Times New Roman" w:cs="Times New Roman"/>
          <w:color w:val="000000"/>
          <w:sz w:val="20"/>
          <w:szCs w:val="20"/>
        </w:rPr>
        <w:t>, 14(2), pp.104-119.</w:t>
      </w:r>
    </w:p>
    <w:sectPr w:rsidR="00394AB1" w:rsidRPr="004F070A" w:rsidSect="009A77FA">
      <w:footerReference w:type="even" r:id="rId14"/>
      <w:footerReference w:type="default" r:id="rId15"/>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D972" w14:textId="77777777" w:rsidR="00ED6FE3" w:rsidRDefault="00ED6FE3" w:rsidP="000D5F78">
      <w:r>
        <w:separator/>
      </w:r>
    </w:p>
  </w:endnote>
  <w:endnote w:type="continuationSeparator" w:id="0">
    <w:p w14:paraId="1A644C15" w14:textId="77777777" w:rsidR="00ED6FE3" w:rsidRDefault="00ED6FE3" w:rsidP="000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Body CS)">
    <w:altName w:val="Times New Roman"/>
    <w:charset w:val="00"/>
    <w:family w:val="auto"/>
    <w:pitch w:val="variable"/>
    <w:sig w:usb0="E0002AEF" w:usb1="C0007841" w:usb2="00000009" w:usb3="00000000" w:csb0="000001FF" w:csb1="00000000"/>
  </w:font>
  <w:font w:name="Times New Roman (Headings CS)">
    <w:charset w:val="00"/>
    <w:family w:val="auto"/>
    <w:pitch w:val="variable"/>
    <w:sig w:usb0="E0002AEF" w:usb1="C0007841" w:usb2="00000009" w:usb3="00000000" w:csb0="000001FF" w:csb1="00000000"/>
  </w:font>
  <w:font w:name="Linux Libertine G">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1637610"/>
      <w:docPartObj>
        <w:docPartGallery w:val="Page Numbers (Bottom of Page)"/>
        <w:docPartUnique/>
      </w:docPartObj>
    </w:sdtPr>
    <w:sdtEndPr>
      <w:rPr>
        <w:rStyle w:val="PageNumber"/>
      </w:rPr>
    </w:sdtEndPr>
    <w:sdtContent>
      <w:p w14:paraId="401AA7B3" w14:textId="77777777" w:rsidR="002F5A12" w:rsidRDefault="002F5A12" w:rsidP="004D4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05757" w14:textId="77777777" w:rsidR="002F5A12" w:rsidRDefault="002F5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8548740"/>
      <w:docPartObj>
        <w:docPartGallery w:val="Page Numbers (Bottom of Page)"/>
        <w:docPartUnique/>
      </w:docPartObj>
    </w:sdtPr>
    <w:sdtEndPr>
      <w:rPr>
        <w:rStyle w:val="PageNumber"/>
      </w:rPr>
    </w:sdtEndPr>
    <w:sdtContent>
      <w:p w14:paraId="764D8AF1" w14:textId="0721DA29" w:rsidR="002F5A12" w:rsidRDefault="002F5A12" w:rsidP="004D4E18">
        <w:pPr>
          <w:pStyle w:val="Footer"/>
          <w:framePr w:wrap="none" w:vAnchor="text" w:hAnchor="margin" w:xAlign="center" w:y="1"/>
          <w:rPr>
            <w:rStyle w:val="PageNumber"/>
          </w:rPr>
        </w:pPr>
        <w:r w:rsidRPr="009A77FA">
          <w:rPr>
            <w:rStyle w:val="PageNumber"/>
            <w:sz w:val="18"/>
            <w:szCs w:val="18"/>
          </w:rPr>
          <w:fldChar w:fldCharType="begin"/>
        </w:r>
        <w:r w:rsidRPr="009A77FA">
          <w:rPr>
            <w:rStyle w:val="PageNumber"/>
            <w:sz w:val="18"/>
            <w:szCs w:val="18"/>
          </w:rPr>
          <w:instrText xml:space="preserve"> PAGE </w:instrText>
        </w:r>
        <w:r w:rsidRPr="009A77FA">
          <w:rPr>
            <w:rStyle w:val="PageNumber"/>
            <w:sz w:val="18"/>
            <w:szCs w:val="18"/>
          </w:rPr>
          <w:fldChar w:fldCharType="separate"/>
        </w:r>
        <w:r w:rsidR="00697ED0">
          <w:rPr>
            <w:rStyle w:val="PageNumber"/>
            <w:noProof/>
            <w:sz w:val="18"/>
            <w:szCs w:val="18"/>
          </w:rPr>
          <w:t>2</w:t>
        </w:r>
        <w:r w:rsidRPr="009A77FA">
          <w:rPr>
            <w:rStyle w:val="PageNumber"/>
            <w:sz w:val="18"/>
            <w:szCs w:val="18"/>
          </w:rPr>
          <w:fldChar w:fldCharType="end"/>
        </w:r>
      </w:p>
    </w:sdtContent>
  </w:sdt>
  <w:p w14:paraId="17D831AB" w14:textId="77777777" w:rsidR="002F5A12" w:rsidRDefault="002F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3F9D" w14:textId="77777777" w:rsidR="00ED6FE3" w:rsidRDefault="00ED6FE3" w:rsidP="000D5F78">
      <w:r>
        <w:separator/>
      </w:r>
    </w:p>
  </w:footnote>
  <w:footnote w:type="continuationSeparator" w:id="0">
    <w:p w14:paraId="4187DC30" w14:textId="77777777" w:rsidR="00ED6FE3" w:rsidRDefault="00ED6FE3" w:rsidP="000D5F78">
      <w:r>
        <w:continuationSeparator/>
      </w:r>
    </w:p>
  </w:footnote>
  <w:footnote w:id="1">
    <w:p w14:paraId="6836E600" w14:textId="0CB55040" w:rsidR="006D2055" w:rsidRPr="00AD2567" w:rsidRDefault="006D2055" w:rsidP="006D2055">
      <w:pPr>
        <w:pStyle w:val="Standard"/>
        <w:widowControl/>
        <w:rPr>
          <w:rStyle w:val="FootnoteReference"/>
          <w:rFonts w:ascii="Times New Roman" w:hAnsi="Times New Roman"/>
          <w:sz w:val="20"/>
          <w:szCs w:val="20"/>
        </w:rPr>
      </w:pPr>
      <w:r w:rsidRPr="00AD2567">
        <w:rPr>
          <w:rStyle w:val="FootnoteReference"/>
          <w:rFonts w:ascii="Times New Roman" w:hAnsi="Times New Roman"/>
          <w:sz w:val="20"/>
          <w:szCs w:val="20"/>
        </w:rPr>
        <w:footnoteRef/>
      </w:r>
      <w:r>
        <w:rPr>
          <w:rStyle w:val="FootnoteReference"/>
          <w:rFonts w:ascii="Times New Roman" w:hAnsi="Times New Roman"/>
          <w:sz w:val="20"/>
          <w:szCs w:val="20"/>
        </w:rPr>
        <w:t xml:space="preserve">,2 </w:t>
      </w:r>
      <w:r w:rsidRPr="00AD2567">
        <w:rPr>
          <w:rStyle w:val="FootnoteReference"/>
          <w:rFonts w:ascii="Times New Roman" w:hAnsi="Times New Roman"/>
          <w:sz w:val="20"/>
          <w:szCs w:val="20"/>
        </w:rPr>
        <w:t>School of the Built Environment and Architecture, London South Bank University, 103 Borough Road, London, SE1 0AA, U</w:t>
      </w:r>
      <w:r>
        <w:rPr>
          <w:rStyle w:val="FootnoteReference"/>
          <w:rFonts w:ascii="Times New Roman" w:hAnsi="Times New Roman"/>
          <w:sz w:val="20"/>
          <w:szCs w:val="20"/>
        </w:rPr>
        <w:t>K. Email:</w:t>
      </w:r>
      <w:r w:rsidRPr="00AD2567">
        <w:rPr>
          <w:rStyle w:val="FootnoteReference"/>
          <w:rFonts w:ascii="Times New Roman" w:hAnsi="Times New Roman"/>
          <w:sz w:val="20"/>
          <w:szCs w:val="20"/>
        </w:rPr>
        <w:t>seidur@lsbu.ac.uk.</w:t>
      </w:r>
    </w:p>
    <w:p w14:paraId="358DF0CD" w14:textId="77777777" w:rsidR="00ED6D09" w:rsidRPr="00AD2567" w:rsidRDefault="00ED6D09" w:rsidP="00ED6D09">
      <w:pPr>
        <w:pStyle w:val="Standard"/>
        <w:widowControl/>
        <w:rPr>
          <w:rStyle w:val="FootnoteReference"/>
          <w:rFonts w:ascii="Times New Roman" w:hAnsi="Times New Roman"/>
          <w:sz w:val="20"/>
          <w:szCs w:val="20"/>
        </w:rPr>
      </w:pPr>
      <w:r w:rsidRPr="00AD2567">
        <w:rPr>
          <w:rStyle w:val="FootnoteReference"/>
          <w:rFonts w:ascii="Times New Roman" w:hAnsi="Times New Roman"/>
          <w:sz w:val="20"/>
          <w:szCs w:val="20"/>
        </w:rPr>
        <w:t>3 Department of Building Economics, University of Moratuwa, Sri Lank</w:t>
      </w:r>
      <w:r>
        <w:rPr>
          <w:rStyle w:val="FootnoteReference"/>
          <w:rFonts w:ascii="Times New Roman" w:hAnsi="Times New Roman"/>
          <w:sz w:val="20"/>
          <w:szCs w:val="20"/>
        </w:rPr>
        <w:t>a. Email:</w:t>
      </w:r>
      <w:r w:rsidRPr="00AD2567">
        <w:rPr>
          <w:rStyle w:val="FootnoteReference"/>
          <w:rFonts w:ascii="Times New Roman" w:hAnsi="Times New Roman"/>
          <w:sz w:val="20"/>
          <w:szCs w:val="20"/>
        </w:rPr>
        <w:t xml:space="preserve">mthayaparan@uom.lk  </w:t>
      </w:r>
      <w:r w:rsidRPr="00AD2567">
        <w:rPr>
          <w:rFonts w:ascii="Times New Roman" w:hAnsi="Times New Roman"/>
          <w:sz w:val="20"/>
          <w:szCs w:val="20"/>
        </w:rPr>
        <w:t xml:space="preserve"> </w:t>
      </w:r>
    </w:p>
    <w:p w14:paraId="5729CFE6" w14:textId="3BBB3476" w:rsidR="00D71F3E" w:rsidRPr="00AD2567" w:rsidRDefault="00443B67" w:rsidP="00D71F3E">
      <w:pPr>
        <w:pStyle w:val="Standard"/>
        <w:widowControl/>
        <w:rPr>
          <w:rStyle w:val="FootnoteReference"/>
          <w:rFonts w:ascii="Times New Roman" w:hAnsi="Times New Roman"/>
          <w:sz w:val="20"/>
          <w:szCs w:val="20"/>
        </w:rPr>
      </w:pPr>
      <w:r>
        <w:rPr>
          <w:rStyle w:val="FootnoteReference"/>
          <w:rFonts w:ascii="Times New Roman" w:hAnsi="Times New Roman"/>
          <w:sz w:val="20"/>
          <w:szCs w:val="20"/>
        </w:rPr>
        <w:t>4</w:t>
      </w:r>
      <w:r w:rsidR="00D71F3E" w:rsidRPr="00AD2567">
        <w:rPr>
          <w:rStyle w:val="FootnoteReference"/>
          <w:rFonts w:ascii="Times New Roman" w:hAnsi="Times New Roman"/>
          <w:sz w:val="20"/>
          <w:szCs w:val="20"/>
        </w:rPr>
        <w:t xml:space="preserve"> Bancroft Limited, 32, Harbour Exchange Square, Harbour Island, London, E14 9GE, UK. </w:t>
      </w:r>
    </w:p>
    <w:p w14:paraId="1BA92E20" w14:textId="22D4661E" w:rsidR="00D71F3E" w:rsidRPr="006D2055" w:rsidRDefault="006D2055" w:rsidP="00D71F3E">
      <w:pPr>
        <w:pStyle w:val="Standard"/>
        <w:widowControl/>
        <w:rPr>
          <w:rStyle w:val="FootnoteReference"/>
          <w:rFonts w:ascii="Times New Roman" w:hAnsi="Times New Roman"/>
          <w:sz w:val="20"/>
          <w:szCs w:val="20"/>
        </w:rPr>
      </w:pPr>
      <w:r>
        <w:rPr>
          <w:rStyle w:val="FootnoteReference"/>
          <w:rFonts w:ascii="Times New Roman" w:hAnsi="Times New Roman"/>
          <w:sz w:val="20"/>
          <w:szCs w:val="20"/>
        </w:rPr>
        <w:t xml:space="preserve">5 </w:t>
      </w:r>
      <w:r w:rsidRPr="006D2055">
        <w:rPr>
          <w:rStyle w:val="FootnoteReference"/>
          <w:rFonts w:ascii="Times New Roman" w:hAnsi="Times New Roman"/>
          <w:sz w:val="20"/>
          <w:szCs w:val="20"/>
        </w:rPr>
        <w:t>Head of Training Division at United Nations African Institute for Economic Development &amp; Planning/Economics Commission for Africa.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0E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345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3AE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29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34C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63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47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46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E78BC"/>
    <w:lvl w:ilvl="0">
      <w:start w:val="1"/>
      <w:numFmt w:val="decimal"/>
      <w:pStyle w:val="ListNumber"/>
      <w:lvlText w:val="%1."/>
      <w:lvlJc w:val="left"/>
      <w:pPr>
        <w:tabs>
          <w:tab w:val="num" w:pos="360"/>
        </w:tabs>
        <w:ind w:left="567" w:hanging="283"/>
      </w:pPr>
      <w:rPr>
        <w:rFonts w:ascii="Times New Roman" w:hAnsi="Times New Roman" w:hint="default"/>
        <w:b w:val="0"/>
        <w:i w:val="0"/>
        <w:sz w:val="24"/>
      </w:rPr>
    </w:lvl>
  </w:abstractNum>
  <w:abstractNum w:abstractNumId="9" w15:restartNumberingAfterBreak="0">
    <w:nsid w:val="FFFFFF89"/>
    <w:multiLevelType w:val="singleLevel"/>
    <w:tmpl w:val="C128AC7E"/>
    <w:lvl w:ilvl="0">
      <w:start w:val="1"/>
      <w:numFmt w:val="bullet"/>
      <w:pStyle w:val="ListBullet"/>
      <w:lvlText w:val=""/>
      <w:lvlJc w:val="left"/>
      <w:pPr>
        <w:tabs>
          <w:tab w:val="num" w:pos="360"/>
        </w:tabs>
        <w:ind w:left="567" w:hanging="283"/>
      </w:pPr>
      <w:rPr>
        <w:rFonts w:ascii="Symbol" w:hAnsi="Symbol" w:hint="default"/>
      </w:rPr>
    </w:lvl>
  </w:abstractNum>
  <w:abstractNum w:abstractNumId="10" w15:restartNumberingAfterBreak="0">
    <w:nsid w:val="00BF580C"/>
    <w:multiLevelType w:val="hybridMultilevel"/>
    <w:tmpl w:val="296684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010C4B57"/>
    <w:multiLevelType w:val="multilevel"/>
    <w:tmpl w:val="E73A3D8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9465C"/>
    <w:multiLevelType w:val="multilevel"/>
    <w:tmpl w:val="343E8E8E"/>
    <w:lvl w:ilvl="0">
      <w:start w:val="1"/>
      <w:numFmt w:val="decimal"/>
      <w:pStyle w:val="Heading1"/>
      <w:lvlText w:val="%1."/>
      <w:lvlJc w:val="left"/>
      <w:pPr>
        <w:ind w:left="360" w:hanging="360"/>
      </w:pPr>
      <w:rPr>
        <w:rFonts w:ascii="Calibri" w:hAnsi="Calibri" w:hint="default"/>
        <w:b/>
        <w:i w:val="0"/>
        <w:sz w:val="28"/>
      </w:rPr>
    </w:lvl>
    <w:lvl w:ilvl="1">
      <w:start w:val="1"/>
      <w:numFmt w:val="decimal"/>
      <w:lvlText w:val="%1.%2"/>
      <w:lvlJc w:val="left"/>
      <w:pPr>
        <w:ind w:left="680" w:hanging="680"/>
      </w:pPr>
      <w:rPr>
        <w:rFonts w:ascii="Calibri" w:hAnsi="Calibri" w:cs="Calibri" w:hint="default"/>
        <w:b/>
        <w:i w:val="0"/>
        <w:sz w:val="26"/>
      </w:rPr>
    </w:lvl>
    <w:lvl w:ilvl="2">
      <w:start w:val="1"/>
      <w:numFmt w:val="decimal"/>
      <w:pStyle w:val="Heading3"/>
      <w:lvlText w:val="%1.%2.%3"/>
      <w:lvlJc w:val="left"/>
      <w:pPr>
        <w:ind w:left="860" w:hanging="680"/>
      </w:pPr>
      <w:rPr>
        <w:rFonts w:asciiTheme="minorHAnsi" w:hAnsiTheme="minorHAnsi" w:cstheme="minorHAnsi"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437B28"/>
    <w:multiLevelType w:val="hybridMultilevel"/>
    <w:tmpl w:val="0E4C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0778D1"/>
    <w:multiLevelType w:val="multilevel"/>
    <w:tmpl w:val="C1A46066"/>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5604BC"/>
    <w:multiLevelType w:val="hybridMultilevel"/>
    <w:tmpl w:val="C4C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1A0059"/>
    <w:multiLevelType w:val="hybridMultilevel"/>
    <w:tmpl w:val="F3F0015A"/>
    <w:lvl w:ilvl="0" w:tplc="67A6B7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12A28"/>
    <w:multiLevelType w:val="hybridMultilevel"/>
    <w:tmpl w:val="4280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893088"/>
    <w:multiLevelType w:val="hybridMultilevel"/>
    <w:tmpl w:val="0002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F07E6"/>
    <w:multiLevelType w:val="hybridMultilevel"/>
    <w:tmpl w:val="498E2924"/>
    <w:lvl w:ilvl="0" w:tplc="08090005">
      <w:start w:val="1"/>
      <w:numFmt w:val="bullet"/>
      <w:lvlText w:val=""/>
      <w:lvlJc w:val="left"/>
      <w:pPr>
        <w:tabs>
          <w:tab w:val="num" w:pos="660"/>
        </w:tabs>
        <w:ind w:left="660" w:hanging="360"/>
      </w:pPr>
      <w:rPr>
        <w:rFonts w:ascii="Wingdings" w:hAnsi="Wingdings"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27105B73"/>
    <w:multiLevelType w:val="multilevel"/>
    <w:tmpl w:val="226603C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BE1E6E"/>
    <w:multiLevelType w:val="hybridMultilevel"/>
    <w:tmpl w:val="3938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15EFD"/>
    <w:multiLevelType w:val="multilevel"/>
    <w:tmpl w:val="8F9243A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C0C88"/>
    <w:multiLevelType w:val="multilevel"/>
    <w:tmpl w:val="89B4569C"/>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B03038"/>
    <w:multiLevelType w:val="hybridMultilevel"/>
    <w:tmpl w:val="0CF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42ADB"/>
    <w:multiLevelType w:val="hybridMultilevel"/>
    <w:tmpl w:val="5A28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057847"/>
    <w:multiLevelType w:val="hybridMultilevel"/>
    <w:tmpl w:val="0A14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40752"/>
    <w:multiLevelType w:val="hybridMultilevel"/>
    <w:tmpl w:val="D534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10AFA"/>
    <w:multiLevelType w:val="hybridMultilevel"/>
    <w:tmpl w:val="BA9E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D2435"/>
    <w:multiLevelType w:val="hybridMultilevel"/>
    <w:tmpl w:val="75B883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057B5A"/>
    <w:multiLevelType w:val="multilevel"/>
    <w:tmpl w:val="DD5EDA14"/>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41184C"/>
    <w:multiLevelType w:val="hybridMultilevel"/>
    <w:tmpl w:val="B6D4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A6954"/>
    <w:multiLevelType w:val="multilevel"/>
    <w:tmpl w:val="9D9AB502"/>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301D35"/>
    <w:multiLevelType w:val="hybridMultilevel"/>
    <w:tmpl w:val="3E00EF0A"/>
    <w:lvl w:ilvl="0" w:tplc="324617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897B43"/>
    <w:multiLevelType w:val="hybridMultilevel"/>
    <w:tmpl w:val="2404F290"/>
    <w:lvl w:ilvl="0" w:tplc="08090005">
      <w:start w:val="1"/>
      <w:numFmt w:val="bullet"/>
      <w:lvlText w:val=""/>
      <w:lvlJc w:val="left"/>
      <w:pPr>
        <w:tabs>
          <w:tab w:val="num" w:pos="660"/>
        </w:tabs>
        <w:ind w:left="660" w:hanging="360"/>
      </w:pPr>
      <w:rPr>
        <w:rFonts w:ascii="Wingdings" w:hAnsi="Wingdings"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35" w15:restartNumberingAfterBreak="0">
    <w:nsid w:val="607F327E"/>
    <w:multiLevelType w:val="multilevel"/>
    <w:tmpl w:val="5B7640D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1E2A81"/>
    <w:multiLevelType w:val="multilevel"/>
    <w:tmpl w:val="E02EC528"/>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803A59"/>
    <w:multiLevelType w:val="multilevel"/>
    <w:tmpl w:val="AEE6217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4D0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CE23C2"/>
    <w:multiLevelType w:val="multilevel"/>
    <w:tmpl w:val="92D6A9E0"/>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8806D1"/>
    <w:multiLevelType w:val="hybridMultilevel"/>
    <w:tmpl w:val="7324C880"/>
    <w:lvl w:ilvl="0" w:tplc="04090003">
      <w:start w:val="1"/>
      <w:numFmt w:val="bullet"/>
      <w:lvlText w:val="o"/>
      <w:lvlJc w:val="left"/>
      <w:pPr>
        <w:ind w:left="960" w:hanging="360"/>
      </w:pPr>
      <w:rPr>
        <w:rFonts w:ascii="Courier New" w:hAnsi="Courier New" w:cs="Courier New"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3"/>
  </w:num>
  <w:num w:numId="13">
    <w:abstractNumId w:val="14"/>
  </w:num>
  <w:num w:numId="14">
    <w:abstractNumId w:val="32"/>
  </w:num>
  <w:num w:numId="15">
    <w:abstractNumId w:val="36"/>
  </w:num>
  <w:num w:numId="16">
    <w:abstractNumId w:val="11"/>
  </w:num>
  <w:num w:numId="17">
    <w:abstractNumId w:val="22"/>
  </w:num>
  <w:num w:numId="18">
    <w:abstractNumId w:val="37"/>
  </w:num>
  <w:num w:numId="19">
    <w:abstractNumId w:val="35"/>
  </w:num>
  <w:num w:numId="20">
    <w:abstractNumId w:val="38"/>
  </w:num>
  <w:num w:numId="21">
    <w:abstractNumId w:val="30"/>
  </w:num>
  <w:num w:numId="22">
    <w:abstractNumId w:val="20"/>
  </w:num>
  <w:num w:numId="23">
    <w:abstractNumId w:val="39"/>
  </w:num>
  <w:num w:numId="24">
    <w:abstractNumId w:val="16"/>
  </w:num>
  <w:num w:numId="25">
    <w:abstractNumId w:val="26"/>
  </w:num>
  <w:num w:numId="26">
    <w:abstractNumId w:val="33"/>
  </w:num>
  <w:num w:numId="27">
    <w:abstractNumId w:val="12"/>
  </w:num>
  <w:num w:numId="28">
    <w:abstractNumId w:val="25"/>
  </w:num>
  <w:num w:numId="29">
    <w:abstractNumId w:val="24"/>
  </w:num>
  <w:num w:numId="30">
    <w:abstractNumId w:val="19"/>
  </w:num>
  <w:num w:numId="31">
    <w:abstractNumId w:val="34"/>
  </w:num>
  <w:num w:numId="32">
    <w:abstractNumId w:val="29"/>
  </w:num>
  <w:num w:numId="33">
    <w:abstractNumId w:val="17"/>
  </w:num>
  <w:num w:numId="34">
    <w:abstractNumId w:val="27"/>
  </w:num>
  <w:num w:numId="35">
    <w:abstractNumId w:val="15"/>
  </w:num>
  <w:num w:numId="36">
    <w:abstractNumId w:val="18"/>
  </w:num>
  <w:num w:numId="37">
    <w:abstractNumId w:val="31"/>
  </w:num>
  <w:num w:numId="38">
    <w:abstractNumId w:val="13"/>
  </w:num>
  <w:num w:numId="39">
    <w:abstractNumId w:val="28"/>
  </w:num>
  <w:num w:numId="40">
    <w:abstractNumId w:val="21"/>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FC"/>
    <w:rsid w:val="00010FC6"/>
    <w:rsid w:val="00020492"/>
    <w:rsid w:val="00026234"/>
    <w:rsid w:val="00027D90"/>
    <w:rsid w:val="00043CEC"/>
    <w:rsid w:val="0006177A"/>
    <w:rsid w:val="0006213B"/>
    <w:rsid w:val="00064950"/>
    <w:rsid w:val="000D5F78"/>
    <w:rsid w:val="000F305C"/>
    <w:rsid w:val="00145FC1"/>
    <w:rsid w:val="00170686"/>
    <w:rsid w:val="00183651"/>
    <w:rsid w:val="001A1AB8"/>
    <w:rsid w:val="001C3010"/>
    <w:rsid w:val="001C4723"/>
    <w:rsid w:val="001D4306"/>
    <w:rsid w:val="001E63CC"/>
    <w:rsid w:val="00203B94"/>
    <w:rsid w:val="00205CD6"/>
    <w:rsid w:val="00233203"/>
    <w:rsid w:val="00237253"/>
    <w:rsid w:val="002455EB"/>
    <w:rsid w:val="002534AB"/>
    <w:rsid w:val="002726AC"/>
    <w:rsid w:val="00274EA7"/>
    <w:rsid w:val="002945A5"/>
    <w:rsid w:val="002A252E"/>
    <w:rsid w:val="002F426E"/>
    <w:rsid w:val="002F5168"/>
    <w:rsid w:val="002F5A12"/>
    <w:rsid w:val="00323FA7"/>
    <w:rsid w:val="00342608"/>
    <w:rsid w:val="00391762"/>
    <w:rsid w:val="00394AB1"/>
    <w:rsid w:val="003B3052"/>
    <w:rsid w:val="003E6C69"/>
    <w:rsid w:val="00443B67"/>
    <w:rsid w:val="00494590"/>
    <w:rsid w:val="004B2D0E"/>
    <w:rsid w:val="004D4E18"/>
    <w:rsid w:val="004F070A"/>
    <w:rsid w:val="00513FE3"/>
    <w:rsid w:val="00565C36"/>
    <w:rsid w:val="00565F4A"/>
    <w:rsid w:val="005956B2"/>
    <w:rsid w:val="005C4344"/>
    <w:rsid w:val="005D13E7"/>
    <w:rsid w:val="005D3B61"/>
    <w:rsid w:val="005E12F9"/>
    <w:rsid w:val="00606D4F"/>
    <w:rsid w:val="00694959"/>
    <w:rsid w:val="00694978"/>
    <w:rsid w:val="00697ED0"/>
    <w:rsid w:val="006A0176"/>
    <w:rsid w:val="006B52D2"/>
    <w:rsid w:val="006C4117"/>
    <w:rsid w:val="006D2055"/>
    <w:rsid w:val="006D7C8C"/>
    <w:rsid w:val="006E3A71"/>
    <w:rsid w:val="007409C4"/>
    <w:rsid w:val="0076092C"/>
    <w:rsid w:val="0078678B"/>
    <w:rsid w:val="007A5639"/>
    <w:rsid w:val="007C4A82"/>
    <w:rsid w:val="00847CCF"/>
    <w:rsid w:val="00871CC0"/>
    <w:rsid w:val="008C1A32"/>
    <w:rsid w:val="008F3D80"/>
    <w:rsid w:val="008F6C28"/>
    <w:rsid w:val="00911A33"/>
    <w:rsid w:val="0092349B"/>
    <w:rsid w:val="00925571"/>
    <w:rsid w:val="009421D8"/>
    <w:rsid w:val="00943246"/>
    <w:rsid w:val="00964CF4"/>
    <w:rsid w:val="00970FD9"/>
    <w:rsid w:val="00987180"/>
    <w:rsid w:val="009A77FA"/>
    <w:rsid w:val="009E7DE1"/>
    <w:rsid w:val="009F094A"/>
    <w:rsid w:val="00A033E4"/>
    <w:rsid w:val="00A1343F"/>
    <w:rsid w:val="00A565C6"/>
    <w:rsid w:val="00AD2567"/>
    <w:rsid w:val="00AE7E0A"/>
    <w:rsid w:val="00AF715C"/>
    <w:rsid w:val="00B33C0D"/>
    <w:rsid w:val="00B34334"/>
    <w:rsid w:val="00B70B3B"/>
    <w:rsid w:val="00BA6B8F"/>
    <w:rsid w:val="00BB27D1"/>
    <w:rsid w:val="00BB44C4"/>
    <w:rsid w:val="00BD17E1"/>
    <w:rsid w:val="00BF6C0D"/>
    <w:rsid w:val="00C44A1F"/>
    <w:rsid w:val="00C7179F"/>
    <w:rsid w:val="00CC6AE3"/>
    <w:rsid w:val="00D0606D"/>
    <w:rsid w:val="00D12115"/>
    <w:rsid w:val="00D14140"/>
    <w:rsid w:val="00D3088D"/>
    <w:rsid w:val="00D458C1"/>
    <w:rsid w:val="00D657E9"/>
    <w:rsid w:val="00D71F3E"/>
    <w:rsid w:val="00DA37FC"/>
    <w:rsid w:val="00DE234E"/>
    <w:rsid w:val="00DF4381"/>
    <w:rsid w:val="00DF5DFB"/>
    <w:rsid w:val="00E04243"/>
    <w:rsid w:val="00E24F22"/>
    <w:rsid w:val="00E5048B"/>
    <w:rsid w:val="00EC7DD0"/>
    <w:rsid w:val="00ED6D09"/>
    <w:rsid w:val="00ED6FE3"/>
    <w:rsid w:val="00F140BF"/>
    <w:rsid w:val="00F22B4C"/>
    <w:rsid w:val="00F570D1"/>
    <w:rsid w:val="00F81EAF"/>
    <w:rsid w:val="00F96AA0"/>
    <w:rsid w:val="00FA0FF3"/>
    <w:rsid w:val="00FC6F9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B3BA"/>
  <w14:defaultImageDpi w14:val="32767"/>
  <w15:chartTrackingRefBased/>
  <w15:docId w15:val="{460C6AB1-492B-4319-87CA-4E88052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CC"/>
    <w:rPr>
      <w:rFonts w:ascii="Times New Roman" w:hAnsi="Times New Roman"/>
      <w:lang w:bidi="ta-IN"/>
    </w:rPr>
  </w:style>
  <w:style w:type="paragraph" w:styleId="Heading1">
    <w:name w:val="heading 1"/>
    <w:basedOn w:val="Normal"/>
    <w:next w:val="PaperBodyText"/>
    <w:link w:val="Heading1Char"/>
    <w:qFormat/>
    <w:rsid w:val="00205CD6"/>
    <w:pPr>
      <w:numPr>
        <w:numId w:val="11"/>
      </w:numPr>
      <w:tabs>
        <w:tab w:val="left" w:pos="1560"/>
      </w:tabs>
      <w:spacing w:before="240" w:after="120"/>
      <w:ind w:right="567"/>
      <w:outlineLvl w:val="0"/>
    </w:pPr>
    <w:rPr>
      <w:rFonts w:asciiTheme="minorHAnsi" w:hAnsiTheme="minorHAnsi" w:cs="Times New Roman (Body CS)"/>
      <w:b/>
      <w:caps/>
      <w:sz w:val="28"/>
      <w:szCs w:val="28"/>
      <w:lang w:val="en-GB" w:bidi="ar-SA"/>
    </w:rPr>
  </w:style>
  <w:style w:type="paragraph" w:styleId="Heading2">
    <w:name w:val="heading 2"/>
    <w:basedOn w:val="Normal"/>
    <w:next w:val="PaperBodyText"/>
    <w:link w:val="Heading2Char"/>
    <w:unhideWhenUsed/>
    <w:qFormat/>
    <w:rsid w:val="002A252E"/>
    <w:pPr>
      <w:keepNext/>
      <w:keepLines/>
      <w:spacing w:before="200" w:after="120"/>
      <w:outlineLvl w:val="1"/>
    </w:pPr>
    <w:rPr>
      <w:rFonts w:asciiTheme="minorHAnsi" w:eastAsiaTheme="majorEastAsia" w:hAnsiTheme="minorHAnsi" w:cs="Times New Roman (Headings CS)"/>
      <w:b/>
      <w:smallCaps/>
      <w:sz w:val="26"/>
      <w:szCs w:val="26"/>
      <w:lang w:val="en-GB" w:bidi="ar-SA"/>
    </w:rPr>
  </w:style>
  <w:style w:type="paragraph" w:styleId="Heading3">
    <w:name w:val="heading 3"/>
    <w:basedOn w:val="Normal"/>
    <w:next w:val="PaperBodyText"/>
    <w:link w:val="Heading3Char"/>
    <w:uiPriority w:val="9"/>
    <w:unhideWhenUsed/>
    <w:qFormat/>
    <w:rsid w:val="000F305C"/>
    <w:pPr>
      <w:keepNext/>
      <w:keepLines/>
      <w:numPr>
        <w:ilvl w:val="2"/>
        <w:numId w:val="11"/>
      </w:numPr>
      <w:spacing w:before="120" w:after="120"/>
      <w:ind w:left="680"/>
      <w:outlineLvl w:val="2"/>
    </w:pPr>
    <w:rPr>
      <w:rFonts w:ascii="Calibri" w:eastAsiaTheme="majorEastAsia" w:hAnsi="Calibri" w:cstheme="majorBidi"/>
      <w:b/>
      <w:color w:val="000000" w:themeColor="text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unhideWhenUsed/>
    <w:qFormat/>
    <w:rsid w:val="000D5F78"/>
    <w:rPr>
      <w:sz w:val="20"/>
      <w:szCs w:val="20"/>
      <w:lang w:val="en-GB" w:bidi="ar-SA"/>
    </w:rPr>
  </w:style>
  <w:style w:type="character" w:customStyle="1" w:styleId="FootnoteTextChar">
    <w:name w:val="Footnote Text Char"/>
    <w:aliases w:val="Footnotes Char"/>
    <w:basedOn w:val="DefaultParagraphFont"/>
    <w:link w:val="FootnoteText"/>
    <w:uiPriority w:val="99"/>
    <w:rsid w:val="000D5F78"/>
    <w:rPr>
      <w:sz w:val="20"/>
      <w:szCs w:val="20"/>
      <w:lang w:val="en-GB"/>
    </w:rPr>
  </w:style>
  <w:style w:type="character" w:styleId="FootnoteReference">
    <w:name w:val="footnote reference"/>
    <w:basedOn w:val="DefaultParagraphFont"/>
    <w:uiPriority w:val="99"/>
    <w:unhideWhenUsed/>
    <w:rsid w:val="000D5F78"/>
    <w:rPr>
      <w:vertAlign w:val="superscript"/>
    </w:rPr>
  </w:style>
  <w:style w:type="paragraph" w:styleId="Title">
    <w:name w:val="Title"/>
    <w:basedOn w:val="Normal"/>
    <w:next w:val="Normal"/>
    <w:link w:val="TitleChar"/>
    <w:uiPriority w:val="10"/>
    <w:qFormat/>
    <w:rsid w:val="000D5F78"/>
    <w:pPr>
      <w:spacing w:after="360"/>
      <w:jc w:val="center"/>
    </w:pPr>
    <w:rPr>
      <w:rFonts w:cs="Times New Roman"/>
      <w:b/>
      <w:sz w:val="40"/>
      <w:szCs w:val="40"/>
      <w:lang w:val="en-GB" w:bidi="ar-SA"/>
    </w:rPr>
  </w:style>
  <w:style w:type="character" w:customStyle="1" w:styleId="TitleChar">
    <w:name w:val="Title Char"/>
    <w:basedOn w:val="DefaultParagraphFont"/>
    <w:link w:val="Title"/>
    <w:uiPriority w:val="10"/>
    <w:rsid w:val="000D5F78"/>
    <w:rPr>
      <w:rFonts w:ascii="Times New Roman" w:hAnsi="Times New Roman" w:cs="Times New Roman"/>
      <w:b/>
      <w:sz w:val="40"/>
      <w:szCs w:val="40"/>
      <w:lang w:val="en-GB"/>
    </w:rPr>
  </w:style>
  <w:style w:type="paragraph" w:customStyle="1" w:styleId="Authors">
    <w:name w:val="Authors"/>
    <w:basedOn w:val="Normal"/>
    <w:next w:val="Normal"/>
    <w:qFormat/>
    <w:rsid w:val="008F3D80"/>
    <w:pPr>
      <w:spacing w:after="480"/>
      <w:jc w:val="center"/>
    </w:pPr>
    <w:rPr>
      <w:b/>
      <w:lang w:val="en-GB" w:bidi="ar-SA"/>
    </w:rPr>
  </w:style>
  <w:style w:type="paragraph" w:customStyle="1" w:styleId="AbstractHeading">
    <w:name w:val="Abstract Heading"/>
    <w:basedOn w:val="Normal"/>
    <w:next w:val="Normal"/>
    <w:qFormat/>
    <w:rsid w:val="000D5F78"/>
    <w:pPr>
      <w:spacing w:before="480" w:after="360"/>
      <w:jc w:val="center"/>
    </w:pPr>
    <w:rPr>
      <w:b/>
      <w:i/>
      <w:color w:val="000000" w:themeColor="text1"/>
      <w:sz w:val="28"/>
      <w:szCs w:val="28"/>
      <w:lang w:val="en-GB" w:bidi="ar-SA"/>
    </w:rPr>
  </w:style>
  <w:style w:type="paragraph" w:customStyle="1" w:styleId="AbstractText">
    <w:name w:val="Abstract Text"/>
    <w:basedOn w:val="Normal"/>
    <w:next w:val="Normal"/>
    <w:qFormat/>
    <w:rsid w:val="009A77FA"/>
    <w:pPr>
      <w:spacing w:after="240"/>
      <w:ind w:left="567" w:right="567"/>
      <w:jc w:val="both"/>
    </w:pPr>
    <w:rPr>
      <w:i/>
      <w:sz w:val="21"/>
      <w:szCs w:val="22"/>
      <w:lang w:val="en-GB" w:bidi="ar-SA"/>
    </w:rPr>
  </w:style>
  <w:style w:type="character" w:customStyle="1" w:styleId="Heading1Char">
    <w:name w:val="Heading 1 Char"/>
    <w:basedOn w:val="DefaultParagraphFont"/>
    <w:link w:val="Heading1"/>
    <w:rsid w:val="00205CD6"/>
    <w:rPr>
      <w:rFonts w:cs="Times New Roman (Body CS)"/>
      <w:b/>
      <w:caps/>
      <w:sz w:val="28"/>
      <w:szCs w:val="28"/>
      <w:lang w:val="en-GB"/>
    </w:rPr>
  </w:style>
  <w:style w:type="paragraph" w:customStyle="1" w:styleId="PaperBodyText">
    <w:name w:val="Paper Body Text"/>
    <w:basedOn w:val="Normal"/>
    <w:qFormat/>
    <w:rsid w:val="00871CC0"/>
    <w:pPr>
      <w:spacing w:before="120" w:after="120"/>
      <w:jc w:val="both"/>
    </w:pPr>
    <w:rPr>
      <w:rFonts w:cs="Times New Roman"/>
      <w:lang w:val="en-GB" w:bidi="ar-SA"/>
    </w:rPr>
  </w:style>
  <w:style w:type="character" w:customStyle="1" w:styleId="Heading2Char">
    <w:name w:val="Heading 2 Char"/>
    <w:basedOn w:val="DefaultParagraphFont"/>
    <w:link w:val="Heading2"/>
    <w:rsid w:val="002A252E"/>
    <w:rPr>
      <w:rFonts w:eastAsiaTheme="majorEastAsia" w:cs="Times New Roman (Headings CS)"/>
      <w:b/>
      <w:smallCaps/>
      <w:sz w:val="26"/>
      <w:szCs w:val="26"/>
      <w:lang w:val="en-GB"/>
    </w:rPr>
  </w:style>
  <w:style w:type="paragraph" w:styleId="ListBullet">
    <w:name w:val="List Bullet"/>
    <w:aliases w:val="WCS List Bullet"/>
    <w:basedOn w:val="Normal"/>
    <w:uiPriority w:val="99"/>
    <w:unhideWhenUsed/>
    <w:qFormat/>
    <w:rsid w:val="00871CC0"/>
    <w:pPr>
      <w:numPr>
        <w:numId w:val="10"/>
      </w:numPr>
      <w:contextualSpacing/>
    </w:pPr>
    <w:rPr>
      <w:lang w:val="en-GB" w:bidi="ar-SA"/>
    </w:rPr>
  </w:style>
  <w:style w:type="character" w:customStyle="1" w:styleId="Heading3Char">
    <w:name w:val="Heading 3 Char"/>
    <w:basedOn w:val="DefaultParagraphFont"/>
    <w:link w:val="Heading3"/>
    <w:uiPriority w:val="9"/>
    <w:rsid w:val="000F305C"/>
    <w:rPr>
      <w:rFonts w:ascii="Calibri" w:eastAsiaTheme="majorEastAsia" w:hAnsi="Calibri" w:cstheme="majorBidi"/>
      <w:b/>
      <w:color w:val="000000" w:themeColor="text1"/>
      <w:lang w:val="en-GB"/>
    </w:rPr>
  </w:style>
  <w:style w:type="paragraph" w:styleId="Caption">
    <w:name w:val="caption"/>
    <w:aliases w:val="Figure Caption"/>
    <w:basedOn w:val="Normal"/>
    <w:next w:val="PaperBodyText"/>
    <w:uiPriority w:val="35"/>
    <w:unhideWhenUsed/>
    <w:qFormat/>
    <w:rsid w:val="008F3D80"/>
    <w:pPr>
      <w:spacing w:after="200"/>
      <w:jc w:val="center"/>
    </w:pPr>
    <w:rPr>
      <w:i/>
      <w:iCs/>
      <w:sz w:val="20"/>
      <w:szCs w:val="18"/>
      <w:lang w:val="en-GB" w:bidi="ar-SA"/>
    </w:rPr>
  </w:style>
  <w:style w:type="paragraph" w:styleId="ListNumber">
    <w:name w:val="List Number"/>
    <w:aliases w:val="WCS Numbered List"/>
    <w:basedOn w:val="Normal"/>
    <w:uiPriority w:val="99"/>
    <w:unhideWhenUsed/>
    <w:qFormat/>
    <w:rsid w:val="00871CC0"/>
    <w:pPr>
      <w:numPr>
        <w:numId w:val="5"/>
      </w:numPr>
      <w:contextualSpacing/>
    </w:pPr>
    <w:rPr>
      <w:lang w:val="en-GB" w:bidi="ar-SA"/>
    </w:rPr>
  </w:style>
  <w:style w:type="table" w:styleId="TableGrid">
    <w:name w:val="Table Grid"/>
    <w:basedOn w:val="TableNormal"/>
    <w:uiPriority w:val="59"/>
    <w:rsid w:val="008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71C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s">
    <w:name w:val="Table Headings"/>
    <w:basedOn w:val="PaperBodyText"/>
    <w:qFormat/>
    <w:rsid w:val="008F3D80"/>
    <w:pPr>
      <w:spacing w:before="40" w:after="40"/>
      <w:jc w:val="center"/>
    </w:pPr>
    <w:rPr>
      <w:b/>
      <w:sz w:val="22"/>
    </w:rPr>
  </w:style>
  <w:style w:type="paragraph" w:customStyle="1" w:styleId="TableBody">
    <w:name w:val="Table Body"/>
    <w:basedOn w:val="PaperBodyText"/>
    <w:qFormat/>
    <w:rsid w:val="008F3D80"/>
    <w:pPr>
      <w:spacing w:before="40" w:after="40"/>
    </w:pPr>
    <w:rPr>
      <w:sz w:val="22"/>
    </w:rPr>
  </w:style>
  <w:style w:type="paragraph" w:customStyle="1" w:styleId="TableCaption">
    <w:name w:val="Table Caption"/>
    <w:basedOn w:val="Caption"/>
    <w:qFormat/>
    <w:rsid w:val="008F3D80"/>
    <w:pPr>
      <w:keepNext/>
      <w:spacing w:before="200" w:after="120"/>
    </w:pPr>
  </w:style>
  <w:style w:type="paragraph" w:customStyle="1" w:styleId="Equations">
    <w:name w:val="Equations"/>
    <w:basedOn w:val="PaperBodyText"/>
    <w:qFormat/>
    <w:rsid w:val="009A77FA"/>
    <w:rPr>
      <w:i/>
      <w:sz w:val="22"/>
      <w:szCs w:val="22"/>
    </w:rPr>
  </w:style>
  <w:style w:type="paragraph" w:customStyle="1" w:styleId="References">
    <w:name w:val="References"/>
    <w:basedOn w:val="PaperBodyText"/>
    <w:qFormat/>
    <w:rsid w:val="009A77FA"/>
    <w:pPr>
      <w:spacing w:before="60" w:after="60"/>
      <w:ind w:left="284" w:hanging="284"/>
    </w:pPr>
    <w:rPr>
      <w:sz w:val="20"/>
      <w:szCs w:val="20"/>
    </w:rPr>
  </w:style>
  <w:style w:type="character" w:styleId="Hyperlink">
    <w:name w:val="Hyperlink"/>
    <w:basedOn w:val="DefaultParagraphFont"/>
    <w:uiPriority w:val="99"/>
    <w:unhideWhenUsed/>
    <w:rsid w:val="009A77FA"/>
    <w:rPr>
      <w:color w:val="0563C1" w:themeColor="hyperlink"/>
      <w:u w:val="single"/>
    </w:rPr>
  </w:style>
  <w:style w:type="paragraph" w:styleId="Header">
    <w:name w:val="header"/>
    <w:basedOn w:val="Normal"/>
    <w:link w:val="HeaderChar"/>
    <w:uiPriority w:val="99"/>
    <w:unhideWhenUsed/>
    <w:rsid w:val="009A77FA"/>
    <w:pPr>
      <w:tabs>
        <w:tab w:val="center" w:pos="4680"/>
        <w:tab w:val="right" w:pos="9360"/>
      </w:tabs>
    </w:pPr>
    <w:rPr>
      <w:lang w:val="en-GB" w:bidi="ar-SA"/>
    </w:rPr>
  </w:style>
  <w:style w:type="character" w:customStyle="1" w:styleId="HeaderChar">
    <w:name w:val="Header Char"/>
    <w:basedOn w:val="DefaultParagraphFont"/>
    <w:link w:val="Header"/>
    <w:uiPriority w:val="99"/>
    <w:rsid w:val="009A77FA"/>
    <w:rPr>
      <w:rFonts w:ascii="Times New Roman" w:hAnsi="Times New Roman"/>
      <w:lang w:val="en-GB"/>
    </w:rPr>
  </w:style>
  <w:style w:type="paragraph" w:styleId="Footer">
    <w:name w:val="footer"/>
    <w:basedOn w:val="Normal"/>
    <w:link w:val="FooterChar"/>
    <w:uiPriority w:val="99"/>
    <w:unhideWhenUsed/>
    <w:rsid w:val="009A77FA"/>
    <w:pPr>
      <w:tabs>
        <w:tab w:val="center" w:pos="4680"/>
        <w:tab w:val="right" w:pos="9360"/>
      </w:tabs>
    </w:pPr>
    <w:rPr>
      <w:lang w:val="en-GB" w:bidi="ar-SA"/>
    </w:rPr>
  </w:style>
  <w:style w:type="character" w:customStyle="1" w:styleId="FooterChar">
    <w:name w:val="Footer Char"/>
    <w:basedOn w:val="DefaultParagraphFont"/>
    <w:link w:val="Footer"/>
    <w:uiPriority w:val="99"/>
    <w:rsid w:val="009A77FA"/>
    <w:rPr>
      <w:rFonts w:ascii="Times New Roman" w:hAnsi="Times New Roman"/>
      <w:lang w:val="en-GB"/>
    </w:rPr>
  </w:style>
  <w:style w:type="character" w:styleId="PageNumber">
    <w:name w:val="page number"/>
    <w:basedOn w:val="DefaultParagraphFont"/>
    <w:uiPriority w:val="99"/>
    <w:semiHidden/>
    <w:unhideWhenUsed/>
    <w:rsid w:val="009A77FA"/>
  </w:style>
  <w:style w:type="paragraph" w:styleId="ListParagraph">
    <w:name w:val="List Paragraph"/>
    <w:basedOn w:val="Normal"/>
    <w:uiPriority w:val="34"/>
    <w:qFormat/>
    <w:rsid w:val="00E04243"/>
    <w:pPr>
      <w:spacing w:after="160" w:line="259" w:lineRule="auto"/>
      <w:ind w:left="720"/>
      <w:contextualSpacing/>
    </w:pPr>
    <w:rPr>
      <w:rFonts w:asciiTheme="minorHAnsi" w:hAnsiTheme="minorHAnsi"/>
      <w:sz w:val="22"/>
      <w:szCs w:val="22"/>
      <w:lang w:val="en-GB" w:bidi="ar-SA"/>
    </w:rPr>
  </w:style>
  <w:style w:type="character" w:styleId="Strong">
    <w:name w:val="Strong"/>
    <w:basedOn w:val="DefaultParagraphFont"/>
    <w:uiPriority w:val="22"/>
    <w:qFormat/>
    <w:rsid w:val="00233203"/>
    <w:rPr>
      <w:b/>
      <w:bCs/>
    </w:rPr>
  </w:style>
  <w:style w:type="paragraph" w:customStyle="1" w:styleId="Standard">
    <w:name w:val="Standard"/>
    <w:rsid w:val="00043CEC"/>
    <w:pPr>
      <w:widowControl w:val="0"/>
      <w:suppressAutoHyphens/>
      <w:autoSpaceDN w:val="0"/>
      <w:textAlignment w:val="baseline"/>
    </w:pPr>
    <w:rPr>
      <w:rFonts w:ascii="Calibri" w:eastAsia="Linux Libertine G" w:hAnsi="Calibri" w:cs="Linux Libertine G"/>
      <w:lang w:val="en-GB" w:eastAsia="zh-CN" w:bidi="hi-IN"/>
    </w:rPr>
  </w:style>
  <w:style w:type="paragraph" w:styleId="BodyText">
    <w:name w:val="Body Text"/>
    <w:basedOn w:val="Normal"/>
    <w:link w:val="BodyTextChar"/>
    <w:rsid w:val="00494590"/>
    <w:pPr>
      <w:spacing w:after="120"/>
    </w:pPr>
    <w:rPr>
      <w:rFonts w:eastAsia="Times New Roman" w:cs="Times New Roman"/>
      <w:szCs w:val="20"/>
      <w:lang w:val="en-GB" w:bidi="ar-SA"/>
    </w:rPr>
  </w:style>
  <w:style w:type="character" w:customStyle="1" w:styleId="BodyTextChar">
    <w:name w:val="Body Text Char"/>
    <w:basedOn w:val="DefaultParagraphFont"/>
    <w:link w:val="BodyText"/>
    <w:rsid w:val="00494590"/>
    <w:rPr>
      <w:rFonts w:ascii="Times New Roman" w:eastAsia="Times New Roman" w:hAnsi="Times New Roman" w:cs="Times New Roman"/>
      <w:szCs w:val="20"/>
      <w:lang w:val="en-GB"/>
    </w:rPr>
  </w:style>
  <w:style w:type="table" w:styleId="LightList-Accent1">
    <w:name w:val="Light List Accent 1"/>
    <w:basedOn w:val="TableNormal"/>
    <w:uiPriority w:val="61"/>
    <w:unhideWhenUsed/>
    <w:rsid w:val="00494590"/>
    <w:rPr>
      <w:rFonts w:ascii="Times New Roman" w:eastAsia="Times New Roman" w:hAnsi="Times New Roman" w:cs="Times New Roman"/>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494590"/>
    <w:rPr>
      <w:sz w:val="16"/>
      <w:szCs w:val="16"/>
    </w:rPr>
  </w:style>
  <w:style w:type="paragraph" w:styleId="CommentText">
    <w:name w:val="annotation text"/>
    <w:basedOn w:val="Normal"/>
    <w:link w:val="CommentTextChar"/>
    <w:uiPriority w:val="99"/>
    <w:semiHidden/>
    <w:unhideWhenUsed/>
    <w:rsid w:val="00494590"/>
    <w:pPr>
      <w:spacing w:after="200"/>
    </w:pPr>
    <w:rPr>
      <w:rFonts w:asciiTheme="minorHAnsi" w:hAnsiTheme="minorHAnsi"/>
      <w:sz w:val="20"/>
      <w:szCs w:val="20"/>
      <w:lang w:val="en-GB" w:bidi="ar-SA"/>
    </w:rPr>
  </w:style>
  <w:style w:type="character" w:customStyle="1" w:styleId="CommentTextChar">
    <w:name w:val="Comment Text Char"/>
    <w:basedOn w:val="DefaultParagraphFont"/>
    <w:link w:val="CommentText"/>
    <w:uiPriority w:val="99"/>
    <w:semiHidden/>
    <w:rsid w:val="00494590"/>
    <w:rPr>
      <w:sz w:val="20"/>
      <w:szCs w:val="20"/>
      <w:lang w:val="en-GB"/>
    </w:rPr>
  </w:style>
  <w:style w:type="paragraph" w:styleId="CommentSubject">
    <w:name w:val="annotation subject"/>
    <w:basedOn w:val="CommentText"/>
    <w:next w:val="CommentText"/>
    <w:link w:val="CommentSubjectChar"/>
    <w:uiPriority w:val="99"/>
    <w:semiHidden/>
    <w:unhideWhenUsed/>
    <w:rsid w:val="00494590"/>
    <w:rPr>
      <w:b/>
      <w:bCs/>
    </w:rPr>
  </w:style>
  <w:style w:type="character" w:customStyle="1" w:styleId="CommentSubjectChar">
    <w:name w:val="Comment Subject Char"/>
    <w:basedOn w:val="CommentTextChar"/>
    <w:link w:val="CommentSubject"/>
    <w:uiPriority w:val="99"/>
    <w:semiHidden/>
    <w:rsid w:val="00494590"/>
    <w:rPr>
      <w:b/>
      <w:bCs/>
      <w:sz w:val="20"/>
      <w:szCs w:val="20"/>
      <w:lang w:val="en-GB"/>
    </w:rPr>
  </w:style>
  <w:style w:type="paragraph" w:styleId="BalloonText">
    <w:name w:val="Balloon Text"/>
    <w:basedOn w:val="Normal"/>
    <w:link w:val="BalloonTextChar"/>
    <w:uiPriority w:val="99"/>
    <w:semiHidden/>
    <w:unhideWhenUsed/>
    <w:rsid w:val="00494590"/>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494590"/>
    <w:rPr>
      <w:rFonts w:ascii="Segoe UI" w:hAnsi="Segoe UI" w:cs="Segoe UI"/>
      <w:sz w:val="18"/>
      <w:szCs w:val="18"/>
      <w:lang w:val="en-GB"/>
    </w:rPr>
  </w:style>
  <w:style w:type="table" w:customStyle="1" w:styleId="LightList-Accent11">
    <w:name w:val="Light List - Accent 11"/>
    <w:basedOn w:val="TableNormal"/>
    <w:next w:val="LightList-Accent1"/>
    <w:uiPriority w:val="61"/>
    <w:unhideWhenUsed/>
    <w:rsid w:val="00494590"/>
    <w:rPr>
      <w:rFonts w:ascii="Times New Roman" w:eastAsia="Times New Roman" w:hAnsi="Times New Roman" w:cs="Times New Roman"/>
      <w:sz w:val="20"/>
      <w:szCs w:val="2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11">
    <w:name w:val="Light List - Accent 111"/>
    <w:basedOn w:val="TableNormal"/>
    <w:next w:val="LightList-Accent1"/>
    <w:uiPriority w:val="61"/>
    <w:unhideWhenUsed/>
    <w:rsid w:val="00494590"/>
    <w:rPr>
      <w:rFonts w:ascii="Times New Roman" w:eastAsia="Times New Roman" w:hAnsi="Times New Roman" w:cs="Times New Roman"/>
      <w:sz w:val="20"/>
      <w:szCs w:val="2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Bibliography">
    <w:name w:val="Bibliography"/>
    <w:basedOn w:val="Normal"/>
    <w:next w:val="Normal"/>
    <w:uiPriority w:val="37"/>
    <w:semiHidden/>
    <w:unhideWhenUsed/>
    <w:rsid w:val="00394AB1"/>
    <w:rPr>
      <w:lang w:val="en-GB" w:bidi="ar-SA"/>
    </w:rPr>
  </w:style>
  <w:style w:type="character" w:styleId="Emphasis">
    <w:name w:val="Emphasis"/>
    <w:basedOn w:val="DefaultParagraphFont"/>
    <w:uiPriority w:val="20"/>
    <w:qFormat/>
    <w:rsid w:val="002F5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990">
      <w:bodyDiv w:val="1"/>
      <w:marLeft w:val="0"/>
      <w:marRight w:val="0"/>
      <w:marTop w:val="0"/>
      <w:marBottom w:val="0"/>
      <w:divBdr>
        <w:top w:val="none" w:sz="0" w:space="0" w:color="auto"/>
        <w:left w:val="none" w:sz="0" w:space="0" w:color="auto"/>
        <w:bottom w:val="none" w:sz="0" w:space="0" w:color="auto"/>
        <w:right w:val="none" w:sz="0" w:space="0" w:color="auto"/>
      </w:divBdr>
    </w:div>
    <w:div w:id="171455761">
      <w:bodyDiv w:val="1"/>
      <w:marLeft w:val="0"/>
      <w:marRight w:val="0"/>
      <w:marTop w:val="0"/>
      <w:marBottom w:val="0"/>
      <w:divBdr>
        <w:top w:val="none" w:sz="0" w:space="0" w:color="auto"/>
        <w:left w:val="none" w:sz="0" w:space="0" w:color="auto"/>
        <w:bottom w:val="none" w:sz="0" w:space="0" w:color="auto"/>
        <w:right w:val="none" w:sz="0" w:space="0" w:color="auto"/>
      </w:divBdr>
    </w:div>
    <w:div w:id="274873754">
      <w:bodyDiv w:val="1"/>
      <w:marLeft w:val="0"/>
      <w:marRight w:val="0"/>
      <w:marTop w:val="0"/>
      <w:marBottom w:val="0"/>
      <w:divBdr>
        <w:top w:val="none" w:sz="0" w:space="0" w:color="auto"/>
        <w:left w:val="none" w:sz="0" w:space="0" w:color="auto"/>
        <w:bottom w:val="none" w:sz="0" w:space="0" w:color="auto"/>
        <w:right w:val="none" w:sz="0" w:space="0" w:color="auto"/>
      </w:divBdr>
    </w:div>
    <w:div w:id="293367323">
      <w:bodyDiv w:val="1"/>
      <w:marLeft w:val="0"/>
      <w:marRight w:val="0"/>
      <w:marTop w:val="0"/>
      <w:marBottom w:val="0"/>
      <w:divBdr>
        <w:top w:val="none" w:sz="0" w:space="0" w:color="auto"/>
        <w:left w:val="none" w:sz="0" w:space="0" w:color="auto"/>
        <w:bottom w:val="none" w:sz="0" w:space="0" w:color="auto"/>
        <w:right w:val="none" w:sz="0" w:space="0" w:color="auto"/>
      </w:divBdr>
    </w:div>
    <w:div w:id="396589925">
      <w:bodyDiv w:val="1"/>
      <w:marLeft w:val="0"/>
      <w:marRight w:val="0"/>
      <w:marTop w:val="0"/>
      <w:marBottom w:val="0"/>
      <w:divBdr>
        <w:top w:val="none" w:sz="0" w:space="0" w:color="auto"/>
        <w:left w:val="none" w:sz="0" w:space="0" w:color="auto"/>
        <w:bottom w:val="none" w:sz="0" w:space="0" w:color="auto"/>
        <w:right w:val="none" w:sz="0" w:space="0" w:color="auto"/>
      </w:divBdr>
    </w:div>
    <w:div w:id="765611191">
      <w:bodyDiv w:val="1"/>
      <w:marLeft w:val="0"/>
      <w:marRight w:val="0"/>
      <w:marTop w:val="0"/>
      <w:marBottom w:val="0"/>
      <w:divBdr>
        <w:top w:val="none" w:sz="0" w:space="0" w:color="auto"/>
        <w:left w:val="none" w:sz="0" w:space="0" w:color="auto"/>
        <w:bottom w:val="none" w:sz="0" w:space="0" w:color="auto"/>
        <w:right w:val="none" w:sz="0" w:space="0" w:color="auto"/>
      </w:divBdr>
    </w:div>
    <w:div w:id="1038776080">
      <w:bodyDiv w:val="1"/>
      <w:marLeft w:val="0"/>
      <w:marRight w:val="0"/>
      <w:marTop w:val="0"/>
      <w:marBottom w:val="0"/>
      <w:divBdr>
        <w:top w:val="none" w:sz="0" w:space="0" w:color="auto"/>
        <w:left w:val="none" w:sz="0" w:space="0" w:color="auto"/>
        <w:bottom w:val="none" w:sz="0" w:space="0" w:color="auto"/>
        <w:right w:val="none" w:sz="0" w:space="0" w:color="auto"/>
      </w:divBdr>
    </w:div>
    <w:div w:id="1047534930">
      <w:bodyDiv w:val="1"/>
      <w:marLeft w:val="0"/>
      <w:marRight w:val="0"/>
      <w:marTop w:val="0"/>
      <w:marBottom w:val="0"/>
      <w:divBdr>
        <w:top w:val="none" w:sz="0" w:space="0" w:color="auto"/>
        <w:left w:val="none" w:sz="0" w:space="0" w:color="auto"/>
        <w:bottom w:val="none" w:sz="0" w:space="0" w:color="auto"/>
        <w:right w:val="none" w:sz="0" w:space="0" w:color="auto"/>
      </w:divBdr>
    </w:div>
    <w:div w:id="1060207565">
      <w:bodyDiv w:val="1"/>
      <w:marLeft w:val="0"/>
      <w:marRight w:val="0"/>
      <w:marTop w:val="0"/>
      <w:marBottom w:val="0"/>
      <w:divBdr>
        <w:top w:val="none" w:sz="0" w:space="0" w:color="auto"/>
        <w:left w:val="none" w:sz="0" w:space="0" w:color="auto"/>
        <w:bottom w:val="none" w:sz="0" w:space="0" w:color="auto"/>
        <w:right w:val="none" w:sz="0" w:space="0" w:color="auto"/>
      </w:divBdr>
    </w:div>
    <w:div w:id="1341199656">
      <w:bodyDiv w:val="1"/>
      <w:marLeft w:val="0"/>
      <w:marRight w:val="0"/>
      <w:marTop w:val="0"/>
      <w:marBottom w:val="0"/>
      <w:divBdr>
        <w:top w:val="none" w:sz="0" w:space="0" w:color="auto"/>
        <w:left w:val="none" w:sz="0" w:space="0" w:color="auto"/>
        <w:bottom w:val="none" w:sz="0" w:space="0" w:color="auto"/>
        <w:right w:val="none" w:sz="0" w:space="0" w:color="auto"/>
      </w:divBdr>
    </w:div>
    <w:div w:id="1469086947">
      <w:bodyDiv w:val="1"/>
      <w:marLeft w:val="0"/>
      <w:marRight w:val="0"/>
      <w:marTop w:val="0"/>
      <w:marBottom w:val="0"/>
      <w:divBdr>
        <w:top w:val="none" w:sz="0" w:space="0" w:color="auto"/>
        <w:left w:val="none" w:sz="0" w:space="0" w:color="auto"/>
        <w:bottom w:val="none" w:sz="0" w:space="0" w:color="auto"/>
        <w:right w:val="none" w:sz="0" w:space="0" w:color="auto"/>
      </w:divBdr>
    </w:div>
    <w:div w:id="1646087206">
      <w:bodyDiv w:val="1"/>
      <w:marLeft w:val="0"/>
      <w:marRight w:val="0"/>
      <w:marTop w:val="0"/>
      <w:marBottom w:val="0"/>
      <w:divBdr>
        <w:top w:val="none" w:sz="0" w:space="0" w:color="auto"/>
        <w:left w:val="none" w:sz="0" w:space="0" w:color="auto"/>
        <w:bottom w:val="none" w:sz="0" w:space="0" w:color="auto"/>
        <w:right w:val="none" w:sz="0" w:space="0" w:color="auto"/>
      </w:divBdr>
    </w:div>
    <w:div w:id="1684018195">
      <w:bodyDiv w:val="1"/>
      <w:marLeft w:val="0"/>
      <w:marRight w:val="0"/>
      <w:marTop w:val="0"/>
      <w:marBottom w:val="0"/>
      <w:divBdr>
        <w:top w:val="none" w:sz="0" w:space="0" w:color="auto"/>
        <w:left w:val="none" w:sz="0" w:space="0" w:color="auto"/>
        <w:bottom w:val="none" w:sz="0" w:space="0" w:color="auto"/>
        <w:right w:val="none" w:sz="0" w:space="0" w:color="auto"/>
      </w:divBdr>
    </w:div>
    <w:div w:id="1721975215">
      <w:bodyDiv w:val="1"/>
      <w:marLeft w:val="0"/>
      <w:marRight w:val="0"/>
      <w:marTop w:val="0"/>
      <w:marBottom w:val="0"/>
      <w:divBdr>
        <w:top w:val="none" w:sz="0" w:space="0" w:color="auto"/>
        <w:left w:val="none" w:sz="0" w:space="0" w:color="auto"/>
        <w:bottom w:val="none" w:sz="0" w:space="0" w:color="auto"/>
        <w:right w:val="none" w:sz="0" w:space="0" w:color="auto"/>
      </w:divBdr>
    </w:div>
    <w:div w:id="1800495101">
      <w:bodyDiv w:val="1"/>
      <w:marLeft w:val="0"/>
      <w:marRight w:val="0"/>
      <w:marTop w:val="0"/>
      <w:marBottom w:val="0"/>
      <w:divBdr>
        <w:top w:val="none" w:sz="0" w:space="0" w:color="auto"/>
        <w:left w:val="none" w:sz="0" w:space="0" w:color="auto"/>
        <w:bottom w:val="none" w:sz="0" w:space="0" w:color="auto"/>
        <w:right w:val="none" w:sz="0" w:space="0" w:color="auto"/>
      </w:divBdr>
    </w:div>
    <w:div w:id="20170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 TargetMode="External"/><Relationship Id="rId13" Type="http://schemas.openxmlformats.org/officeDocument/2006/relationships/hyperlink" Target="http://www.salford.ac.uk/pgt-courses/quantity-surveying-mechanical-and-electri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ing.co.uk/specialist-costs-me-services/5001903.arti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row.dit.ie/beschreoth/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mrc.gov.uk" TargetMode="External"/><Relationship Id="rId4" Type="http://schemas.openxmlformats.org/officeDocument/2006/relationships/settings" Target="settings.xml"/><Relationship Id="rId9" Type="http://schemas.openxmlformats.org/officeDocument/2006/relationships/hyperlink" Target="http://www.hmrc.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ath\Downloads\WCS2019_Full%20Paper%20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F669-590E-4AE6-B2A2-74A4FF14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WCS2019_Full Paper Template (12)</Template>
  <TotalTime>1</TotalTime>
  <Pages>10</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Menaha</dc:creator>
  <cp:keywords/>
  <dc:description/>
  <cp:lastModifiedBy>Seidu, Rafiu</cp:lastModifiedBy>
  <cp:revision>2</cp:revision>
  <dcterms:created xsi:type="dcterms:W3CDTF">2020-03-13T14:33:00Z</dcterms:created>
  <dcterms:modified xsi:type="dcterms:W3CDTF">2020-03-13T14:33:00Z</dcterms:modified>
</cp:coreProperties>
</file>