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5A" w:rsidRPr="00DD1EEC" w:rsidRDefault="00614F5A" w:rsidP="00614F5A">
      <w:pPr>
        <w:pStyle w:val="BATitle"/>
      </w:pPr>
      <w:r w:rsidRPr="0084243B">
        <w:rPr>
          <w:lang w:val="en-GB"/>
        </w:rPr>
        <w:t>Visible-light enhanced TiO</w:t>
      </w:r>
      <w:r w:rsidRPr="0084243B">
        <w:rPr>
          <w:vertAlign w:val="subscript"/>
          <w:lang w:val="en-GB"/>
        </w:rPr>
        <w:t>2</w:t>
      </w:r>
      <w:r w:rsidRPr="0084243B">
        <w:rPr>
          <w:lang w:val="en-GB"/>
        </w:rPr>
        <w:t xml:space="preserve"> photocatalysis due to localised surface plasmo</w:t>
      </w:r>
      <w:r>
        <w:rPr>
          <w:lang w:val="en-GB"/>
        </w:rPr>
        <w:t>n effect of supported palladium</w:t>
      </w:r>
    </w:p>
    <w:p w:rsidR="00614F5A" w:rsidRPr="0084243B" w:rsidRDefault="00614F5A" w:rsidP="00614F5A">
      <w:pPr>
        <w:pStyle w:val="BBAuthorName"/>
        <w:rPr>
          <w:lang w:val="pt-BR"/>
        </w:rPr>
      </w:pPr>
      <w:r w:rsidRPr="0084243B">
        <w:rPr>
          <w:lang w:val="pt-BR"/>
        </w:rPr>
        <w:t>Armando M. Lacerda</w:t>
      </w:r>
      <w:r w:rsidRPr="0084243B">
        <w:rPr>
          <w:rFonts w:ascii="Times New Roman" w:hAnsi="Times New Roman"/>
          <w:lang w:val="pt-BR"/>
        </w:rPr>
        <w:t>†</w:t>
      </w:r>
      <w:r w:rsidRPr="0084243B">
        <w:rPr>
          <w:lang w:val="pt-BR"/>
        </w:rPr>
        <w:t>, Igor Larrosa*</w:t>
      </w:r>
      <w:r>
        <w:rPr>
          <w:vertAlign w:val="superscript"/>
          <w:lang w:val="pt-BR"/>
        </w:rPr>
        <w:t>,</w:t>
      </w:r>
      <w:r w:rsidRPr="0084243B">
        <w:rPr>
          <w:rFonts w:ascii="Times New Roman" w:hAnsi="Times New Roman"/>
          <w:lang w:val="pt-BR"/>
        </w:rPr>
        <w:t>‡</w:t>
      </w:r>
      <w:r w:rsidRPr="0084243B">
        <w:rPr>
          <w:lang w:val="pt-BR"/>
        </w:rPr>
        <w:t>, Steve Dunn*</w:t>
      </w:r>
      <w:r>
        <w:rPr>
          <w:vertAlign w:val="superscript"/>
          <w:lang w:val="pt-BR"/>
        </w:rPr>
        <w:t>,</w:t>
      </w:r>
      <w:r w:rsidRPr="0084243B">
        <w:rPr>
          <w:rFonts w:ascii="Times New Roman" w:hAnsi="Times New Roman"/>
          <w:lang w:val="pt-BR"/>
        </w:rPr>
        <w:t>†</w:t>
      </w:r>
    </w:p>
    <w:p w:rsidR="00614F5A" w:rsidRDefault="00614F5A" w:rsidP="00614F5A">
      <w:pPr>
        <w:pStyle w:val="BCAuthorAddress"/>
      </w:pPr>
      <w:r w:rsidRPr="0084243B">
        <w:t>†School of Engineering and Materials Science, Queen Mary, University of London, Mile End Road, E14NS,London, UK</w:t>
      </w:r>
      <w:r>
        <w:t xml:space="preserve"> </w:t>
      </w:r>
      <w:r w:rsidRPr="0084243B">
        <w:t>‡School of Chemistry, University of Manchester, Oxford Road, M13 9NJ, Manchester, UK</w:t>
      </w:r>
      <w:r>
        <w:t xml:space="preserve"> </w:t>
      </w:r>
    </w:p>
    <w:p w:rsidR="00614F5A" w:rsidRPr="0087758B" w:rsidRDefault="00614F5A" w:rsidP="00614F5A">
      <w:pPr>
        <w:pStyle w:val="BIEmailAddress"/>
        <w:rPr>
          <w:lang w:val="en-GB"/>
        </w:rPr>
      </w:pPr>
    </w:p>
    <w:p w:rsidR="00614F5A" w:rsidRPr="00DD1EEC" w:rsidRDefault="00614F5A" w:rsidP="00614F5A">
      <w:pPr>
        <w:pStyle w:val="BGKeywords"/>
      </w:pPr>
      <w:r>
        <w:t xml:space="preserve">KEYWORDS </w:t>
      </w:r>
      <w:r w:rsidRPr="0087758B">
        <w:t>Photocatalysis, TiO</w:t>
      </w:r>
      <w:r w:rsidRPr="00AF7DF3">
        <w:rPr>
          <w:vertAlign w:val="subscript"/>
        </w:rPr>
        <w:t>2</w:t>
      </w:r>
      <w:r w:rsidRPr="0087758B">
        <w:t>, dye degradation, co-catalys</w:t>
      </w:r>
      <w:r>
        <w:t>t</w:t>
      </w:r>
      <w:r w:rsidRPr="0087758B">
        <w:t xml:space="preserve">, noble metal, </w:t>
      </w:r>
      <w:r>
        <w:t xml:space="preserve">palladium, </w:t>
      </w:r>
      <w:r w:rsidRPr="0087758B">
        <w:t>visible light catalysis, heter</w:t>
      </w:r>
      <w:r w:rsidRPr="0087758B">
        <w:t>o</w:t>
      </w:r>
      <w:r w:rsidRPr="0087758B">
        <w:t>geneous catalysis</w:t>
      </w:r>
    </w:p>
    <w:p w:rsidR="00614F5A" w:rsidRPr="007F6792" w:rsidRDefault="00614F5A" w:rsidP="00614F5A">
      <w:pPr>
        <w:pStyle w:val="StyleBIEmailAddress95pt"/>
        <w:sectPr w:rsidR="00614F5A" w:rsidRPr="007F6792" w:rsidSect="00117770">
          <w:footerReference w:type="even" r:id="rId5"/>
          <w:footerReference w:type="default" r:id="rId6"/>
          <w:pgSz w:w="12240" w:h="15840" w:code="1"/>
          <w:pgMar w:top="720" w:right="1094" w:bottom="720" w:left="1094" w:header="720" w:footer="720" w:gutter="0"/>
          <w:cols w:space="720"/>
          <w:titlePg/>
        </w:sectPr>
      </w:pPr>
      <w:r>
        <w:t xml:space="preserve"> </w:t>
      </w:r>
    </w:p>
    <w:p w:rsidR="00614F5A" w:rsidRPr="00BE533F" w:rsidRDefault="00614F5A" w:rsidP="00614F5A">
      <w:pPr>
        <w:pStyle w:val="BDAbstract"/>
      </w:pPr>
      <w:r w:rsidRPr="006532A9">
        <w:rPr>
          <w:rStyle w:val="BDAbstractTitleChar"/>
        </w:rPr>
        <w:lastRenderedPageBreak/>
        <w:t>ABSTRACT:</w:t>
      </w:r>
      <w:r w:rsidRPr="00BE533F">
        <w:t xml:space="preserve"> </w:t>
      </w:r>
      <w:proofErr w:type="spellStart"/>
      <w:r>
        <w:t>Pd</w:t>
      </w:r>
      <w:proofErr w:type="spellEnd"/>
      <w:r>
        <w:t xml:space="preserve"> modified </w:t>
      </w:r>
      <w:r w:rsidRPr="00322570">
        <w:t>TiO</w:t>
      </w:r>
      <w:r w:rsidRPr="00695563">
        <w:rPr>
          <w:vertAlign w:val="subscript"/>
        </w:rPr>
        <w:t>2</w:t>
      </w:r>
      <w:r>
        <w:rPr>
          <w:vertAlign w:val="subscript"/>
        </w:rPr>
        <w:t xml:space="preserve"> </w:t>
      </w:r>
      <w:r w:rsidRPr="0084243B">
        <w:t>displayed an increased light harvesting potential into the visible region of the solar spe</w:t>
      </w:r>
      <w:r w:rsidRPr="0084243B">
        <w:t>c</w:t>
      </w:r>
      <w:r w:rsidRPr="0084243B">
        <w:t xml:space="preserve">trum by 8% and an enhanced photocatalytic </w:t>
      </w:r>
      <w:proofErr w:type="spellStart"/>
      <w:r w:rsidRPr="0084243B">
        <w:t>decolorization</w:t>
      </w:r>
      <w:proofErr w:type="spellEnd"/>
      <w:r w:rsidRPr="0084243B">
        <w:t xml:space="preserve"> rate of rhodamine B by a factor of 19 compared to bare TiO</w:t>
      </w:r>
      <w:r w:rsidRPr="00695563">
        <w:rPr>
          <w:vertAlign w:val="subscript"/>
        </w:rPr>
        <w:t>2</w:t>
      </w:r>
      <w:r w:rsidRPr="0084243B">
        <w:t xml:space="preserve">. A red-shift in the light harvesting ability of the catalyst means that there is photochemical activity present for excitations up to 600 nm. We attribute this enhanced photo-reactivity to a localized plasmon associated with nanostructured </w:t>
      </w:r>
      <w:proofErr w:type="spellStart"/>
      <w:r w:rsidRPr="0084243B">
        <w:t>Pd</w:t>
      </w:r>
      <w:proofErr w:type="spellEnd"/>
      <w:r w:rsidRPr="0084243B">
        <w:t xml:space="preserve"> that we </w:t>
      </w:r>
      <w:proofErr w:type="spellStart"/>
      <w:r w:rsidRPr="0084243B">
        <w:t>photochemically</w:t>
      </w:r>
      <w:proofErr w:type="spellEnd"/>
      <w:r w:rsidRPr="0084243B">
        <w:t xml:space="preserve"> deposited onto TiO</w:t>
      </w:r>
      <w:r w:rsidRPr="00695563">
        <w:rPr>
          <w:vertAlign w:val="subscript"/>
        </w:rPr>
        <w:t>2</w:t>
      </w:r>
      <w:r w:rsidRPr="0084243B">
        <w:t xml:space="preserve"> prior to dye </w:t>
      </w:r>
      <w:proofErr w:type="spellStart"/>
      <w:r w:rsidRPr="0084243B">
        <w:t>decolorization</w:t>
      </w:r>
      <w:proofErr w:type="spellEnd"/>
      <w:r w:rsidRPr="0084243B">
        <w:t>.  This catalyst system has significant potential to treat environmental pollution via solar energy harvesting</w:t>
      </w:r>
      <w:r>
        <w:rPr>
          <w:rFonts w:ascii="Calibri" w:hAnsi="Calibri"/>
          <w:b/>
          <w:bCs/>
          <w:sz w:val="22"/>
          <w:szCs w:val="22"/>
        </w:rPr>
        <w:t>.</w:t>
      </w:r>
      <w:r w:rsidRPr="00BE533F">
        <w:t xml:space="preserve"> </w:t>
      </w:r>
    </w:p>
    <w:p w:rsidR="00614F5A" w:rsidRDefault="00614F5A" w:rsidP="00614F5A">
      <w:pPr>
        <w:pStyle w:val="TAMainText"/>
        <w:sectPr w:rsidR="00614F5A" w:rsidSect="004E35E0">
          <w:type w:val="continuous"/>
          <w:pgSz w:w="12240" w:h="15840"/>
          <w:pgMar w:top="720" w:right="1094" w:bottom="720" w:left="1094" w:header="720" w:footer="720" w:gutter="0"/>
          <w:cols w:space="461"/>
        </w:sectPr>
      </w:pPr>
    </w:p>
    <w:p w:rsidR="00614F5A" w:rsidRPr="00322570" w:rsidRDefault="00614F5A" w:rsidP="00614F5A">
      <w:pPr>
        <w:pStyle w:val="TAMainText"/>
      </w:pPr>
      <w:r w:rsidRPr="00322570">
        <w:lastRenderedPageBreak/>
        <w:t>The use of commercial dyes by manufacturing industries such as the textile, pharmaceutical, paint and cosmetic industries regularly results in the release of excess co</w:t>
      </w:r>
      <w:r w:rsidRPr="00322570">
        <w:t>n</w:t>
      </w:r>
      <w:r w:rsidRPr="00322570">
        <w:t>taminants into the local environment posing a threat to both aquatic and human populations.</w:t>
      </w:r>
      <w:r w:rsidRPr="00322570">
        <w:rPr>
          <w:vertAlign w:val="superscript"/>
        </w:rPr>
        <w:t>1</w:t>
      </w:r>
      <w:r w:rsidRPr="00322570">
        <w:t xml:space="preserve"> </w:t>
      </w:r>
      <w:proofErr w:type="gramStart"/>
      <w:r w:rsidRPr="00322570">
        <w:t>A</w:t>
      </w:r>
      <w:proofErr w:type="gramEnd"/>
      <w:r w:rsidRPr="00322570">
        <w:t xml:space="preserve"> promising met</w:t>
      </w:r>
      <w:r w:rsidRPr="00322570">
        <w:t>h</w:t>
      </w:r>
      <w:r w:rsidRPr="00322570">
        <w:t>od for the effective treatment of this industrial effluent is via photocatalysis. Of the photocatalytic materials used in the remediation of environmental pollution, titanium dioxide (TiO</w:t>
      </w:r>
      <w:r w:rsidRPr="00695563">
        <w:rPr>
          <w:vertAlign w:val="subscript"/>
        </w:rPr>
        <w:t>2</w:t>
      </w:r>
      <w:r w:rsidRPr="00322570">
        <w:t>) has been one of the most studied cat</w:t>
      </w:r>
      <w:r w:rsidRPr="00322570">
        <w:t>a</w:t>
      </w:r>
      <w:r w:rsidRPr="00322570">
        <w:t>lysts</w:t>
      </w:r>
      <w:r w:rsidRPr="00322570">
        <w:rPr>
          <w:vertAlign w:val="superscript"/>
        </w:rPr>
        <w:t>2–10</w:t>
      </w:r>
      <w:r w:rsidRPr="00322570">
        <w:t xml:space="preserve"> ever since </w:t>
      </w:r>
      <w:proofErr w:type="spellStart"/>
      <w:r w:rsidRPr="00322570">
        <w:t>Fujishima</w:t>
      </w:r>
      <w:proofErr w:type="spellEnd"/>
      <w:r w:rsidRPr="00322570">
        <w:t xml:space="preserve"> and Honda reported the ph</w:t>
      </w:r>
      <w:r w:rsidRPr="00322570">
        <w:t>o</w:t>
      </w:r>
      <w:r w:rsidRPr="00322570">
        <w:t>tolysis of water by a TiO2 coated electrode under ultravi</w:t>
      </w:r>
      <w:r w:rsidRPr="00322570">
        <w:t>o</w:t>
      </w:r>
      <w:r w:rsidRPr="00322570">
        <w:t>let (UV) irradiation.</w:t>
      </w:r>
      <w:r w:rsidRPr="00322570">
        <w:rPr>
          <w:vertAlign w:val="superscript"/>
        </w:rPr>
        <w:t>11</w:t>
      </w:r>
      <w:r w:rsidRPr="00322570">
        <w:t xml:space="preserve"> Due to its low toxicity, high chem</w:t>
      </w:r>
      <w:r w:rsidRPr="00322570">
        <w:t>i</w:t>
      </w:r>
      <w:r w:rsidRPr="00322570">
        <w:t>cal stability and photosensitivity, TiO</w:t>
      </w:r>
      <w:r w:rsidRPr="00695563">
        <w:rPr>
          <w:vertAlign w:val="subscript"/>
        </w:rPr>
        <w:t>2</w:t>
      </w:r>
      <w:r w:rsidRPr="00322570">
        <w:t xml:space="preserve"> is a promising m</w:t>
      </w:r>
      <w:r w:rsidRPr="00322570">
        <w:t>a</w:t>
      </w:r>
      <w:r w:rsidRPr="00322570">
        <w:t>terial in a wide range of applications from environmental depollution to the production of solar fuels.</w:t>
      </w:r>
      <w:r w:rsidRPr="00322570">
        <w:rPr>
          <w:vertAlign w:val="superscript"/>
        </w:rPr>
        <w:t>12–18</w:t>
      </w:r>
      <w:r w:rsidRPr="00322570">
        <w:t xml:space="preserve"> However, its energy band gap value of 3.2 eV limits the photo-functionality of TiO</w:t>
      </w:r>
      <w:r w:rsidRPr="00695563">
        <w:rPr>
          <w:vertAlign w:val="subscript"/>
        </w:rPr>
        <w:t>2</w:t>
      </w:r>
      <w:r w:rsidRPr="00322570">
        <w:t xml:space="preserve"> to the UV region of the electroma</w:t>
      </w:r>
      <w:r w:rsidRPr="00322570">
        <w:t>g</w:t>
      </w:r>
      <w:r w:rsidRPr="00322570">
        <w:t>netic (EM) spectrum. As only around 4 % of solar irradi</w:t>
      </w:r>
      <w:r w:rsidRPr="00322570">
        <w:t>a</w:t>
      </w:r>
      <w:r w:rsidRPr="00322570">
        <w:t>tion incident on the surface of the Earth is in the UV, many efforts have been made to increase the absorption cross-section of TiO</w:t>
      </w:r>
      <w:r w:rsidRPr="00695563">
        <w:rPr>
          <w:vertAlign w:val="subscript"/>
        </w:rPr>
        <w:t>2</w:t>
      </w:r>
      <w:r w:rsidRPr="00322570">
        <w:t xml:space="preserve"> photocatalysts into the visible r</w:t>
      </w:r>
      <w:r w:rsidRPr="00322570">
        <w:t>e</w:t>
      </w:r>
      <w:r w:rsidRPr="00322570">
        <w:t>gion.</w:t>
      </w:r>
      <w:r w:rsidRPr="00322570">
        <w:rPr>
          <w:vertAlign w:val="superscript"/>
        </w:rPr>
        <w:t>19–21</w:t>
      </w:r>
    </w:p>
    <w:p w:rsidR="00614F5A" w:rsidRPr="00322570" w:rsidRDefault="00614F5A" w:rsidP="00614F5A">
      <w:pPr>
        <w:pStyle w:val="TAMainText"/>
      </w:pPr>
      <w:r w:rsidRPr="00322570">
        <w:t>The photo-active properties of TiO</w:t>
      </w:r>
      <w:r w:rsidRPr="00695563">
        <w:rPr>
          <w:vertAlign w:val="subscript"/>
        </w:rPr>
        <w:t>2</w:t>
      </w:r>
      <w:r w:rsidRPr="00322570">
        <w:t xml:space="preserve"> arise from the a</w:t>
      </w:r>
      <w:r w:rsidRPr="00322570">
        <w:t>b</w:t>
      </w:r>
      <w:r w:rsidRPr="00322570">
        <w:t>sorption of incident super band gap photons resulting in the generation of excited charge carriers within the mat</w:t>
      </w:r>
      <w:r w:rsidRPr="00322570">
        <w:t>e</w:t>
      </w:r>
      <w:r w:rsidRPr="00322570">
        <w:t>rial known as electron-hole pairs. The absorption of a photon puts an electron (e</w:t>
      </w:r>
      <w:r w:rsidRPr="00A51CF8">
        <w:rPr>
          <w:vertAlign w:val="superscript"/>
        </w:rPr>
        <w:t>-</w:t>
      </w:r>
      <w:r w:rsidRPr="00322570">
        <w:t>) into an excited state where it can make a transition from the valence band of the TiO</w:t>
      </w:r>
      <w:r w:rsidRPr="00695563">
        <w:rPr>
          <w:vertAlign w:val="subscript"/>
        </w:rPr>
        <w:t>2</w:t>
      </w:r>
      <w:r w:rsidRPr="00322570">
        <w:t xml:space="preserve"> to the conduction band (CB). This energy band gap tra</w:t>
      </w:r>
      <w:r w:rsidRPr="00322570">
        <w:t>n</w:t>
      </w:r>
      <w:r w:rsidRPr="00322570">
        <w:t>sition generates a vacancy in the valence band (VB) known as a positively charged hole (h</w:t>
      </w:r>
      <w:r w:rsidRPr="00A51CF8">
        <w:rPr>
          <w:vertAlign w:val="superscript"/>
        </w:rPr>
        <w:t>+</w:t>
      </w:r>
      <w:r w:rsidRPr="00322570">
        <w:t xml:space="preserve">). This photo-induced charge separation can then propagate in one of </w:t>
      </w:r>
      <w:r w:rsidRPr="00322570">
        <w:lastRenderedPageBreak/>
        <w:t>two ways:  the e</w:t>
      </w:r>
      <w:r w:rsidRPr="00A51CF8">
        <w:rPr>
          <w:vertAlign w:val="superscript"/>
        </w:rPr>
        <w:t>-</w:t>
      </w:r>
      <w:r w:rsidRPr="00322570">
        <w:t xml:space="preserve"> and h</w:t>
      </w:r>
      <w:r w:rsidRPr="00A51CF8">
        <w:rPr>
          <w:vertAlign w:val="superscript"/>
        </w:rPr>
        <w:t>+</w:t>
      </w:r>
      <w:r w:rsidRPr="00322570">
        <w:t xml:space="preserve"> migrate to the surface and react with adsorbed species in reduction/ oxidation (redox) reactions, or recombination occurs and the excess energy is dissipated </w:t>
      </w:r>
      <w:proofErr w:type="spellStart"/>
      <w:r w:rsidRPr="00322570">
        <w:t>radiatively</w:t>
      </w:r>
      <w:proofErr w:type="spellEnd"/>
      <w:r w:rsidRPr="00322570">
        <w:t xml:space="preserve"> or non-</w:t>
      </w:r>
      <w:proofErr w:type="spellStart"/>
      <w:r w:rsidRPr="00322570">
        <w:t>radiatively</w:t>
      </w:r>
      <w:proofErr w:type="spellEnd"/>
      <w:r w:rsidRPr="00322570">
        <w:t>. The effective charge separation and prevention of e</w:t>
      </w:r>
      <w:r w:rsidRPr="00A51CF8">
        <w:rPr>
          <w:vertAlign w:val="superscript"/>
        </w:rPr>
        <w:t>-</w:t>
      </w:r>
      <w:r w:rsidRPr="00322570">
        <w:t xml:space="preserve"> and h</w:t>
      </w:r>
      <w:r w:rsidRPr="00A51CF8">
        <w:rPr>
          <w:vertAlign w:val="superscript"/>
        </w:rPr>
        <w:t>+</w:t>
      </w:r>
      <w:r w:rsidRPr="00322570">
        <w:t xml:space="preserve"> recombin</w:t>
      </w:r>
      <w:r w:rsidRPr="00322570">
        <w:t>a</w:t>
      </w:r>
      <w:r w:rsidRPr="00322570">
        <w:t>tion, as well as the increase in the absorption by TiO</w:t>
      </w:r>
      <w:r w:rsidRPr="00695563">
        <w:rPr>
          <w:vertAlign w:val="subscript"/>
        </w:rPr>
        <w:t>2</w:t>
      </w:r>
      <w:r w:rsidRPr="00322570">
        <w:t xml:space="preserve"> are crucial to increasing its photocatalytic activity.</w:t>
      </w:r>
    </w:p>
    <w:p w:rsidR="00614F5A" w:rsidRPr="00322570" w:rsidRDefault="00614F5A" w:rsidP="00614F5A">
      <w:pPr>
        <w:pStyle w:val="TAMainText"/>
      </w:pPr>
      <w:r w:rsidRPr="00322570">
        <w:t xml:space="preserve"> Tuning the physical properties of TiO</w:t>
      </w:r>
      <w:r w:rsidRPr="00695563">
        <w:rPr>
          <w:vertAlign w:val="subscript"/>
        </w:rPr>
        <w:t>2</w:t>
      </w:r>
      <w:r w:rsidRPr="00322570">
        <w:t xml:space="preserve"> can be achieved via techniques such as doping or surface modification. The efficiency of the modified catalyst can be increased by either: introducing trap sites to prevent the recombin</w:t>
      </w:r>
      <w:r w:rsidRPr="00322570">
        <w:t>a</w:t>
      </w:r>
      <w:r w:rsidRPr="00322570">
        <w:t>tion of excited charge carriers responsible for redox rea</w:t>
      </w:r>
      <w:r w:rsidRPr="00322570">
        <w:t>c</w:t>
      </w:r>
      <w:r w:rsidRPr="00322570">
        <w:t xml:space="preserve">tions with </w:t>
      </w:r>
      <w:proofErr w:type="spellStart"/>
      <w:r w:rsidRPr="00322570">
        <w:t>adsorbates</w:t>
      </w:r>
      <w:proofErr w:type="spellEnd"/>
      <w:r w:rsidRPr="00322570">
        <w:t xml:space="preserve"> on its surface; extending its optical response into the visible spectrum; a combination of both.</w:t>
      </w:r>
      <w:r w:rsidRPr="00A51CF8">
        <w:rPr>
          <w:vertAlign w:val="superscript"/>
        </w:rPr>
        <w:t>22</w:t>
      </w:r>
      <w:proofErr w:type="gramStart"/>
      <w:r w:rsidRPr="00A51CF8">
        <w:rPr>
          <w:vertAlign w:val="superscript"/>
        </w:rPr>
        <w:t>,23</w:t>
      </w:r>
      <w:proofErr w:type="gramEnd"/>
    </w:p>
    <w:p w:rsidR="00614F5A" w:rsidRPr="00EF7427" w:rsidRDefault="00614F5A" w:rsidP="00614F5A">
      <w:pPr>
        <w:pStyle w:val="TAMainText"/>
        <w:rPr>
          <w:vertAlign w:val="subscript"/>
        </w:rPr>
      </w:pPr>
      <w:r w:rsidRPr="00322570">
        <w:t>Surface modification with some transition metal nanopa</w:t>
      </w:r>
      <w:r w:rsidRPr="00322570">
        <w:t>r</w:t>
      </w:r>
      <w:r w:rsidRPr="00322570">
        <w:t>ticles such as those of Ag and Au are known to exhibit distinct absorption peaks due to the localized surface plasmon resonance (LSPR). This has been reported to increase the absorption cross-section of the catalyst into the visible region and increase its overall activity.</w:t>
      </w:r>
      <w:r w:rsidRPr="00A51CF8">
        <w:rPr>
          <w:vertAlign w:val="superscript"/>
        </w:rPr>
        <w:t>24–26</w:t>
      </w:r>
    </w:p>
    <w:p w:rsidR="00614F5A" w:rsidRDefault="00614F5A" w:rsidP="00614F5A">
      <w:pPr>
        <w:pStyle w:val="TAMainText"/>
        <w:rPr>
          <w:vertAlign w:val="superscript"/>
        </w:rPr>
      </w:pPr>
      <w:r w:rsidRPr="00322570">
        <w:t>LSPR can be described as the collective excitation of free electrons around a fixed positive ion center resulting in an increased absorption of light at the resonance freque</w:t>
      </w:r>
      <w:r w:rsidRPr="00322570">
        <w:t>n</w:t>
      </w:r>
      <w:r w:rsidRPr="00322570">
        <w:t>cy of the oscillation</w:t>
      </w:r>
      <w:r w:rsidRPr="00A51CF8">
        <w:rPr>
          <w:vertAlign w:val="superscript"/>
        </w:rPr>
        <w:t>27</w:t>
      </w:r>
      <w:r w:rsidRPr="00322570">
        <w:t xml:space="preserve"> and is reported to be highly depen</w:t>
      </w:r>
      <w:r w:rsidRPr="00322570">
        <w:t>d</w:t>
      </w:r>
      <w:r w:rsidRPr="00322570">
        <w:t>ent on the size, morphology, distribution and the local environment of the NPs</w:t>
      </w:r>
      <w:r>
        <w:t>.</w:t>
      </w:r>
      <w:r w:rsidRPr="00A51CF8">
        <w:rPr>
          <w:vertAlign w:val="superscript"/>
        </w:rPr>
        <w:t>28</w:t>
      </w:r>
      <w:r>
        <w:rPr>
          <w:vertAlign w:val="subscript"/>
        </w:rPr>
        <w:t xml:space="preserve"> </w:t>
      </w:r>
      <w:r w:rsidRPr="00F5516A">
        <w:rPr>
          <w:u w:val="single"/>
        </w:rPr>
        <w:t xml:space="preserve">In the case of </w:t>
      </w:r>
      <w:proofErr w:type="spellStart"/>
      <w:r w:rsidRPr="00F5516A">
        <w:rPr>
          <w:u w:val="single"/>
        </w:rPr>
        <w:t>Pd</w:t>
      </w:r>
      <w:proofErr w:type="spellEnd"/>
      <w:r w:rsidRPr="00F5516A">
        <w:rPr>
          <w:u w:val="single"/>
        </w:rPr>
        <w:t xml:space="preserve">, Leong et al. have shown that there is a shift of the </w:t>
      </w:r>
      <w:proofErr w:type="spellStart"/>
      <w:r w:rsidRPr="00F5516A">
        <w:rPr>
          <w:u w:val="single"/>
        </w:rPr>
        <w:t>Pd</w:t>
      </w:r>
      <w:proofErr w:type="spellEnd"/>
      <w:r w:rsidRPr="00F5516A">
        <w:rPr>
          <w:u w:val="single"/>
        </w:rPr>
        <w:t xml:space="preserve"> LSPR to the vi</w:t>
      </w:r>
      <w:r w:rsidRPr="00F5516A">
        <w:rPr>
          <w:u w:val="single"/>
        </w:rPr>
        <w:t>s</w:t>
      </w:r>
      <w:r w:rsidRPr="00F5516A">
        <w:rPr>
          <w:u w:val="single"/>
        </w:rPr>
        <w:t xml:space="preserve">ible for </w:t>
      </w:r>
      <w:proofErr w:type="spellStart"/>
      <w:r w:rsidRPr="00F5516A">
        <w:rPr>
          <w:u w:val="single"/>
        </w:rPr>
        <w:t>Pd</w:t>
      </w:r>
      <w:proofErr w:type="spellEnd"/>
      <w:r w:rsidRPr="00F5516A">
        <w:rPr>
          <w:u w:val="single"/>
        </w:rPr>
        <w:t xml:space="preserve"> particles that are in the order of 20-30nm, </w:t>
      </w:r>
      <w:r w:rsidRPr="00F5516A">
        <w:rPr>
          <w:u w:val="single"/>
        </w:rPr>
        <w:lastRenderedPageBreak/>
        <w:t xml:space="preserve">this shift in plasmon position over that of free standing </w:t>
      </w:r>
      <w:proofErr w:type="spellStart"/>
      <w:r w:rsidRPr="00F5516A">
        <w:rPr>
          <w:u w:val="single"/>
        </w:rPr>
        <w:t>Pd</w:t>
      </w:r>
      <w:proofErr w:type="spellEnd"/>
      <w:r w:rsidRPr="00F5516A">
        <w:rPr>
          <w:u w:val="single"/>
        </w:rPr>
        <w:t xml:space="preserve"> particles is associated with an interaction with the su</w:t>
      </w:r>
      <w:r w:rsidRPr="00F5516A">
        <w:rPr>
          <w:u w:val="single"/>
        </w:rPr>
        <w:t>p</w:t>
      </w:r>
      <w:r w:rsidRPr="00F5516A">
        <w:rPr>
          <w:u w:val="single"/>
        </w:rPr>
        <w:t>port material.</w:t>
      </w:r>
      <w:r w:rsidRPr="00F5516A">
        <w:rPr>
          <w:u w:val="single"/>
          <w:vertAlign w:val="superscript"/>
        </w:rPr>
        <w:t>29</w:t>
      </w:r>
    </w:p>
    <w:p w:rsidR="00614F5A" w:rsidRPr="00F5516A" w:rsidRDefault="00614F5A" w:rsidP="00614F5A">
      <w:pPr>
        <w:pStyle w:val="TAMainText"/>
        <w:rPr>
          <w:u w:val="single"/>
        </w:rPr>
      </w:pPr>
      <w:r w:rsidRPr="00322570">
        <w:t>To date many TiO</w:t>
      </w:r>
      <w:r w:rsidRPr="00695563">
        <w:rPr>
          <w:vertAlign w:val="subscript"/>
        </w:rPr>
        <w:t>2</w:t>
      </w:r>
      <w:r w:rsidRPr="00322570">
        <w:t xml:space="preserve"> based photocatalysts have been deve</w:t>
      </w:r>
      <w:r w:rsidRPr="00322570">
        <w:t>l</w:t>
      </w:r>
      <w:r w:rsidRPr="00322570">
        <w:t>o</w:t>
      </w:r>
      <w:r>
        <w:t xml:space="preserve">ped and tested in dye </w:t>
      </w:r>
      <w:proofErr w:type="spellStart"/>
      <w:r>
        <w:t>decoloriz</w:t>
      </w:r>
      <w:r w:rsidRPr="00322570">
        <w:t>ation</w:t>
      </w:r>
      <w:proofErr w:type="spellEnd"/>
      <w:r w:rsidRPr="00322570">
        <w:t xml:space="preserve"> experiments</w:t>
      </w:r>
      <w:r>
        <w:t>.</w:t>
      </w:r>
      <w:r>
        <w:rPr>
          <w:vertAlign w:val="superscript"/>
        </w:rPr>
        <w:t>30</w:t>
      </w:r>
      <w:r w:rsidRPr="00322570">
        <w:t xml:space="preserve"> </w:t>
      </w:r>
      <w:proofErr w:type="gramStart"/>
      <w:r w:rsidRPr="00322570">
        <w:t>One</w:t>
      </w:r>
      <w:proofErr w:type="gramEnd"/>
      <w:r w:rsidRPr="00322570">
        <w:t xml:space="preserve"> of the most common ways to present the results of dye degradation experiments is via half-life of </w:t>
      </w:r>
      <w:proofErr w:type="spellStart"/>
      <w:r w:rsidRPr="00322570">
        <w:t>decolorization</w:t>
      </w:r>
      <w:proofErr w:type="spellEnd"/>
      <w:r w:rsidRPr="00322570">
        <w:t xml:space="preserve"> (t</w:t>
      </w:r>
      <w:r w:rsidRPr="00A51CF8">
        <w:rPr>
          <w:vertAlign w:val="subscript"/>
        </w:rPr>
        <w:t>1/2</w:t>
      </w:r>
      <w:r w:rsidRPr="00322570">
        <w:t>) or the reaction rate. The lowest t</w:t>
      </w:r>
      <w:r w:rsidRPr="00A51CF8">
        <w:rPr>
          <w:vertAlign w:val="subscript"/>
        </w:rPr>
        <w:t>1/2</w:t>
      </w:r>
      <w:r>
        <w:rPr>
          <w:vertAlign w:val="subscript"/>
        </w:rPr>
        <w:t xml:space="preserve"> </w:t>
      </w:r>
      <w:r w:rsidRPr="00322570">
        <w:t>values reported for any TiO</w:t>
      </w:r>
      <w:r w:rsidRPr="00695563">
        <w:rPr>
          <w:vertAlign w:val="subscript"/>
        </w:rPr>
        <w:t>2</w:t>
      </w:r>
      <w:r w:rsidRPr="00322570">
        <w:t xml:space="preserve"> based catalyst, to the best of our knowledge are limited to around </w:t>
      </w:r>
      <w:r>
        <w:t>7</w:t>
      </w:r>
      <w:r w:rsidRPr="00322570">
        <w:t xml:space="preserve"> minutes under solar and visible light irradiation</w:t>
      </w:r>
      <w:r>
        <w:t>.</w:t>
      </w:r>
      <w:r w:rsidRPr="00A51CF8">
        <w:rPr>
          <w:vertAlign w:val="superscript"/>
        </w:rPr>
        <w:t>3</w:t>
      </w:r>
      <w:r>
        <w:rPr>
          <w:vertAlign w:val="superscript"/>
        </w:rPr>
        <w:t>1</w:t>
      </w:r>
      <w:proofErr w:type="gramStart"/>
      <w:r w:rsidRPr="00A51CF8">
        <w:rPr>
          <w:vertAlign w:val="superscript"/>
        </w:rPr>
        <w:t>,3</w:t>
      </w:r>
      <w:r>
        <w:rPr>
          <w:vertAlign w:val="superscript"/>
        </w:rPr>
        <w:t>2</w:t>
      </w:r>
      <w:proofErr w:type="gramEnd"/>
      <w:r w:rsidRPr="00322570">
        <w:t xml:space="preserve"> This work reports the synthesis and characterization of a photocatalyst composed of pallad</w:t>
      </w:r>
      <w:r w:rsidRPr="00322570">
        <w:t>i</w:t>
      </w:r>
      <w:r w:rsidRPr="00322570">
        <w:t>um nanoparticles (NPs) supported on</w:t>
      </w:r>
      <w:r>
        <w:t xml:space="preserve"> </w:t>
      </w:r>
      <w:r w:rsidRPr="00322570">
        <w:t>TiO</w:t>
      </w:r>
      <w:r w:rsidRPr="00695563">
        <w:rPr>
          <w:vertAlign w:val="subscript"/>
        </w:rPr>
        <w:t>2</w:t>
      </w:r>
      <w:r w:rsidRPr="00322570">
        <w:t xml:space="preserve"> (Pd:TiO</w:t>
      </w:r>
      <w:r w:rsidRPr="00695563">
        <w:rPr>
          <w:vertAlign w:val="subscript"/>
        </w:rPr>
        <w:t>2</w:t>
      </w:r>
      <w:r w:rsidRPr="00322570">
        <w:t xml:space="preserve">) </w:t>
      </w:r>
      <w:r>
        <w:t xml:space="preserve">and </w:t>
      </w:r>
      <w:r w:rsidRPr="00322570">
        <w:t>tested in the degradation of rhodamine b dye (RhB) under solar, UV and visible light irradiation. A 19-fold increase in activity compared with untreated TiO2 was observed for the new Pd</w:t>
      </w:r>
      <w:proofErr w:type="gramStart"/>
      <w:r w:rsidRPr="00322570">
        <w:t>:TiO</w:t>
      </w:r>
      <w:r w:rsidRPr="00695563">
        <w:rPr>
          <w:vertAlign w:val="subscript"/>
        </w:rPr>
        <w:t>2</w:t>
      </w:r>
      <w:proofErr w:type="gramEnd"/>
      <w:r w:rsidRPr="00322570">
        <w:t xml:space="preserve"> photocatalyst under solar light irr</w:t>
      </w:r>
      <w:r w:rsidRPr="00322570">
        <w:t>a</w:t>
      </w:r>
      <w:r w:rsidRPr="00322570">
        <w:t>diation</w:t>
      </w:r>
      <w:r>
        <w:t xml:space="preserve"> </w:t>
      </w:r>
      <w:r w:rsidRPr="00F5516A">
        <w:rPr>
          <w:u w:val="single"/>
        </w:rPr>
        <w:t>where a significant increase in activity was o</w:t>
      </w:r>
      <w:r w:rsidRPr="00F5516A">
        <w:rPr>
          <w:u w:val="single"/>
        </w:rPr>
        <w:t>b</w:t>
      </w:r>
      <w:r w:rsidRPr="00F5516A">
        <w:rPr>
          <w:u w:val="single"/>
        </w:rPr>
        <w:t>served under visible light irradiation only.</w:t>
      </w:r>
    </w:p>
    <w:p w:rsidR="00614F5A" w:rsidRPr="00F5516A" w:rsidRDefault="00614F5A" w:rsidP="00614F5A">
      <w:pPr>
        <w:pStyle w:val="TAMainText"/>
        <w:rPr>
          <w:u w:val="single"/>
        </w:rPr>
      </w:pPr>
      <w:r w:rsidRPr="00F5516A">
        <w:rPr>
          <w:u w:val="single"/>
        </w:rPr>
        <w:t>Palladium was chosen as the metal for deposition on TiO</w:t>
      </w:r>
      <w:r w:rsidRPr="00F5516A">
        <w:rPr>
          <w:u w:val="single"/>
          <w:vertAlign w:val="subscript"/>
        </w:rPr>
        <w:t>2</w:t>
      </w:r>
      <w:r w:rsidRPr="00F5516A">
        <w:rPr>
          <w:u w:val="single"/>
        </w:rPr>
        <w:t xml:space="preserve"> as it is one of the most versatile metals at catalyzing chemical reactions</w:t>
      </w:r>
      <w:r w:rsidRPr="00F5516A">
        <w:rPr>
          <w:u w:val="single"/>
          <w:vertAlign w:val="superscript"/>
        </w:rPr>
        <w:t>33</w:t>
      </w:r>
      <w:r w:rsidRPr="00F5516A">
        <w:rPr>
          <w:u w:val="single"/>
        </w:rPr>
        <w:t xml:space="preserve"> and shows excellent catalytic activity compared with Ag and Au.</w:t>
      </w:r>
      <w:r w:rsidRPr="00F5516A">
        <w:rPr>
          <w:u w:val="single"/>
          <w:vertAlign w:val="superscript"/>
        </w:rPr>
        <w:t>34</w:t>
      </w:r>
      <w:r w:rsidRPr="00F5516A">
        <w:rPr>
          <w:u w:val="single"/>
        </w:rPr>
        <w:t xml:space="preserve"> Furthermore, the photocat</w:t>
      </w:r>
      <w:r w:rsidRPr="00F5516A">
        <w:rPr>
          <w:u w:val="single"/>
        </w:rPr>
        <w:t>a</w:t>
      </w:r>
      <w:r w:rsidRPr="00F5516A">
        <w:rPr>
          <w:u w:val="single"/>
        </w:rPr>
        <w:t xml:space="preserve">lytic degradation of organic compounds in the presence of supported </w:t>
      </w:r>
      <w:proofErr w:type="spellStart"/>
      <w:r w:rsidRPr="00F5516A">
        <w:rPr>
          <w:u w:val="single"/>
        </w:rPr>
        <w:t>Pd</w:t>
      </w:r>
      <w:proofErr w:type="spellEnd"/>
      <w:r w:rsidRPr="00F5516A">
        <w:rPr>
          <w:u w:val="single"/>
        </w:rPr>
        <w:t xml:space="preserve"> nanoparticles has not thus far been as well reported compared with supported Au or Ag, hence the motivation to add research to the body of work in this field.</w:t>
      </w:r>
    </w:p>
    <w:p w:rsidR="00614F5A" w:rsidRDefault="00614F5A" w:rsidP="00614F5A">
      <w:pPr>
        <w:pStyle w:val="TAMainText"/>
        <w:rPr>
          <w:noProof/>
          <w:lang w:val="en-GB" w:eastAsia="en-GB"/>
        </w:rPr>
      </w:pPr>
      <w:r w:rsidRPr="00322570">
        <w:t>The Pd</w:t>
      </w:r>
      <w:proofErr w:type="gramStart"/>
      <w:r w:rsidRPr="00322570">
        <w:t>:TiO</w:t>
      </w:r>
      <w:r w:rsidRPr="00695563">
        <w:rPr>
          <w:vertAlign w:val="subscript"/>
        </w:rPr>
        <w:t>2</w:t>
      </w:r>
      <w:proofErr w:type="gramEnd"/>
      <w:r w:rsidRPr="00322570">
        <w:t xml:space="preserve"> catalyst was prepared via the photochemical reduction of </w:t>
      </w:r>
      <w:proofErr w:type="spellStart"/>
      <w:r w:rsidRPr="00322570">
        <w:t>Pd</w:t>
      </w:r>
      <w:proofErr w:type="spellEnd"/>
      <w:r w:rsidRPr="00322570">
        <w:t xml:space="preserve"> metal from a PdCl</w:t>
      </w:r>
      <w:r w:rsidRPr="00695563">
        <w:rPr>
          <w:vertAlign w:val="subscript"/>
        </w:rPr>
        <w:t>2</w:t>
      </w:r>
      <w:r w:rsidRPr="00322570">
        <w:t xml:space="preserve"> solution onto co</w:t>
      </w:r>
      <w:r w:rsidRPr="00322570">
        <w:t>m</w:t>
      </w:r>
      <w:r w:rsidRPr="00322570">
        <w:t>mercially available TiO2 (P25) under UV irradiation (see SI for details). The BET (</w:t>
      </w:r>
      <w:proofErr w:type="spellStart"/>
      <w:r w:rsidRPr="00322570">
        <w:t>Brunauer</w:t>
      </w:r>
      <w:proofErr w:type="spellEnd"/>
      <w:r w:rsidRPr="00322570">
        <w:t xml:space="preserve">-Emmet-Teller) surface area was measured </w:t>
      </w:r>
      <w:proofErr w:type="gramStart"/>
      <w:r w:rsidRPr="00322570">
        <w:t>at 52 m</w:t>
      </w:r>
      <w:r w:rsidRPr="00695563">
        <w:rPr>
          <w:vertAlign w:val="superscript"/>
        </w:rPr>
        <w:t>2</w:t>
      </w:r>
      <w:r w:rsidRPr="00322570">
        <w:t>/g</w:t>
      </w:r>
      <w:proofErr w:type="gramEnd"/>
      <w:r w:rsidRPr="00322570">
        <w:t xml:space="preserve"> and the </w:t>
      </w:r>
      <w:proofErr w:type="spellStart"/>
      <w:r w:rsidRPr="00322570">
        <w:t>Pd</w:t>
      </w:r>
      <w:proofErr w:type="spellEnd"/>
      <w:r w:rsidRPr="00322570">
        <w:t xml:space="preserve"> loading was determined via ICP (inductively coupled plasma) to be 0.5 </w:t>
      </w:r>
      <w:proofErr w:type="spellStart"/>
      <w:r w:rsidRPr="00322570">
        <w:t>wt</w:t>
      </w:r>
      <w:proofErr w:type="spellEnd"/>
      <w:r w:rsidRPr="00322570">
        <w:t xml:space="preserve"> %. The deposited NPs were confirmed to be metallic </w:t>
      </w:r>
      <w:proofErr w:type="spellStart"/>
      <w:r w:rsidRPr="00322570">
        <w:t>Pd</w:t>
      </w:r>
      <w:proofErr w:type="spellEnd"/>
      <w:r w:rsidRPr="00322570">
        <w:t xml:space="preserve"> by XPS and ranging in size from 1.8 nm to 3.0 nm as determined through TEM analysis. The distribution of the </w:t>
      </w:r>
      <w:proofErr w:type="spellStart"/>
      <w:r w:rsidRPr="00322570">
        <w:t>Pd</w:t>
      </w:r>
      <w:proofErr w:type="spellEnd"/>
      <w:r w:rsidRPr="00322570">
        <w:t xml:space="preserve"> NPs and the morphology of the catalyst are shown in </w:t>
      </w:r>
      <w:r w:rsidRPr="00B42900">
        <w:rPr>
          <w:b/>
        </w:rPr>
        <w:t>figure 1</w:t>
      </w:r>
      <w:r w:rsidRPr="00322570">
        <w:t>.</w:t>
      </w:r>
    </w:p>
    <w:p w:rsidR="00614F5A" w:rsidRPr="00695563" w:rsidRDefault="00614F5A" w:rsidP="00614F5A">
      <w:pPr>
        <w:pStyle w:val="TAMainText"/>
        <w:jc w:val="center"/>
      </w:pPr>
      <w:r>
        <w:rPr>
          <w:noProof/>
          <w:lang w:val="en-GB" w:eastAsia="en-GB"/>
        </w:rPr>
        <w:drawing>
          <wp:inline distT="0" distB="0" distL="0" distR="0" wp14:anchorId="39DDBDE2" wp14:editId="0ACA4991">
            <wp:extent cx="3044825" cy="2033255"/>
            <wp:effectExtent l="0" t="0" r="3175" b="5715"/>
            <wp:docPr id="4" name="Picture 4" descr="C:\Users\exw449\Google Drive\PhD\Reports, papers, posters, images and presentations\Journal submissions\Dye degradation paper for ACS\Paper figures\JPEGs\al11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w449\Google Drive\PhD\Reports, papers, posters, images and presentations\Journal submissions\Dye degradation paper for ACS\Paper figures\JPEGs\al111-2.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825" cy="2033255"/>
                    </a:xfrm>
                    <a:prstGeom prst="rect">
                      <a:avLst/>
                    </a:prstGeom>
                    <a:noFill/>
                    <a:ln>
                      <a:noFill/>
                    </a:ln>
                  </pic:spPr>
                </pic:pic>
              </a:graphicData>
            </a:graphic>
          </wp:inline>
        </w:drawing>
      </w:r>
    </w:p>
    <w:p w:rsidR="00614F5A" w:rsidRDefault="00614F5A" w:rsidP="00614F5A">
      <w:pPr>
        <w:pStyle w:val="VAFigure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TEM micrographs of the Pd</w:t>
      </w:r>
      <w:proofErr w:type="gramStart"/>
      <w:r>
        <w:t>:TiO</w:t>
      </w:r>
      <w:r>
        <w:rPr>
          <w:vertAlign w:val="subscript"/>
        </w:rPr>
        <w:t>2</w:t>
      </w:r>
      <w:proofErr w:type="gramEnd"/>
      <w:r>
        <w:t xml:space="preserve"> photocatalyst showing </w:t>
      </w:r>
      <w:proofErr w:type="spellStart"/>
      <w:r>
        <w:t>Pd</w:t>
      </w:r>
      <w:proofErr w:type="spellEnd"/>
      <w:r>
        <w:t xml:space="preserve"> NPs as hemispherical artefacts distributed on the TiO</w:t>
      </w:r>
      <w:r>
        <w:rPr>
          <w:vertAlign w:val="subscript"/>
        </w:rPr>
        <w:t>2</w:t>
      </w:r>
      <w:r>
        <w:t xml:space="preserve"> support. The </w:t>
      </w:r>
      <w:proofErr w:type="spellStart"/>
      <w:r>
        <w:t>Pd</w:t>
      </w:r>
      <w:proofErr w:type="spellEnd"/>
      <w:r>
        <w:t xml:space="preserve"> is well dispersed in a range of sizes to a maximum of 3 nm</w:t>
      </w:r>
    </w:p>
    <w:p w:rsidR="00614F5A" w:rsidRPr="00F5516A" w:rsidRDefault="00614F5A" w:rsidP="00614F5A">
      <w:pPr>
        <w:pStyle w:val="TAMainText"/>
        <w:rPr>
          <w:u w:val="single"/>
        </w:rPr>
      </w:pPr>
      <w:r w:rsidRPr="00322570">
        <w:lastRenderedPageBreak/>
        <w:t xml:space="preserve">The </w:t>
      </w:r>
      <w:proofErr w:type="spellStart"/>
      <w:r w:rsidRPr="00322570">
        <w:t>Pd</w:t>
      </w:r>
      <w:proofErr w:type="spellEnd"/>
      <w:r w:rsidRPr="00322570">
        <w:t xml:space="preserve"> nanoparticles are well dispersed on the P25 al</w:t>
      </w:r>
      <w:r w:rsidRPr="00322570">
        <w:t>t</w:t>
      </w:r>
      <w:r w:rsidRPr="00322570">
        <w:t>hough the distribution appears to b</w:t>
      </w:r>
      <w:r>
        <w:t xml:space="preserve">e uneven across the surface. </w:t>
      </w:r>
      <w:r w:rsidRPr="00F5516A">
        <w:rPr>
          <w:u w:val="single"/>
        </w:rPr>
        <w:t xml:space="preserve">Crystallographic data from these samples were unable to shed light regarding the crystal structure of the </w:t>
      </w:r>
      <w:proofErr w:type="spellStart"/>
      <w:r w:rsidRPr="00F5516A">
        <w:rPr>
          <w:u w:val="single"/>
        </w:rPr>
        <w:t>Pd</w:t>
      </w:r>
      <w:proofErr w:type="spellEnd"/>
      <w:r w:rsidRPr="00F5516A">
        <w:rPr>
          <w:u w:val="single"/>
        </w:rPr>
        <w:t xml:space="preserve"> as the metal loading and supported NP sizes were such that they were not detected via XRD. No changes were observed to the supporting material indicating that the photo-deposition procedure did not interfere with the structure of P25.  </w:t>
      </w:r>
    </w:p>
    <w:p w:rsidR="00614F5A" w:rsidRDefault="00614F5A" w:rsidP="00614F5A">
      <w:pPr>
        <w:pStyle w:val="TAMainText"/>
      </w:pPr>
      <w:r w:rsidRPr="00F5516A">
        <w:rPr>
          <w:u w:val="single"/>
        </w:rPr>
        <w:t>Diffuse reflectance (DR) analysis measured a significant increase in light absorption in the visible region for the Pd</w:t>
      </w:r>
      <w:proofErr w:type="gramStart"/>
      <w:r w:rsidRPr="00F5516A">
        <w:rPr>
          <w:u w:val="single"/>
        </w:rPr>
        <w:t>:TiO2</w:t>
      </w:r>
      <w:proofErr w:type="gramEnd"/>
      <w:r w:rsidRPr="00F5516A">
        <w:rPr>
          <w:u w:val="single"/>
        </w:rPr>
        <w:t xml:space="preserve"> compared with that of P25 as shown in figure 2. An 8% increase in light harvesting capability of the cat</w:t>
      </w:r>
      <w:r w:rsidRPr="00F5516A">
        <w:rPr>
          <w:u w:val="single"/>
        </w:rPr>
        <w:t>a</w:t>
      </w:r>
      <w:r w:rsidRPr="00F5516A">
        <w:rPr>
          <w:u w:val="single"/>
        </w:rPr>
        <w:t>lyst was calculated from the normalized spectra, which highlighted the change in the absorption profile of the new catalyst and where no anamorphic effects were o</w:t>
      </w:r>
      <w:r w:rsidRPr="00F5516A">
        <w:rPr>
          <w:u w:val="single"/>
        </w:rPr>
        <w:t>b</w:t>
      </w:r>
      <w:r w:rsidR="00F5516A" w:rsidRPr="00F5516A">
        <w:rPr>
          <w:u w:val="single"/>
        </w:rPr>
        <w:t>served after normalization</w:t>
      </w:r>
      <w:r w:rsidR="00F5516A">
        <w:t>.</w:t>
      </w:r>
      <w:r>
        <w:t xml:space="preserve"> </w:t>
      </w:r>
    </w:p>
    <w:p w:rsidR="00614F5A" w:rsidRPr="003758A3" w:rsidRDefault="00614F5A" w:rsidP="00614F5A">
      <w:pPr>
        <w:pStyle w:val="TAMainText"/>
      </w:pPr>
    </w:p>
    <w:p w:rsidR="00614F5A" w:rsidRDefault="00614F5A" w:rsidP="00614F5A">
      <w:pPr>
        <w:pStyle w:val="TAMainText"/>
      </w:pPr>
      <w:r w:rsidRPr="00D3500C">
        <w:rPr>
          <w:noProof/>
          <w:lang w:val="en-GB" w:eastAsia="en-GB"/>
        </w:rPr>
        <w:drawing>
          <wp:inline distT="0" distB="0" distL="0" distR="0" wp14:anchorId="0D74F793" wp14:editId="5B4A8935">
            <wp:extent cx="2990850" cy="3814861"/>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090" cy="3818994"/>
                    </a:xfrm>
                    <a:prstGeom prst="rect">
                      <a:avLst/>
                    </a:prstGeom>
                    <a:noFill/>
                    <a:ln>
                      <a:noFill/>
                    </a:ln>
                    <a:extLst/>
                  </pic:spPr>
                </pic:pic>
              </a:graphicData>
            </a:graphic>
          </wp:inline>
        </w:drawing>
      </w:r>
    </w:p>
    <w:p w:rsidR="00614F5A" w:rsidRDefault="00614F5A" w:rsidP="00614F5A">
      <w:pPr>
        <w:pStyle w:val="VAFigureCaption"/>
      </w:pPr>
      <w:r>
        <w:t xml:space="preserve">Figure </w:t>
      </w:r>
      <w:r>
        <w:fldChar w:fldCharType="begin"/>
      </w:r>
      <w:r>
        <w:instrText xml:space="preserve"> SEQ Figure \* ARABIC </w:instrText>
      </w:r>
      <w:r>
        <w:fldChar w:fldCharType="separate"/>
      </w:r>
      <w:r>
        <w:rPr>
          <w:noProof/>
        </w:rPr>
        <w:t>2</w:t>
      </w:r>
      <w:r>
        <w:rPr>
          <w:noProof/>
        </w:rPr>
        <w:fldChar w:fldCharType="end"/>
      </w:r>
      <w:r>
        <w:rPr>
          <w:noProof/>
        </w:rPr>
        <w:t xml:space="preserve"> </w:t>
      </w:r>
      <w:r w:rsidRPr="00F5516A">
        <w:rPr>
          <w:noProof/>
          <w:u w:val="single"/>
        </w:rPr>
        <w:t>Normalized absorption specrtra of DR measurements of Pd:TiO</w:t>
      </w:r>
      <w:r w:rsidRPr="00F5516A">
        <w:rPr>
          <w:noProof/>
          <w:u w:val="single"/>
          <w:vertAlign w:val="subscript"/>
        </w:rPr>
        <w:t>2</w:t>
      </w:r>
      <w:r w:rsidRPr="00F5516A">
        <w:rPr>
          <w:noProof/>
          <w:u w:val="single"/>
        </w:rPr>
        <w:t xml:space="preserve"> compared</w:t>
      </w:r>
      <w:r>
        <w:rPr>
          <w:noProof/>
        </w:rPr>
        <w:t xml:space="preserve"> with P25 a) and energy band gap calculation from the Tauc plot b) where the extinction coefficient </w:t>
      </w:r>
      <w:r>
        <w:rPr>
          <w:rFonts w:ascii="Times New Roman" w:hAnsi="Times New Roman"/>
          <w:noProof/>
        </w:rPr>
        <w:t>α</w:t>
      </w:r>
      <w:r>
        <w:rPr>
          <w:noProof/>
        </w:rPr>
        <w:t xml:space="preserve"> is approximately the Kubelka-Munk function and is plotted against the energy of incident photons in eV</w:t>
      </w:r>
    </w:p>
    <w:p w:rsidR="00614F5A" w:rsidRDefault="00614F5A" w:rsidP="00614F5A">
      <w:pPr>
        <w:pStyle w:val="TAMainText"/>
      </w:pPr>
      <w:r w:rsidRPr="003758A3">
        <w:t>The onset of absorption for P25 is in agreement with that of the literature (~ 390 nm) and the band gap was est</w:t>
      </w:r>
      <w:r w:rsidRPr="003758A3">
        <w:t>i</w:t>
      </w:r>
      <w:r w:rsidRPr="003758A3">
        <w:t>mated to be 3.23 eV. In contrast to the sharp absorption of P25, the Pd</w:t>
      </w:r>
      <w:proofErr w:type="gramStart"/>
      <w:r w:rsidRPr="003758A3">
        <w:t>:TiO2</w:t>
      </w:r>
      <w:proofErr w:type="gramEnd"/>
      <w:r w:rsidRPr="003758A3">
        <w:t xml:space="preserve"> exhibits a broad absorption into the vi</w:t>
      </w:r>
      <w:r w:rsidRPr="003758A3">
        <w:t>s</w:t>
      </w:r>
      <w:r w:rsidRPr="003758A3">
        <w:t>ible region with the peak centered at 456 nm and an e</w:t>
      </w:r>
      <w:r w:rsidRPr="003758A3">
        <w:t>s</w:t>
      </w:r>
      <w:r w:rsidRPr="003758A3">
        <w:t xml:space="preserve">timated energy band gap of 3.19 eV. This lower value of the band gap is significant as it shows </w:t>
      </w:r>
      <w:r w:rsidRPr="003758A3">
        <w:lastRenderedPageBreak/>
        <w:t>that electron exc</w:t>
      </w:r>
      <w:r w:rsidRPr="003758A3">
        <w:t>i</w:t>
      </w:r>
      <w:r w:rsidRPr="003758A3">
        <w:t>tation within Pd</w:t>
      </w:r>
      <w:proofErr w:type="gramStart"/>
      <w:r w:rsidRPr="003758A3">
        <w:t>:TiO2</w:t>
      </w:r>
      <w:proofErr w:type="gramEnd"/>
      <w:r w:rsidRPr="003758A3">
        <w:t xml:space="preserve"> can occur at longer wavelengths compared with P25</w:t>
      </w:r>
    </w:p>
    <w:p w:rsidR="00614F5A" w:rsidRPr="00322570" w:rsidRDefault="00614F5A" w:rsidP="00614F5A">
      <w:pPr>
        <w:pStyle w:val="TAMainText"/>
      </w:pPr>
      <w:r w:rsidRPr="00322570">
        <w:t>In addition, a well-defined absorption peak observed du</w:t>
      </w:r>
      <w:r w:rsidRPr="00322570">
        <w:t>r</w:t>
      </w:r>
      <w:r w:rsidRPr="00322570">
        <w:t xml:space="preserve">ing diffuse reflectance measurements is a characteristic feature of the LSPR of certain metal NPs such as that of Au and Ag plasmons. The LSPR effects of </w:t>
      </w:r>
      <w:proofErr w:type="spellStart"/>
      <w:r w:rsidRPr="00322570">
        <w:t>Pd</w:t>
      </w:r>
      <w:proofErr w:type="spellEnd"/>
      <w:r w:rsidRPr="00322570">
        <w:t xml:space="preserve"> nanopart</w:t>
      </w:r>
      <w:r w:rsidRPr="00322570">
        <w:t>i</w:t>
      </w:r>
      <w:r w:rsidRPr="00322570">
        <w:t xml:space="preserve">cles is known, however, these studies have usually been confined to discrete nanoparticles and the LSPR effect of supported </w:t>
      </w:r>
      <w:proofErr w:type="spellStart"/>
      <w:r w:rsidRPr="00322570">
        <w:t>Pd</w:t>
      </w:r>
      <w:proofErr w:type="spellEnd"/>
      <w:r w:rsidRPr="00322570">
        <w:t xml:space="preserve"> is less well documented. The absorption peak measured for the Pd</w:t>
      </w:r>
      <w:proofErr w:type="gramStart"/>
      <w:r w:rsidRPr="00322570">
        <w:t>:TiO</w:t>
      </w:r>
      <w:r w:rsidRPr="00695563">
        <w:rPr>
          <w:vertAlign w:val="subscript"/>
        </w:rPr>
        <w:t>2</w:t>
      </w:r>
      <w:proofErr w:type="gramEnd"/>
      <w:r w:rsidRPr="00322570">
        <w:t xml:space="preserve"> catalyst is attributed to the LSPR effect of the </w:t>
      </w:r>
      <w:proofErr w:type="spellStart"/>
      <w:r w:rsidRPr="00322570">
        <w:t>Pd</w:t>
      </w:r>
      <w:proofErr w:type="spellEnd"/>
      <w:r w:rsidRPr="00322570">
        <w:t xml:space="preserve"> NPs and thought to be the source of the increase in optical response of the system.</w:t>
      </w:r>
    </w:p>
    <w:p w:rsidR="00614F5A" w:rsidRPr="00322570" w:rsidRDefault="00614F5A" w:rsidP="00614F5A">
      <w:pPr>
        <w:pStyle w:val="TAMainText"/>
      </w:pPr>
      <w:r w:rsidRPr="00322570">
        <w:t>On account of the increased light harvesting potential of Pd</w:t>
      </w:r>
      <w:proofErr w:type="gramStart"/>
      <w:r w:rsidRPr="00322570">
        <w:t>:TiO</w:t>
      </w:r>
      <w:r w:rsidRPr="00695563">
        <w:rPr>
          <w:vertAlign w:val="subscript"/>
        </w:rPr>
        <w:t>2</w:t>
      </w:r>
      <w:proofErr w:type="gramEnd"/>
      <w:r w:rsidRPr="00322570">
        <w:t xml:space="preserve"> we investigated whether this directly translated to an increase in the photocatalytic efficiency of the sy</w:t>
      </w:r>
      <w:r w:rsidRPr="00322570">
        <w:t>s</w:t>
      </w:r>
      <w:r w:rsidRPr="00322570">
        <w:t>tem. This was done by testing the efficiency of the catalyst in the photodecolourisation of RhB under simulated su</w:t>
      </w:r>
      <w:r w:rsidRPr="00322570">
        <w:t>n</w:t>
      </w:r>
      <w:r w:rsidRPr="00322570">
        <w:t>light and using optical filters to block regions of the spe</w:t>
      </w:r>
      <w:r w:rsidRPr="00322570">
        <w:t>c</w:t>
      </w:r>
      <w:r w:rsidRPr="00322570">
        <w:t>trum and determine the activity of the catalyst under these conditions</w:t>
      </w:r>
      <w:r>
        <w:t xml:space="preserve">. </w:t>
      </w:r>
      <w:r w:rsidRPr="00D8563D">
        <w:rPr>
          <w:u w:val="single"/>
        </w:rPr>
        <w:t>The irradiance value from the solar si</w:t>
      </w:r>
      <w:r w:rsidRPr="00D8563D">
        <w:rPr>
          <w:u w:val="single"/>
        </w:rPr>
        <w:t>m</w:t>
      </w:r>
      <w:r w:rsidRPr="00D8563D">
        <w:rPr>
          <w:u w:val="single"/>
        </w:rPr>
        <w:t>ulator was adjusted when using the optical filters to co</w:t>
      </w:r>
      <w:r w:rsidRPr="00D8563D">
        <w:rPr>
          <w:u w:val="single"/>
        </w:rPr>
        <w:t>m</w:t>
      </w:r>
      <w:r w:rsidRPr="00D8563D">
        <w:rPr>
          <w:u w:val="single"/>
        </w:rPr>
        <w:t>pensate for the reduction in transmittance of photons. For each filter used, the power of the solar simulator was adjusted to match the irradiance value of the region of interest to the same value as when no filter was used. This ensured that there was no loss of irradiation intensity at the incoming regions.</w:t>
      </w:r>
      <w:r w:rsidRPr="00322570">
        <w:t xml:space="preserve"> </w:t>
      </w:r>
    </w:p>
    <w:p w:rsidR="00614F5A" w:rsidRDefault="00614F5A" w:rsidP="00614F5A">
      <w:pPr>
        <w:pStyle w:val="TAMainText"/>
      </w:pPr>
      <w:r w:rsidRPr="00322570">
        <w:t xml:space="preserve">The </w:t>
      </w:r>
      <w:proofErr w:type="spellStart"/>
      <w:r w:rsidRPr="00322570">
        <w:t>decolorization</w:t>
      </w:r>
      <w:proofErr w:type="spellEnd"/>
      <w:r w:rsidRPr="00322570">
        <w:t xml:space="preserve"> of RhB in the presence of Pd</w:t>
      </w:r>
      <w:proofErr w:type="gramStart"/>
      <w:r w:rsidRPr="00322570">
        <w:t>:TiO</w:t>
      </w:r>
      <w:r w:rsidRPr="00695563">
        <w:rPr>
          <w:vertAlign w:val="subscript"/>
        </w:rPr>
        <w:t>2</w:t>
      </w:r>
      <w:proofErr w:type="gramEnd"/>
      <w:r w:rsidRPr="00322570">
        <w:t xml:space="preserve"> was monitored by measuring the change in the absorbance value of the dye over time at </w:t>
      </w:r>
      <w:proofErr w:type="spellStart"/>
      <w:r w:rsidRPr="00322570">
        <w:t>λ</w:t>
      </w:r>
      <w:r w:rsidRPr="00A51CF8">
        <w:rPr>
          <w:vertAlign w:val="subscript"/>
        </w:rPr>
        <w:t>max</w:t>
      </w:r>
      <w:proofErr w:type="spellEnd"/>
      <w:r w:rsidRPr="00322570">
        <w:t xml:space="preserve"> = 554 nm following the Beer-Lambert law. This was repeated over several exper</w:t>
      </w:r>
      <w:r w:rsidRPr="00322570">
        <w:t>i</w:t>
      </w:r>
      <w:r w:rsidRPr="00322570">
        <w:t>ments using optical filters to block irradiation at λ &gt; 400 nm (VIS block) and also at λ &lt; 400 nm (UV block) where P25 was used as a reference. The catalysts and optical fi</w:t>
      </w:r>
      <w:r w:rsidRPr="00322570">
        <w:t>l</w:t>
      </w:r>
      <w:r w:rsidRPr="00322570">
        <w:t>ters used, as well as the calculated t</w:t>
      </w:r>
      <w:r w:rsidRPr="00A51CF8">
        <w:rPr>
          <w:vertAlign w:val="subscript"/>
        </w:rPr>
        <w:t>1/2</w:t>
      </w:r>
      <w:r>
        <w:rPr>
          <w:vertAlign w:val="subscript"/>
        </w:rPr>
        <w:t xml:space="preserve"> </w:t>
      </w:r>
      <w:r w:rsidRPr="00322570">
        <w:t xml:space="preserve">and rate of reaction values of RhB are given in table 1. </w:t>
      </w:r>
    </w:p>
    <w:p w:rsidR="00614F5A" w:rsidRPr="002A6431" w:rsidRDefault="00614F5A" w:rsidP="00614F5A">
      <w:pPr>
        <w:pStyle w:val="VDTableTitle"/>
        <w:rPr>
          <w:sz w:val="22"/>
          <w:szCs w:val="22"/>
        </w:rPr>
      </w:pPr>
      <w:r>
        <w:t xml:space="preserve">Table </w:t>
      </w:r>
      <w:r>
        <w:fldChar w:fldCharType="begin"/>
      </w:r>
      <w:r>
        <w:instrText xml:space="preserve"> SEQ Table \* ARABIC </w:instrText>
      </w:r>
      <w:r>
        <w:fldChar w:fldCharType="separate"/>
      </w:r>
      <w:r>
        <w:rPr>
          <w:noProof/>
        </w:rPr>
        <w:t>1</w:t>
      </w:r>
      <w:r>
        <w:rPr>
          <w:noProof/>
        </w:rPr>
        <w:fldChar w:fldCharType="end"/>
      </w:r>
      <w:r>
        <w:rPr>
          <w:noProof/>
        </w:rPr>
        <w:t xml:space="preserve"> </w:t>
      </w:r>
      <w:r w:rsidRPr="00836CB7">
        <w:t xml:space="preserve">The </w:t>
      </w:r>
      <w:r>
        <w:t>photocataly</w:t>
      </w:r>
      <w:r w:rsidRPr="00836CB7">
        <w:t>t</w:t>
      </w:r>
      <w:r>
        <w:t>ic activity of Pd</w:t>
      </w:r>
      <w:proofErr w:type="gramStart"/>
      <w:r>
        <w:t>:TiO</w:t>
      </w:r>
      <w:r>
        <w:rPr>
          <w:vertAlign w:val="subscript"/>
        </w:rPr>
        <w:t>2</w:t>
      </w:r>
      <w:proofErr w:type="gramEnd"/>
      <w:r>
        <w:t xml:space="preserve"> co</w:t>
      </w:r>
      <w:r>
        <w:t>m</w:t>
      </w:r>
      <w:r>
        <w:t xml:space="preserve">pared with P25. </w:t>
      </w:r>
    </w:p>
    <w:tbl>
      <w:tblPr>
        <w:tblW w:w="4900" w:type="dxa"/>
        <w:tblInd w:w="93" w:type="dxa"/>
        <w:tblLook w:val="04A0" w:firstRow="1" w:lastRow="0" w:firstColumn="1" w:lastColumn="0" w:noHBand="0" w:noVBand="1"/>
      </w:tblPr>
      <w:tblGrid>
        <w:gridCol w:w="1586"/>
        <w:gridCol w:w="1123"/>
        <w:gridCol w:w="1028"/>
        <w:gridCol w:w="1163"/>
      </w:tblGrid>
      <w:tr w:rsidR="00614F5A" w:rsidRPr="00D167E6" w:rsidTr="0012456E">
        <w:trPr>
          <w:trHeight w:val="375"/>
        </w:trPr>
        <w:tc>
          <w:tcPr>
            <w:tcW w:w="1586" w:type="dxa"/>
            <w:tcBorders>
              <w:top w:val="single" w:sz="4" w:space="0" w:color="auto"/>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b/>
                <w:bCs/>
                <w:color w:val="000000"/>
                <w:lang w:eastAsia="en-GB"/>
              </w:rPr>
            </w:pPr>
            <w:r w:rsidRPr="00D167E6">
              <w:rPr>
                <w:rFonts w:ascii="Calibri" w:hAnsi="Calibri"/>
                <w:b/>
                <w:bCs/>
                <w:color w:val="000000"/>
                <w:lang w:eastAsia="en-GB"/>
              </w:rPr>
              <w:t>Photocatalyst</w:t>
            </w:r>
          </w:p>
        </w:tc>
        <w:tc>
          <w:tcPr>
            <w:tcW w:w="1123" w:type="dxa"/>
            <w:tcBorders>
              <w:top w:val="single" w:sz="4" w:space="0" w:color="auto"/>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b/>
                <w:bCs/>
                <w:color w:val="000000"/>
                <w:lang w:eastAsia="en-GB"/>
              </w:rPr>
            </w:pPr>
            <w:r w:rsidRPr="00D167E6">
              <w:rPr>
                <w:rFonts w:ascii="Calibri" w:hAnsi="Calibri"/>
                <w:b/>
                <w:bCs/>
                <w:color w:val="000000"/>
                <w:lang w:eastAsia="en-GB"/>
              </w:rPr>
              <w:t>Filter used</w:t>
            </w:r>
          </w:p>
        </w:tc>
        <w:tc>
          <w:tcPr>
            <w:tcW w:w="1028" w:type="dxa"/>
            <w:tcBorders>
              <w:top w:val="single" w:sz="4" w:space="0" w:color="auto"/>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b/>
                <w:bCs/>
                <w:color w:val="000000"/>
                <w:lang w:eastAsia="en-GB"/>
              </w:rPr>
            </w:pPr>
            <w:r w:rsidRPr="00D167E6">
              <w:rPr>
                <w:rFonts w:ascii="Calibri" w:hAnsi="Calibri"/>
                <w:b/>
                <w:bCs/>
                <w:color w:val="000000"/>
                <w:lang w:eastAsia="en-GB"/>
              </w:rPr>
              <w:t>t</w:t>
            </w:r>
            <w:r w:rsidRPr="00D167E6">
              <w:rPr>
                <w:rFonts w:ascii="Calibri" w:hAnsi="Calibri"/>
                <w:b/>
                <w:bCs/>
                <w:color w:val="000000"/>
                <w:vertAlign w:val="subscript"/>
                <w:lang w:eastAsia="en-GB"/>
              </w:rPr>
              <w:t>1/2</w:t>
            </w:r>
            <w:r w:rsidRPr="00D167E6">
              <w:rPr>
                <w:rFonts w:ascii="Calibri" w:hAnsi="Calibri"/>
                <w:b/>
                <w:bCs/>
                <w:color w:val="000000"/>
                <w:lang w:eastAsia="en-GB"/>
              </w:rPr>
              <w:t>/ minutes</w:t>
            </w:r>
          </w:p>
        </w:tc>
        <w:tc>
          <w:tcPr>
            <w:tcW w:w="1163" w:type="dxa"/>
            <w:tcBorders>
              <w:top w:val="single" w:sz="4" w:space="0" w:color="auto"/>
              <w:left w:val="nil"/>
              <w:bottom w:val="single" w:sz="4" w:space="0" w:color="auto"/>
              <w:right w:val="nil"/>
            </w:tcBorders>
            <w:shd w:val="clear" w:color="auto" w:fill="auto"/>
            <w:noWrap/>
            <w:vAlign w:val="center"/>
            <w:hideMark/>
          </w:tcPr>
          <w:p w:rsidR="00614F5A" w:rsidRDefault="00614F5A" w:rsidP="0012456E">
            <w:pPr>
              <w:spacing w:after="0"/>
              <w:jc w:val="center"/>
              <w:rPr>
                <w:rFonts w:ascii="Calibri" w:hAnsi="Calibri"/>
                <w:b/>
                <w:bCs/>
                <w:color w:val="000000"/>
                <w:lang w:eastAsia="en-GB"/>
              </w:rPr>
            </w:pPr>
            <w:proofErr w:type="spellStart"/>
            <w:r w:rsidRPr="00D167E6">
              <w:rPr>
                <w:rFonts w:ascii="Calibri" w:hAnsi="Calibri"/>
                <w:b/>
                <w:bCs/>
                <w:color w:val="000000"/>
                <w:lang w:eastAsia="en-GB"/>
              </w:rPr>
              <w:t>k</w:t>
            </w:r>
            <w:r w:rsidRPr="00D167E6">
              <w:rPr>
                <w:rFonts w:ascii="Calibri" w:hAnsi="Calibri"/>
                <w:b/>
                <w:bCs/>
                <w:color w:val="000000"/>
                <w:vertAlign w:val="subscript"/>
                <w:lang w:eastAsia="en-GB"/>
              </w:rPr>
              <w:t>app</w:t>
            </w:r>
            <w:proofErr w:type="spellEnd"/>
            <w:r w:rsidRPr="00D167E6">
              <w:rPr>
                <w:rFonts w:ascii="Calibri" w:hAnsi="Calibri"/>
                <w:b/>
                <w:bCs/>
                <w:color w:val="000000"/>
                <w:lang w:eastAsia="en-GB"/>
              </w:rPr>
              <w:t xml:space="preserve">/ </w:t>
            </w:r>
          </w:p>
          <w:p w:rsidR="00614F5A" w:rsidRPr="00D167E6" w:rsidRDefault="00614F5A" w:rsidP="0012456E">
            <w:pPr>
              <w:spacing w:after="0"/>
              <w:jc w:val="center"/>
              <w:rPr>
                <w:rFonts w:ascii="Calibri" w:hAnsi="Calibri"/>
                <w:b/>
                <w:bCs/>
                <w:color w:val="000000"/>
                <w:lang w:eastAsia="en-GB"/>
              </w:rPr>
            </w:pPr>
            <w:r w:rsidRPr="00D167E6">
              <w:rPr>
                <w:rFonts w:ascii="Calibri" w:hAnsi="Calibri"/>
                <w:b/>
                <w:bCs/>
                <w:color w:val="000000"/>
                <w:lang w:eastAsia="en-GB"/>
              </w:rPr>
              <w:t>minute</w:t>
            </w:r>
            <w:r w:rsidRPr="00D167E6">
              <w:rPr>
                <w:rFonts w:ascii="Calibri" w:hAnsi="Calibri"/>
                <w:b/>
                <w:bCs/>
                <w:color w:val="000000"/>
                <w:vertAlign w:val="superscript"/>
                <w:lang w:eastAsia="en-GB"/>
              </w:rPr>
              <w:t>-1</w:t>
            </w:r>
          </w:p>
        </w:tc>
      </w:tr>
      <w:tr w:rsidR="00614F5A" w:rsidRPr="00D167E6" w:rsidTr="0012456E">
        <w:trPr>
          <w:trHeight w:val="360"/>
        </w:trPr>
        <w:tc>
          <w:tcPr>
            <w:tcW w:w="1586" w:type="dxa"/>
            <w:vMerge w:val="restart"/>
            <w:tcBorders>
              <w:top w:val="nil"/>
              <w:left w:val="nil"/>
              <w:bottom w:val="single" w:sz="4" w:space="0" w:color="000000"/>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TiO</w:t>
            </w:r>
            <w:r w:rsidRPr="00D167E6">
              <w:rPr>
                <w:rFonts w:ascii="Calibri" w:hAnsi="Calibri"/>
                <w:color w:val="000000"/>
                <w:vertAlign w:val="subscript"/>
                <w:lang w:eastAsia="en-GB"/>
              </w:rPr>
              <w:t>2</w:t>
            </w:r>
          </w:p>
        </w:tc>
        <w:tc>
          <w:tcPr>
            <w:tcW w:w="112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No filter</w:t>
            </w:r>
          </w:p>
        </w:tc>
        <w:tc>
          <w:tcPr>
            <w:tcW w:w="1028"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9.4</w:t>
            </w:r>
          </w:p>
        </w:tc>
        <w:tc>
          <w:tcPr>
            <w:tcW w:w="116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0.073</w:t>
            </w:r>
          </w:p>
        </w:tc>
      </w:tr>
      <w:tr w:rsidR="00614F5A" w:rsidRPr="00D167E6" w:rsidTr="0012456E">
        <w:trPr>
          <w:trHeight w:val="300"/>
        </w:trPr>
        <w:tc>
          <w:tcPr>
            <w:tcW w:w="1586" w:type="dxa"/>
            <w:vMerge/>
            <w:tcBorders>
              <w:top w:val="nil"/>
              <w:left w:val="nil"/>
              <w:bottom w:val="single" w:sz="4" w:space="0" w:color="000000"/>
              <w:right w:val="nil"/>
            </w:tcBorders>
            <w:vAlign w:val="center"/>
            <w:hideMark/>
          </w:tcPr>
          <w:p w:rsidR="00614F5A" w:rsidRPr="00D167E6" w:rsidRDefault="00614F5A" w:rsidP="0012456E">
            <w:pPr>
              <w:spacing w:after="0"/>
              <w:rPr>
                <w:rFonts w:ascii="Calibri" w:hAnsi="Calibri"/>
                <w:color w:val="000000"/>
                <w:lang w:eastAsia="en-GB"/>
              </w:rPr>
            </w:pPr>
          </w:p>
        </w:tc>
        <w:tc>
          <w:tcPr>
            <w:tcW w:w="112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VIS block</w:t>
            </w:r>
          </w:p>
        </w:tc>
        <w:tc>
          <w:tcPr>
            <w:tcW w:w="1028"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19.3</w:t>
            </w:r>
          </w:p>
        </w:tc>
        <w:tc>
          <w:tcPr>
            <w:tcW w:w="116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0.04</w:t>
            </w:r>
          </w:p>
        </w:tc>
      </w:tr>
      <w:tr w:rsidR="00614F5A" w:rsidRPr="00D167E6" w:rsidTr="0012456E">
        <w:trPr>
          <w:trHeight w:val="300"/>
        </w:trPr>
        <w:tc>
          <w:tcPr>
            <w:tcW w:w="1586" w:type="dxa"/>
            <w:vMerge/>
            <w:tcBorders>
              <w:top w:val="nil"/>
              <w:left w:val="nil"/>
              <w:bottom w:val="single" w:sz="4" w:space="0" w:color="000000"/>
              <w:right w:val="nil"/>
            </w:tcBorders>
            <w:vAlign w:val="center"/>
            <w:hideMark/>
          </w:tcPr>
          <w:p w:rsidR="00614F5A" w:rsidRPr="00D167E6" w:rsidRDefault="00614F5A" w:rsidP="0012456E">
            <w:pPr>
              <w:spacing w:after="0"/>
              <w:rPr>
                <w:rFonts w:ascii="Calibri" w:hAnsi="Calibri"/>
                <w:color w:val="000000"/>
                <w:lang w:eastAsia="en-GB"/>
              </w:rPr>
            </w:pPr>
          </w:p>
        </w:tc>
        <w:tc>
          <w:tcPr>
            <w:tcW w:w="1123" w:type="dxa"/>
            <w:tcBorders>
              <w:top w:val="nil"/>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UV block</w:t>
            </w:r>
          </w:p>
        </w:tc>
        <w:tc>
          <w:tcPr>
            <w:tcW w:w="1028" w:type="dxa"/>
            <w:tcBorders>
              <w:top w:val="nil"/>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63.6</w:t>
            </w:r>
          </w:p>
        </w:tc>
        <w:tc>
          <w:tcPr>
            <w:tcW w:w="1163" w:type="dxa"/>
            <w:tcBorders>
              <w:top w:val="nil"/>
              <w:left w:val="nil"/>
              <w:bottom w:val="single" w:sz="4" w:space="0" w:color="auto"/>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0.011</w:t>
            </w:r>
          </w:p>
        </w:tc>
      </w:tr>
      <w:tr w:rsidR="00614F5A" w:rsidRPr="00D167E6" w:rsidTr="0012456E">
        <w:trPr>
          <w:trHeight w:val="300"/>
        </w:trPr>
        <w:tc>
          <w:tcPr>
            <w:tcW w:w="1586" w:type="dxa"/>
            <w:vMerge w:val="restart"/>
            <w:tcBorders>
              <w:top w:val="nil"/>
              <w:left w:val="nil"/>
              <w:bottom w:val="single" w:sz="4" w:space="0" w:color="000000"/>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Pd-TiO</w:t>
            </w:r>
            <w:r w:rsidRPr="00D167E6">
              <w:rPr>
                <w:rFonts w:ascii="Calibri" w:hAnsi="Calibri"/>
                <w:color w:val="000000"/>
                <w:vertAlign w:val="subscript"/>
                <w:lang w:eastAsia="en-GB"/>
              </w:rPr>
              <w:t>2</w:t>
            </w:r>
          </w:p>
        </w:tc>
        <w:tc>
          <w:tcPr>
            <w:tcW w:w="112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No filter</w:t>
            </w:r>
          </w:p>
        </w:tc>
        <w:tc>
          <w:tcPr>
            <w:tcW w:w="1028"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0.5</w:t>
            </w:r>
          </w:p>
        </w:tc>
        <w:tc>
          <w:tcPr>
            <w:tcW w:w="1163" w:type="dxa"/>
            <w:tcBorders>
              <w:top w:val="nil"/>
              <w:left w:val="nil"/>
              <w:bottom w:val="nil"/>
              <w:right w:val="nil"/>
            </w:tcBorders>
            <w:shd w:val="clear" w:color="auto" w:fill="auto"/>
            <w:noWrap/>
            <w:vAlign w:val="center"/>
            <w:hideMark/>
          </w:tcPr>
          <w:p w:rsidR="00614F5A" w:rsidRPr="00D167E6" w:rsidRDefault="00614F5A" w:rsidP="0012456E">
            <w:pPr>
              <w:spacing w:after="0"/>
              <w:jc w:val="center"/>
              <w:rPr>
                <w:rFonts w:ascii="Calibri" w:hAnsi="Calibri"/>
                <w:color w:val="000000"/>
                <w:lang w:eastAsia="en-GB"/>
              </w:rPr>
            </w:pPr>
            <w:r w:rsidRPr="00D167E6">
              <w:rPr>
                <w:rFonts w:ascii="Calibri" w:hAnsi="Calibri"/>
                <w:color w:val="000000"/>
                <w:lang w:eastAsia="en-GB"/>
              </w:rPr>
              <w:t>1.410</w:t>
            </w:r>
          </w:p>
        </w:tc>
      </w:tr>
      <w:tr w:rsidR="00614F5A" w:rsidRPr="00D167E6" w:rsidTr="0012456E">
        <w:trPr>
          <w:trHeight w:val="300"/>
        </w:trPr>
        <w:tc>
          <w:tcPr>
            <w:tcW w:w="1586" w:type="dxa"/>
            <w:vMerge/>
            <w:tcBorders>
              <w:top w:val="nil"/>
              <w:left w:val="nil"/>
              <w:bottom w:val="single" w:sz="4" w:space="0" w:color="000000"/>
              <w:right w:val="nil"/>
            </w:tcBorders>
            <w:vAlign w:val="center"/>
            <w:hideMark/>
          </w:tcPr>
          <w:p w:rsidR="00614F5A" w:rsidRPr="00D167E6" w:rsidRDefault="00614F5A" w:rsidP="0012456E">
            <w:pPr>
              <w:spacing w:after="0"/>
              <w:rPr>
                <w:rFonts w:ascii="Calibri" w:hAnsi="Calibri"/>
                <w:color w:val="000000"/>
                <w:lang w:eastAsia="en-GB"/>
              </w:rPr>
            </w:pPr>
          </w:p>
        </w:tc>
        <w:tc>
          <w:tcPr>
            <w:tcW w:w="1123" w:type="dxa"/>
            <w:tcBorders>
              <w:top w:val="nil"/>
              <w:left w:val="nil"/>
              <w:bottom w:val="nil"/>
              <w:right w:val="nil"/>
            </w:tcBorders>
            <w:shd w:val="clear" w:color="auto" w:fill="auto"/>
            <w:noWrap/>
            <w:vAlign w:val="center"/>
            <w:hideMark/>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VIS block</w:t>
            </w:r>
          </w:p>
        </w:tc>
        <w:tc>
          <w:tcPr>
            <w:tcW w:w="1028" w:type="dxa"/>
            <w:tcBorders>
              <w:top w:val="nil"/>
              <w:left w:val="nil"/>
              <w:bottom w:val="nil"/>
              <w:right w:val="nil"/>
            </w:tcBorders>
            <w:shd w:val="clear" w:color="auto" w:fill="auto"/>
            <w:noWrap/>
            <w:vAlign w:val="center"/>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3.1</w:t>
            </w:r>
          </w:p>
        </w:tc>
        <w:tc>
          <w:tcPr>
            <w:tcW w:w="1163" w:type="dxa"/>
            <w:tcBorders>
              <w:top w:val="nil"/>
              <w:left w:val="nil"/>
              <w:bottom w:val="nil"/>
              <w:right w:val="nil"/>
            </w:tcBorders>
            <w:shd w:val="clear" w:color="auto" w:fill="auto"/>
            <w:noWrap/>
            <w:vAlign w:val="center"/>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0.226</w:t>
            </w:r>
          </w:p>
        </w:tc>
      </w:tr>
      <w:tr w:rsidR="00614F5A" w:rsidRPr="00D167E6" w:rsidTr="0012456E">
        <w:trPr>
          <w:trHeight w:val="300"/>
        </w:trPr>
        <w:tc>
          <w:tcPr>
            <w:tcW w:w="1586" w:type="dxa"/>
            <w:vMerge/>
            <w:tcBorders>
              <w:top w:val="nil"/>
              <w:left w:val="nil"/>
              <w:bottom w:val="single" w:sz="4" w:space="0" w:color="000000"/>
              <w:right w:val="nil"/>
            </w:tcBorders>
            <w:vAlign w:val="center"/>
            <w:hideMark/>
          </w:tcPr>
          <w:p w:rsidR="00614F5A" w:rsidRPr="00D167E6" w:rsidRDefault="00614F5A" w:rsidP="0012456E">
            <w:pPr>
              <w:spacing w:after="0"/>
              <w:rPr>
                <w:rFonts w:ascii="Calibri" w:hAnsi="Calibri"/>
                <w:color w:val="000000"/>
                <w:lang w:eastAsia="en-GB"/>
              </w:rPr>
            </w:pPr>
          </w:p>
        </w:tc>
        <w:tc>
          <w:tcPr>
            <w:tcW w:w="1123" w:type="dxa"/>
            <w:tcBorders>
              <w:top w:val="nil"/>
              <w:left w:val="nil"/>
              <w:bottom w:val="single" w:sz="4" w:space="0" w:color="auto"/>
              <w:right w:val="nil"/>
            </w:tcBorders>
            <w:shd w:val="clear" w:color="auto" w:fill="auto"/>
            <w:noWrap/>
            <w:vAlign w:val="center"/>
            <w:hideMark/>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UV block</w:t>
            </w:r>
          </w:p>
        </w:tc>
        <w:tc>
          <w:tcPr>
            <w:tcW w:w="1028" w:type="dxa"/>
            <w:tcBorders>
              <w:top w:val="nil"/>
              <w:left w:val="nil"/>
              <w:bottom w:val="single" w:sz="4" w:space="0" w:color="auto"/>
              <w:right w:val="nil"/>
            </w:tcBorders>
            <w:shd w:val="clear" w:color="auto" w:fill="auto"/>
            <w:noWrap/>
            <w:vAlign w:val="center"/>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8.5</w:t>
            </w:r>
          </w:p>
        </w:tc>
        <w:tc>
          <w:tcPr>
            <w:tcW w:w="1163" w:type="dxa"/>
            <w:tcBorders>
              <w:top w:val="nil"/>
              <w:left w:val="nil"/>
              <w:bottom w:val="single" w:sz="4" w:space="0" w:color="auto"/>
              <w:right w:val="nil"/>
            </w:tcBorders>
            <w:shd w:val="clear" w:color="auto" w:fill="auto"/>
            <w:noWrap/>
            <w:vAlign w:val="center"/>
          </w:tcPr>
          <w:p w:rsidR="00614F5A" w:rsidRPr="007460A2" w:rsidRDefault="00614F5A" w:rsidP="0012456E">
            <w:pPr>
              <w:spacing w:after="0"/>
              <w:jc w:val="center"/>
              <w:rPr>
                <w:rFonts w:ascii="Calibri" w:hAnsi="Calibri"/>
                <w:color w:val="000000"/>
                <w:u w:val="single"/>
                <w:lang w:eastAsia="en-GB"/>
              </w:rPr>
            </w:pPr>
            <w:r w:rsidRPr="007460A2">
              <w:rPr>
                <w:rFonts w:ascii="Calibri" w:hAnsi="Calibri"/>
                <w:color w:val="000000"/>
                <w:u w:val="single"/>
                <w:lang w:eastAsia="en-GB"/>
              </w:rPr>
              <w:t>0.078</w:t>
            </w:r>
          </w:p>
        </w:tc>
      </w:tr>
    </w:tbl>
    <w:p w:rsidR="00614F5A" w:rsidRDefault="00614F5A" w:rsidP="00614F5A">
      <w:pPr>
        <w:pStyle w:val="TAMainText"/>
      </w:pPr>
    </w:p>
    <w:p w:rsidR="00614F5A" w:rsidRPr="007460A2" w:rsidRDefault="00614F5A" w:rsidP="00614F5A">
      <w:pPr>
        <w:pStyle w:val="TAMainText"/>
        <w:rPr>
          <w:u w:val="single"/>
        </w:rPr>
      </w:pPr>
      <w:r w:rsidRPr="007460A2">
        <w:rPr>
          <w:u w:val="single"/>
        </w:rPr>
        <w:t xml:space="preserve">The </w:t>
      </w:r>
      <w:proofErr w:type="spellStart"/>
      <w:r w:rsidRPr="007460A2">
        <w:rPr>
          <w:u w:val="single"/>
        </w:rPr>
        <w:t>decolorization</w:t>
      </w:r>
      <w:proofErr w:type="spellEnd"/>
      <w:r w:rsidRPr="007460A2">
        <w:rPr>
          <w:u w:val="single"/>
        </w:rPr>
        <w:t xml:space="preserve"> pathway and mechanism for the de</w:t>
      </w:r>
      <w:r w:rsidRPr="007460A2">
        <w:rPr>
          <w:u w:val="single"/>
        </w:rPr>
        <w:t>g</w:t>
      </w:r>
      <w:r w:rsidRPr="007460A2">
        <w:rPr>
          <w:u w:val="single"/>
        </w:rPr>
        <w:t>radation of RhB has been reported elsewhere</w:t>
      </w:r>
      <w:r w:rsidRPr="007460A2">
        <w:rPr>
          <w:u w:val="single"/>
          <w:vertAlign w:val="superscript"/>
        </w:rPr>
        <w:t>35-37</w:t>
      </w:r>
      <w:r w:rsidRPr="007460A2">
        <w:rPr>
          <w:u w:val="single"/>
        </w:rPr>
        <w:t xml:space="preserve"> for TiO</w:t>
      </w:r>
      <w:r w:rsidRPr="007460A2">
        <w:rPr>
          <w:u w:val="single"/>
          <w:vertAlign w:val="subscript"/>
        </w:rPr>
        <w:t>2</w:t>
      </w:r>
      <w:r w:rsidRPr="007460A2">
        <w:rPr>
          <w:u w:val="single"/>
        </w:rPr>
        <w:t xml:space="preserve"> based catalysts and it is thought that the degradation of RhB in the presence of the Pd</w:t>
      </w:r>
      <w:proofErr w:type="gramStart"/>
      <w:r w:rsidRPr="007460A2">
        <w:rPr>
          <w:u w:val="single"/>
        </w:rPr>
        <w:t>:TiO</w:t>
      </w:r>
      <w:r w:rsidRPr="007460A2">
        <w:rPr>
          <w:u w:val="single"/>
          <w:vertAlign w:val="subscript"/>
        </w:rPr>
        <w:t>2</w:t>
      </w:r>
      <w:proofErr w:type="gramEnd"/>
      <w:r w:rsidRPr="007460A2">
        <w:rPr>
          <w:u w:val="single"/>
        </w:rPr>
        <w:t xml:space="preserve"> co-catalyst undergoes a similar pathway.</w:t>
      </w:r>
    </w:p>
    <w:p w:rsidR="00614F5A" w:rsidRPr="00322570" w:rsidRDefault="00614F5A" w:rsidP="00614F5A">
      <w:pPr>
        <w:pStyle w:val="TAMainText"/>
      </w:pPr>
      <w:r w:rsidRPr="00322570">
        <w:lastRenderedPageBreak/>
        <w:t>The lowest t</w:t>
      </w:r>
      <w:r w:rsidRPr="00A51CF8">
        <w:rPr>
          <w:vertAlign w:val="subscript"/>
        </w:rPr>
        <w:t>1/2</w:t>
      </w:r>
      <w:r>
        <w:rPr>
          <w:vertAlign w:val="subscript"/>
        </w:rPr>
        <w:t xml:space="preserve"> </w:t>
      </w:r>
      <w:r w:rsidRPr="00322570">
        <w:t>value was measured for the Pd</w:t>
      </w:r>
      <w:proofErr w:type="gramStart"/>
      <w:r w:rsidRPr="00322570">
        <w:t>:TiO</w:t>
      </w:r>
      <w:r w:rsidRPr="00695563">
        <w:rPr>
          <w:vertAlign w:val="subscript"/>
        </w:rPr>
        <w:t>2</w:t>
      </w:r>
      <w:proofErr w:type="gramEnd"/>
      <w:r w:rsidRPr="00322570">
        <w:t xml:space="preserve"> catalyst under full solar irradiation. This value constitutes a 19 fold increase in activity compared with P25 under the same conditions. For visible irradiation the reaction rate of P25 was significantly reduced and was the lowest value of any catalyst for the conditions tested. The minimal activity observed for P25 under these conditions is a</w:t>
      </w:r>
      <w:r w:rsidRPr="00322570">
        <w:t>t</w:t>
      </w:r>
      <w:r w:rsidRPr="00322570">
        <w:t>tributed to the photo-assisted oxidation (PAO) of the dye. Since RhB absorbs light at 554 nm, this stimulation can lead to the transfer of an excited electron to the condu</w:t>
      </w:r>
      <w:r w:rsidRPr="00322570">
        <w:t>c</w:t>
      </w:r>
      <w:r w:rsidRPr="00322570">
        <w:t>tion band of TiO</w:t>
      </w:r>
      <w:r w:rsidRPr="0027510D">
        <w:rPr>
          <w:vertAlign w:val="subscript"/>
        </w:rPr>
        <w:t>2</w:t>
      </w:r>
      <w:r w:rsidRPr="00322570">
        <w:t>. The electron is then free to react with adsorbed species and the RhB may decompose via this mechanism. This is likely to be occurring in tandem with the photocatalytic oxidation of RhB in the presence of an active catalyst.</w:t>
      </w:r>
    </w:p>
    <w:p w:rsidR="00614F5A" w:rsidRDefault="00614F5A" w:rsidP="00614F5A">
      <w:pPr>
        <w:pStyle w:val="TAMainText"/>
      </w:pPr>
      <w:r w:rsidRPr="00322570">
        <w:t>Under visible irradiation Pd</w:t>
      </w:r>
      <w:proofErr w:type="gramStart"/>
      <w:r w:rsidRPr="00322570">
        <w:t>:TiO</w:t>
      </w:r>
      <w:r w:rsidRPr="00695563">
        <w:rPr>
          <w:vertAlign w:val="subscript"/>
        </w:rPr>
        <w:t>2</w:t>
      </w:r>
      <w:proofErr w:type="gramEnd"/>
      <w:r w:rsidRPr="00322570">
        <w:t xml:space="preserve"> gave the </w:t>
      </w:r>
      <w:r>
        <w:t>highest</w:t>
      </w:r>
      <w:r w:rsidRPr="00322570">
        <w:t xml:space="preserve"> t</w:t>
      </w:r>
      <w:r w:rsidRPr="0027510D">
        <w:rPr>
          <w:vertAlign w:val="subscript"/>
        </w:rPr>
        <w:t>1/2</w:t>
      </w:r>
      <w:r w:rsidRPr="00322570">
        <w:t xml:space="preserve"> va</w:t>
      </w:r>
      <w:r w:rsidRPr="00322570">
        <w:t>l</w:t>
      </w:r>
      <w:r w:rsidRPr="00322570">
        <w:t>ue for this new catalyst but showed a marginally higher rate of reaction compared with P25 under full solar ill</w:t>
      </w:r>
      <w:r w:rsidRPr="00322570">
        <w:t>u</w:t>
      </w:r>
      <w:r w:rsidRPr="00322570">
        <w:t>mination. At λ &lt; 400 nm irradiation, the rate of P25 was reduced compared with its activity in solar conditions, while the Pd</w:t>
      </w:r>
      <w:proofErr w:type="gramStart"/>
      <w:r w:rsidRPr="00322570">
        <w:t>:TiO</w:t>
      </w:r>
      <w:r w:rsidRPr="00695563">
        <w:rPr>
          <w:vertAlign w:val="subscript"/>
        </w:rPr>
        <w:t>2</w:t>
      </w:r>
      <w:proofErr w:type="gramEnd"/>
      <w:r w:rsidRPr="00322570">
        <w:t xml:space="preserve"> catalyst also showed an intermediate value compared to its activity under full spectrum and visible spectrum irradiation. This effect was attributed the cut-off point of the optical filter that blocked some super band gap photons and thus reduced the reaction rate u</w:t>
      </w:r>
      <w:r w:rsidRPr="00322570">
        <w:t>n</w:t>
      </w:r>
      <w:r w:rsidRPr="00322570">
        <w:t xml:space="preserve">der UV conditions for both P25 and the new catalyst. The </w:t>
      </w:r>
      <w:proofErr w:type="spellStart"/>
      <w:r w:rsidRPr="00322570">
        <w:t>decolorization</w:t>
      </w:r>
      <w:proofErr w:type="spellEnd"/>
      <w:r w:rsidRPr="00322570">
        <w:t xml:space="preserve"> rate profiles for P25 and Pd</w:t>
      </w:r>
      <w:proofErr w:type="gramStart"/>
      <w:r w:rsidRPr="00322570">
        <w:t>:TiO</w:t>
      </w:r>
      <w:r w:rsidRPr="0027510D">
        <w:rPr>
          <w:vertAlign w:val="subscript"/>
        </w:rPr>
        <w:t>2</w:t>
      </w:r>
      <w:proofErr w:type="gramEnd"/>
      <w:r w:rsidRPr="00322570">
        <w:t xml:space="preserve"> in the RhB </w:t>
      </w:r>
      <w:proofErr w:type="spellStart"/>
      <w:r w:rsidRPr="00322570">
        <w:t>decolorization</w:t>
      </w:r>
      <w:proofErr w:type="spellEnd"/>
      <w:r w:rsidRPr="00322570">
        <w:t xml:space="preserve"> experiments are shown in </w:t>
      </w:r>
      <w:r w:rsidRPr="0027510D">
        <w:rPr>
          <w:b/>
        </w:rPr>
        <w:t>figure 3</w:t>
      </w:r>
      <w:r>
        <w:rPr>
          <w:b/>
        </w:rPr>
        <w:t xml:space="preserve"> </w:t>
      </w:r>
      <w:r>
        <w:t>(</w:t>
      </w:r>
      <w:r w:rsidRPr="000E1F65">
        <w:rPr>
          <w:u w:val="single"/>
        </w:rPr>
        <w:t>A comparison of the catalytic performance of this catalyst compared with other Pd-TiO</w:t>
      </w:r>
      <w:r w:rsidRPr="000E1F65">
        <w:rPr>
          <w:u w:val="single"/>
          <w:vertAlign w:val="subscript"/>
        </w:rPr>
        <w:t>2</w:t>
      </w:r>
      <w:r w:rsidRPr="000E1F65">
        <w:rPr>
          <w:u w:val="single"/>
        </w:rPr>
        <w:t xml:space="preserve"> systems can be found in the SI</w:t>
      </w:r>
      <w:r>
        <w:t>)</w:t>
      </w:r>
      <w:r w:rsidRPr="00322570">
        <w:t>.</w:t>
      </w:r>
    </w:p>
    <w:p w:rsidR="00614F5A" w:rsidRDefault="00614F5A" w:rsidP="00614F5A">
      <w:pPr>
        <w:pStyle w:val="TAMainText"/>
        <w:jc w:val="center"/>
      </w:pPr>
      <w:r w:rsidRPr="002A6431">
        <w:rPr>
          <w:noProof/>
          <w:lang w:val="en-GB" w:eastAsia="en-GB"/>
        </w:rPr>
        <w:drawing>
          <wp:inline distT="0" distB="0" distL="0" distR="0" wp14:anchorId="557EA90B" wp14:editId="7727EF52">
            <wp:extent cx="2280419" cy="3359888"/>
            <wp:effectExtent l="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364" cy="3364226"/>
                    </a:xfrm>
                    <a:prstGeom prst="rect">
                      <a:avLst/>
                    </a:prstGeom>
                    <a:noFill/>
                    <a:ln>
                      <a:noFill/>
                    </a:ln>
                    <a:extLst/>
                  </pic:spPr>
                </pic:pic>
              </a:graphicData>
            </a:graphic>
          </wp:inline>
        </w:drawing>
      </w:r>
    </w:p>
    <w:p w:rsidR="00614F5A" w:rsidRPr="002A6431" w:rsidRDefault="00614F5A" w:rsidP="00614F5A">
      <w:pPr>
        <w:pStyle w:val="VAFigureCaption"/>
        <w:rPr>
          <w:lang w:val="en-GB"/>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w:t>
      </w:r>
      <w:proofErr w:type="spellStart"/>
      <w:r>
        <w:t>Decolorization</w:t>
      </w:r>
      <w:proofErr w:type="spellEnd"/>
      <w:r>
        <w:t xml:space="preserve"> profiles of RhB under different r</w:t>
      </w:r>
      <w:r>
        <w:t>e</w:t>
      </w:r>
      <w:r>
        <w:t xml:space="preserve">gions of the spectrum a) normalized </w:t>
      </w:r>
      <w:proofErr w:type="spellStart"/>
      <w:r>
        <w:t>decolorization</w:t>
      </w:r>
      <w:proofErr w:type="spellEnd"/>
      <w:r>
        <w:t xml:space="preserve"> curves of P25 and Pd</w:t>
      </w:r>
      <w:proofErr w:type="gramStart"/>
      <w:r>
        <w:t>:TiO</w:t>
      </w:r>
      <w:r>
        <w:rPr>
          <w:vertAlign w:val="subscript"/>
        </w:rPr>
        <w:t>2</w:t>
      </w:r>
      <w:proofErr w:type="gramEnd"/>
      <w:r>
        <w:t xml:space="preserve">, b) logarithmic plots used to calculate the rate constant for the degradation reactions </w:t>
      </w:r>
    </w:p>
    <w:p w:rsidR="00614F5A" w:rsidRDefault="00614F5A" w:rsidP="00614F5A">
      <w:pPr>
        <w:pStyle w:val="TAMainText"/>
        <w:sectPr w:rsidR="00614F5A" w:rsidSect="00695563">
          <w:type w:val="continuous"/>
          <w:pgSz w:w="12240" w:h="15840"/>
          <w:pgMar w:top="720" w:right="1094" w:bottom="720" w:left="1094" w:header="720" w:footer="720" w:gutter="0"/>
          <w:cols w:num="2" w:space="461"/>
        </w:sectPr>
      </w:pPr>
    </w:p>
    <w:p w:rsidR="00614F5A" w:rsidRDefault="00614F5A" w:rsidP="00614F5A">
      <w:pPr>
        <w:pStyle w:val="TAMainText"/>
        <w:jc w:val="center"/>
      </w:pPr>
      <w:r w:rsidRPr="00E0767C">
        <w:rPr>
          <w:noProof/>
          <w:lang w:val="en-GB" w:eastAsia="en-GB"/>
        </w:rPr>
        <w:lastRenderedPageBreak/>
        <w:drawing>
          <wp:inline distT="0" distB="0" distL="0" distR="0" wp14:anchorId="5215254F" wp14:editId="10451F98">
            <wp:extent cx="6343650" cy="3981047"/>
            <wp:effectExtent l="0" t="0" r="0"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6405" cy="3982776"/>
                    </a:xfrm>
                    <a:prstGeom prst="rect">
                      <a:avLst/>
                    </a:prstGeom>
                    <a:noFill/>
                    <a:ln>
                      <a:noFill/>
                    </a:ln>
                    <a:extLst/>
                  </pic:spPr>
                </pic:pic>
              </a:graphicData>
            </a:graphic>
          </wp:inline>
        </w:drawing>
      </w:r>
    </w:p>
    <w:p w:rsidR="00614F5A" w:rsidRDefault="00614F5A" w:rsidP="00614F5A">
      <w:pPr>
        <w:pStyle w:val="VAFigureCaption"/>
      </w:pPr>
      <w:r w:rsidRPr="00695563">
        <w:t xml:space="preserve">Figure </w:t>
      </w:r>
      <w:r>
        <w:fldChar w:fldCharType="begin"/>
      </w:r>
      <w:r>
        <w:instrText xml:space="preserve"> SEQ Figure \* ARABIC </w:instrText>
      </w:r>
      <w:r>
        <w:fldChar w:fldCharType="separate"/>
      </w:r>
      <w:r>
        <w:rPr>
          <w:noProof/>
        </w:rPr>
        <w:t>4</w:t>
      </w:r>
      <w:r>
        <w:rPr>
          <w:noProof/>
        </w:rPr>
        <w:fldChar w:fldCharType="end"/>
      </w:r>
      <w:r w:rsidRPr="00695563">
        <w:t xml:space="preserve"> Schematic representation of the reaction mechanisms thought to be occurring on during photocatalyst excitation by different regions of the spectrum where a) </w:t>
      </w:r>
      <w:r w:rsidRPr="007460A2">
        <w:rPr>
          <w:u w:val="single"/>
        </w:rPr>
        <w:t xml:space="preserve">shows that excited electrons can overcome the </w:t>
      </w:r>
      <w:proofErr w:type="spellStart"/>
      <w:r w:rsidRPr="007460A2">
        <w:rPr>
          <w:u w:val="single"/>
        </w:rPr>
        <w:t>Schottky</w:t>
      </w:r>
      <w:proofErr w:type="spellEnd"/>
      <w:r w:rsidRPr="007460A2">
        <w:rPr>
          <w:u w:val="single"/>
        </w:rPr>
        <w:t xml:space="preserve"> barrier and transfer to the TiO</w:t>
      </w:r>
      <w:r w:rsidRPr="007460A2">
        <w:rPr>
          <w:u w:val="single"/>
          <w:vertAlign w:val="subscript"/>
        </w:rPr>
        <w:t>2</w:t>
      </w:r>
      <w:r w:rsidRPr="007460A2">
        <w:rPr>
          <w:u w:val="single"/>
        </w:rPr>
        <w:t xml:space="preserve"> via resonant energy transfer (RET) from </w:t>
      </w:r>
      <w:proofErr w:type="spellStart"/>
      <w:r w:rsidRPr="007460A2">
        <w:rPr>
          <w:u w:val="single"/>
        </w:rPr>
        <w:t>Pd</w:t>
      </w:r>
      <w:proofErr w:type="spellEnd"/>
      <w:r w:rsidRPr="007460A2">
        <w:rPr>
          <w:u w:val="single"/>
        </w:rPr>
        <w:t xml:space="preserve"> NP promoting oxidation on the </w:t>
      </w:r>
      <w:proofErr w:type="spellStart"/>
      <w:r w:rsidRPr="007460A2">
        <w:rPr>
          <w:u w:val="single"/>
        </w:rPr>
        <w:t>Pd</w:t>
      </w:r>
      <w:proofErr w:type="spellEnd"/>
      <w:r w:rsidRPr="007460A2">
        <w:rPr>
          <w:u w:val="single"/>
        </w:rPr>
        <w:t xml:space="preserve"> under visible light irradiation b) Under UV irradiation, charge carriers are generated within TiO</w:t>
      </w:r>
      <w:r w:rsidRPr="007460A2">
        <w:rPr>
          <w:u w:val="single"/>
          <w:vertAlign w:val="subscript"/>
        </w:rPr>
        <w:t>2</w:t>
      </w:r>
      <w:r w:rsidRPr="007460A2">
        <w:rPr>
          <w:u w:val="single"/>
        </w:rPr>
        <w:t xml:space="preserve">. The LSPR effect of the </w:t>
      </w:r>
      <w:proofErr w:type="spellStart"/>
      <w:r w:rsidRPr="007460A2">
        <w:rPr>
          <w:u w:val="single"/>
        </w:rPr>
        <w:t>Pd</w:t>
      </w:r>
      <w:proofErr w:type="spellEnd"/>
      <w:r w:rsidRPr="007460A2">
        <w:rPr>
          <w:u w:val="single"/>
        </w:rPr>
        <w:t xml:space="preserve"> also extends into the UV region where RET can occur leading to charge transfer to TiO</w:t>
      </w:r>
      <w:r w:rsidRPr="007460A2">
        <w:rPr>
          <w:u w:val="single"/>
          <w:vertAlign w:val="subscript"/>
        </w:rPr>
        <w:t>2</w:t>
      </w:r>
      <w:r w:rsidRPr="007460A2">
        <w:rPr>
          <w:u w:val="single"/>
        </w:rPr>
        <w:t xml:space="preserve"> and oxidation on </w:t>
      </w:r>
      <w:proofErr w:type="spellStart"/>
      <w:r w:rsidRPr="007460A2">
        <w:rPr>
          <w:u w:val="single"/>
        </w:rPr>
        <w:t>Pd</w:t>
      </w:r>
      <w:proofErr w:type="spellEnd"/>
      <w:r w:rsidRPr="007460A2">
        <w:rPr>
          <w:u w:val="single"/>
        </w:rPr>
        <w:t xml:space="preserve"> c) the combination of these processes results in the enhanced ph</w:t>
      </w:r>
      <w:r w:rsidRPr="007460A2">
        <w:rPr>
          <w:u w:val="single"/>
        </w:rPr>
        <w:t>o</w:t>
      </w:r>
      <w:r w:rsidRPr="007460A2">
        <w:rPr>
          <w:u w:val="single"/>
        </w:rPr>
        <w:t>tocatalytic activity of the co-catalyst system</w:t>
      </w:r>
      <w:r w:rsidRPr="00695563">
        <w:t xml:space="preserve"> d) shows the </w:t>
      </w:r>
      <w:proofErr w:type="spellStart"/>
      <w:r w:rsidRPr="00695563">
        <w:t>Schottky</w:t>
      </w:r>
      <w:proofErr w:type="spellEnd"/>
      <w:r w:rsidRPr="00695563">
        <w:t xml:space="preserve"> barrier formed at the metal/ semiconductor interface and the values of χ, </w:t>
      </w:r>
      <w:proofErr w:type="spellStart"/>
      <w:r w:rsidRPr="00695563">
        <w:rPr>
          <w:rFonts w:ascii="Times New Roman" w:hAnsi="Times New Roman"/>
        </w:rPr>
        <w:t>ϕ</w:t>
      </w:r>
      <w:r w:rsidRPr="003626C6">
        <w:rPr>
          <w:vertAlign w:val="subscript"/>
        </w:rPr>
        <w:t>B</w:t>
      </w:r>
      <w:proofErr w:type="spellEnd"/>
      <w:r w:rsidRPr="00695563">
        <w:t xml:space="preserve"> and </w:t>
      </w:r>
      <w:proofErr w:type="spellStart"/>
      <w:r w:rsidRPr="00695563">
        <w:rPr>
          <w:rFonts w:ascii="Times New Roman" w:hAnsi="Times New Roman"/>
        </w:rPr>
        <w:t>ϕ</w:t>
      </w:r>
      <w:r w:rsidRPr="003626C6">
        <w:rPr>
          <w:vertAlign w:val="subscript"/>
        </w:rPr>
        <w:t>M</w:t>
      </w:r>
      <w:proofErr w:type="spellEnd"/>
      <w:r w:rsidRPr="00695563">
        <w:t xml:space="preserve">, which are the </w:t>
      </w:r>
      <w:r w:rsidRPr="00322570">
        <w:t>TiO</w:t>
      </w:r>
      <w:r w:rsidRPr="00695563">
        <w:rPr>
          <w:vertAlign w:val="subscript"/>
        </w:rPr>
        <w:t>2</w:t>
      </w:r>
      <w:r w:rsidRPr="00695563">
        <w:t xml:space="preserve"> electron affinity, barrier height and the </w:t>
      </w:r>
      <w:proofErr w:type="spellStart"/>
      <w:r w:rsidRPr="00695563">
        <w:t>Pd</w:t>
      </w:r>
      <w:proofErr w:type="spellEnd"/>
      <w:r w:rsidRPr="00695563">
        <w:t xml:space="preserve"> work</w:t>
      </w:r>
      <w:r>
        <w:t xml:space="preserve"> </w:t>
      </w:r>
      <w:r w:rsidRPr="00695563">
        <w:t>function, respectively.</w:t>
      </w:r>
    </w:p>
    <w:p w:rsidR="00614F5A" w:rsidRDefault="00614F5A" w:rsidP="00614F5A">
      <w:pPr>
        <w:pStyle w:val="TAMainText"/>
        <w:sectPr w:rsidR="00614F5A" w:rsidSect="003626C6">
          <w:type w:val="continuous"/>
          <w:pgSz w:w="12240" w:h="15840"/>
          <w:pgMar w:top="720" w:right="1094" w:bottom="720" w:left="1094" w:header="720" w:footer="720" w:gutter="0"/>
          <w:cols w:space="461"/>
        </w:sectPr>
      </w:pPr>
    </w:p>
    <w:p w:rsidR="00614F5A" w:rsidRDefault="00614F5A" w:rsidP="00614F5A">
      <w:pPr>
        <w:pStyle w:val="TAMainText"/>
      </w:pPr>
      <w:r w:rsidRPr="00322570">
        <w:lastRenderedPageBreak/>
        <w:t>The Pd</w:t>
      </w:r>
      <w:proofErr w:type="gramStart"/>
      <w:r w:rsidRPr="00322570">
        <w:t>:TiO</w:t>
      </w:r>
      <w:r w:rsidRPr="00695563">
        <w:rPr>
          <w:vertAlign w:val="subscript"/>
        </w:rPr>
        <w:t>2</w:t>
      </w:r>
      <w:proofErr w:type="gramEnd"/>
      <w:r w:rsidRPr="00322570">
        <w:t xml:space="preserve"> catalyst was shown to outperform P25 under all </w:t>
      </w:r>
      <w:r>
        <w:t>the experimental conditions</w:t>
      </w:r>
      <w:r w:rsidRPr="00322570">
        <w:t>. A significant activity for this catalyst was ob</w:t>
      </w:r>
      <w:r>
        <w:t>served</w:t>
      </w:r>
      <w:r w:rsidRPr="00322570">
        <w:t xml:space="preserve"> </w:t>
      </w:r>
      <w:r>
        <w:t xml:space="preserve">under visible light irradiation showing that the </w:t>
      </w:r>
      <w:proofErr w:type="spellStart"/>
      <w:r>
        <w:t>Pd</w:t>
      </w:r>
      <w:proofErr w:type="spellEnd"/>
      <w:r>
        <w:t xml:space="preserve"> NPs extended the photo-activity of P25 into the visible region. However,</w:t>
      </w:r>
      <w:r w:rsidRPr="00322570">
        <w:t xml:space="preserve"> it was found that a combination of both UV and visible light irradiation was necessary for the catalyst to reach the</w:t>
      </w:r>
      <w:r>
        <w:t xml:space="preserve"> </w:t>
      </w:r>
      <w:r w:rsidRPr="00322570">
        <w:t xml:space="preserve">highest </w:t>
      </w:r>
      <w:r>
        <w:t>rate of rea</w:t>
      </w:r>
      <w:r>
        <w:t>c</w:t>
      </w:r>
      <w:r>
        <w:t>tion</w:t>
      </w:r>
      <w:r w:rsidRPr="00322570">
        <w:t xml:space="preserve">. </w:t>
      </w:r>
    </w:p>
    <w:p w:rsidR="00614F5A" w:rsidRPr="007460A2" w:rsidRDefault="00614F5A" w:rsidP="00614F5A">
      <w:pPr>
        <w:pStyle w:val="TAMainText"/>
        <w:rPr>
          <w:u w:val="single"/>
        </w:rPr>
      </w:pPr>
      <w:r w:rsidRPr="007460A2">
        <w:rPr>
          <w:u w:val="single"/>
        </w:rPr>
        <w:t>The optical filters were used in this investigation to hig</w:t>
      </w:r>
      <w:r w:rsidRPr="007460A2">
        <w:rPr>
          <w:u w:val="single"/>
        </w:rPr>
        <w:t>h</w:t>
      </w:r>
      <w:r w:rsidRPr="007460A2">
        <w:rPr>
          <w:u w:val="single"/>
        </w:rPr>
        <w:t>light the activity of the catalyst in the visible region by effectively stopping charge carrier excitation in the TiO</w:t>
      </w:r>
      <w:r w:rsidRPr="007460A2">
        <w:rPr>
          <w:u w:val="single"/>
          <w:vertAlign w:val="subscript"/>
        </w:rPr>
        <w:t>2</w:t>
      </w:r>
      <w:r w:rsidRPr="007460A2">
        <w:rPr>
          <w:u w:val="single"/>
        </w:rPr>
        <w:t xml:space="preserve"> support via blocking the transmission of super band gap photons with the UV cut-off filter. As TiO2 does not a</w:t>
      </w:r>
      <w:r w:rsidRPr="007460A2">
        <w:rPr>
          <w:u w:val="single"/>
        </w:rPr>
        <w:t>b</w:t>
      </w:r>
      <w:r w:rsidRPr="007460A2">
        <w:rPr>
          <w:u w:val="single"/>
        </w:rPr>
        <w:t xml:space="preserve">sorb photons at </w:t>
      </w:r>
      <w:r w:rsidRPr="007460A2">
        <w:rPr>
          <w:rFonts w:hint="eastAsia"/>
          <w:u w:val="single"/>
        </w:rPr>
        <w:t>λ</w:t>
      </w:r>
      <w:r w:rsidRPr="007460A2">
        <w:rPr>
          <w:u w:val="single"/>
        </w:rPr>
        <w:t xml:space="preserve"> &gt; 390 nm, the photo-excited charge carriers required for redox reactions are not generated. However, the presence of the </w:t>
      </w:r>
      <w:proofErr w:type="spellStart"/>
      <w:r w:rsidRPr="007460A2">
        <w:rPr>
          <w:u w:val="single"/>
        </w:rPr>
        <w:t>Pd</w:t>
      </w:r>
      <w:proofErr w:type="spellEnd"/>
      <w:r w:rsidRPr="007460A2">
        <w:rPr>
          <w:u w:val="single"/>
        </w:rPr>
        <w:t xml:space="preserve"> NPs was found to e</w:t>
      </w:r>
      <w:r w:rsidRPr="007460A2">
        <w:rPr>
          <w:u w:val="single"/>
        </w:rPr>
        <w:t>n</w:t>
      </w:r>
      <w:r w:rsidRPr="007460A2">
        <w:rPr>
          <w:u w:val="single"/>
        </w:rPr>
        <w:t>hance the optical response of the catalyst up to ~ 600 nm, which constitutes an increase of 8% compared with P25. This altered absorption profile improved the photocat</w:t>
      </w:r>
      <w:r w:rsidRPr="007460A2">
        <w:rPr>
          <w:u w:val="single"/>
        </w:rPr>
        <w:t>a</w:t>
      </w:r>
      <w:r w:rsidRPr="007460A2">
        <w:rPr>
          <w:u w:val="single"/>
        </w:rPr>
        <w:t>lytic activity of Pd:TiO</w:t>
      </w:r>
      <w:r w:rsidRPr="007460A2">
        <w:rPr>
          <w:u w:val="single"/>
          <w:vertAlign w:val="subscript"/>
        </w:rPr>
        <w:t>2</w:t>
      </w:r>
      <w:r w:rsidRPr="007460A2">
        <w:rPr>
          <w:u w:val="single"/>
        </w:rPr>
        <w:t xml:space="preserve"> in the visible region and may be explained in terms of the LSPR effect of the </w:t>
      </w:r>
      <w:proofErr w:type="spellStart"/>
      <w:r w:rsidRPr="007460A2">
        <w:rPr>
          <w:u w:val="single"/>
        </w:rPr>
        <w:t>Pd</w:t>
      </w:r>
      <w:proofErr w:type="spellEnd"/>
      <w:r w:rsidRPr="007460A2">
        <w:rPr>
          <w:u w:val="single"/>
        </w:rPr>
        <w:t xml:space="preserve"> NPs as depicted in figure 4. </w:t>
      </w:r>
    </w:p>
    <w:p w:rsidR="00614F5A" w:rsidRPr="007460A2" w:rsidRDefault="00614F5A" w:rsidP="00614F5A">
      <w:pPr>
        <w:pStyle w:val="TAMainText"/>
        <w:rPr>
          <w:u w:val="single"/>
        </w:rPr>
      </w:pPr>
      <w:r w:rsidRPr="007460A2">
        <w:rPr>
          <w:u w:val="single"/>
        </w:rPr>
        <w:t xml:space="preserve">It has been reported that self-supported </w:t>
      </w:r>
      <w:proofErr w:type="spellStart"/>
      <w:r w:rsidRPr="007460A2">
        <w:rPr>
          <w:u w:val="single"/>
        </w:rPr>
        <w:t>Pd</w:t>
      </w:r>
      <w:proofErr w:type="spellEnd"/>
      <w:r w:rsidRPr="007460A2">
        <w:rPr>
          <w:u w:val="single"/>
        </w:rPr>
        <w:t xml:space="preserve"> </w:t>
      </w:r>
      <w:proofErr w:type="spellStart"/>
      <w:r w:rsidRPr="007460A2">
        <w:rPr>
          <w:u w:val="single"/>
        </w:rPr>
        <w:t>nanocubes</w:t>
      </w:r>
      <w:proofErr w:type="spellEnd"/>
      <w:r w:rsidRPr="007460A2">
        <w:rPr>
          <w:u w:val="single"/>
        </w:rPr>
        <w:t xml:space="preserve"> of diameters of 10 nm do not exhibit LSPR above at </w:t>
      </w:r>
      <w:r w:rsidRPr="007460A2">
        <w:rPr>
          <w:u w:val="single"/>
        </w:rPr>
        <w:lastRenderedPageBreak/>
        <w:t>wav</w:t>
      </w:r>
      <w:r w:rsidRPr="007460A2">
        <w:rPr>
          <w:u w:val="single"/>
        </w:rPr>
        <w:t>e</w:t>
      </w:r>
      <w:r w:rsidRPr="007460A2">
        <w:rPr>
          <w:u w:val="single"/>
        </w:rPr>
        <w:t>lengths 300 nm.</w:t>
      </w:r>
      <w:r w:rsidRPr="007460A2">
        <w:rPr>
          <w:u w:val="single"/>
          <w:vertAlign w:val="superscript"/>
        </w:rPr>
        <w:t>38</w:t>
      </w:r>
      <w:r w:rsidRPr="007460A2">
        <w:rPr>
          <w:u w:val="single"/>
        </w:rPr>
        <w:t xml:space="preserve"> However, Kelly et al. showed that a strong metal-support interaction for supported Ag nan</w:t>
      </w:r>
      <w:r w:rsidRPr="007460A2">
        <w:rPr>
          <w:u w:val="single"/>
        </w:rPr>
        <w:t>o</w:t>
      </w:r>
      <w:r w:rsidRPr="007460A2">
        <w:rPr>
          <w:u w:val="single"/>
        </w:rPr>
        <w:t>particles exists. This was found to result in a red-shift of the LSPR peak wavelength by up to 100 nm and propo</w:t>
      </w:r>
      <w:r w:rsidRPr="007460A2">
        <w:rPr>
          <w:u w:val="single"/>
        </w:rPr>
        <w:t>r</w:t>
      </w:r>
      <w:r w:rsidRPr="007460A2">
        <w:rPr>
          <w:u w:val="single"/>
        </w:rPr>
        <w:t>tional to the refractive index of the substrate.</w:t>
      </w:r>
      <w:r w:rsidRPr="007460A2">
        <w:rPr>
          <w:u w:val="single"/>
          <w:vertAlign w:val="superscript"/>
        </w:rPr>
        <w:t>39</w:t>
      </w:r>
      <w:r w:rsidRPr="007460A2">
        <w:rPr>
          <w:u w:val="single"/>
        </w:rPr>
        <w:t xml:space="preserve"> The LSPR for supported </w:t>
      </w:r>
      <w:proofErr w:type="spellStart"/>
      <w:r w:rsidRPr="007460A2">
        <w:rPr>
          <w:u w:val="single"/>
        </w:rPr>
        <w:t>Pd</w:t>
      </w:r>
      <w:proofErr w:type="spellEnd"/>
      <w:r w:rsidRPr="007460A2">
        <w:rPr>
          <w:u w:val="single"/>
        </w:rPr>
        <w:t xml:space="preserve"> on TiO</w:t>
      </w:r>
      <w:r w:rsidRPr="007460A2">
        <w:rPr>
          <w:u w:val="single"/>
          <w:vertAlign w:val="subscript"/>
        </w:rPr>
        <w:t>2</w:t>
      </w:r>
      <w:r w:rsidRPr="007460A2">
        <w:rPr>
          <w:u w:val="single"/>
        </w:rPr>
        <w:t xml:space="preserve"> has been reported for nanopa</w:t>
      </w:r>
      <w:r w:rsidRPr="007460A2">
        <w:rPr>
          <w:u w:val="single"/>
        </w:rPr>
        <w:t>r</w:t>
      </w:r>
      <w:r w:rsidRPr="007460A2">
        <w:rPr>
          <w:u w:val="single"/>
        </w:rPr>
        <w:t>ticles ranging from 17 nm to 27 nm to be in the visible region</w:t>
      </w:r>
      <w:r w:rsidRPr="007460A2">
        <w:rPr>
          <w:u w:val="single"/>
          <w:vertAlign w:val="superscript"/>
        </w:rPr>
        <w:t>29</w:t>
      </w:r>
      <w:r w:rsidRPr="007460A2">
        <w:rPr>
          <w:u w:val="single"/>
        </w:rPr>
        <w:t xml:space="preserve"> and we believe a similar metal-support effect is responsible for the increase in light harvesting potential of our catalyst and the corresponding enhancement in its photocatalytic activity. </w:t>
      </w:r>
    </w:p>
    <w:p w:rsidR="00614F5A" w:rsidRPr="007460A2" w:rsidRDefault="00614F5A" w:rsidP="00614F5A">
      <w:pPr>
        <w:pStyle w:val="TAMainText"/>
        <w:rPr>
          <w:u w:val="single"/>
        </w:rPr>
      </w:pPr>
      <w:r w:rsidRPr="007460A2">
        <w:rPr>
          <w:u w:val="single"/>
        </w:rPr>
        <w:t xml:space="preserve">Two main processes are thought to be taking place on the catalyst surface. One mechanism is attributed to the LSPR effect where the incident irradiation can excite some of the electrons in the </w:t>
      </w:r>
      <w:proofErr w:type="spellStart"/>
      <w:r w:rsidRPr="007460A2">
        <w:rPr>
          <w:u w:val="single"/>
        </w:rPr>
        <w:t>Pd</w:t>
      </w:r>
      <w:proofErr w:type="spellEnd"/>
      <w:r w:rsidRPr="007460A2">
        <w:rPr>
          <w:u w:val="single"/>
        </w:rPr>
        <w:t xml:space="preserve"> sufficiently to overcome the </w:t>
      </w:r>
      <w:proofErr w:type="spellStart"/>
      <w:r w:rsidRPr="007460A2">
        <w:rPr>
          <w:u w:val="single"/>
        </w:rPr>
        <w:t>Schottky</w:t>
      </w:r>
      <w:proofErr w:type="spellEnd"/>
      <w:r w:rsidRPr="007460A2">
        <w:rPr>
          <w:u w:val="single"/>
        </w:rPr>
        <w:t xml:space="preserve"> barrier at the semiconductor/ metal interface and transfer ‘hot electrons’ to the TiO</w:t>
      </w:r>
      <w:r w:rsidRPr="007460A2">
        <w:rPr>
          <w:u w:val="single"/>
          <w:vertAlign w:val="subscript"/>
        </w:rPr>
        <w:t>2</w:t>
      </w:r>
      <w:r w:rsidRPr="007460A2">
        <w:rPr>
          <w:u w:val="single"/>
        </w:rPr>
        <w:t xml:space="preserve"> (figure 4a). This phenomenon has been reported for TiO</w:t>
      </w:r>
      <w:r w:rsidRPr="007460A2">
        <w:rPr>
          <w:u w:val="single"/>
          <w:vertAlign w:val="subscript"/>
        </w:rPr>
        <w:t>2</w:t>
      </w:r>
      <w:r w:rsidRPr="007460A2">
        <w:rPr>
          <w:u w:val="single"/>
        </w:rPr>
        <w:t xml:space="preserve"> supported Au nanoparticles</w:t>
      </w:r>
      <w:r w:rsidRPr="007460A2">
        <w:rPr>
          <w:u w:val="single"/>
          <w:vertAlign w:val="superscript"/>
        </w:rPr>
        <w:t>40</w:t>
      </w:r>
      <w:r w:rsidRPr="007460A2">
        <w:rPr>
          <w:u w:val="single"/>
        </w:rPr>
        <w:t xml:space="preserve"> and may explain some of the increase in activity of the Pd</w:t>
      </w:r>
      <w:proofErr w:type="gramStart"/>
      <w:r w:rsidRPr="007460A2">
        <w:rPr>
          <w:u w:val="single"/>
        </w:rPr>
        <w:t>:TiO</w:t>
      </w:r>
      <w:r w:rsidRPr="007460A2">
        <w:rPr>
          <w:u w:val="single"/>
          <w:vertAlign w:val="subscript"/>
        </w:rPr>
        <w:t>2</w:t>
      </w:r>
      <w:proofErr w:type="gramEnd"/>
      <w:r w:rsidRPr="007460A2">
        <w:rPr>
          <w:u w:val="single"/>
        </w:rPr>
        <w:t xml:space="preserve"> catalyst. Furthermore, the height of the </w:t>
      </w:r>
      <w:proofErr w:type="spellStart"/>
      <w:r w:rsidRPr="007460A2">
        <w:rPr>
          <w:u w:val="single"/>
        </w:rPr>
        <w:t>Schottky</w:t>
      </w:r>
      <w:proofErr w:type="spellEnd"/>
      <w:r w:rsidRPr="007460A2">
        <w:rPr>
          <w:u w:val="single"/>
        </w:rPr>
        <w:t xml:space="preserve"> barrier (</w:t>
      </w:r>
      <w:proofErr w:type="spellStart"/>
      <w:r w:rsidRPr="007460A2">
        <w:rPr>
          <w:rFonts w:ascii="Times New Roman" w:hAnsi="Times New Roman"/>
          <w:u w:val="single"/>
        </w:rPr>
        <w:t>ϕ</w:t>
      </w:r>
      <w:r w:rsidRPr="007460A2">
        <w:rPr>
          <w:u w:val="single"/>
          <w:vertAlign w:val="subscript"/>
        </w:rPr>
        <w:t>B</w:t>
      </w:r>
      <w:proofErr w:type="spellEnd"/>
      <w:r w:rsidRPr="007460A2">
        <w:rPr>
          <w:u w:val="single"/>
        </w:rPr>
        <w:t xml:space="preserve">) formed at the </w:t>
      </w:r>
      <w:proofErr w:type="spellStart"/>
      <w:r w:rsidRPr="007460A2">
        <w:rPr>
          <w:u w:val="single"/>
        </w:rPr>
        <w:t>Pd</w:t>
      </w:r>
      <w:proofErr w:type="spellEnd"/>
      <w:r w:rsidRPr="007460A2">
        <w:rPr>
          <w:u w:val="single"/>
        </w:rPr>
        <w:t>/TiO</w:t>
      </w:r>
      <w:r w:rsidRPr="007460A2">
        <w:rPr>
          <w:u w:val="single"/>
          <w:vertAlign w:val="subscript"/>
        </w:rPr>
        <w:t>2</w:t>
      </w:r>
      <w:r w:rsidRPr="007460A2">
        <w:rPr>
          <w:u w:val="single"/>
        </w:rPr>
        <w:t xml:space="preserve"> jun</w:t>
      </w:r>
      <w:r w:rsidRPr="007460A2">
        <w:rPr>
          <w:u w:val="single"/>
        </w:rPr>
        <w:t>c</w:t>
      </w:r>
      <w:r w:rsidRPr="007460A2">
        <w:rPr>
          <w:u w:val="single"/>
        </w:rPr>
        <w:t>tion was calculated to be 1.10 eV (figure 4d and details in SI), which makes it theoretically possible for visible irr</w:t>
      </w:r>
      <w:r w:rsidRPr="007460A2">
        <w:rPr>
          <w:u w:val="single"/>
        </w:rPr>
        <w:t>a</w:t>
      </w:r>
      <w:r w:rsidRPr="007460A2">
        <w:rPr>
          <w:u w:val="single"/>
        </w:rPr>
        <w:t xml:space="preserve">diation to excite electrons above this value and </w:t>
      </w:r>
      <w:r w:rsidRPr="007460A2">
        <w:rPr>
          <w:u w:val="single"/>
        </w:rPr>
        <w:lastRenderedPageBreak/>
        <w:t>transfer to the CB of TiO</w:t>
      </w:r>
      <w:r w:rsidRPr="007460A2">
        <w:rPr>
          <w:u w:val="single"/>
          <w:vertAlign w:val="subscript"/>
        </w:rPr>
        <w:t>2</w:t>
      </w:r>
      <w:r w:rsidRPr="007460A2">
        <w:rPr>
          <w:u w:val="single"/>
        </w:rPr>
        <w:t>. It has also been suggested that the ‘hot holes’ remaining in the metal NP can react with adsorbed species and further increasing the reactivity of the co-catalyst.</w:t>
      </w:r>
      <w:r w:rsidRPr="007460A2">
        <w:rPr>
          <w:u w:val="single"/>
          <w:vertAlign w:val="superscript"/>
        </w:rPr>
        <w:t>41</w:t>
      </w:r>
    </w:p>
    <w:p w:rsidR="00614F5A" w:rsidRPr="007460A2" w:rsidRDefault="00614F5A" w:rsidP="00614F5A">
      <w:pPr>
        <w:pStyle w:val="TAMainText"/>
        <w:rPr>
          <w:u w:val="single"/>
        </w:rPr>
      </w:pPr>
      <w:r w:rsidRPr="007460A2">
        <w:rPr>
          <w:u w:val="single"/>
        </w:rPr>
        <w:t>The other mechanism occurs under UV irradiation where electron excitation within the TiO</w:t>
      </w:r>
      <w:r w:rsidRPr="007460A2">
        <w:rPr>
          <w:u w:val="single"/>
          <w:vertAlign w:val="subscript"/>
        </w:rPr>
        <w:t>2</w:t>
      </w:r>
      <w:r w:rsidRPr="007460A2">
        <w:rPr>
          <w:u w:val="single"/>
        </w:rPr>
        <w:t xml:space="preserve"> occurs, generating the charge carriers required for redox on the surface (figure 4b). Hot electrons may also be excited from the </w:t>
      </w:r>
      <w:proofErr w:type="spellStart"/>
      <w:r w:rsidRPr="007460A2">
        <w:rPr>
          <w:u w:val="single"/>
        </w:rPr>
        <w:t>Pd</w:t>
      </w:r>
      <w:proofErr w:type="spellEnd"/>
      <w:r w:rsidRPr="007460A2">
        <w:rPr>
          <w:u w:val="single"/>
        </w:rPr>
        <w:t xml:space="preserve"> NP to the CB of TiO</w:t>
      </w:r>
      <w:r w:rsidRPr="007460A2">
        <w:rPr>
          <w:u w:val="single"/>
          <w:vertAlign w:val="subscript"/>
        </w:rPr>
        <w:t>2</w:t>
      </w:r>
      <w:r w:rsidRPr="007460A2">
        <w:rPr>
          <w:u w:val="single"/>
        </w:rPr>
        <w:t xml:space="preserve"> and thus the activity of the catalyst is fu</w:t>
      </w:r>
      <w:r w:rsidRPr="007460A2">
        <w:rPr>
          <w:u w:val="single"/>
        </w:rPr>
        <w:t>r</w:t>
      </w:r>
      <w:r w:rsidRPr="007460A2">
        <w:rPr>
          <w:u w:val="single"/>
        </w:rPr>
        <w:t xml:space="preserve">ther increased by the combination of these processes. It is also possible that charge recombination is suppressed, where the </w:t>
      </w:r>
      <w:proofErr w:type="spellStart"/>
      <w:r w:rsidRPr="007460A2">
        <w:rPr>
          <w:u w:val="single"/>
        </w:rPr>
        <w:t>Pd</w:t>
      </w:r>
      <w:proofErr w:type="spellEnd"/>
      <w:r w:rsidRPr="007460A2">
        <w:rPr>
          <w:u w:val="single"/>
        </w:rPr>
        <w:t xml:space="preserve"> NPs on the surface of the TiO</w:t>
      </w:r>
      <w:r w:rsidRPr="007460A2">
        <w:rPr>
          <w:u w:val="single"/>
          <w:vertAlign w:val="subscript"/>
        </w:rPr>
        <w:t xml:space="preserve">2 </w:t>
      </w:r>
      <w:r w:rsidRPr="007460A2">
        <w:rPr>
          <w:u w:val="single"/>
        </w:rPr>
        <w:t xml:space="preserve">can act as electron sinks, thus increasing carrier lifetimes. </w:t>
      </w:r>
    </w:p>
    <w:p w:rsidR="00614F5A" w:rsidRDefault="00614F5A" w:rsidP="00614F5A">
      <w:pPr>
        <w:pStyle w:val="TAMainText"/>
      </w:pPr>
      <w:r w:rsidRPr="00322570">
        <w:t xml:space="preserve">Under full solar irradiation both mechanisms are thought to be occurring simultaneously (figure 4c) and </w:t>
      </w:r>
      <w:r>
        <w:t xml:space="preserve">this </w:t>
      </w:r>
      <w:r w:rsidRPr="00322570">
        <w:t>result</w:t>
      </w:r>
      <w:r>
        <w:t>s</w:t>
      </w:r>
      <w:r w:rsidRPr="00322570">
        <w:t xml:space="preserve"> in the highest rate of reaction</w:t>
      </w:r>
      <w:r>
        <w:t>.</w:t>
      </w:r>
      <w:r w:rsidRPr="00322570">
        <w:t xml:space="preserve"> </w:t>
      </w:r>
      <w:r>
        <w:t>I</w:t>
      </w:r>
      <w:r w:rsidRPr="00322570">
        <w:t xml:space="preserve">t </w:t>
      </w:r>
      <w:r>
        <w:t>was also found</w:t>
      </w:r>
      <w:r w:rsidRPr="00322570">
        <w:t xml:space="preserve"> th</w:t>
      </w:r>
      <w:r>
        <w:t>a</w:t>
      </w:r>
      <w:r w:rsidRPr="00322570">
        <w:t xml:space="preserve">t that the </w:t>
      </w:r>
      <w:r>
        <w:t>combination</w:t>
      </w:r>
      <w:r w:rsidRPr="00322570">
        <w:t xml:space="preserve"> of the two process</w:t>
      </w:r>
      <w:r>
        <w:t>es</w:t>
      </w:r>
      <w:r w:rsidRPr="00322570">
        <w:t xml:space="preserve"> </w:t>
      </w:r>
      <w:r>
        <w:t>had</w:t>
      </w:r>
      <w:r w:rsidRPr="00322570">
        <w:t xml:space="preserve"> a </w:t>
      </w:r>
      <w:r>
        <w:t xml:space="preserve">beneficial </w:t>
      </w:r>
      <w:r w:rsidRPr="00322570">
        <w:t>synergistic effect on the photocatalytic activity.</w:t>
      </w:r>
    </w:p>
    <w:p w:rsidR="00614F5A" w:rsidRPr="00322570" w:rsidRDefault="00614F5A" w:rsidP="00614F5A">
      <w:pPr>
        <w:pStyle w:val="TAMainText"/>
      </w:pPr>
      <w:r>
        <w:t>In e</w:t>
      </w:r>
      <w:r w:rsidRPr="00322570">
        <w:t xml:space="preserve">xperiments measuring the activity of the catalyst in the </w:t>
      </w:r>
      <w:proofErr w:type="spellStart"/>
      <w:r w:rsidRPr="00322570">
        <w:t>decolorization</w:t>
      </w:r>
      <w:proofErr w:type="spellEnd"/>
      <w:r w:rsidRPr="00322570">
        <w:t xml:space="preserve"> of dye, we showed that the activity of Pd:TiO</w:t>
      </w:r>
      <w:r w:rsidRPr="00695563">
        <w:rPr>
          <w:vertAlign w:val="subscript"/>
        </w:rPr>
        <w:t>2</w:t>
      </w:r>
      <w:r w:rsidRPr="00322570">
        <w:t xml:space="preserve"> changed significantly under different irradiation conditions and </w:t>
      </w:r>
      <w:r>
        <w:t>propose</w:t>
      </w:r>
      <w:r w:rsidRPr="00322570">
        <w:t xml:space="preserve"> that the changes in the rates of reaction are due to separate mechanisms occurring under stimulation by different regions of the spectrum. The se</w:t>
      </w:r>
      <w:r w:rsidRPr="00322570">
        <w:t>p</w:t>
      </w:r>
      <w:r w:rsidRPr="00322570">
        <w:t xml:space="preserve">aration and combination of the two mechanisms was shown experimentally via the use of optical band pass filters and calculations of the height of the </w:t>
      </w:r>
      <w:proofErr w:type="spellStart"/>
      <w:r w:rsidRPr="00322570">
        <w:t>Schottky</w:t>
      </w:r>
      <w:proofErr w:type="spellEnd"/>
      <w:r w:rsidRPr="00322570">
        <w:t xml:space="preserve"> ba</w:t>
      </w:r>
      <w:r w:rsidRPr="00322570">
        <w:t>r</w:t>
      </w:r>
      <w:r w:rsidRPr="00322570">
        <w:t>rier from band gap measurements confirmed it was the</w:t>
      </w:r>
      <w:r w:rsidRPr="00322570">
        <w:t>o</w:t>
      </w:r>
      <w:r w:rsidRPr="00322570">
        <w:t xml:space="preserve">retically possible for </w:t>
      </w:r>
      <w:r>
        <w:t>‘hot electron’ transfer to the CB of TiO</w:t>
      </w:r>
      <w:r>
        <w:rPr>
          <w:vertAlign w:val="subscript"/>
        </w:rPr>
        <w:t>2</w:t>
      </w:r>
      <w:r>
        <w:t xml:space="preserve"> </w:t>
      </w:r>
      <w:r w:rsidRPr="00322570">
        <w:t xml:space="preserve">under visible light conditions. </w:t>
      </w:r>
      <w:r>
        <w:t>At</w:t>
      </w:r>
      <w:r w:rsidRPr="00322570">
        <w:t xml:space="preserve"> full solar irradi</w:t>
      </w:r>
      <w:r w:rsidRPr="00322570">
        <w:t>a</w:t>
      </w:r>
      <w:r w:rsidRPr="00322570">
        <w:t>tion the photocatalytic activity of Pd</w:t>
      </w:r>
      <w:proofErr w:type="gramStart"/>
      <w:r w:rsidRPr="00322570">
        <w:t>:TiO</w:t>
      </w:r>
      <w:r w:rsidRPr="00695563">
        <w:rPr>
          <w:vertAlign w:val="subscript"/>
        </w:rPr>
        <w:t>2</w:t>
      </w:r>
      <w:proofErr w:type="gramEnd"/>
      <w:r w:rsidRPr="00322570">
        <w:t xml:space="preserve"> was found to be greater in terms of the reaction rate than the sum of the reaction rates under visible and UV excitation suggesting a </w:t>
      </w:r>
      <w:r>
        <w:t xml:space="preserve">beneficial </w:t>
      </w:r>
      <w:r w:rsidRPr="00322570">
        <w:t>synergistic effect to be taking place.  In solar conditions, the activity of the Pd</w:t>
      </w:r>
      <w:proofErr w:type="gramStart"/>
      <w:r w:rsidRPr="00322570">
        <w:t>:TiO</w:t>
      </w:r>
      <w:r w:rsidRPr="00695563">
        <w:rPr>
          <w:vertAlign w:val="subscript"/>
        </w:rPr>
        <w:t>2</w:t>
      </w:r>
      <w:proofErr w:type="gramEnd"/>
      <w:r w:rsidRPr="00322570">
        <w:t xml:space="preserve"> catalyst showed </w:t>
      </w:r>
      <w:r>
        <w:t xml:space="preserve">a </w:t>
      </w:r>
      <w:r w:rsidRPr="00322570">
        <w:t>19 fold improvement on the activity of commercially available TiO</w:t>
      </w:r>
      <w:r w:rsidRPr="00695563">
        <w:rPr>
          <w:vertAlign w:val="subscript"/>
        </w:rPr>
        <w:t>2</w:t>
      </w:r>
      <w:r w:rsidRPr="00322570">
        <w:t xml:space="preserve">. This work adds further support to the beneficial properties of supported transition metals as co-catalysts in efficient light harvesting systems </w:t>
      </w:r>
      <w:r>
        <w:t xml:space="preserve">in the visible region </w:t>
      </w:r>
      <w:r w:rsidRPr="00322570">
        <w:t>for environmental remediation</w:t>
      </w:r>
      <w:r>
        <w:t>.</w:t>
      </w:r>
    </w:p>
    <w:p w:rsidR="00614F5A" w:rsidRDefault="00614F5A" w:rsidP="00614F5A">
      <w:pPr>
        <w:pStyle w:val="TESupportingInfoTitle"/>
      </w:pPr>
      <w:r>
        <w:t>ASSOCIATED CONTENT</w:t>
      </w:r>
      <w:r w:rsidRPr="00BE533F">
        <w:t xml:space="preserve"> </w:t>
      </w:r>
    </w:p>
    <w:p w:rsidR="00614F5A" w:rsidRPr="003154A9" w:rsidRDefault="00614F5A" w:rsidP="00614F5A">
      <w:pPr>
        <w:pStyle w:val="TESupportingInformation"/>
      </w:pPr>
      <w:r>
        <w:rPr>
          <w:b/>
        </w:rPr>
        <w:t xml:space="preserve">Supporting </w:t>
      </w:r>
      <w:r w:rsidRPr="00157E12">
        <w:rPr>
          <w:b/>
        </w:rPr>
        <w:t>Information</w:t>
      </w:r>
      <w:r>
        <w:t xml:space="preserve"> </w:t>
      </w:r>
      <w:r w:rsidRPr="003154A9">
        <w:t xml:space="preserve">Detailed catalyst synthesis and dye degradation procedures with calculation of half-life of degradation and rate constant values; </w:t>
      </w:r>
      <w:r>
        <w:t>raw XPS, XRD, DR UV-VIS data</w:t>
      </w:r>
      <w:r w:rsidRPr="003154A9">
        <w:t>; absorption increase calculation; figure of optical filter cut-off points</w:t>
      </w:r>
      <w:r>
        <w:t>; plasmon fit calculation and comparison of catalyst with other Pd-TiO</w:t>
      </w:r>
      <w:r>
        <w:rPr>
          <w:vertAlign w:val="subscript"/>
        </w:rPr>
        <w:t>2</w:t>
      </w:r>
      <w:r>
        <w:t xml:space="preserve"> systems in the literature . </w:t>
      </w:r>
      <w:r w:rsidRPr="003154A9">
        <w:t>This material is available free of charge via the Internet at http://pubs.acs.org</w:t>
      </w:r>
      <w:r>
        <w:t>.</w:t>
      </w:r>
    </w:p>
    <w:p w:rsidR="00614F5A" w:rsidRDefault="00614F5A" w:rsidP="00614F5A">
      <w:pPr>
        <w:pStyle w:val="AuthorInformationTitle"/>
      </w:pPr>
      <w:r>
        <w:t>AUTHOR INFORMATION</w:t>
      </w:r>
    </w:p>
    <w:p w:rsidR="00614F5A" w:rsidRDefault="00614F5A" w:rsidP="00614F5A">
      <w:pPr>
        <w:pStyle w:val="FAAuthorInfoSubtitle"/>
      </w:pPr>
      <w:r>
        <w:t>Corresponding Author</w:t>
      </w:r>
    </w:p>
    <w:p w:rsidR="00614F5A" w:rsidRDefault="00614F5A" w:rsidP="00614F5A">
      <w:pPr>
        <w:pStyle w:val="StyleFACorrespondingAuthorFootnote7pt"/>
      </w:pPr>
      <w:r w:rsidRPr="00D7596F">
        <w:t xml:space="preserve">* </w:t>
      </w:r>
      <w:r w:rsidRPr="00D7596F">
        <w:rPr>
          <w:rStyle w:val="FAAuthorInfoSubtitleChar"/>
        </w:rPr>
        <w:t xml:space="preserve">Email: </w:t>
      </w:r>
      <w:hyperlink r:id="rId11" w:history="1">
        <w:r w:rsidRPr="00D7596F">
          <w:rPr>
            <w:rStyle w:val="FAAuthorInfoSubtitleChar"/>
          </w:rPr>
          <w:t>s.c..dunn@qmul.ac.uk</w:t>
        </w:r>
      </w:hyperlink>
    </w:p>
    <w:p w:rsidR="00614F5A" w:rsidRPr="00D7596F" w:rsidRDefault="00614F5A" w:rsidP="00614F5A">
      <w:pPr>
        <w:pStyle w:val="StyleFACorrespondingAuthorFootnote7pt"/>
      </w:pPr>
      <w:r w:rsidRPr="00D7596F">
        <w:t xml:space="preserve">* </w:t>
      </w:r>
      <w:r w:rsidRPr="00D7596F">
        <w:rPr>
          <w:rStyle w:val="FAAuthorInfoSubtitleChar"/>
        </w:rPr>
        <w:t xml:space="preserve">Email: </w:t>
      </w:r>
      <w:hyperlink r:id="rId12" w:history="1">
        <w:r w:rsidRPr="00D7596F">
          <w:rPr>
            <w:rStyle w:val="FAAuthorInfoSubtitleChar"/>
          </w:rPr>
          <w:t>igor.larrosa@manchester.ac.uk</w:t>
        </w:r>
      </w:hyperlink>
    </w:p>
    <w:p w:rsidR="00614F5A" w:rsidRDefault="00614F5A" w:rsidP="00614F5A">
      <w:pPr>
        <w:pStyle w:val="FAAuthorInfoSubtitle"/>
      </w:pPr>
    </w:p>
    <w:p w:rsidR="00614F5A" w:rsidRDefault="00614F5A" w:rsidP="00614F5A">
      <w:pPr>
        <w:pStyle w:val="FAAuthorInfoSubtitle"/>
      </w:pPr>
    </w:p>
    <w:p w:rsidR="00614F5A" w:rsidRDefault="00614F5A" w:rsidP="00614F5A">
      <w:pPr>
        <w:pStyle w:val="FAAuthorInfoSubtitle"/>
      </w:pPr>
      <w:r>
        <w:t>Author Contributions</w:t>
      </w:r>
    </w:p>
    <w:p w:rsidR="00614F5A" w:rsidRDefault="00614F5A" w:rsidP="00614F5A">
      <w:pPr>
        <w:pStyle w:val="StyleFACorrespondingAuthorFootnote7pt"/>
      </w:pPr>
      <w:r>
        <w:t xml:space="preserve">The manuscript was written through contributions of all authors. / All authors have given approval to the final version of the manuscript. / </w:t>
      </w:r>
      <w:r w:rsidRPr="00D7596F">
        <w:rPr>
          <w:rFonts w:ascii="Times New Roman" w:hAnsi="Times New Roman"/>
          <w:lang w:val="en-GB"/>
        </w:rPr>
        <w:t>†</w:t>
      </w:r>
      <w:r>
        <w:rPr>
          <w:rFonts w:ascii="Times New Roman" w:hAnsi="Times New Roman"/>
        </w:rPr>
        <w:t>‡</w:t>
      </w:r>
      <w:proofErr w:type="gramStart"/>
      <w:r>
        <w:t>These</w:t>
      </w:r>
      <w:proofErr w:type="gramEnd"/>
      <w:r>
        <w:t xml:space="preserve"> authors contributed equally. </w:t>
      </w:r>
    </w:p>
    <w:p w:rsidR="00614F5A" w:rsidRDefault="00614F5A" w:rsidP="00614F5A">
      <w:pPr>
        <w:pStyle w:val="StyleFACorrespondingAuthorFootnote7pt"/>
      </w:pPr>
      <w:bookmarkStart w:id="0" w:name="_GoBack"/>
      <w:bookmarkEnd w:id="0"/>
      <w:r w:rsidRPr="000D2D84">
        <w:rPr>
          <w:rStyle w:val="FAAuthorInfoSubtitleChar"/>
        </w:rPr>
        <w:t>Notes</w:t>
      </w:r>
      <w:r w:rsidRPr="000D2D84">
        <w:rPr>
          <w:rStyle w:val="FAAuthorInfoSubtitleChar"/>
        </w:rPr>
        <w:br/>
      </w:r>
      <w:r>
        <w:t>The authors declare no competing financial interest.</w:t>
      </w:r>
    </w:p>
    <w:p w:rsidR="00614F5A" w:rsidRDefault="00614F5A" w:rsidP="00614F5A">
      <w:pPr>
        <w:pStyle w:val="TDAckTitle"/>
      </w:pPr>
      <w:r w:rsidRPr="00A71C00">
        <w:t>ACKNOWLEDGMENT</w:t>
      </w:r>
      <w:r w:rsidRPr="00BE533F">
        <w:t xml:space="preserve"> </w:t>
      </w:r>
    </w:p>
    <w:p w:rsidR="00614F5A" w:rsidRDefault="00614F5A" w:rsidP="00614F5A">
      <w:pPr>
        <w:pStyle w:val="TDAcknowledgments"/>
      </w:pPr>
      <w:r>
        <w:t>The authors would like to thank the Engineering and Phys</w:t>
      </w:r>
      <w:r>
        <w:t>i</w:t>
      </w:r>
      <w:r>
        <w:t>cal Sciences Research Council (EPSRC) for supporting this work.</w:t>
      </w:r>
    </w:p>
    <w:p w:rsidR="00614F5A" w:rsidRDefault="00614F5A" w:rsidP="00614F5A">
      <w:pPr>
        <w:pStyle w:val="TDAckTitle"/>
      </w:pPr>
      <w:r>
        <w:t>ABBREVIATIONS</w:t>
      </w:r>
    </w:p>
    <w:p w:rsidR="00614F5A" w:rsidRDefault="00614F5A" w:rsidP="00614F5A">
      <w:pPr>
        <w:pStyle w:val="TDAcknowledgments"/>
      </w:pPr>
      <w:r>
        <w:t>LSPR localized surface plasmon resonance;</w:t>
      </w:r>
      <w:r w:rsidRPr="00101D1F">
        <w:t xml:space="preserve"> </w:t>
      </w:r>
      <w:r>
        <w:t>RET resonant energy transfer.</w:t>
      </w:r>
    </w:p>
    <w:p w:rsidR="00614F5A" w:rsidRPr="00101D1F" w:rsidRDefault="00614F5A" w:rsidP="00614F5A">
      <w:pPr>
        <w:pStyle w:val="TDAckTitle"/>
      </w:pPr>
      <w:r>
        <w:t>REFERENCES</w:t>
      </w:r>
    </w:p>
    <w:p w:rsidR="00614F5A" w:rsidRPr="008D1E22" w:rsidRDefault="00614F5A" w:rsidP="00614F5A">
      <w:pPr>
        <w:pStyle w:val="TFReferencesSection"/>
      </w:pPr>
      <w:r w:rsidRPr="008D1E22">
        <w:t xml:space="preserve">(1) Chong, M. N.; </w:t>
      </w:r>
      <w:proofErr w:type="spellStart"/>
      <w:r w:rsidRPr="008D1E22">
        <w:t>Jin</w:t>
      </w:r>
      <w:proofErr w:type="spellEnd"/>
      <w:r w:rsidRPr="008D1E22">
        <w:t>, B.; Chow, C. W. K.; Saint, C. Water Res. 2010, 44 (10), 2997–3027.</w:t>
      </w:r>
    </w:p>
    <w:p w:rsidR="00614F5A" w:rsidRPr="008D1E22" w:rsidRDefault="00614F5A" w:rsidP="00614F5A">
      <w:pPr>
        <w:pStyle w:val="TFReferencesSection"/>
      </w:pPr>
      <w:r w:rsidRPr="008D1E22">
        <w:t xml:space="preserve">(2) Prairie, M. R.; Evans, L. R.; </w:t>
      </w:r>
      <w:proofErr w:type="spellStart"/>
      <w:r w:rsidRPr="008D1E22">
        <w:t>Stange</w:t>
      </w:r>
      <w:proofErr w:type="spellEnd"/>
      <w:r w:rsidRPr="008D1E22">
        <w:t>, B. M.; Martinez, S. L. Environ. Sci. Technol. 1993, 27 (9), 1776–1782.</w:t>
      </w:r>
    </w:p>
    <w:p w:rsidR="00614F5A" w:rsidRPr="008D1E22" w:rsidRDefault="00614F5A" w:rsidP="00614F5A">
      <w:pPr>
        <w:pStyle w:val="TFReferencesSection"/>
      </w:pPr>
      <w:r w:rsidRPr="008D1E22">
        <w:t xml:space="preserve">(3) He, H.; Liu, C.; Dubois, K. D.; </w:t>
      </w:r>
      <w:proofErr w:type="spellStart"/>
      <w:r w:rsidRPr="008D1E22">
        <w:t>Jin</w:t>
      </w:r>
      <w:proofErr w:type="spellEnd"/>
      <w:r w:rsidRPr="008D1E22">
        <w:t>, T.; Louis, M. E.; Li, G. Ind. Eng. Chem. Res. 2012, 51, 11841–11849.</w:t>
      </w:r>
    </w:p>
    <w:p w:rsidR="00614F5A" w:rsidRPr="008D1E22" w:rsidRDefault="00614F5A" w:rsidP="00614F5A">
      <w:pPr>
        <w:pStyle w:val="TFReferencesSection"/>
      </w:pPr>
      <w:r w:rsidRPr="008D1E22">
        <w:t xml:space="preserve"> (4) Hoffmann, M. R.; Martin, S. T.; Choi, W.; </w:t>
      </w:r>
      <w:proofErr w:type="spellStart"/>
      <w:r w:rsidRPr="008D1E22">
        <w:t>Bahnemannt</w:t>
      </w:r>
      <w:proofErr w:type="spellEnd"/>
      <w:r w:rsidRPr="008D1E22">
        <w:t>, D. W. Chem. Rev. 1995, 95 (1), 69–96.</w:t>
      </w:r>
    </w:p>
    <w:p w:rsidR="00614F5A" w:rsidRPr="008D1E22" w:rsidRDefault="00614F5A" w:rsidP="00614F5A">
      <w:pPr>
        <w:pStyle w:val="TFReferencesSection"/>
      </w:pPr>
      <w:r w:rsidRPr="008D1E22">
        <w:t xml:space="preserve">(5) </w:t>
      </w:r>
      <w:proofErr w:type="spellStart"/>
      <w:r w:rsidRPr="008D1E22">
        <w:t>Wold</w:t>
      </w:r>
      <w:proofErr w:type="spellEnd"/>
      <w:r w:rsidRPr="008D1E22">
        <w:t>, A. Chem. Mater. 1992, 5 (3), 280–283.</w:t>
      </w:r>
    </w:p>
    <w:p w:rsidR="00614F5A" w:rsidRPr="008D1E22" w:rsidRDefault="00614F5A" w:rsidP="00614F5A">
      <w:pPr>
        <w:pStyle w:val="TFReferencesSection"/>
      </w:pPr>
      <w:r w:rsidRPr="008D1E22">
        <w:t xml:space="preserve">(6) Hashimoto, K.; </w:t>
      </w:r>
      <w:proofErr w:type="spellStart"/>
      <w:r w:rsidRPr="008D1E22">
        <w:t>Irie</w:t>
      </w:r>
      <w:proofErr w:type="spellEnd"/>
      <w:r w:rsidRPr="008D1E22">
        <w:t xml:space="preserve">, H.; </w:t>
      </w:r>
      <w:proofErr w:type="spellStart"/>
      <w:r w:rsidRPr="008D1E22">
        <w:t>Fujishima</w:t>
      </w:r>
      <w:proofErr w:type="spellEnd"/>
      <w:r w:rsidRPr="008D1E22">
        <w:t xml:space="preserve">, A. </w:t>
      </w:r>
      <w:proofErr w:type="spellStart"/>
      <w:r w:rsidRPr="008D1E22">
        <w:t>Jpn</w:t>
      </w:r>
      <w:proofErr w:type="spellEnd"/>
      <w:r w:rsidRPr="008D1E22">
        <w:t>. J. Appl. Phys. 2005, 44 (12), 8269–8285.</w:t>
      </w:r>
    </w:p>
    <w:p w:rsidR="00614F5A" w:rsidRPr="008D1E22" w:rsidRDefault="00614F5A" w:rsidP="00614F5A">
      <w:pPr>
        <w:pStyle w:val="TFReferencesSection"/>
      </w:pPr>
      <w:r w:rsidRPr="008D1E22">
        <w:t xml:space="preserve">(7) </w:t>
      </w:r>
      <w:proofErr w:type="spellStart"/>
      <w:r w:rsidRPr="008D1E22">
        <w:t>Kamat</w:t>
      </w:r>
      <w:proofErr w:type="spellEnd"/>
      <w:r w:rsidRPr="008D1E22">
        <w:t>, P. V. J. Phys. Chem. C 2012, 116 (22), 11849–11851.</w:t>
      </w:r>
    </w:p>
    <w:p w:rsidR="00614F5A" w:rsidRPr="008D1E22" w:rsidRDefault="00614F5A" w:rsidP="00614F5A">
      <w:pPr>
        <w:pStyle w:val="TFReferencesSection"/>
      </w:pPr>
      <w:r w:rsidRPr="008D1E22">
        <w:t>(8) Chen, X.; Mao, S. S. Chem. Rev. 2007, 107 (7), 2891–2959.</w:t>
      </w:r>
    </w:p>
    <w:p w:rsidR="00614F5A" w:rsidRPr="00821457" w:rsidRDefault="00614F5A" w:rsidP="00614F5A">
      <w:pPr>
        <w:pStyle w:val="TFReferencesSection"/>
        <w:rPr>
          <w:lang w:val="pt-BR"/>
        </w:rPr>
      </w:pPr>
      <w:r w:rsidRPr="008D1E22">
        <w:t xml:space="preserve">(9) Kumar, S. G.; Devi, L. G. J. Phys. Chem. </w:t>
      </w:r>
      <w:r w:rsidRPr="00821457">
        <w:rPr>
          <w:lang w:val="pt-BR"/>
        </w:rPr>
        <w:t>A 2011, 115 (46), 13211–13241.</w:t>
      </w:r>
    </w:p>
    <w:p w:rsidR="00614F5A" w:rsidRPr="009A5F68" w:rsidRDefault="00614F5A" w:rsidP="00614F5A">
      <w:pPr>
        <w:pStyle w:val="TFReferencesSection"/>
        <w:rPr>
          <w:lang w:val="pt-BR"/>
        </w:rPr>
      </w:pPr>
      <w:r w:rsidRPr="00821457">
        <w:rPr>
          <w:lang w:val="pt-BR"/>
        </w:rPr>
        <w:t xml:space="preserve">(10) Linsebigler, A. L.; Lu, G.; Yates, J. T. Chem. </w:t>
      </w:r>
      <w:r w:rsidRPr="009A5F68">
        <w:rPr>
          <w:lang w:val="pt-BR"/>
        </w:rPr>
        <w:t>Rev. 1995, 95 (3), 735–758.</w:t>
      </w:r>
    </w:p>
    <w:p w:rsidR="00614F5A" w:rsidRPr="009A5F68" w:rsidRDefault="00614F5A" w:rsidP="00614F5A">
      <w:pPr>
        <w:pStyle w:val="TFReferencesSection"/>
        <w:rPr>
          <w:lang w:val="pt-BR"/>
        </w:rPr>
      </w:pPr>
      <w:r w:rsidRPr="009A5F68">
        <w:rPr>
          <w:lang w:val="pt-BR"/>
        </w:rPr>
        <w:t>(11) Fujishima, A.; Honda, K. Nature 1972, 238, 37–38.</w:t>
      </w:r>
    </w:p>
    <w:p w:rsidR="00614F5A" w:rsidRPr="008D1E22" w:rsidRDefault="00614F5A" w:rsidP="00614F5A">
      <w:pPr>
        <w:pStyle w:val="TFReferencesSection"/>
      </w:pPr>
      <w:r w:rsidRPr="008D1E22">
        <w:t xml:space="preserve">(12) Roy, S.; Varghese, O.; </w:t>
      </w:r>
      <w:proofErr w:type="spellStart"/>
      <w:r w:rsidRPr="008D1E22">
        <w:t>Paulose</w:t>
      </w:r>
      <w:proofErr w:type="spellEnd"/>
      <w:r w:rsidRPr="008D1E22">
        <w:t>, M.; Grimes, C. ACS Nano 2010, 4 (3), 1259–1278.</w:t>
      </w:r>
    </w:p>
    <w:p w:rsidR="00614F5A" w:rsidRPr="008D1E22" w:rsidRDefault="00614F5A" w:rsidP="00614F5A">
      <w:pPr>
        <w:pStyle w:val="TFReferencesSection"/>
      </w:pPr>
      <w:r w:rsidRPr="008D1E22">
        <w:t xml:space="preserve">(13) </w:t>
      </w:r>
      <w:proofErr w:type="spellStart"/>
      <w:r w:rsidRPr="008D1E22">
        <w:t>O’Regan</w:t>
      </w:r>
      <w:proofErr w:type="spellEnd"/>
      <w:r w:rsidRPr="008D1E22">
        <w:t xml:space="preserve">, B.; </w:t>
      </w:r>
      <w:proofErr w:type="spellStart"/>
      <w:r w:rsidRPr="008D1E22">
        <w:t>Grätzel</w:t>
      </w:r>
      <w:proofErr w:type="spellEnd"/>
      <w:r w:rsidRPr="008D1E22">
        <w:t>, M. Nature 1991, 353 (6346), 737–740.</w:t>
      </w:r>
    </w:p>
    <w:p w:rsidR="00614F5A" w:rsidRPr="008D1E22" w:rsidRDefault="00614F5A" w:rsidP="00614F5A">
      <w:pPr>
        <w:pStyle w:val="TFReferencesSection"/>
      </w:pPr>
      <w:r w:rsidRPr="008D1E22">
        <w:t xml:space="preserve">(14) Wang, C.-M.; </w:t>
      </w:r>
      <w:proofErr w:type="spellStart"/>
      <w:r w:rsidRPr="008D1E22">
        <w:t>Gerischer</w:t>
      </w:r>
      <w:proofErr w:type="spellEnd"/>
      <w:r w:rsidRPr="008D1E22">
        <w:t>, H.; Heller, A. J. Am. Chem. Soc. 1992, 114 (17), 5230–5234.</w:t>
      </w:r>
    </w:p>
    <w:p w:rsidR="00614F5A" w:rsidRPr="008D1E22" w:rsidRDefault="00614F5A" w:rsidP="00614F5A">
      <w:pPr>
        <w:pStyle w:val="TFReferencesSection"/>
      </w:pPr>
      <w:r w:rsidRPr="008D1E22">
        <w:t>(15) Zhao, J.; Wu, T.; Wu, K.; Oikawa, K. Environ. Sci. Technol. 1998, 32 (16), 2394–2400.</w:t>
      </w:r>
    </w:p>
    <w:p w:rsidR="00614F5A" w:rsidRPr="008D1E22" w:rsidRDefault="00614F5A" w:rsidP="00614F5A">
      <w:pPr>
        <w:pStyle w:val="TFReferencesSection"/>
      </w:pPr>
      <w:r w:rsidRPr="008D1E22">
        <w:t xml:space="preserve">(16) Wu, T.; Liu, G.; Zhao, J.; </w:t>
      </w:r>
      <w:proofErr w:type="spellStart"/>
      <w:r w:rsidRPr="008D1E22">
        <w:t>Serpone</w:t>
      </w:r>
      <w:proofErr w:type="spellEnd"/>
      <w:r w:rsidRPr="008D1E22">
        <w:t>, N. J. Phys. Chem. B 1998, 5647 (1), 5845–5851.</w:t>
      </w:r>
    </w:p>
    <w:p w:rsidR="00614F5A" w:rsidRPr="008D1E22" w:rsidRDefault="00614F5A" w:rsidP="00614F5A">
      <w:pPr>
        <w:pStyle w:val="TFReferencesSection"/>
      </w:pPr>
      <w:r w:rsidRPr="008D1E22">
        <w:t xml:space="preserve">(17) </w:t>
      </w:r>
      <w:proofErr w:type="spellStart"/>
      <w:r w:rsidRPr="008D1E22">
        <w:t>Aarthi</w:t>
      </w:r>
      <w:proofErr w:type="spellEnd"/>
      <w:r w:rsidRPr="008D1E22">
        <w:t>, T.; Madras, G. Ind. Eng. Chem. Res. 2007, 7–14.</w:t>
      </w:r>
    </w:p>
    <w:p w:rsidR="00614F5A" w:rsidRPr="008172CA" w:rsidRDefault="00614F5A" w:rsidP="00614F5A">
      <w:pPr>
        <w:pStyle w:val="TFReferencesSection"/>
      </w:pPr>
      <w:r w:rsidRPr="008172CA">
        <w:t xml:space="preserve">(18) Liu, Z.; </w:t>
      </w:r>
      <w:proofErr w:type="spellStart"/>
      <w:r w:rsidRPr="008172CA">
        <w:t>Hou</w:t>
      </w:r>
      <w:proofErr w:type="spellEnd"/>
      <w:r w:rsidRPr="008172CA">
        <w:t xml:space="preserve">, W.; </w:t>
      </w:r>
      <w:proofErr w:type="spellStart"/>
      <w:r w:rsidRPr="008172CA">
        <w:t>Pavaskar</w:t>
      </w:r>
      <w:proofErr w:type="spellEnd"/>
      <w:r w:rsidRPr="008172CA">
        <w:t xml:space="preserve">, P.; </w:t>
      </w:r>
      <w:proofErr w:type="spellStart"/>
      <w:r w:rsidRPr="008172CA">
        <w:t>Aykol</w:t>
      </w:r>
      <w:proofErr w:type="spellEnd"/>
      <w:r w:rsidRPr="008172CA">
        <w:t>, M.; Cronin, S. B. Nano Lett. 2011, 11, 1111–1116.</w:t>
      </w:r>
    </w:p>
    <w:p w:rsidR="00614F5A" w:rsidRPr="008D1E22" w:rsidRDefault="00614F5A" w:rsidP="00614F5A">
      <w:pPr>
        <w:pStyle w:val="TFReferencesSection"/>
      </w:pPr>
      <w:r w:rsidRPr="008D1E22">
        <w:t xml:space="preserve">(19) </w:t>
      </w:r>
      <w:proofErr w:type="spellStart"/>
      <w:r w:rsidRPr="008D1E22">
        <w:t>Kuvarega</w:t>
      </w:r>
      <w:proofErr w:type="spellEnd"/>
      <w:r w:rsidRPr="008D1E22">
        <w:t>, A. T.; Krause, R. W. M.; Mamba, B. B. J. Phys. Chem. C 2011, 115, 22110–22120.</w:t>
      </w:r>
    </w:p>
    <w:p w:rsidR="00614F5A" w:rsidRPr="008D1E22" w:rsidRDefault="00614F5A" w:rsidP="00614F5A">
      <w:pPr>
        <w:pStyle w:val="TFReferencesSection"/>
      </w:pPr>
      <w:r w:rsidRPr="008D1E22">
        <w:t>(20) Zhang, N.; Liu, S.; Fu, X.; Xu, Y. J. Phys. Chem. C 2011, 2, 9136–9145.</w:t>
      </w:r>
    </w:p>
    <w:p w:rsidR="00614F5A" w:rsidRPr="008D1E22" w:rsidRDefault="00614F5A" w:rsidP="00614F5A">
      <w:pPr>
        <w:pStyle w:val="TFReferencesSection"/>
      </w:pPr>
      <w:r w:rsidRPr="008D1E22">
        <w:t>(21) Liu, R.; Wang, P.; Wang, X.; Yu, H.; Yu, J. J. Phys. Chem. C 2012, 116 (33), 17721–17728.</w:t>
      </w:r>
    </w:p>
    <w:p w:rsidR="00614F5A" w:rsidRPr="008D1E22" w:rsidRDefault="00614F5A" w:rsidP="00614F5A">
      <w:pPr>
        <w:pStyle w:val="TFReferencesSection"/>
      </w:pPr>
      <w:r w:rsidRPr="008D1E22">
        <w:t>(22) Wang, Q.; Chen, C.; Zhao, D.; Ma, W.; Zhao, J. Langmuir 2008, 24 (14), 7338–7345.</w:t>
      </w:r>
    </w:p>
    <w:p w:rsidR="00614F5A" w:rsidRPr="008D1E22" w:rsidRDefault="00614F5A" w:rsidP="00614F5A">
      <w:pPr>
        <w:pStyle w:val="TFReferencesSection"/>
      </w:pPr>
      <w:r w:rsidRPr="008D1E22">
        <w:t xml:space="preserve">(23) Choi, W.; </w:t>
      </w:r>
      <w:proofErr w:type="spellStart"/>
      <w:r w:rsidRPr="008D1E22">
        <w:t>Termin</w:t>
      </w:r>
      <w:proofErr w:type="spellEnd"/>
      <w:r w:rsidRPr="008D1E22">
        <w:t>, A.; Hoffmann, M. R. J. Phys. Chem. 1994, 98 (51), 13669–13679.</w:t>
      </w:r>
    </w:p>
    <w:p w:rsidR="00614F5A" w:rsidRPr="008D1E22" w:rsidRDefault="00614F5A" w:rsidP="00614F5A">
      <w:pPr>
        <w:pStyle w:val="TFReferencesSection"/>
      </w:pPr>
      <w:r w:rsidRPr="008D1E22">
        <w:t xml:space="preserve">(24) Lu, X.; </w:t>
      </w:r>
      <w:proofErr w:type="spellStart"/>
      <w:r w:rsidRPr="008D1E22">
        <w:t>Rycenga</w:t>
      </w:r>
      <w:proofErr w:type="spellEnd"/>
      <w:r w:rsidRPr="008D1E22">
        <w:t xml:space="preserve">, M.; </w:t>
      </w:r>
      <w:proofErr w:type="spellStart"/>
      <w:r w:rsidRPr="008D1E22">
        <w:t>Skrabalak</w:t>
      </w:r>
      <w:proofErr w:type="spellEnd"/>
      <w:r w:rsidRPr="008D1E22">
        <w:t xml:space="preserve">, S. E.; Wiley, B.; Xia, Y. </w:t>
      </w:r>
      <w:proofErr w:type="spellStart"/>
      <w:r w:rsidRPr="008D1E22">
        <w:t>Annu</w:t>
      </w:r>
      <w:proofErr w:type="spellEnd"/>
      <w:r w:rsidRPr="008D1E22">
        <w:t>. Rev. Phys. Chem. 2009, 60, 167–192.</w:t>
      </w:r>
    </w:p>
    <w:p w:rsidR="00614F5A" w:rsidRPr="008D1E22" w:rsidRDefault="00614F5A" w:rsidP="00614F5A">
      <w:pPr>
        <w:pStyle w:val="TFReferencesSection"/>
      </w:pPr>
      <w:r w:rsidRPr="008D1E22">
        <w:t xml:space="preserve">(25) </w:t>
      </w:r>
      <w:proofErr w:type="spellStart"/>
      <w:r w:rsidRPr="008D1E22">
        <w:t>Kochuveedu</w:t>
      </w:r>
      <w:proofErr w:type="spellEnd"/>
      <w:r w:rsidRPr="008D1E22">
        <w:t>, S.; Kim, D. D. J. Phys. Chem. C 2012, 116 (3), 2500–2506.</w:t>
      </w:r>
    </w:p>
    <w:p w:rsidR="00614F5A" w:rsidRPr="008D1E22" w:rsidRDefault="00614F5A" w:rsidP="00614F5A">
      <w:pPr>
        <w:pStyle w:val="TFReferencesSection"/>
      </w:pPr>
      <w:r w:rsidRPr="008D1E22">
        <w:lastRenderedPageBreak/>
        <w:t xml:space="preserve">(26) Cushing, S. K.; Li, J.; </w:t>
      </w:r>
      <w:proofErr w:type="spellStart"/>
      <w:r w:rsidRPr="008D1E22">
        <w:t>Meng</w:t>
      </w:r>
      <w:proofErr w:type="spellEnd"/>
      <w:r w:rsidRPr="008D1E22">
        <w:t xml:space="preserve">, F.; </w:t>
      </w:r>
      <w:proofErr w:type="spellStart"/>
      <w:r w:rsidRPr="008D1E22">
        <w:t>Senty</w:t>
      </w:r>
      <w:proofErr w:type="spellEnd"/>
      <w:r w:rsidRPr="008D1E22">
        <w:t xml:space="preserve">, T. R.; Suri, S.; </w:t>
      </w:r>
      <w:proofErr w:type="spellStart"/>
      <w:r w:rsidRPr="008D1E22">
        <w:t>Zhi</w:t>
      </w:r>
      <w:proofErr w:type="spellEnd"/>
      <w:r w:rsidRPr="008D1E22">
        <w:t>, M.; Li, M.; Bristow, A. D.; Wu, N. J. Am. Chem. Soc. 2012, 134, 15033–15041.</w:t>
      </w:r>
    </w:p>
    <w:p w:rsidR="00614F5A" w:rsidRPr="008D1E22" w:rsidRDefault="00614F5A" w:rsidP="00614F5A">
      <w:pPr>
        <w:pStyle w:val="TFReferencesSection"/>
      </w:pPr>
      <w:r w:rsidRPr="008D1E22">
        <w:t xml:space="preserve">(27) </w:t>
      </w:r>
      <w:proofErr w:type="spellStart"/>
      <w:r w:rsidRPr="008D1E22">
        <w:t>Hutter</w:t>
      </w:r>
      <w:proofErr w:type="spellEnd"/>
      <w:r w:rsidRPr="008D1E22">
        <w:t xml:space="preserve">, E.; </w:t>
      </w:r>
      <w:proofErr w:type="spellStart"/>
      <w:r w:rsidRPr="008D1E22">
        <w:t>Fendler</w:t>
      </w:r>
      <w:proofErr w:type="spellEnd"/>
      <w:r w:rsidRPr="008D1E22">
        <w:t>, J. H. Adv. Mater. 2004, 16 (19), 1685–1706.</w:t>
      </w:r>
    </w:p>
    <w:p w:rsidR="00614F5A" w:rsidRPr="008D1E22" w:rsidRDefault="00614F5A" w:rsidP="00614F5A">
      <w:pPr>
        <w:pStyle w:val="TFReferencesSection"/>
      </w:pPr>
      <w:r w:rsidRPr="008D1E22">
        <w:t xml:space="preserve">(28) </w:t>
      </w:r>
      <w:proofErr w:type="spellStart"/>
      <w:r w:rsidRPr="008D1E22">
        <w:t>Noguez</w:t>
      </w:r>
      <w:proofErr w:type="spellEnd"/>
      <w:r w:rsidRPr="008D1E22">
        <w:t>, C. J. Phys. Chem. C 2007, 111 (10), 3806–3819.</w:t>
      </w:r>
    </w:p>
    <w:p w:rsidR="00614F5A" w:rsidRDefault="00614F5A" w:rsidP="00614F5A">
      <w:pPr>
        <w:pStyle w:val="TFReferencesSection"/>
        <w:rPr>
          <w:lang w:val="en-GB"/>
        </w:rPr>
      </w:pPr>
      <w:r>
        <w:rPr>
          <w:lang w:val="en-GB"/>
        </w:rPr>
        <w:t>(2</w:t>
      </w:r>
      <w:r w:rsidRPr="00E71937">
        <w:rPr>
          <w:lang w:val="en-GB"/>
        </w:rPr>
        <w:t xml:space="preserve">9) </w:t>
      </w:r>
      <w:r w:rsidRPr="00E71937">
        <w:rPr>
          <w:lang w:val="en-GB"/>
        </w:rPr>
        <w:tab/>
        <w:t xml:space="preserve">Leong, K. H.; Chu, H. Y.; Ibrahim, S.; </w:t>
      </w:r>
      <w:proofErr w:type="spellStart"/>
      <w:r w:rsidRPr="00E71937">
        <w:rPr>
          <w:lang w:val="en-GB"/>
        </w:rPr>
        <w:t>Saravanan</w:t>
      </w:r>
      <w:proofErr w:type="spellEnd"/>
      <w:r w:rsidRPr="00E71937">
        <w:rPr>
          <w:lang w:val="en-GB"/>
        </w:rPr>
        <w:t xml:space="preserve">, P. </w:t>
      </w:r>
      <w:proofErr w:type="spellStart"/>
      <w:r w:rsidRPr="00E71937">
        <w:rPr>
          <w:lang w:val="en-GB"/>
        </w:rPr>
        <w:t>Beilstein</w:t>
      </w:r>
      <w:proofErr w:type="spellEnd"/>
      <w:r w:rsidRPr="00E71937">
        <w:rPr>
          <w:lang w:val="en-GB"/>
        </w:rPr>
        <w:t xml:space="preserve"> J. </w:t>
      </w:r>
      <w:proofErr w:type="spellStart"/>
      <w:r w:rsidRPr="00E71937">
        <w:rPr>
          <w:lang w:val="en-GB"/>
        </w:rPr>
        <w:t>Nanotechnol</w:t>
      </w:r>
      <w:proofErr w:type="spellEnd"/>
      <w:r w:rsidRPr="00E71937">
        <w:rPr>
          <w:lang w:val="en-GB"/>
        </w:rPr>
        <w:t xml:space="preserve">. 2015, 6, 428–437. </w:t>
      </w:r>
    </w:p>
    <w:p w:rsidR="00614F5A" w:rsidRPr="008D1E22" w:rsidRDefault="00614F5A" w:rsidP="00614F5A">
      <w:pPr>
        <w:pStyle w:val="TFReferencesSection"/>
      </w:pPr>
      <w:r>
        <w:t>(30</w:t>
      </w:r>
      <w:r w:rsidRPr="008D1E22">
        <w:t xml:space="preserve">) </w:t>
      </w:r>
      <w:proofErr w:type="spellStart"/>
      <w:r w:rsidRPr="008D1E22">
        <w:t>Akpan</w:t>
      </w:r>
      <w:proofErr w:type="spellEnd"/>
      <w:r w:rsidRPr="008D1E22">
        <w:t xml:space="preserve">, U. G.; Hameed, B. H. J. Hazard. </w:t>
      </w:r>
      <w:proofErr w:type="gramStart"/>
      <w:r w:rsidRPr="008D1E22">
        <w:t>Mater.</w:t>
      </w:r>
      <w:proofErr w:type="gramEnd"/>
      <w:r w:rsidRPr="008D1E22">
        <w:t xml:space="preserve"> 2009, 170 (2-3), 520–529.</w:t>
      </w:r>
    </w:p>
    <w:p w:rsidR="00614F5A" w:rsidRPr="008D1E22" w:rsidRDefault="00614F5A" w:rsidP="00614F5A">
      <w:pPr>
        <w:pStyle w:val="TFReferencesSection"/>
      </w:pPr>
      <w:r>
        <w:t>(31</w:t>
      </w:r>
      <w:r w:rsidRPr="008D1E22">
        <w:t xml:space="preserve">) Zhang, Q.; Lima, D. Q.; Lee, I.; </w:t>
      </w:r>
      <w:proofErr w:type="spellStart"/>
      <w:r w:rsidRPr="008D1E22">
        <w:t>Zaera</w:t>
      </w:r>
      <w:proofErr w:type="spellEnd"/>
      <w:r w:rsidRPr="008D1E22">
        <w:t xml:space="preserve">, F.; Chi, M.; Yin, Y. </w:t>
      </w:r>
      <w:proofErr w:type="spellStart"/>
      <w:r w:rsidRPr="008D1E22">
        <w:t>Angew</w:t>
      </w:r>
      <w:proofErr w:type="spellEnd"/>
      <w:r w:rsidRPr="008D1E22">
        <w:t xml:space="preserve">. </w:t>
      </w:r>
      <w:proofErr w:type="spellStart"/>
      <w:r w:rsidRPr="008D1E22">
        <w:t>Chemie</w:t>
      </w:r>
      <w:proofErr w:type="spellEnd"/>
      <w:r w:rsidRPr="008D1E22">
        <w:t xml:space="preserve"> - Int. Ed. 2011, 50 (31), 7088–7092.</w:t>
      </w:r>
    </w:p>
    <w:p w:rsidR="00614F5A" w:rsidRPr="00DD78FA" w:rsidRDefault="00614F5A" w:rsidP="00614F5A">
      <w:pPr>
        <w:pStyle w:val="TFReferencesSection"/>
        <w:rPr>
          <w:lang w:val="pt-BR"/>
        </w:rPr>
      </w:pPr>
      <w:r>
        <w:t>(32</w:t>
      </w:r>
      <w:r w:rsidRPr="008D1E22">
        <w:t xml:space="preserve">) Yu, K.; Yang, S.; He, H.; Sun, C.; </w:t>
      </w:r>
      <w:proofErr w:type="spellStart"/>
      <w:r w:rsidRPr="008D1E22">
        <w:t>Gu</w:t>
      </w:r>
      <w:proofErr w:type="spellEnd"/>
      <w:r w:rsidRPr="008D1E22">
        <w:t xml:space="preserve">, C.; </w:t>
      </w:r>
      <w:proofErr w:type="spellStart"/>
      <w:r w:rsidRPr="008D1E22">
        <w:t>Ju</w:t>
      </w:r>
      <w:proofErr w:type="spellEnd"/>
      <w:r w:rsidRPr="008D1E22">
        <w:t xml:space="preserve">, Y. J. Phys. </w:t>
      </w:r>
      <w:r w:rsidRPr="00DD78FA">
        <w:rPr>
          <w:lang w:val="pt-BR"/>
        </w:rPr>
        <w:t>Chem. A 2009, 113 (37), 10024–10032.</w:t>
      </w:r>
    </w:p>
    <w:p w:rsidR="00614F5A" w:rsidRPr="00E71937" w:rsidRDefault="00614F5A" w:rsidP="00614F5A">
      <w:pPr>
        <w:pStyle w:val="TFReferencesSection"/>
        <w:rPr>
          <w:lang w:val="pt-BR"/>
        </w:rPr>
      </w:pPr>
      <w:r>
        <w:rPr>
          <w:lang w:val="pt-BR"/>
        </w:rPr>
        <w:t>(33</w:t>
      </w:r>
      <w:r w:rsidRPr="00E71937">
        <w:rPr>
          <w:lang w:val="pt-BR"/>
        </w:rPr>
        <w:t xml:space="preserve">) </w:t>
      </w:r>
      <w:r w:rsidRPr="00E71937">
        <w:rPr>
          <w:lang w:val="pt-BR"/>
        </w:rPr>
        <w:tab/>
        <w:t>Campelo, J. M.; Luna, D.; Luque, R.; Marinas, J. M.; Romero, A. a. ChemSusChem 2009, 2 (1), 18–45.</w:t>
      </w:r>
    </w:p>
    <w:p w:rsidR="00614F5A" w:rsidRPr="00E71937" w:rsidRDefault="00614F5A" w:rsidP="00614F5A">
      <w:pPr>
        <w:pStyle w:val="TFReferencesSection"/>
        <w:rPr>
          <w:lang w:val="en-GB"/>
        </w:rPr>
      </w:pPr>
      <w:r>
        <w:rPr>
          <w:lang w:val="en-GB"/>
        </w:rPr>
        <w:lastRenderedPageBreak/>
        <w:t>(34</w:t>
      </w:r>
      <w:r w:rsidRPr="00E71937">
        <w:rPr>
          <w:lang w:val="en-GB"/>
        </w:rPr>
        <w:t xml:space="preserve">) </w:t>
      </w:r>
      <w:r w:rsidRPr="00E71937">
        <w:rPr>
          <w:lang w:val="en-GB"/>
        </w:rPr>
        <w:tab/>
      </w:r>
      <w:proofErr w:type="spellStart"/>
      <w:r w:rsidRPr="00E71937">
        <w:rPr>
          <w:lang w:val="en-GB"/>
        </w:rPr>
        <w:t>Nørskov</w:t>
      </w:r>
      <w:proofErr w:type="spellEnd"/>
      <w:r w:rsidRPr="00E71937">
        <w:rPr>
          <w:lang w:val="en-GB"/>
        </w:rPr>
        <w:t xml:space="preserve">, J. K.; </w:t>
      </w:r>
      <w:proofErr w:type="spellStart"/>
      <w:r w:rsidRPr="00E71937">
        <w:rPr>
          <w:lang w:val="en-GB"/>
        </w:rPr>
        <w:t>Ressmeisl</w:t>
      </w:r>
      <w:proofErr w:type="spellEnd"/>
      <w:r w:rsidRPr="00E71937">
        <w:rPr>
          <w:lang w:val="en-GB"/>
        </w:rPr>
        <w:t xml:space="preserve">, J.; </w:t>
      </w:r>
      <w:proofErr w:type="spellStart"/>
      <w:r w:rsidRPr="00E71937">
        <w:rPr>
          <w:lang w:val="en-GB"/>
        </w:rPr>
        <w:t>Logadottir</w:t>
      </w:r>
      <w:proofErr w:type="spellEnd"/>
      <w:r w:rsidRPr="00E71937">
        <w:rPr>
          <w:lang w:val="en-GB"/>
        </w:rPr>
        <w:t xml:space="preserve">, a.; </w:t>
      </w:r>
      <w:proofErr w:type="spellStart"/>
      <w:r w:rsidRPr="00E71937">
        <w:rPr>
          <w:lang w:val="en-GB"/>
        </w:rPr>
        <w:t>Lindqvist</w:t>
      </w:r>
      <w:proofErr w:type="spellEnd"/>
      <w:r w:rsidRPr="00E71937">
        <w:rPr>
          <w:lang w:val="en-GB"/>
        </w:rPr>
        <w:t xml:space="preserve">, L.; </w:t>
      </w:r>
      <w:proofErr w:type="spellStart"/>
      <w:r w:rsidRPr="00E71937">
        <w:rPr>
          <w:lang w:val="en-GB"/>
        </w:rPr>
        <w:t>Kitchin</w:t>
      </w:r>
      <w:proofErr w:type="spellEnd"/>
      <w:r w:rsidRPr="00E71937">
        <w:rPr>
          <w:lang w:val="en-GB"/>
        </w:rPr>
        <w:t xml:space="preserve">, J. R.; </w:t>
      </w:r>
      <w:proofErr w:type="spellStart"/>
      <w:r w:rsidRPr="00E71937">
        <w:rPr>
          <w:lang w:val="en-GB"/>
        </w:rPr>
        <w:t>Bligaard</w:t>
      </w:r>
      <w:proofErr w:type="spellEnd"/>
      <w:r w:rsidRPr="00E71937">
        <w:rPr>
          <w:lang w:val="en-GB"/>
        </w:rPr>
        <w:t xml:space="preserve">, T.; </w:t>
      </w:r>
      <w:proofErr w:type="spellStart"/>
      <w:r w:rsidRPr="00E71937">
        <w:rPr>
          <w:lang w:val="en-GB"/>
        </w:rPr>
        <w:t>Jonsson</w:t>
      </w:r>
      <w:proofErr w:type="spellEnd"/>
      <w:r w:rsidRPr="00E71937">
        <w:rPr>
          <w:lang w:val="en-GB"/>
        </w:rPr>
        <w:t>, H. J. Phys. Chem. B 2004, 108, 17886–17892.</w:t>
      </w:r>
    </w:p>
    <w:p w:rsidR="00614F5A" w:rsidRPr="00E71937" w:rsidRDefault="00614F5A" w:rsidP="00614F5A">
      <w:pPr>
        <w:pStyle w:val="TFReferencesSection"/>
        <w:rPr>
          <w:lang w:val="en-GB"/>
        </w:rPr>
      </w:pPr>
      <w:r>
        <w:rPr>
          <w:lang w:val="en-GB"/>
        </w:rPr>
        <w:t>(35</w:t>
      </w:r>
      <w:r w:rsidRPr="00E71937">
        <w:rPr>
          <w:lang w:val="en-GB"/>
        </w:rPr>
        <w:t xml:space="preserve">) </w:t>
      </w:r>
      <w:r w:rsidRPr="00E71937">
        <w:rPr>
          <w:lang w:val="en-GB"/>
        </w:rPr>
        <w:tab/>
        <w:t xml:space="preserve">Cui, Y.; </w:t>
      </w:r>
      <w:proofErr w:type="spellStart"/>
      <w:r w:rsidRPr="00E71937">
        <w:rPr>
          <w:lang w:val="en-GB"/>
        </w:rPr>
        <w:t>Goldup</w:t>
      </w:r>
      <w:proofErr w:type="spellEnd"/>
      <w:r w:rsidRPr="00E71937">
        <w:rPr>
          <w:lang w:val="en-GB"/>
        </w:rPr>
        <w:t>, S. M.; Dunn, S. RSC Adv. 2015, 5 (38), 30372–30379.</w:t>
      </w:r>
    </w:p>
    <w:p w:rsidR="00614F5A" w:rsidRPr="00E71937" w:rsidRDefault="00614F5A" w:rsidP="00614F5A">
      <w:pPr>
        <w:pStyle w:val="TFReferencesSection"/>
        <w:rPr>
          <w:lang w:val="pt-BR"/>
        </w:rPr>
      </w:pPr>
      <w:r>
        <w:rPr>
          <w:lang w:val="pt-BR"/>
        </w:rPr>
        <w:t>(36</w:t>
      </w:r>
      <w:r w:rsidRPr="00E71937">
        <w:rPr>
          <w:lang w:val="pt-BR"/>
        </w:rPr>
        <w:t xml:space="preserve">) </w:t>
      </w:r>
      <w:r w:rsidRPr="00E71937">
        <w:rPr>
          <w:lang w:val="pt-BR"/>
        </w:rPr>
        <w:tab/>
        <w:t>Li, J.; Ma, W.; Chen, C.; Zhao, J.; Zhu, H.; Gao, X. J. Mol. Catal. A Chem. 2007, 261 (1), 131–138.</w:t>
      </w:r>
    </w:p>
    <w:p w:rsidR="00614F5A" w:rsidRPr="00E71937" w:rsidRDefault="00614F5A" w:rsidP="00614F5A">
      <w:pPr>
        <w:pStyle w:val="TFReferencesSection"/>
        <w:rPr>
          <w:lang w:val="en-GB"/>
        </w:rPr>
      </w:pPr>
      <w:r>
        <w:rPr>
          <w:lang w:val="pt-BR"/>
        </w:rPr>
        <w:t>(37</w:t>
      </w:r>
      <w:r w:rsidRPr="00E71937">
        <w:rPr>
          <w:lang w:val="pt-BR"/>
        </w:rPr>
        <w:t xml:space="preserve">) </w:t>
      </w:r>
      <w:r w:rsidRPr="00E71937">
        <w:rPr>
          <w:lang w:val="pt-BR"/>
        </w:rPr>
        <w:tab/>
        <w:t xml:space="preserve">Li, J.; Ma, W.-H.; Lei, P.-X.; Zhao, J.-C. J. Environ. </w:t>
      </w:r>
      <w:r w:rsidRPr="00E71937">
        <w:rPr>
          <w:lang w:val="en-GB"/>
        </w:rPr>
        <w:t>Sci. (China) 2007, 19 (7), 892–896.</w:t>
      </w:r>
    </w:p>
    <w:p w:rsidR="00614F5A" w:rsidRPr="00E71937" w:rsidRDefault="00614F5A" w:rsidP="00614F5A">
      <w:pPr>
        <w:pStyle w:val="TFReferencesSection"/>
        <w:rPr>
          <w:lang w:val="en-GB"/>
        </w:rPr>
      </w:pPr>
      <w:r>
        <w:rPr>
          <w:lang w:val="en-GB"/>
        </w:rPr>
        <w:t>(38</w:t>
      </w:r>
      <w:r w:rsidRPr="00E71937">
        <w:rPr>
          <w:lang w:val="en-GB"/>
        </w:rPr>
        <w:t xml:space="preserve">) </w:t>
      </w:r>
      <w:r w:rsidRPr="00E71937">
        <w:rPr>
          <w:lang w:val="en-GB"/>
        </w:rPr>
        <w:tab/>
      </w:r>
      <w:proofErr w:type="spellStart"/>
      <w:r w:rsidRPr="00E71937">
        <w:rPr>
          <w:lang w:val="en-GB"/>
        </w:rPr>
        <w:t>Xiong</w:t>
      </w:r>
      <w:proofErr w:type="spellEnd"/>
      <w:r w:rsidRPr="00E71937">
        <w:rPr>
          <w:lang w:val="en-GB"/>
        </w:rPr>
        <w:t>, Y.; Chen, J.; Wiley, B.; Xia, Y.; Yin, Y.; Li, Z. Y. Nano Lett. 2005, 5 (7), 1237–1242.</w:t>
      </w:r>
    </w:p>
    <w:p w:rsidR="00614F5A" w:rsidRPr="00DD78FA" w:rsidRDefault="00614F5A" w:rsidP="00614F5A">
      <w:pPr>
        <w:pStyle w:val="TFReferencesSection"/>
        <w:rPr>
          <w:lang w:val="en-GB"/>
        </w:rPr>
      </w:pPr>
      <w:r>
        <w:rPr>
          <w:lang w:val="en-GB"/>
        </w:rPr>
        <w:t>(39</w:t>
      </w:r>
      <w:r w:rsidRPr="00E71937">
        <w:rPr>
          <w:lang w:val="en-GB"/>
        </w:rPr>
        <w:t xml:space="preserve">) </w:t>
      </w:r>
      <w:r w:rsidRPr="00E71937">
        <w:rPr>
          <w:lang w:val="en-GB"/>
        </w:rPr>
        <w:tab/>
        <w:t xml:space="preserve">Kelly, K. L.; Coronado, E.; Zhao, L. L.; Schatz, G. C. J. Phys. </w:t>
      </w:r>
      <w:r w:rsidRPr="00DD78FA">
        <w:rPr>
          <w:lang w:val="en-GB"/>
        </w:rPr>
        <w:t>Chem. B 2003, 107 (3), 668–677.</w:t>
      </w:r>
    </w:p>
    <w:p w:rsidR="00614F5A" w:rsidRPr="008D1E22" w:rsidRDefault="00614F5A" w:rsidP="00614F5A">
      <w:pPr>
        <w:pStyle w:val="TFReferencesSection"/>
      </w:pPr>
      <w:r w:rsidRPr="008D1E22">
        <w:t xml:space="preserve"> (</w:t>
      </w:r>
      <w:r>
        <w:t>40</w:t>
      </w:r>
      <w:r w:rsidRPr="008D1E22">
        <w:t xml:space="preserve">) </w:t>
      </w:r>
      <w:proofErr w:type="spellStart"/>
      <w:r w:rsidRPr="008D1E22">
        <w:t>Sá</w:t>
      </w:r>
      <w:proofErr w:type="spellEnd"/>
      <w:r w:rsidRPr="008D1E22">
        <w:t xml:space="preserve">, J.; Tagliabue, G.; </w:t>
      </w:r>
      <w:proofErr w:type="spellStart"/>
      <w:r w:rsidRPr="008D1E22">
        <w:t>Friedli</w:t>
      </w:r>
      <w:proofErr w:type="spellEnd"/>
      <w:r w:rsidRPr="008D1E22">
        <w:t xml:space="preserve">, P.; </w:t>
      </w:r>
      <w:proofErr w:type="spellStart"/>
      <w:r w:rsidRPr="008D1E22">
        <w:t>Szlachetko</w:t>
      </w:r>
      <w:proofErr w:type="spellEnd"/>
      <w:r w:rsidRPr="008D1E22">
        <w:t xml:space="preserve">, J.; </w:t>
      </w:r>
      <w:proofErr w:type="spellStart"/>
      <w:r w:rsidRPr="008D1E22">
        <w:t>Rittmann</w:t>
      </w:r>
      <w:proofErr w:type="spellEnd"/>
      <w:r w:rsidRPr="008D1E22">
        <w:t xml:space="preserve">-Frank, M. H.; </w:t>
      </w:r>
      <w:proofErr w:type="spellStart"/>
      <w:r w:rsidRPr="008D1E22">
        <w:t>Santomauro</w:t>
      </w:r>
      <w:proofErr w:type="spellEnd"/>
      <w:r w:rsidRPr="008D1E22">
        <w:t xml:space="preserve">, F. G.; Milne, C. J.; </w:t>
      </w:r>
      <w:proofErr w:type="spellStart"/>
      <w:r w:rsidRPr="008D1E22">
        <w:t>Sigg</w:t>
      </w:r>
      <w:proofErr w:type="spellEnd"/>
      <w:r w:rsidRPr="008D1E22">
        <w:t>, H. Energy Environ. Sci. 2013, 6 (12), 3584–3588.</w:t>
      </w:r>
    </w:p>
    <w:p w:rsidR="00614F5A" w:rsidRDefault="00614F5A" w:rsidP="00614F5A">
      <w:pPr>
        <w:pStyle w:val="TFReferencesSection"/>
      </w:pPr>
      <w:r>
        <w:rPr>
          <w:noProof/>
        </w:rPr>
        <w:t xml:space="preserve">(41) </w:t>
      </w:r>
      <w:r w:rsidRPr="00E71937">
        <w:rPr>
          <w:noProof/>
        </w:rPr>
        <w:t>Clavero, C. Nat. Photonics 2014, 8 (2), 95–103</w:t>
      </w:r>
    </w:p>
    <w:p w:rsidR="00614F5A" w:rsidRDefault="00614F5A" w:rsidP="00614F5A"/>
    <w:p w:rsidR="00614F5A" w:rsidRPr="00FF38C3" w:rsidRDefault="00614F5A" w:rsidP="00614F5A">
      <w:pPr>
        <w:sectPr w:rsidR="00614F5A" w:rsidRPr="00FF38C3" w:rsidSect="003626C6">
          <w:type w:val="continuous"/>
          <w:pgSz w:w="12240" w:h="15840"/>
          <w:pgMar w:top="720" w:right="1094" w:bottom="720" w:left="1094" w:header="720" w:footer="720" w:gutter="0"/>
          <w:cols w:num="2" w:space="461"/>
        </w:sectPr>
      </w:pPr>
    </w:p>
    <w:p w:rsidR="00614F5A" w:rsidRDefault="00614F5A" w:rsidP="00614F5A">
      <w:pPr>
        <w:pStyle w:val="SNSynopsisTOC"/>
      </w:pPr>
      <w:r>
        <w:lastRenderedPageBreak/>
        <w:br w:type="page"/>
      </w:r>
      <w:r w:rsidRPr="00C45E7B">
        <w:lastRenderedPageBreak/>
        <w:t>Insert Table of Contents artwork here</w:t>
      </w:r>
    </w:p>
    <w:p w:rsidR="00614F5A" w:rsidRDefault="00614F5A" w:rsidP="00614F5A">
      <w:pPr>
        <w:pBdr>
          <w:bottom w:val="single" w:sz="4" w:space="1" w:color="auto"/>
        </w:pBdr>
        <w:spacing w:after="240"/>
        <w:jc w:val="center"/>
        <w:rPr>
          <w:rFonts w:ascii="Arno Pro" w:hAnsi="Arno Pro"/>
        </w:rPr>
      </w:pPr>
    </w:p>
    <w:p w:rsidR="00614F5A" w:rsidRPr="00155B62" w:rsidRDefault="00614F5A" w:rsidP="00614F5A"/>
    <w:p w:rsidR="00614F5A" w:rsidRPr="00644F74" w:rsidRDefault="00614F5A" w:rsidP="00614F5A">
      <w:pPr>
        <w:jc w:val="center"/>
      </w:pPr>
      <w:r>
        <w:rPr>
          <w:noProof/>
          <w:lang w:val="en-GB" w:eastAsia="en-GB"/>
        </w:rPr>
        <w:drawing>
          <wp:inline distT="0" distB="0" distL="0" distR="0" wp14:anchorId="770F477C" wp14:editId="20366426">
            <wp:extent cx="3060000" cy="1203750"/>
            <wp:effectExtent l="0" t="0" r="7620" b="0"/>
            <wp:docPr id="2" name="Picture 2" descr="C:\Users\exw449\Google Drive\PhD\Reports, papers, posters, images and presentations\Journal submissions\Dye degradation paper for ACS\ACS submission files\TOC graphic siz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w449\Google Drive\PhD\Reports, papers, posters, images and presentations\Journal submissions\Dye degradation paper for ACS\ACS submission files\TOC graphic sized.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000" cy="1203750"/>
                    </a:xfrm>
                    <a:prstGeom prst="rect">
                      <a:avLst/>
                    </a:prstGeom>
                    <a:noFill/>
                    <a:ln>
                      <a:noFill/>
                    </a:ln>
                  </pic:spPr>
                </pic:pic>
              </a:graphicData>
            </a:graphic>
          </wp:inline>
        </w:drawing>
      </w:r>
    </w:p>
    <w:p w:rsidR="00614F5A" w:rsidRPr="00155B62" w:rsidRDefault="00614F5A" w:rsidP="00614F5A">
      <w:pPr>
        <w:jc w:val="center"/>
      </w:pPr>
    </w:p>
    <w:p w:rsidR="00614F5A" w:rsidRDefault="00614F5A" w:rsidP="00614F5A"/>
    <w:p w:rsidR="00614F5A" w:rsidRDefault="00614F5A" w:rsidP="00614F5A"/>
    <w:p w:rsidR="00EF4340" w:rsidRPr="00F5516A" w:rsidRDefault="00EF4340">
      <w:pPr>
        <w:rPr>
          <w:u w:val="single"/>
        </w:rPr>
      </w:pPr>
    </w:p>
    <w:sectPr w:rsidR="00EF4340" w:rsidRPr="00F5516A" w:rsidSect="00752E43">
      <w:headerReference w:type="even" r:id="rId14"/>
      <w:footerReference w:type="even" r:id="rId15"/>
      <w:footerReference w:type="default" r:id="rId16"/>
      <w:type w:val="continuous"/>
      <w:pgSz w:w="12240" w:h="15840"/>
      <w:pgMar w:top="720" w:right="1094" w:bottom="720" w:left="1094" w:header="720" w:footer="720" w:gutter="0"/>
      <w:cols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Arno Pro">
    <w:altName w:val="Constantia"/>
    <w:panose1 w:val="00000000000000000000"/>
    <w:charset w:val="00"/>
    <w:family w:val="roman"/>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7460A2">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4E35E0" w:rsidRDefault="007460A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7460A2">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746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35E0" w:rsidRDefault="007460A2">
    <w:pPr>
      <w:pStyle w:val="Footer"/>
      <w:ind w:right="360"/>
    </w:pPr>
  </w:p>
  <w:p w:rsidR="004E35E0" w:rsidRDefault="007460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7460A2" w:rsidP="00BD0DC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0" w:rsidRDefault="007460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5A"/>
    <w:rsid w:val="000E1F65"/>
    <w:rsid w:val="00614F5A"/>
    <w:rsid w:val="007460A2"/>
    <w:rsid w:val="00D8563D"/>
    <w:rsid w:val="00EF4340"/>
    <w:rsid w:val="00F5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jc w:val="both"/>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next w:val="Normal"/>
    <w:autoRedefine/>
    <w:rsid w:val="00614F5A"/>
    <w:pPr>
      <w:spacing w:after="0"/>
      <w:ind w:firstLine="187"/>
    </w:pPr>
    <w:rPr>
      <w:rFonts w:ascii="Arno Pro" w:hAnsi="Arno Pro"/>
      <w:kern w:val="19"/>
      <w:sz w:val="17"/>
      <w:szCs w:val="14"/>
    </w:rPr>
  </w:style>
  <w:style w:type="paragraph" w:customStyle="1" w:styleId="TAMainText">
    <w:name w:val="TA_Main_Text"/>
    <w:basedOn w:val="Normal"/>
    <w:autoRedefine/>
    <w:rsid w:val="00614F5A"/>
    <w:pPr>
      <w:spacing w:after="60"/>
    </w:pPr>
    <w:rPr>
      <w:rFonts w:ascii="Arno Pro" w:hAnsi="Arno Pro"/>
      <w:kern w:val="21"/>
      <w:sz w:val="19"/>
    </w:rPr>
  </w:style>
  <w:style w:type="paragraph" w:customStyle="1" w:styleId="BATitle">
    <w:name w:val="BA_Title"/>
    <w:basedOn w:val="Normal"/>
    <w:next w:val="BBAuthorName"/>
    <w:autoRedefine/>
    <w:rsid w:val="00614F5A"/>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614F5A"/>
    <w:pPr>
      <w:spacing w:after="180"/>
      <w:jc w:val="center"/>
    </w:pPr>
    <w:rPr>
      <w:rFonts w:ascii="Arno Pro" w:hAnsi="Arno Pro"/>
      <w:kern w:val="26"/>
    </w:rPr>
  </w:style>
  <w:style w:type="paragraph" w:customStyle="1" w:styleId="BCAuthorAddress">
    <w:name w:val="BC_Author_Address"/>
    <w:basedOn w:val="Normal"/>
    <w:next w:val="BIEmailAddress"/>
    <w:autoRedefine/>
    <w:rsid w:val="00614F5A"/>
    <w:pPr>
      <w:spacing w:after="60"/>
      <w:jc w:val="left"/>
    </w:pPr>
    <w:rPr>
      <w:rFonts w:ascii="Times New Roman" w:hAnsi="Times New Roman"/>
      <w:kern w:val="22"/>
      <w:sz w:val="20"/>
      <w:lang w:val="en-GB"/>
    </w:rPr>
  </w:style>
  <w:style w:type="paragraph" w:customStyle="1" w:styleId="BIEmailAddress">
    <w:name w:val="BI_Email_Address"/>
    <w:basedOn w:val="Normal"/>
    <w:next w:val="Normal"/>
    <w:autoRedefine/>
    <w:rsid w:val="00614F5A"/>
    <w:pPr>
      <w:spacing w:after="100"/>
      <w:jc w:val="left"/>
    </w:pPr>
    <w:rPr>
      <w:rFonts w:ascii="Arno Pro" w:hAnsi="Arno Pro"/>
      <w:sz w:val="18"/>
    </w:rPr>
  </w:style>
  <w:style w:type="paragraph" w:customStyle="1" w:styleId="BDAbstract">
    <w:name w:val="BD_Abstract"/>
    <w:basedOn w:val="Normal"/>
    <w:next w:val="TAMainText"/>
    <w:link w:val="BDAbstractChar"/>
    <w:autoRedefine/>
    <w:rsid w:val="00614F5A"/>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614F5A"/>
    <w:pPr>
      <w:spacing w:after="0"/>
    </w:pPr>
    <w:rPr>
      <w:rFonts w:ascii="Arno Pro" w:hAnsi="Arno Pro"/>
      <w:kern w:val="20"/>
      <w:sz w:val="18"/>
    </w:rPr>
  </w:style>
  <w:style w:type="paragraph" w:customStyle="1" w:styleId="TESupportingInformation">
    <w:name w:val="TE_Supporting_Information"/>
    <w:basedOn w:val="Normal"/>
    <w:next w:val="Normal"/>
    <w:autoRedefine/>
    <w:rsid w:val="00614F5A"/>
    <w:pPr>
      <w:spacing w:after="0"/>
    </w:pPr>
    <w:rPr>
      <w:rFonts w:ascii="Arno Pro" w:hAnsi="Arno Pro"/>
      <w:kern w:val="20"/>
      <w:sz w:val="18"/>
    </w:rPr>
  </w:style>
  <w:style w:type="paragraph" w:customStyle="1" w:styleId="VDTableTitle">
    <w:name w:val="VD_Table_Title"/>
    <w:basedOn w:val="Normal"/>
    <w:next w:val="Normal"/>
    <w:autoRedefine/>
    <w:rsid w:val="00614F5A"/>
    <w:pPr>
      <w:spacing w:after="180"/>
    </w:pPr>
    <w:rPr>
      <w:rFonts w:ascii="Arno Pro" w:hAnsi="Arno Pro"/>
      <w:b/>
      <w:kern w:val="21"/>
      <w:sz w:val="19"/>
      <w:szCs w:val="19"/>
    </w:rPr>
  </w:style>
  <w:style w:type="paragraph" w:customStyle="1" w:styleId="VAFigureCaption">
    <w:name w:val="VA_Figure_Caption"/>
    <w:basedOn w:val="Normal"/>
    <w:next w:val="Normal"/>
    <w:autoRedefine/>
    <w:rsid w:val="00614F5A"/>
    <w:pPr>
      <w:spacing w:before="200" w:after="12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614F5A"/>
    <w:pPr>
      <w:spacing w:after="0"/>
    </w:pPr>
    <w:rPr>
      <w:rFonts w:ascii="Arno Pro" w:hAnsi="Arno Pro"/>
      <w:kern w:val="20"/>
      <w:sz w:val="18"/>
    </w:rPr>
  </w:style>
  <w:style w:type="paragraph" w:customStyle="1" w:styleId="StyleBIEmailAddress95pt">
    <w:name w:val="Style BI_Email_Address + 9.5 pt"/>
    <w:basedOn w:val="BIEmailAddress"/>
    <w:rsid w:val="00614F5A"/>
    <w:pPr>
      <w:spacing w:after="60"/>
    </w:pPr>
    <w:rPr>
      <w:sz w:val="19"/>
    </w:rPr>
  </w:style>
  <w:style w:type="paragraph" w:customStyle="1" w:styleId="SNSynopsisTOC">
    <w:name w:val="SN_Synopsis_TOC"/>
    <w:basedOn w:val="Normal"/>
    <w:next w:val="Normal"/>
    <w:autoRedefine/>
    <w:rsid w:val="00614F5A"/>
    <w:pPr>
      <w:spacing w:after="60"/>
      <w:jc w:val="center"/>
    </w:pPr>
    <w:rPr>
      <w:rFonts w:ascii="Arno Pro" w:hAnsi="Arno Pro"/>
      <w:kern w:val="22"/>
      <w:sz w:val="20"/>
    </w:rPr>
  </w:style>
  <w:style w:type="paragraph" w:styleId="Footer">
    <w:name w:val="footer"/>
    <w:basedOn w:val="Normal"/>
    <w:link w:val="FooterChar"/>
    <w:rsid w:val="00614F5A"/>
    <w:pPr>
      <w:tabs>
        <w:tab w:val="center" w:pos="4320"/>
        <w:tab w:val="right" w:pos="8640"/>
      </w:tabs>
    </w:pPr>
  </w:style>
  <w:style w:type="character" w:customStyle="1" w:styleId="FooterChar">
    <w:name w:val="Footer Char"/>
    <w:basedOn w:val="DefaultParagraphFont"/>
    <w:link w:val="Footer"/>
    <w:rsid w:val="00614F5A"/>
    <w:rPr>
      <w:rFonts w:ascii="Times" w:eastAsia="Times New Roman" w:hAnsi="Times" w:cs="Times New Roman"/>
      <w:sz w:val="24"/>
      <w:szCs w:val="20"/>
      <w:lang w:val="en-US"/>
    </w:rPr>
  </w:style>
  <w:style w:type="paragraph" w:customStyle="1" w:styleId="BGKeywords">
    <w:name w:val="BG_Keywords"/>
    <w:basedOn w:val="Normal"/>
    <w:next w:val="Normal"/>
    <w:autoRedefine/>
    <w:rsid w:val="00614F5A"/>
    <w:pPr>
      <w:spacing w:after="220"/>
      <w:jc w:val="left"/>
    </w:pPr>
    <w:rPr>
      <w:rFonts w:ascii="Arno Pro" w:hAnsi="Arno Pro"/>
      <w:i/>
      <w:kern w:val="22"/>
      <w:sz w:val="20"/>
    </w:rPr>
  </w:style>
  <w:style w:type="character" w:styleId="PageNumber">
    <w:name w:val="page number"/>
    <w:basedOn w:val="DefaultParagraphFont"/>
    <w:rsid w:val="00614F5A"/>
  </w:style>
  <w:style w:type="character" w:customStyle="1" w:styleId="StyleFACorrespondingAuthorFootnote7ptChar">
    <w:name w:val="Style FA_Corresponding_Author_Footnote + 7 pt Char"/>
    <w:link w:val="StyleFACorrespondingAuthorFootnote7pt"/>
    <w:rsid w:val="00614F5A"/>
    <w:rPr>
      <w:rFonts w:ascii="Arno Pro" w:eastAsia="Times New Roman" w:hAnsi="Arno Pro" w:cs="Times New Roman"/>
      <w:kern w:val="20"/>
      <w:sz w:val="18"/>
      <w:szCs w:val="20"/>
      <w:lang w:val="en-US"/>
    </w:rPr>
  </w:style>
  <w:style w:type="paragraph" w:customStyle="1" w:styleId="BDAbstractTitle">
    <w:name w:val="BD_Abstract_Title"/>
    <w:basedOn w:val="BDAbstract"/>
    <w:link w:val="BDAbstractTitleChar"/>
    <w:rsid w:val="00614F5A"/>
    <w:rPr>
      <w:b/>
    </w:rPr>
  </w:style>
  <w:style w:type="character" w:customStyle="1" w:styleId="BDAbstractChar">
    <w:name w:val="BD_Abstract Char"/>
    <w:link w:val="BDAbstract"/>
    <w:rsid w:val="00614F5A"/>
    <w:rPr>
      <w:rFonts w:ascii="Arno Pro" w:eastAsia="Times New Roman" w:hAnsi="Arno Pro" w:cs="Times New Roman"/>
      <w:kern w:val="21"/>
      <w:sz w:val="19"/>
      <w:szCs w:val="20"/>
      <w:lang w:val="en-US"/>
    </w:rPr>
  </w:style>
  <w:style w:type="character" w:customStyle="1" w:styleId="BDAbstractTitleChar">
    <w:name w:val="BD_Abstract_Title Char"/>
    <w:link w:val="BDAbstractTitle"/>
    <w:rsid w:val="00614F5A"/>
    <w:rPr>
      <w:rFonts w:ascii="Arno Pro" w:eastAsia="Times New Roman" w:hAnsi="Arno Pro" w:cs="Times New Roman"/>
      <w:b/>
      <w:kern w:val="21"/>
      <w:sz w:val="19"/>
      <w:szCs w:val="20"/>
      <w:lang w:val="en-US"/>
    </w:rPr>
  </w:style>
  <w:style w:type="paragraph" w:customStyle="1" w:styleId="TDAckTitle">
    <w:name w:val="TD_Ack_Title"/>
    <w:basedOn w:val="TDAcknowledgments"/>
    <w:link w:val="TDAckTitleChar"/>
    <w:rsid w:val="00614F5A"/>
    <w:pPr>
      <w:spacing w:before="180" w:after="60"/>
    </w:pPr>
    <w:rPr>
      <w:rFonts w:ascii="Myriad Pro Light" w:hAnsi="Myriad Pro Light"/>
      <w:b/>
      <w:kern w:val="23"/>
      <w:sz w:val="21"/>
    </w:rPr>
  </w:style>
  <w:style w:type="character" w:customStyle="1" w:styleId="TDAcknowledgmentsChar">
    <w:name w:val="TD_Acknowledgments Char"/>
    <w:link w:val="TDAcknowledgments"/>
    <w:rsid w:val="00614F5A"/>
    <w:rPr>
      <w:rFonts w:ascii="Arno Pro" w:eastAsia="Times New Roman" w:hAnsi="Arno Pro" w:cs="Times New Roman"/>
      <w:kern w:val="20"/>
      <w:sz w:val="18"/>
      <w:szCs w:val="20"/>
      <w:lang w:val="en-US"/>
    </w:rPr>
  </w:style>
  <w:style w:type="character" w:customStyle="1" w:styleId="TDAckTitleChar">
    <w:name w:val="TD_Ack_Title Char"/>
    <w:link w:val="TDAckTitle"/>
    <w:rsid w:val="00614F5A"/>
    <w:rPr>
      <w:rFonts w:ascii="Myriad Pro Light" w:eastAsia="Times New Roman" w:hAnsi="Myriad Pro Light" w:cs="Times New Roman"/>
      <w:b/>
      <w:kern w:val="23"/>
      <w:sz w:val="21"/>
      <w:szCs w:val="20"/>
      <w:lang w:val="en-US"/>
    </w:rPr>
  </w:style>
  <w:style w:type="paragraph" w:customStyle="1" w:styleId="TESupportingInfoTitle">
    <w:name w:val="TE_Supporting_Info_Title"/>
    <w:basedOn w:val="TESupportingInformation"/>
    <w:autoRedefine/>
    <w:rsid w:val="00614F5A"/>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614F5A"/>
  </w:style>
  <w:style w:type="paragraph" w:customStyle="1" w:styleId="FAAuthorInfoSubtitle">
    <w:name w:val="FA_Author_Info_Subtitle"/>
    <w:basedOn w:val="Normal"/>
    <w:link w:val="FAAuthorInfoSubtitleChar"/>
    <w:autoRedefine/>
    <w:rsid w:val="00614F5A"/>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614F5A"/>
    <w:rPr>
      <w:rFonts w:ascii="Myriad Pro Light" w:eastAsia="Times New Roman" w:hAnsi="Myriad Pro Light" w:cs="Times New Roman"/>
      <w:b/>
      <w:kern w:val="21"/>
      <w:sz w:val="19"/>
      <w:szCs w:val="14"/>
      <w:lang w:val="en-US"/>
    </w:rPr>
  </w:style>
  <w:style w:type="paragraph" w:styleId="BalloonText">
    <w:name w:val="Balloon Text"/>
    <w:basedOn w:val="Normal"/>
    <w:link w:val="BalloonTextChar"/>
    <w:uiPriority w:val="99"/>
    <w:semiHidden/>
    <w:unhideWhenUsed/>
    <w:rsid w:val="00614F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5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F5A"/>
    <w:pPr>
      <w:spacing w:after="200"/>
      <w:jc w:val="both"/>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next w:val="Normal"/>
    <w:autoRedefine/>
    <w:rsid w:val="00614F5A"/>
    <w:pPr>
      <w:spacing w:after="0"/>
      <w:ind w:firstLine="187"/>
    </w:pPr>
    <w:rPr>
      <w:rFonts w:ascii="Arno Pro" w:hAnsi="Arno Pro"/>
      <w:kern w:val="19"/>
      <w:sz w:val="17"/>
      <w:szCs w:val="14"/>
    </w:rPr>
  </w:style>
  <w:style w:type="paragraph" w:customStyle="1" w:styleId="TAMainText">
    <w:name w:val="TA_Main_Text"/>
    <w:basedOn w:val="Normal"/>
    <w:autoRedefine/>
    <w:rsid w:val="00614F5A"/>
    <w:pPr>
      <w:spacing w:after="60"/>
    </w:pPr>
    <w:rPr>
      <w:rFonts w:ascii="Arno Pro" w:hAnsi="Arno Pro"/>
      <w:kern w:val="21"/>
      <w:sz w:val="19"/>
    </w:rPr>
  </w:style>
  <w:style w:type="paragraph" w:customStyle="1" w:styleId="BATitle">
    <w:name w:val="BA_Title"/>
    <w:basedOn w:val="Normal"/>
    <w:next w:val="BBAuthorName"/>
    <w:autoRedefine/>
    <w:rsid w:val="00614F5A"/>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614F5A"/>
    <w:pPr>
      <w:spacing w:after="180"/>
      <w:jc w:val="center"/>
    </w:pPr>
    <w:rPr>
      <w:rFonts w:ascii="Arno Pro" w:hAnsi="Arno Pro"/>
      <w:kern w:val="26"/>
    </w:rPr>
  </w:style>
  <w:style w:type="paragraph" w:customStyle="1" w:styleId="BCAuthorAddress">
    <w:name w:val="BC_Author_Address"/>
    <w:basedOn w:val="Normal"/>
    <w:next w:val="BIEmailAddress"/>
    <w:autoRedefine/>
    <w:rsid w:val="00614F5A"/>
    <w:pPr>
      <w:spacing w:after="60"/>
      <w:jc w:val="left"/>
    </w:pPr>
    <w:rPr>
      <w:rFonts w:ascii="Times New Roman" w:hAnsi="Times New Roman"/>
      <w:kern w:val="22"/>
      <w:sz w:val="20"/>
      <w:lang w:val="en-GB"/>
    </w:rPr>
  </w:style>
  <w:style w:type="paragraph" w:customStyle="1" w:styleId="BIEmailAddress">
    <w:name w:val="BI_Email_Address"/>
    <w:basedOn w:val="Normal"/>
    <w:next w:val="Normal"/>
    <w:autoRedefine/>
    <w:rsid w:val="00614F5A"/>
    <w:pPr>
      <w:spacing w:after="100"/>
      <w:jc w:val="left"/>
    </w:pPr>
    <w:rPr>
      <w:rFonts w:ascii="Arno Pro" w:hAnsi="Arno Pro"/>
      <w:sz w:val="18"/>
    </w:rPr>
  </w:style>
  <w:style w:type="paragraph" w:customStyle="1" w:styleId="BDAbstract">
    <w:name w:val="BD_Abstract"/>
    <w:basedOn w:val="Normal"/>
    <w:next w:val="TAMainText"/>
    <w:link w:val="BDAbstractChar"/>
    <w:autoRedefine/>
    <w:rsid w:val="00614F5A"/>
    <w:pPr>
      <w:pBdr>
        <w:top w:val="single" w:sz="4" w:space="1" w:color="auto"/>
        <w:bottom w:val="single" w:sz="4" w:space="1" w:color="auto"/>
      </w:pBdr>
      <w:spacing w:before="100" w:after="600"/>
    </w:pPr>
    <w:rPr>
      <w:rFonts w:ascii="Arno Pro" w:hAnsi="Arno Pro"/>
      <w:kern w:val="21"/>
      <w:sz w:val="19"/>
    </w:rPr>
  </w:style>
  <w:style w:type="paragraph" w:customStyle="1" w:styleId="TDAcknowledgments">
    <w:name w:val="TD_Acknowledgments"/>
    <w:basedOn w:val="Normal"/>
    <w:next w:val="Normal"/>
    <w:link w:val="TDAcknowledgmentsChar"/>
    <w:autoRedefine/>
    <w:rsid w:val="00614F5A"/>
    <w:pPr>
      <w:spacing w:after="0"/>
    </w:pPr>
    <w:rPr>
      <w:rFonts w:ascii="Arno Pro" w:hAnsi="Arno Pro"/>
      <w:kern w:val="20"/>
      <w:sz w:val="18"/>
    </w:rPr>
  </w:style>
  <w:style w:type="paragraph" w:customStyle="1" w:styleId="TESupportingInformation">
    <w:name w:val="TE_Supporting_Information"/>
    <w:basedOn w:val="Normal"/>
    <w:next w:val="Normal"/>
    <w:autoRedefine/>
    <w:rsid w:val="00614F5A"/>
    <w:pPr>
      <w:spacing w:after="0"/>
    </w:pPr>
    <w:rPr>
      <w:rFonts w:ascii="Arno Pro" w:hAnsi="Arno Pro"/>
      <w:kern w:val="20"/>
      <w:sz w:val="18"/>
    </w:rPr>
  </w:style>
  <w:style w:type="paragraph" w:customStyle="1" w:styleId="VDTableTitle">
    <w:name w:val="VD_Table_Title"/>
    <w:basedOn w:val="Normal"/>
    <w:next w:val="Normal"/>
    <w:autoRedefine/>
    <w:rsid w:val="00614F5A"/>
    <w:pPr>
      <w:spacing w:after="180"/>
    </w:pPr>
    <w:rPr>
      <w:rFonts w:ascii="Arno Pro" w:hAnsi="Arno Pro"/>
      <w:b/>
      <w:kern w:val="21"/>
      <w:sz w:val="19"/>
      <w:szCs w:val="19"/>
    </w:rPr>
  </w:style>
  <w:style w:type="paragraph" w:customStyle="1" w:styleId="VAFigureCaption">
    <w:name w:val="VA_Figure_Caption"/>
    <w:basedOn w:val="Normal"/>
    <w:next w:val="Normal"/>
    <w:autoRedefine/>
    <w:rsid w:val="00614F5A"/>
    <w:pPr>
      <w:spacing w:before="200" w:after="12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614F5A"/>
    <w:pPr>
      <w:spacing w:after="0"/>
    </w:pPr>
    <w:rPr>
      <w:rFonts w:ascii="Arno Pro" w:hAnsi="Arno Pro"/>
      <w:kern w:val="20"/>
      <w:sz w:val="18"/>
    </w:rPr>
  </w:style>
  <w:style w:type="paragraph" w:customStyle="1" w:styleId="StyleBIEmailAddress95pt">
    <w:name w:val="Style BI_Email_Address + 9.5 pt"/>
    <w:basedOn w:val="BIEmailAddress"/>
    <w:rsid w:val="00614F5A"/>
    <w:pPr>
      <w:spacing w:after="60"/>
    </w:pPr>
    <w:rPr>
      <w:sz w:val="19"/>
    </w:rPr>
  </w:style>
  <w:style w:type="paragraph" w:customStyle="1" w:styleId="SNSynopsisTOC">
    <w:name w:val="SN_Synopsis_TOC"/>
    <w:basedOn w:val="Normal"/>
    <w:next w:val="Normal"/>
    <w:autoRedefine/>
    <w:rsid w:val="00614F5A"/>
    <w:pPr>
      <w:spacing w:after="60"/>
      <w:jc w:val="center"/>
    </w:pPr>
    <w:rPr>
      <w:rFonts w:ascii="Arno Pro" w:hAnsi="Arno Pro"/>
      <w:kern w:val="22"/>
      <w:sz w:val="20"/>
    </w:rPr>
  </w:style>
  <w:style w:type="paragraph" w:styleId="Footer">
    <w:name w:val="footer"/>
    <w:basedOn w:val="Normal"/>
    <w:link w:val="FooterChar"/>
    <w:rsid w:val="00614F5A"/>
    <w:pPr>
      <w:tabs>
        <w:tab w:val="center" w:pos="4320"/>
        <w:tab w:val="right" w:pos="8640"/>
      </w:tabs>
    </w:pPr>
  </w:style>
  <w:style w:type="character" w:customStyle="1" w:styleId="FooterChar">
    <w:name w:val="Footer Char"/>
    <w:basedOn w:val="DefaultParagraphFont"/>
    <w:link w:val="Footer"/>
    <w:rsid w:val="00614F5A"/>
    <w:rPr>
      <w:rFonts w:ascii="Times" w:eastAsia="Times New Roman" w:hAnsi="Times" w:cs="Times New Roman"/>
      <w:sz w:val="24"/>
      <w:szCs w:val="20"/>
      <w:lang w:val="en-US"/>
    </w:rPr>
  </w:style>
  <w:style w:type="paragraph" w:customStyle="1" w:styleId="BGKeywords">
    <w:name w:val="BG_Keywords"/>
    <w:basedOn w:val="Normal"/>
    <w:next w:val="Normal"/>
    <w:autoRedefine/>
    <w:rsid w:val="00614F5A"/>
    <w:pPr>
      <w:spacing w:after="220"/>
      <w:jc w:val="left"/>
    </w:pPr>
    <w:rPr>
      <w:rFonts w:ascii="Arno Pro" w:hAnsi="Arno Pro"/>
      <w:i/>
      <w:kern w:val="22"/>
      <w:sz w:val="20"/>
    </w:rPr>
  </w:style>
  <w:style w:type="character" w:styleId="PageNumber">
    <w:name w:val="page number"/>
    <w:basedOn w:val="DefaultParagraphFont"/>
    <w:rsid w:val="00614F5A"/>
  </w:style>
  <w:style w:type="character" w:customStyle="1" w:styleId="StyleFACorrespondingAuthorFootnote7ptChar">
    <w:name w:val="Style FA_Corresponding_Author_Footnote + 7 pt Char"/>
    <w:link w:val="StyleFACorrespondingAuthorFootnote7pt"/>
    <w:rsid w:val="00614F5A"/>
    <w:rPr>
      <w:rFonts w:ascii="Arno Pro" w:eastAsia="Times New Roman" w:hAnsi="Arno Pro" w:cs="Times New Roman"/>
      <w:kern w:val="20"/>
      <w:sz w:val="18"/>
      <w:szCs w:val="20"/>
      <w:lang w:val="en-US"/>
    </w:rPr>
  </w:style>
  <w:style w:type="paragraph" w:customStyle="1" w:styleId="BDAbstractTitle">
    <w:name w:val="BD_Abstract_Title"/>
    <w:basedOn w:val="BDAbstract"/>
    <w:link w:val="BDAbstractTitleChar"/>
    <w:rsid w:val="00614F5A"/>
    <w:rPr>
      <w:b/>
    </w:rPr>
  </w:style>
  <w:style w:type="character" w:customStyle="1" w:styleId="BDAbstractChar">
    <w:name w:val="BD_Abstract Char"/>
    <w:link w:val="BDAbstract"/>
    <w:rsid w:val="00614F5A"/>
    <w:rPr>
      <w:rFonts w:ascii="Arno Pro" w:eastAsia="Times New Roman" w:hAnsi="Arno Pro" w:cs="Times New Roman"/>
      <w:kern w:val="21"/>
      <w:sz w:val="19"/>
      <w:szCs w:val="20"/>
      <w:lang w:val="en-US"/>
    </w:rPr>
  </w:style>
  <w:style w:type="character" w:customStyle="1" w:styleId="BDAbstractTitleChar">
    <w:name w:val="BD_Abstract_Title Char"/>
    <w:link w:val="BDAbstractTitle"/>
    <w:rsid w:val="00614F5A"/>
    <w:rPr>
      <w:rFonts w:ascii="Arno Pro" w:eastAsia="Times New Roman" w:hAnsi="Arno Pro" w:cs="Times New Roman"/>
      <w:b/>
      <w:kern w:val="21"/>
      <w:sz w:val="19"/>
      <w:szCs w:val="20"/>
      <w:lang w:val="en-US"/>
    </w:rPr>
  </w:style>
  <w:style w:type="paragraph" w:customStyle="1" w:styleId="TDAckTitle">
    <w:name w:val="TD_Ack_Title"/>
    <w:basedOn w:val="TDAcknowledgments"/>
    <w:link w:val="TDAckTitleChar"/>
    <w:rsid w:val="00614F5A"/>
    <w:pPr>
      <w:spacing w:before="180" w:after="60"/>
    </w:pPr>
    <w:rPr>
      <w:rFonts w:ascii="Myriad Pro Light" w:hAnsi="Myriad Pro Light"/>
      <w:b/>
      <w:kern w:val="23"/>
      <w:sz w:val="21"/>
    </w:rPr>
  </w:style>
  <w:style w:type="character" w:customStyle="1" w:styleId="TDAcknowledgmentsChar">
    <w:name w:val="TD_Acknowledgments Char"/>
    <w:link w:val="TDAcknowledgments"/>
    <w:rsid w:val="00614F5A"/>
    <w:rPr>
      <w:rFonts w:ascii="Arno Pro" w:eastAsia="Times New Roman" w:hAnsi="Arno Pro" w:cs="Times New Roman"/>
      <w:kern w:val="20"/>
      <w:sz w:val="18"/>
      <w:szCs w:val="20"/>
      <w:lang w:val="en-US"/>
    </w:rPr>
  </w:style>
  <w:style w:type="character" w:customStyle="1" w:styleId="TDAckTitleChar">
    <w:name w:val="TD_Ack_Title Char"/>
    <w:link w:val="TDAckTitle"/>
    <w:rsid w:val="00614F5A"/>
    <w:rPr>
      <w:rFonts w:ascii="Myriad Pro Light" w:eastAsia="Times New Roman" w:hAnsi="Myriad Pro Light" w:cs="Times New Roman"/>
      <w:b/>
      <w:kern w:val="23"/>
      <w:sz w:val="21"/>
      <w:szCs w:val="20"/>
      <w:lang w:val="en-US"/>
    </w:rPr>
  </w:style>
  <w:style w:type="paragraph" w:customStyle="1" w:styleId="TESupportingInfoTitle">
    <w:name w:val="TE_Supporting_Info_Title"/>
    <w:basedOn w:val="TESupportingInformation"/>
    <w:autoRedefine/>
    <w:rsid w:val="00614F5A"/>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614F5A"/>
  </w:style>
  <w:style w:type="paragraph" w:customStyle="1" w:styleId="FAAuthorInfoSubtitle">
    <w:name w:val="FA_Author_Info_Subtitle"/>
    <w:basedOn w:val="Normal"/>
    <w:link w:val="FAAuthorInfoSubtitleChar"/>
    <w:autoRedefine/>
    <w:rsid w:val="00614F5A"/>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614F5A"/>
    <w:rPr>
      <w:rFonts w:ascii="Myriad Pro Light" w:eastAsia="Times New Roman" w:hAnsi="Myriad Pro Light" w:cs="Times New Roman"/>
      <w:b/>
      <w:kern w:val="21"/>
      <w:sz w:val="19"/>
      <w:szCs w:val="14"/>
      <w:lang w:val="en-US"/>
    </w:rPr>
  </w:style>
  <w:style w:type="paragraph" w:styleId="BalloonText">
    <w:name w:val="Balloon Text"/>
    <w:basedOn w:val="Normal"/>
    <w:link w:val="BalloonTextChar"/>
    <w:uiPriority w:val="99"/>
    <w:semiHidden/>
    <w:unhideWhenUsed/>
    <w:rsid w:val="00614F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igor.larrosa@manchester.ac.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yperlink" Target="mailto:s.c..dunn@qmul.ac.uk" TargetMode="External"/><Relationship Id="rId5" Type="http://schemas.openxmlformats.org/officeDocument/2006/relationships/footer" Target="footer1.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3493</Words>
  <Characters>19912</Characters>
  <Application>Microsoft Office Word</Application>
  <DocSecurity>0</DocSecurity>
  <Lines>165</Lines>
  <Paragraphs>46</Paragraphs>
  <ScaleCrop>false</ScaleCrop>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Lacerda</dc:creator>
  <cp:keywords/>
  <dc:description/>
  <cp:lastModifiedBy>Armando Lacerda</cp:lastModifiedBy>
  <cp:revision>5</cp:revision>
  <dcterms:created xsi:type="dcterms:W3CDTF">2015-04-28T10:30:00Z</dcterms:created>
  <dcterms:modified xsi:type="dcterms:W3CDTF">2015-04-28T10:45:00Z</dcterms:modified>
</cp:coreProperties>
</file>