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FE0A" w14:textId="4F173EE6" w:rsidR="0082358C" w:rsidRPr="006F6CD6" w:rsidRDefault="00143BAC">
      <w:pPr>
        <w:rPr>
          <w:rFonts w:asciiTheme="minorHAnsi" w:hAnsiTheme="minorHAnsi" w:cstheme="minorHAnsi"/>
        </w:rPr>
      </w:pPr>
      <w:r w:rsidRPr="006F6CD6">
        <w:rPr>
          <w:rFonts w:asciiTheme="minorHAnsi" w:hAnsiTheme="minorHAnsi" w:cstheme="minorHAnsi"/>
        </w:rPr>
        <w:t>7 Days of AZT/Abacavir</w:t>
      </w:r>
    </w:p>
    <w:p w14:paraId="1E0D0313" w14:textId="743BC40B" w:rsidR="00143BAC" w:rsidRDefault="00143BAC"/>
    <w:p w14:paraId="1532D429" w14:textId="41B097F2" w:rsidR="00143BAC" w:rsidRDefault="00143BAC" w:rsidP="00143BAC">
      <w:pPr>
        <w:pStyle w:val="js-tweet-text"/>
        <w:shd w:val="clear" w:color="auto" w:fill="FFFFFF"/>
        <w:spacing w:before="0" w:beforeAutospacing="0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>7 days of nucleoside reverse transcriptase inhibitors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(</w:t>
      </w:r>
      <w:proofErr w:type="gramStart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NRTIs)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inspired</w:t>
      </w:r>
      <w:proofErr w:type="gram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by </w:t>
      </w:r>
      <w:hyperlink r:id="rId5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ItsASin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. The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1st HIV/AIDs drug </w:t>
      </w:r>
      <w:hyperlink r:id="rId6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AZT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r w:rsidR="006F6CD6">
        <w:rPr>
          <w:rFonts w:ascii="Segoe UI" w:hAnsi="Segoe UI" w:cs="Segoe UI"/>
          <w:color w:val="38444D"/>
          <w:sz w:val="21"/>
          <w:szCs w:val="21"/>
          <w:lang w:val="en"/>
        </w:rPr>
        <w:t xml:space="preserve">(zidovudine)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was discovered from unusual RNA/DNA elements found in marine sponges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in the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1950s! Such analogues drew attention as anticancer drugs,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because of the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ability to disrupt cell function.</w:t>
      </w:r>
    </w:p>
    <w:p w14:paraId="0C5ED298" w14:textId="49E8367C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>(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cont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)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Abandoned as ineffective for cancer, </w:t>
      </w:r>
      <w:hyperlink r:id="rId7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AZT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was rediscovered during the frantic search for an HIV/AIDs treatment &amp; licensed by FDA in 1987. AZT was given in high doses, caus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ing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some toxicity &amp; resistance also became problematic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. However,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it did prolong life.</w:t>
      </w:r>
    </w:p>
    <w:p w14:paraId="2B83EB6E" w14:textId="77777777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4D1D3F3C" w14:textId="1A9BA6F8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>Day 2: I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t took a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further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decade to develop the combination drugs now standard therapy, as effective suppressors of HIV replication &amp; also contain drug resistance. Newer versions of NRTIs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e.g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hyperlink r:id="rId8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abacavir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are focus of this series</w:t>
      </w:r>
    </w:p>
    <w:p w14:paraId="0A6F961D" w14:textId="77777777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73507E8E" w14:textId="77777777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161A7899" w14:textId="5AE93583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3: </w:t>
      </w:r>
      <w:hyperlink r:id="rId9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abacavir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kinetics: good oral bioavailability &amp;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tissue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penetration </w:t>
      </w:r>
      <w:proofErr w:type="spellStart"/>
      <w:proofErr w:type="gramStart"/>
      <w:r>
        <w:rPr>
          <w:rFonts w:ascii="Segoe UI" w:hAnsi="Segoe UI" w:cs="Segoe UI"/>
          <w:color w:val="38444D"/>
          <w:sz w:val="21"/>
          <w:szCs w:val="21"/>
          <w:lang w:val="en"/>
        </w:rPr>
        <w:t>e.g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into</w:t>
      </w:r>
      <w:proofErr w:type="spellEnd"/>
      <w:proofErr w:type="gram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the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CNS. Hepatic metabolism by alcohol dehydrogenase &amp; glucuronidation, but no signif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icant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CYP450 activity. Avoid in mod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erate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-severe liver impairment. Mostly renal excretion of metabolites, dosage reduction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end stage renal failure.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t½ ~ 1.5 hours</w:t>
      </w:r>
    </w:p>
    <w:p w14:paraId="63F9B081" w14:textId="77777777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157B7B34" w14:textId="32027313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>Day 4: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Once in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side 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the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cell, HIV makes self-copies via the reverse transcriptase enzyme allowing DNA prod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uction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&amp; reproduction, taking over even more cells. </w:t>
      </w:r>
      <w:hyperlink r:id="rId10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abacavir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pretends to be a DNA component, but is deliberately defective, preventing creation of viral DNA. Effective against HIV-1 &amp; 2</w:t>
      </w:r>
    </w:p>
    <w:p w14:paraId="1F9E736E" w14:textId="77777777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6250B32F" w14:textId="70EC0724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5: ADRs </w:t>
      </w:r>
      <w:hyperlink r:id="rId11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abacavir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>; Common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;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GI effects &amp; decr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eased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appetite, dizziness, </w:t>
      </w:r>
      <w:proofErr w:type="spellStart"/>
      <w:proofErr w:type="gramStart"/>
      <w:r>
        <w:rPr>
          <w:rFonts w:ascii="Segoe UI" w:hAnsi="Segoe UI" w:cs="Segoe UI"/>
          <w:color w:val="38444D"/>
          <w:sz w:val="21"/>
          <w:szCs w:val="21"/>
          <w:lang w:val="en"/>
        </w:rPr>
        <w:t>fatigue,fever</w:t>
      </w:r>
      <w:proofErr w:type="spellEnd"/>
      <w:proofErr w:type="gramEnd"/>
      <w:r>
        <w:rPr>
          <w:rFonts w:ascii="Segoe UI" w:hAnsi="Segoe UI" w:cs="Segoe UI"/>
          <w:color w:val="38444D"/>
          <w:sz w:val="21"/>
          <w:szCs w:val="21"/>
          <w:lang w:val="en"/>
        </w:rPr>
        <w:t>, rash. Severe incl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ude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osteonecrosis, pancreatitis, lactic acidosis,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SJS (not exhaustive). Much in literature re cardiovascular risks with HIV drugs, but none listed in BNF/SPC. Can cause weight gain.</w:t>
      </w:r>
    </w:p>
    <w:p w14:paraId="50F2B655" w14:textId="77777777" w:rsidR="00143BAC" w:rsidRDefault="00143BAC" w:rsidP="00143BAC">
      <w:pPr>
        <w:spacing w:line="308" w:lineRule="atLeast"/>
        <w:rPr>
          <w:rFonts w:ascii="Segoe UI" w:hAnsi="Segoe UI" w:cs="Segoe UI"/>
          <w:color w:val="38444D"/>
          <w:sz w:val="21"/>
          <w:szCs w:val="21"/>
        </w:rPr>
      </w:pPr>
    </w:p>
    <w:p w14:paraId="43743DF6" w14:textId="0A49B745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(</w:t>
      </w:r>
      <w:proofErr w:type="spellStart"/>
      <w:r>
        <w:rPr>
          <w:rFonts w:ascii="Segoe UI" w:hAnsi="Segoe UI" w:cs="Segoe UI"/>
          <w:color w:val="38444D"/>
          <w:sz w:val="21"/>
          <w:szCs w:val="21"/>
          <w:lang w:val="en"/>
        </w:rPr>
        <w:t>cont</w:t>
      </w:r>
      <w:proofErr w:type="spell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) Resistance is thought to have emerged slowly to </w:t>
      </w:r>
      <w:hyperlink r:id="rId12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abacavir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; however, some HIV strains are resistant &amp; also multi-resistant to more than 1 NRTI, including </w:t>
      </w:r>
      <w:hyperlink r:id="rId13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abacavir</w:t>
        </w:r>
      </w:hyperlink>
    </w:p>
    <w:p w14:paraId="66C159A0" w14:textId="77777777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23198B98" w14:textId="4908841E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Day 6 </w:t>
      </w:r>
      <w:hyperlink r:id="rId14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abacavir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>. Only a low number of drug-drug interactions (DDIs). There are 6 listed in BNF &amp; the HIV drug tipranavir is the only 'severe' interaction. The remainder of DDIs are 'moderate' &amp; are all anticonvulsants.</w:t>
      </w:r>
    </w:p>
    <w:p w14:paraId="2EF4462B" w14:textId="77777777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</w:p>
    <w:p w14:paraId="16328F8F" w14:textId="64180C3D" w:rsidR="00143BAC" w:rsidRDefault="00143BAC" w:rsidP="00143BAC">
      <w:pPr>
        <w:pStyle w:val="js-tweet-text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  <w:lang w:val="en"/>
        </w:rPr>
      </w:pP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Interesting </w:t>
      </w:r>
      <w:proofErr w:type="gramStart"/>
      <w:r>
        <w:rPr>
          <w:rFonts w:ascii="Segoe UI" w:hAnsi="Segoe UI" w:cs="Segoe UI"/>
          <w:color w:val="38444D"/>
          <w:sz w:val="21"/>
          <w:szCs w:val="21"/>
          <w:lang w:val="en"/>
        </w:rPr>
        <w:t>fact;</w:t>
      </w:r>
      <w:proofErr w:type="gramEnd"/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there are </w:t>
      </w:r>
      <w:r w:rsidR="006F6CD6">
        <w:rPr>
          <w:rFonts w:ascii="Segoe UI" w:hAnsi="Segoe UI" w:cs="Segoe UI"/>
          <w:color w:val="38444D"/>
          <w:sz w:val="21"/>
          <w:szCs w:val="21"/>
          <w:lang w:val="en"/>
        </w:rPr>
        <w:t xml:space="preserve">now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over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25 HIV drugs licensed in UK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,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with many fixed dose combinations,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>supporting medical needs, lifestyle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&amp; </w:t>
      </w:r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compliance. The new regimens mean HIV/AIDs is a manageable long-term condition &amp; can produce a level of remission, but a cure is elusive </w:t>
      </w:r>
      <w:hyperlink r:id="rId15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BeMoreJill</w:t>
        </w:r>
      </w:hyperlink>
      <w:r>
        <w:rPr>
          <w:rFonts w:ascii="Segoe UI" w:hAnsi="Segoe UI" w:cs="Segoe UI"/>
          <w:color w:val="38444D"/>
          <w:sz w:val="21"/>
          <w:szCs w:val="21"/>
          <w:lang w:val="en"/>
        </w:rPr>
        <w:t xml:space="preserve"> </w:t>
      </w:r>
      <w:hyperlink r:id="rId16" w:tgtFrame="_blank" w:history="1">
        <w:r>
          <w:rPr>
            <w:rStyle w:val="hash"/>
            <w:rFonts w:ascii="Segoe UI" w:hAnsi="Segoe UI" w:cs="Segoe UI"/>
            <w:color w:val="1DA1F2"/>
            <w:sz w:val="21"/>
            <w:szCs w:val="21"/>
            <w:lang w:val="en"/>
          </w:rPr>
          <w:t>#</w:t>
        </w:r>
        <w:r>
          <w:rPr>
            <w:rStyle w:val="link-complex-target"/>
            <w:rFonts w:ascii="Segoe UI" w:hAnsi="Segoe UI" w:cs="Segoe UI"/>
            <w:color w:val="1DA1F2"/>
            <w:sz w:val="21"/>
            <w:szCs w:val="21"/>
            <w:u w:val="single"/>
            <w:lang w:val="en"/>
          </w:rPr>
          <w:t>ItsASin</w:t>
        </w:r>
      </w:hyperlink>
    </w:p>
    <w:p w14:paraId="2CBA1FF7" w14:textId="77777777" w:rsidR="00143BAC" w:rsidRDefault="00143BAC" w:rsidP="00143BAC">
      <w:pPr>
        <w:pStyle w:val="tweet-action-item"/>
        <w:spacing w:before="0" w:beforeAutospacing="0" w:after="0" w:afterAutospacing="0" w:line="308" w:lineRule="atLeast"/>
        <w:rPr>
          <w:rFonts w:ascii="Segoe UI" w:hAnsi="Segoe UI" w:cs="Segoe UI"/>
          <w:color w:val="38444D"/>
          <w:sz w:val="21"/>
          <w:szCs w:val="21"/>
        </w:rPr>
      </w:pPr>
    </w:p>
    <w:p w14:paraId="7B69175A" w14:textId="77777777" w:rsidR="00143BAC" w:rsidRDefault="00143BAC" w:rsidP="00143BAC"/>
    <w:p w14:paraId="33DCD986" w14:textId="6DEB686D" w:rsidR="00143BAC" w:rsidRDefault="00143BAC"/>
    <w:p w14:paraId="7B120778" w14:textId="49D4DA17" w:rsidR="00143BAC" w:rsidRDefault="00143BAC"/>
    <w:p w14:paraId="05BF8AB6" w14:textId="2039203E" w:rsidR="00143BAC" w:rsidRDefault="00143BAC"/>
    <w:p w14:paraId="01513E16" w14:textId="098DBDDE" w:rsidR="006F6CD6" w:rsidRPr="00FB254B" w:rsidRDefault="006F6CD6" w:rsidP="006F6CD6">
      <w:p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lastRenderedPageBreak/>
        <w:t xml:space="preserve">CPD: in addition to the tweets, read the BNF section </w:t>
      </w:r>
      <w:r w:rsidRPr="00FB254B">
        <w:rPr>
          <w:rFonts w:asciiTheme="minorHAnsi" w:hAnsiTheme="minorHAnsi" w:cstheme="minorHAnsi"/>
        </w:rPr>
        <w:t xml:space="preserve">in Chapter 5 </w:t>
      </w:r>
      <w:r w:rsidRPr="00FB254B">
        <w:rPr>
          <w:rFonts w:asciiTheme="minorHAnsi" w:hAnsiTheme="minorHAnsi" w:cstheme="minorHAnsi"/>
        </w:rPr>
        <w:t xml:space="preserve">on </w:t>
      </w:r>
      <w:r w:rsidRPr="00FB254B">
        <w:rPr>
          <w:rFonts w:asciiTheme="minorHAnsi" w:hAnsiTheme="minorHAnsi" w:cstheme="minorHAnsi"/>
        </w:rPr>
        <w:t xml:space="preserve">HIV infection </w:t>
      </w:r>
      <w:r w:rsidRPr="00FB254B">
        <w:rPr>
          <w:rFonts w:asciiTheme="minorHAnsi" w:hAnsiTheme="minorHAnsi" w:cstheme="minorHAnsi"/>
        </w:rPr>
        <w:t xml:space="preserve">as well as </w:t>
      </w:r>
      <w:r w:rsidRPr="00FB254B">
        <w:rPr>
          <w:rFonts w:asciiTheme="minorHAnsi" w:hAnsiTheme="minorHAnsi" w:cstheme="minorHAnsi"/>
        </w:rPr>
        <w:t xml:space="preserve">the overview on nucleoside reverse transcriptase inhibitors and </w:t>
      </w:r>
      <w:r w:rsidRPr="00FB254B">
        <w:rPr>
          <w:rFonts w:asciiTheme="minorHAnsi" w:hAnsiTheme="minorHAnsi" w:cstheme="minorHAnsi"/>
        </w:rPr>
        <w:t>the monograph</w:t>
      </w:r>
      <w:r w:rsidRPr="00FB254B">
        <w:rPr>
          <w:rFonts w:asciiTheme="minorHAnsi" w:hAnsiTheme="minorHAnsi" w:cstheme="minorHAnsi"/>
        </w:rPr>
        <w:t>s on abacavir and zidovudine (</w:t>
      </w:r>
      <w:proofErr w:type="gramStart"/>
      <w:r w:rsidRPr="00FB254B">
        <w:rPr>
          <w:rFonts w:asciiTheme="minorHAnsi" w:hAnsiTheme="minorHAnsi" w:cstheme="minorHAnsi"/>
        </w:rPr>
        <w:t xml:space="preserve">AZT) </w:t>
      </w:r>
      <w:r w:rsidRPr="00FB254B">
        <w:rPr>
          <w:rFonts w:asciiTheme="minorHAnsi" w:hAnsiTheme="minorHAnsi" w:cstheme="minorHAnsi"/>
        </w:rPr>
        <w:t xml:space="preserve"> Another</w:t>
      </w:r>
      <w:proofErr w:type="gramEnd"/>
      <w:r w:rsidRPr="00FB254B">
        <w:rPr>
          <w:rFonts w:asciiTheme="minorHAnsi" w:hAnsiTheme="minorHAnsi" w:cstheme="minorHAnsi"/>
        </w:rPr>
        <w:t xml:space="preserve"> useful source is the Summary of Product Characteristics for </w:t>
      </w:r>
      <w:r w:rsidR="00697D60" w:rsidRPr="00FB254B">
        <w:rPr>
          <w:rFonts w:asciiTheme="minorHAnsi" w:hAnsiTheme="minorHAnsi" w:cstheme="minorHAnsi"/>
        </w:rPr>
        <w:t>abacavir</w:t>
      </w:r>
    </w:p>
    <w:p w14:paraId="4B80E71E" w14:textId="2B2F5798" w:rsidR="006F6CD6" w:rsidRDefault="006F6CD6" w:rsidP="006F6CD6">
      <w:pPr>
        <w:rPr>
          <w:rFonts w:cstheme="minorHAnsi"/>
        </w:rPr>
      </w:pPr>
    </w:p>
    <w:p w14:paraId="5240390F" w14:textId="04D9E24C" w:rsidR="006F6CD6" w:rsidRDefault="006F6CD6" w:rsidP="006F6CD6">
      <w:pPr>
        <w:rPr>
          <w:rFonts w:cstheme="minorHAnsi"/>
        </w:rPr>
      </w:pPr>
    </w:p>
    <w:p w14:paraId="35CB3C07" w14:textId="59A18818" w:rsidR="006F6CD6" w:rsidRDefault="006F6CD6" w:rsidP="006F6CD6">
      <w:pPr>
        <w:rPr>
          <w:rFonts w:cstheme="minorHAnsi"/>
        </w:rPr>
      </w:pPr>
      <w:hyperlink r:id="rId17" w:history="1">
        <w:r w:rsidRPr="00FE67C1">
          <w:rPr>
            <w:rStyle w:val="Hyperlink"/>
            <w:rFonts w:cstheme="minorHAnsi"/>
          </w:rPr>
          <w:t>https://bnf.nice.org.uk/treatment-summary/hiv-infection.html</w:t>
        </w:r>
      </w:hyperlink>
    </w:p>
    <w:p w14:paraId="072DB930" w14:textId="77777777" w:rsidR="006F6CD6" w:rsidRDefault="006F6CD6" w:rsidP="006F6CD6"/>
    <w:p w14:paraId="65396523" w14:textId="7C3DE8B4" w:rsidR="006F6CD6" w:rsidRDefault="006F6CD6" w:rsidP="006F6CD6">
      <w:hyperlink r:id="rId18" w:history="1">
        <w:r w:rsidRPr="00FE67C1">
          <w:rPr>
            <w:rStyle w:val="Hyperlink"/>
          </w:rPr>
          <w:t>https://bnf.nice.org.uk/drug/abacavir.html#indicationsAndDoses</w:t>
        </w:r>
      </w:hyperlink>
    </w:p>
    <w:p w14:paraId="297F2D71" w14:textId="77777777" w:rsidR="006F6CD6" w:rsidRDefault="006F6CD6" w:rsidP="006F6CD6"/>
    <w:p w14:paraId="559E15FB" w14:textId="12F7F7BE" w:rsidR="006F6CD6" w:rsidRDefault="006F6CD6" w:rsidP="006F6CD6">
      <w:hyperlink r:id="rId19" w:history="1">
        <w:r w:rsidRPr="00FE67C1">
          <w:rPr>
            <w:rStyle w:val="Hyperlink"/>
          </w:rPr>
          <w:t>https://bnf.nice.org.uk/drug/zidovudine.html</w:t>
        </w:r>
      </w:hyperlink>
    </w:p>
    <w:p w14:paraId="7EF67AED" w14:textId="4DE7F1D7" w:rsidR="006F6CD6" w:rsidRDefault="006F6CD6" w:rsidP="006F6CD6"/>
    <w:p w14:paraId="56359953" w14:textId="11F70944" w:rsidR="006F6CD6" w:rsidRDefault="006F6CD6" w:rsidP="006F6CD6">
      <w:hyperlink r:id="rId20" w:history="1">
        <w:r w:rsidRPr="00FE67C1">
          <w:rPr>
            <w:rStyle w:val="Hyperlink"/>
          </w:rPr>
          <w:t>https://www.medicines.org.uk/emc/product/5518/smpc#gref</w:t>
        </w:r>
      </w:hyperlink>
    </w:p>
    <w:p w14:paraId="5BB97890" w14:textId="4D2B3624" w:rsidR="006F6CD6" w:rsidRDefault="006F6CD6" w:rsidP="006F6CD6"/>
    <w:p w14:paraId="24C77AD5" w14:textId="77777777" w:rsidR="006F6CD6" w:rsidRPr="00FB254B" w:rsidRDefault="006F6CD6" w:rsidP="006F6CD6">
      <w:p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>CPD questions (most but not all answers will be in the tweets). There is only one correct answer per question</w:t>
      </w:r>
    </w:p>
    <w:p w14:paraId="1EE762AE" w14:textId="77777777" w:rsidR="006F6CD6" w:rsidRPr="00FB254B" w:rsidRDefault="006F6CD6">
      <w:pPr>
        <w:rPr>
          <w:rFonts w:asciiTheme="minorHAnsi" w:hAnsiTheme="minorHAnsi" w:cstheme="minorHAnsi"/>
        </w:rPr>
      </w:pPr>
    </w:p>
    <w:p w14:paraId="07474A33" w14:textId="54F62A6B" w:rsidR="006F6CD6" w:rsidRPr="00FB254B" w:rsidRDefault="006F6CD6">
      <w:pPr>
        <w:rPr>
          <w:rFonts w:asciiTheme="minorHAnsi" w:hAnsiTheme="minorHAnsi" w:cstheme="minorHAnsi"/>
        </w:rPr>
      </w:pPr>
    </w:p>
    <w:p w14:paraId="71F6A2C3" w14:textId="61516D32" w:rsidR="00143BAC" w:rsidRPr="00FB254B" w:rsidRDefault="00143BAC" w:rsidP="00143B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>Both AZT</w:t>
      </w:r>
      <w:r w:rsidR="006C52A3" w:rsidRPr="00FB254B">
        <w:rPr>
          <w:rFonts w:asciiTheme="minorHAnsi" w:hAnsiTheme="minorHAnsi" w:cstheme="minorHAnsi"/>
        </w:rPr>
        <w:t xml:space="preserve"> (zidovudine)</w:t>
      </w:r>
      <w:r w:rsidRPr="00FB254B">
        <w:rPr>
          <w:rFonts w:asciiTheme="minorHAnsi" w:hAnsiTheme="minorHAnsi" w:cstheme="minorHAnsi"/>
        </w:rPr>
        <w:t xml:space="preserve"> and abacavir belong to the same group of HIV drugs, the NRTIs</w:t>
      </w:r>
    </w:p>
    <w:p w14:paraId="1DCF148B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2C53DC28" w14:textId="58CE778E" w:rsidR="00143BAC" w:rsidRPr="00FB254B" w:rsidRDefault="00143BAC" w:rsidP="00143BAC">
      <w:p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>TRUE or FALSE</w:t>
      </w:r>
      <w:r w:rsidRPr="00FB254B">
        <w:rPr>
          <w:rFonts w:asciiTheme="minorHAnsi" w:hAnsiTheme="minorHAnsi" w:cstheme="minorHAnsi"/>
        </w:rPr>
        <w:tab/>
      </w:r>
      <w:r w:rsidRPr="00FB254B">
        <w:rPr>
          <w:rFonts w:asciiTheme="minorHAnsi" w:hAnsiTheme="minorHAnsi" w:cstheme="minorHAnsi"/>
        </w:rPr>
        <w:tab/>
      </w:r>
    </w:p>
    <w:p w14:paraId="2831C532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1866E0C4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3DC96B43" w14:textId="77777777" w:rsidR="00143BAC" w:rsidRPr="00FB254B" w:rsidRDefault="00143BAC" w:rsidP="00143B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 xml:space="preserve">Abacavir is a nucleoside analogue </w:t>
      </w:r>
    </w:p>
    <w:p w14:paraId="7324BBAF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63411A50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539B6513" w14:textId="03CD70BC" w:rsidR="00143BAC" w:rsidRPr="00FB254B" w:rsidRDefault="00143BAC" w:rsidP="00143BAC">
      <w:p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>TRUE or FALSE</w:t>
      </w:r>
      <w:r w:rsidRPr="00FB254B">
        <w:rPr>
          <w:rFonts w:asciiTheme="minorHAnsi" w:hAnsiTheme="minorHAnsi" w:cstheme="minorHAnsi"/>
        </w:rPr>
        <w:tab/>
      </w:r>
      <w:r w:rsidRPr="00FB254B">
        <w:rPr>
          <w:rFonts w:asciiTheme="minorHAnsi" w:hAnsiTheme="minorHAnsi" w:cstheme="minorHAnsi"/>
        </w:rPr>
        <w:tab/>
      </w:r>
    </w:p>
    <w:p w14:paraId="0B8166F8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7E57DC21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0BA4EC5B" w14:textId="77777777" w:rsidR="00143BAC" w:rsidRPr="00FB254B" w:rsidRDefault="00143BAC" w:rsidP="00143B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>There is no resistance to abacavir</w:t>
      </w:r>
    </w:p>
    <w:p w14:paraId="510C1708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57DC5BAE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3BB610E1" w14:textId="7B6A9038" w:rsidR="00143BAC" w:rsidRPr="00FB254B" w:rsidRDefault="00143BAC" w:rsidP="00143BAC">
      <w:p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>TRUE or FALSE</w:t>
      </w:r>
      <w:r w:rsidRPr="00FB254B">
        <w:rPr>
          <w:rFonts w:asciiTheme="minorHAnsi" w:hAnsiTheme="minorHAnsi" w:cstheme="minorHAnsi"/>
        </w:rPr>
        <w:tab/>
      </w:r>
      <w:r w:rsidRPr="00FB254B">
        <w:rPr>
          <w:rFonts w:asciiTheme="minorHAnsi" w:hAnsiTheme="minorHAnsi" w:cstheme="minorHAnsi"/>
        </w:rPr>
        <w:tab/>
      </w:r>
    </w:p>
    <w:p w14:paraId="52B26C71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21F709B0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1D3B683A" w14:textId="77777777" w:rsidR="00143BAC" w:rsidRPr="00FB254B" w:rsidRDefault="00143BAC" w:rsidP="00143B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>Abacavir is usually taken alone</w:t>
      </w:r>
    </w:p>
    <w:p w14:paraId="0B1A30E5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06D28109" w14:textId="422BAFD3" w:rsidR="00143BAC" w:rsidRPr="00FB254B" w:rsidRDefault="00143BAC" w:rsidP="00143BAC">
      <w:p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>TRUE or FALSE</w:t>
      </w:r>
      <w:r w:rsidRPr="00FB254B">
        <w:rPr>
          <w:rFonts w:asciiTheme="minorHAnsi" w:hAnsiTheme="minorHAnsi" w:cstheme="minorHAnsi"/>
        </w:rPr>
        <w:tab/>
      </w:r>
      <w:r w:rsidRPr="00FB254B">
        <w:rPr>
          <w:rFonts w:asciiTheme="minorHAnsi" w:hAnsiTheme="minorHAnsi" w:cstheme="minorHAnsi"/>
        </w:rPr>
        <w:tab/>
      </w:r>
    </w:p>
    <w:p w14:paraId="54ACE074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072BA619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308FCC66" w14:textId="099A66AA" w:rsidR="00143BAC" w:rsidRPr="00FB254B" w:rsidRDefault="00143BAC" w:rsidP="00143B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>Which of the following is TRUE?’</w:t>
      </w:r>
    </w:p>
    <w:p w14:paraId="17A12B31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1D02AAE1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0A62366F" w14:textId="77777777" w:rsidR="00143BAC" w:rsidRPr="00FB254B" w:rsidRDefault="00143BAC" w:rsidP="00143B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>Abacavir should be avoided at all stages of renal impairment</w:t>
      </w:r>
    </w:p>
    <w:p w14:paraId="74CEF8BE" w14:textId="77777777" w:rsidR="00143BAC" w:rsidRPr="00FB254B" w:rsidRDefault="00143BAC" w:rsidP="00143B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 xml:space="preserve">There is little/no phase 1 liver CYP450 breakdown </w:t>
      </w:r>
    </w:p>
    <w:p w14:paraId="4329889C" w14:textId="77777777" w:rsidR="00143BAC" w:rsidRPr="00FB254B" w:rsidRDefault="00143BAC" w:rsidP="00143B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>Excretion is mainly faecal</w:t>
      </w:r>
    </w:p>
    <w:p w14:paraId="2B6A9E9E" w14:textId="77777777" w:rsidR="00143BAC" w:rsidRPr="00FB254B" w:rsidRDefault="00143BAC" w:rsidP="00143BA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B254B">
        <w:rPr>
          <w:rFonts w:asciiTheme="minorHAnsi" w:hAnsiTheme="minorHAnsi" w:cstheme="minorHAnsi"/>
        </w:rPr>
        <w:t>Abacavir has a long half-life</w:t>
      </w:r>
    </w:p>
    <w:p w14:paraId="3453D3FD" w14:textId="77777777" w:rsidR="00143BAC" w:rsidRPr="00FB254B" w:rsidRDefault="00143BAC" w:rsidP="00143BAC">
      <w:pPr>
        <w:rPr>
          <w:rFonts w:asciiTheme="minorHAnsi" w:hAnsiTheme="minorHAnsi" w:cstheme="minorHAnsi"/>
        </w:rPr>
      </w:pPr>
    </w:p>
    <w:p w14:paraId="0EF85A6B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7AF9F175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61B10525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5F1F4F28" w14:textId="77777777" w:rsidR="00143BAC" w:rsidRDefault="00143BAC" w:rsidP="00143B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are multiple severe drug-drug interactions</w:t>
      </w:r>
    </w:p>
    <w:p w14:paraId="4F2C8EE4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7B72A71A" w14:textId="77777777" w:rsidR="00143BAC" w:rsidRPr="00BB3D1B" w:rsidRDefault="00143BAC" w:rsidP="00143BAC">
      <w:pPr>
        <w:rPr>
          <w:rFonts w:asciiTheme="minorHAnsi" w:hAnsiTheme="minorHAnsi" w:cstheme="minorHAnsi"/>
        </w:rPr>
      </w:pPr>
    </w:p>
    <w:p w14:paraId="78818E52" w14:textId="210518AE" w:rsidR="00143BAC" w:rsidRDefault="00143BAC" w:rsidP="00143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 or FALSE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D3DE5FD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6AACDAAC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751DB93E" w14:textId="27F4D911" w:rsidR="00143BAC" w:rsidRDefault="00143BAC" w:rsidP="00143B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best describes the mechanism of action</w:t>
      </w:r>
      <w:r w:rsidR="00BB12DB">
        <w:rPr>
          <w:rFonts w:asciiTheme="minorHAnsi" w:hAnsiTheme="minorHAnsi" w:cstheme="minorHAnsi"/>
        </w:rPr>
        <w:t xml:space="preserve"> for abacavir</w:t>
      </w:r>
    </w:p>
    <w:p w14:paraId="10586FEB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2BCA4F88" w14:textId="77777777" w:rsidR="00143BAC" w:rsidRDefault="00143BAC" w:rsidP="00143BA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Once in the body, abacavir prevents viral entry into the body’s immune cells</w:t>
      </w:r>
    </w:p>
    <w:p w14:paraId="0B59E0FD" w14:textId="77777777" w:rsidR="00143BAC" w:rsidRDefault="00143BAC" w:rsidP="00143BA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Abacavir enhances the intra-cellular killing capacity of lymphocytes so they can destroy the virus </w:t>
      </w:r>
    </w:p>
    <w:p w14:paraId="1218EF74" w14:textId="77777777" w:rsidR="00143BAC" w:rsidRPr="00BB3D1B" w:rsidRDefault="00143BAC" w:rsidP="00143BA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Abacavir inhibits the ability of the reverse transcriptase enzyme to make true DNA copies</w:t>
      </w:r>
    </w:p>
    <w:p w14:paraId="61A6E8B1" w14:textId="77777777" w:rsidR="00143BAC" w:rsidRPr="00BB3D1B" w:rsidRDefault="00143BAC" w:rsidP="00143BA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Abacavir prevents the virus from being released from infected cells</w:t>
      </w:r>
    </w:p>
    <w:p w14:paraId="5B39A6F1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4DC640D2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3A90A10F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597F9A2F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0F4ADFD5" w14:textId="77777777" w:rsidR="00143BAC" w:rsidRDefault="00143BAC" w:rsidP="00143B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of the following is a common adverse drug reaction?</w:t>
      </w:r>
    </w:p>
    <w:p w14:paraId="4679B14A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45934597" w14:textId="77777777" w:rsidR="00143BAC" w:rsidRDefault="00143BAC" w:rsidP="00143BA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Fatigue</w:t>
      </w:r>
    </w:p>
    <w:p w14:paraId="3DE1864D" w14:textId="77777777" w:rsidR="00143BAC" w:rsidRDefault="00143BAC" w:rsidP="00143BA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Lactic acidosis</w:t>
      </w:r>
    </w:p>
    <w:p w14:paraId="0FEA06A7" w14:textId="77777777" w:rsidR="00143BAC" w:rsidRDefault="00143BAC" w:rsidP="00143BA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Pancreatitis</w:t>
      </w:r>
    </w:p>
    <w:p w14:paraId="200DDD82" w14:textId="77777777" w:rsidR="00143BAC" w:rsidRPr="00E800EF" w:rsidRDefault="00143BAC" w:rsidP="00143BA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Stevens-Johnson syndrome</w:t>
      </w:r>
    </w:p>
    <w:p w14:paraId="4EF7777A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4623EE8B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6B832DEC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2285B85D" w14:textId="77777777" w:rsidR="00143BAC" w:rsidRDefault="00143BAC" w:rsidP="00143B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Abacavir can be combined with dolutegravir and lamivudine</w:t>
      </w:r>
    </w:p>
    <w:p w14:paraId="7EFE848C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052FFAFB" w14:textId="77777777" w:rsidR="00143BAC" w:rsidRPr="000B694E" w:rsidRDefault="00143BAC" w:rsidP="00143BAC">
      <w:pPr>
        <w:rPr>
          <w:rFonts w:asciiTheme="minorHAnsi" w:hAnsiTheme="minorHAnsi" w:cstheme="minorHAnsi"/>
        </w:rPr>
      </w:pPr>
    </w:p>
    <w:p w14:paraId="1CBC1613" w14:textId="5B909BAF" w:rsidR="00143BAC" w:rsidRDefault="00143BAC" w:rsidP="00143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 or FALSE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6A794CA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16040AF0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34244EEA" w14:textId="77777777" w:rsidR="00143BAC" w:rsidRPr="000B694E" w:rsidRDefault="00143BAC" w:rsidP="00143BA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 all the new drug combinations, HIV/AIDs can now be cured</w:t>
      </w:r>
    </w:p>
    <w:p w14:paraId="6FF4238C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0404A913" w14:textId="77777777" w:rsidR="00143BAC" w:rsidRDefault="00143BAC" w:rsidP="00143BAC">
      <w:pPr>
        <w:rPr>
          <w:rFonts w:asciiTheme="minorHAnsi" w:hAnsiTheme="minorHAnsi" w:cstheme="minorHAnsi"/>
        </w:rPr>
      </w:pPr>
    </w:p>
    <w:p w14:paraId="41D6F114" w14:textId="55B1658F" w:rsidR="00143BAC" w:rsidRDefault="00143BAC" w:rsidP="00143B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TRUE or FALSE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B3E8BA6" w14:textId="77777777" w:rsidR="00143BAC" w:rsidRDefault="00143BAC"/>
    <w:sectPr w:rsidR="00143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4912"/>
    <w:multiLevelType w:val="multilevel"/>
    <w:tmpl w:val="D10E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60D20"/>
    <w:multiLevelType w:val="hybridMultilevel"/>
    <w:tmpl w:val="B10C95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25B5"/>
    <w:multiLevelType w:val="hybridMultilevel"/>
    <w:tmpl w:val="90603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5A15"/>
    <w:multiLevelType w:val="multilevel"/>
    <w:tmpl w:val="5B74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F097D"/>
    <w:multiLevelType w:val="multilevel"/>
    <w:tmpl w:val="73F8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F35F9"/>
    <w:multiLevelType w:val="multilevel"/>
    <w:tmpl w:val="C1FA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263FA"/>
    <w:multiLevelType w:val="multilevel"/>
    <w:tmpl w:val="8916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43359"/>
    <w:multiLevelType w:val="multilevel"/>
    <w:tmpl w:val="4C26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3645BA"/>
    <w:multiLevelType w:val="hybridMultilevel"/>
    <w:tmpl w:val="7D5E1B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B0D8D"/>
    <w:multiLevelType w:val="multilevel"/>
    <w:tmpl w:val="0486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245AFE"/>
    <w:multiLevelType w:val="multilevel"/>
    <w:tmpl w:val="321C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D28CA"/>
    <w:multiLevelType w:val="hybridMultilevel"/>
    <w:tmpl w:val="695EDD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56E45"/>
    <w:multiLevelType w:val="multilevel"/>
    <w:tmpl w:val="222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AC"/>
    <w:rsid w:val="00143BAC"/>
    <w:rsid w:val="00292C22"/>
    <w:rsid w:val="00697D60"/>
    <w:rsid w:val="006C52A3"/>
    <w:rsid w:val="006F6CD6"/>
    <w:rsid w:val="0082358C"/>
    <w:rsid w:val="00BB12DB"/>
    <w:rsid w:val="00CC648A"/>
    <w:rsid w:val="00FB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69CC3"/>
  <w15:chartTrackingRefBased/>
  <w15:docId w15:val="{73434350-1B83-5B4F-A058-28F4CE3B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BA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BAC"/>
    <w:pPr>
      <w:ind w:left="720"/>
      <w:contextualSpacing/>
    </w:pPr>
    <w:rPr>
      <w:lang w:eastAsia="en-US"/>
    </w:rPr>
  </w:style>
  <w:style w:type="paragraph" w:customStyle="1" w:styleId="js-tweet-text">
    <w:name w:val="js-tweet-text"/>
    <w:basedOn w:val="Normal"/>
    <w:rsid w:val="00143BA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43BAC"/>
    <w:rPr>
      <w:color w:val="0000FF"/>
      <w:u w:val="single"/>
    </w:rPr>
  </w:style>
  <w:style w:type="character" w:customStyle="1" w:styleId="hash">
    <w:name w:val="hash"/>
    <w:basedOn w:val="DefaultParagraphFont"/>
    <w:rsid w:val="00143BAC"/>
  </w:style>
  <w:style w:type="character" w:customStyle="1" w:styleId="link-complex-target">
    <w:name w:val="link-complex-target"/>
    <w:basedOn w:val="DefaultParagraphFont"/>
    <w:rsid w:val="00143BAC"/>
  </w:style>
  <w:style w:type="character" w:customStyle="1" w:styleId="apple-converted-space">
    <w:name w:val="apple-converted-space"/>
    <w:basedOn w:val="DefaultParagraphFont"/>
    <w:rsid w:val="00143BAC"/>
  </w:style>
  <w:style w:type="character" w:customStyle="1" w:styleId="txt-size-variable--10">
    <w:name w:val="txt-size-variable--10"/>
    <w:basedOn w:val="DefaultParagraphFont"/>
    <w:rsid w:val="00143BAC"/>
  </w:style>
  <w:style w:type="character" w:customStyle="1" w:styleId="js-ticker-value">
    <w:name w:val="js-ticker-value"/>
    <w:basedOn w:val="DefaultParagraphFont"/>
    <w:rsid w:val="00143BAC"/>
  </w:style>
  <w:style w:type="character" w:customStyle="1" w:styleId="js-label">
    <w:name w:val="js-label"/>
    <w:basedOn w:val="DefaultParagraphFont"/>
    <w:rsid w:val="00143BAC"/>
  </w:style>
  <w:style w:type="paragraph" w:customStyle="1" w:styleId="tweet-detail-action-item">
    <w:name w:val="tweet-detail-action-item"/>
    <w:basedOn w:val="Normal"/>
    <w:rsid w:val="00143BAC"/>
    <w:pPr>
      <w:spacing w:before="100" w:beforeAutospacing="1" w:after="100" w:afterAutospacing="1"/>
    </w:pPr>
  </w:style>
  <w:style w:type="character" w:customStyle="1" w:styleId="is-vishidden">
    <w:name w:val="is-vishidden"/>
    <w:basedOn w:val="DefaultParagraphFont"/>
    <w:rsid w:val="00143BAC"/>
  </w:style>
  <w:style w:type="character" w:customStyle="1" w:styleId="account-inline">
    <w:name w:val="account-inline"/>
    <w:basedOn w:val="DefaultParagraphFont"/>
    <w:rsid w:val="00143BAC"/>
  </w:style>
  <w:style w:type="character" w:customStyle="1" w:styleId="username">
    <w:name w:val="username"/>
    <w:basedOn w:val="DefaultParagraphFont"/>
    <w:rsid w:val="00143BAC"/>
  </w:style>
  <w:style w:type="paragraph" w:customStyle="1" w:styleId="tweet-action-item">
    <w:name w:val="tweet-action-item"/>
    <w:basedOn w:val="Normal"/>
    <w:rsid w:val="00143BAC"/>
    <w:pPr>
      <w:spacing w:before="100" w:beforeAutospacing="1" w:after="100" w:afterAutospacing="1"/>
    </w:pPr>
  </w:style>
  <w:style w:type="character" w:customStyle="1" w:styleId="pull-right">
    <w:name w:val="pull-right"/>
    <w:basedOn w:val="DefaultParagraphFont"/>
    <w:rsid w:val="00143BAC"/>
  </w:style>
  <w:style w:type="character" w:styleId="UnresolvedMention">
    <w:name w:val="Unresolved Mention"/>
    <w:basedOn w:val="DefaultParagraphFont"/>
    <w:uiPriority w:val="99"/>
    <w:semiHidden/>
    <w:unhideWhenUsed/>
    <w:rsid w:val="006F6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9391">
                          <w:marLeft w:val="0"/>
                          <w:marRight w:val="105"/>
                          <w:marTop w:val="150"/>
                          <w:marBottom w:val="0"/>
                          <w:divBdr>
                            <w:top w:val="single" w:sz="6" w:space="0" w:color="E1E8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22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E1E8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2016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405900">
                              <w:marLeft w:val="0"/>
                              <w:marRight w:val="10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43882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9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2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89782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0487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9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7015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0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8759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3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6609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2897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3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0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0933">
                              <w:marLeft w:val="-69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arch?q=%23abacavir" TargetMode="External"/><Relationship Id="rId13" Type="http://schemas.openxmlformats.org/officeDocument/2006/relationships/hyperlink" Target="https://twitter.com/search?q=%23abacavir" TargetMode="External"/><Relationship Id="rId18" Type="http://schemas.openxmlformats.org/officeDocument/2006/relationships/hyperlink" Target="https://bnf.nice.org.uk/drug/abacavir.html#indicationsAndDos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witter.com/search?q=%23AZT" TargetMode="External"/><Relationship Id="rId12" Type="http://schemas.openxmlformats.org/officeDocument/2006/relationships/hyperlink" Target="https://twitter.com/search?q=%23abacavir" TargetMode="External"/><Relationship Id="rId17" Type="http://schemas.openxmlformats.org/officeDocument/2006/relationships/hyperlink" Target="https://bnf.nice.org.uk/treatment-summary/hiv-infecti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search?q=%23ItsASin" TargetMode="External"/><Relationship Id="rId20" Type="http://schemas.openxmlformats.org/officeDocument/2006/relationships/hyperlink" Target="https://www.medicines.org.uk/emc/product/5518/smpc#gr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search?q=%23AZT" TargetMode="External"/><Relationship Id="rId11" Type="http://schemas.openxmlformats.org/officeDocument/2006/relationships/hyperlink" Target="https://twitter.com/search?q=%23abacavir" TargetMode="External"/><Relationship Id="rId5" Type="http://schemas.openxmlformats.org/officeDocument/2006/relationships/hyperlink" Target="https://twitter.com/search?q=%23ItsASin" TargetMode="External"/><Relationship Id="rId15" Type="http://schemas.openxmlformats.org/officeDocument/2006/relationships/hyperlink" Target="https://twitter.com/search?q=%23BeMoreJill" TargetMode="External"/><Relationship Id="rId10" Type="http://schemas.openxmlformats.org/officeDocument/2006/relationships/hyperlink" Target="https://twitter.com/search?q=%23abacavir" TargetMode="External"/><Relationship Id="rId19" Type="http://schemas.openxmlformats.org/officeDocument/2006/relationships/hyperlink" Target="https://bnf.nice.org.uk/drug/zidovudi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earch?q=%23abacavir" TargetMode="External"/><Relationship Id="rId14" Type="http://schemas.openxmlformats.org/officeDocument/2006/relationships/hyperlink" Target="https://twitter.com/search?q=%23abacavi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6</cp:revision>
  <dcterms:created xsi:type="dcterms:W3CDTF">2021-03-02T16:21:00Z</dcterms:created>
  <dcterms:modified xsi:type="dcterms:W3CDTF">2021-03-02T16:42:00Z</dcterms:modified>
</cp:coreProperties>
</file>