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7BF0" w14:textId="4BDF64E7" w:rsidR="00264D43" w:rsidRDefault="00264D43" w:rsidP="003D1FBF">
      <w:pPr>
        <w:spacing w:line="200" w:lineRule="exact"/>
        <w:rPr>
          <w:sz w:val="20"/>
          <w:szCs w:val="20"/>
        </w:rPr>
      </w:pPr>
      <w:bookmarkStart w:id="0" w:name="_Toc50713983"/>
      <w:bookmarkStart w:id="1" w:name="_Toc69749275"/>
    </w:p>
    <w:p w14:paraId="542ECD08" w14:textId="77777777" w:rsidR="00264D43" w:rsidRDefault="00264D43" w:rsidP="003D1FBF">
      <w:pPr>
        <w:spacing w:line="200" w:lineRule="exact"/>
        <w:rPr>
          <w:sz w:val="20"/>
          <w:szCs w:val="20"/>
        </w:rPr>
      </w:pPr>
    </w:p>
    <w:p w14:paraId="6AE69731" w14:textId="77777777" w:rsidR="008204BE" w:rsidRDefault="008204BE">
      <w:pPr>
        <w:spacing w:line="387" w:lineRule="exact"/>
        <w:rPr>
          <w:sz w:val="20"/>
          <w:szCs w:val="20"/>
        </w:rPr>
      </w:pPr>
    </w:p>
    <w:p w14:paraId="7A67AC6D" w14:textId="77777777" w:rsidR="007D241D" w:rsidRPr="009531D5" w:rsidRDefault="007D241D" w:rsidP="007D241D">
      <w:pPr>
        <w:spacing w:line="276" w:lineRule="auto"/>
        <w:jc w:val="center"/>
        <w:rPr>
          <w:b/>
          <w:bCs/>
          <w:sz w:val="28"/>
          <w:szCs w:val="28"/>
        </w:rPr>
      </w:pPr>
      <w:r w:rsidRPr="009531D5">
        <w:rPr>
          <w:b/>
          <w:bCs/>
          <w:sz w:val="28"/>
          <w:szCs w:val="28"/>
        </w:rPr>
        <w:t>De-burdening the IPO approval process</w:t>
      </w:r>
      <w:r>
        <w:rPr>
          <w:b/>
          <w:bCs/>
          <w:sz w:val="28"/>
          <w:szCs w:val="28"/>
        </w:rPr>
        <w:t>?</w:t>
      </w:r>
    </w:p>
    <w:p w14:paraId="764EC117" w14:textId="77777777" w:rsidR="007D241D" w:rsidRPr="009531D5" w:rsidRDefault="007D241D" w:rsidP="007D241D">
      <w:pPr>
        <w:jc w:val="center"/>
        <w:rPr>
          <w:b/>
          <w:bCs/>
          <w:sz w:val="28"/>
          <w:szCs w:val="28"/>
        </w:rPr>
      </w:pPr>
      <w:r w:rsidRPr="009531D5">
        <w:rPr>
          <w:b/>
          <w:bCs/>
          <w:sz w:val="28"/>
          <w:szCs w:val="28"/>
        </w:rPr>
        <w:t>SEC reviews under the JOBS Act</w:t>
      </w:r>
    </w:p>
    <w:p w14:paraId="465273FC" w14:textId="77777777" w:rsidR="007D241D" w:rsidRPr="009531D5" w:rsidRDefault="007D241D" w:rsidP="007D241D"/>
    <w:p w14:paraId="64386249" w14:textId="77777777" w:rsidR="007D241D" w:rsidRDefault="007D241D" w:rsidP="007D241D"/>
    <w:p w14:paraId="621F7F42" w14:textId="77777777" w:rsidR="007D241D" w:rsidRPr="009531D5" w:rsidRDefault="007D241D" w:rsidP="007D241D"/>
    <w:p w14:paraId="6D61E0AA" w14:textId="77777777" w:rsidR="007D241D" w:rsidRPr="009531D5" w:rsidRDefault="007D241D" w:rsidP="007D241D"/>
    <w:p w14:paraId="5EF4C3DB" w14:textId="77777777" w:rsidR="007D241D" w:rsidRPr="009531D5" w:rsidRDefault="007D241D" w:rsidP="007D241D"/>
    <w:p w14:paraId="6F0A8A30" w14:textId="3298BA7C" w:rsidR="007D241D" w:rsidRPr="00753232" w:rsidRDefault="007D241D" w:rsidP="007D241D">
      <w:pPr>
        <w:spacing w:line="276" w:lineRule="auto"/>
        <w:jc w:val="center"/>
        <w:rPr>
          <w:vertAlign w:val="superscript"/>
        </w:rPr>
      </w:pPr>
      <w:r w:rsidRPr="009531D5">
        <w:t xml:space="preserve">Vy Ngoc </w:t>
      </w:r>
      <w:proofErr w:type="spellStart"/>
      <w:r w:rsidRPr="009531D5">
        <w:t>Khanh</w:t>
      </w:r>
      <w:proofErr w:type="spellEnd"/>
      <w:r w:rsidRPr="009531D5">
        <w:t xml:space="preserve"> Tran</w:t>
      </w:r>
      <w:r w:rsidR="00753232">
        <w:rPr>
          <w:vertAlign w:val="superscript"/>
        </w:rPr>
        <w:t>(a)</w:t>
      </w:r>
    </w:p>
    <w:p w14:paraId="02644748" w14:textId="77777777" w:rsidR="007D241D" w:rsidRPr="006946CF" w:rsidRDefault="007D241D" w:rsidP="007D241D">
      <w:pPr>
        <w:spacing w:line="276" w:lineRule="auto"/>
        <w:jc w:val="center"/>
        <w:rPr>
          <w:i/>
          <w:iCs/>
        </w:rPr>
      </w:pPr>
      <w:r>
        <w:rPr>
          <w:i/>
          <w:iCs/>
        </w:rPr>
        <w:t>London South Bank University and Bangor University</w:t>
      </w:r>
    </w:p>
    <w:p w14:paraId="5C0F41BD" w14:textId="77777777" w:rsidR="007D241D" w:rsidRPr="009531D5" w:rsidRDefault="007D241D" w:rsidP="007D241D">
      <w:pPr>
        <w:spacing w:line="276" w:lineRule="auto"/>
        <w:jc w:val="center"/>
      </w:pPr>
      <w:r w:rsidRPr="009531D5">
        <w:t>abp702@bangor.ac.uk</w:t>
      </w:r>
    </w:p>
    <w:p w14:paraId="5059CC6C" w14:textId="77777777" w:rsidR="007D241D" w:rsidRPr="009531D5" w:rsidRDefault="007D241D" w:rsidP="007D241D">
      <w:pPr>
        <w:jc w:val="center"/>
      </w:pPr>
    </w:p>
    <w:p w14:paraId="20043722" w14:textId="77777777" w:rsidR="007D241D" w:rsidRPr="009531D5" w:rsidRDefault="007D241D" w:rsidP="007D241D">
      <w:pPr>
        <w:jc w:val="center"/>
      </w:pPr>
    </w:p>
    <w:p w14:paraId="5CC3DC68" w14:textId="772D15B4" w:rsidR="007D241D" w:rsidRPr="009531D5" w:rsidRDefault="007D241D" w:rsidP="007D241D">
      <w:pPr>
        <w:spacing w:line="276" w:lineRule="auto"/>
        <w:jc w:val="center"/>
      </w:pPr>
      <w:r w:rsidRPr="009531D5">
        <w:t>Danial Hemmings</w:t>
      </w:r>
      <w:r w:rsidR="00753232">
        <w:rPr>
          <w:vertAlign w:val="superscript"/>
        </w:rPr>
        <w:t>(b) (*)</w:t>
      </w:r>
    </w:p>
    <w:p w14:paraId="60EB5F71" w14:textId="77777777" w:rsidR="007D241D" w:rsidRPr="006946CF" w:rsidRDefault="007D241D" w:rsidP="007D241D">
      <w:pPr>
        <w:spacing w:line="276" w:lineRule="auto"/>
        <w:jc w:val="center"/>
        <w:rPr>
          <w:i/>
          <w:iCs/>
        </w:rPr>
      </w:pPr>
      <w:r w:rsidRPr="006946CF">
        <w:rPr>
          <w:i/>
          <w:iCs/>
        </w:rPr>
        <w:t>Bangor Business School, Bangor University</w:t>
      </w:r>
    </w:p>
    <w:p w14:paraId="40B94DD7" w14:textId="77777777" w:rsidR="007D241D" w:rsidRPr="009531D5" w:rsidRDefault="007D241D" w:rsidP="007D241D">
      <w:pPr>
        <w:spacing w:line="276" w:lineRule="auto"/>
        <w:jc w:val="center"/>
      </w:pPr>
      <w:r w:rsidRPr="009531D5">
        <w:t>d.hemmings@bangor.ac.uk</w:t>
      </w:r>
    </w:p>
    <w:p w14:paraId="1FEBF824" w14:textId="77777777" w:rsidR="007D241D" w:rsidRPr="009531D5" w:rsidRDefault="007D241D" w:rsidP="007D241D">
      <w:pPr>
        <w:jc w:val="center"/>
      </w:pPr>
    </w:p>
    <w:p w14:paraId="3A9B380C" w14:textId="77777777" w:rsidR="007D241D" w:rsidRPr="009531D5" w:rsidRDefault="007D241D" w:rsidP="007D241D">
      <w:pPr>
        <w:jc w:val="center"/>
      </w:pPr>
    </w:p>
    <w:p w14:paraId="6FC1FC53" w14:textId="5A0586C5" w:rsidR="007D241D" w:rsidRPr="00753232" w:rsidRDefault="007D241D" w:rsidP="007D241D">
      <w:pPr>
        <w:spacing w:line="276" w:lineRule="auto"/>
        <w:jc w:val="center"/>
        <w:rPr>
          <w:vertAlign w:val="superscript"/>
        </w:rPr>
      </w:pPr>
      <w:r w:rsidRPr="009531D5">
        <w:t>Aziz Jaafar</w:t>
      </w:r>
      <w:r w:rsidR="00753232">
        <w:rPr>
          <w:vertAlign w:val="superscript"/>
        </w:rPr>
        <w:t>(c)</w:t>
      </w:r>
    </w:p>
    <w:p w14:paraId="7FF9DF6E" w14:textId="77777777" w:rsidR="007D241D" w:rsidRPr="006946CF" w:rsidRDefault="007D241D" w:rsidP="007D241D">
      <w:pPr>
        <w:spacing w:line="276" w:lineRule="auto"/>
        <w:jc w:val="center"/>
        <w:rPr>
          <w:i/>
          <w:iCs/>
        </w:rPr>
      </w:pPr>
      <w:r w:rsidRPr="006946CF">
        <w:rPr>
          <w:i/>
          <w:iCs/>
        </w:rPr>
        <w:t>Bangor Business School, Bangor University</w:t>
      </w:r>
    </w:p>
    <w:p w14:paraId="2FFD72BA" w14:textId="77777777" w:rsidR="007D241D" w:rsidRPr="009531D5" w:rsidRDefault="007D241D" w:rsidP="007D241D">
      <w:pPr>
        <w:spacing w:line="276" w:lineRule="auto"/>
        <w:jc w:val="center"/>
      </w:pPr>
      <w:r w:rsidRPr="009531D5">
        <w:t>a.jaafar@bangor.ac.uk</w:t>
      </w:r>
    </w:p>
    <w:p w14:paraId="29271579" w14:textId="77777777" w:rsidR="007D241D" w:rsidRPr="009531D5" w:rsidRDefault="007D241D" w:rsidP="007D241D">
      <w:pPr>
        <w:jc w:val="center"/>
      </w:pPr>
    </w:p>
    <w:p w14:paraId="5B6F9CDF" w14:textId="77777777" w:rsidR="007D241D" w:rsidRPr="009531D5" w:rsidRDefault="007D241D" w:rsidP="007D241D">
      <w:pPr>
        <w:jc w:val="center"/>
      </w:pPr>
    </w:p>
    <w:p w14:paraId="63E1EFA6" w14:textId="77777777" w:rsidR="007D241D" w:rsidRPr="009531D5" w:rsidRDefault="007D241D" w:rsidP="007D241D">
      <w:pPr>
        <w:jc w:val="center"/>
      </w:pPr>
    </w:p>
    <w:p w14:paraId="6DB3AEEF" w14:textId="77777777" w:rsidR="007D241D" w:rsidRPr="009531D5" w:rsidRDefault="007D241D" w:rsidP="007D241D">
      <w:pPr>
        <w:jc w:val="center"/>
      </w:pPr>
    </w:p>
    <w:p w14:paraId="21E710A5" w14:textId="1FAF0C20" w:rsidR="007D241D" w:rsidRPr="009531D5" w:rsidRDefault="007D241D" w:rsidP="0052614F">
      <w:pPr>
        <w:jc w:val="center"/>
      </w:pPr>
      <w:r w:rsidRPr="009531D5">
        <w:t xml:space="preserve">This draft: </w:t>
      </w:r>
      <w:r>
        <w:t>30</w:t>
      </w:r>
      <w:r w:rsidRPr="00691C00">
        <w:rPr>
          <w:vertAlign w:val="superscript"/>
        </w:rPr>
        <w:t>th</w:t>
      </w:r>
      <w:r>
        <w:t xml:space="preserve"> May</w:t>
      </w:r>
      <w:r w:rsidRPr="009531D5">
        <w:t xml:space="preserve"> 202</w:t>
      </w:r>
      <w:r>
        <w:t>2</w:t>
      </w:r>
    </w:p>
    <w:p w14:paraId="38764237" w14:textId="77777777" w:rsidR="007D241D" w:rsidRPr="009531D5" w:rsidRDefault="007D241D" w:rsidP="007D241D">
      <w:pPr>
        <w:jc w:val="center"/>
      </w:pPr>
    </w:p>
    <w:p w14:paraId="2BD6FB45" w14:textId="77777777" w:rsidR="007D241D" w:rsidRPr="009531D5" w:rsidRDefault="007D241D" w:rsidP="007D241D">
      <w:pPr>
        <w:jc w:val="center"/>
      </w:pPr>
    </w:p>
    <w:p w14:paraId="71723DE3" w14:textId="77777777" w:rsidR="007D241D" w:rsidRPr="009531D5" w:rsidRDefault="007D241D" w:rsidP="007D241D"/>
    <w:p w14:paraId="46BD13AB" w14:textId="77777777" w:rsidR="007D241D" w:rsidRPr="009531D5" w:rsidRDefault="007D241D" w:rsidP="007D241D"/>
    <w:p w14:paraId="5EA857AB" w14:textId="77777777" w:rsidR="007D241D" w:rsidRPr="009531D5" w:rsidRDefault="007D241D" w:rsidP="007D241D"/>
    <w:p w14:paraId="1FB5207E" w14:textId="28F56620" w:rsidR="007D241D" w:rsidRDefault="007D241D" w:rsidP="007D241D">
      <w:pPr>
        <w:jc w:val="both"/>
        <w:rPr>
          <w:sz w:val="22"/>
          <w:szCs w:val="22"/>
        </w:rPr>
      </w:pPr>
      <w:r w:rsidRPr="00F4255F">
        <w:rPr>
          <w:b/>
          <w:bCs/>
          <w:sz w:val="22"/>
          <w:szCs w:val="22"/>
        </w:rPr>
        <w:t>Acknowledgements:</w:t>
      </w:r>
      <w:r w:rsidRPr="00F4255F">
        <w:rPr>
          <w:sz w:val="22"/>
          <w:szCs w:val="22"/>
        </w:rPr>
        <w:t xml:space="preserve"> We thank </w:t>
      </w:r>
      <w:proofErr w:type="spellStart"/>
      <w:r w:rsidRPr="00F4255F">
        <w:rPr>
          <w:sz w:val="22"/>
          <w:szCs w:val="22"/>
        </w:rPr>
        <w:t>Teerooven</w:t>
      </w:r>
      <w:proofErr w:type="spellEnd"/>
      <w:r w:rsidRPr="00F4255F">
        <w:rPr>
          <w:sz w:val="22"/>
          <w:szCs w:val="22"/>
        </w:rPr>
        <w:t xml:space="preserve"> </w:t>
      </w:r>
      <w:proofErr w:type="spellStart"/>
      <w:r w:rsidRPr="00F4255F">
        <w:rPr>
          <w:sz w:val="22"/>
          <w:szCs w:val="22"/>
        </w:rPr>
        <w:t>Soobaroyen</w:t>
      </w:r>
      <w:proofErr w:type="spellEnd"/>
      <w:r w:rsidRPr="00F4255F">
        <w:rPr>
          <w:sz w:val="22"/>
          <w:szCs w:val="22"/>
        </w:rPr>
        <w:t>, Lynn Hodgkinson, Niamh Brennan, Kevin Holland as well as participants at the 2019 BAFA Annual Conference and Bangor Business School, for their helpful comments and suggestions. Any remaining errors are due to our negligence.</w:t>
      </w:r>
    </w:p>
    <w:p w14:paraId="695BAFDE" w14:textId="77777777" w:rsidR="00F4255F" w:rsidRPr="00F4255F" w:rsidRDefault="00F4255F" w:rsidP="007D241D">
      <w:pPr>
        <w:jc w:val="both"/>
        <w:rPr>
          <w:sz w:val="22"/>
          <w:szCs w:val="22"/>
        </w:rPr>
      </w:pPr>
    </w:p>
    <w:p w14:paraId="3D49A253" w14:textId="61945A7A" w:rsidR="00753232" w:rsidRPr="0052614F" w:rsidRDefault="00753232" w:rsidP="0052614F">
      <w:pPr>
        <w:pStyle w:val="ListParagraph"/>
        <w:numPr>
          <w:ilvl w:val="0"/>
          <w:numId w:val="40"/>
        </w:numPr>
        <w:ind w:left="426"/>
        <w:jc w:val="both"/>
        <w:rPr>
          <w:sz w:val="20"/>
          <w:szCs w:val="20"/>
        </w:rPr>
      </w:pPr>
      <w:r w:rsidRPr="0052614F">
        <w:rPr>
          <w:sz w:val="20"/>
          <w:szCs w:val="20"/>
        </w:rPr>
        <w:t xml:space="preserve">Dr Vy Ngoc </w:t>
      </w:r>
      <w:proofErr w:type="spellStart"/>
      <w:r w:rsidRPr="0052614F">
        <w:rPr>
          <w:sz w:val="20"/>
          <w:szCs w:val="20"/>
        </w:rPr>
        <w:t>Khanh</w:t>
      </w:r>
      <w:proofErr w:type="spellEnd"/>
      <w:r w:rsidRPr="0052614F">
        <w:rPr>
          <w:sz w:val="20"/>
          <w:szCs w:val="20"/>
        </w:rPr>
        <w:t xml:space="preserve"> Tran is a </w:t>
      </w:r>
      <w:r w:rsidR="00CB7303">
        <w:rPr>
          <w:sz w:val="20"/>
          <w:szCs w:val="20"/>
        </w:rPr>
        <w:t>l</w:t>
      </w:r>
      <w:r w:rsidRPr="0052614F">
        <w:rPr>
          <w:sz w:val="20"/>
          <w:szCs w:val="20"/>
        </w:rPr>
        <w:t>ecturer in Accounting at L</w:t>
      </w:r>
      <w:r w:rsidR="0052614F" w:rsidRPr="0052614F">
        <w:rPr>
          <w:sz w:val="20"/>
          <w:szCs w:val="20"/>
        </w:rPr>
        <w:t>ondon South Bank</w:t>
      </w:r>
      <w:r w:rsidRPr="0052614F">
        <w:rPr>
          <w:sz w:val="20"/>
          <w:szCs w:val="20"/>
        </w:rPr>
        <w:t xml:space="preserve"> Business School. Her current research specialises in the areas of disclosure and financial reporting quality, initial equity offerings, regulations of financial markets and machine-learning textual analysis.</w:t>
      </w:r>
    </w:p>
    <w:p w14:paraId="74A9EC12" w14:textId="618E412C" w:rsidR="00753232" w:rsidRPr="0052614F" w:rsidRDefault="00753232" w:rsidP="0052614F">
      <w:pPr>
        <w:pStyle w:val="ListParagraph"/>
        <w:numPr>
          <w:ilvl w:val="0"/>
          <w:numId w:val="40"/>
        </w:numPr>
        <w:ind w:left="426"/>
        <w:jc w:val="both"/>
        <w:rPr>
          <w:sz w:val="20"/>
          <w:szCs w:val="20"/>
        </w:rPr>
      </w:pPr>
      <w:r w:rsidRPr="0052614F">
        <w:rPr>
          <w:sz w:val="20"/>
          <w:szCs w:val="20"/>
        </w:rPr>
        <w:t xml:space="preserve">Dr Danial Hemmings is a </w:t>
      </w:r>
      <w:r w:rsidR="00CB7303">
        <w:rPr>
          <w:sz w:val="20"/>
          <w:szCs w:val="20"/>
        </w:rPr>
        <w:t>l</w:t>
      </w:r>
      <w:r w:rsidRPr="0052614F">
        <w:rPr>
          <w:sz w:val="20"/>
          <w:szCs w:val="20"/>
        </w:rPr>
        <w:t>ecturer in Finance at Bangor Business School. He gained his PhD in Accounting and Finance at Bangor University in 2017</w:t>
      </w:r>
      <w:r w:rsidR="0052614F" w:rsidRPr="0052614F">
        <w:rPr>
          <w:sz w:val="20"/>
          <w:szCs w:val="20"/>
        </w:rPr>
        <w:t>. He is currently involved in a portfolio of research projects spanning topics in the areas of disclosure and financial reporting quality, corporate governance and shareholder votes, initial and follow-on equity offerings, alternative floatation devices, as well as analyst and social media-disseminated research.</w:t>
      </w:r>
    </w:p>
    <w:p w14:paraId="4780A442" w14:textId="77777777" w:rsidR="00751FA8" w:rsidRDefault="00CB7303" w:rsidP="00751FA8">
      <w:pPr>
        <w:pStyle w:val="ListParagraph"/>
        <w:numPr>
          <w:ilvl w:val="0"/>
          <w:numId w:val="40"/>
        </w:numPr>
        <w:ind w:left="426"/>
        <w:jc w:val="both"/>
        <w:rPr>
          <w:sz w:val="20"/>
          <w:szCs w:val="20"/>
        </w:rPr>
      </w:pPr>
      <w:r>
        <w:rPr>
          <w:sz w:val="20"/>
          <w:szCs w:val="20"/>
        </w:rPr>
        <w:t xml:space="preserve">Professor </w:t>
      </w:r>
      <w:r w:rsidR="0052614F" w:rsidRPr="0052614F">
        <w:rPr>
          <w:sz w:val="20"/>
          <w:szCs w:val="20"/>
        </w:rPr>
        <w:t xml:space="preserve">Aziz Jaafar is </w:t>
      </w:r>
      <w:r>
        <w:rPr>
          <w:sz w:val="20"/>
          <w:szCs w:val="20"/>
        </w:rPr>
        <w:t>p</w:t>
      </w:r>
      <w:r w:rsidR="0052614F" w:rsidRPr="0052614F">
        <w:rPr>
          <w:sz w:val="20"/>
          <w:szCs w:val="20"/>
        </w:rPr>
        <w:t xml:space="preserve">rofessor of Accounting at Bangor Business School. </w:t>
      </w:r>
      <w:r w:rsidR="00F4255F">
        <w:rPr>
          <w:sz w:val="20"/>
          <w:szCs w:val="20"/>
        </w:rPr>
        <w:t xml:space="preserve">His current research focus on </w:t>
      </w:r>
      <w:r w:rsidR="0052614F" w:rsidRPr="0052614F">
        <w:rPr>
          <w:sz w:val="20"/>
          <w:szCs w:val="20"/>
        </w:rPr>
        <w:t xml:space="preserve">financial reporting quality, international </w:t>
      </w:r>
      <w:proofErr w:type="gramStart"/>
      <w:r w:rsidR="0052614F" w:rsidRPr="0052614F">
        <w:rPr>
          <w:sz w:val="20"/>
          <w:szCs w:val="20"/>
        </w:rPr>
        <w:t>accounting</w:t>
      </w:r>
      <w:proofErr w:type="gramEnd"/>
      <w:r w:rsidR="0052614F" w:rsidRPr="0052614F">
        <w:rPr>
          <w:sz w:val="20"/>
          <w:szCs w:val="20"/>
        </w:rPr>
        <w:t xml:space="preserve"> and corporate social responsibility</w:t>
      </w:r>
      <w:r w:rsidR="00F4255F">
        <w:rPr>
          <w:sz w:val="20"/>
          <w:szCs w:val="20"/>
        </w:rPr>
        <w:t>.</w:t>
      </w:r>
    </w:p>
    <w:p w14:paraId="224118F0" w14:textId="13BC10DD" w:rsidR="00BE2235" w:rsidRPr="00751FA8" w:rsidRDefault="00751FA8" w:rsidP="00751FA8">
      <w:pPr>
        <w:jc w:val="both"/>
        <w:rPr>
          <w:sz w:val="20"/>
          <w:szCs w:val="20"/>
        </w:rPr>
      </w:pPr>
      <w:r>
        <w:rPr>
          <w:sz w:val="20"/>
          <w:szCs w:val="20"/>
        </w:rPr>
        <w:t xml:space="preserve"> (*)   </w:t>
      </w:r>
      <w:r w:rsidR="007D241D" w:rsidRPr="00751FA8">
        <w:rPr>
          <w:sz w:val="20"/>
          <w:szCs w:val="20"/>
        </w:rPr>
        <w:t xml:space="preserve">Corresponding author. </w:t>
      </w:r>
    </w:p>
    <w:p w14:paraId="25977200" w14:textId="2FE5E9A5" w:rsidR="007D241D" w:rsidRPr="0052614F" w:rsidRDefault="0052614F" w:rsidP="00BE2235">
      <w:pPr>
        <w:ind w:left="426"/>
        <w:rPr>
          <w:sz w:val="20"/>
          <w:szCs w:val="20"/>
        </w:rPr>
      </w:pPr>
      <w:r w:rsidRPr="0052614F">
        <w:rPr>
          <w:sz w:val="20"/>
          <w:szCs w:val="20"/>
        </w:rPr>
        <w:t>Dr Danial Hemmings</w:t>
      </w:r>
      <w:r>
        <w:rPr>
          <w:sz w:val="20"/>
          <w:szCs w:val="20"/>
        </w:rPr>
        <w:t xml:space="preserve">. </w:t>
      </w:r>
      <w:r w:rsidR="007D241D" w:rsidRPr="0052614F">
        <w:rPr>
          <w:sz w:val="20"/>
          <w:szCs w:val="20"/>
        </w:rPr>
        <w:t xml:space="preserve">Address: Bangor Business School, Hen </w:t>
      </w:r>
      <w:proofErr w:type="spellStart"/>
      <w:r w:rsidR="007D241D" w:rsidRPr="0052614F">
        <w:rPr>
          <w:sz w:val="20"/>
          <w:szCs w:val="20"/>
        </w:rPr>
        <w:t>Goleg</w:t>
      </w:r>
      <w:proofErr w:type="spellEnd"/>
      <w:r w:rsidR="007D241D" w:rsidRPr="0052614F">
        <w:rPr>
          <w:sz w:val="20"/>
          <w:szCs w:val="20"/>
        </w:rPr>
        <w:t xml:space="preserve">, College Road, Bangor, LL57 2DG, UK. </w:t>
      </w:r>
      <w:r>
        <w:rPr>
          <w:sz w:val="20"/>
          <w:szCs w:val="20"/>
        </w:rPr>
        <w:t xml:space="preserve"> </w:t>
      </w:r>
      <w:r w:rsidR="00B63B0D" w:rsidRPr="0052614F">
        <w:rPr>
          <w:sz w:val="20"/>
          <w:szCs w:val="20"/>
        </w:rPr>
        <w:t xml:space="preserve">Email: </w:t>
      </w:r>
      <w:hyperlink r:id="rId11" w:history="1">
        <w:r w:rsidR="00B63B0D" w:rsidRPr="0052614F">
          <w:rPr>
            <w:rStyle w:val="Hyperlink"/>
            <w:sz w:val="20"/>
            <w:szCs w:val="20"/>
          </w:rPr>
          <w:t>d.hemmings@bangor.ac.uk</w:t>
        </w:r>
      </w:hyperlink>
      <w:r w:rsidR="00B63B0D" w:rsidRPr="0052614F">
        <w:rPr>
          <w:sz w:val="20"/>
          <w:szCs w:val="20"/>
        </w:rPr>
        <w:t xml:space="preserve"> </w:t>
      </w:r>
      <w:r>
        <w:rPr>
          <w:sz w:val="20"/>
          <w:szCs w:val="20"/>
        </w:rPr>
        <w:t>.</w:t>
      </w:r>
      <w:r w:rsidR="007D241D" w:rsidRPr="0052614F">
        <w:rPr>
          <w:sz w:val="20"/>
          <w:szCs w:val="20"/>
        </w:rPr>
        <w:t>Tel: +44 01248 388162.</w:t>
      </w:r>
    </w:p>
    <w:p w14:paraId="742BEB29" w14:textId="3091034D" w:rsidR="007D241D" w:rsidRDefault="007D241D">
      <w:pPr>
        <w:jc w:val="center"/>
        <w:rPr>
          <w:rFonts w:eastAsia="Times New Roman"/>
          <w:b/>
          <w:bCs/>
          <w:sz w:val="28"/>
          <w:szCs w:val="28"/>
        </w:rPr>
      </w:pPr>
    </w:p>
    <w:p w14:paraId="2B4328D0" w14:textId="7EEA0E1A" w:rsidR="008204BE" w:rsidRPr="00EF7976" w:rsidRDefault="008204BE">
      <w:pPr>
        <w:jc w:val="center"/>
        <w:rPr>
          <w:sz w:val="28"/>
          <w:szCs w:val="28"/>
        </w:rPr>
      </w:pPr>
      <w:r w:rsidRPr="00EF7976">
        <w:rPr>
          <w:rFonts w:eastAsia="Times New Roman"/>
          <w:b/>
          <w:bCs/>
          <w:sz w:val="28"/>
          <w:szCs w:val="28"/>
        </w:rPr>
        <w:lastRenderedPageBreak/>
        <w:t>De-burdening the IPO approval process</w:t>
      </w:r>
      <w:r w:rsidR="00C338D1">
        <w:rPr>
          <w:rFonts w:eastAsia="Times New Roman"/>
          <w:b/>
          <w:bCs/>
          <w:sz w:val="28"/>
          <w:szCs w:val="28"/>
        </w:rPr>
        <w:t>?</w:t>
      </w:r>
    </w:p>
    <w:p w14:paraId="4A8190B3" w14:textId="77777777" w:rsidR="008204BE" w:rsidRPr="00EF7976" w:rsidRDefault="008204BE">
      <w:pPr>
        <w:spacing w:line="120" w:lineRule="exact"/>
        <w:rPr>
          <w:sz w:val="28"/>
          <w:szCs w:val="28"/>
        </w:rPr>
      </w:pPr>
    </w:p>
    <w:p w14:paraId="6798F466" w14:textId="77777777" w:rsidR="008204BE" w:rsidRPr="00EF7976" w:rsidRDefault="008204BE">
      <w:pPr>
        <w:jc w:val="center"/>
        <w:rPr>
          <w:sz w:val="28"/>
          <w:szCs w:val="28"/>
        </w:rPr>
      </w:pPr>
      <w:r w:rsidRPr="00EF7976">
        <w:rPr>
          <w:rFonts w:eastAsia="Times New Roman"/>
          <w:b/>
          <w:bCs/>
          <w:sz w:val="28"/>
          <w:szCs w:val="28"/>
        </w:rPr>
        <w:t>SEC reviews under the JOBS Act</w:t>
      </w:r>
    </w:p>
    <w:p w14:paraId="71E4D0EE" w14:textId="77777777" w:rsidR="008204BE" w:rsidRPr="00E859F9" w:rsidRDefault="008204BE">
      <w:pPr>
        <w:spacing w:line="200" w:lineRule="exact"/>
      </w:pPr>
    </w:p>
    <w:p w14:paraId="72303F88" w14:textId="77777777" w:rsidR="008204BE" w:rsidRPr="00E859F9" w:rsidRDefault="008204BE">
      <w:pPr>
        <w:spacing w:line="200" w:lineRule="exact"/>
      </w:pPr>
    </w:p>
    <w:p w14:paraId="40023506" w14:textId="7F8F48BE" w:rsidR="008204BE" w:rsidRDefault="008204BE" w:rsidP="009B2EDC">
      <w:pPr>
        <w:spacing w:line="255" w:lineRule="exact"/>
      </w:pPr>
    </w:p>
    <w:p w14:paraId="36E6A81F" w14:textId="77777777" w:rsidR="00271868" w:rsidRPr="00E859F9" w:rsidRDefault="00271868" w:rsidP="009B2EDC">
      <w:pPr>
        <w:spacing w:line="255" w:lineRule="exact"/>
      </w:pPr>
    </w:p>
    <w:p w14:paraId="2FB90152" w14:textId="77777777" w:rsidR="008204BE" w:rsidRPr="00E859F9" w:rsidRDefault="008204BE" w:rsidP="009B2EDC">
      <w:pPr>
        <w:jc w:val="center"/>
      </w:pPr>
      <w:r w:rsidRPr="00E859F9">
        <w:rPr>
          <w:rFonts w:eastAsia="Times New Roman"/>
          <w:b/>
          <w:bCs/>
        </w:rPr>
        <w:t>Abstract</w:t>
      </w:r>
    </w:p>
    <w:p w14:paraId="67746DF8" w14:textId="77777777" w:rsidR="008204BE" w:rsidRPr="00E859F9" w:rsidRDefault="008204BE" w:rsidP="003D1FBF">
      <w:pPr>
        <w:spacing w:line="264" w:lineRule="exact"/>
        <w:ind w:left="567"/>
      </w:pPr>
    </w:p>
    <w:p w14:paraId="0176C7A9" w14:textId="1B47AAD1" w:rsidR="00371A81" w:rsidRDefault="00371A81" w:rsidP="00371A81">
      <w:pPr>
        <w:spacing w:line="288" w:lineRule="auto"/>
        <w:ind w:left="567" w:right="567"/>
        <w:jc w:val="both"/>
        <w:rPr>
          <w:rFonts w:eastAsia="Times New Roman"/>
        </w:rPr>
      </w:pPr>
      <w:r>
        <w:rPr>
          <w:rFonts w:eastAsia="Times New Roman"/>
        </w:rPr>
        <w:t xml:space="preserve">This paper examines the extent to which the 2012 JOBS Act relaxed the SEC review and approval process for U.S. </w:t>
      </w:r>
      <w:r w:rsidR="0086105C">
        <w:rPr>
          <w:rFonts w:eastAsia="Times New Roman"/>
        </w:rPr>
        <w:t>Emerging Growth Company (EGC) IPOs</w:t>
      </w:r>
      <w:r>
        <w:rPr>
          <w:rFonts w:eastAsia="Times New Roman"/>
        </w:rPr>
        <w:t xml:space="preserve">. Although the intent of the JOBS Act was to make it easier for companies to go public, whether and to what extent SEC scrutiny waned as a result is unclear. The findings show that the JOBS Act in fact led to a pronounced reduction in IPO durations, the volume of SEC comment letters on S-1 filings, and the number and breadth of comments in initial comment letters. </w:t>
      </w:r>
      <w:r w:rsidR="00CD601B">
        <w:rPr>
          <w:rFonts w:eastAsia="Times New Roman"/>
        </w:rPr>
        <w:t>No</w:t>
      </w:r>
      <w:r w:rsidR="00CD601B" w:rsidRPr="00CD601B">
        <w:t xml:space="preserve"> </w:t>
      </w:r>
      <w:r w:rsidR="00CD601B">
        <w:t xml:space="preserve">mechanical link between </w:t>
      </w:r>
      <w:r w:rsidR="00CD601B" w:rsidRPr="00CD601B">
        <w:rPr>
          <w:rFonts w:eastAsia="Times New Roman"/>
        </w:rPr>
        <w:t xml:space="preserve">reduced SEC scrutiny </w:t>
      </w:r>
      <w:r w:rsidR="00CD601B">
        <w:rPr>
          <w:rFonts w:eastAsia="Times New Roman"/>
        </w:rPr>
        <w:t xml:space="preserve">and </w:t>
      </w:r>
      <w:r w:rsidR="00CD601B" w:rsidRPr="00CD601B">
        <w:rPr>
          <w:rFonts w:eastAsia="Times New Roman"/>
        </w:rPr>
        <w:t>additional disclosure exemptions for EGC issuers</w:t>
      </w:r>
      <w:r w:rsidR="00CD601B">
        <w:rPr>
          <w:rFonts w:eastAsia="Times New Roman"/>
        </w:rPr>
        <w:t xml:space="preserve"> </w:t>
      </w:r>
      <w:r w:rsidR="00CD601B" w:rsidRPr="00CD601B">
        <w:rPr>
          <w:rFonts w:eastAsia="Times New Roman"/>
        </w:rPr>
        <w:t xml:space="preserve">under the Act </w:t>
      </w:r>
      <w:r w:rsidR="00CD601B">
        <w:rPr>
          <w:rFonts w:eastAsia="Times New Roman"/>
        </w:rPr>
        <w:t xml:space="preserve">is identified. </w:t>
      </w:r>
      <w:r>
        <w:rPr>
          <w:rFonts w:eastAsia="Times New Roman"/>
        </w:rPr>
        <w:t>Reduction in SEC scrutiny is less pronounced in highly concentrated industries, where the proprietary costs of disclosure are high. Following the JOBS Act, the SEC comment proportionally more on issues directly related to the offering, but less on core accounting issues, general business matters, and potential disclosure deficiencies. Overall, the findings are consistent with the JOBS Act easing the IPO approval process via a substantial reduction in the volume and scope of SEC critiques, particularly in industries where competition, and thus information uncertainty, is lower.</w:t>
      </w:r>
    </w:p>
    <w:p w14:paraId="6DE66982" w14:textId="77777777" w:rsidR="008204BE" w:rsidRPr="00E859F9" w:rsidRDefault="008204BE" w:rsidP="003D1FBF">
      <w:pPr>
        <w:spacing w:line="229" w:lineRule="exact"/>
        <w:ind w:left="567"/>
      </w:pPr>
    </w:p>
    <w:p w14:paraId="3B6A8442" w14:textId="77777777" w:rsidR="008204BE" w:rsidRPr="00E859F9" w:rsidRDefault="008204BE" w:rsidP="003D1FBF">
      <w:pPr>
        <w:ind w:left="567"/>
        <w:jc w:val="both"/>
      </w:pPr>
      <w:r w:rsidRPr="00E859F9">
        <w:rPr>
          <w:rFonts w:eastAsia="Times New Roman"/>
          <w:i/>
          <w:iCs/>
        </w:rPr>
        <w:t xml:space="preserve">JEL classification: </w:t>
      </w:r>
      <w:r w:rsidRPr="00E859F9">
        <w:rPr>
          <w:rFonts w:eastAsia="Times New Roman"/>
        </w:rPr>
        <w:t>G24, G38, K22, M41</w:t>
      </w:r>
    </w:p>
    <w:p w14:paraId="00609E57" w14:textId="77777777" w:rsidR="008204BE" w:rsidRPr="00E859F9" w:rsidRDefault="008204BE" w:rsidP="003D1FBF">
      <w:pPr>
        <w:spacing w:line="281" w:lineRule="exact"/>
        <w:ind w:left="567"/>
        <w:jc w:val="both"/>
      </w:pPr>
    </w:p>
    <w:p w14:paraId="527510A6" w14:textId="7F6C44C5" w:rsidR="00264D43" w:rsidRPr="00A922EE" w:rsidRDefault="008204BE" w:rsidP="003D1FBF">
      <w:pPr>
        <w:ind w:left="567"/>
        <w:jc w:val="both"/>
      </w:pPr>
      <w:r w:rsidRPr="00E859F9">
        <w:rPr>
          <w:rFonts w:eastAsia="Times New Roman"/>
          <w:i/>
          <w:iCs/>
        </w:rPr>
        <w:t xml:space="preserve">Keywords: </w:t>
      </w:r>
      <w:r w:rsidRPr="00E859F9">
        <w:rPr>
          <w:rFonts w:eastAsia="Times New Roman"/>
        </w:rPr>
        <w:t>Initial Public Offerings; SEC reviews; The JOBS Act; S-1 filings</w:t>
      </w:r>
    </w:p>
    <w:p w14:paraId="4572EB67" w14:textId="5A3C32C8" w:rsidR="00264D43" w:rsidRPr="00264D43" w:rsidRDefault="00264D43" w:rsidP="003D1FBF">
      <w:pPr>
        <w:spacing w:before="240" w:after="240" w:line="360" w:lineRule="auto"/>
        <w:outlineLvl w:val="1"/>
        <w:rPr>
          <w:rFonts w:eastAsia="Times New Roman"/>
          <w:b/>
          <w:bCs/>
        </w:rPr>
        <w:sectPr w:rsidR="00264D43" w:rsidRPr="00264D43" w:rsidSect="005A09B4">
          <w:footerReference w:type="default" r:id="rId12"/>
          <w:pgSz w:w="11906" w:h="16838"/>
          <w:pgMar w:top="1440" w:right="1440" w:bottom="1440" w:left="1440" w:header="708" w:footer="708" w:gutter="0"/>
          <w:pgNumType w:start="1"/>
          <w:cols w:space="708"/>
          <w:docGrid w:linePitch="360"/>
        </w:sectPr>
      </w:pPr>
    </w:p>
    <w:p w14:paraId="64BD9654" w14:textId="77777777" w:rsidR="008204BE" w:rsidRPr="00FF2F9C" w:rsidRDefault="008204BE" w:rsidP="00E30766">
      <w:pPr>
        <w:pStyle w:val="ListParagraph"/>
        <w:numPr>
          <w:ilvl w:val="0"/>
          <w:numId w:val="36"/>
        </w:numPr>
        <w:spacing w:before="240" w:after="240" w:line="480" w:lineRule="auto"/>
        <w:ind w:left="450"/>
        <w:jc w:val="center"/>
        <w:outlineLvl w:val="0"/>
        <w:rPr>
          <w:b/>
        </w:rPr>
      </w:pPr>
      <w:r w:rsidRPr="00FF2F9C">
        <w:rPr>
          <w:rFonts w:eastAsia="Times New Roman"/>
          <w:b/>
          <w:bCs/>
        </w:rPr>
        <w:lastRenderedPageBreak/>
        <w:t>Introduction</w:t>
      </w:r>
      <w:bookmarkEnd w:id="0"/>
      <w:bookmarkEnd w:id="1"/>
    </w:p>
    <w:p w14:paraId="583D049B" w14:textId="7DCD065B" w:rsidR="008204BE" w:rsidRPr="009C10CE" w:rsidRDefault="008204BE" w:rsidP="005B0E9E">
      <w:pPr>
        <w:spacing w:before="240" w:after="240" w:line="480" w:lineRule="auto"/>
        <w:ind w:left="66"/>
        <w:jc w:val="both"/>
        <w:rPr>
          <w:sz w:val="20"/>
          <w:szCs w:val="20"/>
        </w:rPr>
      </w:pPr>
      <w:r w:rsidRPr="00A536F2">
        <w:rPr>
          <w:rFonts w:eastAsia="Times New Roman"/>
        </w:rPr>
        <w:t>Responding to a</w:t>
      </w:r>
      <w:r w:rsidRPr="006B3FA2">
        <w:rPr>
          <w:rFonts w:eastAsia="Times New Roman"/>
        </w:rPr>
        <w:t xml:space="preserve"> </w:t>
      </w:r>
      <w:r w:rsidRPr="005D76FD">
        <w:rPr>
          <w:rFonts w:eastAsia="Times New Roman"/>
        </w:rPr>
        <w:t xml:space="preserve">decade-long decrease in IPO activity, Title I of the </w:t>
      </w:r>
      <w:r w:rsidR="001A5299">
        <w:rPr>
          <w:rFonts w:eastAsia="Times New Roman"/>
        </w:rPr>
        <w:t xml:space="preserve">2012 </w:t>
      </w:r>
      <w:r w:rsidRPr="005D76FD">
        <w:rPr>
          <w:rFonts w:eastAsia="Times New Roman"/>
        </w:rPr>
        <w:t>Jumpstart Our</w:t>
      </w:r>
      <w:r w:rsidRPr="00164BD0">
        <w:rPr>
          <w:rFonts w:eastAsia="Times New Roman"/>
        </w:rPr>
        <w:t xml:space="preserve"> </w:t>
      </w:r>
      <w:r w:rsidRPr="00832F39">
        <w:rPr>
          <w:rFonts w:eastAsia="Times New Roman"/>
        </w:rPr>
        <w:t xml:space="preserve">Business </w:t>
      </w:r>
      <w:proofErr w:type="spellStart"/>
      <w:r w:rsidRPr="00832F39">
        <w:rPr>
          <w:rFonts w:eastAsia="Times New Roman"/>
        </w:rPr>
        <w:t>Startups</w:t>
      </w:r>
      <w:proofErr w:type="spellEnd"/>
      <w:r w:rsidRPr="00832F39">
        <w:rPr>
          <w:rFonts w:eastAsia="Times New Roman"/>
        </w:rPr>
        <w:t xml:space="preserve"> (JOBS) Act</w:t>
      </w:r>
      <w:r w:rsidRPr="009C10CE">
        <w:rPr>
          <w:rFonts w:eastAsia="Times New Roman"/>
        </w:rPr>
        <w:t xml:space="preserve"> attempted to facilitate the IPO process for emerging growth companies (EGCs).</w:t>
      </w:r>
      <w:r w:rsidRPr="00BF4CF3">
        <w:rPr>
          <w:rStyle w:val="FootnoteReference"/>
          <w:rFonts w:eastAsia="Times New Roman"/>
        </w:rPr>
        <w:footnoteReference w:id="2"/>
      </w:r>
      <w:r w:rsidRPr="00BF4CF3">
        <w:rPr>
          <w:rFonts w:eastAsia="Times New Roman"/>
        </w:rPr>
        <w:t xml:space="preserve"> In particular, </w:t>
      </w:r>
      <w:r w:rsidRPr="00B34AB8">
        <w:rPr>
          <w:rFonts w:eastAsia="Times New Roman"/>
        </w:rPr>
        <w:t>the “de-burdening” provision</w:t>
      </w:r>
      <w:r w:rsidR="001A5299">
        <w:rPr>
          <w:rFonts w:eastAsia="Times New Roman"/>
        </w:rPr>
        <w:t>s</w:t>
      </w:r>
      <w:r w:rsidRPr="00B34AB8">
        <w:rPr>
          <w:rFonts w:eastAsia="Times New Roman"/>
        </w:rPr>
        <w:t xml:space="preserve"> sought to reduce certain accounting and disclosure requirements </w:t>
      </w:r>
      <w:proofErr w:type="gramStart"/>
      <w:r w:rsidRPr="00B34AB8">
        <w:rPr>
          <w:rFonts w:eastAsia="Times New Roman"/>
        </w:rPr>
        <w:t>in an attempt to</w:t>
      </w:r>
      <w:proofErr w:type="gramEnd"/>
      <w:r w:rsidRPr="00B34AB8">
        <w:rPr>
          <w:rFonts w:eastAsia="Times New Roman"/>
        </w:rPr>
        <w:t xml:space="preserve"> make the IPO approval process cheaper and quicker. Before an IPO can be completed, the registration statements and prospectus information must be reviewed and approved by the SEC to ensure the completeness and integrity of the information that investors receive</w:t>
      </w:r>
      <w:r w:rsidR="001A5299">
        <w:rPr>
          <w:rFonts w:eastAsia="Times New Roman"/>
        </w:rPr>
        <w:t>; an intent of the JOBS Act was to speed up this process to encourage more IPOs</w:t>
      </w:r>
      <w:r w:rsidRPr="00B34AB8">
        <w:rPr>
          <w:rFonts w:eastAsia="Times New Roman"/>
        </w:rPr>
        <w:t xml:space="preserve">. </w:t>
      </w:r>
      <w:r w:rsidRPr="003A04BF">
        <w:rPr>
          <w:rFonts w:eastAsia="Times New Roman"/>
        </w:rPr>
        <w:t>T</w:t>
      </w:r>
      <w:r w:rsidRPr="007846CD">
        <w:rPr>
          <w:rFonts w:eastAsia="Times New Roman"/>
        </w:rPr>
        <w:t xml:space="preserve">his study </w:t>
      </w:r>
      <w:r w:rsidRPr="00AA0772">
        <w:rPr>
          <w:rFonts w:eastAsia="Times New Roman"/>
        </w:rPr>
        <w:t xml:space="preserve">seeks to </w:t>
      </w:r>
      <w:r w:rsidRPr="00A536F2">
        <w:rPr>
          <w:rFonts w:eastAsia="Times New Roman"/>
        </w:rPr>
        <w:t>quantif</w:t>
      </w:r>
      <w:r w:rsidRPr="006B3FA2">
        <w:rPr>
          <w:rFonts w:eastAsia="Times New Roman"/>
        </w:rPr>
        <w:t>y</w:t>
      </w:r>
      <w:r w:rsidRPr="005D76FD">
        <w:rPr>
          <w:rFonts w:eastAsia="Times New Roman"/>
        </w:rPr>
        <w:t xml:space="preserve"> the impact of the JOBS Act on the duration of the approval process, as well as the volume and scope of comments issued by the SEC</w:t>
      </w:r>
      <w:r w:rsidRPr="00164BD0">
        <w:rPr>
          <w:rFonts w:eastAsia="Times New Roman"/>
        </w:rPr>
        <w:t>.</w:t>
      </w:r>
    </w:p>
    <w:p w14:paraId="37E6A452" w14:textId="717E641A" w:rsidR="008204BE" w:rsidRPr="009C10CE" w:rsidRDefault="008204BE" w:rsidP="005B0E9E">
      <w:pPr>
        <w:spacing w:before="240" w:after="240" w:line="480" w:lineRule="auto"/>
        <w:jc w:val="both"/>
        <w:rPr>
          <w:sz w:val="20"/>
          <w:szCs w:val="20"/>
        </w:rPr>
      </w:pPr>
      <w:r w:rsidRPr="009C10CE">
        <w:rPr>
          <w:rFonts w:eastAsia="Times New Roman"/>
        </w:rPr>
        <w:t xml:space="preserve">Prior studies have examined other impacts of the JOBS Act, in terms of the content of IPO firms’ disclosures (Gupta &amp; </w:t>
      </w:r>
      <w:proofErr w:type="spellStart"/>
      <w:r w:rsidRPr="009C10CE">
        <w:rPr>
          <w:rFonts w:eastAsia="Times New Roman"/>
        </w:rPr>
        <w:t>Israelsen</w:t>
      </w:r>
      <w:proofErr w:type="spellEnd"/>
      <w:r w:rsidRPr="009C10CE">
        <w:rPr>
          <w:rFonts w:eastAsia="Times New Roman"/>
        </w:rPr>
        <w:t>, 2015), the volume of IPOs (</w:t>
      </w:r>
      <w:proofErr w:type="spellStart"/>
      <w:r w:rsidRPr="009C10CE">
        <w:rPr>
          <w:rFonts w:eastAsia="Times New Roman"/>
        </w:rPr>
        <w:t>Dambra</w:t>
      </w:r>
      <w:proofErr w:type="spellEnd"/>
      <w:r w:rsidRPr="009C10CE">
        <w:rPr>
          <w:rFonts w:eastAsia="Times New Roman"/>
        </w:rPr>
        <w:t xml:space="preserve"> et al., 2015), the financial costs of going public (Chaplinsky et al., 2017), post-IPO performance (Lowry et al., 2020), as well as its impact on </w:t>
      </w:r>
      <w:r w:rsidRPr="001B283A">
        <w:rPr>
          <w:rFonts w:eastAsia="Times New Roman"/>
        </w:rPr>
        <w:t xml:space="preserve">the information environment (Barth et al., 2017; Gupta &amp; </w:t>
      </w:r>
      <w:proofErr w:type="spellStart"/>
      <w:r w:rsidRPr="001B283A">
        <w:rPr>
          <w:rFonts w:eastAsia="Times New Roman"/>
        </w:rPr>
        <w:t>Israelsen</w:t>
      </w:r>
      <w:proofErr w:type="spellEnd"/>
      <w:r w:rsidRPr="001B283A">
        <w:rPr>
          <w:rFonts w:eastAsia="Times New Roman"/>
        </w:rPr>
        <w:t>, 2015</w:t>
      </w:r>
      <w:r w:rsidR="009570EF">
        <w:rPr>
          <w:rFonts w:eastAsia="Times New Roman"/>
        </w:rPr>
        <w:t>;</w:t>
      </w:r>
      <w:r w:rsidRPr="001B283A">
        <w:rPr>
          <w:rFonts w:eastAsia="Times New Roman"/>
        </w:rPr>
        <w:t xml:space="preserve"> Lowry et al., 2020). For example, Chaplinsky et al. (2017) identify no measurable reduction in IPO direct costs (</w:t>
      </w:r>
      <w:proofErr w:type="gramStart"/>
      <w:r w:rsidRPr="001B283A">
        <w:rPr>
          <w:rFonts w:eastAsia="Times New Roman"/>
        </w:rPr>
        <w:t>e.g.</w:t>
      </w:r>
      <w:proofErr w:type="gramEnd"/>
      <w:r w:rsidRPr="001B283A">
        <w:rPr>
          <w:rFonts w:eastAsia="Times New Roman"/>
        </w:rPr>
        <w:t xml:space="preserve"> underwriter fees, legal fees, accountancy fees) as a result of the JOBS Act, although indirect costs (i.e. </w:t>
      </w:r>
      <w:proofErr w:type="spellStart"/>
      <w:r w:rsidRPr="001B283A">
        <w:rPr>
          <w:rFonts w:eastAsia="Times New Roman"/>
        </w:rPr>
        <w:t>underpricing</w:t>
      </w:r>
      <w:proofErr w:type="spellEnd"/>
      <w:r w:rsidRPr="001B283A">
        <w:rPr>
          <w:rFonts w:eastAsia="Times New Roman"/>
        </w:rPr>
        <w:t>) have increased substantially</w:t>
      </w:r>
      <w:r w:rsidR="001B283A" w:rsidRPr="001B283A">
        <w:rPr>
          <w:rFonts w:eastAsia="Times New Roman"/>
        </w:rPr>
        <w:t>, suggesting a poorer IPO information environment has increased the cost of capital</w:t>
      </w:r>
      <w:r w:rsidRPr="001B283A">
        <w:rPr>
          <w:rFonts w:eastAsia="Times New Roman"/>
        </w:rPr>
        <w:t>. Furthermore, while IPO volumes increased during the first two years of the post-JOBS era, they largely f</w:t>
      </w:r>
      <w:r w:rsidR="00CA244A">
        <w:rPr>
          <w:rFonts w:eastAsia="Times New Roman"/>
        </w:rPr>
        <w:t>e</w:t>
      </w:r>
      <w:r w:rsidRPr="001B283A">
        <w:rPr>
          <w:rFonts w:eastAsia="Times New Roman"/>
        </w:rPr>
        <w:t>ll again since (</w:t>
      </w:r>
      <w:proofErr w:type="spellStart"/>
      <w:r w:rsidRPr="001B283A">
        <w:rPr>
          <w:rFonts w:eastAsia="Times New Roman"/>
        </w:rPr>
        <w:t>Zeidel</w:t>
      </w:r>
      <w:proofErr w:type="spellEnd"/>
      <w:r w:rsidRPr="001B283A">
        <w:rPr>
          <w:rFonts w:eastAsia="Times New Roman"/>
        </w:rPr>
        <w:t>, 2016). Taken together, these findings imply a moderate beneficial impact of the Act in facilitating the IPO process at best.</w:t>
      </w:r>
    </w:p>
    <w:p w14:paraId="263ABADA" w14:textId="1FAD7B20" w:rsidR="008204BE" w:rsidRPr="009C10CE" w:rsidRDefault="008204BE" w:rsidP="005B0E9E">
      <w:pPr>
        <w:spacing w:before="240" w:after="240" w:line="480" w:lineRule="auto"/>
        <w:jc w:val="both"/>
        <w:rPr>
          <w:sz w:val="20"/>
          <w:szCs w:val="20"/>
        </w:rPr>
      </w:pPr>
      <w:r w:rsidRPr="009C10CE">
        <w:rPr>
          <w:rFonts w:eastAsia="Times New Roman"/>
        </w:rPr>
        <w:lastRenderedPageBreak/>
        <w:t xml:space="preserve">Currently, little is known of the extent to which the JOBS Act led to de-burdening of the IPO approval process. Agarwal et al. (2017) and Lowry et al. (2020) are the only studies to </w:t>
      </w:r>
      <w:proofErr w:type="spellStart"/>
      <w:r w:rsidRPr="009C10CE">
        <w:rPr>
          <w:rFonts w:eastAsia="Times New Roman"/>
        </w:rPr>
        <w:t>analy</w:t>
      </w:r>
      <w:r w:rsidR="007A4E45">
        <w:rPr>
          <w:rFonts w:eastAsia="Times New Roman"/>
        </w:rPr>
        <w:t>z</w:t>
      </w:r>
      <w:r w:rsidRPr="009C10CE">
        <w:rPr>
          <w:rFonts w:eastAsia="Times New Roman"/>
        </w:rPr>
        <w:t>e</w:t>
      </w:r>
      <w:proofErr w:type="spellEnd"/>
      <w:r w:rsidRPr="009C10CE">
        <w:rPr>
          <w:rFonts w:eastAsia="Times New Roman"/>
        </w:rPr>
        <w:t xml:space="preserve"> variations in SEC comment letters in its aftermath. Agarwal et al. (2017) find that after the enactment of the JOBS Act, SEC comment letters are generally more negative in tone, contain more forceful suggestions, and focus more on hard information (e.g.</w:t>
      </w:r>
      <w:r w:rsidR="003B569C">
        <w:rPr>
          <w:rFonts w:eastAsia="Times New Roman"/>
        </w:rPr>
        <w:t>,</w:t>
      </w:r>
      <w:r w:rsidRPr="009C10CE">
        <w:rPr>
          <w:rFonts w:eastAsia="Times New Roman"/>
        </w:rPr>
        <w:t xml:space="preserve"> about prices, </w:t>
      </w:r>
      <w:proofErr w:type="gramStart"/>
      <w:r w:rsidRPr="009C10CE">
        <w:rPr>
          <w:rFonts w:eastAsia="Times New Roman"/>
        </w:rPr>
        <w:t>dates</w:t>
      </w:r>
      <w:proofErr w:type="gramEnd"/>
      <w:r w:rsidRPr="009C10CE">
        <w:rPr>
          <w:rFonts w:eastAsia="Times New Roman"/>
        </w:rPr>
        <w:t xml:space="preserve"> and accounts). Lowry et al. (2020) observe that in the post-JOBS Act era, the SEC appears to reduce the focus on liquidity and executive compensation in their comment letters. However, the literature currently lacks a systematic evaluation of the extent to which the regulatory process has relaxed under the JOBS Act. Understanding the extent to which the JOBS Act (if at all) de-burdened the IPO approval process is important to help evaluate the efficacy of the initiative. This is important not only to regulators but also to investors, </w:t>
      </w:r>
      <w:proofErr w:type="gramStart"/>
      <w:r w:rsidRPr="009C10CE">
        <w:rPr>
          <w:rFonts w:eastAsia="Times New Roman"/>
        </w:rPr>
        <w:t>auditors</w:t>
      </w:r>
      <w:proofErr w:type="gramEnd"/>
      <w:r w:rsidRPr="009C10CE">
        <w:rPr>
          <w:rFonts w:eastAsia="Times New Roman"/>
        </w:rPr>
        <w:t xml:space="preserve"> and other stakeholders, who use SEC comment letters as one indicator of information quality (</w:t>
      </w:r>
      <w:proofErr w:type="spellStart"/>
      <w:r w:rsidR="005B4F67">
        <w:rPr>
          <w:rFonts w:eastAsia="Times New Roman"/>
        </w:rPr>
        <w:t>Chantziaras</w:t>
      </w:r>
      <w:proofErr w:type="spellEnd"/>
      <w:r w:rsidR="005B4F67">
        <w:rPr>
          <w:rFonts w:eastAsia="Times New Roman"/>
        </w:rPr>
        <w:t xml:space="preserve"> et al., 2021; </w:t>
      </w:r>
      <w:r w:rsidRPr="009C10CE">
        <w:rPr>
          <w:rFonts w:eastAsia="Times New Roman"/>
        </w:rPr>
        <w:t>Li &amp; Liu, 2017).</w:t>
      </w:r>
    </w:p>
    <w:p w14:paraId="0360ABEB" w14:textId="2879B0F0" w:rsidR="00836064" w:rsidRDefault="008204BE" w:rsidP="005B0E9E">
      <w:pPr>
        <w:spacing w:before="240" w:after="240" w:line="480" w:lineRule="auto"/>
        <w:jc w:val="both"/>
        <w:rPr>
          <w:rFonts w:eastAsia="Times New Roman"/>
        </w:rPr>
      </w:pPr>
      <w:r w:rsidRPr="009C10CE">
        <w:rPr>
          <w:rFonts w:eastAsia="Times New Roman"/>
        </w:rPr>
        <w:t xml:space="preserve">Using a sample of 722 U.S. EGC-scale IPOs between 2005 and 2017, this study </w:t>
      </w:r>
      <w:r w:rsidR="007A4E45">
        <w:rPr>
          <w:rFonts w:eastAsia="Times New Roman"/>
        </w:rPr>
        <w:t>shows</w:t>
      </w:r>
      <w:r w:rsidRPr="009C10CE">
        <w:rPr>
          <w:rFonts w:eastAsia="Times New Roman"/>
        </w:rPr>
        <w:t xml:space="preserve"> </w:t>
      </w:r>
      <w:r w:rsidR="00271213">
        <w:rPr>
          <w:rFonts w:eastAsia="Times New Roman"/>
        </w:rPr>
        <w:t>a</w:t>
      </w:r>
      <w:r w:rsidRPr="009C10CE">
        <w:rPr>
          <w:rFonts w:eastAsia="Times New Roman"/>
        </w:rPr>
        <w:t xml:space="preserve"> substantial decrease in the duration of the IPO approval process</w:t>
      </w:r>
      <w:r w:rsidR="00C83321">
        <w:rPr>
          <w:rFonts w:eastAsia="Times New Roman"/>
        </w:rPr>
        <w:t xml:space="preserve"> under the JOBS Act</w:t>
      </w:r>
      <w:r w:rsidRPr="009C10CE">
        <w:rPr>
          <w:rFonts w:eastAsia="Times New Roman"/>
        </w:rPr>
        <w:t xml:space="preserve">, </w:t>
      </w:r>
      <w:r w:rsidR="00C83321">
        <w:rPr>
          <w:rFonts w:eastAsia="Times New Roman"/>
        </w:rPr>
        <w:t xml:space="preserve">as well as </w:t>
      </w:r>
      <w:r w:rsidR="001F43A4">
        <w:rPr>
          <w:rFonts w:eastAsia="Times New Roman"/>
        </w:rPr>
        <w:t xml:space="preserve">significant declines in </w:t>
      </w:r>
      <w:r w:rsidRPr="009C10CE">
        <w:rPr>
          <w:rFonts w:eastAsia="Times New Roman"/>
        </w:rPr>
        <w:t xml:space="preserve">the </w:t>
      </w:r>
      <w:r w:rsidR="00371CE1">
        <w:rPr>
          <w:rFonts w:eastAsia="Times New Roman"/>
        </w:rPr>
        <w:t xml:space="preserve">typical </w:t>
      </w:r>
      <w:r w:rsidRPr="009C10CE">
        <w:rPr>
          <w:rFonts w:eastAsia="Times New Roman"/>
        </w:rPr>
        <w:t xml:space="preserve">number of </w:t>
      </w:r>
      <w:r w:rsidR="00371CE1">
        <w:rPr>
          <w:rFonts w:eastAsia="Times New Roman"/>
        </w:rPr>
        <w:t xml:space="preserve">SEC </w:t>
      </w:r>
      <w:r w:rsidRPr="009C10CE">
        <w:rPr>
          <w:rFonts w:eastAsia="Times New Roman"/>
        </w:rPr>
        <w:t xml:space="preserve">comment letters, </w:t>
      </w:r>
      <w:r w:rsidR="00371CE1">
        <w:rPr>
          <w:rFonts w:eastAsia="Times New Roman"/>
        </w:rPr>
        <w:t>and the number and breadth of</w:t>
      </w:r>
      <w:r w:rsidRPr="009C10CE">
        <w:rPr>
          <w:rFonts w:eastAsia="Times New Roman"/>
        </w:rPr>
        <w:t xml:space="preserve"> comments in initial SEC comment letters.</w:t>
      </w:r>
      <w:r w:rsidRPr="00BF4CF3">
        <w:rPr>
          <w:rStyle w:val="FootnoteReference"/>
          <w:rFonts w:eastAsia="Times New Roman"/>
        </w:rPr>
        <w:footnoteReference w:id="3"/>
      </w:r>
      <w:r w:rsidRPr="00BF4CF3">
        <w:rPr>
          <w:rFonts w:eastAsia="Times New Roman"/>
        </w:rPr>
        <w:t xml:space="preserve"> Specifically, controlling for other factors</w:t>
      </w:r>
      <w:r w:rsidRPr="00B34AB8">
        <w:rPr>
          <w:rFonts w:eastAsia="Times New Roman"/>
        </w:rPr>
        <w:t xml:space="preserve">, </w:t>
      </w:r>
      <w:r w:rsidR="00AB5855">
        <w:rPr>
          <w:rFonts w:eastAsia="Times New Roman"/>
        </w:rPr>
        <w:t>a</w:t>
      </w:r>
      <w:r w:rsidR="00AB5855" w:rsidRPr="009C10CE">
        <w:rPr>
          <w:rFonts w:eastAsia="Times New Roman"/>
        </w:rPr>
        <w:t xml:space="preserve">verage </w:t>
      </w:r>
      <w:r w:rsidR="00AB5855">
        <w:rPr>
          <w:rFonts w:eastAsia="Times New Roman"/>
        </w:rPr>
        <w:t xml:space="preserve">IPO </w:t>
      </w:r>
      <w:r w:rsidR="00AB5855" w:rsidRPr="009C10CE">
        <w:rPr>
          <w:rFonts w:eastAsia="Times New Roman"/>
        </w:rPr>
        <w:t xml:space="preserve">duration </w:t>
      </w:r>
      <w:r w:rsidR="00AB5855">
        <w:rPr>
          <w:rFonts w:eastAsia="Times New Roman"/>
        </w:rPr>
        <w:t xml:space="preserve">and number of SEC comment letters are found to </w:t>
      </w:r>
      <w:r w:rsidR="00AB5855" w:rsidRPr="009C10CE">
        <w:rPr>
          <w:rFonts w:eastAsia="Times New Roman"/>
        </w:rPr>
        <w:t xml:space="preserve">reduce by as much as </w:t>
      </w:r>
      <w:r w:rsidR="00AB5855">
        <w:rPr>
          <w:rFonts w:eastAsia="Times New Roman"/>
        </w:rPr>
        <w:t>27.65</w:t>
      </w:r>
      <w:r w:rsidR="00AB5855" w:rsidRPr="009C10CE">
        <w:rPr>
          <w:rFonts w:eastAsia="Times New Roman"/>
        </w:rPr>
        <w:t>%</w:t>
      </w:r>
      <w:r w:rsidR="00AB5855">
        <w:rPr>
          <w:rFonts w:eastAsia="Times New Roman"/>
        </w:rPr>
        <w:t xml:space="preserve"> and 20.60%, respectively,</w:t>
      </w:r>
      <w:r w:rsidR="00AB5855" w:rsidRPr="009C10CE">
        <w:rPr>
          <w:rFonts w:eastAsia="Times New Roman"/>
        </w:rPr>
        <w:t xml:space="preserve"> for EGC IPOs.</w:t>
      </w:r>
      <w:r w:rsidR="00AB5855">
        <w:rPr>
          <w:rFonts w:eastAsia="Times New Roman"/>
        </w:rPr>
        <w:t xml:space="preserve"> T</w:t>
      </w:r>
      <w:r w:rsidRPr="00A536F2">
        <w:rPr>
          <w:rFonts w:eastAsia="Times New Roman"/>
        </w:rPr>
        <w:t>he number of comments (themes) in initial comment letters</w:t>
      </w:r>
      <w:r>
        <w:rPr>
          <w:rFonts w:eastAsia="Times New Roman"/>
        </w:rPr>
        <w:t xml:space="preserve"> for EGC IPOs</w:t>
      </w:r>
      <w:r w:rsidRPr="00A536F2">
        <w:rPr>
          <w:rFonts w:eastAsia="Times New Roman"/>
        </w:rPr>
        <w:t xml:space="preserve"> </w:t>
      </w:r>
      <w:r w:rsidR="008B4A4A">
        <w:rPr>
          <w:rFonts w:eastAsia="Times New Roman"/>
        </w:rPr>
        <w:t xml:space="preserve">are </w:t>
      </w:r>
      <w:r w:rsidR="00AB5855">
        <w:rPr>
          <w:rFonts w:eastAsia="Times New Roman"/>
        </w:rPr>
        <w:t xml:space="preserve">also </w:t>
      </w:r>
      <w:r w:rsidR="008B4A4A">
        <w:rPr>
          <w:rFonts w:eastAsia="Times New Roman"/>
        </w:rPr>
        <w:t xml:space="preserve">observed to </w:t>
      </w:r>
      <w:r w:rsidRPr="00A536F2">
        <w:rPr>
          <w:rFonts w:eastAsia="Times New Roman"/>
        </w:rPr>
        <w:t xml:space="preserve">reduce by </w:t>
      </w:r>
      <w:r>
        <w:rPr>
          <w:rFonts w:eastAsia="Times New Roman"/>
        </w:rPr>
        <w:t>43.18</w:t>
      </w:r>
      <w:r w:rsidRPr="006B3FA2">
        <w:rPr>
          <w:rFonts w:eastAsia="Times New Roman"/>
        </w:rPr>
        <w:t>%</w:t>
      </w:r>
      <w:r w:rsidRPr="005D76FD">
        <w:rPr>
          <w:rFonts w:eastAsia="Times New Roman"/>
        </w:rPr>
        <w:t xml:space="preserve"> (</w:t>
      </w:r>
      <w:r>
        <w:rPr>
          <w:rFonts w:eastAsia="Times New Roman"/>
        </w:rPr>
        <w:t>26.46</w:t>
      </w:r>
      <w:r w:rsidRPr="005D76FD">
        <w:rPr>
          <w:rFonts w:eastAsia="Times New Roman"/>
        </w:rPr>
        <w:t>%</w:t>
      </w:r>
      <w:r w:rsidRPr="00164BD0">
        <w:rPr>
          <w:rFonts w:eastAsia="Times New Roman"/>
        </w:rPr>
        <w:t>) following the JOBS</w:t>
      </w:r>
      <w:r w:rsidRPr="00832F39">
        <w:rPr>
          <w:rFonts w:eastAsia="Times New Roman"/>
        </w:rPr>
        <w:t xml:space="preserve"> Act</w:t>
      </w:r>
      <w:r w:rsidRPr="009C10CE">
        <w:rPr>
          <w:rFonts w:eastAsia="Times New Roman"/>
        </w:rPr>
        <w:t>. Overall, the results document substantial de-burdening of the IPO approval proce</w:t>
      </w:r>
      <w:r>
        <w:rPr>
          <w:rFonts w:eastAsia="Times New Roman"/>
        </w:rPr>
        <w:t>ss</w:t>
      </w:r>
      <w:r w:rsidR="00880A9B">
        <w:rPr>
          <w:rFonts w:eastAsia="Times New Roman"/>
        </w:rPr>
        <w:t xml:space="preserve"> for</w:t>
      </w:r>
      <w:r>
        <w:rPr>
          <w:rFonts w:eastAsia="Times New Roman"/>
        </w:rPr>
        <w:t xml:space="preserve"> EGC IPOs</w:t>
      </w:r>
      <w:r w:rsidR="00494F84">
        <w:rPr>
          <w:rFonts w:eastAsia="Times New Roman"/>
        </w:rPr>
        <w:t xml:space="preserve">. </w:t>
      </w:r>
      <w:r w:rsidR="00836064">
        <w:rPr>
          <w:rFonts w:eastAsia="Times New Roman"/>
        </w:rPr>
        <w:t xml:space="preserve">The concern </w:t>
      </w:r>
      <w:r w:rsidR="00836064" w:rsidRPr="00836064">
        <w:rPr>
          <w:rFonts w:eastAsia="Times New Roman"/>
        </w:rPr>
        <w:t xml:space="preserve">that reduced SEC scrutiny under JOBS may be mechanically linked to additional disclosure </w:t>
      </w:r>
      <w:r w:rsidR="00836064" w:rsidRPr="00836064">
        <w:rPr>
          <w:rFonts w:eastAsia="Times New Roman"/>
        </w:rPr>
        <w:lastRenderedPageBreak/>
        <w:t xml:space="preserve">exemptions for EGC issuers under the Act </w:t>
      </w:r>
      <w:r w:rsidR="00CD601B">
        <w:rPr>
          <w:rFonts w:eastAsia="Times New Roman"/>
        </w:rPr>
        <w:t xml:space="preserve">is also removed as the reduction in SEC review extensiveness is identified to be experienced by both </w:t>
      </w:r>
      <w:r w:rsidR="00681265">
        <w:rPr>
          <w:rFonts w:eastAsia="Times New Roman"/>
        </w:rPr>
        <w:t>smaller reporting company (</w:t>
      </w:r>
      <w:r w:rsidR="00CD601B">
        <w:rPr>
          <w:rFonts w:eastAsia="Times New Roman"/>
        </w:rPr>
        <w:t>SRC</w:t>
      </w:r>
      <w:r w:rsidR="00681265">
        <w:rPr>
          <w:rFonts w:eastAsia="Times New Roman"/>
        </w:rPr>
        <w:t>)</w:t>
      </w:r>
      <w:r w:rsidR="00CD601B">
        <w:rPr>
          <w:rFonts w:eastAsia="Times New Roman"/>
        </w:rPr>
        <w:t xml:space="preserve"> and non-SRC IPOs under the Act.</w:t>
      </w:r>
    </w:p>
    <w:p w14:paraId="361F079A" w14:textId="766B09B7" w:rsidR="008204BE" w:rsidRPr="00EB429A" w:rsidRDefault="008204BE" w:rsidP="005B0E9E">
      <w:pPr>
        <w:spacing w:before="240" w:after="240" w:line="480" w:lineRule="auto"/>
        <w:jc w:val="both"/>
        <w:rPr>
          <w:rFonts w:eastAsia="Times New Roman"/>
        </w:rPr>
      </w:pPr>
      <w:r w:rsidRPr="009C10CE">
        <w:rPr>
          <w:rFonts w:eastAsia="Times New Roman"/>
        </w:rPr>
        <w:t xml:space="preserve">In further tests, </w:t>
      </w:r>
      <w:r w:rsidR="00021D79">
        <w:rPr>
          <w:rFonts w:eastAsia="Times New Roman"/>
        </w:rPr>
        <w:t xml:space="preserve">extent of </w:t>
      </w:r>
      <w:r w:rsidRPr="009C10CE">
        <w:rPr>
          <w:rFonts w:eastAsia="Times New Roman"/>
        </w:rPr>
        <w:t>reductions in the number of comment letters</w:t>
      </w:r>
      <w:r>
        <w:rPr>
          <w:rFonts w:eastAsia="Times New Roman"/>
        </w:rPr>
        <w:t xml:space="preserve">, </w:t>
      </w:r>
      <w:proofErr w:type="gramStart"/>
      <w:r>
        <w:rPr>
          <w:rFonts w:eastAsia="Times New Roman"/>
        </w:rPr>
        <w:t>comments</w:t>
      </w:r>
      <w:proofErr w:type="gramEnd"/>
      <w:r>
        <w:rPr>
          <w:rFonts w:eastAsia="Times New Roman"/>
        </w:rPr>
        <w:t xml:space="preserve"> </w:t>
      </w:r>
      <w:r w:rsidRPr="009C10CE">
        <w:rPr>
          <w:rFonts w:eastAsia="Times New Roman"/>
        </w:rPr>
        <w:t xml:space="preserve">and themes </w:t>
      </w:r>
      <w:r w:rsidR="00021D79">
        <w:rPr>
          <w:rFonts w:eastAsia="Times New Roman"/>
        </w:rPr>
        <w:t xml:space="preserve">as a result of JOBS </w:t>
      </w:r>
      <w:r w:rsidRPr="009C10CE">
        <w:rPr>
          <w:rFonts w:eastAsia="Times New Roman"/>
        </w:rPr>
        <w:t>are observed to be less pronounced in more concentrated industries</w:t>
      </w:r>
      <w:r w:rsidR="00EB046D">
        <w:rPr>
          <w:rFonts w:eastAsia="Times New Roman"/>
        </w:rPr>
        <w:t>. This</w:t>
      </w:r>
      <w:r w:rsidRPr="009C10CE">
        <w:rPr>
          <w:rFonts w:eastAsia="Times New Roman"/>
        </w:rPr>
        <w:t xml:space="preserve"> suggest</w:t>
      </w:r>
      <w:r w:rsidR="00EB046D">
        <w:rPr>
          <w:rFonts w:eastAsia="Times New Roman"/>
        </w:rPr>
        <w:t>s</w:t>
      </w:r>
      <w:r w:rsidRPr="009C10CE">
        <w:rPr>
          <w:rFonts w:eastAsia="Times New Roman"/>
        </w:rPr>
        <w:t xml:space="preserve"> the SEC maintain scrutiny in areas where the proprietary costs of disclosure, and therefore information uncertainty, are high. Finally, </w:t>
      </w:r>
      <w:r w:rsidR="00CC1523">
        <w:rPr>
          <w:rFonts w:eastAsia="Times New Roman"/>
        </w:rPr>
        <w:t>findings document</w:t>
      </w:r>
      <w:r w:rsidRPr="009C10CE">
        <w:rPr>
          <w:rFonts w:eastAsia="Times New Roman"/>
        </w:rPr>
        <w:t xml:space="preserve"> that under the JOBS Act, SEC comments focus proportionately more on issues directly related to the offering, but proportionately less on </w:t>
      </w:r>
      <w:r>
        <w:rPr>
          <w:rFonts w:eastAsia="Times New Roman"/>
        </w:rPr>
        <w:t xml:space="preserve">core accounting issues, </w:t>
      </w:r>
      <w:r w:rsidRPr="009C10CE">
        <w:rPr>
          <w:rFonts w:eastAsia="Times New Roman"/>
        </w:rPr>
        <w:t>general business issues and potential disclosure deficiencies.</w:t>
      </w:r>
    </w:p>
    <w:p w14:paraId="6D28EB92" w14:textId="1C07F08E" w:rsidR="003765F7" w:rsidRPr="008C77B5" w:rsidRDefault="008204BE" w:rsidP="005B0E9E">
      <w:pPr>
        <w:spacing w:before="240" w:after="240" w:line="480" w:lineRule="auto"/>
        <w:jc w:val="both"/>
        <w:rPr>
          <w:rFonts w:eastAsia="Times New Roman"/>
        </w:rPr>
      </w:pPr>
      <w:r w:rsidRPr="008C77B5">
        <w:rPr>
          <w:rFonts w:eastAsia="Times New Roman"/>
        </w:rPr>
        <w:t xml:space="preserve">This study makes </w:t>
      </w:r>
      <w:r w:rsidR="003317FB" w:rsidRPr="008C77B5">
        <w:rPr>
          <w:rFonts w:eastAsia="Times New Roman"/>
        </w:rPr>
        <w:t>several</w:t>
      </w:r>
      <w:r w:rsidRPr="008C77B5">
        <w:rPr>
          <w:rFonts w:eastAsia="Times New Roman"/>
        </w:rPr>
        <w:t xml:space="preserve"> contributions to the extant literature on the IPO approval process and the effects of the JOBS Act. First, this study provides evidence that the JOBS Act, despite not reducing IPO costs (Chaplinsky et al., 2017), led to substantial de-burdening of the IPO approval process, particularly through reduced volume and scope of comments issued by the SEC. </w:t>
      </w:r>
      <w:r w:rsidR="00E83BE7" w:rsidRPr="008C77B5">
        <w:rPr>
          <w:rFonts w:eastAsia="Times New Roman"/>
        </w:rPr>
        <w:t xml:space="preserve">Although prior studies </w:t>
      </w:r>
      <w:r w:rsidR="00ED559E" w:rsidRPr="008C77B5">
        <w:rPr>
          <w:rFonts w:eastAsia="Times New Roman"/>
        </w:rPr>
        <w:t xml:space="preserve">show the </w:t>
      </w:r>
      <w:r w:rsidR="0007270B" w:rsidRPr="008C77B5">
        <w:rPr>
          <w:rFonts w:eastAsia="Times New Roman"/>
        </w:rPr>
        <w:t xml:space="preserve">JOBS Act </w:t>
      </w:r>
      <w:r w:rsidR="00DF014D" w:rsidRPr="008C77B5">
        <w:rPr>
          <w:rFonts w:eastAsia="Times New Roman"/>
        </w:rPr>
        <w:t xml:space="preserve">saw a change in focus of SEC reviews and comment letters (Agarwal et al., 2017; Lowry et al., 2020), </w:t>
      </w:r>
      <w:r w:rsidR="007864E8" w:rsidRPr="008C77B5">
        <w:rPr>
          <w:rFonts w:eastAsia="Times New Roman"/>
        </w:rPr>
        <w:t xml:space="preserve">to the best of our knowledge this is the first study to </w:t>
      </w:r>
      <w:r w:rsidR="00380ED6" w:rsidRPr="008C77B5">
        <w:rPr>
          <w:rFonts w:eastAsia="Times New Roman"/>
        </w:rPr>
        <w:t xml:space="preserve">quantify the </w:t>
      </w:r>
      <w:r w:rsidR="00AA03EC" w:rsidRPr="008C77B5">
        <w:rPr>
          <w:rFonts w:eastAsia="Times New Roman"/>
        </w:rPr>
        <w:t xml:space="preserve">impact </w:t>
      </w:r>
      <w:r w:rsidR="000252B7" w:rsidRPr="008C77B5">
        <w:rPr>
          <w:rFonts w:eastAsia="Times New Roman"/>
        </w:rPr>
        <w:t xml:space="preserve">of </w:t>
      </w:r>
      <w:r w:rsidR="000624C6" w:rsidRPr="008C77B5">
        <w:rPr>
          <w:rFonts w:eastAsia="Times New Roman"/>
        </w:rPr>
        <w:t xml:space="preserve">JOBS </w:t>
      </w:r>
      <w:r w:rsidR="00AA03EC" w:rsidRPr="008C77B5">
        <w:rPr>
          <w:rFonts w:eastAsia="Times New Roman"/>
        </w:rPr>
        <w:t>on</w:t>
      </w:r>
      <w:r w:rsidR="000624C6" w:rsidRPr="008C77B5">
        <w:rPr>
          <w:rFonts w:eastAsia="Times New Roman"/>
        </w:rPr>
        <w:t xml:space="preserve"> </w:t>
      </w:r>
      <w:r w:rsidR="000252B7" w:rsidRPr="008C77B5">
        <w:rPr>
          <w:rFonts w:eastAsia="Times New Roman"/>
        </w:rPr>
        <w:t xml:space="preserve">extent of regulatory scrutiny </w:t>
      </w:r>
      <w:r w:rsidR="00537B43" w:rsidRPr="008C77B5">
        <w:rPr>
          <w:rFonts w:eastAsia="Times New Roman"/>
        </w:rPr>
        <w:t>on</w:t>
      </w:r>
      <w:r w:rsidR="000252B7" w:rsidRPr="008C77B5">
        <w:rPr>
          <w:rFonts w:eastAsia="Times New Roman"/>
        </w:rPr>
        <w:t xml:space="preserve"> IPOs.</w:t>
      </w:r>
      <w:r w:rsidR="00DF014D" w:rsidRPr="008C77B5">
        <w:rPr>
          <w:rFonts w:eastAsia="Times New Roman"/>
        </w:rPr>
        <w:t xml:space="preserve"> </w:t>
      </w:r>
      <w:r w:rsidRPr="008C77B5">
        <w:rPr>
          <w:rFonts w:eastAsia="Times New Roman"/>
        </w:rPr>
        <w:t xml:space="preserve">The findings in this regard yield important policy implications, </w:t>
      </w:r>
      <w:r w:rsidR="007E7A86" w:rsidRPr="008C77B5">
        <w:rPr>
          <w:rFonts w:eastAsia="Times New Roman"/>
        </w:rPr>
        <w:t>demonstrating</w:t>
      </w:r>
      <w:r w:rsidRPr="008C77B5">
        <w:rPr>
          <w:rFonts w:eastAsia="Times New Roman"/>
        </w:rPr>
        <w:t xml:space="preserve"> </w:t>
      </w:r>
      <w:r w:rsidR="007A4E45" w:rsidRPr="008C77B5">
        <w:rPr>
          <w:rFonts w:eastAsia="Times New Roman"/>
        </w:rPr>
        <w:t xml:space="preserve">the </w:t>
      </w:r>
      <w:r w:rsidRPr="008C77B5">
        <w:rPr>
          <w:rFonts w:eastAsia="Times New Roman"/>
        </w:rPr>
        <w:t xml:space="preserve">materialization of the Act’s intended effects of easing the IPO on-ramp. </w:t>
      </w:r>
      <w:r w:rsidR="003B01D0">
        <w:rPr>
          <w:rFonts w:eastAsia="Times New Roman"/>
        </w:rPr>
        <w:t>However</w:t>
      </w:r>
      <w:r w:rsidR="00D93846" w:rsidRPr="008C77B5">
        <w:rPr>
          <w:rFonts w:eastAsia="Times New Roman"/>
        </w:rPr>
        <w:t>,</w:t>
      </w:r>
      <w:r w:rsidR="00F53FDE" w:rsidRPr="008C77B5">
        <w:rPr>
          <w:rFonts w:eastAsia="Times New Roman"/>
        </w:rPr>
        <w:t xml:space="preserve"> findings of </w:t>
      </w:r>
      <w:r w:rsidR="003B01D0">
        <w:rPr>
          <w:rFonts w:eastAsia="Times New Roman"/>
        </w:rPr>
        <w:t xml:space="preserve">such </w:t>
      </w:r>
      <w:r w:rsidR="00B74192" w:rsidRPr="008C77B5">
        <w:rPr>
          <w:rFonts w:eastAsia="Times New Roman"/>
        </w:rPr>
        <w:t xml:space="preserve">a </w:t>
      </w:r>
      <w:r w:rsidR="003B01D0">
        <w:rPr>
          <w:rFonts w:eastAsia="Times New Roman"/>
        </w:rPr>
        <w:t xml:space="preserve">considerably </w:t>
      </w:r>
      <w:r w:rsidR="00F53FDE" w:rsidRPr="008C77B5">
        <w:rPr>
          <w:rFonts w:eastAsia="Times New Roman"/>
        </w:rPr>
        <w:t>less burdensome SEC review</w:t>
      </w:r>
      <w:r w:rsidR="00B74192" w:rsidRPr="008C77B5">
        <w:rPr>
          <w:rFonts w:eastAsia="Times New Roman"/>
        </w:rPr>
        <w:t xml:space="preserve"> proces</w:t>
      </w:r>
      <w:r w:rsidR="00F53FDE" w:rsidRPr="008C77B5">
        <w:rPr>
          <w:rFonts w:eastAsia="Times New Roman"/>
        </w:rPr>
        <w:t xml:space="preserve">s under the JOBS Act </w:t>
      </w:r>
      <w:r w:rsidR="003B01D0">
        <w:rPr>
          <w:rFonts w:eastAsia="Times New Roman"/>
        </w:rPr>
        <w:t>may raise concerns whether</w:t>
      </w:r>
      <w:r w:rsidR="003B01D0" w:rsidRPr="008C77B5">
        <w:rPr>
          <w:rFonts w:eastAsia="Times New Roman"/>
        </w:rPr>
        <w:t xml:space="preserve"> </w:t>
      </w:r>
      <w:r w:rsidR="00F53FDE" w:rsidRPr="008C77B5">
        <w:rPr>
          <w:rFonts w:eastAsia="Times New Roman"/>
        </w:rPr>
        <w:t xml:space="preserve">investor are </w:t>
      </w:r>
      <w:r w:rsidR="003B01D0">
        <w:rPr>
          <w:rFonts w:eastAsia="Times New Roman"/>
        </w:rPr>
        <w:t>adequately</w:t>
      </w:r>
      <w:r w:rsidR="003B01D0" w:rsidRPr="008C77B5">
        <w:rPr>
          <w:rFonts w:eastAsia="Times New Roman"/>
        </w:rPr>
        <w:t xml:space="preserve"> </w:t>
      </w:r>
      <w:r w:rsidR="00F53FDE" w:rsidRPr="008C77B5">
        <w:rPr>
          <w:rFonts w:eastAsia="Times New Roman"/>
        </w:rPr>
        <w:t>protected after the passage of the Act.</w:t>
      </w:r>
      <w:r w:rsidR="0083417E" w:rsidRPr="008C77B5">
        <w:rPr>
          <w:rFonts w:eastAsia="Times New Roman"/>
        </w:rPr>
        <w:t xml:space="preserve"> Chaplinsky et al. (2017) argue that while the JOBS Act potentially offers benefits to issuers, none of them seem adequate to counterbalance the general increase in the cost of capital under the Act. </w:t>
      </w:r>
    </w:p>
    <w:p w14:paraId="5F736095" w14:textId="162265D2" w:rsidR="008204BE" w:rsidRDefault="008204BE" w:rsidP="005B0E9E">
      <w:pPr>
        <w:spacing w:before="240" w:after="240" w:line="480" w:lineRule="auto"/>
        <w:jc w:val="both"/>
        <w:rPr>
          <w:rFonts w:eastAsia="Times New Roman"/>
        </w:rPr>
      </w:pPr>
      <w:r w:rsidRPr="008C77B5">
        <w:rPr>
          <w:rFonts w:eastAsia="Times New Roman"/>
        </w:rPr>
        <w:lastRenderedPageBreak/>
        <w:t xml:space="preserve">Second, this study </w:t>
      </w:r>
      <w:r w:rsidR="007572FF" w:rsidRPr="008C77B5">
        <w:rPr>
          <w:rFonts w:eastAsia="Times New Roman"/>
        </w:rPr>
        <w:t xml:space="preserve">documents </w:t>
      </w:r>
      <w:r w:rsidRPr="008C77B5">
        <w:rPr>
          <w:rFonts w:eastAsia="Times New Roman"/>
        </w:rPr>
        <w:t xml:space="preserve">the degree of de-burdening to be moderated by the level of market concentration, suggesting that the SEC retain discretionary scrutiny to ensure sufficient disclosure by firms conducting IPOs in more highly concentrated industries. This is likely due to heightened need for investor protection given information uncertainty </w:t>
      </w:r>
      <w:r w:rsidR="0029163B">
        <w:rPr>
          <w:rFonts w:eastAsia="Times New Roman"/>
        </w:rPr>
        <w:t>generated by</w:t>
      </w:r>
      <w:r w:rsidRPr="008C77B5">
        <w:rPr>
          <w:rFonts w:eastAsia="Times New Roman"/>
        </w:rPr>
        <w:t xml:space="preserve"> proprietary disclosure costs (Ali et al., 2014; </w:t>
      </w:r>
      <w:proofErr w:type="spellStart"/>
      <w:r w:rsidRPr="008C77B5">
        <w:rPr>
          <w:rFonts w:eastAsia="Times New Roman"/>
        </w:rPr>
        <w:t>Dambra</w:t>
      </w:r>
      <w:proofErr w:type="spellEnd"/>
      <w:r w:rsidRPr="008C77B5">
        <w:rPr>
          <w:rFonts w:eastAsia="Times New Roman"/>
        </w:rPr>
        <w:t xml:space="preserve"> et al., 2015</w:t>
      </w:r>
      <w:r w:rsidR="009F739E">
        <w:rPr>
          <w:rFonts w:eastAsia="Times New Roman"/>
        </w:rPr>
        <w:t>;</w:t>
      </w:r>
      <w:r w:rsidR="009F739E" w:rsidRPr="009F739E">
        <w:rPr>
          <w:rFonts w:eastAsia="Times New Roman"/>
        </w:rPr>
        <w:t xml:space="preserve"> </w:t>
      </w:r>
      <w:r w:rsidR="009F739E" w:rsidRPr="008C77B5">
        <w:rPr>
          <w:rFonts w:eastAsia="Times New Roman"/>
        </w:rPr>
        <w:t>Robinson et al., 2011</w:t>
      </w:r>
      <w:r w:rsidRPr="008C77B5">
        <w:rPr>
          <w:rFonts w:eastAsia="Times New Roman"/>
        </w:rPr>
        <w:t>).</w:t>
      </w:r>
      <w:r w:rsidR="00471703" w:rsidRPr="008C77B5">
        <w:rPr>
          <w:rFonts w:eastAsia="Times New Roman"/>
        </w:rPr>
        <w:t xml:space="preserve"> </w:t>
      </w:r>
      <w:r w:rsidR="00567FF7" w:rsidRPr="008C77B5">
        <w:rPr>
          <w:rFonts w:eastAsia="Times New Roman"/>
        </w:rPr>
        <w:t xml:space="preserve">However, </w:t>
      </w:r>
      <w:r w:rsidR="000C0070" w:rsidRPr="008C77B5">
        <w:rPr>
          <w:rFonts w:eastAsia="Times New Roman"/>
        </w:rPr>
        <w:t xml:space="preserve">while SEC </w:t>
      </w:r>
      <w:r w:rsidR="00C22579" w:rsidRPr="008C77B5">
        <w:rPr>
          <w:rFonts w:eastAsia="Times New Roman"/>
        </w:rPr>
        <w:t xml:space="preserve">scrutiny </w:t>
      </w:r>
      <w:r w:rsidR="006E3F84" w:rsidRPr="008C77B5">
        <w:rPr>
          <w:rFonts w:eastAsia="Times New Roman"/>
        </w:rPr>
        <w:t>remains</w:t>
      </w:r>
      <w:r w:rsidR="000C0070" w:rsidRPr="008C77B5">
        <w:rPr>
          <w:rFonts w:eastAsia="Times New Roman"/>
        </w:rPr>
        <w:t xml:space="preserve"> relatively higher </w:t>
      </w:r>
      <w:r w:rsidR="00C22579" w:rsidRPr="008C77B5">
        <w:rPr>
          <w:rFonts w:eastAsia="Times New Roman"/>
        </w:rPr>
        <w:t xml:space="preserve">in </w:t>
      </w:r>
      <w:r w:rsidR="00E90755" w:rsidRPr="008C77B5">
        <w:rPr>
          <w:rFonts w:eastAsia="Times New Roman"/>
        </w:rPr>
        <w:t>those</w:t>
      </w:r>
      <w:r w:rsidR="0068438F" w:rsidRPr="008C77B5">
        <w:rPr>
          <w:rFonts w:eastAsia="Times New Roman"/>
        </w:rPr>
        <w:t xml:space="preserve"> industries under</w:t>
      </w:r>
      <w:r w:rsidR="0096563F" w:rsidRPr="008C77B5">
        <w:rPr>
          <w:rFonts w:eastAsia="Times New Roman"/>
        </w:rPr>
        <w:t xml:space="preserve"> the Act, </w:t>
      </w:r>
      <w:r w:rsidR="00BC4CA7" w:rsidRPr="008C77B5">
        <w:rPr>
          <w:rFonts w:eastAsia="Times New Roman"/>
        </w:rPr>
        <w:t xml:space="preserve">it remains to be seen whether </w:t>
      </w:r>
      <w:r w:rsidR="002E5AD5" w:rsidRPr="008C77B5">
        <w:rPr>
          <w:rFonts w:eastAsia="Times New Roman"/>
        </w:rPr>
        <w:t xml:space="preserve">this additional scrutiny is sufficient to </w:t>
      </w:r>
      <w:r w:rsidR="006E3F84" w:rsidRPr="008C77B5">
        <w:rPr>
          <w:rFonts w:eastAsia="Times New Roman"/>
        </w:rPr>
        <w:t xml:space="preserve">compensate for </w:t>
      </w:r>
      <w:r w:rsidR="00AB4926" w:rsidRPr="008C77B5">
        <w:rPr>
          <w:rFonts w:eastAsia="Times New Roman"/>
        </w:rPr>
        <w:t xml:space="preserve">the higher propensity of </w:t>
      </w:r>
      <w:r w:rsidR="00501A69" w:rsidRPr="008C77B5">
        <w:rPr>
          <w:rFonts w:eastAsia="Times New Roman"/>
        </w:rPr>
        <w:t xml:space="preserve">those </w:t>
      </w:r>
      <w:r w:rsidR="00AB4926" w:rsidRPr="008C77B5">
        <w:rPr>
          <w:rFonts w:eastAsia="Times New Roman"/>
        </w:rPr>
        <w:t xml:space="preserve">firms to </w:t>
      </w:r>
      <w:r w:rsidR="00841675" w:rsidRPr="008C77B5">
        <w:rPr>
          <w:rFonts w:eastAsia="Times New Roman"/>
        </w:rPr>
        <w:t>take full advantage of</w:t>
      </w:r>
      <w:r w:rsidR="007D382D" w:rsidRPr="008C77B5">
        <w:rPr>
          <w:rFonts w:eastAsia="Times New Roman"/>
        </w:rPr>
        <w:t xml:space="preserve"> the JOBS Act disclosure exemptions</w:t>
      </w:r>
      <w:r w:rsidR="000D652C" w:rsidRPr="008C77B5">
        <w:rPr>
          <w:rFonts w:eastAsia="Times New Roman"/>
        </w:rPr>
        <w:t>.</w:t>
      </w:r>
      <w:r w:rsidR="00C22579" w:rsidRPr="008C77B5">
        <w:rPr>
          <w:rFonts w:eastAsia="Times New Roman"/>
        </w:rPr>
        <w:t xml:space="preserve"> </w:t>
      </w:r>
      <w:r w:rsidR="00471703" w:rsidRPr="008C77B5">
        <w:rPr>
          <w:rFonts w:eastAsia="Times New Roman"/>
        </w:rPr>
        <w:t xml:space="preserve">Chaplinsky et al. (2017) </w:t>
      </w:r>
      <w:r w:rsidR="00C5230D" w:rsidRPr="008C77B5">
        <w:rPr>
          <w:rFonts w:eastAsia="Times New Roman"/>
        </w:rPr>
        <w:t>report</w:t>
      </w:r>
      <w:r w:rsidR="00567FF7" w:rsidRPr="008C77B5">
        <w:rPr>
          <w:rFonts w:eastAsia="Times New Roman"/>
        </w:rPr>
        <w:t xml:space="preserve"> that</w:t>
      </w:r>
      <w:r w:rsidR="00471703" w:rsidRPr="008C77B5">
        <w:rPr>
          <w:rFonts w:eastAsia="Times New Roman"/>
        </w:rPr>
        <w:t xml:space="preserve"> </w:t>
      </w:r>
      <w:r w:rsidR="00246917" w:rsidRPr="008C77B5">
        <w:rPr>
          <w:rFonts w:eastAsia="Times New Roman"/>
        </w:rPr>
        <w:t xml:space="preserve">firms </w:t>
      </w:r>
      <w:r w:rsidR="00B2270C" w:rsidRPr="008C77B5">
        <w:rPr>
          <w:rFonts w:eastAsia="Times New Roman"/>
        </w:rPr>
        <w:t xml:space="preserve">in industries with greater proprietary </w:t>
      </w:r>
      <w:r w:rsidR="00671C37" w:rsidRPr="008C77B5">
        <w:rPr>
          <w:rFonts w:eastAsia="Times New Roman"/>
        </w:rPr>
        <w:t xml:space="preserve">information </w:t>
      </w:r>
      <w:r w:rsidR="00B2270C" w:rsidRPr="008C77B5">
        <w:rPr>
          <w:rFonts w:eastAsia="Times New Roman"/>
        </w:rPr>
        <w:t xml:space="preserve">costs </w:t>
      </w:r>
      <w:r w:rsidR="00335360" w:rsidRPr="008C77B5">
        <w:rPr>
          <w:rFonts w:eastAsia="Times New Roman"/>
        </w:rPr>
        <w:t xml:space="preserve">who </w:t>
      </w:r>
      <w:r w:rsidR="00DC7609" w:rsidRPr="008C77B5">
        <w:rPr>
          <w:rFonts w:eastAsia="Times New Roman"/>
        </w:rPr>
        <w:t xml:space="preserve">opt to </w:t>
      </w:r>
      <w:r w:rsidR="00335360" w:rsidRPr="008C77B5">
        <w:rPr>
          <w:rFonts w:eastAsia="Times New Roman"/>
        </w:rPr>
        <w:t xml:space="preserve">disclose less </w:t>
      </w:r>
      <w:r w:rsidR="00DC7609" w:rsidRPr="008C77B5">
        <w:rPr>
          <w:rFonts w:eastAsia="Times New Roman"/>
        </w:rPr>
        <w:t xml:space="preserve">in the IPO prospectus </w:t>
      </w:r>
      <w:r w:rsidR="00335360" w:rsidRPr="008C77B5">
        <w:rPr>
          <w:rFonts w:eastAsia="Times New Roman"/>
        </w:rPr>
        <w:t xml:space="preserve">tend to </w:t>
      </w:r>
      <w:r w:rsidR="00722E09" w:rsidRPr="008C77B5">
        <w:rPr>
          <w:rFonts w:eastAsia="Times New Roman"/>
        </w:rPr>
        <w:t xml:space="preserve">suffer </w:t>
      </w:r>
      <w:r w:rsidR="00BA290D" w:rsidRPr="008C77B5">
        <w:rPr>
          <w:rFonts w:eastAsia="Times New Roman"/>
        </w:rPr>
        <w:t xml:space="preserve">more severe </w:t>
      </w:r>
      <w:proofErr w:type="spellStart"/>
      <w:r w:rsidR="00722E09" w:rsidRPr="008C77B5">
        <w:rPr>
          <w:rFonts w:eastAsia="Times New Roman"/>
        </w:rPr>
        <w:t>underpricing</w:t>
      </w:r>
      <w:proofErr w:type="spellEnd"/>
      <w:r w:rsidR="0028289C" w:rsidRPr="008C77B5">
        <w:rPr>
          <w:rFonts w:eastAsia="Times New Roman"/>
        </w:rPr>
        <w:t xml:space="preserve"> under JOBS</w:t>
      </w:r>
      <w:r w:rsidR="00722E09" w:rsidRPr="008C77B5">
        <w:rPr>
          <w:rFonts w:eastAsia="Times New Roman"/>
        </w:rPr>
        <w:t xml:space="preserve">, </w:t>
      </w:r>
      <w:r w:rsidR="007303B8" w:rsidRPr="008C77B5">
        <w:rPr>
          <w:rFonts w:eastAsia="Times New Roman"/>
        </w:rPr>
        <w:t xml:space="preserve">which does </w:t>
      </w:r>
      <w:r w:rsidR="00722E09" w:rsidRPr="008C77B5">
        <w:rPr>
          <w:rFonts w:eastAsia="Times New Roman"/>
        </w:rPr>
        <w:t xml:space="preserve">suggest the additional SEC scrutiny </w:t>
      </w:r>
      <w:r w:rsidR="007303B8" w:rsidRPr="008C77B5">
        <w:rPr>
          <w:rFonts w:eastAsia="Times New Roman"/>
        </w:rPr>
        <w:t xml:space="preserve">we observe </w:t>
      </w:r>
      <w:r w:rsidR="00722E09" w:rsidRPr="008C77B5">
        <w:rPr>
          <w:rFonts w:eastAsia="Times New Roman"/>
        </w:rPr>
        <w:t xml:space="preserve">is </w:t>
      </w:r>
      <w:r w:rsidR="007303B8" w:rsidRPr="008C77B5">
        <w:rPr>
          <w:rFonts w:eastAsia="Times New Roman"/>
        </w:rPr>
        <w:t>in</w:t>
      </w:r>
      <w:r w:rsidR="00722E09" w:rsidRPr="008C77B5">
        <w:rPr>
          <w:rFonts w:eastAsia="Times New Roman"/>
        </w:rPr>
        <w:t xml:space="preserve">sufficient </w:t>
      </w:r>
      <w:proofErr w:type="gramStart"/>
      <w:r w:rsidR="006777B9" w:rsidRPr="008C77B5">
        <w:rPr>
          <w:rFonts w:eastAsia="Times New Roman"/>
        </w:rPr>
        <w:t>in itself to</w:t>
      </w:r>
      <w:proofErr w:type="gramEnd"/>
      <w:r w:rsidR="006777B9" w:rsidRPr="008C77B5">
        <w:rPr>
          <w:rFonts w:eastAsia="Times New Roman"/>
        </w:rPr>
        <w:t xml:space="preserve"> compensate.</w:t>
      </w:r>
      <w:r w:rsidR="00471703" w:rsidRPr="00471703">
        <w:rPr>
          <w:rFonts w:eastAsia="Times New Roman"/>
        </w:rPr>
        <w:t xml:space="preserve"> </w:t>
      </w:r>
      <w:r w:rsidRPr="009C10CE">
        <w:rPr>
          <w:rFonts w:eastAsia="Times New Roman"/>
        </w:rPr>
        <w:t xml:space="preserve"> </w:t>
      </w:r>
    </w:p>
    <w:p w14:paraId="5AE1055D" w14:textId="5CEC0D32" w:rsidR="00162C15" w:rsidRPr="00091581" w:rsidRDefault="00162C15" w:rsidP="005B0E9E">
      <w:pPr>
        <w:spacing w:before="240" w:after="240" w:line="480" w:lineRule="auto"/>
        <w:jc w:val="both"/>
      </w:pPr>
      <w:r w:rsidRPr="006D3F35">
        <w:t>In addition to the empirical contributions discussed above, th</w:t>
      </w:r>
      <w:r w:rsidR="00336970">
        <w:t>is</w:t>
      </w:r>
      <w:r w:rsidRPr="006D3F35">
        <w:t xml:space="preserve"> </w:t>
      </w:r>
      <w:r w:rsidR="00336970">
        <w:t>study also</w:t>
      </w:r>
      <w:r w:rsidRPr="006D3F35">
        <w:t xml:space="preserve"> makes methodological contribution</w:t>
      </w:r>
      <w:r w:rsidR="00A775B5">
        <w:t>s</w:t>
      </w:r>
      <w:r w:rsidRPr="006D3F35">
        <w:t xml:space="preserve">. </w:t>
      </w:r>
      <w:r w:rsidR="00361F4D">
        <w:t>The</w:t>
      </w:r>
      <w:r w:rsidR="00361F4D" w:rsidRPr="006D3F35">
        <w:t xml:space="preserve"> SEC review measures </w:t>
      </w:r>
      <w:r w:rsidR="00361F4D">
        <w:t xml:space="preserve">used in this study are </w:t>
      </w:r>
      <w:r w:rsidR="00361F4D" w:rsidRPr="006D3F35">
        <w:t xml:space="preserve">based on </w:t>
      </w:r>
      <w:r w:rsidR="00D90DD6">
        <w:t xml:space="preserve">the </w:t>
      </w:r>
      <w:r w:rsidR="007233B0">
        <w:t>original</w:t>
      </w:r>
      <w:r w:rsidR="00D90DD6">
        <w:t xml:space="preserve"> text of</w:t>
      </w:r>
      <w:r w:rsidR="00361F4D" w:rsidRPr="006D3F35">
        <w:t xml:space="preserve"> SEC comment letter</w:t>
      </w:r>
      <w:r w:rsidR="00DD7E97">
        <w:t>s on S-1 filings</w:t>
      </w:r>
      <w:r w:rsidR="00361F4D" w:rsidRPr="006D3F35">
        <w:t xml:space="preserve"> </w:t>
      </w:r>
      <w:r w:rsidR="007233B0">
        <w:t>which we</w:t>
      </w:r>
      <w:r w:rsidR="00A77994">
        <w:t>re</w:t>
      </w:r>
      <w:r w:rsidR="007233B0">
        <w:t xml:space="preserve"> hand-collect</w:t>
      </w:r>
      <w:r w:rsidR="00A77994">
        <w:t>ed</w:t>
      </w:r>
      <w:r w:rsidR="007233B0">
        <w:t xml:space="preserve"> </w:t>
      </w:r>
      <w:r w:rsidR="00DD7E97">
        <w:t>from</w:t>
      </w:r>
      <w:r w:rsidR="00361F4D" w:rsidRPr="006D3F35">
        <w:t xml:space="preserve"> EDGAR</w:t>
      </w:r>
      <w:r w:rsidR="007228F0">
        <w:t>.</w:t>
      </w:r>
      <w:r w:rsidR="00361F4D">
        <w:t xml:space="preserve"> </w:t>
      </w:r>
      <w:r w:rsidR="007228F0">
        <w:t>Specifically, we develop and</w:t>
      </w:r>
      <w:r w:rsidR="00361F4D">
        <w:t xml:space="preserve"> appl</w:t>
      </w:r>
      <w:r w:rsidR="007228F0">
        <w:t xml:space="preserve">y </w:t>
      </w:r>
      <w:r w:rsidR="00361F4D">
        <w:t>a</w:t>
      </w:r>
      <w:r w:rsidR="00552232" w:rsidRPr="006D3F35">
        <w:t xml:space="preserve"> self-constructed coding scheme to them</w:t>
      </w:r>
      <w:r w:rsidR="004B746E">
        <w:t xml:space="preserve">atically classify the contents of </w:t>
      </w:r>
      <w:r w:rsidR="00903212">
        <w:t>each</w:t>
      </w:r>
      <w:r w:rsidR="00552232" w:rsidRPr="006D3F35">
        <w:t xml:space="preserve"> comment letter</w:t>
      </w:r>
      <w:r w:rsidR="00552232">
        <w:t xml:space="preserve">, </w:t>
      </w:r>
      <w:r w:rsidR="00C42C05">
        <w:t xml:space="preserve">and </w:t>
      </w:r>
      <w:r w:rsidR="00FF50AD">
        <w:t xml:space="preserve">we </w:t>
      </w:r>
      <w:r w:rsidR="00C42C05">
        <w:t xml:space="preserve">demonstrate </w:t>
      </w:r>
      <w:r w:rsidRPr="006D3F35">
        <w:t>the effective use of the Naïve Bayes algorithm to code</w:t>
      </w:r>
      <w:r w:rsidRPr="006D3F35">
        <w:rPr>
          <w:rFonts w:eastAsia="Times New Roman"/>
        </w:rPr>
        <w:t xml:space="preserve"> </w:t>
      </w:r>
      <w:r w:rsidR="00CE6C1F">
        <w:rPr>
          <w:rFonts w:eastAsia="Times New Roman"/>
        </w:rPr>
        <w:t xml:space="preserve">SEC </w:t>
      </w:r>
      <w:r w:rsidRPr="006D3F35">
        <w:rPr>
          <w:rFonts w:eastAsia="Times New Roman"/>
        </w:rPr>
        <w:t xml:space="preserve">comment letters </w:t>
      </w:r>
      <w:r w:rsidR="006369FD">
        <w:rPr>
          <w:rFonts w:eastAsia="Times New Roman"/>
        </w:rPr>
        <w:t xml:space="preserve">in this context </w:t>
      </w:r>
      <w:r w:rsidR="005D205B">
        <w:rPr>
          <w:rFonts w:eastAsia="Times New Roman"/>
        </w:rPr>
        <w:t>following</w:t>
      </w:r>
      <w:r w:rsidR="00CC75AB">
        <w:rPr>
          <w:rFonts w:eastAsia="Times New Roman"/>
        </w:rPr>
        <w:t xml:space="preserve"> our coding scheme</w:t>
      </w:r>
      <w:r w:rsidRPr="006D3F35">
        <w:rPr>
          <w:rFonts w:eastAsia="Times New Roman"/>
        </w:rPr>
        <w:t xml:space="preserve">. </w:t>
      </w:r>
      <w:r w:rsidR="00552232">
        <w:rPr>
          <w:rFonts w:eastAsia="Times New Roman"/>
        </w:rPr>
        <w:t>T</w:t>
      </w:r>
      <w:r w:rsidRPr="00BF4CF3">
        <w:rPr>
          <w:rFonts w:eastAsia="Times New Roman"/>
        </w:rPr>
        <w:t>he Naïve Bayes algorithm</w:t>
      </w:r>
      <w:r w:rsidRPr="006D3F35">
        <w:rPr>
          <w:rFonts w:eastAsia="Times New Roman"/>
        </w:rPr>
        <w:t>ic coding technique has advantages</w:t>
      </w:r>
      <w:r w:rsidR="00B64B4E">
        <w:rPr>
          <w:rFonts w:eastAsia="Times New Roman"/>
        </w:rPr>
        <w:t>, particularly</w:t>
      </w:r>
      <w:r w:rsidRPr="006D3F35">
        <w:rPr>
          <w:rFonts w:eastAsia="Times New Roman"/>
        </w:rPr>
        <w:t xml:space="preserve"> in </w:t>
      </w:r>
      <w:r w:rsidR="006D571E">
        <w:rPr>
          <w:rFonts w:eastAsia="Times New Roman"/>
        </w:rPr>
        <w:t xml:space="preserve">increasing the efficiency and </w:t>
      </w:r>
      <w:r w:rsidR="00E94610">
        <w:rPr>
          <w:rFonts w:eastAsia="Times New Roman"/>
        </w:rPr>
        <w:t>consistency</w:t>
      </w:r>
      <w:r w:rsidR="006D571E">
        <w:rPr>
          <w:rFonts w:eastAsia="Times New Roman"/>
        </w:rPr>
        <w:t xml:space="preserve"> of the coding</w:t>
      </w:r>
      <w:r w:rsidRPr="006D3F35">
        <w:rPr>
          <w:rFonts w:eastAsia="Times New Roman"/>
        </w:rPr>
        <w:t xml:space="preserve"> </w:t>
      </w:r>
      <w:r w:rsidR="006D571E">
        <w:rPr>
          <w:rFonts w:eastAsia="Times New Roman"/>
        </w:rPr>
        <w:t xml:space="preserve">compared with </w:t>
      </w:r>
      <w:r w:rsidR="00880010">
        <w:rPr>
          <w:rFonts w:eastAsia="Times New Roman"/>
        </w:rPr>
        <w:t xml:space="preserve">sole </w:t>
      </w:r>
      <w:r w:rsidR="00B23C52">
        <w:rPr>
          <w:rFonts w:eastAsia="Times New Roman"/>
        </w:rPr>
        <w:t>reliance</w:t>
      </w:r>
      <w:r w:rsidR="006D571E">
        <w:rPr>
          <w:rFonts w:eastAsia="Times New Roman"/>
        </w:rPr>
        <w:t xml:space="preserve"> on manual </w:t>
      </w:r>
      <w:r w:rsidR="002E7CDC">
        <w:rPr>
          <w:rFonts w:eastAsia="Times New Roman"/>
        </w:rPr>
        <w:t>classification</w:t>
      </w:r>
      <w:r w:rsidRPr="006D3F35">
        <w:rPr>
          <w:rFonts w:eastAsia="Times New Roman"/>
        </w:rPr>
        <w:t xml:space="preserve"> </w:t>
      </w:r>
      <w:r w:rsidRPr="006D3F35">
        <w:fldChar w:fldCharType="begin" w:fldLock="1"/>
      </w:r>
      <w:r w:rsidRPr="006D3F35">
        <w:instrText>ADDIN CSL_CITATION {"citationItems":[{"id":"ITEM-1","itemData":{"author":[{"dropping-particle":"","family":"Core","given":"J.E.","non-dropping-particle":"","parse-names":false,"suffix":""}],"container-title":"Journal of Accounting and Economics","id":"ITEM-1","issued":{"date-parts":[["2001"]]},"page":"441-456","title":"A review of the empirical disclosure literature discussion","type":"article-journal","volume":"31"},"uris":["http://www.mendeley.com/documents/?uuid=b315cf7f-9d1e-42b4-b514-be256a19f250"]}],"mendeley":{"formattedCitation":"(Core, 2001)","plainTextFormattedCitation":"(Core, 2001)","previouslyFormattedCitation":"(Core, 2001)"},"properties":{"noteIndex":0},"schema":"https://github.com/citation-style-language/schema/raw/master/csl-citation.json"}</w:instrText>
      </w:r>
      <w:r w:rsidRPr="006D3F35">
        <w:fldChar w:fldCharType="separate"/>
      </w:r>
      <w:r w:rsidRPr="006D3F35">
        <w:rPr>
          <w:noProof/>
        </w:rPr>
        <w:t>(Core, 2001)</w:t>
      </w:r>
      <w:r w:rsidRPr="006D3F35">
        <w:fldChar w:fldCharType="end"/>
      </w:r>
      <w:r w:rsidRPr="00BF4CF3">
        <w:t>.</w:t>
      </w:r>
      <w:r w:rsidRPr="006D3F35">
        <w:rPr>
          <w:rStyle w:val="FootnoteReference"/>
        </w:rPr>
        <w:t xml:space="preserve"> </w:t>
      </w:r>
      <w:r w:rsidR="00C5537A">
        <w:t>In terms of reliability, t</w:t>
      </w:r>
      <w:r w:rsidRPr="006D3F35">
        <w:t xml:space="preserve">he Naïve Bayes algorithm also has advantages over </w:t>
      </w:r>
      <w:r w:rsidR="00DF7C4C">
        <w:t xml:space="preserve">other </w:t>
      </w:r>
      <w:r w:rsidR="008B3C57">
        <w:t xml:space="preserve">computerised text analysis </w:t>
      </w:r>
      <w:r w:rsidRPr="006D3F35">
        <w:t>techniques</w:t>
      </w:r>
      <w:r w:rsidR="00DF7C4C">
        <w:t xml:space="preserve"> </w:t>
      </w:r>
      <w:r w:rsidR="00C5537A">
        <w:t>(e.g., Latent Dirichlet Allocation)</w:t>
      </w:r>
      <w:r w:rsidRPr="006D3F35">
        <w:t xml:space="preserve"> </w:t>
      </w:r>
      <w:r w:rsidR="00A77994">
        <w:t xml:space="preserve">because </w:t>
      </w:r>
      <w:r w:rsidR="003A4D94">
        <w:t>the</w:t>
      </w:r>
      <w:r w:rsidRPr="006D3F35">
        <w:t xml:space="preserve"> Naïve Bayes algorithm </w:t>
      </w:r>
      <w:r w:rsidR="00B833BC">
        <w:t>relies on a</w:t>
      </w:r>
      <w:r w:rsidRPr="006D3F35">
        <w:t xml:space="preserve"> combination of human and computer </w:t>
      </w:r>
      <w:r w:rsidR="00EF4C3D">
        <w:t>processing</w:t>
      </w:r>
      <w:r w:rsidRPr="006D3F35">
        <w:t>.</w:t>
      </w:r>
      <w:r w:rsidR="00DF7C4C" w:rsidRPr="00BF4CF3" w:rsidDel="00DF7C4C">
        <w:rPr>
          <w:rStyle w:val="FootnoteReference"/>
        </w:rPr>
        <w:t xml:space="preserve"> </w:t>
      </w:r>
    </w:p>
    <w:p w14:paraId="684D1276" w14:textId="66C32070" w:rsidR="008204BE" w:rsidRPr="009C10CE" w:rsidRDefault="008204BE" w:rsidP="005B0E9E">
      <w:pPr>
        <w:spacing w:before="240" w:after="240" w:line="480" w:lineRule="auto"/>
        <w:jc w:val="both"/>
        <w:rPr>
          <w:sz w:val="20"/>
          <w:szCs w:val="20"/>
        </w:rPr>
      </w:pPr>
      <w:r w:rsidRPr="004912BC">
        <w:rPr>
          <w:rFonts w:eastAsia="Times New Roman"/>
        </w:rPr>
        <w:lastRenderedPageBreak/>
        <w:t xml:space="preserve">The remainder of the paper is structured as follows. Section 2 </w:t>
      </w:r>
      <w:r w:rsidR="007864E8" w:rsidRPr="004912BC">
        <w:rPr>
          <w:rFonts w:eastAsia="Times New Roman"/>
        </w:rPr>
        <w:t>discusses</w:t>
      </w:r>
      <w:r w:rsidRPr="004912BC">
        <w:rPr>
          <w:rFonts w:eastAsia="Times New Roman"/>
        </w:rPr>
        <w:t xml:space="preserve"> </w:t>
      </w:r>
      <w:r w:rsidR="007A4E45">
        <w:rPr>
          <w:rFonts w:eastAsia="Times New Roman"/>
        </w:rPr>
        <w:t xml:space="preserve">the </w:t>
      </w:r>
      <w:r w:rsidRPr="004912BC">
        <w:rPr>
          <w:rFonts w:eastAsia="Times New Roman"/>
        </w:rPr>
        <w:t>institutional background</w:t>
      </w:r>
      <w:r w:rsidR="007864E8" w:rsidRPr="004912BC">
        <w:rPr>
          <w:rFonts w:eastAsia="Times New Roman"/>
        </w:rPr>
        <w:t xml:space="preserve"> and the develop</w:t>
      </w:r>
      <w:r w:rsidR="00D11611">
        <w:rPr>
          <w:rFonts w:eastAsia="Times New Roman"/>
        </w:rPr>
        <w:t>s the</w:t>
      </w:r>
      <w:r w:rsidR="007864E8" w:rsidRPr="004912BC">
        <w:rPr>
          <w:rFonts w:eastAsia="Times New Roman"/>
        </w:rPr>
        <w:t xml:space="preserve"> hypotheses</w:t>
      </w:r>
      <w:r w:rsidRPr="004912BC">
        <w:rPr>
          <w:rFonts w:eastAsia="Times New Roman"/>
        </w:rPr>
        <w:t xml:space="preserve">. Section </w:t>
      </w:r>
      <w:r w:rsidR="00D14F28" w:rsidRPr="004912BC">
        <w:rPr>
          <w:rFonts w:eastAsia="Times New Roman"/>
        </w:rPr>
        <w:t>3</w:t>
      </w:r>
      <w:r w:rsidRPr="004912BC">
        <w:rPr>
          <w:rFonts w:eastAsia="Times New Roman"/>
        </w:rPr>
        <w:t xml:space="preserve"> discusses the methodology and data. The empirical </w:t>
      </w:r>
      <w:r w:rsidR="00CC38EE" w:rsidRPr="004912BC">
        <w:rPr>
          <w:rFonts w:eastAsia="Times New Roman"/>
        </w:rPr>
        <w:t xml:space="preserve">results </w:t>
      </w:r>
      <w:r w:rsidRPr="004912BC">
        <w:rPr>
          <w:rFonts w:eastAsia="Times New Roman"/>
        </w:rPr>
        <w:t xml:space="preserve">are presented in Section </w:t>
      </w:r>
      <w:r w:rsidR="00CC38EE" w:rsidRPr="004912BC">
        <w:rPr>
          <w:rFonts w:eastAsia="Times New Roman"/>
        </w:rPr>
        <w:t>4, while</w:t>
      </w:r>
      <w:r w:rsidRPr="004912BC">
        <w:rPr>
          <w:rFonts w:eastAsia="Times New Roman"/>
        </w:rPr>
        <w:t xml:space="preserve"> Section </w:t>
      </w:r>
      <w:r w:rsidR="00CC38EE" w:rsidRPr="004912BC">
        <w:rPr>
          <w:rFonts w:eastAsia="Times New Roman"/>
        </w:rPr>
        <w:t>5</w:t>
      </w:r>
      <w:r w:rsidRPr="004912BC">
        <w:rPr>
          <w:rFonts w:eastAsia="Times New Roman"/>
        </w:rPr>
        <w:t xml:space="preserve"> concludes the </w:t>
      </w:r>
      <w:r w:rsidR="00D02649" w:rsidRPr="004912BC">
        <w:rPr>
          <w:rFonts w:eastAsia="Times New Roman"/>
        </w:rPr>
        <w:t>paper</w:t>
      </w:r>
      <w:r w:rsidRPr="004912BC">
        <w:rPr>
          <w:rFonts w:eastAsia="Times New Roman"/>
        </w:rPr>
        <w:t>.</w:t>
      </w:r>
    </w:p>
    <w:p w14:paraId="6FCA2D01" w14:textId="3B991458" w:rsidR="008204BE" w:rsidRDefault="002F4010" w:rsidP="00E30766">
      <w:pPr>
        <w:pStyle w:val="ListParagraph"/>
        <w:numPr>
          <w:ilvl w:val="0"/>
          <w:numId w:val="29"/>
        </w:numPr>
        <w:spacing w:before="240" w:after="240" w:line="480" w:lineRule="auto"/>
        <w:contextualSpacing w:val="0"/>
        <w:jc w:val="center"/>
        <w:outlineLvl w:val="0"/>
        <w:rPr>
          <w:b/>
          <w:color w:val="000000" w:themeColor="text1"/>
        </w:rPr>
      </w:pPr>
      <w:bookmarkStart w:id="2" w:name="_Toc69749276"/>
      <w:r>
        <w:rPr>
          <w:b/>
          <w:color w:val="000000" w:themeColor="text1"/>
        </w:rPr>
        <w:t>B</w:t>
      </w:r>
      <w:r w:rsidR="008204BE">
        <w:rPr>
          <w:b/>
          <w:color w:val="000000" w:themeColor="text1"/>
        </w:rPr>
        <w:t>ackground</w:t>
      </w:r>
      <w:r>
        <w:rPr>
          <w:b/>
          <w:color w:val="000000" w:themeColor="text1"/>
        </w:rPr>
        <w:t xml:space="preserve"> and hypotheses</w:t>
      </w:r>
    </w:p>
    <w:p w14:paraId="7BE30DAE" w14:textId="79F2D922" w:rsidR="008204BE" w:rsidRPr="00E859F9" w:rsidRDefault="008204BE" w:rsidP="005B0E9E">
      <w:pPr>
        <w:spacing w:before="240" w:after="240" w:line="480" w:lineRule="auto"/>
        <w:jc w:val="both"/>
      </w:pPr>
      <w:r w:rsidRPr="00E859F9">
        <w:rPr>
          <w:rFonts w:eastAsia="Times New Roman"/>
        </w:rPr>
        <w:t xml:space="preserve">The SEC review and approval process is an important </w:t>
      </w:r>
      <w:r w:rsidR="00792CE4">
        <w:rPr>
          <w:rFonts w:eastAsia="Times New Roman"/>
        </w:rPr>
        <w:t>regulatory hurdle</w:t>
      </w:r>
      <w:r w:rsidR="00792CE4" w:rsidRPr="00E859F9">
        <w:rPr>
          <w:rFonts w:eastAsia="Times New Roman"/>
        </w:rPr>
        <w:t xml:space="preserve"> </w:t>
      </w:r>
      <w:r w:rsidRPr="00E859F9">
        <w:rPr>
          <w:rFonts w:eastAsia="Times New Roman"/>
        </w:rPr>
        <w:t xml:space="preserve">that all firms going public in the U.S. must </w:t>
      </w:r>
      <w:r w:rsidR="00575E20">
        <w:rPr>
          <w:rFonts w:eastAsia="Times New Roman"/>
        </w:rPr>
        <w:t>clear</w:t>
      </w:r>
      <w:r w:rsidRPr="00E859F9">
        <w:rPr>
          <w:rFonts w:eastAsia="Times New Roman"/>
        </w:rPr>
        <w:t xml:space="preserve">. </w:t>
      </w:r>
      <w:r w:rsidR="00916D47">
        <w:rPr>
          <w:rFonts w:eastAsia="Times New Roman"/>
        </w:rPr>
        <w:t>T</w:t>
      </w:r>
      <w:r w:rsidRPr="00E859F9">
        <w:rPr>
          <w:rFonts w:eastAsia="Times New Roman"/>
        </w:rPr>
        <w:t xml:space="preserve">he SEC reviews </w:t>
      </w:r>
      <w:r w:rsidR="00E86178">
        <w:rPr>
          <w:rFonts w:eastAsia="Times New Roman"/>
        </w:rPr>
        <w:t xml:space="preserve">each </w:t>
      </w:r>
      <w:r w:rsidRPr="00E859F9">
        <w:rPr>
          <w:rFonts w:eastAsia="Times New Roman"/>
        </w:rPr>
        <w:t xml:space="preserve">IPO registration statement </w:t>
      </w:r>
      <w:r w:rsidR="00916D47">
        <w:rPr>
          <w:rFonts w:eastAsia="Times New Roman"/>
        </w:rPr>
        <w:t xml:space="preserve">(Form S-1 or equivalent) </w:t>
      </w:r>
      <w:r w:rsidRPr="00E859F9">
        <w:rPr>
          <w:rFonts w:eastAsia="Times New Roman"/>
        </w:rPr>
        <w:t xml:space="preserve">to ensure the information content is clear, adequate and appropriate, issuing comment letters </w:t>
      </w:r>
      <w:r w:rsidR="0024017C">
        <w:rPr>
          <w:rFonts w:eastAsia="Times New Roman"/>
        </w:rPr>
        <w:t xml:space="preserve">to </w:t>
      </w:r>
      <w:r w:rsidRPr="00E859F9">
        <w:rPr>
          <w:rFonts w:eastAsia="Times New Roman"/>
        </w:rPr>
        <w:t xml:space="preserve">request clarification, justification, or amendments on certain matters </w:t>
      </w:r>
      <w:proofErr w:type="gramStart"/>
      <w:r w:rsidRPr="00E859F9">
        <w:rPr>
          <w:rFonts w:eastAsia="Times New Roman"/>
        </w:rPr>
        <w:t>where</w:t>
      </w:r>
      <w:proofErr w:type="gramEnd"/>
      <w:r w:rsidRPr="00E859F9">
        <w:rPr>
          <w:rFonts w:eastAsia="Times New Roman"/>
        </w:rPr>
        <w:t xml:space="preserve"> deemed necessary. Following receipt of an SEC comment letter, filing firms issue a response and look to amend their registration statements accordingly. Only when </w:t>
      </w:r>
      <w:proofErr w:type="gramStart"/>
      <w:r w:rsidRPr="00E859F9">
        <w:rPr>
          <w:rFonts w:eastAsia="Times New Roman"/>
        </w:rPr>
        <w:t>all of</w:t>
      </w:r>
      <w:proofErr w:type="gramEnd"/>
      <w:r w:rsidRPr="00E859F9">
        <w:rPr>
          <w:rFonts w:eastAsia="Times New Roman"/>
        </w:rPr>
        <w:t xml:space="preserve"> the SEC’s concerns are addressed </w:t>
      </w:r>
      <w:r w:rsidR="00B95714">
        <w:rPr>
          <w:rFonts w:eastAsia="Times New Roman"/>
        </w:rPr>
        <w:t>can the</w:t>
      </w:r>
      <w:r w:rsidRPr="00E859F9">
        <w:rPr>
          <w:rFonts w:eastAsia="Times New Roman"/>
        </w:rPr>
        <w:t xml:space="preserve"> review </w:t>
      </w:r>
      <w:r w:rsidR="00B95714">
        <w:rPr>
          <w:rFonts w:eastAsia="Times New Roman"/>
        </w:rPr>
        <w:t xml:space="preserve">be closed </w:t>
      </w:r>
      <w:r w:rsidRPr="00E859F9">
        <w:rPr>
          <w:rFonts w:eastAsia="Times New Roman"/>
        </w:rPr>
        <w:t>and the registration statement</w:t>
      </w:r>
      <w:r w:rsidR="00B95714">
        <w:rPr>
          <w:rFonts w:eastAsia="Times New Roman"/>
        </w:rPr>
        <w:t>s</w:t>
      </w:r>
      <w:r w:rsidRPr="00E859F9">
        <w:rPr>
          <w:rFonts w:eastAsia="Times New Roman"/>
        </w:rPr>
        <w:t xml:space="preserve"> </w:t>
      </w:r>
      <w:r w:rsidR="00B95714">
        <w:rPr>
          <w:rFonts w:eastAsia="Times New Roman"/>
        </w:rPr>
        <w:t>declared</w:t>
      </w:r>
      <w:r w:rsidRPr="00E859F9">
        <w:rPr>
          <w:rFonts w:eastAsia="Times New Roman"/>
        </w:rPr>
        <w:t xml:space="preserve"> ‘effective’, </w:t>
      </w:r>
      <w:r w:rsidR="00977F7F">
        <w:rPr>
          <w:rFonts w:eastAsia="Times New Roman"/>
        </w:rPr>
        <w:t>enabling</w:t>
      </w:r>
      <w:r w:rsidR="00977F7F" w:rsidRPr="00E859F9">
        <w:rPr>
          <w:rFonts w:eastAsia="Times New Roman"/>
        </w:rPr>
        <w:t xml:space="preserve"> </w:t>
      </w:r>
      <w:r w:rsidRPr="00E859F9">
        <w:rPr>
          <w:rFonts w:eastAsia="Times New Roman"/>
        </w:rPr>
        <w:t xml:space="preserve">the issuer to complete the IPO. </w:t>
      </w:r>
      <w:r w:rsidR="001A3072">
        <w:rPr>
          <w:rFonts w:eastAsia="Times New Roman"/>
        </w:rPr>
        <w:t>Since</w:t>
      </w:r>
      <w:r w:rsidRPr="00E859F9">
        <w:rPr>
          <w:rFonts w:eastAsia="Times New Roman"/>
        </w:rPr>
        <w:t xml:space="preserve"> May 2005, </w:t>
      </w:r>
      <w:r w:rsidR="00DA2533">
        <w:rPr>
          <w:rFonts w:eastAsia="Times New Roman"/>
        </w:rPr>
        <w:t>the</w:t>
      </w:r>
      <w:r w:rsidR="00DA2533" w:rsidRPr="00E859F9">
        <w:rPr>
          <w:rFonts w:eastAsia="Times New Roman"/>
        </w:rPr>
        <w:t xml:space="preserve"> </w:t>
      </w:r>
      <w:r w:rsidRPr="00E859F9">
        <w:rPr>
          <w:rFonts w:eastAsia="Times New Roman"/>
        </w:rPr>
        <w:t>formal correspondence between the SEC and the filing firm (i.e.</w:t>
      </w:r>
      <w:r w:rsidR="00C70520">
        <w:rPr>
          <w:rFonts w:eastAsia="Times New Roman"/>
        </w:rPr>
        <w:t>,</w:t>
      </w:r>
      <w:r w:rsidRPr="00E859F9">
        <w:rPr>
          <w:rFonts w:eastAsia="Times New Roman"/>
        </w:rPr>
        <w:t xml:space="preserve"> comment and response letters) </w:t>
      </w:r>
      <w:r w:rsidR="0090042B">
        <w:rPr>
          <w:rFonts w:eastAsia="Times New Roman"/>
        </w:rPr>
        <w:t>have been</w:t>
      </w:r>
      <w:r w:rsidR="0090042B" w:rsidRPr="00E859F9">
        <w:rPr>
          <w:rFonts w:eastAsia="Times New Roman"/>
        </w:rPr>
        <w:t xml:space="preserve"> </w:t>
      </w:r>
      <w:r w:rsidRPr="00E859F9">
        <w:rPr>
          <w:rFonts w:eastAsia="Times New Roman"/>
        </w:rPr>
        <w:t>made publicly available.</w:t>
      </w:r>
      <w:bookmarkStart w:id="3" w:name="page8"/>
      <w:bookmarkEnd w:id="3"/>
    </w:p>
    <w:p w14:paraId="5090D82D" w14:textId="1A9EE580" w:rsidR="008204BE" w:rsidRPr="00E859F9" w:rsidRDefault="008204BE" w:rsidP="005B0E9E">
      <w:pPr>
        <w:spacing w:before="240" w:after="240" w:line="480" w:lineRule="auto"/>
        <w:jc w:val="both"/>
      </w:pPr>
      <w:r w:rsidRPr="00E859F9">
        <w:rPr>
          <w:rFonts w:eastAsia="Times New Roman"/>
        </w:rPr>
        <w:t xml:space="preserve">A number of extant studies examine determinants of SEC reviews of </w:t>
      </w:r>
      <w:r w:rsidR="00366247">
        <w:rPr>
          <w:rFonts w:eastAsia="Times New Roman"/>
        </w:rPr>
        <w:t>registration statements (</w:t>
      </w:r>
      <w:proofErr w:type="gramStart"/>
      <w:r w:rsidR="00366247">
        <w:rPr>
          <w:rFonts w:eastAsia="Times New Roman"/>
        </w:rPr>
        <w:t>e.g.</w:t>
      </w:r>
      <w:proofErr w:type="gramEnd"/>
      <w:r w:rsidR="00366247">
        <w:rPr>
          <w:rFonts w:eastAsia="Times New Roman"/>
        </w:rPr>
        <w:t xml:space="preserve"> S-1 filings) as well as </w:t>
      </w:r>
      <w:r w:rsidRPr="00E859F9">
        <w:rPr>
          <w:rFonts w:eastAsia="Times New Roman"/>
        </w:rPr>
        <w:t xml:space="preserve">various </w:t>
      </w:r>
      <w:r w:rsidR="00366247">
        <w:rPr>
          <w:rFonts w:eastAsia="Times New Roman"/>
        </w:rPr>
        <w:t xml:space="preserve">other </w:t>
      </w:r>
      <w:r w:rsidRPr="00E859F9">
        <w:rPr>
          <w:rFonts w:eastAsia="Times New Roman"/>
        </w:rPr>
        <w:t xml:space="preserve">disclosures types, e.g. </w:t>
      </w:r>
      <w:r w:rsidR="00366247">
        <w:rPr>
          <w:rFonts w:eastAsia="Times New Roman"/>
        </w:rPr>
        <w:t>periodic</w:t>
      </w:r>
      <w:r w:rsidR="00366247" w:rsidRPr="00E859F9">
        <w:rPr>
          <w:rFonts w:eastAsia="Times New Roman"/>
        </w:rPr>
        <w:t xml:space="preserve"> </w:t>
      </w:r>
      <w:r w:rsidRPr="00E859F9">
        <w:rPr>
          <w:rFonts w:eastAsia="Times New Roman"/>
        </w:rPr>
        <w:t xml:space="preserve">filings (e.g. 10-K, 20-F, 40-F), </w:t>
      </w:r>
      <w:r w:rsidR="00366247">
        <w:rPr>
          <w:rFonts w:eastAsia="Times New Roman"/>
        </w:rPr>
        <w:t>current reports (</w:t>
      </w:r>
      <w:r w:rsidRPr="00E859F9">
        <w:rPr>
          <w:rFonts w:eastAsia="Times New Roman"/>
        </w:rPr>
        <w:t>8-K</w:t>
      </w:r>
      <w:r w:rsidR="00366247">
        <w:rPr>
          <w:rFonts w:eastAsia="Times New Roman"/>
        </w:rPr>
        <w:t>)</w:t>
      </w:r>
      <w:r w:rsidRPr="00E859F9">
        <w:rPr>
          <w:rFonts w:eastAsia="Times New Roman"/>
        </w:rPr>
        <w:t xml:space="preserve">, </w:t>
      </w:r>
      <w:r w:rsidR="00366247">
        <w:rPr>
          <w:rFonts w:eastAsia="Times New Roman"/>
        </w:rPr>
        <w:t xml:space="preserve">and </w:t>
      </w:r>
      <w:r w:rsidRPr="00E859F9">
        <w:rPr>
          <w:rFonts w:eastAsia="Times New Roman"/>
        </w:rPr>
        <w:t>proxy statements</w:t>
      </w:r>
      <w:r w:rsidR="00366247">
        <w:rPr>
          <w:rFonts w:eastAsia="Times New Roman"/>
        </w:rPr>
        <w:t xml:space="preserve"> (DEF-14A)</w:t>
      </w:r>
      <w:r w:rsidRPr="00E859F9">
        <w:rPr>
          <w:rFonts w:eastAsia="Times New Roman"/>
        </w:rPr>
        <w:t xml:space="preserve">. SEC reviews are typically found to be more intense for firms with lower profitability, higher complexity, higher leverage, weaker corporate </w:t>
      </w:r>
      <w:proofErr w:type="gramStart"/>
      <w:r w:rsidRPr="00E859F9">
        <w:rPr>
          <w:rFonts w:eastAsia="Times New Roman"/>
        </w:rPr>
        <w:t>governance</w:t>
      </w:r>
      <w:proofErr w:type="gramEnd"/>
      <w:r w:rsidRPr="00E859F9">
        <w:rPr>
          <w:rFonts w:eastAsia="Times New Roman"/>
        </w:rPr>
        <w:t xml:space="preserve"> and internal controls</w:t>
      </w:r>
      <w:r w:rsidR="007E4422">
        <w:rPr>
          <w:rFonts w:eastAsia="Times New Roman"/>
        </w:rPr>
        <w:t>,</w:t>
      </w:r>
      <w:r w:rsidRPr="00E859F9">
        <w:rPr>
          <w:rFonts w:eastAsia="Times New Roman"/>
        </w:rPr>
        <w:t xml:space="preserve"> that are audited by </w:t>
      </w:r>
      <w:r w:rsidR="00F972AA">
        <w:rPr>
          <w:rFonts w:eastAsia="Times New Roman"/>
        </w:rPr>
        <w:t>non-</w:t>
      </w:r>
      <w:r w:rsidRPr="00E859F9">
        <w:rPr>
          <w:rFonts w:eastAsia="Times New Roman"/>
        </w:rPr>
        <w:t>Big-4</w:t>
      </w:r>
      <w:r w:rsidR="00F972AA">
        <w:rPr>
          <w:rFonts w:eastAsia="Times New Roman"/>
        </w:rPr>
        <w:t xml:space="preserve"> auditors</w:t>
      </w:r>
      <w:r w:rsidRPr="00E859F9">
        <w:rPr>
          <w:rFonts w:eastAsia="Times New Roman"/>
        </w:rPr>
        <w:t xml:space="preserve">, and are conducting M&amp;A activities (Cassell et al., 2013; </w:t>
      </w:r>
      <w:proofErr w:type="spellStart"/>
      <w:r w:rsidR="009F739E" w:rsidRPr="00E859F9">
        <w:rPr>
          <w:rFonts w:eastAsia="Times New Roman"/>
        </w:rPr>
        <w:t>Duro</w:t>
      </w:r>
      <w:proofErr w:type="spellEnd"/>
      <w:r w:rsidR="009F739E" w:rsidRPr="00E859F9">
        <w:rPr>
          <w:rFonts w:eastAsia="Times New Roman"/>
        </w:rPr>
        <w:t xml:space="preserve"> et al., 2017; </w:t>
      </w:r>
      <w:proofErr w:type="spellStart"/>
      <w:r w:rsidR="009F739E" w:rsidRPr="00E859F9">
        <w:rPr>
          <w:rFonts w:eastAsia="Times New Roman"/>
        </w:rPr>
        <w:t>Ettredge</w:t>
      </w:r>
      <w:proofErr w:type="spellEnd"/>
      <w:r w:rsidR="009F739E" w:rsidRPr="00E859F9">
        <w:rPr>
          <w:rFonts w:eastAsia="Times New Roman"/>
        </w:rPr>
        <w:t xml:space="preserve"> et al., 2011; </w:t>
      </w:r>
      <w:proofErr w:type="spellStart"/>
      <w:r w:rsidRPr="00E859F9">
        <w:rPr>
          <w:rFonts w:eastAsia="Times New Roman"/>
        </w:rPr>
        <w:t>Heese</w:t>
      </w:r>
      <w:proofErr w:type="spellEnd"/>
      <w:r w:rsidRPr="00E859F9">
        <w:rPr>
          <w:rFonts w:eastAsia="Times New Roman"/>
        </w:rPr>
        <w:t xml:space="preserve"> et al., 2017; </w:t>
      </w:r>
      <w:r w:rsidR="009F739E" w:rsidRPr="00E859F9">
        <w:rPr>
          <w:rFonts w:eastAsia="Times New Roman"/>
        </w:rPr>
        <w:t>Robinson et al., 2011</w:t>
      </w:r>
      <w:r w:rsidRPr="00E859F9">
        <w:rPr>
          <w:rFonts w:eastAsia="Times New Roman"/>
        </w:rPr>
        <w:t xml:space="preserve">). Furthermore, higher information uncertainty is also identified as a factor attracting more SEC scrutiny (Chen &amp; Johnston, 2010), the intensity of SEC oversight particularly increasing during </w:t>
      </w:r>
      <w:r w:rsidR="007A4E45">
        <w:rPr>
          <w:rFonts w:eastAsia="Times New Roman"/>
        </w:rPr>
        <w:t xml:space="preserve">the </w:t>
      </w:r>
      <w:r w:rsidRPr="00E859F9">
        <w:rPr>
          <w:rFonts w:eastAsia="Times New Roman"/>
        </w:rPr>
        <w:t>financial crisis in 2008-2009 (Blackburne, 2014</w:t>
      </w:r>
      <w:r w:rsidR="006A6956">
        <w:rPr>
          <w:rFonts w:eastAsia="Times New Roman"/>
        </w:rPr>
        <w:t xml:space="preserve">, </w:t>
      </w:r>
      <w:proofErr w:type="spellStart"/>
      <w:r w:rsidR="006A6956" w:rsidRPr="006A6956">
        <w:rPr>
          <w:rFonts w:eastAsia="Times New Roman"/>
        </w:rPr>
        <w:t>Pettinicchio</w:t>
      </w:r>
      <w:proofErr w:type="spellEnd"/>
      <w:r w:rsidR="006A6956">
        <w:rPr>
          <w:rFonts w:eastAsia="Times New Roman"/>
        </w:rPr>
        <w:t xml:space="preserve">, </w:t>
      </w:r>
      <w:r w:rsidR="006A6956">
        <w:rPr>
          <w:rFonts w:eastAsia="Times New Roman"/>
        </w:rPr>
        <w:lastRenderedPageBreak/>
        <w:t>2020</w:t>
      </w:r>
      <w:r w:rsidRPr="00E859F9">
        <w:rPr>
          <w:rFonts w:eastAsia="Times New Roman"/>
        </w:rPr>
        <w:t xml:space="preserve">). Baugh et al. (2017) also demonstrate that individual SEC reviewers with a higher job position tend to spend less time reviewing </w:t>
      </w:r>
      <w:proofErr w:type="gramStart"/>
      <w:r w:rsidRPr="00E859F9">
        <w:rPr>
          <w:rFonts w:eastAsia="Times New Roman"/>
        </w:rPr>
        <w:t>disclosures, and</w:t>
      </w:r>
      <w:proofErr w:type="gramEnd"/>
      <w:r w:rsidRPr="00E859F9">
        <w:rPr>
          <w:rFonts w:eastAsia="Times New Roman"/>
        </w:rPr>
        <w:t xml:space="preserve"> address more issues in their comment letters. They also find that reviewers who are accountants comment on more issues than non-accountants (</w:t>
      </w:r>
      <w:proofErr w:type="gramStart"/>
      <w:r w:rsidRPr="00E859F9">
        <w:rPr>
          <w:rFonts w:eastAsia="Times New Roman"/>
        </w:rPr>
        <w:t>e.g</w:t>
      </w:r>
      <w:r w:rsidR="00987831">
        <w:rPr>
          <w:rFonts w:eastAsia="Times New Roman"/>
        </w:rPr>
        <w:t>.</w:t>
      </w:r>
      <w:proofErr w:type="gramEnd"/>
      <w:r w:rsidRPr="00E859F9">
        <w:rPr>
          <w:rFonts w:eastAsia="Times New Roman"/>
        </w:rPr>
        <w:t xml:space="preserve"> general attorney</w:t>
      </w:r>
      <w:r w:rsidR="00987831">
        <w:rPr>
          <w:rFonts w:eastAsia="Times New Roman"/>
        </w:rPr>
        <w:t>s</w:t>
      </w:r>
      <w:r w:rsidRPr="00E859F9">
        <w:rPr>
          <w:rFonts w:eastAsia="Times New Roman"/>
        </w:rPr>
        <w:t>).</w:t>
      </w:r>
    </w:p>
    <w:p w14:paraId="5FC21BE0" w14:textId="7A062F89" w:rsidR="008204BE" w:rsidRDefault="008204BE" w:rsidP="005B0E9E">
      <w:pPr>
        <w:spacing w:before="240" w:after="240" w:line="480" w:lineRule="auto"/>
        <w:jc w:val="both"/>
        <w:rPr>
          <w:rFonts w:eastAsia="Times New Roman"/>
        </w:rPr>
      </w:pPr>
      <w:r w:rsidRPr="00E859F9">
        <w:rPr>
          <w:rFonts w:eastAsia="Times New Roman"/>
        </w:rPr>
        <w:t xml:space="preserve">Related to our study, </w:t>
      </w:r>
      <w:proofErr w:type="spellStart"/>
      <w:r w:rsidRPr="00E859F9">
        <w:rPr>
          <w:rFonts w:eastAsia="Times New Roman"/>
        </w:rPr>
        <w:t>Ertimur</w:t>
      </w:r>
      <w:proofErr w:type="spellEnd"/>
      <w:r w:rsidRPr="00E859F9">
        <w:rPr>
          <w:rFonts w:eastAsia="Times New Roman"/>
        </w:rPr>
        <w:t xml:space="preserve"> </w:t>
      </w:r>
      <w:r w:rsidR="00091A11">
        <w:rPr>
          <w:rFonts w:eastAsia="Times New Roman"/>
        </w:rPr>
        <w:t>and</w:t>
      </w:r>
      <w:r w:rsidRPr="00E859F9">
        <w:rPr>
          <w:rFonts w:eastAsia="Times New Roman"/>
        </w:rPr>
        <w:t xml:space="preserve"> </w:t>
      </w:r>
      <w:proofErr w:type="spellStart"/>
      <w:r w:rsidRPr="00E859F9">
        <w:rPr>
          <w:rFonts w:eastAsia="Times New Roman"/>
        </w:rPr>
        <w:t>Nondorf</w:t>
      </w:r>
      <w:proofErr w:type="spellEnd"/>
      <w:r w:rsidRPr="00E859F9">
        <w:rPr>
          <w:rFonts w:eastAsia="Times New Roman"/>
        </w:rPr>
        <w:t xml:space="preserve"> (2006) find that when reviewing registration statements prepared by IPO firms, the SEC issue fewer comments when reviewing firms having CFOs with higher managerial expertise, which implies higher reporting quality. They also observe that the SEC issues more comment letters and comments for IPO firms having outside, independent </w:t>
      </w:r>
      <w:proofErr w:type="spellStart"/>
      <w:r w:rsidRPr="00E859F9">
        <w:rPr>
          <w:rFonts w:eastAsia="Times New Roman"/>
        </w:rPr>
        <w:t>blockholders</w:t>
      </w:r>
      <w:proofErr w:type="spellEnd"/>
      <w:r w:rsidRPr="00E859F9">
        <w:rPr>
          <w:rFonts w:eastAsia="Times New Roman"/>
        </w:rPr>
        <w:t xml:space="preserve"> and with a higher percentage of shares held by the CEO, perhaps since these firms face stronger incentives to engage in earnings management (</w:t>
      </w:r>
      <w:proofErr w:type="spellStart"/>
      <w:r w:rsidRPr="00E859F9">
        <w:rPr>
          <w:rFonts w:eastAsia="Times New Roman"/>
        </w:rPr>
        <w:t>Dechow</w:t>
      </w:r>
      <w:proofErr w:type="spellEnd"/>
      <w:r w:rsidRPr="00E859F9">
        <w:rPr>
          <w:rFonts w:eastAsia="Times New Roman"/>
        </w:rPr>
        <w:t xml:space="preserve"> et al., 1996). </w:t>
      </w:r>
      <w:proofErr w:type="spellStart"/>
      <w:r w:rsidRPr="00E859F9">
        <w:rPr>
          <w:rFonts w:eastAsia="Times New Roman"/>
        </w:rPr>
        <w:t>Colaco</w:t>
      </w:r>
      <w:proofErr w:type="spellEnd"/>
      <w:r w:rsidRPr="00E859F9">
        <w:rPr>
          <w:rFonts w:eastAsia="Times New Roman"/>
        </w:rPr>
        <w:t xml:space="preserve"> et al. (2018) provide evidence that higher levels of ex-ante information uncertainty increase the duration of the IPO process, implying a greater level of scrutiny exercised. Examining SEC oversight of earnings management through revenue manipulation, Schuldt </w:t>
      </w:r>
      <w:r w:rsidR="00091A11">
        <w:rPr>
          <w:rFonts w:eastAsia="Times New Roman"/>
        </w:rPr>
        <w:t>and</w:t>
      </w:r>
      <w:r w:rsidRPr="00E859F9">
        <w:rPr>
          <w:rFonts w:eastAsia="Times New Roman"/>
        </w:rPr>
        <w:t xml:space="preserve"> Vega (2018) observe that the SEC is likely to provide more comments on revenue recognition issues on IPO prospectuses exhibiting greater earnings management and hence, lower earnings quality.</w:t>
      </w:r>
      <w:r w:rsidR="00804E47">
        <w:rPr>
          <w:rFonts w:eastAsia="Times New Roman"/>
        </w:rPr>
        <w:t xml:space="preserve"> </w:t>
      </w:r>
      <w:proofErr w:type="spellStart"/>
      <w:r w:rsidR="004B2C1A">
        <w:rPr>
          <w:rFonts w:eastAsia="Times New Roman"/>
        </w:rPr>
        <w:t>Massel</w:t>
      </w:r>
      <w:proofErr w:type="spellEnd"/>
      <w:r w:rsidR="004B2C1A">
        <w:rPr>
          <w:rFonts w:eastAsia="Times New Roman"/>
        </w:rPr>
        <w:t xml:space="preserve"> et al. (2021) </w:t>
      </w:r>
      <w:proofErr w:type="gramStart"/>
      <w:r w:rsidR="004B2C1A">
        <w:rPr>
          <w:rFonts w:eastAsia="Times New Roman"/>
        </w:rPr>
        <w:t>observe</w:t>
      </w:r>
      <w:proofErr w:type="gramEnd"/>
      <w:r w:rsidR="004B2C1A" w:rsidRPr="004B2C1A">
        <w:rPr>
          <w:rFonts w:eastAsia="Times New Roman"/>
        </w:rPr>
        <w:t xml:space="preserve"> a link between </w:t>
      </w:r>
      <w:r w:rsidR="004B2C1A">
        <w:rPr>
          <w:rFonts w:eastAsia="Times New Roman"/>
        </w:rPr>
        <w:t xml:space="preserve">IPO firms’ </w:t>
      </w:r>
      <w:r w:rsidR="004B2C1A" w:rsidRPr="004B2C1A">
        <w:rPr>
          <w:rFonts w:eastAsia="Times New Roman"/>
        </w:rPr>
        <w:t xml:space="preserve">revenue and the number of SEC comment letters </w:t>
      </w:r>
      <w:r w:rsidR="004B2C1A">
        <w:rPr>
          <w:rFonts w:eastAsia="Times New Roman"/>
        </w:rPr>
        <w:t xml:space="preserve">issued </w:t>
      </w:r>
      <w:r w:rsidR="004B2C1A" w:rsidRPr="004B2C1A">
        <w:rPr>
          <w:rFonts w:eastAsia="Times New Roman"/>
        </w:rPr>
        <w:t xml:space="preserve">in relation to the S-1 filing, implying that the SEC </w:t>
      </w:r>
      <w:r w:rsidR="004B2C1A">
        <w:rPr>
          <w:rFonts w:eastAsia="Times New Roman"/>
        </w:rPr>
        <w:t xml:space="preserve">extensively </w:t>
      </w:r>
      <w:r w:rsidR="004B2C1A" w:rsidRPr="004B2C1A">
        <w:rPr>
          <w:rFonts w:eastAsia="Times New Roman"/>
        </w:rPr>
        <w:t xml:space="preserve">scrutinises IPO </w:t>
      </w:r>
      <w:r w:rsidR="004B2C1A">
        <w:rPr>
          <w:rFonts w:eastAsia="Times New Roman"/>
        </w:rPr>
        <w:t>firms</w:t>
      </w:r>
      <w:r w:rsidR="004B2C1A" w:rsidRPr="004B2C1A">
        <w:rPr>
          <w:rFonts w:eastAsia="Times New Roman"/>
        </w:rPr>
        <w:t xml:space="preserve">' revenue </w:t>
      </w:r>
      <w:r w:rsidR="004B2C1A">
        <w:rPr>
          <w:rFonts w:eastAsia="Times New Roman"/>
        </w:rPr>
        <w:t>reporting</w:t>
      </w:r>
      <w:r w:rsidR="004B2C1A" w:rsidRPr="004B2C1A">
        <w:rPr>
          <w:rFonts w:eastAsia="Times New Roman"/>
        </w:rPr>
        <w:t>.</w:t>
      </w:r>
    </w:p>
    <w:p w14:paraId="5A5A8BD6" w14:textId="54A962A6" w:rsidR="006738B0" w:rsidRDefault="006738B0" w:rsidP="005B0E9E">
      <w:pPr>
        <w:spacing w:before="240" w:after="240" w:line="480" w:lineRule="auto"/>
        <w:jc w:val="both"/>
        <w:rPr>
          <w:rFonts w:eastAsia="Times New Roman"/>
        </w:rPr>
      </w:pPr>
    </w:p>
    <w:p w14:paraId="013A55CC" w14:textId="77777777" w:rsidR="006738B0" w:rsidRPr="00E859F9" w:rsidRDefault="006738B0" w:rsidP="005B0E9E">
      <w:pPr>
        <w:spacing w:before="240" w:after="240" w:line="480" w:lineRule="auto"/>
        <w:jc w:val="both"/>
      </w:pPr>
    </w:p>
    <w:p w14:paraId="0A4A1374" w14:textId="1B5ED997" w:rsidR="008204BE" w:rsidRPr="009C10CE" w:rsidRDefault="00F40E0F" w:rsidP="005B0E9E">
      <w:pPr>
        <w:pStyle w:val="ListParagraph"/>
        <w:numPr>
          <w:ilvl w:val="1"/>
          <w:numId w:val="29"/>
        </w:numPr>
        <w:spacing w:before="240" w:after="240" w:line="480" w:lineRule="auto"/>
        <w:ind w:left="360"/>
        <w:contextualSpacing w:val="0"/>
        <w:jc w:val="both"/>
        <w:outlineLvl w:val="1"/>
        <w:rPr>
          <w:b/>
        </w:rPr>
      </w:pPr>
      <w:bookmarkStart w:id="4" w:name="_Toc69749277"/>
      <w:bookmarkEnd w:id="2"/>
      <w:r>
        <w:rPr>
          <w:rFonts w:eastAsia="Times New Roman"/>
          <w:b/>
          <w:bCs/>
        </w:rPr>
        <w:t>Impact of</w:t>
      </w:r>
      <w:r w:rsidR="008204BE" w:rsidRPr="009C10CE">
        <w:rPr>
          <w:rFonts w:eastAsia="Times New Roman"/>
          <w:b/>
          <w:bCs/>
        </w:rPr>
        <w:t xml:space="preserve"> the JOBS Act</w:t>
      </w:r>
      <w:bookmarkEnd w:id="4"/>
      <w:r w:rsidR="008204BE" w:rsidRPr="009C10CE">
        <w:rPr>
          <w:rFonts w:eastAsia="Times New Roman"/>
          <w:b/>
          <w:bCs/>
        </w:rPr>
        <w:t xml:space="preserve"> </w:t>
      </w:r>
      <w:r>
        <w:rPr>
          <w:rFonts w:eastAsia="Times New Roman"/>
          <w:b/>
          <w:bCs/>
        </w:rPr>
        <w:t>on SEC reviews</w:t>
      </w:r>
    </w:p>
    <w:p w14:paraId="41A2BB4F" w14:textId="43E3879F" w:rsidR="00E16594" w:rsidRDefault="00AC2184" w:rsidP="005B0E9E">
      <w:pPr>
        <w:spacing w:before="240" w:after="240" w:line="480" w:lineRule="auto"/>
        <w:jc w:val="both"/>
        <w:rPr>
          <w:rFonts w:eastAsia="Times New Roman"/>
        </w:rPr>
      </w:pPr>
      <w:r w:rsidRPr="00E859F9">
        <w:rPr>
          <w:rFonts w:eastAsia="Times New Roman"/>
        </w:rPr>
        <w:lastRenderedPageBreak/>
        <w:t>On 5</w:t>
      </w:r>
      <w:r w:rsidRPr="00E859F9">
        <w:rPr>
          <w:rFonts w:eastAsia="Times New Roman"/>
          <w:vertAlign w:val="superscript"/>
        </w:rPr>
        <w:t>th</w:t>
      </w:r>
      <w:r w:rsidRPr="00E859F9">
        <w:rPr>
          <w:rFonts w:eastAsia="Times New Roman"/>
        </w:rPr>
        <w:t xml:space="preserve"> April 2012, the Jumpstart Our Business </w:t>
      </w:r>
      <w:proofErr w:type="spellStart"/>
      <w:r w:rsidRPr="00E859F9">
        <w:rPr>
          <w:rFonts w:eastAsia="Times New Roman"/>
        </w:rPr>
        <w:t>Startups</w:t>
      </w:r>
      <w:proofErr w:type="spellEnd"/>
      <w:r w:rsidRPr="00E859F9">
        <w:rPr>
          <w:rFonts w:eastAsia="Times New Roman"/>
        </w:rPr>
        <w:t xml:space="preserve"> (JOBS) Act was signed into law, among other things, </w:t>
      </w:r>
      <w:r w:rsidR="009B0C48">
        <w:rPr>
          <w:rFonts w:eastAsia="Times New Roman"/>
        </w:rPr>
        <w:t>requesting</w:t>
      </w:r>
      <w:r w:rsidR="009B0C48" w:rsidRPr="00E859F9">
        <w:rPr>
          <w:rFonts w:eastAsia="Times New Roman"/>
        </w:rPr>
        <w:t xml:space="preserve"> </w:t>
      </w:r>
      <w:r w:rsidRPr="00E859F9">
        <w:rPr>
          <w:rFonts w:eastAsia="Times New Roman"/>
        </w:rPr>
        <w:t>the SEC to establish rules on research, capital formation, disclosure, and registration requirements. The primary motivation for the Act was to encourage more companies to conduct IPOs by easing the associated costs</w:t>
      </w:r>
      <w:r w:rsidR="008C26A2">
        <w:rPr>
          <w:rFonts w:eastAsia="Times New Roman"/>
        </w:rPr>
        <w:t>,</w:t>
      </w:r>
      <w:r w:rsidRPr="00E859F9">
        <w:rPr>
          <w:rFonts w:eastAsia="Times New Roman"/>
        </w:rPr>
        <w:t xml:space="preserve"> and disclosure and compliance requirements (Forbes, 2013; Gao et al., 2013). The preceding decade saw increased regulation, e.g.</w:t>
      </w:r>
      <w:r w:rsidR="006A3278">
        <w:rPr>
          <w:rFonts w:eastAsia="Times New Roman"/>
        </w:rPr>
        <w:t>,</w:t>
      </w:r>
      <w:r w:rsidRPr="00E859F9">
        <w:rPr>
          <w:rFonts w:eastAsia="Times New Roman"/>
        </w:rPr>
        <w:t xml:space="preserve"> via the Sarbanes-Oxley Act, arguably imposing prohibitive compliance costs on firms</w:t>
      </w:r>
      <w:bookmarkStart w:id="5" w:name="page9"/>
      <w:bookmarkEnd w:id="5"/>
      <w:r>
        <w:t xml:space="preserve"> </w:t>
      </w:r>
      <w:r w:rsidRPr="00E859F9">
        <w:rPr>
          <w:rFonts w:eastAsia="Times New Roman"/>
        </w:rPr>
        <w:t>pursuing IPOs, in terms of time and money (Keating, 2012), dampening the volume of IPOs. Moreover, the global financial crisis of 2008</w:t>
      </w:r>
      <w:r w:rsidR="00BF0E82">
        <w:rPr>
          <w:rFonts w:eastAsia="Times New Roman"/>
        </w:rPr>
        <w:t>-</w:t>
      </w:r>
      <w:r w:rsidRPr="00E859F9">
        <w:rPr>
          <w:rFonts w:eastAsia="Times New Roman"/>
        </w:rPr>
        <w:t>09 drove a deep decline in IPO activity, which</w:t>
      </w:r>
      <w:r w:rsidR="003874E2">
        <w:rPr>
          <w:rFonts w:eastAsia="Times New Roman"/>
        </w:rPr>
        <w:t>,</w:t>
      </w:r>
      <w:r w:rsidRPr="00E859F9">
        <w:rPr>
          <w:rFonts w:eastAsia="Times New Roman"/>
        </w:rPr>
        <w:t xml:space="preserve"> through the JOBS Act</w:t>
      </w:r>
      <w:r w:rsidR="003874E2">
        <w:rPr>
          <w:rFonts w:eastAsia="Times New Roman"/>
        </w:rPr>
        <w:t>,</w:t>
      </w:r>
      <w:r w:rsidRPr="00E859F9">
        <w:rPr>
          <w:rFonts w:eastAsia="Times New Roman"/>
        </w:rPr>
        <w:t xml:space="preserve"> the U.S. government sought to reverse. The JOBS Act particularly focused on encouraging IPOs by Emerging Growth Companies (EGCs), firms with total annual gross revenues less than $1 billion in the most recent fiscal year.</w:t>
      </w:r>
      <w:r w:rsidR="005A0AC8">
        <w:rPr>
          <w:rFonts w:eastAsia="Times New Roman"/>
        </w:rPr>
        <w:t xml:space="preserve"> </w:t>
      </w:r>
    </w:p>
    <w:p w14:paraId="56D90DD9" w14:textId="5CA09B95" w:rsidR="008204BE" w:rsidRPr="00E16594" w:rsidRDefault="005A0AC8" w:rsidP="005B0E9E">
      <w:pPr>
        <w:spacing w:before="240" w:after="240" w:line="480" w:lineRule="auto"/>
        <w:jc w:val="both"/>
      </w:pPr>
      <w:r>
        <w:rPr>
          <w:rFonts w:eastAsia="Times New Roman"/>
        </w:rPr>
        <w:t>However, few studies have evaluated the impact of the JOBS Act on SEC reviews</w:t>
      </w:r>
      <w:r w:rsidR="00E16594">
        <w:rPr>
          <w:rFonts w:eastAsia="Times New Roman"/>
        </w:rPr>
        <w:t xml:space="preserve">; moreover, there is tension in terms </w:t>
      </w:r>
      <w:r w:rsidR="00B33348">
        <w:rPr>
          <w:rFonts w:eastAsia="Times New Roman"/>
        </w:rPr>
        <w:t xml:space="preserve">of </w:t>
      </w:r>
      <w:r w:rsidR="00E16594">
        <w:rPr>
          <w:rFonts w:eastAsia="Times New Roman"/>
        </w:rPr>
        <w:t xml:space="preserve">the likely extent of this impact. On the one hand, </w:t>
      </w:r>
      <w:r w:rsidR="008204BE" w:rsidRPr="00020480">
        <w:rPr>
          <w:rFonts w:eastAsia="Times New Roman"/>
          <w:lang w:val="en-US"/>
        </w:rPr>
        <w:t>iron triangle theory</w:t>
      </w:r>
      <w:r w:rsidR="008204BE">
        <w:rPr>
          <w:rFonts w:eastAsia="Times New Roman"/>
          <w:lang w:val="en-US"/>
        </w:rPr>
        <w:t xml:space="preserve"> (</w:t>
      </w:r>
      <w:r w:rsidR="008204BE" w:rsidRPr="00B34AB8">
        <w:rPr>
          <w:rFonts w:eastAsia="Times New Roman"/>
        </w:rPr>
        <w:fldChar w:fldCharType="begin" w:fldLock="1"/>
      </w:r>
      <w:r w:rsidR="008204BE">
        <w:rPr>
          <w:rFonts w:eastAsia="Times New Roman"/>
        </w:rPr>
        <w:instrText>ADDIN CSL_CITATION {"citationItems":[{"id":"ITEM-1","itemData":{"author":[{"dropping-particle":"","family":"Adams","given":"G.","non-dropping-particle":"","parse-names":false,"suffix":""}],"id":"ITEM-1","issued":{"date-parts":[["1981"]]},"publisher":"Council on Economic Priorities","publisher-place":"New York","title":"The Iron Triangle: The Politics of Defense Contracting","type":"book"},"uris":["http://www.mendeley.com/documents/?uuid=5b4f09a6-1761-416f-9b19-2d2ec2ca3238"]}],"mendeley":{"formattedCitation":"(Adams, 1981)","manualFormatting":"Adams, 1981)","plainTextFormattedCitation":"(Adams, 1981)","previouslyFormattedCitation":"(Adams, 1981)"},"properties":{"noteIndex":0},"schema":"https://github.com/citation-style-language/schema/raw/master/csl-citation.json"}</w:instrText>
      </w:r>
      <w:r w:rsidR="008204BE" w:rsidRPr="00B34AB8">
        <w:rPr>
          <w:rFonts w:eastAsia="Times New Roman"/>
        </w:rPr>
        <w:fldChar w:fldCharType="separate"/>
      </w:r>
      <w:r w:rsidR="008204BE" w:rsidRPr="00B34AB8">
        <w:rPr>
          <w:rFonts w:eastAsia="Times New Roman"/>
          <w:noProof/>
        </w:rPr>
        <w:t>Adams</w:t>
      </w:r>
      <w:r w:rsidR="008204BE">
        <w:rPr>
          <w:rFonts w:eastAsia="Times New Roman"/>
          <w:noProof/>
        </w:rPr>
        <w:t xml:space="preserve">, </w:t>
      </w:r>
      <w:r w:rsidR="008204BE" w:rsidRPr="00B34AB8">
        <w:rPr>
          <w:rFonts w:eastAsia="Times New Roman"/>
          <w:noProof/>
        </w:rPr>
        <w:t>1981)</w:t>
      </w:r>
      <w:r w:rsidR="008204BE" w:rsidRPr="00B34AB8">
        <w:rPr>
          <w:rFonts w:eastAsia="Times New Roman"/>
        </w:rPr>
        <w:fldChar w:fldCharType="end"/>
      </w:r>
      <w:r w:rsidR="008204BE" w:rsidRPr="00020480">
        <w:rPr>
          <w:rFonts w:eastAsia="Times New Roman"/>
          <w:lang w:val="en-US"/>
        </w:rPr>
        <w:t xml:space="preserve"> and congressional dominance theory</w:t>
      </w:r>
      <w:r w:rsidR="008204BE">
        <w:rPr>
          <w:rFonts w:eastAsia="Times New Roman"/>
          <w:lang w:val="en-US"/>
        </w:rPr>
        <w:t xml:space="preserve"> </w:t>
      </w:r>
      <w:r w:rsidR="008204BE" w:rsidRPr="00B34AB8">
        <w:rPr>
          <w:rFonts w:eastAsia="Times New Roman"/>
        </w:rPr>
        <w:fldChar w:fldCharType="begin" w:fldLock="1"/>
      </w:r>
      <w:r w:rsidR="008204BE">
        <w:rPr>
          <w:rFonts w:eastAsia="Times New Roman"/>
        </w:rPr>
        <w:instrText>ADDIN CSL_CITATION {"citationItems":[{"id":"ITEM-1","itemData":{"author":[{"dropping-particle":"","family":"Weingast","given":"B.","non-dropping-particle":"","parse-names":false,"suffix":""},{"dropping-particle":"","family":"Moran","given":"M.","non-dropping-particle":"","parse-names":false,"suffix":""}],"container-title":"Journal of Political Economy","id":"ITEM-1","issued":{"date-parts":[["1983"]]},"page":"765-800","title":"Bureaucratic Discretion or Congressional Control? Regulatory Policymaking by the Federal Trade Commission","type":"article-journal","volume":"91"},"uris":["http://www.mendeley.com/documents/?uuid=2d7ea2cc-0cc4-429d-84a6-ea271ecfb059"]}],"mendeley":{"formattedCitation":"(Weingast &amp; Moran, 1983)","manualFormatting":"(Weingast &amp; Moran, 1983)","plainTextFormattedCitation":"(Weingast &amp; Moran, 1983)","previouslyFormattedCitation":"(Weingast &amp; Moran, 1983)"},"properties":{"noteIndex":0},"schema":"https://github.com/citation-style-language/schema/raw/master/csl-citation.json"}</w:instrText>
      </w:r>
      <w:r w:rsidR="008204BE" w:rsidRPr="00B34AB8">
        <w:rPr>
          <w:rFonts w:eastAsia="Times New Roman"/>
        </w:rPr>
        <w:fldChar w:fldCharType="separate"/>
      </w:r>
      <w:r w:rsidR="008204BE" w:rsidRPr="00B34AB8">
        <w:rPr>
          <w:rFonts w:eastAsia="Times New Roman"/>
          <w:noProof/>
        </w:rPr>
        <w:t>(Weingast &amp; Moran, 1983)</w:t>
      </w:r>
      <w:r w:rsidR="008204BE" w:rsidRPr="00B34AB8">
        <w:rPr>
          <w:rFonts w:eastAsia="Times New Roman"/>
        </w:rPr>
        <w:fldChar w:fldCharType="end"/>
      </w:r>
      <w:r w:rsidR="008204BE" w:rsidRPr="00020480">
        <w:rPr>
          <w:rFonts w:eastAsia="Times New Roman"/>
          <w:lang w:val="en-US"/>
        </w:rPr>
        <w:t xml:space="preserve"> </w:t>
      </w:r>
      <w:r w:rsidR="00891642">
        <w:rPr>
          <w:rFonts w:eastAsia="Times New Roman"/>
          <w:lang w:val="en-US"/>
        </w:rPr>
        <w:t>suggest</w:t>
      </w:r>
      <w:r w:rsidR="008204BE" w:rsidRPr="00020480">
        <w:rPr>
          <w:rFonts w:eastAsia="Times New Roman"/>
          <w:lang w:val="en-US"/>
        </w:rPr>
        <w:t xml:space="preserve"> that </w:t>
      </w:r>
      <w:r w:rsidR="00891642">
        <w:rPr>
          <w:rFonts w:eastAsia="Times New Roman"/>
          <w:lang w:val="en-US"/>
        </w:rPr>
        <w:t>a</w:t>
      </w:r>
      <w:r w:rsidR="008204BE" w:rsidRPr="00020480">
        <w:rPr>
          <w:rFonts w:eastAsia="Times New Roman"/>
          <w:lang w:val="en-US"/>
        </w:rPr>
        <w:t xml:space="preserve"> bureaucracy (</w:t>
      </w:r>
      <w:r w:rsidR="00F53C96">
        <w:rPr>
          <w:rFonts w:eastAsia="Times New Roman"/>
          <w:lang w:val="en-US"/>
        </w:rPr>
        <w:t xml:space="preserve">in this case, </w:t>
      </w:r>
      <w:r w:rsidR="008204BE" w:rsidRPr="00020480">
        <w:rPr>
          <w:rFonts w:eastAsia="Times New Roman"/>
          <w:lang w:val="en-US"/>
        </w:rPr>
        <w:t>the SEC) will strictly carry out regulations authori</w:t>
      </w:r>
      <w:r w:rsidR="00573DD5">
        <w:rPr>
          <w:rFonts w:eastAsia="Times New Roman"/>
          <w:lang w:val="en-US"/>
        </w:rPr>
        <w:t>z</w:t>
      </w:r>
      <w:r w:rsidR="008204BE" w:rsidRPr="00020480">
        <w:rPr>
          <w:rFonts w:eastAsia="Times New Roman"/>
          <w:lang w:val="en-US"/>
        </w:rPr>
        <w:t>ed by Congress</w:t>
      </w:r>
      <w:r w:rsidR="007F0949">
        <w:rPr>
          <w:rFonts w:eastAsia="Times New Roman"/>
          <w:lang w:val="en-US"/>
        </w:rPr>
        <w:t>,</w:t>
      </w:r>
      <w:r w:rsidR="008204BE" w:rsidRPr="00020480">
        <w:rPr>
          <w:rFonts w:eastAsia="Times New Roman"/>
          <w:lang w:val="en-US"/>
        </w:rPr>
        <w:t xml:space="preserve"> as Congress </w:t>
      </w:r>
      <w:r w:rsidR="007F0949">
        <w:rPr>
          <w:rFonts w:eastAsia="Times New Roman"/>
          <w:lang w:val="en-US"/>
        </w:rPr>
        <w:t xml:space="preserve">maintain </w:t>
      </w:r>
      <w:r w:rsidR="008204BE" w:rsidRPr="00020480">
        <w:rPr>
          <w:rFonts w:eastAsia="Times New Roman"/>
          <w:lang w:val="en-US"/>
        </w:rPr>
        <w:t xml:space="preserve">control </w:t>
      </w:r>
      <w:r w:rsidR="005A04FC">
        <w:rPr>
          <w:rFonts w:eastAsia="Times New Roman"/>
          <w:lang w:val="en-US"/>
        </w:rPr>
        <w:t xml:space="preserve">over </w:t>
      </w:r>
      <w:r w:rsidR="008204BE" w:rsidRPr="00020480">
        <w:rPr>
          <w:rFonts w:eastAsia="Times New Roman"/>
          <w:lang w:val="en-US"/>
        </w:rPr>
        <w:t>the</w:t>
      </w:r>
      <w:r w:rsidR="00A061CA">
        <w:rPr>
          <w:rFonts w:eastAsia="Times New Roman"/>
          <w:lang w:val="en-US"/>
        </w:rPr>
        <w:t>ir</w:t>
      </w:r>
      <w:r w:rsidR="008204BE" w:rsidRPr="00020480">
        <w:rPr>
          <w:rFonts w:eastAsia="Times New Roman"/>
          <w:lang w:val="en-US"/>
        </w:rPr>
        <w:t xml:space="preserve"> budgetary allocation.</w:t>
      </w:r>
      <w:r w:rsidR="008204BE">
        <w:rPr>
          <w:rFonts w:eastAsia="Times New Roman"/>
          <w:lang w:val="en-US"/>
        </w:rPr>
        <w:t xml:space="preserve"> </w:t>
      </w:r>
      <w:proofErr w:type="spellStart"/>
      <w:r w:rsidR="008204BE" w:rsidRPr="009C10CE">
        <w:rPr>
          <w:rFonts w:eastAsia="Times New Roman"/>
        </w:rPr>
        <w:t>Dambra</w:t>
      </w:r>
      <w:proofErr w:type="spellEnd"/>
      <w:r w:rsidR="008204BE" w:rsidRPr="009C10CE">
        <w:rPr>
          <w:rFonts w:eastAsia="Times New Roman"/>
        </w:rPr>
        <w:t xml:space="preserve"> et al. (2015) observe an increase in IPO volume in the period immediately following </w:t>
      </w:r>
      <w:r w:rsidR="005A5B7C">
        <w:rPr>
          <w:rFonts w:eastAsia="Times New Roman"/>
        </w:rPr>
        <w:t xml:space="preserve">the </w:t>
      </w:r>
      <w:r w:rsidR="008204BE" w:rsidRPr="009C10CE">
        <w:rPr>
          <w:rFonts w:eastAsia="Times New Roman"/>
        </w:rPr>
        <w:t>enactment</w:t>
      </w:r>
      <w:r w:rsidR="005A5B7C">
        <w:rPr>
          <w:rFonts w:eastAsia="Times New Roman"/>
        </w:rPr>
        <w:t xml:space="preserve"> of JOBS</w:t>
      </w:r>
      <w:r w:rsidR="008204BE" w:rsidRPr="009C10CE">
        <w:rPr>
          <w:rFonts w:eastAsia="Times New Roman"/>
        </w:rPr>
        <w:t xml:space="preserve">, suggesting </w:t>
      </w:r>
      <w:r w:rsidR="001D7BBF">
        <w:rPr>
          <w:rFonts w:eastAsia="Times New Roman"/>
        </w:rPr>
        <w:t xml:space="preserve">successful </w:t>
      </w:r>
      <w:r w:rsidR="008204BE" w:rsidRPr="009C10CE">
        <w:rPr>
          <w:rFonts w:eastAsia="Times New Roman"/>
        </w:rPr>
        <w:t>revitaliz</w:t>
      </w:r>
      <w:r w:rsidR="009F4B84">
        <w:rPr>
          <w:rFonts w:eastAsia="Times New Roman"/>
        </w:rPr>
        <w:t>ation</w:t>
      </w:r>
      <w:r w:rsidR="008204BE" w:rsidRPr="009C10CE">
        <w:rPr>
          <w:rFonts w:eastAsia="Times New Roman"/>
        </w:rPr>
        <w:t xml:space="preserve"> </w:t>
      </w:r>
      <w:r w:rsidR="009F4B84">
        <w:rPr>
          <w:rFonts w:eastAsia="Times New Roman"/>
        </w:rPr>
        <w:t xml:space="preserve">of </w:t>
      </w:r>
      <w:r w:rsidR="008204BE" w:rsidRPr="009C10CE">
        <w:rPr>
          <w:rFonts w:eastAsia="Times New Roman"/>
        </w:rPr>
        <w:t xml:space="preserve">IPO activity </w:t>
      </w:r>
      <w:r w:rsidR="00E55022">
        <w:rPr>
          <w:rFonts w:eastAsia="Times New Roman"/>
        </w:rPr>
        <w:t>due to</w:t>
      </w:r>
      <w:r w:rsidR="008204BE" w:rsidRPr="009C10CE">
        <w:rPr>
          <w:rFonts w:eastAsia="Times New Roman"/>
        </w:rPr>
        <w:t xml:space="preserve"> relaxation of IPO registration requirements. </w:t>
      </w:r>
      <w:r w:rsidR="008204BE" w:rsidRPr="00C866E0">
        <w:rPr>
          <w:rFonts w:eastAsia="Times New Roman"/>
        </w:rPr>
        <w:t xml:space="preserve">They also document that </w:t>
      </w:r>
      <w:r w:rsidR="001B259B" w:rsidRPr="00C866E0">
        <w:rPr>
          <w:rFonts w:eastAsia="Times New Roman"/>
        </w:rPr>
        <w:t xml:space="preserve">average IPO duration reduces in the early post-JOBS period, implying lower </w:t>
      </w:r>
      <w:r w:rsidR="00A03B6A" w:rsidRPr="00C866E0">
        <w:rPr>
          <w:rFonts w:eastAsia="Times New Roman"/>
        </w:rPr>
        <w:t xml:space="preserve">SEC </w:t>
      </w:r>
      <w:r w:rsidR="001B259B" w:rsidRPr="00C866E0">
        <w:rPr>
          <w:rFonts w:eastAsia="Times New Roman"/>
        </w:rPr>
        <w:t>scrutiny</w:t>
      </w:r>
      <w:r w:rsidR="00324677" w:rsidRPr="00C866E0">
        <w:rPr>
          <w:rFonts w:eastAsia="Times New Roman"/>
        </w:rPr>
        <w:t xml:space="preserve"> may also play a role</w:t>
      </w:r>
      <w:r w:rsidR="001B259B" w:rsidRPr="00C866E0">
        <w:rPr>
          <w:rFonts w:eastAsia="Times New Roman"/>
        </w:rPr>
        <w:t>, although they do not</w:t>
      </w:r>
      <w:r w:rsidR="001612E0" w:rsidRPr="00C866E0">
        <w:rPr>
          <w:rFonts w:eastAsia="Times New Roman"/>
        </w:rPr>
        <w:t xml:space="preserve"> examine the SEC review process directly</w:t>
      </w:r>
      <w:r w:rsidR="001B259B" w:rsidRPr="00C866E0">
        <w:rPr>
          <w:rFonts w:eastAsia="Times New Roman"/>
        </w:rPr>
        <w:t xml:space="preserve">. </w:t>
      </w:r>
      <w:proofErr w:type="spellStart"/>
      <w:r w:rsidR="00517190" w:rsidRPr="0070053D">
        <w:t>Boeh</w:t>
      </w:r>
      <w:proofErr w:type="spellEnd"/>
      <w:r w:rsidR="00517190" w:rsidRPr="0070053D">
        <w:t xml:space="preserve"> </w:t>
      </w:r>
      <w:r w:rsidR="008A375F">
        <w:t xml:space="preserve">and Craig </w:t>
      </w:r>
      <w:r w:rsidR="00517190" w:rsidRPr="0070053D">
        <w:t xml:space="preserve">(2021) </w:t>
      </w:r>
      <w:r w:rsidR="00D4106A" w:rsidRPr="0070053D">
        <w:t>i</w:t>
      </w:r>
      <w:r w:rsidR="00A9433B" w:rsidRPr="0070053D">
        <w:t xml:space="preserve">dentify that </w:t>
      </w:r>
      <w:r w:rsidR="00A27B8A" w:rsidRPr="0070053D">
        <w:t>IPO withdrawal rates do not change after the JOBS Act</w:t>
      </w:r>
      <w:r w:rsidR="000E653C" w:rsidRPr="0070053D">
        <w:t xml:space="preserve">, </w:t>
      </w:r>
      <w:r w:rsidR="00974778">
        <w:t>indicating</w:t>
      </w:r>
      <w:r w:rsidR="00C866E0">
        <w:t xml:space="preserve"> th</w:t>
      </w:r>
      <w:r w:rsidR="00974778">
        <w:t>e</w:t>
      </w:r>
      <w:r w:rsidR="005312D2">
        <w:t xml:space="preserve"> greater number of IPO filings </w:t>
      </w:r>
      <w:r w:rsidR="00461515">
        <w:t>materiali</w:t>
      </w:r>
      <w:r w:rsidR="007D4E66">
        <w:t>z</w:t>
      </w:r>
      <w:r w:rsidR="00461515">
        <w:t>ed</w:t>
      </w:r>
      <w:r w:rsidR="005312D2">
        <w:t xml:space="preserve"> into more firms going public</w:t>
      </w:r>
      <w:r w:rsidR="00A03B6A">
        <w:t xml:space="preserve"> </w:t>
      </w:r>
      <w:r w:rsidR="00D4106A" w:rsidRPr="0070053D">
        <w:t>under the Act</w:t>
      </w:r>
      <w:r w:rsidR="00517190" w:rsidRPr="0070053D">
        <w:t>.</w:t>
      </w:r>
      <w:r w:rsidR="00D4106A" w:rsidRPr="0070053D">
        <w:t xml:space="preserve"> </w:t>
      </w:r>
      <w:r w:rsidR="008204BE" w:rsidRPr="009C10CE">
        <w:rPr>
          <w:rFonts w:eastAsia="Times New Roman"/>
        </w:rPr>
        <w:t>Examining SEC comment letters</w:t>
      </w:r>
      <w:r w:rsidR="00932C87">
        <w:rPr>
          <w:rFonts w:eastAsia="Times New Roman"/>
        </w:rPr>
        <w:t xml:space="preserve"> directly</w:t>
      </w:r>
      <w:r w:rsidR="008204BE" w:rsidRPr="009C10CE">
        <w:rPr>
          <w:rFonts w:eastAsia="Times New Roman"/>
        </w:rPr>
        <w:t xml:space="preserve">, Lowry et al. (2020) document a reduction in the number </w:t>
      </w:r>
      <w:r w:rsidR="008204BE" w:rsidRPr="009C10CE">
        <w:rPr>
          <w:rFonts w:eastAsia="Times New Roman"/>
        </w:rPr>
        <w:lastRenderedPageBreak/>
        <w:t xml:space="preserve">of words </w:t>
      </w:r>
      <w:r w:rsidR="00C7510C">
        <w:rPr>
          <w:rFonts w:eastAsia="Times New Roman"/>
        </w:rPr>
        <w:t>relating to</w:t>
      </w:r>
      <w:r w:rsidR="008204BE" w:rsidRPr="009C10CE">
        <w:rPr>
          <w:rFonts w:eastAsia="Times New Roman"/>
        </w:rPr>
        <w:t xml:space="preserve"> liquidity and executive compensation under the JOBS Act</w:t>
      </w:r>
      <w:r w:rsidR="00726E4F">
        <w:rPr>
          <w:rFonts w:eastAsia="Times New Roman"/>
        </w:rPr>
        <w:t>,</w:t>
      </w:r>
      <w:r w:rsidR="00353C2E">
        <w:rPr>
          <w:rFonts w:eastAsia="Times New Roman"/>
        </w:rPr>
        <w:t xml:space="preserve"> suggesti</w:t>
      </w:r>
      <w:r w:rsidR="00726E4F">
        <w:rPr>
          <w:rFonts w:eastAsia="Times New Roman"/>
        </w:rPr>
        <w:t>ng</w:t>
      </w:r>
      <w:r w:rsidR="00353C2E">
        <w:rPr>
          <w:rFonts w:eastAsia="Times New Roman"/>
        </w:rPr>
        <w:t xml:space="preserve"> reduction </w:t>
      </w:r>
      <w:r w:rsidR="00F7455C">
        <w:rPr>
          <w:rFonts w:eastAsia="Times New Roman"/>
        </w:rPr>
        <w:t>of</w:t>
      </w:r>
      <w:r w:rsidR="00353C2E">
        <w:rPr>
          <w:rFonts w:eastAsia="Times New Roman"/>
        </w:rPr>
        <w:t xml:space="preserve"> scrutiny </w:t>
      </w:r>
      <w:r w:rsidR="00F7455C">
        <w:rPr>
          <w:rFonts w:eastAsia="Times New Roman"/>
        </w:rPr>
        <w:t>in those areas</w:t>
      </w:r>
      <w:r w:rsidR="008204BE" w:rsidRPr="009C10CE">
        <w:rPr>
          <w:rFonts w:eastAsia="Times New Roman"/>
        </w:rPr>
        <w:t xml:space="preserve">. </w:t>
      </w:r>
      <w:r w:rsidR="008D6521">
        <w:rPr>
          <w:rFonts w:eastAsia="Times New Roman"/>
        </w:rPr>
        <w:t>T</w:t>
      </w:r>
      <w:r w:rsidR="008204BE" w:rsidRPr="009C10CE">
        <w:rPr>
          <w:rFonts w:eastAsia="Times New Roman"/>
        </w:rPr>
        <w:t xml:space="preserve">hey </w:t>
      </w:r>
      <w:r w:rsidR="008D6521">
        <w:rPr>
          <w:rFonts w:eastAsia="Times New Roman"/>
        </w:rPr>
        <w:t xml:space="preserve">also </w:t>
      </w:r>
      <w:r w:rsidR="008204BE" w:rsidRPr="009C10CE">
        <w:rPr>
          <w:rFonts w:eastAsia="Times New Roman"/>
        </w:rPr>
        <w:t xml:space="preserve">find that after the JOBS Act enactment, the final </w:t>
      </w:r>
      <w:r w:rsidR="001A6359">
        <w:rPr>
          <w:rFonts w:eastAsia="Times New Roman"/>
        </w:rPr>
        <w:t xml:space="preserve">approved </w:t>
      </w:r>
      <w:r w:rsidR="008204BE" w:rsidRPr="009C10CE">
        <w:rPr>
          <w:rFonts w:eastAsia="Times New Roman"/>
        </w:rPr>
        <w:t xml:space="preserve">prospectuses (424 filings) </w:t>
      </w:r>
      <w:r w:rsidR="001A6359">
        <w:rPr>
          <w:rFonts w:eastAsia="Times New Roman"/>
        </w:rPr>
        <w:t xml:space="preserve">are more </w:t>
      </w:r>
      <w:proofErr w:type="gramStart"/>
      <w:r w:rsidR="001A6359">
        <w:rPr>
          <w:rFonts w:eastAsia="Times New Roman"/>
        </w:rPr>
        <w:t>similar to</w:t>
      </w:r>
      <w:proofErr w:type="gramEnd"/>
      <w:r w:rsidR="001A6359">
        <w:rPr>
          <w:rFonts w:eastAsia="Times New Roman"/>
        </w:rPr>
        <w:t xml:space="preserve"> the initial S-1 filings </w:t>
      </w:r>
      <w:r w:rsidR="008204BE" w:rsidRPr="009C10CE">
        <w:rPr>
          <w:rFonts w:eastAsia="Times New Roman"/>
        </w:rPr>
        <w:t xml:space="preserve">in terms of the number of words, suggesting </w:t>
      </w:r>
      <w:r w:rsidR="001612E0">
        <w:rPr>
          <w:rFonts w:eastAsia="Times New Roman"/>
        </w:rPr>
        <w:t>fewer revisions</w:t>
      </w:r>
      <w:r w:rsidR="007A2C56">
        <w:rPr>
          <w:rFonts w:eastAsia="Times New Roman"/>
        </w:rPr>
        <w:t xml:space="preserve"> are</w:t>
      </w:r>
      <w:r w:rsidR="001612E0">
        <w:rPr>
          <w:rFonts w:eastAsia="Times New Roman"/>
        </w:rPr>
        <w:t xml:space="preserve"> </w:t>
      </w:r>
      <w:r w:rsidR="001B4A4F">
        <w:rPr>
          <w:rFonts w:eastAsia="Times New Roman"/>
        </w:rPr>
        <w:t>made</w:t>
      </w:r>
      <w:r w:rsidR="008204BE" w:rsidRPr="009C10CE">
        <w:rPr>
          <w:rFonts w:eastAsia="Times New Roman"/>
        </w:rPr>
        <w:t xml:space="preserve">. </w:t>
      </w:r>
    </w:p>
    <w:p w14:paraId="35037272" w14:textId="187D89DC" w:rsidR="00C54E66" w:rsidRDefault="00FD424A" w:rsidP="005B0E9E">
      <w:pPr>
        <w:spacing w:before="240" w:after="240" w:line="480" w:lineRule="auto"/>
        <w:jc w:val="both"/>
        <w:rPr>
          <w:rFonts w:eastAsia="Times New Roman"/>
          <w:color w:val="000000"/>
        </w:rPr>
      </w:pPr>
      <w:r w:rsidRPr="00F0531D">
        <w:rPr>
          <w:rFonts w:eastAsia="Times New Roman"/>
        </w:rPr>
        <w:t>Examining SEC reviews of IPO registration statements</w:t>
      </w:r>
      <w:r w:rsidR="00C54E66" w:rsidRPr="00F0531D">
        <w:rPr>
          <w:rFonts w:eastAsia="Times New Roman"/>
        </w:rPr>
        <w:t xml:space="preserve">, </w:t>
      </w:r>
      <w:r w:rsidR="005100D8" w:rsidRPr="00F0531D">
        <w:rPr>
          <w:rFonts w:eastAsia="Times New Roman"/>
        </w:rPr>
        <w:t>Agarwal et al. (2017)</w:t>
      </w:r>
      <w:r w:rsidR="0081061E" w:rsidRPr="00F0531D">
        <w:rPr>
          <w:rFonts w:eastAsia="Times New Roman"/>
        </w:rPr>
        <w:t xml:space="preserve"> observe that </w:t>
      </w:r>
      <w:r w:rsidR="00C54E66" w:rsidRPr="00F0531D">
        <w:rPr>
          <w:rFonts w:eastAsia="Times New Roman"/>
        </w:rPr>
        <w:t xml:space="preserve">SEC comment letters concentrate more on the quantitative content of IPO registration statements and </w:t>
      </w:r>
      <w:r w:rsidR="001F64A3" w:rsidRPr="00F0531D">
        <w:rPr>
          <w:rFonts w:eastAsia="Times New Roman"/>
        </w:rPr>
        <w:t xml:space="preserve">are </w:t>
      </w:r>
      <w:r w:rsidR="00C54E66" w:rsidRPr="00F0531D">
        <w:rPr>
          <w:rFonts w:eastAsia="Times New Roman"/>
        </w:rPr>
        <w:t xml:space="preserve">more negative in tone and more forceful in the recommendations they make after the enactment of the JOBS Act. It is possible, however, that this is explained by the SEC narrowing their focus on only the most pervasive disclosure issues. </w:t>
      </w:r>
      <w:proofErr w:type="spellStart"/>
      <w:r w:rsidR="00E15251" w:rsidRPr="00F0531D">
        <w:rPr>
          <w:rFonts w:eastAsia="Times New Roman"/>
        </w:rPr>
        <w:t>Kurlat</w:t>
      </w:r>
      <w:proofErr w:type="spellEnd"/>
      <w:r w:rsidR="00E15251" w:rsidRPr="00F0531D">
        <w:rPr>
          <w:rFonts w:eastAsia="Times New Roman"/>
        </w:rPr>
        <w:t xml:space="preserve"> and </w:t>
      </w:r>
      <w:proofErr w:type="spellStart"/>
      <w:r w:rsidR="00E15251" w:rsidRPr="00F0531D">
        <w:rPr>
          <w:rFonts w:eastAsia="Times New Roman"/>
        </w:rPr>
        <w:t>Veldka</w:t>
      </w:r>
      <w:r w:rsidR="00F53572" w:rsidRPr="00F0531D">
        <w:rPr>
          <w:rFonts w:eastAsia="Times New Roman"/>
        </w:rPr>
        <w:t>mp</w:t>
      </w:r>
      <w:proofErr w:type="spellEnd"/>
      <w:r w:rsidR="00F53572" w:rsidRPr="00F0531D">
        <w:rPr>
          <w:rFonts w:eastAsia="Times New Roman"/>
        </w:rPr>
        <w:t xml:space="preserve"> </w:t>
      </w:r>
      <w:r w:rsidR="0025374C" w:rsidRPr="00F0531D">
        <w:rPr>
          <w:rFonts w:eastAsia="Times New Roman"/>
        </w:rPr>
        <w:t xml:space="preserve">(2015) </w:t>
      </w:r>
      <w:r w:rsidR="00F000E7" w:rsidRPr="00F0531D">
        <w:rPr>
          <w:rFonts w:eastAsia="Times New Roman"/>
        </w:rPr>
        <w:t xml:space="preserve">also </w:t>
      </w:r>
      <w:r w:rsidR="0025374C" w:rsidRPr="00F0531D">
        <w:rPr>
          <w:rFonts w:eastAsia="Times New Roman"/>
        </w:rPr>
        <w:t xml:space="preserve">argue that </w:t>
      </w:r>
      <w:r w:rsidR="00C03A4B" w:rsidRPr="00F0531D">
        <w:rPr>
          <w:rFonts w:eastAsia="Times New Roman"/>
        </w:rPr>
        <w:t xml:space="preserve">if the production of information </w:t>
      </w:r>
      <w:r w:rsidR="00096CC9" w:rsidRPr="00F0531D">
        <w:rPr>
          <w:rFonts w:eastAsia="Times New Roman"/>
        </w:rPr>
        <w:t>is</w:t>
      </w:r>
      <w:r w:rsidR="00D3082D" w:rsidRPr="00F0531D">
        <w:rPr>
          <w:rFonts w:eastAsia="Times New Roman"/>
        </w:rPr>
        <w:t xml:space="preserve"> </w:t>
      </w:r>
      <w:r w:rsidR="001F64A3" w:rsidRPr="00F0531D">
        <w:rPr>
          <w:rFonts w:eastAsia="Times New Roman"/>
        </w:rPr>
        <w:t>in</w:t>
      </w:r>
      <w:r w:rsidR="00D3082D" w:rsidRPr="00F0531D">
        <w:rPr>
          <w:rFonts w:eastAsia="Times New Roman"/>
        </w:rPr>
        <w:t>sufficient</w:t>
      </w:r>
      <w:r w:rsidR="00096CC9" w:rsidRPr="00F0531D">
        <w:rPr>
          <w:rFonts w:eastAsia="Times New Roman"/>
        </w:rPr>
        <w:t xml:space="preserve">, </w:t>
      </w:r>
      <w:r w:rsidR="006A506B" w:rsidRPr="00F0531D">
        <w:rPr>
          <w:rFonts w:eastAsia="Times New Roman"/>
        </w:rPr>
        <w:t>investor w</w:t>
      </w:r>
      <w:r w:rsidR="00096CC9" w:rsidRPr="00F0531D">
        <w:rPr>
          <w:rFonts w:eastAsia="Times New Roman"/>
        </w:rPr>
        <w:t>el</w:t>
      </w:r>
      <w:r w:rsidR="00DE74F8" w:rsidRPr="00F0531D">
        <w:rPr>
          <w:rFonts w:eastAsia="Times New Roman"/>
        </w:rPr>
        <w:t xml:space="preserve">fare might be harmed </w:t>
      </w:r>
      <w:r w:rsidR="005A4F42" w:rsidRPr="00F0531D">
        <w:rPr>
          <w:rFonts w:eastAsia="Times New Roman"/>
        </w:rPr>
        <w:t xml:space="preserve">and hence, </w:t>
      </w:r>
      <w:r w:rsidR="00110291" w:rsidRPr="00F0531D">
        <w:rPr>
          <w:rFonts w:eastAsia="Times New Roman"/>
        </w:rPr>
        <w:t>the SEC</w:t>
      </w:r>
      <w:r w:rsidR="00353374" w:rsidRPr="00F0531D">
        <w:rPr>
          <w:rFonts w:eastAsia="Times New Roman"/>
        </w:rPr>
        <w:t xml:space="preserve">, in accordance with </w:t>
      </w:r>
      <w:r w:rsidR="007F55A0" w:rsidRPr="00F0531D">
        <w:rPr>
          <w:rFonts w:eastAsia="Times New Roman"/>
        </w:rPr>
        <w:t xml:space="preserve">their mission, </w:t>
      </w:r>
      <w:r w:rsidR="0009495C" w:rsidRPr="00F0531D">
        <w:rPr>
          <w:rFonts w:eastAsia="Times New Roman"/>
        </w:rPr>
        <w:t xml:space="preserve">might become more vigilant in their </w:t>
      </w:r>
      <w:r w:rsidR="002B127A" w:rsidRPr="00F0531D">
        <w:rPr>
          <w:rFonts w:eastAsia="Times New Roman"/>
        </w:rPr>
        <w:t xml:space="preserve">disclosure oversight. </w:t>
      </w:r>
      <w:r w:rsidR="00C54E66" w:rsidRPr="00F0531D">
        <w:rPr>
          <w:rFonts w:eastAsia="Times New Roman"/>
        </w:rPr>
        <w:t xml:space="preserve">It is also worth noting that </w:t>
      </w:r>
      <w:r w:rsidR="002B389C" w:rsidRPr="00F0531D">
        <w:rPr>
          <w:rFonts w:eastAsia="Times New Roman"/>
        </w:rPr>
        <w:t xml:space="preserve">previous </w:t>
      </w:r>
      <w:r w:rsidR="007D4E66" w:rsidRPr="00F0531D">
        <w:rPr>
          <w:rFonts w:eastAsia="Times New Roman"/>
        </w:rPr>
        <w:t xml:space="preserve">studies </w:t>
      </w:r>
      <w:r w:rsidR="001E1FB5" w:rsidRPr="00F0531D">
        <w:rPr>
          <w:rFonts w:eastAsia="Times New Roman"/>
        </w:rPr>
        <w:t>(</w:t>
      </w:r>
      <w:proofErr w:type="gramStart"/>
      <w:r w:rsidR="001E1FB5" w:rsidRPr="00F0531D">
        <w:rPr>
          <w:rFonts w:eastAsia="Times New Roman"/>
        </w:rPr>
        <w:t>e.g.</w:t>
      </w:r>
      <w:proofErr w:type="gramEnd"/>
      <w:r w:rsidR="001E1FB5" w:rsidRPr="00F0531D">
        <w:rPr>
          <w:rFonts w:eastAsia="Times New Roman"/>
        </w:rPr>
        <w:t xml:space="preserve"> </w:t>
      </w:r>
      <w:r w:rsidR="00C54E66" w:rsidRPr="00F0531D">
        <w:rPr>
          <w:rFonts w:eastAsia="Times New Roman"/>
        </w:rPr>
        <w:t>Agarwal et al.</w:t>
      </w:r>
      <w:r w:rsidR="001E1FB5" w:rsidRPr="00F0531D">
        <w:rPr>
          <w:rFonts w:eastAsia="Times New Roman"/>
        </w:rPr>
        <w:t xml:space="preserve">, </w:t>
      </w:r>
      <w:r w:rsidR="00C54E66" w:rsidRPr="00F0531D">
        <w:rPr>
          <w:rFonts w:eastAsia="Times New Roman"/>
        </w:rPr>
        <w:t>2017</w:t>
      </w:r>
      <w:r w:rsidR="001E1FB5" w:rsidRPr="00F0531D">
        <w:rPr>
          <w:rFonts w:eastAsia="Times New Roman"/>
        </w:rPr>
        <w:t xml:space="preserve">; </w:t>
      </w:r>
      <w:proofErr w:type="spellStart"/>
      <w:r w:rsidR="001E1FB5" w:rsidRPr="00F0531D">
        <w:rPr>
          <w:rFonts w:eastAsia="Times New Roman"/>
        </w:rPr>
        <w:t>Dambra</w:t>
      </w:r>
      <w:proofErr w:type="spellEnd"/>
      <w:r w:rsidR="001E1FB5" w:rsidRPr="00F0531D">
        <w:rPr>
          <w:rFonts w:eastAsia="Times New Roman"/>
        </w:rPr>
        <w:t xml:space="preserve"> et al., 2015</w:t>
      </w:r>
      <w:r w:rsidR="00C54E66" w:rsidRPr="00F0531D">
        <w:rPr>
          <w:rFonts w:eastAsia="Times New Roman"/>
        </w:rPr>
        <w:t xml:space="preserve">) </w:t>
      </w:r>
      <w:r w:rsidR="0000124C" w:rsidRPr="00F0531D">
        <w:rPr>
          <w:rFonts w:eastAsia="Times New Roman"/>
        </w:rPr>
        <w:t xml:space="preserve">mainly </w:t>
      </w:r>
      <w:r w:rsidR="00C54E66" w:rsidRPr="00F0531D">
        <w:rPr>
          <w:rFonts w:eastAsia="Times New Roman"/>
        </w:rPr>
        <w:t>examine changes in the content and style of SEC comment letters rather than changes in the volume and breadth of SEC critiques in the aftermath of the JOBS Act. In this vein, the expectation is that information problems occurring after the enactment of the JOBS Act might increase the extensiveness of SEC reviews.</w:t>
      </w:r>
    </w:p>
    <w:p w14:paraId="7C038416" w14:textId="6EE8267D" w:rsidR="00C54E66" w:rsidRPr="009C10CE" w:rsidRDefault="00896337" w:rsidP="005B0E9E">
      <w:pPr>
        <w:spacing w:before="240" w:after="240" w:line="480" w:lineRule="auto"/>
        <w:jc w:val="both"/>
        <w:rPr>
          <w:sz w:val="20"/>
          <w:szCs w:val="20"/>
        </w:rPr>
      </w:pPr>
      <w:r>
        <w:rPr>
          <w:rFonts w:eastAsia="Times New Roman"/>
        </w:rPr>
        <w:t>On the other hand, p</w:t>
      </w:r>
      <w:r w:rsidR="00C54E66" w:rsidRPr="009C10CE">
        <w:rPr>
          <w:rFonts w:eastAsia="Times New Roman"/>
        </w:rPr>
        <w:t xml:space="preserve">rior research evidence </w:t>
      </w:r>
      <w:r w:rsidR="00652126">
        <w:rPr>
          <w:rFonts w:eastAsia="Times New Roman"/>
        </w:rPr>
        <w:t>a</w:t>
      </w:r>
      <w:r w:rsidR="00C54E66" w:rsidRPr="009C10CE">
        <w:rPr>
          <w:rFonts w:eastAsia="Times New Roman"/>
        </w:rPr>
        <w:t xml:space="preserve"> reduction in the quality of </w:t>
      </w:r>
      <w:r w:rsidR="00391542">
        <w:rPr>
          <w:rFonts w:eastAsia="Times New Roman"/>
        </w:rPr>
        <w:t xml:space="preserve">the </w:t>
      </w:r>
      <w:r w:rsidR="00C54E66" w:rsidRPr="009C10CE">
        <w:rPr>
          <w:rFonts w:eastAsia="Times New Roman"/>
        </w:rPr>
        <w:t>informational environment under the Act</w:t>
      </w:r>
      <w:r w:rsidR="00652126">
        <w:rPr>
          <w:rFonts w:eastAsia="Times New Roman"/>
        </w:rPr>
        <w:t xml:space="preserve">, </w:t>
      </w:r>
      <w:r w:rsidR="00E05D96">
        <w:rPr>
          <w:rFonts w:eastAsia="Times New Roman"/>
        </w:rPr>
        <w:t xml:space="preserve">which may </w:t>
      </w:r>
      <w:r w:rsidR="00503A97">
        <w:rPr>
          <w:rFonts w:eastAsia="Times New Roman"/>
        </w:rPr>
        <w:t xml:space="preserve">result in more extensive </w:t>
      </w:r>
      <w:r w:rsidR="00E05D96">
        <w:rPr>
          <w:rFonts w:eastAsia="Times New Roman"/>
        </w:rPr>
        <w:t xml:space="preserve">SEC </w:t>
      </w:r>
      <w:r w:rsidR="00503A97">
        <w:rPr>
          <w:rFonts w:eastAsia="Times New Roman"/>
        </w:rPr>
        <w:t>reviews</w:t>
      </w:r>
      <w:r w:rsidR="00E05D96">
        <w:rPr>
          <w:rFonts w:eastAsia="Times New Roman"/>
        </w:rPr>
        <w:t xml:space="preserve"> to protect investors</w:t>
      </w:r>
      <w:r w:rsidR="00C54E66" w:rsidRPr="009C10CE">
        <w:rPr>
          <w:rFonts w:eastAsia="Times New Roman"/>
        </w:rPr>
        <w:t xml:space="preserve">. Barth et al. (2017) examine the effects of the JOBS Act on information uncertainty in the IPO market, while Lowry et al. (2020) investigate its effects on information revelation, information asymmetry around IPOs as well as uncertainty, liquidity, insider sales, and post-IPO performance. In general, these studies find that the Act exacerbated information problems. </w:t>
      </w:r>
      <w:r w:rsidR="00221C8F">
        <w:rPr>
          <w:rFonts w:eastAsia="Times New Roman"/>
        </w:rPr>
        <w:t>A</w:t>
      </w:r>
      <w:r w:rsidR="00C54E66" w:rsidRPr="009C10CE">
        <w:rPr>
          <w:rFonts w:eastAsia="Times New Roman"/>
        </w:rPr>
        <w:t xml:space="preserve">s the JOBS Act resulted in reduced transparency and exacerbated information problems (Barth et al., 2017, </w:t>
      </w:r>
      <w:r w:rsidR="00C54E66" w:rsidRPr="009C10CE">
        <w:rPr>
          <w:rFonts w:eastAsia="Times New Roman"/>
        </w:rPr>
        <w:lastRenderedPageBreak/>
        <w:t xml:space="preserve">Chaplinsky et al., 2017; Gupta &amp; </w:t>
      </w:r>
      <w:proofErr w:type="spellStart"/>
      <w:r w:rsidR="00C54E66" w:rsidRPr="009C10CE">
        <w:rPr>
          <w:rFonts w:eastAsia="Times New Roman"/>
        </w:rPr>
        <w:t>Israelsen</w:t>
      </w:r>
      <w:proofErr w:type="spellEnd"/>
      <w:r w:rsidR="00C54E66" w:rsidRPr="009C10CE">
        <w:rPr>
          <w:rFonts w:eastAsia="Times New Roman"/>
        </w:rPr>
        <w:t xml:space="preserve">, 2015; Lowry et al., 2020), the SEC may </w:t>
      </w:r>
      <w:r w:rsidR="004224D9">
        <w:rPr>
          <w:rFonts w:eastAsia="Times New Roman"/>
        </w:rPr>
        <w:t>conduct more</w:t>
      </w:r>
      <w:r w:rsidR="00C54E66" w:rsidRPr="009C10CE">
        <w:rPr>
          <w:rFonts w:eastAsia="Times New Roman"/>
        </w:rPr>
        <w:t xml:space="preserve"> </w:t>
      </w:r>
      <w:r w:rsidR="00C54E66">
        <w:rPr>
          <w:rFonts w:eastAsia="Times New Roman"/>
        </w:rPr>
        <w:t>extensive</w:t>
      </w:r>
      <w:r w:rsidR="00C54E66" w:rsidRPr="009C10CE">
        <w:rPr>
          <w:rFonts w:eastAsia="Times New Roman"/>
        </w:rPr>
        <w:t xml:space="preserve"> reviews </w:t>
      </w:r>
      <w:r w:rsidR="004224D9">
        <w:rPr>
          <w:rFonts w:eastAsia="Times New Roman"/>
        </w:rPr>
        <w:t xml:space="preserve">under the JOBS Act </w:t>
      </w:r>
      <w:proofErr w:type="gramStart"/>
      <w:r w:rsidR="00C54E66" w:rsidRPr="009C10CE">
        <w:rPr>
          <w:rFonts w:eastAsia="Times New Roman"/>
        </w:rPr>
        <w:t>in order to</w:t>
      </w:r>
      <w:proofErr w:type="gramEnd"/>
      <w:r w:rsidR="00C54E66" w:rsidRPr="009C10CE">
        <w:rPr>
          <w:rFonts w:eastAsia="Times New Roman"/>
        </w:rPr>
        <w:t xml:space="preserve"> protect investors from potentially inaccurate or misleading disclosures. </w:t>
      </w:r>
      <w:r w:rsidR="000A1977">
        <w:rPr>
          <w:rFonts w:eastAsia="Times New Roman"/>
        </w:rPr>
        <w:t>Indeed, p</w:t>
      </w:r>
      <w:r w:rsidR="008B7A01">
        <w:t>rior</w:t>
      </w:r>
      <w:r w:rsidR="008B7A01" w:rsidRPr="009C10CE">
        <w:rPr>
          <w:rFonts w:eastAsia="Times New Roman"/>
        </w:rPr>
        <w:t xml:space="preserve"> studies provide evidence that SEC scrutiny of registration statements is more </w:t>
      </w:r>
      <w:r w:rsidR="008B7A01">
        <w:rPr>
          <w:rFonts w:eastAsia="Times New Roman"/>
        </w:rPr>
        <w:t>extensive</w:t>
      </w:r>
      <w:r w:rsidR="008B7A01" w:rsidRPr="009C10CE">
        <w:rPr>
          <w:rFonts w:eastAsia="Times New Roman"/>
        </w:rPr>
        <w:t xml:space="preserve"> under conditions of high information uncertainty and low reporting quality</w:t>
      </w:r>
      <w:r w:rsidR="008B7A01">
        <w:rPr>
          <w:rFonts w:eastAsia="Times New Roman"/>
        </w:rPr>
        <w:t xml:space="preserve"> </w:t>
      </w:r>
      <w:r w:rsidR="008B7A01" w:rsidRPr="009C10CE">
        <w:rPr>
          <w:rFonts w:eastAsia="Times New Roman"/>
        </w:rPr>
        <w:t>(</w:t>
      </w:r>
      <w:proofErr w:type="spellStart"/>
      <w:r w:rsidR="009F739E" w:rsidRPr="009C10CE">
        <w:rPr>
          <w:rFonts w:eastAsia="Times New Roman"/>
        </w:rPr>
        <w:t>Colaco</w:t>
      </w:r>
      <w:proofErr w:type="spellEnd"/>
      <w:r w:rsidR="009F739E" w:rsidRPr="009C10CE">
        <w:rPr>
          <w:rFonts w:eastAsia="Times New Roman"/>
        </w:rPr>
        <w:t xml:space="preserve"> et al., 2018</w:t>
      </w:r>
      <w:r w:rsidR="009F739E">
        <w:rPr>
          <w:rFonts w:eastAsia="Times New Roman"/>
        </w:rPr>
        <w:t>;</w:t>
      </w:r>
      <w:r w:rsidR="009F739E" w:rsidRPr="009C10CE">
        <w:rPr>
          <w:rFonts w:eastAsia="Times New Roman"/>
        </w:rPr>
        <w:t xml:space="preserve"> </w:t>
      </w:r>
      <w:proofErr w:type="spellStart"/>
      <w:r w:rsidR="008B7A01" w:rsidRPr="009C10CE">
        <w:rPr>
          <w:rFonts w:eastAsia="Times New Roman"/>
        </w:rPr>
        <w:t>Ertimur</w:t>
      </w:r>
      <w:proofErr w:type="spellEnd"/>
      <w:r w:rsidR="008B7A01" w:rsidRPr="009C10CE">
        <w:rPr>
          <w:rFonts w:eastAsia="Times New Roman"/>
        </w:rPr>
        <w:t xml:space="preserve"> &amp; </w:t>
      </w:r>
      <w:proofErr w:type="spellStart"/>
      <w:r w:rsidR="008B7A01" w:rsidRPr="009C10CE">
        <w:rPr>
          <w:rFonts w:eastAsia="Times New Roman"/>
        </w:rPr>
        <w:t>Nondorf</w:t>
      </w:r>
      <w:proofErr w:type="spellEnd"/>
      <w:r w:rsidR="008B7A01" w:rsidRPr="009C10CE">
        <w:rPr>
          <w:rFonts w:eastAsia="Times New Roman"/>
        </w:rPr>
        <w:t>, 2006; Schuldt &amp; Vega, 2018).</w:t>
      </w:r>
    </w:p>
    <w:p w14:paraId="5FF52D53" w14:textId="7DD2E799" w:rsidR="008204BE" w:rsidRPr="009C10CE" w:rsidRDefault="004A7870" w:rsidP="005B0E9E">
      <w:pPr>
        <w:spacing w:before="240" w:after="240" w:line="480" w:lineRule="auto"/>
        <w:jc w:val="both"/>
        <w:rPr>
          <w:lang w:eastAsia="en-US"/>
        </w:rPr>
      </w:pPr>
      <w:r>
        <w:rPr>
          <w:lang w:eastAsia="en-US"/>
        </w:rPr>
        <w:t xml:space="preserve">Given the </w:t>
      </w:r>
      <w:r w:rsidR="00247E37">
        <w:rPr>
          <w:lang w:eastAsia="en-US"/>
        </w:rPr>
        <w:t xml:space="preserve">conflicting arguments presented above, we formulate the first hypothesis in null form as follows:  </w:t>
      </w:r>
      <w:r>
        <w:rPr>
          <w:lang w:eastAsia="en-US"/>
        </w:rPr>
        <w:t xml:space="preserve"> </w:t>
      </w:r>
    </w:p>
    <w:p w14:paraId="5BD8ADC8" w14:textId="31F04F52" w:rsidR="008204BE" w:rsidRPr="009C10CE" w:rsidRDefault="008204BE" w:rsidP="005B0E9E">
      <w:pPr>
        <w:spacing w:before="240" w:after="240" w:line="480" w:lineRule="auto"/>
        <w:jc w:val="both"/>
        <w:rPr>
          <w:rFonts w:eastAsia="Times New Roman"/>
          <w:b/>
          <w:bCs/>
          <w:color w:val="000000"/>
        </w:rPr>
      </w:pPr>
      <w:r w:rsidRPr="009C10CE">
        <w:rPr>
          <w:b/>
          <w:i/>
          <w:lang w:eastAsia="en-US"/>
        </w:rPr>
        <w:t>H1</w:t>
      </w:r>
      <w:r w:rsidRPr="009C10CE">
        <w:rPr>
          <w:b/>
          <w:i/>
          <w:lang w:eastAsia="en-US"/>
        </w:rPr>
        <w:softHyphen/>
      </w:r>
      <w:r w:rsidRPr="009C10CE">
        <w:rPr>
          <w:b/>
          <w:i/>
          <w:lang w:eastAsia="en-US"/>
        </w:rPr>
        <w:softHyphen/>
      </w:r>
      <w:r w:rsidRPr="00002177">
        <w:rPr>
          <w:b/>
          <w:i/>
          <w:lang w:eastAsia="en-US"/>
        </w:rPr>
        <w:softHyphen/>
      </w:r>
      <w:r w:rsidRPr="009C10CE">
        <w:rPr>
          <w:b/>
          <w:i/>
          <w:lang w:eastAsia="en-US"/>
        </w:rPr>
        <w:t xml:space="preserve">: </w:t>
      </w:r>
      <w:r w:rsidR="00743DC5" w:rsidRPr="00743DC5">
        <w:rPr>
          <w:bCs/>
          <w:i/>
          <w:lang w:eastAsia="en-US"/>
        </w:rPr>
        <w:t>The</w:t>
      </w:r>
      <w:r w:rsidR="00743DC5">
        <w:rPr>
          <w:b/>
          <w:i/>
          <w:lang w:eastAsia="en-US"/>
        </w:rPr>
        <w:t xml:space="preserve"> </w:t>
      </w:r>
      <w:r w:rsidR="00743DC5" w:rsidRPr="00467E69">
        <w:rPr>
          <w:bCs/>
          <w:i/>
          <w:lang w:eastAsia="en-US"/>
        </w:rPr>
        <w:t>extensiveness of</w:t>
      </w:r>
      <w:r w:rsidR="00743DC5">
        <w:rPr>
          <w:b/>
          <w:i/>
          <w:lang w:eastAsia="en-US"/>
        </w:rPr>
        <w:t xml:space="preserve"> </w:t>
      </w:r>
      <w:r w:rsidRPr="009C10CE">
        <w:rPr>
          <w:i/>
          <w:lang w:eastAsia="en-US"/>
        </w:rPr>
        <w:t xml:space="preserve">SEC reviews of IPO registration statements </w:t>
      </w:r>
      <w:r w:rsidR="000E737C">
        <w:rPr>
          <w:i/>
          <w:lang w:eastAsia="en-US"/>
        </w:rPr>
        <w:t>d</w:t>
      </w:r>
      <w:r w:rsidR="008161BA">
        <w:rPr>
          <w:i/>
          <w:lang w:eastAsia="en-US"/>
        </w:rPr>
        <w:t>id</w:t>
      </w:r>
      <w:r w:rsidR="000E737C">
        <w:rPr>
          <w:i/>
          <w:lang w:eastAsia="en-US"/>
        </w:rPr>
        <w:t xml:space="preserve"> not </w:t>
      </w:r>
      <w:r w:rsidR="00467E69">
        <w:rPr>
          <w:i/>
          <w:lang w:eastAsia="en-US"/>
        </w:rPr>
        <w:t>change</w:t>
      </w:r>
      <w:r w:rsidRPr="009C10CE">
        <w:rPr>
          <w:i/>
          <w:lang w:eastAsia="en-US"/>
        </w:rPr>
        <w:t xml:space="preserve"> under the JOBS Act.</w:t>
      </w:r>
    </w:p>
    <w:p w14:paraId="228FA953" w14:textId="1D3A3148" w:rsidR="008204BE" w:rsidRPr="00FF2F9C" w:rsidRDefault="009241ED" w:rsidP="005B0E9E">
      <w:pPr>
        <w:pStyle w:val="ListParagraph"/>
        <w:numPr>
          <w:ilvl w:val="1"/>
          <w:numId w:val="29"/>
        </w:numPr>
        <w:spacing w:before="240" w:after="240" w:line="480" w:lineRule="auto"/>
        <w:ind w:left="360"/>
        <w:jc w:val="both"/>
        <w:outlineLvl w:val="1"/>
        <w:rPr>
          <w:b/>
          <w:bCs/>
          <w:lang w:eastAsia="en-US"/>
        </w:rPr>
      </w:pPr>
      <w:bookmarkStart w:id="6" w:name="_Toc69749278"/>
      <w:r>
        <w:rPr>
          <w:b/>
          <w:bCs/>
          <w:lang w:eastAsia="en-US"/>
        </w:rPr>
        <w:t xml:space="preserve"> </w:t>
      </w:r>
      <w:bookmarkEnd w:id="6"/>
      <w:r w:rsidR="008B4A4A">
        <w:rPr>
          <w:b/>
          <w:bCs/>
          <w:lang w:eastAsia="en-US"/>
        </w:rPr>
        <w:t>Sensitivity to proprietary disclosure costs</w:t>
      </w:r>
    </w:p>
    <w:p w14:paraId="2EFEB734" w14:textId="5C816647" w:rsidR="008204BE" w:rsidRPr="009C10CE" w:rsidRDefault="008204BE" w:rsidP="005B0E9E">
      <w:pPr>
        <w:spacing w:before="240" w:after="240" w:line="480" w:lineRule="auto"/>
        <w:jc w:val="both"/>
      </w:pPr>
      <w:r w:rsidRPr="009C10CE">
        <w:rPr>
          <w:rFonts w:eastAsia="Times New Roman"/>
        </w:rPr>
        <w:t xml:space="preserve">There are reasons to expect the impact of the JOBS Act on SEC reviews to be heterogeneous, </w:t>
      </w:r>
      <w:proofErr w:type="gramStart"/>
      <w:r w:rsidR="00940028">
        <w:rPr>
          <w:rFonts w:eastAsia="Times New Roman"/>
        </w:rPr>
        <w:t xml:space="preserve">in particular </w:t>
      </w:r>
      <w:r w:rsidRPr="009C10CE">
        <w:rPr>
          <w:rFonts w:eastAsia="Times New Roman"/>
        </w:rPr>
        <w:t>varying</w:t>
      </w:r>
      <w:proofErr w:type="gramEnd"/>
      <w:r w:rsidRPr="009C10CE">
        <w:rPr>
          <w:rFonts w:eastAsia="Times New Roman"/>
        </w:rPr>
        <w:t xml:space="preserve"> according to the level of competition in each industry</w:t>
      </w:r>
      <w:r w:rsidR="00940028">
        <w:rPr>
          <w:rFonts w:eastAsia="Times New Roman"/>
        </w:rPr>
        <w:t xml:space="preserve"> due to proprietary cost concerns</w:t>
      </w:r>
      <w:r w:rsidRPr="009C10CE">
        <w:rPr>
          <w:rFonts w:eastAsia="Times New Roman"/>
        </w:rPr>
        <w:t xml:space="preserve">. Ali et al. (2014) </w:t>
      </w:r>
      <w:proofErr w:type="gramStart"/>
      <w:r w:rsidRPr="009C10CE">
        <w:rPr>
          <w:rFonts w:eastAsia="Times New Roman"/>
        </w:rPr>
        <w:t>demonstrate</w:t>
      </w:r>
      <w:proofErr w:type="gramEnd"/>
      <w:r w:rsidRPr="009C10CE">
        <w:rPr>
          <w:rFonts w:eastAsia="Times New Roman"/>
        </w:rPr>
        <w:t xml:space="preserve"> that, due to high proprietary costs of disclosure, firms operating in highly-concentrated markets disclose less information, which increases information uncertainty. Similarly, Robinson et al. (2011) find that high competition levels lead managers to avoid the proprietary costs of disclosure by releasing less important information, which increases uncertainty. The removal of certain mandatory reporting requirements by the JOBS Act allowed firms to avoid disclosing on issues where proprietary costs are high (Barth et al., 2017), which led to a pronounced increase in IPO activity by firms in more concentrated industries (</w:t>
      </w:r>
      <w:proofErr w:type="spellStart"/>
      <w:r w:rsidRPr="009C10CE">
        <w:rPr>
          <w:rFonts w:eastAsia="Times New Roman"/>
        </w:rPr>
        <w:t>Dambra</w:t>
      </w:r>
      <w:proofErr w:type="spellEnd"/>
      <w:r w:rsidRPr="009C10CE">
        <w:rPr>
          <w:rFonts w:eastAsia="Times New Roman"/>
        </w:rPr>
        <w:t xml:space="preserve"> et al., 2015). Issuers in more concentrated industries may also face increased incentives to engage in opportunistic disclosure (</w:t>
      </w:r>
      <w:proofErr w:type="gramStart"/>
      <w:r w:rsidRPr="009C10CE">
        <w:rPr>
          <w:rFonts w:eastAsia="Times New Roman"/>
        </w:rPr>
        <w:t>e.g.</w:t>
      </w:r>
      <w:proofErr w:type="gramEnd"/>
      <w:r w:rsidRPr="009C10CE">
        <w:rPr>
          <w:rFonts w:eastAsia="Times New Roman"/>
        </w:rPr>
        <w:t xml:space="preserve"> earnings management), in order to protect their competitive position (Cheng et al., 2013).</w:t>
      </w:r>
    </w:p>
    <w:p w14:paraId="7CC704C1" w14:textId="1BA89E8A" w:rsidR="008204BE" w:rsidRPr="009C10CE" w:rsidRDefault="008204BE" w:rsidP="005B0E9E">
      <w:pPr>
        <w:spacing w:before="240" w:after="240" w:line="480" w:lineRule="auto"/>
        <w:jc w:val="both"/>
      </w:pPr>
      <w:r w:rsidRPr="009C10CE">
        <w:rPr>
          <w:rFonts w:eastAsia="Times New Roman"/>
        </w:rPr>
        <w:lastRenderedPageBreak/>
        <w:t>While the uptake of greater disclosure exemptions under the JOBS Act by IPO firms in more concentrated industries may mechanically lead to fewer comments by SEC reviewers, the omission of business-critical information may</w:t>
      </w:r>
      <w:r w:rsidR="00B33348">
        <w:rPr>
          <w:rFonts w:eastAsia="Times New Roman"/>
        </w:rPr>
        <w:t>,</w:t>
      </w:r>
      <w:r w:rsidRPr="009C10CE">
        <w:rPr>
          <w:rFonts w:eastAsia="Times New Roman"/>
        </w:rPr>
        <w:t xml:space="preserve"> on the other hand encourage a more </w:t>
      </w:r>
      <w:r>
        <w:rPr>
          <w:rFonts w:eastAsia="Times New Roman"/>
        </w:rPr>
        <w:t>extensive</w:t>
      </w:r>
      <w:r w:rsidRPr="009C10CE">
        <w:rPr>
          <w:rFonts w:eastAsia="Times New Roman"/>
        </w:rPr>
        <w:t xml:space="preserve"> SEC review. As previously discussed, SEC reviews are seen to be more extensive under conditions of high information uncertainty (Chen &amp; Johnston, 2010; </w:t>
      </w:r>
      <w:proofErr w:type="spellStart"/>
      <w:r w:rsidRPr="009C10CE">
        <w:rPr>
          <w:rFonts w:eastAsia="Times New Roman"/>
        </w:rPr>
        <w:t>Colaco</w:t>
      </w:r>
      <w:proofErr w:type="spellEnd"/>
      <w:r w:rsidRPr="009C10CE">
        <w:rPr>
          <w:rFonts w:eastAsia="Times New Roman"/>
        </w:rPr>
        <w:t xml:space="preserve"> et al., 2018</w:t>
      </w:r>
      <w:r w:rsidR="009F739E">
        <w:rPr>
          <w:rFonts w:eastAsia="Times New Roman"/>
        </w:rPr>
        <w:t>;</w:t>
      </w:r>
      <w:r w:rsidR="009F739E" w:rsidRPr="009F739E">
        <w:rPr>
          <w:rFonts w:eastAsia="Times New Roman"/>
        </w:rPr>
        <w:t xml:space="preserve"> </w:t>
      </w:r>
      <w:proofErr w:type="spellStart"/>
      <w:r w:rsidR="009F739E" w:rsidRPr="009C10CE">
        <w:rPr>
          <w:rFonts w:eastAsia="Times New Roman"/>
        </w:rPr>
        <w:t>Ertimur</w:t>
      </w:r>
      <w:proofErr w:type="spellEnd"/>
      <w:r w:rsidR="009F739E" w:rsidRPr="009C10CE">
        <w:rPr>
          <w:rFonts w:eastAsia="Times New Roman"/>
        </w:rPr>
        <w:t xml:space="preserve"> &amp; </w:t>
      </w:r>
      <w:proofErr w:type="spellStart"/>
      <w:r w:rsidR="009F739E" w:rsidRPr="009C10CE">
        <w:rPr>
          <w:rFonts w:eastAsia="Times New Roman"/>
        </w:rPr>
        <w:t>Nondorf</w:t>
      </w:r>
      <w:proofErr w:type="spellEnd"/>
      <w:r w:rsidR="009F739E" w:rsidRPr="009C10CE">
        <w:rPr>
          <w:rFonts w:eastAsia="Times New Roman"/>
        </w:rPr>
        <w:t>, 2006</w:t>
      </w:r>
      <w:r w:rsidRPr="009C10CE">
        <w:rPr>
          <w:rFonts w:eastAsia="Times New Roman"/>
        </w:rPr>
        <w:t xml:space="preserve">). </w:t>
      </w:r>
      <w:r w:rsidR="00940028">
        <w:rPr>
          <w:rFonts w:eastAsia="Times New Roman"/>
        </w:rPr>
        <w:t>Even if the</w:t>
      </w:r>
      <w:r w:rsidRPr="009C10CE">
        <w:rPr>
          <w:rFonts w:eastAsia="Times New Roman"/>
        </w:rPr>
        <w:t xml:space="preserve"> SEC conform with the spirit of the JOBS Act in terms of reducing </w:t>
      </w:r>
      <w:r w:rsidRPr="009C10CE">
        <w:rPr>
          <w:rFonts w:eastAsia="Times New Roman"/>
          <w:i/>
          <w:iCs/>
        </w:rPr>
        <w:t>excessive</w:t>
      </w:r>
      <w:r w:rsidRPr="009C10CE">
        <w:rPr>
          <w:rFonts w:eastAsia="Times New Roman"/>
        </w:rPr>
        <w:t xml:space="preserve"> burden in the IPO approval process</w:t>
      </w:r>
      <w:r w:rsidR="00940028">
        <w:rPr>
          <w:rFonts w:eastAsia="Times New Roman"/>
        </w:rPr>
        <w:t xml:space="preserve"> overall</w:t>
      </w:r>
      <w:r w:rsidRPr="009C10CE">
        <w:rPr>
          <w:rFonts w:eastAsia="Times New Roman"/>
        </w:rPr>
        <w:t xml:space="preserve">, the business-critical nature of information omissions by firms facing high proprietary disclosure costs is likely to change this dynamic measurably. As the SEC are charged with ensuring IPO firms report “meaningful financial and other information to the public” (SEC, 2013), </w:t>
      </w:r>
      <w:r w:rsidR="00305286">
        <w:rPr>
          <w:rFonts w:eastAsia="Times New Roman"/>
        </w:rPr>
        <w:t>a</w:t>
      </w:r>
      <w:r w:rsidRPr="009C10CE">
        <w:t xml:space="preserve"> second hypothesis</w:t>
      </w:r>
      <w:r w:rsidR="00305286">
        <w:t xml:space="preserve"> is posited</w:t>
      </w:r>
      <w:r w:rsidR="00305286" w:rsidRPr="009C10CE">
        <w:t xml:space="preserve"> </w:t>
      </w:r>
      <w:r w:rsidRPr="009C10CE">
        <w:t>in alternative form, as follows.</w:t>
      </w:r>
    </w:p>
    <w:p w14:paraId="7A0E4929" w14:textId="3AE17240" w:rsidR="008204BE" w:rsidRPr="009C10CE" w:rsidRDefault="008204BE" w:rsidP="005B0E9E">
      <w:pPr>
        <w:spacing w:before="240" w:after="240" w:line="480" w:lineRule="auto"/>
        <w:jc w:val="both"/>
        <w:rPr>
          <w:i/>
        </w:rPr>
      </w:pPr>
      <w:r w:rsidRPr="009C10CE">
        <w:rPr>
          <w:b/>
          <w:i/>
          <w:lang w:eastAsia="en-US"/>
        </w:rPr>
        <w:t>H</w:t>
      </w:r>
      <w:r>
        <w:rPr>
          <w:b/>
          <w:i/>
          <w:lang w:eastAsia="en-US"/>
        </w:rPr>
        <w:t>2</w:t>
      </w:r>
      <w:r w:rsidRPr="009C10CE">
        <w:rPr>
          <w:b/>
          <w:i/>
          <w:lang w:eastAsia="en-US"/>
        </w:rPr>
        <w:t xml:space="preserve">: </w:t>
      </w:r>
      <w:r w:rsidR="00E10F67">
        <w:rPr>
          <w:bCs/>
          <w:i/>
          <w:lang w:eastAsia="en-US"/>
        </w:rPr>
        <w:t>Any</w:t>
      </w:r>
      <w:r w:rsidR="00E10F67" w:rsidRPr="009C10CE">
        <w:rPr>
          <w:bCs/>
          <w:i/>
          <w:lang w:eastAsia="en-US"/>
        </w:rPr>
        <w:t xml:space="preserve"> </w:t>
      </w:r>
      <w:r w:rsidRPr="009C10CE">
        <w:rPr>
          <w:rFonts w:eastAsia="Times New Roman"/>
          <w:i/>
        </w:rPr>
        <w:t xml:space="preserve">reduction in the extensiveness of SEC reviews following the JOBS Act </w:t>
      </w:r>
      <w:r w:rsidR="00D5748B">
        <w:rPr>
          <w:rFonts w:eastAsia="Times New Roman"/>
          <w:i/>
        </w:rPr>
        <w:t>is</w:t>
      </w:r>
      <w:r w:rsidR="00D5748B" w:rsidRPr="009C10CE">
        <w:rPr>
          <w:rFonts w:eastAsia="Times New Roman"/>
          <w:i/>
        </w:rPr>
        <w:t xml:space="preserve"> </w:t>
      </w:r>
      <w:r w:rsidRPr="009C10CE">
        <w:rPr>
          <w:rFonts w:eastAsia="Times New Roman"/>
          <w:i/>
        </w:rPr>
        <w:t>less pronounced for IPOs in more highly concentrated industries.</w:t>
      </w:r>
    </w:p>
    <w:p w14:paraId="11199D36" w14:textId="77777777" w:rsidR="008204BE" w:rsidRPr="00FF2F9C" w:rsidRDefault="008204BE" w:rsidP="00E30766">
      <w:pPr>
        <w:pStyle w:val="ListParagraph"/>
        <w:numPr>
          <w:ilvl w:val="0"/>
          <w:numId w:val="29"/>
        </w:numPr>
        <w:spacing w:before="240" w:after="240" w:line="480" w:lineRule="auto"/>
        <w:contextualSpacing w:val="0"/>
        <w:jc w:val="center"/>
        <w:outlineLvl w:val="0"/>
        <w:rPr>
          <w:rFonts w:eastAsia="Times New Roman"/>
          <w:b/>
          <w:bCs/>
        </w:rPr>
      </w:pPr>
      <w:bookmarkStart w:id="7" w:name="_Toc50713986"/>
      <w:bookmarkStart w:id="8" w:name="_Toc69749279"/>
      <w:r w:rsidRPr="00FF2F9C">
        <w:rPr>
          <w:rFonts w:eastAsia="Times New Roman"/>
          <w:b/>
          <w:bCs/>
        </w:rPr>
        <w:t>Research design</w:t>
      </w:r>
      <w:bookmarkEnd w:id="7"/>
      <w:bookmarkEnd w:id="8"/>
    </w:p>
    <w:p w14:paraId="1EB0E913" w14:textId="77777777" w:rsidR="008204BE" w:rsidRPr="00FF2F9C" w:rsidRDefault="008204BE" w:rsidP="005B0E9E">
      <w:pPr>
        <w:pStyle w:val="ListParagraph"/>
        <w:numPr>
          <w:ilvl w:val="1"/>
          <w:numId w:val="29"/>
        </w:numPr>
        <w:spacing w:before="240" w:after="240" w:line="480" w:lineRule="auto"/>
        <w:ind w:left="360"/>
        <w:contextualSpacing w:val="0"/>
        <w:outlineLvl w:val="1"/>
        <w:rPr>
          <w:rFonts w:eastAsia="Times New Roman"/>
          <w:b/>
          <w:bCs/>
        </w:rPr>
      </w:pPr>
      <w:bookmarkStart w:id="9" w:name="_Toc50713987"/>
      <w:bookmarkStart w:id="10" w:name="_Toc69749280"/>
      <w:r w:rsidRPr="00FF2F9C">
        <w:rPr>
          <w:rFonts w:eastAsia="Times New Roman"/>
          <w:b/>
          <w:bCs/>
        </w:rPr>
        <w:t>Sample selection</w:t>
      </w:r>
      <w:bookmarkEnd w:id="9"/>
      <w:bookmarkEnd w:id="10"/>
    </w:p>
    <w:p w14:paraId="03EA4A2F" w14:textId="3859E444" w:rsidR="008204BE" w:rsidRDefault="00216225" w:rsidP="005B0E9E">
      <w:pPr>
        <w:spacing w:before="240" w:after="240" w:line="480" w:lineRule="auto"/>
        <w:jc w:val="both"/>
        <w:rPr>
          <w:rFonts w:eastAsia="Times New Roman"/>
        </w:rPr>
      </w:pPr>
      <w:r>
        <w:rPr>
          <w:rFonts w:eastAsia="Times New Roman"/>
        </w:rPr>
        <w:t>A</w:t>
      </w:r>
      <w:r w:rsidR="008204BE" w:rsidRPr="009C10CE">
        <w:rPr>
          <w:rFonts w:eastAsia="Times New Roman"/>
        </w:rPr>
        <w:t>n initial sample of IPOs filed on NYSE, NASDAQ and AMEX between 12</w:t>
      </w:r>
      <w:r w:rsidR="008204BE" w:rsidRPr="009C10CE">
        <w:rPr>
          <w:rFonts w:eastAsia="Times New Roman"/>
          <w:vertAlign w:val="superscript"/>
        </w:rPr>
        <w:t>th</w:t>
      </w:r>
      <w:r w:rsidR="008204BE" w:rsidRPr="009C10CE">
        <w:rPr>
          <w:rFonts w:eastAsia="Times New Roman"/>
        </w:rPr>
        <w:t xml:space="preserve"> May 2005 and 31</w:t>
      </w:r>
      <w:r w:rsidR="008204BE" w:rsidRPr="009C10CE">
        <w:rPr>
          <w:rFonts w:eastAsia="Times New Roman"/>
          <w:vertAlign w:val="superscript"/>
        </w:rPr>
        <w:t>st</w:t>
      </w:r>
      <w:r w:rsidR="008204BE" w:rsidRPr="009C10CE">
        <w:rPr>
          <w:rFonts w:eastAsia="Times New Roman"/>
        </w:rPr>
        <w:t xml:space="preserve"> December 2017</w:t>
      </w:r>
      <w:r>
        <w:rPr>
          <w:rFonts w:eastAsia="Times New Roman"/>
        </w:rPr>
        <w:t xml:space="preserve"> is obtained from the Refinitiv Eikon database</w:t>
      </w:r>
      <w:r w:rsidR="00C04120">
        <w:rPr>
          <w:rFonts w:eastAsia="Times New Roman"/>
        </w:rPr>
        <w:t>.</w:t>
      </w:r>
      <w:r w:rsidR="008204BE" w:rsidRPr="00BF4CF3">
        <w:rPr>
          <w:rStyle w:val="FootnoteReference"/>
          <w:rFonts w:eastAsia="Times New Roman"/>
        </w:rPr>
        <w:footnoteReference w:id="4"/>
      </w:r>
      <w:r w:rsidR="008204BE" w:rsidRPr="00BF4CF3">
        <w:rPr>
          <w:rFonts w:eastAsia="Times New Roman"/>
        </w:rPr>
        <w:t xml:space="preserve"> Following prior studies</w:t>
      </w:r>
      <w:r w:rsidR="0075333E">
        <w:rPr>
          <w:rFonts w:eastAsia="Times New Roman"/>
        </w:rPr>
        <w:t xml:space="preserve"> </w:t>
      </w:r>
      <w:r w:rsidR="0070053D">
        <w:rPr>
          <w:rFonts w:eastAsia="Times New Roman"/>
        </w:rPr>
        <w:t>(</w:t>
      </w:r>
      <w:proofErr w:type="spellStart"/>
      <w:r w:rsidR="0075333E" w:rsidRPr="0075333E">
        <w:rPr>
          <w:rFonts w:eastAsia="Times New Roman"/>
        </w:rPr>
        <w:t>Gounopoulos</w:t>
      </w:r>
      <w:proofErr w:type="spellEnd"/>
      <w:r w:rsidR="0075333E">
        <w:rPr>
          <w:rFonts w:eastAsia="Times New Roman"/>
        </w:rPr>
        <w:t xml:space="preserve"> </w:t>
      </w:r>
      <w:r w:rsidR="0075333E" w:rsidRPr="0075333E">
        <w:rPr>
          <w:rFonts w:eastAsia="Times New Roman"/>
        </w:rPr>
        <w:t>and Pham, 2017,</w:t>
      </w:r>
      <w:r w:rsidR="00D5026C">
        <w:rPr>
          <w:rFonts w:eastAsia="Times New Roman"/>
        </w:rPr>
        <w:t xml:space="preserve"> </w:t>
      </w:r>
      <w:r w:rsidR="0075333E" w:rsidRPr="0075333E">
        <w:rPr>
          <w:rFonts w:eastAsia="Times New Roman"/>
        </w:rPr>
        <w:t>2018;</w:t>
      </w:r>
      <w:r w:rsidR="0075333E">
        <w:rPr>
          <w:rFonts w:eastAsia="Times New Roman"/>
        </w:rPr>
        <w:t xml:space="preserve"> </w:t>
      </w:r>
      <w:r w:rsidR="0075333E" w:rsidRPr="0075333E">
        <w:rPr>
          <w:rFonts w:eastAsia="Times New Roman"/>
        </w:rPr>
        <w:t>Lee, 2011; Li and Liu, 2017; Sletten et al., 2018)</w:t>
      </w:r>
      <w:r w:rsidR="008204BE" w:rsidRPr="00B34AB8">
        <w:rPr>
          <w:rFonts w:eastAsia="Times New Roman"/>
        </w:rPr>
        <w:t xml:space="preserve">, </w:t>
      </w:r>
      <w:r w:rsidR="00FD64DF">
        <w:rPr>
          <w:rFonts w:eastAsia="Times New Roman"/>
        </w:rPr>
        <w:t>on the sample is comprised of</w:t>
      </w:r>
      <w:r w:rsidR="008204BE" w:rsidRPr="00AA0772">
        <w:rPr>
          <w:rFonts w:eastAsia="Times New Roman"/>
        </w:rPr>
        <w:t xml:space="preserve"> </w:t>
      </w:r>
      <w:r w:rsidR="008204BE" w:rsidRPr="00A536F2">
        <w:rPr>
          <w:rFonts w:eastAsia="Times New Roman"/>
        </w:rPr>
        <w:t>IPO firm</w:t>
      </w:r>
      <w:r w:rsidR="008204BE" w:rsidRPr="006B3FA2">
        <w:rPr>
          <w:rFonts w:eastAsia="Times New Roman"/>
        </w:rPr>
        <w:t>s</w:t>
      </w:r>
      <w:r w:rsidR="008204BE" w:rsidRPr="005D76FD">
        <w:rPr>
          <w:rFonts w:eastAsia="Times New Roman"/>
        </w:rPr>
        <w:t xml:space="preserve"> offering common shares and exclud</w:t>
      </w:r>
      <w:r w:rsidR="008204BE" w:rsidRPr="00164BD0">
        <w:rPr>
          <w:rFonts w:eastAsia="Times New Roman"/>
        </w:rPr>
        <w:t>e</w:t>
      </w:r>
      <w:r w:rsidR="008204BE" w:rsidRPr="00832F39">
        <w:rPr>
          <w:rFonts w:eastAsia="Times New Roman"/>
        </w:rPr>
        <w:t>s</w:t>
      </w:r>
      <w:r w:rsidR="008204BE" w:rsidRPr="009C10CE">
        <w:rPr>
          <w:rFonts w:eastAsia="Times New Roman"/>
        </w:rPr>
        <w:t xml:space="preserve"> IPOs with an offering price less than $5 per share, American Depositary Receipts (ADRs) and financial firms, unit issues and simultaneous offerings. Furthermore, for the sake of standardi</w:t>
      </w:r>
      <w:r w:rsidR="007A4E45">
        <w:rPr>
          <w:rFonts w:eastAsia="Times New Roman"/>
        </w:rPr>
        <w:t>z</w:t>
      </w:r>
      <w:r w:rsidR="008204BE" w:rsidRPr="009C10CE">
        <w:rPr>
          <w:rFonts w:eastAsia="Times New Roman"/>
        </w:rPr>
        <w:t xml:space="preserve">ation, IPO firms </w:t>
      </w:r>
      <w:r w:rsidR="00B33348">
        <w:rPr>
          <w:rFonts w:eastAsia="Times New Roman"/>
        </w:rPr>
        <w:t>that</w:t>
      </w:r>
      <w:r w:rsidR="00B33348" w:rsidRPr="009C10CE">
        <w:rPr>
          <w:rFonts w:eastAsia="Times New Roman"/>
        </w:rPr>
        <w:t xml:space="preserve"> </w:t>
      </w:r>
      <w:r w:rsidR="008204BE" w:rsidRPr="009C10CE">
        <w:rPr>
          <w:rFonts w:eastAsia="Times New Roman"/>
        </w:rPr>
        <w:t xml:space="preserve">do not file </w:t>
      </w:r>
      <w:r w:rsidR="008204BE" w:rsidRPr="009C10CE">
        <w:rPr>
          <w:rFonts w:eastAsia="Times New Roman"/>
        </w:rPr>
        <w:lastRenderedPageBreak/>
        <w:t xml:space="preserve">S-1 filings are excluded. Accounting data are then obtained from </w:t>
      </w:r>
      <w:proofErr w:type="spellStart"/>
      <w:r w:rsidR="008204BE" w:rsidRPr="009C10CE">
        <w:rPr>
          <w:rFonts w:eastAsia="Times New Roman"/>
        </w:rPr>
        <w:t>Compustat</w:t>
      </w:r>
      <w:proofErr w:type="spellEnd"/>
      <w:r w:rsidR="008204BE" w:rsidRPr="009C10CE">
        <w:rPr>
          <w:rFonts w:eastAsia="Times New Roman"/>
        </w:rPr>
        <w:t xml:space="preserve">, and corporate governance data are obtained from </w:t>
      </w:r>
      <w:r w:rsidR="000C351B">
        <w:rPr>
          <w:rFonts w:eastAsia="Times New Roman"/>
        </w:rPr>
        <w:t xml:space="preserve">Refinitiv </w:t>
      </w:r>
      <w:r w:rsidR="008204BE" w:rsidRPr="009C10CE">
        <w:rPr>
          <w:rFonts w:eastAsia="Times New Roman"/>
        </w:rPr>
        <w:t xml:space="preserve">Eikon. The final sample consists of 799 IPOs with all necessary data available, of which 722 are classified as EGC IPOs </w:t>
      </w:r>
      <w:r w:rsidR="00040BBE">
        <w:rPr>
          <w:rFonts w:eastAsia="Times New Roman"/>
        </w:rPr>
        <w:t xml:space="preserve">(i.e., </w:t>
      </w:r>
      <w:r w:rsidR="008204BE" w:rsidRPr="009C10CE">
        <w:rPr>
          <w:rFonts w:eastAsia="Times New Roman"/>
        </w:rPr>
        <w:t>hav</w:t>
      </w:r>
      <w:r w:rsidR="00040BBE">
        <w:rPr>
          <w:rFonts w:eastAsia="Times New Roman"/>
        </w:rPr>
        <w:t>e</w:t>
      </w:r>
      <w:r w:rsidR="008204BE" w:rsidRPr="009C10CE">
        <w:rPr>
          <w:rFonts w:eastAsia="Times New Roman"/>
        </w:rPr>
        <w:t xml:space="preserve"> less than $1 billion in revenues in their most recent fiscal year</w:t>
      </w:r>
      <w:r w:rsidR="00D1154A">
        <w:rPr>
          <w:rFonts w:eastAsia="Times New Roman"/>
        </w:rPr>
        <w:t>)</w:t>
      </w:r>
      <w:r w:rsidR="008204BE" w:rsidRPr="009C10CE">
        <w:rPr>
          <w:rFonts w:eastAsia="Times New Roman"/>
        </w:rPr>
        <w:t>.</w:t>
      </w:r>
      <w:r w:rsidR="008204BE" w:rsidRPr="00BF4CF3">
        <w:rPr>
          <w:rFonts w:eastAsia="Times New Roman"/>
        </w:rPr>
        <w:t xml:space="preserve"> The sample selection process is detailed in </w:t>
      </w:r>
      <w:r w:rsidR="008204BE" w:rsidRPr="007721A9">
        <w:rPr>
          <w:rFonts w:eastAsia="Times New Roman"/>
        </w:rPr>
        <w:t>Table 1.</w:t>
      </w:r>
      <w:r w:rsidR="008204BE">
        <w:rPr>
          <w:rFonts w:eastAsia="Times New Roman"/>
        </w:rPr>
        <w:t xml:space="preserve"> </w:t>
      </w:r>
      <w:r w:rsidR="008204BE" w:rsidRPr="00B34AB8">
        <w:rPr>
          <w:rFonts w:eastAsia="Times New Roman"/>
        </w:rPr>
        <w:t>For</w:t>
      </w:r>
      <w:r w:rsidR="008204BE">
        <w:rPr>
          <w:rFonts w:eastAsia="Times New Roman"/>
        </w:rPr>
        <w:t xml:space="preserve"> </w:t>
      </w:r>
      <w:r w:rsidR="008204BE" w:rsidRPr="00B34AB8">
        <w:rPr>
          <w:rFonts w:eastAsia="Times New Roman"/>
        </w:rPr>
        <w:t>each IPO in the sample, all relevant SEC comment letters are manually identified and collected from</w:t>
      </w:r>
      <w:r w:rsidR="008204BE" w:rsidRPr="003A04BF">
        <w:rPr>
          <w:rFonts w:eastAsia="Times New Roman"/>
        </w:rPr>
        <w:t xml:space="preserve"> the SEC EDGAR database.</w:t>
      </w:r>
      <w:r w:rsidR="008204BE" w:rsidRPr="00BF4CF3">
        <w:rPr>
          <w:rStyle w:val="FootnoteReference"/>
          <w:rFonts w:eastAsia="Times New Roman"/>
        </w:rPr>
        <w:footnoteReference w:id="5"/>
      </w:r>
      <w:bookmarkStart w:id="11" w:name="_Ref50710790"/>
    </w:p>
    <w:p w14:paraId="4E2C9D1A" w14:textId="0D9E68D9" w:rsidR="008204BE" w:rsidRPr="0044478F" w:rsidRDefault="008204BE" w:rsidP="005B0E9E">
      <w:pPr>
        <w:spacing w:before="240" w:after="240" w:line="480" w:lineRule="auto"/>
        <w:jc w:val="center"/>
        <w:rPr>
          <w:b/>
          <w:bCs/>
          <w:noProof/>
          <w:color w:val="000000" w:themeColor="text1"/>
        </w:rPr>
      </w:pPr>
      <w:r>
        <w:rPr>
          <w:rFonts w:eastAsia="Times New Roman"/>
          <w:b/>
          <w:bCs/>
        </w:rPr>
        <w:t>[Table 1 about here]</w:t>
      </w:r>
    </w:p>
    <w:p w14:paraId="2093D8D9" w14:textId="77777777" w:rsidR="008204BE" w:rsidRPr="00E859F9" w:rsidRDefault="008204BE" w:rsidP="005B0E9E">
      <w:pPr>
        <w:pStyle w:val="ListParagraph"/>
        <w:numPr>
          <w:ilvl w:val="1"/>
          <w:numId w:val="29"/>
        </w:numPr>
        <w:spacing w:before="240" w:after="240" w:line="480" w:lineRule="auto"/>
        <w:ind w:left="360"/>
        <w:outlineLvl w:val="1"/>
      </w:pPr>
      <w:bookmarkStart w:id="12" w:name="_Toc69749281"/>
      <w:bookmarkEnd w:id="11"/>
      <w:r w:rsidRPr="00E859F9">
        <w:rPr>
          <w:rFonts w:eastAsia="Times New Roman"/>
          <w:b/>
          <w:bCs/>
        </w:rPr>
        <w:t>Coding of SEC comment letters</w:t>
      </w:r>
    </w:p>
    <w:p w14:paraId="12FB1D08" w14:textId="54B66791" w:rsidR="008204BE" w:rsidRPr="00751FA8" w:rsidRDefault="008204BE" w:rsidP="005B0E9E">
      <w:pPr>
        <w:spacing w:before="240" w:after="240" w:line="480" w:lineRule="auto"/>
        <w:jc w:val="both"/>
        <w:rPr>
          <w:rFonts w:eastAsia="Times New Roman"/>
        </w:rPr>
      </w:pPr>
      <w:r w:rsidRPr="00E859F9">
        <w:rPr>
          <w:rFonts w:eastAsia="Times New Roman"/>
        </w:rPr>
        <w:t>As we are interested in examining how the focus of SEC comments change following the JOBS Act, we perform manual content analysis of themes covered in a training sample of comments from initial comment letters,</w:t>
      </w:r>
      <w:r>
        <w:rPr>
          <w:rStyle w:val="FootnoteReference"/>
          <w:rFonts w:eastAsia="Times New Roman"/>
        </w:rPr>
        <w:footnoteReference w:id="6"/>
      </w:r>
      <w:r>
        <w:rPr>
          <w:rFonts w:eastAsia="Times New Roman"/>
        </w:rPr>
        <w:t xml:space="preserve"> </w:t>
      </w:r>
      <w:r w:rsidRPr="00E859F9">
        <w:rPr>
          <w:rFonts w:eastAsia="Times New Roman"/>
        </w:rPr>
        <w:t xml:space="preserve">and employ Naïve Bayes machine learning to apply the coding to our full sample. We begin by adapting the coding scheme developed by </w:t>
      </w:r>
      <w:proofErr w:type="spellStart"/>
      <w:r w:rsidRPr="00E859F9">
        <w:rPr>
          <w:rFonts w:eastAsia="Times New Roman"/>
        </w:rPr>
        <w:t>Ertimur</w:t>
      </w:r>
      <w:proofErr w:type="spellEnd"/>
      <w:r w:rsidRPr="00E859F9">
        <w:rPr>
          <w:rFonts w:eastAsia="Times New Roman"/>
        </w:rPr>
        <w:t xml:space="preserve"> </w:t>
      </w:r>
      <w:r w:rsidR="00091A11">
        <w:rPr>
          <w:rFonts w:eastAsia="Times New Roman"/>
        </w:rPr>
        <w:t>and</w:t>
      </w:r>
      <w:r w:rsidRPr="00E859F9">
        <w:rPr>
          <w:rFonts w:eastAsia="Times New Roman"/>
        </w:rPr>
        <w:t xml:space="preserve"> </w:t>
      </w:r>
      <w:proofErr w:type="spellStart"/>
      <w:r w:rsidRPr="00E859F9">
        <w:rPr>
          <w:rFonts w:eastAsia="Times New Roman"/>
        </w:rPr>
        <w:t>Nondorf</w:t>
      </w:r>
      <w:proofErr w:type="spellEnd"/>
      <w:r w:rsidRPr="00E859F9">
        <w:rPr>
          <w:rFonts w:eastAsia="Times New Roman"/>
        </w:rPr>
        <w:t xml:space="preserve"> (2006) to reflect seven main themes we find reflected in SEC comments on S-1 filings, namely</w:t>
      </w:r>
      <w:r>
        <w:rPr>
          <w:rFonts w:eastAsia="Times New Roman"/>
        </w:rPr>
        <w:t xml:space="preserve"> </w:t>
      </w:r>
      <w:r w:rsidRPr="00E859F9">
        <w:rPr>
          <w:rFonts w:eastAsia="Times New Roman"/>
        </w:rPr>
        <w:t xml:space="preserve">core accounting; (2) non-core accounting; (3) offering-related; (4) business-related; (5) corporate governance-related; (6) disclosure-related; and (7) other. Each broad theme is then divided into a total of 45 individual headings, as detailed in Appendix </w:t>
      </w:r>
      <w:proofErr w:type="spellStart"/>
      <w:proofErr w:type="gramStart"/>
      <w:r w:rsidRPr="00E859F9">
        <w:rPr>
          <w:rFonts w:eastAsia="Times New Roman"/>
        </w:rPr>
        <w:t>B.</w:t>
      </w:r>
      <w:bookmarkStart w:id="13" w:name="page12"/>
      <w:bookmarkEnd w:id="13"/>
      <w:r w:rsidRPr="00E859F9">
        <w:rPr>
          <w:rFonts w:eastAsia="Times New Roman"/>
        </w:rPr>
        <w:t>We</w:t>
      </w:r>
      <w:proofErr w:type="spellEnd"/>
      <w:proofErr w:type="gramEnd"/>
      <w:r w:rsidRPr="00E859F9">
        <w:rPr>
          <w:rFonts w:eastAsia="Times New Roman"/>
        </w:rPr>
        <w:t xml:space="preserve"> then manually code a sub-sample of 4,807 comments from a random sample of 261 comment letters to use as a training dataset for </w:t>
      </w:r>
      <w:r w:rsidR="00B33348">
        <w:rPr>
          <w:rFonts w:eastAsia="Times New Roman"/>
        </w:rPr>
        <w:t xml:space="preserve">the </w:t>
      </w:r>
      <w:r w:rsidRPr="00E859F9">
        <w:rPr>
          <w:rFonts w:eastAsia="Times New Roman"/>
        </w:rPr>
        <w:t xml:space="preserve">development of the machine learning algorithm that codes the remaining 16,440 comments. Specifically, we use the Naïve Bayesian algorithm, a </w:t>
      </w:r>
      <w:proofErr w:type="gramStart"/>
      <w:r w:rsidRPr="00E859F9">
        <w:rPr>
          <w:rFonts w:eastAsia="Times New Roman"/>
        </w:rPr>
        <w:t>commonly-used</w:t>
      </w:r>
      <w:proofErr w:type="gramEnd"/>
      <w:r w:rsidRPr="00E859F9">
        <w:rPr>
          <w:rFonts w:eastAsia="Times New Roman"/>
        </w:rPr>
        <w:t xml:space="preserve"> coding method in the area of text classification (</w:t>
      </w:r>
      <w:proofErr w:type="spellStart"/>
      <w:r w:rsidRPr="00E859F9">
        <w:rPr>
          <w:rFonts w:eastAsia="Times New Roman"/>
        </w:rPr>
        <w:t>Ryans</w:t>
      </w:r>
      <w:proofErr w:type="spellEnd"/>
      <w:r w:rsidRPr="00E859F9">
        <w:rPr>
          <w:rFonts w:eastAsia="Times New Roman"/>
        </w:rPr>
        <w:t>, 20</w:t>
      </w:r>
      <w:r w:rsidR="00F85C8C">
        <w:rPr>
          <w:rFonts w:eastAsia="Times New Roman"/>
        </w:rPr>
        <w:t>21</w:t>
      </w:r>
      <w:r w:rsidRPr="00E859F9">
        <w:rPr>
          <w:rFonts w:eastAsia="Times New Roman"/>
        </w:rPr>
        <w:t xml:space="preserve">). Applying the Naïve Bayesian algorithm, we categorize each </w:t>
      </w:r>
      <w:r w:rsidRPr="00E859F9">
        <w:rPr>
          <w:rFonts w:eastAsia="Times New Roman"/>
        </w:rPr>
        <w:lastRenderedPageBreak/>
        <w:t>comment as relating to one of the 45 individual headings of our coding scheme. Under the Naïve Bayes algorithm, each comment is first converted into a set of words or word phrases (</w:t>
      </w:r>
      <w:r w:rsidRPr="00E859F9">
        <w:rPr>
          <w:rFonts w:eastAsia="Times New Roman"/>
          <w:i/>
          <w:iCs/>
        </w:rPr>
        <w:t>vector of words or phrases</w:t>
      </w:r>
      <w:r w:rsidRPr="00E859F9">
        <w:rPr>
          <w:rFonts w:eastAsia="Times New Roman"/>
        </w:rPr>
        <w:t>). The Bayes theorem is then applied to determine the type of comment as that with the highest conditional probability given the words and/or phrases contained in the comment, as follows:</w:t>
      </w:r>
    </w:p>
    <w:p w14:paraId="469569D6" w14:textId="77777777" w:rsidR="008204BE" w:rsidRPr="00A12DC4" w:rsidRDefault="00000000" w:rsidP="005B0E9E">
      <w:pPr>
        <w:spacing w:after="160" w:line="480" w:lineRule="auto"/>
      </w:pPr>
      <m:oMath>
        <m:sSub>
          <m:sSubPr>
            <m:ctrlPr>
              <w:rPr>
                <w:rFonts w:ascii="Cambria Math" w:hAnsi="Cambria Math"/>
              </w:rPr>
            </m:ctrlPr>
          </m:sSubPr>
          <m:e>
            <m:r>
              <m:rPr>
                <m:nor/>
              </m:rPr>
              <m:t>issue type</m:t>
            </m:r>
          </m:e>
          <m:sub>
            <m:r>
              <m:rPr>
                <m:nor/>
              </m:rPr>
              <m:t>j</m:t>
            </m:r>
          </m:sub>
        </m:sSub>
        <m:r>
          <m:rPr>
            <m:nor/>
          </m:rPr>
          <m:t xml:space="preserve"> =</m:t>
        </m:r>
        <m:limLow>
          <m:limLowPr>
            <m:ctrlPr>
              <w:rPr>
                <w:rFonts w:ascii="Cambria Math" w:hAnsi="Cambria Math"/>
                <w:lang w:eastAsia="en-US"/>
              </w:rPr>
            </m:ctrlPr>
          </m:limLowPr>
          <m:e>
            <m:r>
              <m:rPr>
                <m:nor/>
              </m:rPr>
              <m:t>arg</m:t>
            </m:r>
            <m:r>
              <m:rPr>
                <m:nor/>
              </m:rPr>
              <w:rPr>
                <w:lang w:eastAsia="en-US"/>
              </w:rPr>
              <m:t>max</m:t>
            </m:r>
          </m:e>
          <m:lim>
            <m:sSub>
              <m:sSubPr>
                <m:ctrlPr>
                  <w:rPr>
                    <w:rFonts w:ascii="Cambria Math" w:hAnsi="Cambria Math"/>
                  </w:rPr>
                </m:ctrlPr>
              </m:sSubPr>
              <m:e>
                <m:r>
                  <m:rPr>
                    <m:nor/>
                  </m:rPr>
                  <m:t>issue type</m:t>
                </m:r>
              </m:e>
              <m:sub>
                <w:proofErr w:type="spellStart"/>
                <m:r>
                  <m:rPr>
                    <m:nor/>
                  </m:rPr>
                  <m:t>i</m:t>
                </m:r>
                <w:proofErr w:type="spellEnd"/>
              </m:sub>
            </m:sSub>
            <m:r>
              <m:rPr>
                <m:nor/>
              </m:rPr>
              <m:t xml:space="preserve"> </m:t>
            </m:r>
            <m:r>
              <m:rPr>
                <m:nor/>
              </m:rPr>
              <w:rPr>
                <w:rFonts w:ascii="Cambria Math" w:hAnsi="Cambria Math" w:cs="Cambria Math"/>
              </w:rPr>
              <m:t>∈</m:t>
            </m:r>
            <m:r>
              <m:rPr>
                <m:nor/>
              </m:rPr>
              <m:t xml:space="preserve">  45 issue types </m:t>
            </m:r>
          </m:lim>
        </m:limLow>
        <m:r>
          <m:rPr>
            <m:nor/>
          </m:rPr>
          <m:t xml:space="preserve"> P</m:t>
        </m:r>
        <m:d>
          <m:dPr>
            <m:ctrlPr>
              <w:rPr>
                <w:rFonts w:ascii="Cambria Math" w:hAnsi="Cambria Math"/>
              </w:rPr>
            </m:ctrlPr>
          </m:dPr>
          <m:e>
            <m:sSub>
              <m:sSubPr>
                <m:ctrlPr>
                  <w:rPr>
                    <w:rFonts w:ascii="Cambria Math" w:hAnsi="Cambria Math"/>
                  </w:rPr>
                </m:ctrlPr>
              </m:sSubPr>
              <m:e>
                <m:r>
                  <m:rPr>
                    <m:nor/>
                  </m:rPr>
                  <m:t>issue type</m:t>
                </m:r>
              </m:e>
              <m:sub>
                <w:proofErr w:type="spellStart"/>
                <m:r>
                  <m:rPr>
                    <m:nor/>
                  </m:rPr>
                  <m:t>i</m:t>
                </m:r>
                <w:proofErr w:type="spellEnd"/>
              </m:sub>
            </m:sSub>
          </m:e>
          <m:e>
            <m:sSub>
              <m:sSubPr>
                <m:ctrlPr>
                  <w:rPr>
                    <w:rFonts w:ascii="Cambria Math" w:hAnsi="Cambria Math"/>
                  </w:rPr>
                </m:ctrlPr>
              </m:sSubPr>
              <m:e>
                <m:r>
                  <m:rPr>
                    <m:nor/>
                  </m:rPr>
                  <m:t>vector of words or phrases</m:t>
                </m:r>
              </m:e>
              <m:sub>
                <m:r>
                  <m:rPr>
                    <m:nor/>
                  </m:rPr>
                  <m:t>j</m:t>
                </m:r>
              </m:sub>
            </m:sSub>
          </m:e>
        </m:d>
      </m:oMath>
      <w:r w:rsidR="008204BE" w:rsidRPr="00A12DC4">
        <w:t xml:space="preserve"> </w:t>
      </w:r>
    </w:p>
    <w:p w14:paraId="6D0A1DD7" w14:textId="77777777" w:rsidR="008204BE" w:rsidRPr="00A12DC4" w:rsidRDefault="00000000" w:rsidP="005B0E9E">
      <w:pPr>
        <w:spacing w:after="160" w:line="480" w:lineRule="auto"/>
        <w:ind w:left="567"/>
      </w:pPr>
      <m:oMathPara>
        <m:oMath>
          <m:func>
            <m:funcPr>
              <m:ctrlPr>
                <w:rPr>
                  <w:rFonts w:ascii="Cambria Math" w:hAnsi="Cambria Math"/>
                  <w:lang w:eastAsia="en-US"/>
                </w:rPr>
              </m:ctrlPr>
            </m:funcPr>
            <m:fName>
              <m:r>
                <m:rPr>
                  <m:nor/>
                </m:rPr>
                <w:rPr>
                  <w:lang w:eastAsia="en-US"/>
                </w:rPr>
                <m:t>=</m:t>
              </m:r>
              <m:limLow>
                <m:limLowPr>
                  <m:ctrlPr>
                    <w:rPr>
                      <w:rFonts w:ascii="Cambria Math" w:hAnsi="Cambria Math"/>
                      <w:lang w:eastAsia="en-US"/>
                    </w:rPr>
                  </m:ctrlPr>
                </m:limLowPr>
                <m:e>
                  <m:r>
                    <m:rPr>
                      <m:nor/>
                    </m:rPr>
                    <m:t>arg</m:t>
                  </m:r>
                  <m:r>
                    <m:rPr>
                      <m:nor/>
                    </m:rPr>
                    <w:rPr>
                      <w:lang w:eastAsia="en-US"/>
                    </w:rPr>
                    <m:t>max</m:t>
                  </m:r>
                </m:e>
                <m:lim>
                  <m:sSub>
                    <m:sSubPr>
                      <m:ctrlPr>
                        <w:rPr>
                          <w:rFonts w:ascii="Cambria Math" w:hAnsi="Cambria Math"/>
                        </w:rPr>
                      </m:ctrlPr>
                    </m:sSubPr>
                    <m:e>
                      <m:r>
                        <m:rPr>
                          <m:nor/>
                        </m:rPr>
                        <m:t>issue type</m:t>
                      </m:r>
                    </m:e>
                    <m:sub>
                      <w:proofErr w:type="spellStart"/>
                      <m:r>
                        <m:rPr>
                          <m:nor/>
                        </m:rPr>
                        <m:t>i</m:t>
                      </m:r>
                      <w:proofErr w:type="spellEnd"/>
                    </m:sub>
                  </m:sSub>
                  <m:r>
                    <m:rPr>
                      <m:nor/>
                    </m:rPr>
                    <m:t xml:space="preserve"> </m:t>
                  </m:r>
                  <m:r>
                    <m:rPr>
                      <m:nor/>
                    </m:rPr>
                    <w:rPr>
                      <w:rFonts w:ascii="Cambria Math" w:hAnsi="Cambria Math" w:cs="Cambria Math"/>
                    </w:rPr>
                    <m:t>∈</m:t>
                  </m:r>
                  <m:r>
                    <m:rPr>
                      <m:nor/>
                    </m:rPr>
                    <m:t xml:space="preserve"> 45 issue types</m:t>
                  </m:r>
                </m:lim>
              </m:limLow>
            </m:fName>
            <m:e>
              <m:f>
                <m:fPr>
                  <m:ctrlPr>
                    <w:rPr>
                      <w:rFonts w:ascii="Cambria Math" w:hAnsi="Cambria Math"/>
                    </w:rPr>
                  </m:ctrlPr>
                </m:fPr>
                <m:num>
                  <m:r>
                    <m:rPr>
                      <m:nor/>
                    </m:rPr>
                    <m:t>P</m:t>
                  </m:r>
                  <m:d>
                    <m:dPr>
                      <m:ctrlPr>
                        <w:rPr>
                          <w:rFonts w:ascii="Cambria Math" w:hAnsi="Cambria Math"/>
                        </w:rPr>
                      </m:ctrlPr>
                    </m:dPr>
                    <m:e>
                      <m:sSub>
                        <m:sSubPr>
                          <m:ctrlPr>
                            <w:rPr>
                              <w:rFonts w:ascii="Cambria Math" w:hAnsi="Cambria Math"/>
                            </w:rPr>
                          </m:ctrlPr>
                        </m:sSubPr>
                        <m:e>
                          <m:r>
                            <m:rPr>
                              <m:nor/>
                            </m:rPr>
                            <m:t>vector of words or phrases</m:t>
                          </m:r>
                        </m:e>
                        <m:sub>
                          <m:r>
                            <m:rPr>
                              <m:nor/>
                            </m:rPr>
                            <m:t>j</m:t>
                          </m:r>
                        </m:sub>
                      </m:sSub>
                    </m:e>
                    <m:e>
                      <m:sSub>
                        <m:sSubPr>
                          <m:ctrlPr>
                            <w:rPr>
                              <w:rFonts w:ascii="Cambria Math" w:hAnsi="Cambria Math"/>
                            </w:rPr>
                          </m:ctrlPr>
                        </m:sSubPr>
                        <m:e>
                          <m:r>
                            <m:rPr>
                              <m:nor/>
                            </m:rPr>
                            <m:t>issue type</m:t>
                          </m:r>
                        </m:e>
                        <m:sub>
                          <w:proofErr w:type="spellStart"/>
                          <m:r>
                            <m:rPr>
                              <m:nor/>
                            </m:rPr>
                            <m:t>i</m:t>
                          </m:r>
                          <w:proofErr w:type="spellEnd"/>
                        </m:sub>
                      </m:sSub>
                    </m:e>
                  </m:d>
                  <m:r>
                    <m:rPr>
                      <m:nor/>
                    </m:rPr>
                    <m:t>*P(</m:t>
                  </m:r>
                  <m:sSub>
                    <m:sSubPr>
                      <m:ctrlPr>
                        <w:rPr>
                          <w:rFonts w:ascii="Cambria Math" w:hAnsi="Cambria Math"/>
                        </w:rPr>
                      </m:ctrlPr>
                    </m:sSubPr>
                    <m:e>
                      <m:r>
                        <m:rPr>
                          <m:nor/>
                        </m:rPr>
                        <m:t>issue type</m:t>
                      </m:r>
                    </m:e>
                    <m:sub>
                      <w:proofErr w:type="spellStart"/>
                      <m:r>
                        <m:rPr>
                          <m:nor/>
                        </m:rPr>
                        <m:t>i</m:t>
                      </m:r>
                      <w:proofErr w:type="spellEnd"/>
                    </m:sub>
                  </m:sSub>
                  <m:r>
                    <m:rPr>
                      <m:nor/>
                    </m:rPr>
                    <m:t>)</m:t>
                  </m:r>
                </m:num>
                <m:den>
                  <m:r>
                    <m:rPr>
                      <m:nor/>
                    </m:rPr>
                    <m:t>P(</m:t>
                  </m:r>
                  <m:sSub>
                    <m:sSubPr>
                      <m:ctrlPr>
                        <w:rPr>
                          <w:rFonts w:ascii="Cambria Math" w:hAnsi="Cambria Math"/>
                        </w:rPr>
                      </m:ctrlPr>
                    </m:sSubPr>
                    <m:e>
                      <m:r>
                        <m:rPr>
                          <m:nor/>
                        </m:rPr>
                        <m:t>vector of words or phrases</m:t>
                      </m:r>
                    </m:e>
                    <m:sub>
                      <m:r>
                        <m:rPr>
                          <m:nor/>
                        </m:rPr>
                        <m:t>j</m:t>
                      </m:r>
                    </m:sub>
                  </m:sSub>
                  <m:r>
                    <m:rPr>
                      <m:nor/>
                    </m:rPr>
                    <m:t>)</m:t>
                  </m:r>
                </m:den>
              </m:f>
            </m:e>
          </m:func>
          <m:r>
            <w:rPr>
              <w:rFonts w:ascii="Cambria Math" w:hAnsi="Cambria Math"/>
            </w:rPr>
            <m:t xml:space="preserve">    (1)</m:t>
          </m:r>
        </m:oMath>
      </m:oMathPara>
    </w:p>
    <w:p w14:paraId="3827BEE9" w14:textId="2BE8A41D" w:rsidR="008204BE" w:rsidRPr="00E859F9" w:rsidRDefault="008204BE" w:rsidP="005B0E9E">
      <w:pPr>
        <w:spacing w:before="240" w:after="240" w:line="480" w:lineRule="auto"/>
        <w:jc w:val="both"/>
      </w:pPr>
      <w:r w:rsidRPr="00A12DC4">
        <w:t xml:space="preserve">where </w:t>
      </w:r>
      <m:oMath>
        <m:sSub>
          <m:sSubPr>
            <m:ctrlPr>
              <w:rPr>
                <w:rFonts w:ascii="Cambria Math" w:hAnsi="Cambria Math"/>
                <w:i/>
              </w:rPr>
            </m:ctrlPr>
          </m:sSubPr>
          <m:e>
            <m:r>
              <m:rPr>
                <m:nor/>
              </m:rPr>
              <w:rPr>
                <w:i/>
              </w:rPr>
              <m:t>issue type</m:t>
            </m:r>
          </m:e>
          <m:sub>
            <w:proofErr w:type="spellStart"/>
            <m:r>
              <m:rPr>
                <m:nor/>
              </m:rPr>
              <w:rPr>
                <w:i/>
              </w:rPr>
              <m:t>i</m:t>
            </m:r>
            <w:proofErr w:type="spellEnd"/>
          </m:sub>
        </m:sSub>
      </m:oMath>
      <w:r w:rsidRPr="00A12DC4">
        <w:t xml:space="preserve"> is notation of issue type </w:t>
      </w:r>
      <w:proofErr w:type="spellStart"/>
      <w:r w:rsidRPr="00A12DC4">
        <w:t>i</w:t>
      </w:r>
      <w:proofErr w:type="spellEnd"/>
      <w:r w:rsidRPr="00A12DC4">
        <w:t xml:space="preserve"> developed from the training dataset (</w:t>
      </w:r>
      <m:oMath>
        <m:r>
          <w:rPr>
            <w:rFonts w:ascii="Cambria Math" w:hAnsi="Cambria Math"/>
          </w:rPr>
          <m:t>i∈{A1, A2, …, B1, B2, …, G1})</m:t>
        </m:r>
      </m:oMath>
      <w:r w:rsidRPr="00A12DC4">
        <w:t xml:space="preserve">, </w:t>
      </w:r>
      <m:oMath>
        <m:sSub>
          <m:sSubPr>
            <m:ctrlPr>
              <w:rPr>
                <w:rFonts w:ascii="Cambria Math" w:hAnsi="Cambria Math"/>
                <w:i/>
              </w:rPr>
            </m:ctrlPr>
          </m:sSubPr>
          <m:e>
            <m:r>
              <m:rPr>
                <m:nor/>
              </m:rPr>
              <w:rPr>
                <w:i/>
              </w:rPr>
              <m:t>vector of words or phrases</m:t>
            </m:r>
          </m:e>
          <m:sub>
            <m:r>
              <m:rPr>
                <m:nor/>
              </m:rPr>
              <w:rPr>
                <w:i/>
              </w:rPr>
              <m:t>j</m:t>
            </m:r>
          </m:sub>
        </m:sSub>
        <m:r>
          <w:rPr>
            <w:rFonts w:ascii="Cambria Math" w:hAnsi="Cambria Math"/>
          </w:rPr>
          <m:t xml:space="preserve"> </m:t>
        </m:r>
      </m:oMath>
      <w:r w:rsidRPr="00A12DC4">
        <w:t xml:space="preserve">is vector of words or phrase in “unknown” comment </w:t>
      </w:r>
      <w:r w:rsidRPr="00A12DC4">
        <w:rPr>
          <w:i/>
        </w:rPr>
        <w:t xml:space="preserve">j </w:t>
      </w:r>
      <w:r w:rsidRPr="00A12DC4">
        <w:t>in the remaining dataset</w:t>
      </w:r>
      <w:r w:rsidRPr="00A12DC4">
        <w:rPr>
          <w:i/>
        </w:rPr>
        <w:t xml:space="preserve"> </w:t>
      </w:r>
      <w:r w:rsidRPr="00A12DC4">
        <w:t xml:space="preserve"> (</w:t>
      </w:r>
      <m:oMath>
        <m:r>
          <w:rPr>
            <w:rFonts w:ascii="Cambria Math" w:hAnsi="Cambria Math"/>
          </w:rPr>
          <m:t>j∈{1, 2, 3, …, 16440}</m:t>
        </m:r>
      </m:oMath>
      <w:r w:rsidRPr="00A12DC4">
        <w:t xml:space="preserve">), </w:t>
      </w:r>
      <m:oMath>
        <m:sSub>
          <m:sSubPr>
            <m:ctrlPr>
              <w:rPr>
                <w:rFonts w:ascii="Cambria Math" w:hAnsi="Cambria Math"/>
                <w:i/>
              </w:rPr>
            </m:ctrlPr>
          </m:sSubPr>
          <m:e>
            <m:r>
              <m:rPr>
                <m:nor/>
              </m:rPr>
              <w:rPr>
                <w:i/>
              </w:rPr>
              <m:t>issue type</m:t>
            </m:r>
          </m:e>
          <m:sub>
            <m:r>
              <m:rPr>
                <m:nor/>
              </m:rPr>
              <w:rPr>
                <w:i/>
              </w:rPr>
              <m:t>j</m:t>
            </m:r>
          </m:sub>
        </m:sSub>
      </m:oMath>
      <w:r w:rsidRPr="00A12DC4">
        <w:t xml:space="preserve"> is notation of </w:t>
      </w:r>
      <w:r w:rsidRPr="00E859F9">
        <w:rPr>
          <w:rFonts w:eastAsia="Times New Roman"/>
        </w:rPr>
        <w:t xml:space="preserve">issue type categorized for comment </w:t>
      </w:r>
      <w:r w:rsidRPr="00E859F9">
        <w:rPr>
          <w:rFonts w:eastAsia="Times New Roman"/>
          <w:i/>
          <w:iCs/>
        </w:rPr>
        <w:t>j</w:t>
      </w:r>
      <w:r w:rsidRPr="00E859F9">
        <w:rPr>
          <w:rFonts w:eastAsia="Times New Roman"/>
        </w:rPr>
        <w:t xml:space="preserve"> in the remaining dataset. An important assumption in Naïve Bayes algorithm, where the adjective “Naïve” comes from, is that the probability of a feature does not affect the probability of other features in a dataset. This assumption makes the calculation of the algorithm simpler and mitigates the “curse of dimensionality” </w:t>
      </w:r>
      <w:r w:rsidR="00332780">
        <w:rPr>
          <w:rFonts w:eastAsia="Times New Roman"/>
        </w:rPr>
        <w:t xml:space="preserve">issue </w:t>
      </w:r>
      <w:r w:rsidRPr="00E859F9">
        <w:rPr>
          <w:rFonts w:eastAsia="Times New Roman"/>
        </w:rPr>
        <w:t xml:space="preserve">(Bellman, 1961). Therefore, </w:t>
      </w:r>
      <w:r w:rsidR="001F21EC">
        <w:rPr>
          <w:rFonts w:eastAsia="Times New Roman"/>
        </w:rPr>
        <w:t xml:space="preserve">it is </w:t>
      </w:r>
      <w:r w:rsidRPr="00E859F9">
        <w:rPr>
          <w:rFonts w:eastAsia="Times New Roman"/>
        </w:rPr>
        <w:t>assume</w:t>
      </w:r>
      <w:r w:rsidR="001F21EC">
        <w:rPr>
          <w:rFonts w:eastAsia="Times New Roman"/>
        </w:rPr>
        <w:t>d</w:t>
      </w:r>
      <w:r w:rsidRPr="00E859F9">
        <w:rPr>
          <w:rFonts w:eastAsia="Times New Roman"/>
        </w:rPr>
        <w:t xml:space="preserve"> that </w:t>
      </w:r>
      <w:r w:rsidR="00C272D4">
        <w:rPr>
          <w:rFonts w:eastAsia="Times New Roman"/>
        </w:rPr>
        <w:t xml:space="preserve">the </w:t>
      </w:r>
      <w:r w:rsidRPr="00E859F9">
        <w:rPr>
          <w:rFonts w:eastAsia="Times New Roman"/>
        </w:rPr>
        <w:t>probability of occurrence of each word or phrase is mutually independent.</w:t>
      </w:r>
    </w:p>
    <w:p w14:paraId="67D3C995" w14:textId="449E54E5" w:rsidR="008204BE" w:rsidRPr="00E859F9" w:rsidRDefault="008204BE" w:rsidP="005B0E9E">
      <w:pPr>
        <w:spacing w:before="240" w:after="240" w:line="480" w:lineRule="auto"/>
        <w:jc w:val="both"/>
      </w:pPr>
      <w:r w:rsidRPr="00E859F9">
        <w:rPr>
          <w:rFonts w:eastAsia="Times New Roman"/>
        </w:rPr>
        <w:t>To validate the effectiveness of the Naïve Bayesian algorithm, we conduct N-fold cross-validation tests with N = 10. According to Li (2010), the N-fold cross-validation test is unbiased toward training data and can discover both underfitting and overfitting. Since the coding scheme includes a wide range of themes (45 individual codes), there is a risk of low coding accuracy (</w:t>
      </w:r>
      <w:proofErr w:type="spellStart"/>
      <w:r w:rsidRPr="00E859F9">
        <w:rPr>
          <w:rFonts w:eastAsia="Times New Roman"/>
        </w:rPr>
        <w:t>Eskin</w:t>
      </w:r>
      <w:proofErr w:type="spellEnd"/>
      <w:r w:rsidRPr="00E859F9">
        <w:rPr>
          <w:rFonts w:eastAsia="Times New Roman"/>
        </w:rPr>
        <w:t xml:space="preserve"> &amp; </w:t>
      </w:r>
      <w:proofErr w:type="spellStart"/>
      <w:r w:rsidRPr="00E859F9">
        <w:rPr>
          <w:rFonts w:eastAsia="Times New Roman"/>
        </w:rPr>
        <w:lastRenderedPageBreak/>
        <w:t>Bogosian</w:t>
      </w:r>
      <w:proofErr w:type="spellEnd"/>
      <w:r w:rsidRPr="00E859F9">
        <w:rPr>
          <w:rFonts w:eastAsia="Times New Roman"/>
        </w:rPr>
        <w:t xml:space="preserve">, 1998; Long et al., 2009). For instance, </w:t>
      </w:r>
      <w:proofErr w:type="gramStart"/>
      <w:r w:rsidRPr="00E859F9">
        <w:rPr>
          <w:rFonts w:eastAsia="Times New Roman"/>
        </w:rPr>
        <w:t>Long</w:t>
      </w:r>
      <w:proofErr w:type="gramEnd"/>
      <w:r w:rsidRPr="00E859F9">
        <w:rPr>
          <w:rFonts w:eastAsia="Times New Roman"/>
        </w:rPr>
        <w:t xml:space="preserve"> et al. (2009) achieve error rates of 12.4%, 32.9% and 52.3% when employing their Naïve Bayes algorithm with 2, 5 and 10 categories, respectively. Similarly, Li (2010) reports that increasing from 3 to 12 categories reduces the accuracy of his Naïve Bayes algorithm from 82% to 63%. The results, presented in Table 2, reveal accuracy higher than 52% for each of the 7 broad themes</w:t>
      </w:r>
      <w:bookmarkStart w:id="14" w:name="page13"/>
      <w:bookmarkEnd w:id="14"/>
      <w:r w:rsidRPr="00E859F9">
        <w:rPr>
          <w:rFonts w:eastAsia="Times New Roman"/>
        </w:rPr>
        <w:t>. We observe an overall accuracy rate of approximately 65%, which is high given the number of categories in our coding scheme.</w:t>
      </w:r>
    </w:p>
    <w:p w14:paraId="42E94A45" w14:textId="73357F7D" w:rsidR="008204BE" w:rsidRPr="005B25EF" w:rsidRDefault="008204BE" w:rsidP="005B0E9E">
      <w:pPr>
        <w:spacing w:before="240" w:after="240" w:line="480" w:lineRule="auto"/>
        <w:jc w:val="center"/>
      </w:pPr>
      <w:r w:rsidRPr="00E859F9">
        <w:rPr>
          <w:rFonts w:eastAsia="Times New Roman"/>
          <w:b/>
          <w:bCs/>
        </w:rPr>
        <w:t>[</w:t>
      </w:r>
      <w:r w:rsidR="00CC2E1D">
        <w:rPr>
          <w:rFonts w:eastAsia="Times New Roman"/>
          <w:b/>
          <w:bCs/>
        </w:rPr>
        <w:t>T</w:t>
      </w:r>
      <w:r w:rsidRPr="00E859F9">
        <w:rPr>
          <w:rFonts w:eastAsia="Times New Roman"/>
          <w:b/>
          <w:bCs/>
        </w:rPr>
        <w:t>able 2 about here]</w:t>
      </w:r>
    </w:p>
    <w:p w14:paraId="0AD31D8C" w14:textId="77777777" w:rsidR="008204BE" w:rsidRPr="009C10CE" w:rsidRDefault="008204BE" w:rsidP="005B0E9E">
      <w:pPr>
        <w:pStyle w:val="ListParagraph"/>
        <w:numPr>
          <w:ilvl w:val="1"/>
          <w:numId w:val="29"/>
        </w:numPr>
        <w:spacing w:before="240" w:after="240" w:line="480" w:lineRule="auto"/>
        <w:ind w:left="540" w:hanging="540"/>
        <w:contextualSpacing w:val="0"/>
        <w:outlineLvl w:val="1"/>
        <w:rPr>
          <w:b/>
          <w:color w:val="000000" w:themeColor="text1"/>
        </w:rPr>
      </w:pPr>
      <w:r w:rsidRPr="009C10CE">
        <w:rPr>
          <w:rFonts w:eastAsia="Times New Roman"/>
          <w:b/>
          <w:bCs/>
          <w:color w:val="000000" w:themeColor="text1"/>
        </w:rPr>
        <w:t>Key variables</w:t>
      </w:r>
      <w:bookmarkEnd w:id="12"/>
    </w:p>
    <w:p w14:paraId="4F15B23E" w14:textId="0F87AADD" w:rsidR="008204BE" w:rsidRPr="009C10CE" w:rsidRDefault="00AC5A81" w:rsidP="005B0E9E">
      <w:pPr>
        <w:spacing w:before="240" w:after="240" w:line="480" w:lineRule="auto"/>
        <w:jc w:val="both"/>
        <w:rPr>
          <w:rFonts w:eastAsia="Times New Roman"/>
        </w:rPr>
      </w:pPr>
      <w:r>
        <w:rPr>
          <w:rFonts w:eastAsia="Times New Roman"/>
        </w:rPr>
        <w:t>F</w:t>
      </w:r>
      <w:r w:rsidR="008204BE" w:rsidRPr="009C10CE">
        <w:rPr>
          <w:rFonts w:eastAsia="Times New Roman"/>
        </w:rPr>
        <w:t>our main attributes of the IPO approval process</w:t>
      </w:r>
      <w:r>
        <w:rPr>
          <w:rFonts w:eastAsia="Times New Roman"/>
        </w:rPr>
        <w:t xml:space="preserve"> are </w:t>
      </w:r>
      <w:r w:rsidR="00B2431E">
        <w:rPr>
          <w:rFonts w:eastAsia="Times New Roman"/>
        </w:rPr>
        <w:t>operationalized</w:t>
      </w:r>
      <w:r>
        <w:rPr>
          <w:rFonts w:eastAsia="Times New Roman"/>
        </w:rPr>
        <w:t xml:space="preserve"> in this study</w:t>
      </w:r>
      <w:r w:rsidR="008204BE" w:rsidRPr="009C10CE">
        <w:rPr>
          <w:rFonts w:eastAsia="Times New Roman"/>
        </w:rPr>
        <w:t xml:space="preserve">, </w:t>
      </w:r>
      <w:proofErr w:type="gramStart"/>
      <w:r w:rsidR="00844152">
        <w:rPr>
          <w:rFonts w:eastAsia="Times New Roman"/>
        </w:rPr>
        <w:t>namely</w:t>
      </w:r>
      <w:r w:rsidR="008204BE" w:rsidRPr="009C10CE">
        <w:rPr>
          <w:rFonts w:eastAsia="Times New Roman"/>
        </w:rPr>
        <w:t>;</w:t>
      </w:r>
      <w:proofErr w:type="gramEnd"/>
      <w:r w:rsidR="008204BE" w:rsidRPr="009C10CE">
        <w:rPr>
          <w:rFonts w:eastAsia="Times New Roman"/>
        </w:rPr>
        <w:t xml:space="preserve"> </w:t>
      </w:r>
      <w:r w:rsidR="008204BE" w:rsidRPr="009C10CE">
        <w:rPr>
          <w:rFonts w:eastAsia="Times New Roman"/>
          <w:i/>
          <w:iCs/>
        </w:rPr>
        <w:t>Duration</w:t>
      </w:r>
      <w:r w:rsidR="00844152">
        <w:rPr>
          <w:rFonts w:eastAsia="Times New Roman"/>
          <w:i/>
          <w:iCs/>
        </w:rPr>
        <w:t xml:space="preserve">, </w:t>
      </w:r>
      <w:r w:rsidR="008204BE" w:rsidRPr="009C10CE">
        <w:rPr>
          <w:rFonts w:eastAsia="Times New Roman"/>
          <w:i/>
          <w:iCs/>
        </w:rPr>
        <w:t>#Letters</w:t>
      </w:r>
      <w:r w:rsidR="00844152">
        <w:rPr>
          <w:rFonts w:eastAsia="Times New Roman"/>
          <w:i/>
          <w:iCs/>
        </w:rPr>
        <w:t xml:space="preserve">, </w:t>
      </w:r>
      <w:r w:rsidR="008204BE" w:rsidRPr="009C10CE">
        <w:rPr>
          <w:rFonts w:eastAsia="Times New Roman"/>
          <w:i/>
          <w:iCs/>
        </w:rPr>
        <w:t>#Comments</w:t>
      </w:r>
      <w:r w:rsidR="00844152">
        <w:rPr>
          <w:rFonts w:eastAsia="Times New Roman"/>
          <w:i/>
          <w:iCs/>
        </w:rPr>
        <w:t xml:space="preserve">, </w:t>
      </w:r>
      <w:r w:rsidR="008204BE" w:rsidRPr="009C10CE">
        <w:rPr>
          <w:rFonts w:eastAsia="Times New Roman"/>
        </w:rPr>
        <w:t xml:space="preserve">and </w:t>
      </w:r>
      <w:r w:rsidR="008204BE" w:rsidRPr="009C10CE">
        <w:rPr>
          <w:rFonts w:eastAsia="Times New Roman"/>
          <w:i/>
          <w:iCs/>
        </w:rPr>
        <w:t>#Themes</w:t>
      </w:r>
      <w:r w:rsidR="008204BE" w:rsidRPr="009C10CE">
        <w:rPr>
          <w:rFonts w:eastAsia="Times New Roman"/>
        </w:rPr>
        <w:t>.</w:t>
      </w:r>
      <w:r w:rsidR="00162A73">
        <w:rPr>
          <w:rFonts w:eastAsia="Times New Roman"/>
        </w:rPr>
        <w:t xml:space="preserve"> </w:t>
      </w:r>
      <w:r w:rsidR="008204BE" w:rsidRPr="009C10CE">
        <w:rPr>
          <w:rFonts w:eastAsia="Times New Roman"/>
          <w:i/>
          <w:iCs/>
        </w:rPr>
        <w:t xml:space="preserve">Duration </w:t>
      </w:r>
      <w:r w:rsidR="008204BE" w:rsidRPr="009C10CE">
        <w:rPr>
          <w:rFonts w:eastAsia="Times New Roman"/>
        </w:rPr>
        <w:t xml:space="preserve">is measured by calculating the number of days from the filing date of </w:t>
      </w:r>
      <w:r w:rsidR="006E082A">
        <w:rPr>
          <w:rFonts w:eastAsia="Times New Roman"/>
        </w:rPr>
        <w:t xml:space="preserve">the </w:t>
      </w:r>
      <w:r w:rsidR="008204BE" w:rsidRPr="009C10CE">
        <w:rPr>
          <w:rFonts w:eastAsia="Times New Roman"/>
        </w:rPr>
        <w:t>initial S-1 to</w:t>
      </w:r>
      <w:r w:rsidR="008204BE" w:rsidRPr="009C10CE">
        <w:rPr>
          <w:rFonts w:eastAsia="Times New Roman"/>
          <w:i/>
          <w:iCs/>
        </w:rPr>
        <w:t xml:space="preserve"> </w:t>
      </w:r>
      <w:r w:rsidR="008204BE" w:rsidRPr="009C10CE">
        <w:rPr>
          <w:rFonts w:eastAsia="Times New Roman"/>
        </w:rPr>
        <w:t>the date when the IPO becomes effective. This measure represents the length of the SEC review process for each IPO firm.</w:t>
      </w:r>
      <w:r w:rsidR="0011242C">
        <w:rPr>
          <w:rStyle w:val="FootnoteReference"/>
          <w:rFonts w:eastAsia="Times New Roman"/>
        </w:rPr>
        <w:footnoteReference w:id="7"/>
      </w:r>
      <w:r w:rsidR="008204BE" w:rsidRPr="009C10CE">
        <w:rPr>
          <w:rFonts w:eastAsia="Times New Roman"/>
        </w:rPr>
        <w:t xml:space="preserve"> </w:t>
      </w:r>
      <w:r w:rsidR="008204BE" w:rsidRPr="009C10CE">
        <w:rPr>
          <w:rFonts w:eastAsia="Times New Roman"/>
          <w:i/>
          <w:iCs/>
        </w:rPr>
        <w:t xml:space="preserve">#Letters </w:t>
      </w:r>
      <w:r w:rsidR="008204BE" w:rsidRPr="009C10CE">
        <w:rPr>
          <w:rFonts w:eastAsia="Times New Roman"/>
        </w:rPr>
        <w:t>is calculated by counting the number of comment letters that the SEC issues to each</w:t>
      </w:r>
      <w:r w:rsidR="008204BE" w:rsidRPr="009C10CE">
        <w:rPr>
          <w:rFonts w:eastAsia="Times New Roman"/>
          <w:i/>
          <w:iCs/>
        </w:rPr>
        <w:t xml:space="preserve"> </w:t>
      </w:r>
      <w:r w:rsidR="008204BE" w:rsidRPr="009C10CE">
        <w:rPr>
          <w:rFonts w:eastAsia="Times New Roman"/>
        </w:rPr>
        <w:t>IPO firm during their IPO approval process, as listed on the EDGAR database.</w:t>
      </w:r>
      <w:r w:rsidR="00437B05">
        <w:rPr>
          <w:rFonts w:eastAsia="Times New Roman"/>
        </w:rPr>
        <w:t xml:space="preserve"> </w:t>
      </w:r>
      <w:r w:rsidR="008204BE" w:rsidRPr="009C10CE">
        <w:rPr>
          <w:rFonts w:eastAsia="Times New Roman"/>
          <w:i/>
          <w:iCs/>
        </w:rPr>
        <w:t xml:space="preserve">#Comments </w:t>
      </w:r>
      <w:r w:rsidR="008204BE" w:rsidRPr="009C10CE">
        <w:rPr>
          <w:rFonts w:eastAsia="Times New Roman"/>
        </w:rPr>
        <w:t>is calculated by counting the number of comments in the initial SEC comment</w:t>
      </w:r>
      <w:r w:rsidR="008204BE" w:rsidRPr="009C10CE">
        <w:rPr>
          <w:rFonts w:eastAsia="Times New Roman"/>
          <w:i/>
          <w:iCs/>
        </w:rPr>
        <w:t xml:space="preserve"> </w:t>
      </w:r>
      <w:r w:rsidR="008204BE" w:rsidRPr="009C10CE">
        <w:rPr>
          <w:rFonts w:eastAsia="Times New Roman"/>
        </w:rPr>
        <w:t>letter issued to each IPO firm. If no comment letter is issued by the SEC, #</w:t>
      </w:r>
      <w:r w:rsidR="008204BE" w:rsidRPr="009C10CE">
        <w:rPr>
          <w:rFonts w:eastAsia="Times New Roman"/>
          <w:i/>
          <w:iCs/>
        </w:rPr>
        <w:t>Comments</w:t>
      </w:r>
      <w:r w:rsidR="008204BE" w:rsidRPr="009C10CE">
        <w:rPr>
          <w:rFonts w:eastAsia="Times New Roman"/>
        </w:rPr>
        <w:t xml:space="preserve"> is set equal to zero.</w:t>
      </w:r>
      <w:r w:rsidR="00437B05">
        <w:rPr>
          <w:rFonts w:eastAsia="Times New Roman"/>
        </w:rPr>
        <w:t xml:space="preserve"> </w:t>
      </w:r>
      <w:r w:rsidR="008204BE" w:rsidRPr="009C10CE">
        <w:rPr>
          <w:rFonts w:eastAsia="Times New Roman"/>
          <w:i/>
          <w:iCs/>
        </w:rPr>
        <w:t xml:space="preserve">#Themes </w:t>
      </w:r>
      <w:r w:rsidR="008204BE" w:rsidRPr="009C10CE">
        <w:rPr>
          <w:rFonts w:eastAsia="Times New Roman"/>
        </w:rPr>
        <w:t xml:space="preserve">is calculated by counting the number of different types of issues highlighted in </w:t>
      </w:r>
      <w:r w:rsidR="009A0EE2">
        <w:rPr>
          <w:rFonts w:eastAsia="Times New Roman"/>
        </w:rPr>
        <w:t xml:space="preserve">the </w:t>
      </w:r>
      <w:r w:rsidR="008204BE" w:rsidRPr="009C10CE">
        <w:rPr>
          <w:rFonts w:eastAsia="Times New Roman"/>
        </w:rPr>
        <w:t>initial</w:t>
      </w:r>
      <w:r w:rsidR="008204BE" w:rsidRPr="009C10CE">
        <w:rPr>
          <w:rFonts w:eastAsia="Times New Roman"/>
          <w:i/>
          <w:iCs/>
        </w:rPr>
        <w:t xml:space="preserve"> </w:t>
      </w:r>
      <w:r w:rsidR="008204BE" w:rsidRPr="009C10CE">
        <w:rPr>
          <w:rFonts w:eastAsia="Times New Roman"/>
        </w:rPr>
        <w:t xml:space="preserve">SEC comment letter, in accordance </w:t>
      </w:r>
      <w:r w:rsidR="008204BE" w:rsidRPr="009C10CE">
        <w:rPr>
          <w:rFonts w:eastAsia="Times New Roman"/>
        </w:rPr>
        <w:lastRenderedPageBreak/>
        <w:t xml:space="preserve">with the thematic coding of the data described in section </w:t>
      </w:r>
      <w:r w:rsidR="008204BE">
        <w:rPr>
          <w:rFonts w:eastAsia="Times New Roman"/>
        </w:rPr>
        <w:t>4.2</w:t>
      </w:r>
      <w:r w:rsidR="008204BE" w:rsidRPr="009C10CE">
        <w:rPr>
          <w:rFonts w:eastAsia="Times New Roman"/>
        </w:rPr>
        <w:t xml:space="preserve">. If no comment letter is issued by the SEC, </w:t>
      </w:r>
      <w:r w:rsidR="008204BE" w:rsidRPr="009C10CE">
        <w:rPr>
          <w:rFonts w:eastAsia="Times New Roman"/>
          <w:i/>
          <w:iCs/>
        </w:rPr>
        <w:t>#Themes</w:t>
      </w:r>
      <w:r w:rsidR="008204BE" w:rsidRPr="009C10CE">
        <w:rPr>
          <w:rFonts w:eastAsia="Times New Roman"/>
        </w:rPr>
        <w:t xml:space="preserve"> is set equal to zero.</w:t>
      </w:r>
    </w:p>
    <w:p w14:paraId="2D54BC14" w14:textId="6ACD47E0" w:rsidR="008204BE" w:rsidRPr="003A04BF" w:rsidRDefault="008204BE" w:rsidP="005B0E9E">
      <w:pPr>
        <w:pStyle w:val="ListParagraph"/>
        <w:numPr>
          <w:ilvl w:val="1"/>
          <w:numId w:val="29"/>
        </w:numPr>
        <w:spacing w:before="240" w:after="240" w:line="480" w:lineRule="auto"/>
        <w:ind w:left="630" w:hanging="630"/>
        <w:contextualSpacing w:val="0"/>
        <w:jc w:val="both"/>
        <w:outlineLvl w:val="1"/>
        <w:rPr>
          <w:b/>
        </w:rPr>
      </w:pPr>
      <w:bookmarkStart w:id="15" w:name="_Toc69749283"/>
      <w:r w:rsidRPr="00B34AB8">
        <w:rPr>
          <w:rFonts w:eastAsia="Times New Roman"/>
          <w:b/>
          <w:bCs/>
        </w:rPr>
        <w:t xml:space="preserve">Empirical </w:t>
      </w:r>
      <w:r w:rsidR="007D32BC">
        <w:rPr>
          <w:rFonts w:eastAsia="Times New Roman"/>
          <w:b/>
          <w:bCs/>
        </w:rPr>
        <w:t>models</w:t>
      </w:r>
      <w:bookmarkEnd w:id="15"/>
    </w:p>
    <w:p w14:paraId="26C00BC8" w14:textId="39BE2CBE" w:rsidR="008204BE" w:rsidRPr="00BF4CF3" w:rsidRDefault="008204BE" w:rsidP="005B0E9E">
      <w:pPr>
        <w:spacing w:before="240" w:after="240" w:line="480" w:lineRule="auto"/>
        <w:jc w:val="both"/>
        <w:rPr>
          <w:rFonts w:eastAsia="Times New Roman"/>
        </w:rPr>
      </w:pPr>
      <w:proofErr w:type="gramStart"/>
      <w:r w:rsidRPr="007846CD">
        <w:rPr>
          <w:rFonts w:eastAsia="Times New Roman"/>
        </w:rPr>
        <w:t>In order to</w:t>
      </w:r>
      <w:proofErr w:type="gramEnd"/>
      <w:r w:rsidRPr="007846CD">
        <w:rPr>
          <w:rFonts w:eastAsia="Times New Roman"/>
        </w:rPr>
        <w:t xml:space="preserve"> examine the impact of the JOBS Act on each SEC S-1 review attribute</w:t>
      </w:r>
      <w:r w:rsidRPr="00AA0772">
        <w:rPr>
          <w:rFonts w:eastAsia="Times New Roman"/>
        </w:rPr>
        <w:t xml:space="preserve">, </w:t>
      </w:r>
      <w:r w:rsidR="006B539E">
        <w:rPr>
          <w:rFonts w:eastAsia="Times New Roman"/>
        </w:rPr>
        <w:t xml:space="preserve">so as to test H1, </w:t>
      </w:r>
      <w:r w:rsidRPr="00AA0772">
        <w:rPr>
          <w:rFonts w:eastAsia="Times New Roman"/>
        </w:rPr>
        <w:t xml:space="preserve">this study </w:t>
      </w:r>
      <w:r w:rsidRPr="00A536F2">
        <w:rPr>
          <w:rFonts w:eastAsia="Times New Roman"/>
        </w:rPr>
        <w:t>estimates</w:t>
      </w:r>
      <w:r w:rsidRPr="006B3FA2">
        <w:rPr>
          <w:rFonts w:eastAsia="Times New Roman"/>
        </w:rPr>
        <w:t xml:space="preserve"> the following model using negative binomial regression:</w:t>
      </w:r>
      <w:r w:rsidRPr="00BF4CF3">
        <w:rPr>
          <w:rStyle w:val="FootnoteReference"/>
          <w:rFonts w:eastAsia="Times New Roman"/>
        </w:rPr>
        <w:footnoteReference w:id="8"/>
      </w:r>
    </w:p>
    <w:p w14:paraId="7FBF1083" w14:textId="2F8E85AB" w:rsidR="00554B23" w:rsidRPr="00D9202E" w:rsidRDefault="00000000" w:rsidP="005B0E9E">
      <w:pPr>
        <w:spacing w:before="240" w:after="240" w:line="480" w:lineRule="auto"/>
        <w:jc w:val="both"/>
        <w:rPr>
          <w:rFonts w:eastAsia="Times New Roman"/>
          <w:sz w:val="22"/>
        </w:rPr>
      </w:pPr>
      <m:oMathPara>
        <m:oMath>
          <m:eqArr>
            <m:eqArrPr>
              <m:maxDist m:val="1"/>
              <m:ctrlPr>
                <w:rPr>
                  <w:rFonts w:ascii="Cambria Math" w:eastAsia="Times New Roman" w:hAnsi="Cambria Math"/>
                  <w:i/>
                  <w:szCs w:val="28"/>
                </w:rPr>
              </m:ctrlPr>
            </m:eqArrPr>
            <m:e>
              <m:sSub>
                <m:sSubPr>
                  <m:ctrlPr>
                    <w:rPr>
                      <w:rFonts w:ascii="Cambria Math" w:eastAsia="Times New Roman" w:hAnsi="Cambria Math"/>
                      <w:i/>
                      <w:szCs w:val="28"/>
                    </w:rPr>
                  </m:ctrlPr>
                </m:sSubPr>
                <m:e>
                  <m:r>
                    <w:rPr>
                      <w:rFonts w:ascii="Cambria Math" w:eastAsia="Times New Roman" w:hAnsi="Cambria Math"/>
                      <w:szCs w:val="28"/>
                    </w:rPr>
                    <m:t>SEC review</m:t>
                  </m:r>
                </m:e>
                <m:sub>
                  <m:r>
                    <w:rPr>
                      <w:rFonts w:ascii="Cambria Math" w:eastAsia="Times New Roman" w:hAnsi="Cambria Math"/>
                      <w:szCs w:val="28"/>
                    </w:rPr>
                    <m:t>it</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β</m:t>
                  </m:r>
                </m:e>
                <m:sub>
                  <m:r>
                    <w:rPr>
                      <w:rFonts w:ascii="Cambria Math" w:eastAsia="Times New Roman" w:hAnsi="Cambria Math"/>
                      <w:szCs w:val="28"/>
                    </w:rPr>
                    <m:t>0</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β</m:t>
                  </m:r>
                </m:e>
                <m:sub>
                  <m:r>
                    <w:rPr>
                      <w:rFonts w:ascii="Cambria Math" w:eastAsia="Times New Roman" w:hAnsi="Cambria Math"/>
                      <w:szCs w:val="28"/>
                    </w:rPr>
                    <m:t>1</m:t>
                  </m:r>
                </m:sub>
              </m:sSub>
              <m:sSub>
                <m:sSubPr>
                  <m:ctrlPr>
                    <w:rPr>
                      <w:rFonts w:ascii="Cambria Math" w:eastAsia="Times New Roman" w:hAnsi="Cambria Math"/>
                      <w:i/>
                      <w:szCs w:val="28"/>
                    </w:rPr>
                  </m:ctrlPr>
                </m:sSubPr>
                <m:e>
                  <m:r>
                    <w:rPr>
                      <w:rFonts w:ascii="Cambria Math" w:eastAsia="Times New Roman" w:hAnsi="Cambria Math"/>
                      <w:szCs w:val="28"/>
                    </w:rPr>
                    <m:t>JOBS Act</m:t>
                  </m:r>
                </m:e>
                <m:sub>
                  <m:r>
                    <w:rPr>
                      <w:rFonts w:ascii="Cambria Math" w:eastAsia="Times New Roman" w:hAnsi="Cambria Math"/>
                      <w:szCs w:val="28"/>
                    </w:rPr>
                    <m:t>it</m:t>
                  </m:r>
                </m:sub>
              </m:sSub>
              <m:r>
                <w:rPr>
                  <w:rFonts w:ascii="Cambria Math" w:eastAsia="Times New Roman" w:hAnsi="Cambria Math"/>
                  <w:szCs w:val="28"/>
                </w:rPr>
                <m:t>+</m:t>
              </m:r>
              <m:nary>
                <m:naryPr>
                  <m:chr m:val="∑"/>
                  <m:limLoc m:val="undOvr"/>
                  <m:subHide m:val="1"/>
                  <m:supHide m:val="1"/>
                  <m:ctrlPr>
                    <w:rPr>
                      <w:rFonts w:ascii="Cambria Math" w:eastAsia="Times New Roman" w:hAnsi="Cambria Math"/>
                      <w:i/>
                      <w:szCs w:val="28"/>
                    </w:rPr>
                  </m:ctrlPr>
                </m:naryPr>
                <m:sub/>
                <m:sup/>
                <m:e>
                  <m:r>
                    <w:rPr>
                      <w:rFonts w:ascii="Cambria Math" w:eastAsia="Times New Roman" w:hAnsi="Cambria Math"/>
                      <w:szCs w:val="28"/>
                    </w:rPr>
                    <m:t>δ</m:t>
                  </m:r>
                  <m:sSub>
                    <m:sSubPr>
                      <m:ctrlPr>
                        <w:rPr>
                          <w:rFonts w:ascii="Cambria Math" w:eastAsia="Times New Roman" w:hAnsi="Cambria Math"/>
                          <w:i/>
                          <w:szCs w:val="28"/>
                        </w:rPr>
                      </m:ctrlPr>
                    </m:sSubPr>
                    <m:e>
                      <m:r>
                        <w:rPr>
                          <w:rFonts w:ascii="Cambria Math" w:eastAsia="Times New Roman" w:hAnsi="Cambria Math"/>
                          <w:szCs w:val="28"/>
                        </w:rPr>
                        <m:t>X</m:t>
                      </m:r>
                    </m:e>
                    <m:sub>
                      <m:r>
                        <w:rPr>
                          <w:rFonts w:ascii="Cambria Math" w:eastAsia="Times New Roman" w:hAnsi="Cambria Math"/>
                          <w:szCs w:val="28"/>
                        </w:rPr>
                        <m:t>it</m:t>
                      </m:r>
                    </m:sub>
                  </m:sSub>
                  <m:r>
                    <w:rPr>
                      <w:rFonts w:ascii="Cambria Math" w:eastAsia="Times New Roman" w:hAnsi="Cambria Math"/>
                      <w:szCs w:val="28"/>
                    </w:rPr>
                    <m:t>+λ+</m:t>
                  </m:r>
                  <m:sSub>
                    <m:sSubPr>
                      <m:ctrlPr>
                        <w:rPr>
                          <w:rFonts w:ascii="Cambria Math" w:eastAsia="Times New Roman" w:hAnsi="Cambria Math"/>
                          <w:i/>
                          <w:szCs w:val="28"/>
                        </w:rPr>
                      </m:ctrlPr>
                    </m:sSubPr>
                    <m:e>
                      <m:r>
                        <w:rPr>
                          <w:rFonts w:ascii="Cambria Math" w:eastAsia="Times New Roman" w:hAnsi="Cambria Math"/>
                          <w:szCs w:val="28"/>
                        </w:rPr>
                        <m:t>ϵ</m:t>
                      </m:r>
                    </m:e>
                    <m:sub>
                      <m:r>
                        <w:rPr>
                          <w:rFonts w:ascii="Cambria Math" w:eastAsia="Times New Roman" w:hAnsi="Cambria Math"/>
                          <w:szCs w:val="28"/>
                        </w:rPr>
                        <m:t>it</m:t>
                      </m:r>
                    </m:sub>
                  </m:sSub>
                </m:e>
              </m:nary>
              <m:r>
                <w:rPr>
                  <w:rFonts w:ascii="Cambria Math" w:eastAsia="Times New Roman" w:hAnsi="Cambria Math"/>
                  <w:szCs w:val="28"/>
                </w:rPr>
                <m:t>#</m:t>
              </m:r>
              <m:d>
                <m:dPr>
                  <m:ctrlPr>
                    <w:rPr>
                      <w:rFonts w:ascii="Cambria Math" w:eastAsia="Times New Roman" w:hAnsi="Cambria Math"/>
                      <w:i/>
                      <w:szCs w:val="28"/>
                    </w:rPr>
                  </m:ctrlPr>
                </m:dPr>
                <m:e>
                  <m:r>
                    <w:rPr>
                      <w:rFonts w:ascii="Cambria Math" w:eastAsia="Times New Roman" w:hAnsi="Cambria Math"/>
                      <w:szCs w:val="28"/>
                    </w:rPr>
                    <m:t>2</m:t>
                  </m:r>
                </m:e>
              </m:d>
            </m:e>
          </m:eqArr>
        </m:oMath>
      </m:oMathPara>
    </w:p>
    <w:p w14:paraId="7BB24C63" w14:textId="50611A4D" w:rsidR="00A969E5" w:rsidRPr="00BF4CF3" w:rsidRDefault="008204BE" w:rsidP="005B0E9E">
      <w:pPr>
        <w:spacing w:before="240" w:after="240" w:line="480" w:lineRule="auto"/>
        <w:jc w:val="both"/>
        <w:rPr>
          <w:sz w:val="20"/>
          <w:szCs w:val="20"/>
        </w:rPr>
      </w:pPr>
      <w:r w:rsidRPr="00B34AB8">
        <w:rPr>
          <w:rFonts w:eastAsia="Times New Roman"/>
        </w:rPr>
        <w:t xml:space="preserve">where </w:t>
      </w:r>
      <m:oMath>
        <m:sSub>
          <m:sSubPr>
            <m:ctrlPr>
              <w:rPr>
                <w:rFonts w:ascii="Cambria Math" w:hAnsi="Cambria Math"/>
                <w:i/>
              </w:rPr>
            </m:ctrlPr>
          </m:sSubPr>
          <m:e>
            <m:r>
              <m:rPr>
                <m:nor/>
              </m:rPr>
              <w:rPr>
                <w:i/>
              </w:rPr>
              <m:t>SEC review</m:t>
            </m:r>
          </m:e>
          <m:sub>
            <w:proofErr w:type="spellStart"/>
            <m:r>
              <m:rPr>
                <m:nor/>
              </m:rPr>
              <w:rPr>
                <w:i/>
              </w:rPr>
              <m:t>i,t</m:t>
            </m:r>
            <w:proofErr w:type="spellEnd"/>
          </m:sub>
        </m:sSub>
      </m:oMath>
      <w:r w:rsidRPr="00BF4CF3">
        <w:rPr>
          <w:rFonts w:eastAsiaTheme="minorEastAsia"/>
        </w:rPr>
        <w:t xml:space="preserve"> </w:t>
      </w:r>
      <w:r w:rsidRPr="00B34AB8">
        <w:rPr>
          <w:rFonts w:eastAsia="Times New Roman"/>
        </w:rPr>
        <w:t>denotes each of the main SEC review attributes in turn</w:t>
      </w:r>
      <w:r w:rsidRPr="003A04BF">
        <w:rPr>
          <w:rFonts w:eastAsia="Times New Roman"/>
        </w:rPr>
        <w:t>,</w:t>
      </w:r>
      <w:r w:rsidRPr="007846CD">
        <w:rPr>
          <w:rFonts w:eastAsia="Times New Roman"/>
        </w:rPr>
        <w:t xml:space="preserve"> namely</w:t>
      </w:r>
      <w:r w:rsidRPr="00AA0772">
        <w:rPr>
          <w:rFonts w:eastAsia="Times New Roman"/>
        </w:rPr>
        <w:t xml:space="preserve"> </w:t>
      </w:r>
      <m:oMath>
        <m:sSub>
          <m:sSubPr>
            <m:ctrlPr>
              <w:rPr>
                <w:rFonts w:ascii="Cambria Math" w:hAnsi="Cambria Math"/>
                <w:i/>
              </w:rPr>
            </m:ctrlPr>
          </m:sSubPr>
          <m:e>
            <m:r>
              <m:rPr>
                <m:nor/>
              </m:rPr>
              <w:rPr>
                <w:i/>
              </w:rPr>
              <m:t>Duration</m:t>
            </m:r>
          </m:e>
          <m:sub>
            <w:proofErr w:type="spellStart"/>
            <m:r>
              <m:rPr>
                <m:nor/>
              </m:rPr>
              <w:rPr>
                <w:i/>
              </w:rPr>
              <m:t>i,t</m:t>
            </m:r>
            <w:proofErr w:type="spellEnd"/>
          </m:sub>
        </m:sSub>
      </m:oMath>
      <w:r w:rsidRPr="00BF4CF3">
        <w:rPr>
          <w:rFonts w:eastAsiaTheme="minorEastAsia"/>
          <w:i/>
        </w:rPr>
        <w:t xml:space="preserve">, </w:t>
      </w:r>
      <m:oMath>
        <m:r>
          <m:rPr>
            <m:sty m:val="p"/>
          </m:rPr>
          <w:rPr>
            <w:rFonts w:ascii="Cambria Math" w:eastAsiaTheme="minorEastAsia" w:hAnsi="Cambria Math"/>
          </w:rPr>
          <m:t>#</m:t>
        </m:r>
        <m:sSub>
          <m:sSubPr>
            <m:ctrlPr>
              <w:rPr>
                <w:rFonts w:ascii="Cambria Math" w:hAnsi="Cambria Math"/>
                <w:i/>
              </w:rPr>
            </m:ctrlPr>
          </m:sSubPr>
          <m:e>
            <m:r>
              <m:rPr>
                <m:nor/>
              </m:rPr>
              <w:rPr>
                <w:i/>
              </w:rPr>
              <m:t>Letters</m:t>
            </m:r>
          </m:e>
          <m:sub>
            <m:r>
              <m:rPr>
                <m:nor/>
              </m:rPr>
              <w:rPr>
                <w:i/>
              </w:rPr>
              <m:t>it</m:t>
            </m:r>
          </m:sub>
        </m:sSub>
      </m:oMath>
      <w:r w:rsidRPr="00BF4CF3">
        <w:rPr>
          <w:rFonts w:eastAsiaTheme="minorEastAsia"/>
          <w:i/>
        </w:rPr>
        <w:t xml:space="preserve">, </w:t>
      </w:r>
      <m:oMath>
        <m:r>
          <w:rPr>
            <w:rFonts w:ascii="Cambria Math" w:eastAsiaTheme="minorEastAsia" w:hAnsi="Cambria Math"/>
          </w:rPr>
          <m:t>#</m:t>
        </m:r>
        <m:sSub>
          <m:sSubPr>
            <m:ctrlPr>
              <w:rPr>
                <w:rFonts w:ascii="Cambria Math" w:hAnsi="Cambria Math"/>
                <w:i/>
              </w:rPr>
            </m:ctrlPr>
          </m:sSubPr>
          <m:e>
            <m:r>
              <m:rPr>
                <m:nor/>
              </m:rPr>
              <w:rPr>
                <w:i/>
              </w:rPr>
              <m:t>Comments</m:t>
            </m:r>
          </m:e>
          <m:sub>
            <m:r>
              <m:rPr>
                <m:nor/>
              </m:rPr>
              <w:rPr>
                <w:i/>
              </w:rPr>
              <m:t>it</m:t>
            </m:r>
          </m:sub>
        </m:sSub>
      </m:oMath>
      <w:r w:rsidRPr="00BF4CF3">
        <w:rPr>
          <w:rFonts w:eastAsiaTheme="minorEastAsia"/>
        </w:rPr>
        <w:t>,</w:t>
      </w:r>
      <w:r w:rsidRPr="00B34AB8">
        <w:rPr>
          <w:rFonts w:eastAsiaTheme="minorEastAsia"/>
        </w:rPr>
        <w:t xml:space="preserve"> </w:t>
      </w:r>
      <w:r w:rsidRPr="00B34AB8">
        <w:rPr>
          <w:rFonts w:eastAsia="Times New Roman"/>
        </w:rPr>
        <w:t>and</w:t>
      </w:r>
      <w:r w:rsidRPr="00B34AB8">
        <w:rPr>
          <w:rFonts w:eastAsia="Times New Roman"/>
          <w:i/>
          <w:iCs/>
        </w:rPr>
        <w:t xml:space="preserve"> </w:t>
      </w:r>
      <m:oMath>
        <m:sSub>
          <m:sSubPr>
            <m:ctrlPr>
              <w:rPr>
                <w:rFonts w:ascii="Cambria Math" w:hAnsi="Cambria Math"/>
                <w:i/>
              </w:rPr>
            </m:ctrlPr>
          </m:sSubPr>
          <m:e>
            <m:r>
              <w:rPr>
                <w:rFonts w:ascii="Cambria Math" w:eastAsia="Times New Roman" w:hAnsi="Cambria Math"/>
              </w:rPr>
              <m:t>#Themes</m:t>
            </m:r>
          </m:e>
          <m:sub>
            <m:r>
              <m:rPr>
                <m:nor/>
              </m:rPr>
              <w:rPr>
                <w:i/>
              </w:rPr>
              <m:t>it</m:t>
            </m:r>
          </m:sub>
        </m:sSub>
      </m:oMath>
      <w:r w:rsidRPr="00BF4CF3">
        <w:rPr>
          <w:rFonts w:eastAsiaTheme="minorEastAsia"/>
          <w:iCs/>
        </w:rPr>
        <w:t>;</w:t>
      </w:r>
      <w:r w:rsidRPr="00B34AB8">
        <w:rPr>
          <w:rFonts w:eastAsiaTheme="minorEastAsia"/>
        </w:rPr>
        <w:t xml:space="preserve"> </w:t>
      </w:r>
      <m:oMath>
        <m:sSub>
          <m:sSubPr>
            <m:ctrlPr>
              <w:rPr>
                <w:rFonts w:ascii="Cambria Math" w:hAnsi="Cambria Math"/>
                <w:i/>
              </w:rPr>
            </m:ctrlPr>
          </m:sSubPr>
          <m:e>
            <m:r>
              <m:rPr>
                <m:nor/>
              </m:rPr>
              <w:rPr>
                <w:i/>
              </w:rPr>
              <m:t>JOBS Act</m:t>
            </m:r>
          </m:e>
          <m:sub>
            <m:r>
              <m:rPr>
                <m:nor/>
              </m:rPr>
              <w:rPr>
                <w:i/>
              </w:rPr>
              <m:t>it</m:t>
            </m:r>
          </m:sub>
        </m:sSub>
        <m:r>
          <w:rPr>
            <w:rFonts w:ascii="Cambria Math" w:hAnsi="Cambria Math"/>
          </w:rPr>
          <m:t xml:space="preserve"> </m:t>
        </m:r>
      </m:oMath>
      <w:r w:rsidRPr="00B34AB8">
        <w:rPr>
          <w:rFonts w:eastAsia="Times New Roman"/>
        </w:rPr>
        <w:t>as an indicator variable which is equal to 1 if</w:t>
      </w:r>
      <w:r w:rsidRPr="003A04BF">
        <w:rPr>
          <w:rFonts w:eastAsia="Times New Roman"/>
          <w:i/>
          <w:iCs/>
        </w:rPr>
        <w:t xml:space="preserve"> </w:t>
      </w:r>
      <w:r w:rsidRPr="007846CD">
        <w:rPr>
          <w:rFonts w:eastAsia="Times New Roman"/>
        </w:rPr>
        <w:t>the S-1 filing year is in the post-JOBS Act period (2012 to 2017), and 0 otherwise</w:t>
      </w:r>
      <w:r w:rsidR="00554B23">
        <w:rPr>
          <w:rFonts w:eastAsia="Times New Roman"/>
        </w:rPr>
        <w:t xml:space="preserve">; </w:t>
      </w:r>
      <w:r w:rsidR="00554B23" w:rsidRPr="00D9202E">
        <w:rPr>
          <w:rFonts w:eastAsia="Times New Roman"/>
          <w:i/>
          <w:iCs/>
        </w:rPr>
        <w:t>X</w:t>
      </w:r>
      <w:r w:rsidR="00554B23">
        <w:rPr>
          <w:rFonts w:eastAsia="Times New Roman"/>
        </w:rPr>
        <w:t xml:space="preserve"> is a vector of control variables; and λ</w:t>
      </w:r>
      <w:r w:rsidR="00323E05">
        <w:rPr>
          <w:rFonts w:eastAsia="Times New Roman"/>
        </w:rPr>
        <w:t xml:space="preserve"> represents industry fixed effects</w:t>
      </w:r>
      <w:r w:rsidRPr="007846CD">
        <w:rPr>
          <w:rFonts w:eastAsia="Times New Roman"/>
        </w:rPr>
        <w:t>.</w:t>
      </w:r>
      <w:r w:rsidR="001A2399">
        <w:rPr>
          <w:rFonts w:eastAsia="Times New Roman"/>
        </w:rPr>
        <w:t xml:space="preserve"> </w:t>
      </w:r>
    </w:p>
    <w:p w14:paraId="3C6D0DD5" w14:textId="383AD8E2" w:rsidR="00554B23" w:rsidRDefault="00A7793E" w:rsidP="005B0E9E">
      <w:pPr>
        <w:spacing w:before="240" w:after="240" w:line="480" w:lineRule="auto"/>
        <w:jc w:val="both"/>
        <w:rPr>
          <w:rFonts w:eastAsia="Times New Roman"/>
        </w:rPr>
      </w:pPr>
      <w:r>
        <w:rPr>
          <w:rFonts w:eastAsia="Times New Roman"/>
        </w:rPr>
        <w:t>A</w:t>
      </w:r>
      <w:r w:rsidR="00A969E5">
        <w:rPr>
          <w:rFonts w:eastAsia="Times New Roman"/>
        </w:rPr>
        <w:t xml:space="preserve"> broad range of control </w:t>
      </w:r>
      <w:r>
        <w:rPr>
          <w:rFonts w:eastAsia="Times New Roman"/>
        </w:rPr>
        <w:t>variables are included</w:t>
      </w:r>
      <w:r w:rsidR="00A969E5">
        <w:rPr>
          <w:rFonts w:eastAsia="Times New Roman"/>
        </w:rPr>
        <w:t xml:space="preserve"> </w:t>
      </w:r>
      <w:r w:rsidR="00061DC1">
        <w:rPr>
          <w:rFonts w:eastAsia="Times New Roman"/>
        </w:rPr>
        <w:t>f</w:t>
      </w:r>
      <w:r w:rsidR="00554B23" w:rsidRPr="009C10CE">
        <w:rPr>
          <w:rFonts w:eastAsia="Times New Roman"/>
        </w:rPr>
        <w:t xml:space="preserve">ollowing </w:t>
      </w:r>
      <w:r w:rsidR="00A969E5">
        <w:rPr>
          <w:rFonts w:eastAsia="Times New Roman"/>
        </w:rPr>
        <w:t>prior literature identifying factors affect</w:t>
      </w:r>
      <w:r w:rsidR="00061DC1">
        <w:rPr>
          <w:rFonts w:eastAsia="Times New Roman"/>
        </w:rPr>
        <w:t>ing</w:t>
      </w:r>
      <w:r w:rsidR="00A969E5">
        <w:rPr>
          <w:rFonts w:eastAsia="Times New Roman"/>
        </w:rPr>
        <w:t xml:space="preserve"> SEC reviews (</w:t>
      </w:r>
      <w:r w:rsidR="00554B23" w:rsidRPr="009C10CE">
        <w:rPr>
          <w:rFonts w:eastAsia="Times New Roman"/>
        </w:rPr>
        <w:t>Cassell et al.</w:t>
      </w:r>
      <w:r w:rsidR="00A969E5">
        <w:rPr>
          <w:rFonts w:eastAsia="Times New Roman"/>
        </w:rPr>
        <w:t xml:space="preserve">, </w:t>
      </w:r>
      <w:r w:rsidR="00554B23" w:rsidRPr="009C10CE">
        <w:rPr>
          <w:rFonts w:eastAsia="Times New Roman"/>
        </w:rPr>
        <w:t>2013</w:t>
      </w:r>
      <w:r w:rsidR="00A969E5">
        <w:rPr>
          <w:rFonts w:eastAsia="Times New Roman"/>
        </w:rPr>
        <w:t>;</w:t>
      </w:r>
      <w:r w:rsidR="00554B23" w:rsidRPr="009C10CE">
        <w:rPr>
          <w:rFonts w:eastAsia="Times New Roman"/>
        </w:rPr>
        <w:t xml:space="preserve"> </w:t>
      </w:r>
      <w:proofErr w:type="spellStart"/>
      <w:r w:rsidR="00554B23" w:rsidRPr="009C10CE">
        <w:rPr>
          <w:rFonts w:eastAsia="Times New Roman"/>
        </w:rPr>
        <w:t>Duro</w:t>
      </w:r>
      <w:proofErr w:type="spellEnd"/>
      <w:r w:rsidR="00554B23" w:rsidRPr="009C10CE">
        <w:rPr>
          <w:rFonts w:eastAsia="Times New Roman"/>
        </w:rPr>
        <w:t xml:space="preserve"> et al.</w:t>
      </w:r>
      <w:r w:rsidR="00A969E5">
        <w:rPr>
          <w:rFonts w:eastAsia="Times New Roman"/>
        </w:rPr>
        <w:t>,</w:t>
      </w:r>
      <w:r w:rsidR="00554B23" w:rsidRPr="009C10CE">
        <w:rPr>
          <w:rFonts w:eastAsia="Times New Roman"/>
        </w:rPr>
        <w:t xml:space="preserve"> 2017</w:t>
      </w:r>
      <w:r w:rsidR="00A969E5">
        <w:rPr>
          <w:rFonts w:eastAsia="Times New Roman"/>
        </w:rPr>
        <w:t>;</w:t>
      </w:r>
      <w:r w:rsidR="00554B23" w:rsidRPr="009C10CE">
        <w:rPr>
          <w:rFonts w:eastAsia="Times New Roman"/>
        </w:rPr>
        <w:t xml:space="preserve"> </w:t>
      </w:r>
      <w:proofErr w:type="spellStart"/>
      <w:r w:rsidR="00554B23" w:rsidRPr="009C10CE">
        <w:rPr>
          <w:rFonts w:eastAsia="Times New Roman"/>
        </w:rPr>
        <w:t>Heese</w:t>
      </w:r>
      <w:proofErr w:type="spellEnd"/>
      <w:r w:rsidR="00554B23" w:rsidRPr="009C10CE">
        <w:rPr>
          <w:rFonts w:eastAsia="Times New Roman"/>
        </w:rPr>
        <w:t xml:space="preserve"> et al.</w:t>
      </w:r>
      <w:r w:rsidR="00A969E5">
        <w:rPr>
          <w:rFonts w:eastAsia="Times New Roman"/>
        </w:rPr>
        <w:t>,</w:t>
      </w:r>
      <w:r w:rsidR="00554B23" w:rsidRPr="009C10CE">
        <w:rPr>
          <w:rFonts w:eastAsia="Times New Roman"/>
        </w:rPr>
        <w:t xml:space="preserve"> 2017</w:t>
      </w:r>
      <w:r w:rsidR="00A969E5">
        <w:rPr>
          <w:rFonts w:eastAsia="Times New Roman"/>
        </w:rPr>
        <w:t>;</w:t>
      </w:r>
      <w:r w:rsidR="00554B23" w:rsidRPr="009C10CE">
        <w:rPr>
          <w:rFonts w:eastAsia="Times New Roman"/>
        </w:rPr>
        <w:t xml:space="preserve"> Johnston &amp; </w:t>
      </w:r>
      <w:proofErr w:type="spellStart"/>
      <w:r w:rsidR="00554B23" w:rsidRPr="009C10CE">
        <w:rPr>
          <w:rFonts w:eastAsia="Times New Roman"/>
        </w:rPr>
        <w:t>Petacchi</w:t>
      </w:r>
      <w:proofErr w:type="spellEnd"/>
      <w:r w:rsidR="00A969E5">
        <w:rPr>
          <w:rFonts w:eastAsia="Times New Roman"/>
        </w:rPr>
        <w:t>,</w:t>
      </w:r>
      <w:r w:rsidR="00554B23" w:rsidRPr="009C10CE">
        <w:rPr>
          <w:rFonts w:eastAsia="Times New Roman"/>
        </w:rPr>
        <w:t xml:space="preserve"> 2017), </w:t>
      </w:r>
      <w:r w:rsidR="008C2215">
        <w:rPr>
          <w:rFonts w:eastAsia="Times New Roman"/>
        </w:rPr>
        <w:t>including: firm size (</w:t>
      </w:r>
      <w:r w:rsidR="00554B23" w:rsidRPr="009C10CE">
        <w:rPr>
          <w:rFonts w:eastAsia="Times New Roman"/>
          <w:i/>
          <w:iCs/>
        </w:rPr>
        <w:t>Size</w:t>
      </w:r>
      <w:r w:rsidR="008C2215">
        <w:rPr>
          <w:rFonts w:eastAsia="Times New Roman"/>
        </w:rPr>
        <w:t>),</w:t>
      </w:r>
      <w:r w:rsidR="00554B23" w:rsidRPr="009C10CE">
        <w:rPr>
          <w:rFonts w:eastAsia="Times New Roman"/>
        </w:rPr>
        <w:t xml:space="preserve"> </w:t>
      </w:r>
      <w:r w:rsidR="00554B23">
        <w:rPr>
          <w:rFonts w:eastAsia="Times New Roman"/>
        </w:rPr>
        <w:t xml:space="preserve">estimated </w:t>
      </w:r>
      <w:r w:rsidR="00554B23" w:rsidRPr="009C10CE">
        <w:rPr>
          <w:rFonts w:eastAsia="Times New Roman"/>
        </w:rPr>
        <w:t xml:space="preserve">as the natural logarithm of total assets reported in the latest fiscal year prior to the initial S-1 </w:t>
      </w:r>
      <w:r w:rsidR="00C44BD4">
        <w:rPr>
          <w:rFonts w:eastAsia="Times New Roman"/>
        </w:rPr>
        <w:t>filing</w:t>
      </w:r>
      <w:r w:rsidR="008A7C0C">
        <w:rPr>
          <w:rFonts w:eastAsia="Times New Roman"/>
        </w:rPr>
        <w:t xml:space="preserve"> (year t-1)</w:t>
      </w:r>
      <w:r w:rsidR="00C44BD4">
        <w:rPr>
          <w:rFonts w:eastAsia="Times New Roman"/>
        </w:rPr>
        <w:t>; firm age (</w:t>
      </w:r>
      <w:r w:rsidR="00554B23" w:rsidRPr="009C10CE">
        <w:rPr>
          <w:rFonts w:eastAsia="Times New Roman"/>
          <w:i/>
          <w:iCs/>
        </w:rPr>
        <w:t>Age</w:t>
      </w:r>
      <w:r w:rsidR="00C44BD4">
        <w:rPr>
          <w:rFonts w:eastAsia="Times New Roman"/>
        </w:rPr>
        <w:t>),</w:t>
      </w:r>
      <w:r w:rsidR="00554B23" w:rsidRPr="009C10CE">
        <w:rPr>
          <w:rFonts w:eastAsia="Times New Roman"/>
          <w:i/>
          <w:iCs/>
        </w:rPr>
        <w:t xml:space="preserve"> </w:t>
      </w:r>
      <w:r w:rsidR="00554B23" w:rsidRPr="009C10CE">
        <w:rPr>
          <w:rFonts w:eastAsia="Times New Roman"/>
        </w:rPr>
        <w:t xml:space="preserve">calculated as the number of years since </w:t>
      </w:r>
      <w:r w:rsidR="00554B23">
        <w:rPr>
          <w:rFonts w:eastAsia="Times New Roman"/>
        </w:rPr>
        <w:t>IPO firms’ founding date provided by Jay Ritter’s website</w:t>
      </w:r>
      <w:r w:rsidR="008A7C0C">
        <w:rPr>
          <w:rFonts w:eastAsia="Times New Roman"/>
        </w:rPr>
        <w:t xml:space="preserve"> </w:t>
      </w:r>
      <w:r w:rsidR="00554B23" w:rsidRPr="009C10CE">
        <w:rPr>
          <w:rFonts w:eastAsia="Times New Roman"/>
        </w:rPr>
        <w:t>to</w:t>
      </w:r>
      <w:r w:rsidR="00554B23" w:rsidRPr="009C10CE">
        <w:rPr>
          <w:rFonts w:eastAsia="Times New Roman"/>
          <w:i/>
          <w:iCs/>
        </w:rPr>
        <w:t xml:space="preserve"> </w:t>
      </w:r>
      <w:r w:rsidR="00554B23" w:rsidRPr="009C10CE">
        <w:rPr>
          <w:rFonts w:eastAsia="Times New Roman"/>
        </w:rPr>
        <w:t>year t-1</w:t>
      </w:r>
      <w:r w:rsidR="00AA753C">
        <w:rPr>
          <w:rFonts w:eastAsia="Times New Roman"/>
        </w:rPr>
        <w:t>;</w:t>
      </w:r>
      <w:r w:rsidR="00554B23" w:rsidRPr="009C10CE">
        <w:rPr>
          <w:rFonts w:eastAsia="Times New Roman"/>
        </w:rPr>
        <w:t xml:space="preserve"> </w:t>
      </w:r>
      <w:r w:rsidR="00554B23" w:rsidRPr="009C10CE">
        <w:rPr>
          <w:rFonts w:eastAsia="Times New Roman"/>
          <w:i/>
          <w:iCs/>
        </w:rPr>
        <w:t>Segments</w:t>
      </w:r>
      <w:r w:rsidR="00AA753C">
        <w:rPr>
          <w:rFonts w:eastAsia="Times New Roman"/>
        </w:rPr>
        <w:t>,</w:t>
      </w:r>
      <w:r w:rsidR="00554B23" w:rsidRPr="009C10CE">
        <w:rPr>
          <w:rFonts w:eastAsia="Times New Roman"/>
        </w:rPr>
        <w:t xml:space="preserve"> calculated as the number of unique segment industry codes in year t-1, as reported on </w:t>
      </w:r>
      <w:proofErr w:type="spellStart"/>
      <w:r w:rsidR="00554B23" w:rsidRPr="009C10CE">
        <w:rPr>
          <w:rFonts w:eastAsia="Times New Roman"/>
        </w:rPr>
        <w:lastRenderedPageBreak/>
        <w:t>Compustat</w:t>
      </w:r>
      <w:proofErr w:type="spellEnd"/>
      <w:r w:rsidR="001A5333">
        <w:rPr>
          <w:rFonts w:eastAsia="Times New Roman"/>
        </w:rPr>
        <w:t>;</w:t>
      </w:r>
      <w:r w:rsidR="00554B23" w:rsidRPr="009C10CE">
        <w:rPr>
          <w:rFonts w:eastAsia="Times New Roman"/>
        </w:rPr>
        <w:t xml:space="preserve"> </w:t>
      </w:r>
      <w:r w:rsidR="00554B23" w:rsidRPr="009C10CE">
        <w:rPr>
          <w:rFonts w:eastAsia="Times New Roman"/>
          <w:i/>
          <w:iCs/>
        </w:rPr>
        <w:t>Restructuring</w:t>
      </w:r>
      <w:r w:rsidR="001A5333">
        <w:rPr>
          <w:rFonts w:eastAsia="Times New Roman"/>
        </w:rPr>
        <w:t>,</w:t>
      </w:r>
      <w:r w:rsidR="00554B23" w:rsidRPr="009C10CE">
        <w:rPr>
          <w:rFonts w:eastAsia="Times New Roman"/>
        </w:rPr>
        <w:t xml:space="preserve"> an indicator variable </w:t>
      </w:r>
      <w:r w:rsidR="00F5665E">
        <w:rPr>
          <w:rFonts w:eastAsia="Times New Roman"/>
        </w:rPr>
        <w:t>equal to 1 if</w:t>
      </w:r>
      <w:r w:rsidR="00554B23" w:rsidRPr="009C10CE">
        <w:rPr>
          <w:rFonts w:eastAsia="Times New Roman"/>
        </w:rPr>
        <w:t xml:space="preserve"> </w:t>
      </w:r>
      <w:r w:rsidR="00D9714C">
        <w:rPr>
          <w:rFonts w:eastAsia="Times New Roman"/>
        </w:rPr>
        <w:t xml:space="preserve">the </w:t>
      </w:r>
      <w:r w:rsidR="00554B23" w:rsidRPr="009C10CE">
        <w:rPr>
          <w:rFonts w:eastAsia="Times New Roman"/>
        </w:rPr>
        <w:t>IPO firm</w:t>
      </w:r>
      <w:r w:rsidR="00D9714C">
        <w:rPr>
          <w:rFonts w:eastAsia="Times New Roman"/>
        </w:rPr>
        <w:t xml:space="preserve"> i</w:t>
      </w:r>
      <w:r w:rsidR="00554B23" w:rsidRPr="009C10CE">
        <w:rPr>
          <w:rFonts w:eastAsia="Times New Roman"/>
        </w:rPr>
        <w:t>s engage</w:t>
      </w:r>
      <w:r w:rsidR="00D9714C">
        <w:rPr>
          <w:rFonts w:eastAsia="Times New Roman"/>
        </w:rPr>
        <w:t>d</w:t>
      </w:r>
      <w:r w:rsidR="00554B23" w:rsidRPr="009C10CE">
        <w:rPr>
          <w:rFonts w:eastAsia="Times New Roman"/>
        </w:rPr>
        <w:t xml:space="preserve"> in restructuring activities</w:t>
      </w:r>
      <w:r w:rsidR="00797CBA">
        <w:rPr>
          <w:rFonts w:eastAsia="Times New Roman"/>
        </w:rPr>
        <w:t xml:space="preserve"> (i.e.,</w:t>
      </w:r>
      <w:r w:rsidR="00797CBA" w:rsidRPr="009C10CE">
        <w:rPr>
          <w:rFonts w:eastAsia="Times New Roman"/>
        </w:rPr>
        <w:t xml:space="preserve"> the firm has non-zero restructuring costs on a pre-tax basis in year t-1</w:t>
      </w:r>
      <w:r w:rsidR="00797CBA">
        <w:rPr>
          <w:rFonts w:eastAsia="Times New Roman"/>
        </w:rPr>
        <w:t>)</w:t>
      </w:r>
      <w:r w:rsidR="00554B23" w:rsidRPr="009C10CE">
        <w:rPr>
          <w:rFonts w:eastAsia="Times New Roman"/>
        </w:rPr>
        <w:t>, and 0 otherwise</w:t>
      </w:r>
      <w:r w:rsidR="005E63C7">
        <w:rPr>
          <w:rFonts w:eastAsia="Times New Roman"/>
        </w:rPr>
        <w:t>;</w:t>
      </w:r>
      <w:r w:rsidR="00554B23" w:rsidRPr="009C10CE">
        <w:rPr>
          <w:rFonts w:eastAsia="Times New Roman"/>
        </w:rPr>
        <w:t xml:space="preserve"> </w:t>
      </w:r>
      <w:r w:rsidR="00554B23" w:rsidRPr="009C10CE">
        <w:rPr>
          <w:rFonts w:eastAsia="Times New Roman"/>
          <w:i/>
          <w:iCs/>
        </w:rPr>
        <w:t>M&amp;A</w:t>
      </w:r>
      <w:r w:rsidR="005E63C7">
        <w:rPr>
          <w:rFonts w:eastAsia="Times New Roman"/>
        </w:rPr>
        <w:t>,</w:t>
      </w:r>
      <w:r w:rsidR="00554B23" w:rsidRPr="009C10CE">
        <w:rPr>
          <w:rFonts w:eastAsia="Times New Roman"/>
        </w:rPr>
        <w:t xml:space="preserve"> an indicator variable </w:t>
      </w:r>
      <w:r w:rsidR="003F11C2">
        <w:rPr>
          <w:rFonts w:eastAsia="Times New Roman"/>
        </w:rPr>
        <w:t>equal to 1 if the</w:t>
      </w:r>
      <w:r w:rsidR="00554B23" w:rsidRPr="009C10CE">
        <w:rPr>
          <w:rFonts w:eastAsia="Times New Roman"/>
        </w:rPr>
        <w:t xml:space="preserve"> IPO firm </w:t>
      </w:r>
      <w:r w:rsidR="003F11C2">
        <w:rPr>
          <w:rFonts w:eastAsia="Times New Roman"/>
        </w:rPr>
        <w:t xml:space="preserve">is </w:t>
      </w:r>
      <w:r w:rsidR="00554B23" w:rsidRPr="009C10CE">
        <w:rPr>
          <w:rFonts w:eastAsia="Times New Roman"/>
        </w:rPr>
        <w:t>engage</w:t>
      </w:r>
      <w:r w:rsidR="003F11C2">
        <w:rPr>
          <w:rFonts w:eastAsia="Times New Roman"/>
        </w:rPr>
        <w:t>d</w:t>
      </w:r>
      <w:r w:rsidR="00554B23" w:rsidRPr="009C10CE">
        <w:rPr>
          <w:rFonts w:eastAsia="Times New Roman"/>
        </w:rPr>
        <w:t xml:space="preserve"> in merger and acquisition activities</w:t>
      </w:r>
      <w:r w:rsidR="003F11C2">
        <w:rPr>
          <w:rFonts w:eastAsia="Times New Roman"/>
        </w:rPr>
        <w:t xml:space="preserve"> (i.e., </w:t>
      </w:r>
      <w:r w:rsidR="003F11C2" w:rsidRPr="009C10CE">
        <w:rPr>
          <w:rFonts w:eastAsia="Times New Roman"/>
        </w:rPr>
        <w:t>the firm has non-zero acquisition or merger costs on a pre-tax basis in year t-1</w:t>
      </w:r>
      <w:r w:rsidR="003F11C2">
        <w:rPr>
          <w:rFonts w:eastAsia="Times New Roman"/>
        </w:rPr>
        <w:t>)</w:t>
      </w:r>
      <w:r w:rsidR="00554B23" w:rsidRPr="009C10CE">
        <w:rPr>
          <w:rFonts w:eastAsia="Times New Roman"/>
        </w:rPr>
        <w:t>, and 0 otherwise</w:t>
      </w:r>
      <w:r w:rsidR="00E55055">
        <w:rPr>
          <w:rFonts w:eastAsia="Times New Roman"/>
        </w:rPr>
        <w:t>;</w:t>
      </w:r>
      <w:r w:rsidR="00554B23" w:rsidRPr="009C10CE">
        <w:rPr>
          <w:rFonts w:eastAsia="Times New Roman"/>
        </w:rPr>
        <w:t xml:space="preserve"> </w:t>
      </w:r>
      <w:r w:rsidR="00554B23" w:rsidRPr="009C10CE">
        <w:rPr>
          <w:rFonts w:eastAsia="Times New Roman"/>
          <w:i/>
          <w:iCs/>
        </w:rPr>
        <w:t>Leverage</w:t>
      </w:r>
      <w:r w:rsidR="00E55055">
        <w:rPr>
          <w:rFonts w:eastAsia="Times New Roman"/>
        </w:rPr>
        <w:t>,</w:t>
      </w:r>
      <w:r w:rsidR="00554B23" w:rsidRPr="009C10CE">
        <w:rPr>
          <w:rFonts w:eastAsia="Times New Roman"/>
          <w:i/>
          <w:iCs/>
        </w:rPr>
        <w:t xml:space="preserve"> </w:t>
      </w:r>
      <w:r w:rsidR="00554B23" w:rsidRPr="009C10CE">
        <w:rPr>
          <w:rFonts w:eastAsia="Times New Roman"/>
        </w:rPr>
        <w:t>the ratio of total liabilities to total equity in year t-1</w:t>
      </w:r>
      <w:r w:rsidR="004C5636">
        <w:rPr>
          <w:rFonts w:eastAsia="Times New Roman"/>
        </w:rPr>
        <w:t>;</w:t>
      </w:r>
      <w:r w:rsidR="00554B23" w:rsidRPr="009C10CE">
        <w:rPr>
          <w:rFonts w:eastAsia="Times New Roman"/>
        </w:rPr>
        <w:t xml:space="preserve"> </w:t>
      </w:r>
      <w:proofErr w:type="spellStart"/>
      <w:r w:rsidR="00554B23" w:rsidRPr="009C10CE">
        <w:rPr>
          <w:rFonts w:eastAsia="Times New Roman"/>
          <w:i/>
          <w:iCs/>
        </w:rPr>
        <w:t>Zscore</w:t>
      </w:r>
      <w:proofErr w:type="spellEnd"/>
      <w:r w:rsidR="007B565E">
        <w:rPr>
          <w:rFonts w:eastAsia="Times New Roman"/>
        </w:rPr>
        <w:t>,</w:t>
      </w:r>
      <w:r w:rsidR="00554B23" w:rsidRPr="009C10CE">
        <w:rPr>
          <w:rFonts w:eastAsia="Times New Roman"/>
        </w:rPr>
        <w:t xml:space="preserve"> </w:t>
      </w:r>
      <w:r w:rsidR="007B565E">
        <w:rPr>
          <w:rFonts w:eastAsia="Times New Roman"/>
        </w:rPr>
        <w:t>a</w:t>
      </w:r>
      <w:r w:rsidR="00554B23" w:rsidRPr="009C10CE">
        <w:rPr>
          <w:rFonts w:eastAsia="Times New Roman"/>
        </w:rPr>
        <w:t>s a measure of bankruptcy risk, calculated using the modified Z-score model for private companies developed by Altman (2013)</w:t>
      </w:r>
      <w:r w:rsidR="000236CE">
        <w:rPr>
          <w:rFonts w:eastAsia="Times New Roman"/>
        </w:rPr>
        <w:t xml:space="preserve">; </w:t>
      </w:r>
      <w:r w:rsidR="00554B23" w:rsidRPr="009C10CE">
        <w:rPr>
          <w:rFonts w:eastAsia="Times New Roman"/>
          <w:i/>
          <w:iCs/>
        </w:rPr>
        <w:t>Positive earnings</w:t>
      </w:r>
      <w:r w:rsidR="000236CE">
        <w:rPr>
          <w:rFonts w:eastAsia="Times New Roman"/>
        </w:rPr>
        <w:t>,</w:t>
      </w:r>
      <w:r w:rsidR="00554B23" w:rsidRPr="009C10CE">
        <w:rPr>
          <w:rFonts w:eastAsia="Times New Roman"/>
          <w:i/>
          <w:iCs/>
        </w:rPr>
        <w:t xml:space="preserve"> </w:t>
      </w:r>
      <w:r w:rsidR="00554B23" w:rsidRPr="009C10CE">
        <w:rPr>
          <w:rFonts w:eastAsia="Times New Roman"/>
        </w:rPr>
        <w:t>a measure of profitability, constructed as an indicator variable equal to 1 if the firm has net income in year t-1 equal or higher than zero, and 0 otherwise</w:t>
      </w:r>
      <w:r w:rsidR="00D64A05">
        <w:rPr>
          <w:rFonts w:eastAsia="Times New Roman"/>
        </w:rPr>
        <w:t>;</w:t>
      </w:r>
      <w:r w:rsidR="00554B23" w:rsidRPr="009C10CE">
        <w:rPr>
          <w:rFonts w:eastAsia="Times New Roman"/>
        </w:rPr>
        <w:t xml:space="preserve"> </w:t>
      </w:r>
      <w:r w:rsidR="00554B23" w:rsidRPr="009C10CE">
        <w:rPr>
          <w:rFonts w:eastAsia="Times New Roman"/>
          <w:i/>
          <w:iCs/>
        </w:rPr>
        <w:t>Big 4</w:t>
      </w:r>
      <w:r w:rsidR="00A4180A">
        <w:rPr>
          <w:rFonts w:eastAsia="Times New Roman"/>
        </w:rPr>
        <w:t>,</w:t>
      </w:r>
      <w:r w:rsidR="00554B23" w:rsidRPr="009C10CE">
        <w:rPr>
          <w:rFonts w:eastAsia="Times New Roman"/>
        </w:rPr>
        <w:t xml:space="preserve"> an indicator variable equal to 1 if the firm is audited by one of the Big 4 accounting firms, and 0 otherwise</w:t>
      </w:r>
      <w:r w:rsidR="00BC35ED">
        <w:rPr>
          <w:rFonts w:eastAsia="Times New Roman"/>
        </w:rPr>
        <w:t>;</w:t>
      </w:r>
      <w:r w:rsidR="00554B23" w:rsidRPr="009C10CE">
        <w:rPr>
          <w:rFonts w:eastAsia="Times New Roman"/>
        </w:rPr>
        <w:t xml:space="preserve"> </w:t>
      </w:r>
      <w:r w:rsidR="007329FB">
        <w:rPr>
          <w:rFonts w:eastAsia="Times New Roman"/>
        </w:rPr>
        <w:t xml:space="preserve">and </w:t>
      </w:r>
      <w:proofErr w:type="spellStart"/>
      <w:r w:rsidR="00554B23" w:rsidRPr="009C10CE">
        <w:rPr>
          <w:rFonts w:eastAsia="Times New Roman"/>
          <w:i/>
          <w:iCs/>
        </w:rPr>
        <w:t>CEOchairperson</w:t>
      </w:r>
      <w:proofErr w:type="spellEnd"/>
      <w:r w:rsidR="007329FB">
        <w:rPr>
          <w:rFonts w:eastAsia="Times New Roman"/>
        </w:rPr>
        <w:t>,</w:t>
      </w:r>
      <w:r w:rsidR="00554B23" w:rsidRPr="009C10CE">
        <w:rPr>
          <w:rFonts w:eastAsia="Times New Roman"/>
          <w:i/>
          <w:iCs/>
        </w:rPr>
        <w:t xml:space="preserve"> </w:t>
      </w:r>
      <w:r w:rsidR="00554B23" w:rsidRPr="009C10CE">
        <w:rPr>
          <w:rFonts w:eastAsia="Times New Roman"/>
        </w:rPr>
        <w:t>an inverse measure of the strength of internal monitoring mechanisms</w:t>
      </w:r>
      <w:r w:rsidR="00197F4F">
        <w:rPr>
          <w:rFonts w:eastAsia="Times New Roman"/>
        </w:rPr>
        <w:t>,</w:t>
      </w:r>
      <w:r w:rsidR="00554B23">
        <w:rPr>
          <w:rFonts w:eastAsia="Times New Roman"/>
        </w:rPr>
        <w:t xml:space="preserve"> </w:t>
      </w:r>
      <w:r w:rsidR="00554B23" w:rsidRPr="009C10CE">
        <w:rPr>
          <w:rFonts w:eastAsia="Times New Roman"/>
        </w:rPr>
        <w:t>calculated as an indicator variable equal</w:t>
      </w:r>
      <w:r w:rsidR="00BA742E">
        <w:rPr>
          <w:rFonts w:eastAsia="Times New Roman"/>
        </w:rPr>
        <w:t xml:space="preserve"> to</w:t>
      </w:r>
      <w:r w:rsidR="00554B23" w:rsidRPr="009C10CE">
        <w:rPr>
          <w:rFonts w:eastAsia="Times New Roman"/>
        </w:rPr>
        <w:t xml:space="preserve"> 1 if the CEO is also the chair of the board of directors in year t-1, and 0 otherwise.</w:t>
      </w:r>
      <w:r w:rsidR="0082582B" w:rsidRPr="00BF4CF3">
        <w:rPr>
          <w:rStyle w:val="FootnoteReference"/>
          <w:rFonts w:eastAsia="Times New Roman"/>
        </w:rPr>
        <w:footnoteReference w:id="9"/>
      </w:r>
    </w:p>
    <w:p w14:paraId="7F0789AB" w14:textId="1AA1E53A" w:rsidR="00554B23" w:rsidRDefault="00C60AE2" w:rsidP="005B0E9E">
      <w:pPr>
        <w:spacing w:before="240" w:after="240" w:line="480" w:lineRule="auto"/>
        <w:jc w:val="both"/>
        <w:rPr>
          <w:rFonts w:eastAsia="Times New Roman"/>
        </w:rPr>
      </w:pPr>
      <w:r>
        <w:rPr>
          <w:rFonts w:eastAsia="Times New Roman"/>
        </w:rPr>
        <w:t xml:space="preserve">The control variables </w:t>
      </w:r>
      <w:r w:rsidR="00554B23">
        <w:rPr>
          <w:rFonts w:eastAsia="Times New Roman"/>
        </w:rPr>
        <w:t xml:space="preserve">also include an indicator variable </w:t>
      </w:r>
      <w:r>
        <w:rPr>
          <w:rFonts w:eastAsia="Times New Roman"/>
        </w:rPr>
        <w:t>(</w:t>
      </w:r>
      <w:r w:rsidRPr="00435576">
        <w:rPr>
          <w:rFonts w:eastAsia="Times New Roman"/>
          <w:i/>
          <w:iCs/>
        </w:rPr>
        <w:t>Draft</w:t>
      </w:r>
      <w:r>
        <w:rPr>
          <w:rFonts w:eastAsia="Times New Roman"/>
        </w:rPr>
        <w:t xml:space="preserve">) </w:t>
      </w:r>
      <w:r w:rsidR="00554B23">
        <w:rPr>
          <w:rFonts w:eastAsia="Times New Roman"/>
        </w:rPr>
        <w:t xml:space="preserve">equal to 1 if </w:t>
      </w:r>
      <w:r w:rsidR="008603F1">
        <w:rPr>
          <w:rFonts w:eastAsia="Times New Roman"/>
        </w:rPr>
        <w:t xml:space="preserve">the </w:t>
      </w:r>
      <w:r w:rsidR="00554B23">
        <w:rPr>
          <w:rFonts w:eastAsia="Times New Roman"/>
        </w:rPr>
        <w:t>issuing firm</w:t>
      </w:r>
      <w:r w:rsidR="00554B23" w:rsidRPr="00005592">
        <w:t xml:space="preserve"> </w:t>
      </w:r>
      <w:r w:rsidR="008603F1">
        <w:t xml:space="preserve">has </w:t>
      </w:r>
      <w:r w:rsidR="00554B23" w:rsidRPr="00005592">
        <w:rPr>
          <w:rFonts w:eastAsia="Times New Roman"/>
        </w:rPr>
        <w:t>fil</w:t>
      </w:r>
      <w:r w:rsidR="008603F1">
        <w:rPr>
          <w:rFonts w:eastAsia="Times New Roman"/>
        </w:rPr>
        <w:t>ed a</w:t>
      </w:r>
      <w:r w:rsidR="00554B23" w:rsidRPr="00005592">
        <w:rPr>
          <w:rFonts w:eastAsia="Times New Roman"/>
        </w:rPr>
        <w:t xml:space="preserve"> draft registration statement</w:t>
      </w:r>
      <w:r w:rsidR="00554B23">
        <w:rPr>
          <w:rFonts w:eastAsia="Times New Roman"/>
        </w:rPr>
        <w:t xml:space="preserve"> under the “de-risking” provision of the JOBS Act, and 0 otherwise. Under the JOBS Act, </w:t>
      </w:r>
      <w:r w:rsidR="00554B23" w:rsidRPr="007E69BC">
        <w:rPr>
          <w:rFonts w:eastAsia="Times New Roman"/>
        </w:rPr>
        <w:t xml:space="preserve">EGCs can submit a draft of their </w:t>
      </w:r>
      <w:r w:rsidR="00554B23">
        <w:rPr>
          <w:rFonts w:eastAsia="Times New Roman"/>
        </w:rPr>
        <w:t>S-1 filings</w:t>
      </w:r>
      <w:r w:rsidR="00554B23" w:rsidRPr="007E69BC">
        <w:rPr>
          <w:rFonts w:eastAsia="Times New Roman"/>
        </w:rPr>
        <w:t xml:space="preserve"> to the SEC for confidential review</w:t>
      </w:r>
      <w:r w:rsidR="00554B23">
        <w:rPr>
          <w:rFonts w:eastAsia="Times New Roman"/>
        </w:rPr>
        <w:t xml:space="preserve"> prior to a public filing</w:t>
      </w:r>
      <w:r w:rsidR="00DA4166">
        <w:rPr>
          <w:rFonts w:eastAsia="Times New Roman"/>
        </w:rPr>
        <w:t>;</w:t>
      </w:r>
      <w:r w:rsidR="00554B23">
        <w:rPr>
          <w:rFonts w:eastAsia="Times New Roman"/>
        </w:rPr>
        <w:t xml:space="preserve"> </w:t>
      </w:r>
      <w:r w:rsidR="00DA4166">
        <w:rPr>
          <w:rFonts w:eastAsia="Times New Roman"/>
        </w:rPr>
        <w:t>a</w:t>
      </w:r>
      <w:r w:rsidR="00554B23" w:rsidRPr="003A0DCB">
        <w:rPr>
          <w:rFonts w:eastAsia="Times New Roman"/>
        </w:rPr>
        <w:t xml:space="preserve">ccordingly, the SEC may </w:t>
      </w:r>
      <w:r w:rsidR="00554B23">
        <w:rPr>
          <w:rFonts w:eastAsia="Times New Roman"/>
        </w:rPr>
        <w:t>issue</w:t>
      </w:r>
      <w:r w:rsidR="00554B23" w:rsidRPr="003A0DCB">
        <w:rPr>
          <w:rFonts w:eastAsia="Times New Roman"/>
        </w:rPr>
        <w:t xml:space="preserve"> fewer comments </w:t>
      </w:r>
      <w:r w:rsidR="00554B23">
        <w:rPr>
          <w:rFonts w:eastAsia="Times New Roman"/>
        </w:rPr>
        <w:t xml:space="preserve">on </w:t>
      </w:r>
      <w:r w:rsidR="00554B23" w:rsidRPr="003A0DCB">
        <w:rPr>
          <w:rFonts w:eastAsia="Times New Roman"/>
        </w:rPr>
        <w:t xml:space="preserve">the </w:t>
      </w:r>
      <w:r w:rsidR="00554B23">
        <w:rPr>
          <w:rFonts w:eastAsia="Times New Roman"/>
        </w:rPr>
        <w:t>initial</w:t>
      </w:r>
      <w:r w:rsidR="00554B23" w:rsidRPr="003A0DCB">
        <w:rPr>
          <w:rFonts w:eastAsia="Times New Roman"/>
        </w:rPr>
        <w:t xml:space="preserve"> public</w:t>
      </w:r>
      <w:r w:rsidR="00554B23">
        <w:rPr>
          <w:rFonts w:eastAsia="Times New Roman"/>
        </w:rPr>
        <w:t xml:space="preserve"> S-1 filing</w:t>
      </w:r>
      <w:r w:rsidR="00554B23" w:rsidRPr="003A0DCB">
        <w:rPr>
          <w:rFonts w:eastAsia="Times New Roman"/>
        </w:rPr>
        <w:t xml:space="preserve"> because their previous comments</w:t>
      </w:r>
      <w:r w:rsidR="00554B23">
        <w:rPr>
          <w:rFonts w:eastAsia="Times New Roman"/>
        </w:rPr>
        <w:t xml:space="preserve"> on the draft</w:t>
      </w:r>
      <w:r w:rsidR="00554B23" w:rsidRPr="003A0DCB">
        <w:rPr>
          <w:rFonts w:eastAsia="Times New Roman"/>
        </w:rPr>
        <w:t xml:space="preserve"> were </w:t>
      </w:r>
      <w:r w:rsidR="00554B23">
        <w:rPr>
          <w:rFonts w:eastAsia="Times New Roman"/>
        </w:rPr>
        <w:t xml:space="preserve">addressed </w:t>
      </w:r>
      <w:r w:rsidR="00554B23" w:rsidRPr="003A0DCB">
        <w:rPr>
          <w:rFonts w:eastAsia="Times New Roman"/>
        </w:rPr>
        <w:t xml:space="preserve">by the </w:t>
      </w:r>
      <w:r w:rsidR="00554B23">
        <w:rPr>
          <w:rFonts w:eastAsia="Times New Roman"/>
        </w:rPr>
        <w:t>issuing firm</w:t>
      </w:r>
      <w:r w:rsidR="00554B23" w:rsidRPr="003A0DCB">
        <w:rPr>
          <w:rFonts w:eastAsia="Times New Roman"/>
        </w:rPr>
        <w:t>.</w:t>
      </w:r>
      <w:r w:rsidR="00DA4166">
        <w:rPr>
          <w:rFonts w:eastAsia="Times New Roman"/>
        </w:rPr>
        <w:t xml:space="preserve"> A </w:t>
      </w:r>
      <w:r w:rsidR="00554B23">
        <w:rPr>
          <w:rFonts w:eastAsia="Times New Roman"/>
        </w:rPr>
        <w:t xml:space="preserve">control </w:t>
      </w:r>
      <w:proofErr w:type="gramStart"/>
      <w:r w:rsidR="00DA4166">
        <w:rPr>
          <w:rFonts w:eastAsia="Times New Roman"/>
        </w:rPr>
        <w:t>for the amount of</w:t>
      </w:r>
      <w:proofErr w:type="gramEnd"/>
      <w:r w:rsidR="00DA4166">
        <w:rPr>
          <w:rFonts w:eastAsia="Times New Roman"/>
        </w:rPr>
        <w:t xml:space="preserve"> detail included in the S-1 filing (</w:t>
      </w:r>
      <w:r w:rsidR="00554B23">
        <w:rPr>
          <w:rFonts w:eastAsia="Times New Roman"/>
          <w:i/>
          <w:iCs/>
        </w:rPr>
        <w:t>S1 size</w:t>
      </w:r>
      <w:r w:rsidR="00DA4166">
        <w:rPr>
          <w:rFonts w:eastAsia="Times New Roman"/>
        </w:rPr>
        <w:t>)</w:t>
      </w:r>
      <w:r w:rsidR="00554B23">
        <w:rPr>
          <w:rFonts w:eastAsia="Times New Roman"/>
          <w:i/>
          <w:iCs/>
        </w:rPr>
        <w:t xml:space="preserve"> </w:t>
      </w:r>
      <w:r w:rsidR="00DA4166">
        <w:rPr>
          <w:rFonts w:eastAsia="Times New Roman"/>
        </w:rPr>
        <w:t xml:space="preserve">is also included, </w:t>
      </w:r>
      <w:r w:rsidR="00554B23">
        <w:rPr>
          <w:rFonts w:eastAsia="Times New Roman"/>
        </w:rPr>
        <w:t xml:space="preserve">measured as </w:t>
      </w:r>
      <w:r w:rsidR="00554B23" w:rsidRPr="00742F7C">
        <w:rPr>
          <w:rFonts w:eastAsia="Times New Roman"/>
        </w:rPr>
        <w:t xml:space="preserve">the </w:t>
      </w:r>
      <w:r w:rsidR="00991779">
        <w:rPr>
          <w:rFonts w:eastAsia="Times New Roman"/>
        </w:rPr>
        <w:t>total</w:t>
      </w:r>
      <w:r w:rsidR="00991779" w:rsidRPr="00742F7C">
        <w:rPr>
          <w:rFonts w:eastAsia="Times New Roman"/>
        </w:rPr>
        <w:t xml:space="preserve"> </w:t>
      </w:r>
      <w:r w:rsidR="00554B23" w:rsidRPr="00742F7C">
        <w:rPr>
          <w:rFonts w:eastAsia="Times New Roman"/>
        </w:rPr>
        <w:t xml:space="preserve">size (in megabytes) of the </w:t>
      </w:r>
      <w:r w:rsidR="00554B23">
        <w:rPr>
          <w:rFonts w:eastAsia="Times New Roman"/>
        </w:rPr>
        <w:t>S-1 filing</w:t>
      </w:r>
      <w:r w:rsidR="00554B23" w:rsidRPr="00742F7C">
        <w:rPr>
          <w:rFonts w:eastAsia="Times New Roman"/>
        </w:rPr>
        <w:t xml:space="preserve"> </w:t>
      </w:r>
      <w:r w:rsidR="00110222">
        <w:rPr>
          <w:rFonts w:eastAsia="Times New Roman"/>
        </w:rPr>
        <w:t>in</w:t>
      </w:r>
      <w:r w:rsidR="00110222" w:rsidRPr="00742F7C">
        <w:rPr>
          <w:rFonts w:eastAsia="Times New Roman"/>
        </w:rPr>
        <w:t xml:space="preserve"> </w:t>
      </w:r>
      <w:r w:rsidR="00554B23" w:rsidRPr="00742F7C">
        <w:rPr>
          <w:rFonts w:eastAsia="Times New Roman"/>
        </w:rPr>
        <w:t>EDGAR (Bonsall et al., 2017)</w:t>
      </w:r>
      <w:r w:rsidR="00554B23">
        <w:rPr>
          <w:rFonts w:eastAsia="Times New Roman"/>
        </w:rPr>
        <w:t xml:space="preserve">. Bonsall et al. (2017) suggest that quantity of information, as a proxy for readability, </w:t>
      </w:r>
      <w:r w:rsidR="00554B23" w:rsidRPr="00AB0B1B">
        <w:rPr>
          <w:rFonts w:eastAsia="Times New Roman"/>
        </w:rPr>
        <w:t>ha</w:t>
      </w:r>
      <w:r w:rsidR="00554B23">
        <w:rPr>
          <w:rFonts w:eastAsia="Times New Roman"/>
        </w:rPr>
        <w:t>s</w:t>
      </w:r>
      <w:r w:rsidR="00554B23" w:rsidRPr="00AB0B1B">
        <w:rPr>
          <w:rFonts w:eastAsia="Times New Roman"/>
        </w:rPr>
        <w:t xml:space="preserve"> an influence on </w:t>
      </w:r>
      <w:r w:rsidR="00554B23">
        <w:rPr>
          <w:rFonts w:eastAsia="Times New Roman"/>
        </w:rPr>
        <w:t>the decision-making of information intermediaries (e.g., the SEC).</w:t>
      </w:r>
      <w:r w:rsidR="0045488C">
        <w:rPr>
          <w:rFonts w:eastAsia="Times New Roman"/>
        </w:rPr>
        <w:t xml:space="preserve"> To control for </w:t>
      </w:r>
      <w:r w:rsidR="00D5485B">
        <w:rPr>
          <w:rFonts w:eastAsia="Times New Roman"/>
        </w:rPr>
        <w:t xml:space="preserve">the potential </w:t>
      </w:r>
      <w:r w:rsidR="00D5485B">
        <w:rPr>
          <w:rFonts w:eastAsia="Times New Roman"/>
        </w:rPr>
        <w:lastRenderedPageBreak/>
        <w:t xml:space="preserve">impacts from temporal </w:t>
      </w:r>
      <w:r w:rsidR="0045488C">
        <w:rPr>
          <w:rFonts w:eastAsia="Times New Roman"/>
        </w:rPr>
        <w:t xml:space="preserve">variation in </w:t>
      </w:r>
      <w:r w:rsidR="00D5485B">
        <w:rPr>
          <w:rFonts w:eastAsia="Times New Roman"/>
        </w:rPr>
        <w:t xml:space="preserve">IPO volume on SEC reviewer workload, </w:t>
      </w:r>
      <w:r w:rsidR="00554B23" w:rsidRPr="00EC6051">
        <w:rPr>
          <w:rFonts w:eastAsia="Times New Roman"/>
          <w:i/>
          <w:iCs/>
        </w:rPr>
        <w:t>No. IPOs (decile rank)</w:t>
      </w:r>
      <w:r w:rsidR="00D5485B">
        <w:rPr>
          <w:rFonts w:eastAsia="Times New Roman"/>
          <w:i/>
          <w:iCs/>
        </w:rPr>
        <w:t>,</w:t>
      </w:r>
      <w:r w:rsidR="00554B23">
        <w:rPr>
          <w:rFonts w:eastAsia="Times New Roman"/>
          <w:i/>
          <w:iCs/>
        </w:rPr>
        <w:t xml:space="preserve"> </w:t>
      </w:r>
      <w:r w:rsidR="00D5485B">
        <w:rPr>
          <w:rFonts w:eastAsia="Times New Roman"/>
        </w:rPr>
        <w:t>calculated as</w:t>
      </w:r>
      <w:r w:rsidR="00554B23">
        <w:rPr>
          <w:rFonts w:eastAsia="Times New Roman"/>
        </w:rPr>
        <w:t xml:space="preserve"> the </w:t>
      </w:r>
      <w:r w:rsidR="003546B2">
        <w:rPr>
          <w:rFonts w:eastAsia="Times New Roman"/>
        </w:rPr>
        <w:t xml:space="preserve">annual decile rank of the </w:t>
      </w:r>
      <w:r w:rsidR="00554B23">
        <w:rPr>
          <w:rFonts w:eastAsia="Times New Roman"/>
        </w:rPr>
        <w:t>number</w:t>
      </w:r>
      <w:r w:rsidR="003546B2">
        <w:rPr>
          <w:rFonts w:eastAsia="Times New Roman"/>
        </w:rPr>
        <w:t xml:space="preserve"> </w:t>
      </w:r>
      <w:r w:rsidR="00554B23">
        <w:rPr>
          <w:rFonts w:eastAsia="Times New Roman"/>
        </w:rPr>
        <w:t>of</w:t>
      </w:r>
      <w:r w:rsidR="003546B2">
        <w:rPr>
          <w:rFonts w:eastAsia="Times New Roman"/>
        </w:rPr>
        <w:t xml:space="preserve"> </w:t>
      </w:r>
      <w:r w:rsidR="00554B23">
        <w:rPr>
          <w:rFonts w:eastAsia="Times New Roman"/>
        </w:rPr>
        <w:t>IPOs in each two-digit SIC code industry.</w:t>
      </w:r>
      <w:r w:rsidR="007E0BB1">
        <w:rPr>
          <w:rStyle w:val="FootnoteReference"/>
          <w:rFonts w:eastAsia="Times New Roman"/>
        </w:rPr>
        <w:footnoteReference w:id="10"/>
      </w:r>
      <w:r w:rsidR="00554B23">
        <w:rPr>
          <w:rFonts w:eastAsia="Times New Roman"/>
        </w:rPr>
        <w:t xml:space="preserve"> </w:t>
      </w:r>
      <w:r w:rsidR="004F261A">
        <w:rPr>
          <w:rFonts w:eastAsia="Times New Roman"/>
        </w:rPr>
        <w:t>A</w:t>
      </w:r>
      <w:r w:rsidR="00554B23">
        <w:rPr>
          <w:rFonts w:eastAsia="Times New Roman"/>
        </w:rPr>
        <w:t xml:space="preserve"> control for advisor quality </w:t>
      </w:r>
      <w:r w:rsidR="0075553B">
        <w:rPr>
          <w:rFonts w:eastAsia="Times New Roman"/>
        </w:rPr>
        <w:t>is also included</w:t>
      </w:r>
      <w:r w:rsidR="003561BE">
        <w:rPr>
          <w:rFonts w:eastAsia="Times New Roman"/>
        </w:rPr>
        <w:t>,</w:t>
      </w:r>
      <w:r w:rsidR="0075553B">
        <w:rPr>
          <w:rFonts w:eastAsia="Times New Roman"/>
        </w:rPr>
        <w:t xml:space="preserve"> </w:t>
      </w:r>
      <w:r w:rsidR="00554B23">
        <w:rPr>
          <w:rFonts w:eastAsia="Times New Roman"/>
        </w:rPr>
        <w:t xml:space="preserve">indicated </w:t>
      </w:r>
      <w:r w:rsidR="003561BE">
        <w:rPr>
          <w:rFonts w:eastAsia="Times New Roman"/>
        </w:rPr>
        <w:t xml:space="preserve">by </w:t>
      </w:r>
      <w:r w:rsidR="00554B23">
        <w:rPr>
          <w:rFonts w:eastAsia="Times New Roman"/>
        </w:rPr>
        <w:t>the rank</w:t>
      </w:r>
      <w:r w:rsidR="003561BE">
        <w:rPr>
          <w:rFonts w:eastAsia="Times New Roman"/>
        </w:rPr>
        <w:t>ing</w:t>
      </w:r>
      <w:r w:rsidR="00554B23">
        <w:rPr>
          <w:rFonts w:eastAsia="Times New Roman"/>
        </w:rPr>
        <w:t xml:space="preserve"> of IPO firms’ underwriters</w:t>
      </w:r>
      <w:r w:rsidR="003561BE">
        <w:rPr>
          <w:rFonts w:eastAsia="Times New Roman"/>
        </w:rPr>
        <w:t xml:space="preserve"> (</w:t>
      </w:r>
      <w:r w:rsidR="003561BE" w:rsidRPr="00075C10">
        <w:rPr>
          <w:rFonts w:eastAsia="Times New Roman"/>
          <w:i/>
          <w:iCs/>
        </w:rPr>
        <w:t>Underwriter rank</w:t>
      </w:r>
      <w:r w:rsidR="003561BE">
        <w:rPr>
          <w:rFonts w:eastAsia="Times New Roman"/>
        </w:rPr>
        <w:t>)</w:t>
      </w:r>
      <w:r w:rsidR="00C36CD2">
        <w:rPr>
          <w:rFonts w:eastAsia="Times New Roman"/>
        </w:rPr>
        <w:t xml:space="preserve"> obtained from</w:t>
      </w:r>
      <w:r w:rsidR="00554B23" w:rsidRPr="007203EE">
        <w:rPr>
          <w:rFonts w:eastAsia="Times New Roman"/>
        </w:rPr>
        <w:t xml:space="preserve"> Jay Ritter's rank database</w:t>
      </w:r>
      <w:r w:rsidR="00554B23">
        <w:rPr>
          <w:rFonts w:eastAsia="Times New Roman"/>
        </w:rPr>
        <w:t>.</w:t>
      </w:r>
      <w:r w:rsidR="00C36CD2">
        <w:rPr>
          <w:rStyle w:val="FootnoteReference"/>
          <w:rFonts w:eastAsia="Times New Roman"/>
        </w:rPr>
        <w:footnoteReference w:id="11"/>
      </w:r>
      <w:r w:rsidR="00554B23">
        <w:rPr>
          <w:rFonts w:eastAsia="Times New Roman"/>
        </w:rPr>
        <w:t xml:space="preserve"> </w:t>
      </w:r>
      <w:proofErr w:type="spellStart"/>
      <w:r w:rsidR="00554B23">
        <w:rPr>
          <w:rFonts w:eastAsia="Times New Roman"/>
        </w:rPr>
        <w:t>Ertimur</w:t>
      </w:r>
      <w:proofErr w:type="spellEnd"/>
      <w:r w:rsidR="00554B23">
        <w:rPr>
          <w:rFonts w:eastAsia="Times New Roman"/>
        </w:rPr>
        <w:t xml:space="preserve"> and </w:t>
      </w:r>
      <w:proofErr w:type="spellStart"/>
      <w:r w:rsidR="00554B23">
        <w:rPr>
          <w:rFonts w:eastAsia="Times New Roman"/>
        </w:rPr>
        <w:t>Nondorf</w:t>
      </w:r>
      <w:proofErr w:type="spellEnd"/>
      <w:r w:rsidR="00554B23">
        <w:rPr>
          <w:rFonts w:eastAsia="Times New Roman"/>
        </w:rPr>
        <w:t xml:space="preserve"> (2006) argue that </w:t>
      </w:r>
      <w:r w:rsidR="00660B66">
        <w:rPr>
          <w:rFonts w:eastAsia="Times New Roman"/>
        </w:rPr>
        <w:t xml:space="preserve">employing </w:t>
      </w:r>
      <w:r w:rsidR="00554B23" w:rsidRPr="00B20416">
        <w:rPr>
          <w:rFonts w:eastAsia="Times New Roman"/>
        </w:rPr>
        <w:t xml:space="preserve">a </w:t>
      </w:r>
      <w:r w:rsidR="00660B66">
        <w:rPr>
          <w:rFonts w:eastAsia="Times New Roman"/>
        </w:rPr>
        <w:t xml:space="preserve">more </w:t>
      </w:r>
      <w:r w:rsidR="00554B23" w:rsidRPr="00B20416">
        <w:rPr>
          <w:rFonts w:eastAsia="Times New Roman"/>
        </w:rPr>
        <w:t xml:space="preserve">prestigious underwriter </w:t>
      </w:r>
      <w:r w:rsidR="00554B23">
        <w:rPr>
          <w:rFonts w:eastAsia="Times New Roman"/>
        </w:rPr>
        <w:t>enhance</w:t>
      </w:r>
      <w:r w:rsidR="00660B66">
        <w:rPr>
          <w:rFonts w:eastAsia="Times New Roman"/>
        </w:rPr>
        <w:t>s</w:t>
      </w:r>
      <w:r w:rsidR="00554B23" w:rsidRPr="00B20416">
        <w:rPr>
          <w:rFonts w:eastAsia="Times New Roman"/>
        </w:rPr>
        <w:t xml:space="preserve"> the efficiency of the IPO </w:t>
      </w:r>
      <w:r w:rsidR="00554B23">
        <w:rPr>
          <w:rFonts w:eastAsia="Times New Roman"/>
        </w:rPr>
        <w:t xml:space="preserve">filing </w:t>
      </w:r>
      <w:r w:rsidR="00554B23" w:rsidRPr="00B20416">
        <w:rPr>
          <w:rFonts w:eastAsia="Times New Roman"/>
        </w:rPr>
        <w:t>process</w:t>
      </w:r>
      <w:r w:rsidR="00036E55">
        <w:rPr>
          <w:rFonts w:eastAsia="Times New Roman"/>
        </w:rPr>
        <w:t xml:space="preserve">, while </w:t>
      </w:r>
      <w:r w:rsidR="00472157">
        <w:rPr>
          <w:rFonts w:eastAsia="Times New Roman"/>
        </w:rPr>
        <w:t xml:space="preserve">Lee and </w:t>
      </w:r>
      <w:proofErr w:type="spellStart"/>
      <w:r w:rsidR="00472157">
        <w:rPr>
          <w:rFonts w:eastAsia="Times New Roman"/>
        </w:rPr>
        <w:t>Masulis</w:t>
      </w:r>
      <w:proofErr w:type="spellEnd"/>
      <w:r w:rsidR="00472157">
        <w:rPr>
          <w:rFonts w:eastAsia="Times New Roman"/>
        </w:rPr>
        <w:t xml:space="preserve"> (2011) </w:t>
      </w:r>
      <w:r w:rsidR="001E7C6F">
        <w:rPr>
          <w:rFonts w:eastAsia="Times New Roman"/>
        </w:rPr>
        <w:t>show</w:t>
      </w:r>
      <w:r w:rsidR="00472157">
        <w:rPr>
          <w:rFonts w:eastAsia="Times New Roman"/>
        </w:rPr>
        <w:t xml:space="preserve"> that r</w:t>
      </w:r>
      <w:r w:rsidR="002273C5">
        <w:rPr>
          <w:rFonts w:eastAsia="Times New Roman"/>
        </w:rPr>
        <w:t xml:space="preserve">eputable underwriters participating </w:t>
      </w:r>
      <w:r w:rsidR="001E7C6F">
        <w:rPr>
          <w:rFonts w:eastAsia="Times New Roman"/>
        </w:rPr>
        <w:t>can</w:t>
      </w:r>
      <w:r w:rsidR="002273C5">
        <w:rPr>
          <w:rFonts w:eastAsia="Times New Roman"/>
        </w:rPr>
        <w:t xml:space="preserve"> </w:t>
      </w:r>
      <w:r w:rsidR="00D84C50" w:rsidRPr="00D84C50">
        <w:rPr>
          <w:rFonts w:eastAsia="Times New Roman"/>
        </w:rPr>
        <w:t>restrain earnings management</w:t>
      </w:r>
      <w:r w:rsidR="001E7C6F">
        <w:rPr>
          <w:rFonts w:eastAsia="Times New Roman"/>
        </w:rPr>
        <w:t xml:space="preserve"> at IPO</w:t>
      </w:r>
      <w:r w:rsidR="00472157">
        <w:rPr>
          <w:rFonts w:eastAsia="Times New Roman"/>
        </w:rPr>
        <w:t xml:space="preserve">. </w:t>
      </w:r>
      <w:r w:rsidR="00554B23">
        <w:rPr>
          <w:rFonts w:eastAsia="Times New Roman"/>
        </w:rPr>
        <w:t>Lowry et al. (2020) also identify that high underwriter rank reduces the length of IPO registration period.</w:t>
      </w:r>
      <w:r w:rsidR="0066799E">
        <w:rPr>
          <w:rFonts w:eastAsia="Times New Roman"/>
        </w:rPr>
        <w:t xml:space="preserve"> </w:t>
      </w:r>
    </w:p>
    <w:p w14:paraId="6BDB2BC6" w14:textId="69EA4D2B" w:rsidR="00C17925" w:rsidRPr="002E1AC2" w:rsidRDefault="00C17925" w:rsidP="00C17925">
      <w:pPr>
        <w:spacing w:before="240" w:after="240" w:line="480" w:lineRule="auto"/>
        <w:jc w:val="both"/>
        <w:rPr>
          <w:rFonts w:eastAsia="Times New Roman"/>
        </w:rPr>
      </w:pPr>
      <w:r>
        <w:rPr>
          <w:rFonts w:eastAsia="Times New Roman"/>
        </w:rPr>
        <w:t>One potential concern is that reduced SEC scrutiny under JOBS may be mechanically linked to additional disclosure exemptions for EGC issuers under the Act. In other words, the SEC may provide fewer comments simply because there less information is disclosed that could be commented upon. To rule out this possibility, an</w:t>
      </w:r>
      <w:r w:rsidRPr="00A536F2">
        <w:rPr>
          <w:rFonts w:eastAsia="Times New Roman"/>
        </w:rPr>
        <w:t xml:space="preserve"> </w:t>
      </w:r>
      <w:r w:rsidRPr="006B3FA2">
        <w:rPr>
          <w:rFonts w:eastAsia="Times New Roman"/>
        </w:rPr>
        <w:t>augmented v</w:t>
      </w:r>
      <w:r w:rsidRPr="005D76FD">
        <w:rPr>
          <w:rFonts w:eastAsia="Times New Roman"/>
        </w:rPr>
        <w:t xml:space="preserve">ersion of main model, as specified by </w:t>
      </w:r>
      <w:r w:rsidRPr="00164BD0">
        <w:rPr>
          <w:rFonts w:eastAsia="Times New Roman"/>
        </w:rPr>
        <w:t>E</w:t>
      </w:r>
      <w:r w:rsidRPr="00832F39">
        <w:rPr>
          <w:rFonts w:eastAsia="Times New Roman"/>
        </w:rPr>
        <w:t>q. (</w:t>
      </w:r>
      <w:r>
        <w:rPr>
          <w:rFonts w:eastAsia="Times New Roman"/>
        </w:rPr>
        <w:t>3</w:t>
      </w:r>
      <w:r w:rsidRPr="009C10CE">
        <w:rPr>
          <w:rFonts w:eastAsia="Times New Roman"/>
        </w:rPr>
        <w:t>) below,</w:t>
      </w:r>
      <w:r>
        <w:rPr>
          <w:rFonts w:eastAsia="Times New Roman"/>
        </w:rPr>
        <w:t xml:space="preserve"> is estimated to contrast the impact of the Act on SEC reviews of EGC issuers that are (not) also eligible for smaller reporting company (SRC) status. </w:t>
      </w:r>
    </w:p>
    <w:p w14:paraId="07762381" w14:textId="183E30C0" w:rsidR="0027694E" w:rsidRPr="00751FA8" w:rsidRDefault="00000000" w:rsidP="005B0E9E">
      <w:pPr>
        <w:spacing w:before="240" w:after="240" w:line="480" w:lineRule="auto"/>
        <w:jc w:val="both"/>
        <w:rPr>
          <w:rFonts w:eastAsia="Times New Roman"/>
          <w:sz w:val="18"/>
          <w:szCs w:val="20"/>
        </w:rPr>
      </w:pPr>
      <m:oMathPara>
        <m:oMath>
          <m:eqArr>
            <m:eqArrPr>
              <m:maxDist m:val="1"/>
              <m:ctrlPr>
                <w:rPr>
                  <w:rFonts w:ascii="Cambria Math" w:eastAsia="Times New Roman" w:hAnsi="Cambria Math"/>
                  <w:i/>
                  <w:sz w:val="20"/>
                  <w:szCs w:val="22"/>
                </w:rPr>
              </m:ctrlPr>
            </m:eqArrPr>
            <m:e>
              <m:sSub>
                <m:sSubPr>
                  <m:ctrlPr>
                    <w:rPr>
                      <w:rFonts w:ascii="Cambria Math" w:eastAsia="Times New Roman" w:hAnsi="Cambria Math"/>
                      <w:i/>
                      <w:sz w:val="20"/>
                      <w:szCs w:val="22"/>
                    </w:rPr>
                  </m:ctrlPr>
                </m:sSubPr>
                <m:e>
                  <m:r>
                    <w:rPr>
                      <w:rFonts w:ascii="Cambria Math" w:eastAsia="Times New Roman" w:hAnsi="Cambria Math"/>
                      <w:sz w:val="20"/>
                      <w:szCs w:val="22"/>
                    </w:rPr>
                    <m:t>SEC review</m:t>
                  </m:r>
                </m:e>
                <m:sub>
                  <m:r>
                    <w:rPr>
                      <w:rFonts w:ascii="Cambria Math" w:eastAsia="Times New Roman" w:hAnsi="Cambria Math"/>
                      <w:sz w:val="20"/>
                      <w:szCs w:val="22"/>
                    </w:rPr>
                    <m:t>it</m:t>
                  </m:r>
                </m:sub>
              </m:sSub>
              <m:r>
                <w:rPr>
                  <w:rFonts w:ascii="Cambria Math" w:eastAsia="Times New Roman" w:hAnsi="Cambria Math"/>
                  <w:sz w:val="20"/>
                  <w:szCs w:val="22"/>
                </w:rPr>
                <m:t>=</m:t>
              </m:r>
              <m:sSub>
                <m:sSubPr>
                  <m:ctrlPr>
                    <w:rPr>
                      <w:rFonts w:ascii="Cambria Math" w:eastAsia="Times New Roman" w:hAnsi="Cambria Math"/>
                      <w:i/>
                      <w:sz w:val="20"/>
                      <w:szCs w:val="22"/>
                    </w:rPr>
                  </m:ctrlPr>
                </m:sSubPr>
                <m:e>
                  <m:r>
                    <w:rPr>
                      <w:rFonts w:ascii="Cambria Math" w:eastAsia="Times New Roman" w:hAnsi="Cambria Math"/>
                      <w:sz w:val="20"/>
                      <w:szCs w:val="22"/>
                    </w:rPr>
                    <m:t>β</m:t>
                  </m:r>
                </m:e>
                <m:sub>
                  <m:r>
                    <w:rPr>
                      <w:rFonts w:ascii="Cambria Math" w:eastAsia="Times New Roman" w:hAnsi="Cambria Math"/>
                      <w:sz w:val="20"/>
                      <w:szCs w:val="22"/>
                    </w:rPr>
                    <m:t>0</m:t>
                  </m:r>
                </m:sub>
              </m:sSub>
              <m:r>
                <w:rPr>
                  <w:rFonts w:ascii="Cambria Math" w:eastAsia="Times New Roman" w:hAnsi="Cambria Math"/>
                  <w:sz w:val="20"/>
                  <w:szCs w:val="22"/>
                </w:rPr>
                <m:t>+</m:t>
              </m:r>
              <m:sSub>
                <m:sSubPr>
                  <m:ctrlPr>
                    <w:rPr>
                      <w:rFonts w:ascii="Cambria Math" w:eastAsia="Times New Roman" w:hAnsi="Cambria Math"/>
                      <w:i/>
                      <w:sz w:val="20"/>
                      <w:szCs w:val="22"/>
                    </w:rPr>
                  </m:ctrlPr>
                </m:sSubPr>
                <m:e>
                  <m:r>
                    <w:rPr>
                      <w:rFonts w:ascii="Cambria Math" w:eastAsia="Times New Roman" w:hAnsi="Cambria Math"/>
                      <w:sz w:val="20"/>
                      <w:szCs w:val="22"/>
                    </w:rPr>
                    <m:t>β</m:t>
                  </m:r>
                </m:e>
                <m:sub>
                  <m:r>
                    <w:rPr>
                      <w:rFonts w:ascii="Cambria Math" w:eastAsia="Times New Roman" w:hAnsi="Cambria Math"/>
                      <w:sz w:val="20"/>
                      <w:szCs w:val="22"/>
                    </w:rPr>
                    <m:t>1</m:t>
                  </m:r>
                </m:sub>
              </m:sSub>
              <m:sSub>
                <m:sSubPr>
                  <m:ctrlPr>
                    <w:rPr>
                      <w:rFonts w:ascii="Cambria Math" w:eastAsia="Times New Roman" w:hAnsi="Cambria Math"/>
                      <w:i/>
                      <w:sz w:val="20"/>
                      <w:szCs w:val="22"/>
                    </w:rPr>
                  </m:ctrlPr>
                </m:sSubPr>
                <m:e>
                  <m:r>
                    <w:rPr>
                      <w:rFonts w:ascii="Cambria Math" w:eastAsia="Times New Roman" w:hAnsi="Cambria Math"/>
                      <w:sz w:val="20"/>
                      <w:szCs w:val="22"/>
                    </w:rPr>
                    <m:t>JOBS Act</m:t>
                  </m:r>
                </m:e>
                <m:sub>
                  <m:r>
                    <w:rPr>
                      <w:rFonts w:ascii="Cambria Math" w:eastAsia="Times New Roman" w:hAnsi="Cambria Math"/>
                      <w:sz w:val="20"/>
                      <w:szCs w:val="22"/>
                    </w:rPr>
                    <m:t>it</m:t>
                  </m:r>
                </m:sub>
              </m:sSub>
              <m:r>
                <w:rPr>
                  <w:rFonts w:ascii="Cambria Math" w:eastAsia="Times New Roman" w:hAnsi="Cambria Math"/>
                  <w:sz w:val="20"/>
                  <w:szCs w:val="22"/>
                </w:rPr>
                <m:t>+</m:t>
              </m:r>
              <m:sSub>
                <m:sSubPr>
                  <m:ctrlPr>
                    <w:rPr>
                      <w:rFonts w:ascii="Cambria Math" w:eastAsia="Times New Roman" w:hAnsi="Cambria Math"/>
                      <w:i/>
                      <w:sz w:val="20"/>
                      <w:szCs w:val="22"/>
                    </w:rPr>
                  </m:ctrlPr>
                </m:sSubPr>
                <m:e>
                  <m:r>
                    <w:rPr>
                      <w:rFonts w:ascii="Cambria Math" w:eastAsia="Times New Roman" w:hAnsi="Cambria Math"/>
                      <w:sz w:val="20"/>
                      <w:szCs w:val="22"/>
                    </w:rPr>
                    <m:t>β</m:t>
                  </m:r>
                </m:e>
                <m:sub>
                  <m:r>
                    <w:rPr>
                      <w:rFonts w:ascii="Cambria Math" w:eastAsia="Times New Roman" w:hAnsi="Cambria Math"/>
                      <w:sz w:val="20"/>
                      <w:szCs w:val="22"/>
                    </w:rPr>
                    <m:t>2</m:t>
                  </m:r>
                </m:sub>
              </m:sSub>
              <m:sSub>
                <m:sSubPr>
                  <m:ctrlPr>
                    <w:rPr>
                      <w:rFonts w:ascii="Cambria Math" w:eastAsia="Times New Roman" w:hAnsi="Cambria Math"/>
                      <w:i/>
                      <w:sz w:val="20"/>
                      <w:szCs w:val="22"/>
                    </w:rPr>
                  </m:ctrlPr>
                </m:sSubPr>
                <m:e>
                  <m:r>
                    <w:rPr>
                      <w:rFonts w:ascii="Cambria Math" w:eastAsia="Times New Roman" w:hAnsi="Cambria Math"/>
                      <w:sz w:val="20"/>
                      <w:szCs w:val="22"/>
                    </w:rPr>
                    <m:t>non-SRC</m:t>
                  </m:r>
                </m:e>
                <m:sub>
                  <m:r>
                    <w:rPr>
                      <w:rFonts w:ascii="Cambria Math" w:eastAsia="Times New Roman" w:hAnsi="Cambria Math"/>
                      <w:sz w:val="20"/>
                      <w:szCs w:val="22"/>
                    </w:rPr>
                    <m:t>it</m:t>
                  </m:r>
                </m:sub>
              </m:sSub>
              <m:r>
                <w:rPr>
                  <w:rFonts w:ascii="Cambria Math" w:eastAsia="Times New Roman" w:hAnsi="Cambria Math"/>
                  <w:sz w:val="20"/>
                  <w:szCs w:val="22"/>
                </w:rPr>
                <m:t>+</m:t>
              </m:r>
              <m:sSub>
                <m:sSubPr>
                  <m:ctrlPr>
                    <w:rPr>
                      <w:rFonts w:ascii="Cambria Math" w:eastAsia="Times New Roman" w:hAnsi="Cambria Math"/>
                      <w:i/>
                      <w:sz w:val="20"/>
                      <w:szCs w:val="22"/>
                    </w:rPr>
                  </m:ctrlPr>
                </m:sSubPr>
                <m:e>
                  <m:r>
                    <w:rPr>
                      <w:rFonts w:ascii="Cambria Math" w:eastAsia="Times New Roman" w:hAnsi="Cambria Math"/>
                      <w:sz w:val="20"/>
                      <w:szCs w:val="22"/>
                    </w:rPr>
                    <m:t>β</m:t>
                  </m:r>
                </m:e>
                <m:sub>
                  <m:r>
                    <w:rPr>
                      <w:rFonts w:ascii="Cambria Math" w:eastAsia="Times New Roman" w:hAnsi="Cambria Math"/>
                      <w:sz w:val="20"/>
                      <w:szCs w:val="22"/>
                    </w:rPr>
                    <m:t>3</m:t>
                  </m:r>
                </m:sub>
              </m:sSub>
              <m:sSub>
                <m:sSubPr>
                  <m:ctrlPr>
                    <w:rPr>
                      <w:rFonts w:ascii="Cambria Math" w:eastAsia="Times New Roman" w:hAnsi="Cambria Math"/>
                      <w:i/>
                      <w:sz w:val="20"/>
                      <w:szCs w:val="22"/>
                    </w:rPr>
                  </m:ctrlPr>
                </m:sSubPr>
                <m:e>
                  <m:r>
                    <w:rPr>
                      <w:rFonts w:ascii="Cambria Math" w:eastAsia="Times New Roman" w:hAnsi="Cambria Math"/>
                      <w:sz w:val="20"/>
                      <w:szCs w:val="22"/>
                    </w:rPr>
                    <m:t>JOBS Act</m:t>
                  </m:r>
                </m:e>
                <m:sub>
                  <m:r>
                    <w:rPr>
                      <w:rFonts w:ascii="Cambria Math" w:eastAsia="Times New Roman" w:hAnsi="Cambria Math"/>
                      <w:sz w:val="20"/>
                      <w:szCs w:val="22"/>
                    </w:rPr>
                    <m:t>it</m:t>
                  </m:r>
                </m:sub>
              </m:sSub>
              <m:r>
                <w:rPr>
                  <w:rFonts w:ascii="Cambria Math" w:eastAsia="Times New Roman" w:hAnsi="Cambria Math"/>
                  <w:sz w:val="20"/>
                  <w:szCs w:val="22"/>
                </w:rPr>
                <m:t>×</m:t>
              </m:r>
              <m:sSub>
                <m:sSubPr>
                  <m:ctrlPr>
                    <w:rPr>
                      <w:rFonts w:ascii="Cambria Math" w:eastAsia="Times New Roman" w:hAnsi="Cambria Math"/>
                      <w:i/>
                      <w:sz w:val="20"/>
                      <w:szCs w:val="22"/>
                    </w:rPr>
                  </m:ctrlPr>
                </m:sSubPr>
                <m:e>
                  <m:r>
                    <w:rPr>
                      <w:rFonts w:ascii="Cambria Math" w:eastAsia="Times New Roman" w:hAnsi="Cambria Math"/>
                      <w:sz w:val="20"/>
                      <w:szCs w:val="22"/>
                    </w:rPr>
                    <m:t>non-SRC</m:t>
                  </m:r>
                </m:e>
                <m:sub>
                  <m:r>
                    <w:rPr>
                      <w:rFonts w:ascii="Cambria Math" w:eastAsia="Times New Roman" w:hAnsi="Cambria Math"/>
                      <w:sz w:val="20"/>
                      <w:szCs w:val="22"/>
                    </w:rPr>
                    <m:t>it</m:t>
                  </m:r>
                </m:sub>
              </m:sSub>
              <m:r>
                <w:rPr>
                  <w:rFonts w:ascii="Cambria Math" w:eastAsia="Times New Roman" w:hAnsi="Cambria Math"/>
                  <w:sz w:val="20"/>
                  <w:szCs w:val="22"/>
                </w:rPr>
                <m:t>+</m:t>
              </m:r>
              <m:nary>
                <m:naryPr>
                  <m:chr m:val="∑"/>
                  <m:limLoc m:val="undOvr"/>
                  <m:subHide m:val="1"/>
                  <m:supHide m:val="1"/>
                  <m:ctrlPr>
                    <w:rPr>
                      <w:rFonts w:ascii="Cambria Math" w:eastAsia="Times New Roman" w:hAnsi="Cambria Math"/>
                      <w:i/>
                      <w:sz w:val="20"/>
                      <w:szCs w:val="22"/>
                    </w:rPr>
                  </m:ctrlPr>
                </m:naryPr>
                <m:sub/>
                <m:sup/>
                <m:e>
                  <m:r>
                    <w:rPr>
                      <w:rFonts w:ascii="Cambria Math" w:eastAsia="Times New Roman" w:hAnsi="Cambria Math"/>
                      <w:sz w:val="20"/>
                      <w:szCs w:val="22"/>
                    </w:rPr>
                    <m:t>δ</m:t>
                  </m:r>
                  <m:sSub>
                    <m:sSubPr>
                      <m:ctrlPr>
                        <w:rPr>
                          <w:rFonts w:ascii="Cambria Math" w:eastAsia="Times New Roman" w:hAnsi="Cambria Math"/>
                          <w:i/>
                          <w:sz w:val="20"/>
                          <w:szCs w:val="22"/>
                        </w:rPr>
                      </m:ctrlPr>
                    </m:sSubPr>
                    <m:e>
                      <m:r>
                        <w:rPr>
                          <w:rFonts w:ascii="Cambria Math" w:eastAsia="Times New Roman" w:hAnsi="Cambria Math"/>
                          <w:sz w:val="20"/>
                          <w:szCs w:val="22"/>
                        </w:rPr>
                        <m:t>X</m:t>
                      </m:r>
                    </m:e>
                    <m:sub>
                      <m:r>
                        <w:rPr>
                          <w:rFonts w:ascii="Cambria Math" w:eastAsia="Times New Roman" w:hAnsi="Cambria Math"/>
                          <w:sz w:val="20"/>
                          <w:szCs w:val="22"/>
                        </w:rPr>
                        <m:t>it</m:t>
                      </m:r>
                    </m:sub>
                  </m:sSub>
                  <m:r>
                    <w:rPr>
                      <w:rFonts w:ascii="Cambria Math" w:eastAsia="Times New Roman" w:hAnsi="Cambria Math"/>
                      <w:sz w:val="20"/>
                      <w:szCs w:val="22"/>
                    </w:rPr>
                    <m:t>+λ+</m:t>
                  </m:r>
                  <m:sSub>
                    <m:sSubPr>
                      <m:ctrlPr>
                        <w:rPr>
                          <w:rFonts w:ascii="Cambria Math" w:eastAsia="Times New Roman" w:hAnsi="Cambria Math"/>
                          <w:i/>
                          <w:sz w:val="20"/>
                          <w:szCs w:val="22"/>
                        </w:rPr>
                      </m:ctrlPr>
                    </m:sSubPr>
                    <m:e>
                      <m:r>
                        <w:rPr>
                          <w:rFonts w:ascii="Cambria Math" w:eastAsia="Times New Roman" w:hAnsi="Cambria Math"/>
                          <w:sz w:val="20"/>
                          <w:szCs w:val="22"/>
                        </w:rPr>
                        <m:t>ϵ</m:t>
                      </m:r>
                    </m:e>
                    <m:sub>
                      <m:r>
                        <w:rPr>
                          <w:rFonts w:ascii="Cambria Math" w:eastAsia="Times New Roman" w:hAnsi="Cambria Math"/>
                          <w:sz w:val="20"/>
                          <w:szCs w:val="22"/>
                        </w:rPr>
                        <m:t>it</m:t>
                      </m:r>
                    </m:sub>
                  </m:sSub>
                </m:e>
              </m:nary>
              <m:r>
                <w:rPr>
                  <w:rFonts w:ascii="Cambria Math" w:eastAsia="Times New Roman" w:hAnsi="Cambria Math"/>
                  <w:sz w:val="20"/>
                  <w:szCs w:val="22"/>
                </w:rPr>
                <m:t>#</m:t>
              </m:r>
              <m:d>
                <m:dPr>
                  <m:ctrlPr>
                    <w:rPr>
                      <w:rFonts w:ascii="Cambria Math" w:eastAsia="Times New Roman" w:hAnsi="Cambria Math"/>
                      <w:i/>
                      <w:sz w:val="20"/>
                      <w:szCs w:val="22"/>
                    </w:rPr>
                  </m:ctrlPr>
                </m:dPr>
                <m:e>
                  <m:r>
                    <w:rPr>
                      <w:rFonts w:ascii="Cambria Math" w:eastAsia="Times New Roman" w:hAnsi="Cambria Math"/>
                      <w:sz w:val="20"/>
                      <w:szCs w:val="22"/>
                    </w:rPr>
                    <m:t>3</m:t>
                  </m:r>
                </m:e>
              </m:d>
            </m:e>
          </m:eqArr>
        </m:oMath>
      </m:oMathPara>
    </w:p>
    <w:p w14:paraId="54D3CC9F" w14:textId="29AAFCD5" w:rsidR="008204BE" w:rsidRDefault="00FA4B8C" w:rsidP="005B0E9E">
      <w:pPr>
        <w:spacing w:before="240" w:after="240" w:line="480" w:lineRule="auto"/>
        <w:jc w:val="both"/>
        <w:rPr>
          <w:rFonts w:eastAsiaTheme="minorEastAsia"/>
        </w:rPr>
      </w:pPr>
      <w:r>
        <w:rPr>
          <w:rFonts w:eastAsia="Times New Roman"/>
        </w:rPr>
        <w:t>where</w:t>
      </w:r>
      <w:r w:rsidR="008204BE" w:rsidRPr="00A536F2">
        <w:rPr>
          <w:rFonts w:eastAsia="Times New Roman"/>
        </w:rPr>
        <w:t xml:space="preserve"> </w:t>
      </w:r>
      <m:oMath>
        <m:sSub>
          <m:sSubPr>
            <m:ctrlPr>
              <w:rPr>
                <w:rFonts w:ascii="Cambria Math" w:eastAsia="Times New Roman" w:hAnsi="Cambria Math"/>
                <w:i/>
                <w:szCs w:val="28"/>
              </w:rPr>
            </m:ctrlPr>
          </m:sSubPr>
          <m:e>
            <m:r>
              <w:rPr>
                <w:rFonts w:ascii="Cambria Math" w:eastAsia="Times New Roman" w:hAnsi="Cambria Math"/>
                <w:szCs w:val="28"/>
              </w:rPr>
              <m:t>non-SRC</m:t>
            </m:r>
          </m:e>
          <m:sub>
            <m:r>
              <w:rPr>
                <w:rFonts w:ascii="Cambria Math" w:eastAsia="Times New Roman" w:hAnsi="Cambria Math"/>
                <w:szCs w:val="28"/>
              </w:rPr>
              <m:t>it</m:t>
            </m:r>
          </m:sub>
        </m:sSub>
      </m:oMath>
      <w:r w:rsidR="008204BE" w:rsidRPr="005D76FD">
        <w:rPr>
          <w:rFonts w:eastAsia="Times New Roman"/>
        </w:rPr>
        <w:t xml:space="preserve"> </w:t>
      </w:r>
      <w:r w:rsidR="00931E3B">
        <w:rPr>
          <w:rFonts w:eastAsia="Times New Roman"/>
        </w:rPr>
        <w:t xml:space="preserve">is an indicator variable </w:t>
      </w:r>
      <w:r w:rsidR="008204BE" w:rsidRPr="005D76FD">
        <w:rPr>
          <w:rFonts w:eastAsia="Times New Roman"/>
        </w:rPr>
        <w:t xml:space="preserve">equal to </w:t>
      </w:r>
      <w:r w:rsidR="003D2F41">
        <w:rPr>
          <w:rFonts w:eastAsia="Times New Roman"/>
        </w:rPr>
        <w:t xml:space="preserve">0 </w:t>
      </w:r>
      <w:r w:rsidR="008204BE" w:rsidRPr="005D76FD">
        <w:rPr>
          <w:rFonts w:eastAsia="Times New Roman"/>
        </w:rPr>
        <w:t>for</w:t>
      </w:r>
      <w:r w:rsidR="003D2F41">
        <w:rPr>
          <w:rFonts w:eastAsia="Times New Roman"/>
        </w:rPr>
        <w:t xml:space="preserve"> IPOs eligible for SRC status (proceeds below: $25 million if prior to 2008; $75 million from 2008 onwards), and 1 otherwise, and including only EGC IPOs in the regression</w:t>
      </w:r>
      <w:r w:rsidR="008204BE" w:rsidRPr="009C10CE">
        <w:rPr>
          <w:rFonts w:eastAsia="Times New Roman"/>
        </w:rPr>
        <w:t xml:space="preserve">. </w:t>
      </w:r>
      <w:r w:rsidR="005F41BA">
        <w:rPr>
          <w:rFonts w:eastAsia="Times New Roman"/>
        </w:rPr>
        <w:t xml:space="preserve">All other variables are as defined above. </w:t>
      </w:r>
      <w:r w:rsidR="00C84941">
        <w:rPr>
          <w:rFonts w:eastAsia="Times New Roman"/>
        </w:rPr>
        <w:t xml:space="preserve">The </w:t>
      </w:r>
      <w:r w:rsidR="00C84941">
        <w:rPr>
          <w:rFonts w:eastAsia="Times New Roman"/>
        </w:rPr>
        <w:lastRenderedPageBreak/>
        <w:t>distinction in SEC scrutiny between SRC and non-SRC eligible EGCs is meaningful because issuers qualifying for SRC status, i.e., those with public float less than $25 million prior to 2008 (under Regulation S-B) or less than $75 million from 2008 (under Regulation S-K), were already afforded the disclosure exemptions prior to the JOBS Act. According to Chaplinsky et al. (2017), the JOBS Act, in effect, extended the threshold for scaled disclosures to the $1 billion revenue EGC threshold. Consequently, if the changes in SEC scrutiny we observe were mechanically driven by the introduction of additional disclosure exemptions under the Act, we expect they will be concentrated among non-SRC eligible EGCs, with little, if any, impact on SRC IPOs. In other words,</w:t>
      </w:r>
      <w:r w:rsidR="00041552">
        <w:rPr>
          <w:rFonts w:eastAsia="Times New Roman"/>
        </w:rPr>
        <w:t xml:space="preserve"> this would be apparent in</w:t>
      </w:r>
      <w:r w:rsidR="003D2F41">
        <w:rPr>
          <w:rFonts w:eastAsia="Times New Roman"/>
        </w:rPr>
        <w:t xml:space="preserve"> </w:t>
      </w:r>
      <w:r w:rsidR="005C25BD">
        <w:rPr>
          <w:rFonts w:eastAsia="Times New Roman"/>
        </w:rPr>
        <w:t>a significantly negative</w:t>
      </w:r>
      <w:r w:rsidR="00041552">
        <w:rPr>
          <w:rFonts w:eastAsia="Times New Roman"/>
        </w:rPr>
        <w:t xml:space="preserve"> estimated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008204BE" w:rsidRPr="00BF4CF3">
        <w:rPr>
          <w:rFonts w:eastAsiaTheme="minorEastAsia"/>
        </w:rPr>
        <w:t xml:space="preserve"> </w:t>
      </w:r>
      <w:r w:rsidR="00041552">
        <w:rPr>
          <w:rFonts w:eastAsiaTheme="minorEastAsia"/>
        </w:rPr>
        <w:t xml:space="preserve">coefficient. </w:t>
      </w:r>
    </w:p>
    <w:p w14:paraId="16F6C21D" w14:textId="77777777" w:rsidR="00CA295B" w:rsidRDefault="00CA295B" w:rsidP="00CA295B">
      <w:pPr>
        <w:spacing w:before="240" w:after="240" w:line="480" w:lineRule="auto"/>
        <w:jc w:val="both"/>
        <w:rPr>
          <w:rFonts w:eastAsia="Times New Roman"/>
        </w:rPr>
      </w:pPr>
      <w:r w:rsidRPr="003A04BF">
        <w:rPr>
          <w:rFonts w:eastAsia="Times New Roman"/>
        </w:rPr>
        <w:t xml:space="preserve">As discussed in Section </w:t>
      </w:r>
      <w:r>
        <w:rPr>
          <w:rFonts w:eastAsia="Times New Roman"/>
        </w:rPr>
        <w:t>2.2</w:t>
      </w:r>
      <w:r w:rsidRPr="00A536F2">
        <w:rPr>
          <w:rFonts w:eastAsia="Times New Roman"/>
        </w:rPr>
        <w:t xml:space="preserve">, </w:t>
      </w:r>
      <w:r w:rsidRPr="006B3FA2">
        <w:rPr>
          <w:rFonts w:eastAsia="Times New Roman"/>
        </w:rPr>
        <w:t>heterogeneity</w:t>
      </w:r>
      <w:r w:rsidRPr="005D76FD">
        <w:rPr>
          <w:rFonts w:eastAsia="Times New Roman"/>
        </w:rPr>
        <w:t xml:space="preserve"> is expected</w:t>
      </w:r>
      <w:r w:rsidRPr="00164BD0">
        <w:rPr>
          <w:rFonts w:eastAsia="Times New Roman"/>
        </w:rPr>
        <w:t xml:space="preserve"> in the </w:t>
      </w:r>
      <w:r w:rsidRPr="00832F39">
        <w:rPr>
          <w:rFonts w:eastAsia="Times New Roman"/>
        </w:rPr>
        <w:t>impact of the JOBS Act</w:t>
      </w:r>
      <w:r w:rsidRPr="00702F94">
        <w:rPr>
          <w:rFonts w:eastAsia="Times New Roman"/>
        </w:rPr>
        <w:t xml:space="preserve"> depending on the level of industry concentration. Specifically, </w:t>
      </w:r>
      <w:r>
        <w:rPr>
          <w:rFonts w:eastAsia="Times New Roman"/>
        </w:rPr>
        <w:t>a</w:t>
      </w:r>
      <w:r w:rsidRPr="00702F94">
        <w:rPr>
          <w:rFonts w:eastAsia="Times New Roman"/>
        </w:rPr>
        <w:t xml:space="preserve"> less pronounced </w:t>
      </w:r>
      <w:r>
        <w:rPr>
          <w:rFonts w:eastAsia="Times New Roman"/>
        </w:rPr>
        <w:t xml:space="preserve">impact of JOBS on SEC reviews may be expected </w:t>
      </w:r>
      <w:r w:rsidRPr="00702F94">
        <w:rPr>
          <w:rFonts w:eastAsia="Times New Roman"/>
        </w:rPr>
        <w:t xml:space="preserve">for IPOs in more concentrated industries where competition, and therefore proprietary cost concerns and </w:t>
      </w:r>
      <w:r>
        <w:rPr>
          <w:rFonts w:eastAsia="Times New Roman"/>
        </w:rPr>
        <w:t>hence</w:t>
      </w:r>
      <w:r w:rsidRPr="00702F94">
        <w:rPr>
          <w:rFonts w:eastAsia="Times New Roman"/>
        </w:rPr>
        <w:t xml:space="preserve"> information uncertainty, are higher. Therefore, </w:t>
      </w:r>
      <w:r>
        <w:rPr>
          <w:rFonts w:eastAsia="Times New Roman"/>
        </w:rPr>
        <w:t xml:space="preserve">we estimate an augmented version of </w:t>
      </w:r>
      <w:r w:rsidRPr="00702F94">
        <w:rPr>
          <w:rFonts w:eastAsia="Times New Roman"/>
        </w:rPr>
        <w:t>Eq. (</w:t>
      </w:r>
      <w:r>
        <w:rPr>
          <w:rFonts w:eastAsia="Times New Roman"/>
        </w:rPr>
        <w:t>2</w:t>
      </w:r>
      <w:r w:rsidRPr="00702F94">
        <w:rPr>
          <w:rFonts w:eastAsia="Times New Roman"/>
        </w:rPr>
        <w:t xml:space="preserve">) </w:t>
      </w:r>
      <w:r>
        <w:rPr>
          <w:rFonts w:eastAsia="Times New Roman"/>
        </w:rPr>
        <w:t>which</w:t>
      </w:r>
      <w:r w:rsidRPr="00702F94">
        <w:rPr>
          <w:rFonts w:eastAsia="Times New Roman"/>
        </w:rPr>
        <w:t xml:space="preserve"> include</w:t>
      </w:r>
      <w:r>
        <w:rPr>
          <w:rFonts w:eastAsia="Times New Roman"/>
        </w:rPr>
        <w:t>s</w:t>
      </w:r>
      <w:r w:rsidRPr="00702F94">
        <w:rPr>
          <w:rFonts w:eastAsia="Times New Roman"/>
        </w:rPr>
        <w:t xml:space="preserve"> </w:t>
      </w:r>
      <w:r>
        <w:rPr>
          <w:rFonts w:eastAsia="Times New Roman"/>
        </w:rPr>
        <w:t xml:space="preserve">as </w:t>
      </w:r>
      <w:r w:rsidRPr="00702F94">
        <w:rPr>
          <w:rFonts w:eastAsia="Times New Roman"/>
        </w:rPr>
        <w:t xml:space="preserve">an additional explanatory variable the </w:t>
      </w:r>
      <w:r w:rsidRPr="00702F94">
        <w:rPr>
          <w:rFonts w:eastAsia="Times New Roman"/>
          <w:i/>
          <w:iCs/>
        </w:rPr>
        <w:t>Herfindahl Index</w:t>
      </w:r>
      <w:r w:rsidRPr="00702F94">
        <w:rPr>
          <w:rFonts w:eastAsia="Times New Roman"/>
        </w:rPr>
        <w:t xml:space="preserve"> measure of market concentration, as well as a </w:t>
      </w:r>
      <w:r w:rsidRPr="00702F94">
        <w:rPr>
          <w:rFonts w:eastAsia="Times New Roman"/>
          <w:i/>
          <w:iCs/>
        </w:rPr>
        <w:t>Herfindahl Index</w:t>
      </w:r>
      <w:r w:rsidRPr="00702F94">
        <w:rPr>
          <w:rFonts w:eastAsia="Times New Roman"/>
        </w:rPr>
        <w:t xml:space="preserve"> x </w:t>
      </w:r>
      <w:r w:rsidRPr="00702F94">
        <w:rPr>
          <w:rFonts w:eastAsia="Times New Roman"/>
          <w:i/>
          <w:iCs/>
        </w:rPr>
        <w:t>JOBS Act</w:t>
      </w:r>
      <w:r w:rsidRPr="00702F94">
        <w:rPr>
          <w:rFonts w:eastAsia="Times New Roman"/>
        </w:rPr>
        <w:t xml:space="preserve"> interaction, where </w:t>
      </w:r>
      <w:r w:rsidRPr="00702F94">
        <w:rPr>
          <w:rFonts w:eastAsia="Times New Roman"/>
          <w:i/>
          <w:iCs/>
        </w:rPr>
        <w:t>Herfindahl Index</w:t>
      </w:r>
      <w:r w:rsidRPr="00702F94">
        <w:rPr>
          <w:rFonts w:eastAsia="Times New Roman"/>
        </w:rPr>
        <w:t xml:space="preserve"> is calculated as follows:</w:t>
      </w:r>
    </w:p>
    <w:p w14:paraId="13818F15" w14:textId="77777777" w:rsidR="00CA295B" w:rsidRPr="001C0D23" w:rsidRDefault="00000000" w:rsidP="00CA295B">
      <w:pPr>
        <w:spacing w:before="240" w:after="240" w:line="480" w:lineRule="auto"/>
        <w:jc w:val="both"/>
        <w:rPr>
          <w:rFonts w:eastAsia="Times New Roman"/>
          <w:iCs/>
          <w:lang w:eastAsia="en-US"/>
        </w:rPr>
      </w:pPr>
      <m:oMathPara>
        <m:oMath>
          <m:eqArr>
            <m:eqArrPr>
              <m:maxDist m:val="1"/>
              <m:ctrlPr>
                <w:rPr>
                  <w:rFonts w:ascii="Cambria Math" w:hAnsi="Cambria Math"/>
                  <w:i/>
                  <w:iCs/>
                  <w:sz w:val="22"/>
                  <w:szCs w:val="22"/>
                  <w:lang w:eastAsia="en-US"/>
                </w:rPr>
              </m:ctrlPr>
            </m:eqArrPr>
            <m:e>
              <m:sSub>
                <m:sSubPr>
                  <m:ctrlPr>
                    <w:rPr>
                      <w:rFonts w:ascii="Cambria Math" w:hAnsi="Cambria Math"/>
                      <w:iCs/>
                      <w:sz w:val="22"/>
                      <w:szCs w:val="22"/>
                      <w:lang w:eastAsia="en-US"/>
                    </w:rPr>
                  </m:ctrlPr>
                </m:sSubPr>
                <m:e>
                  <m:r>
                    <m:rPr>
                      <m:sty m:val="p"/>
                    </m:rPr>
                    <w:rPr>
                      <w:rFonts w:ascii="Cambria Math" w:hAnsi="Cambria Math"/>
                      <w:sz w:val="22"/>
                      <w:szCs w:val="22"/>
                      <w:lang w:eastAsia="en-US"/>
                    </w:rPr>
                    <m:t>Herfindahl Index</m:t>
                  </m:r>
                </m:e>
                <m:sub>
                  <m:r>
                    <m:rPr>
                      <m:sty m:val="p"/>
                    </m:rPr>
                    <w:rPr>
                      <w:rFonts w:ascii="Cambria Math" w:hAnsi="Cambria Math"/>
                      <w:sz w:val="22"/>
                      <w:szCs w:val="22"/>
                      <w:lang w:eastAsia="en-US"/>
                    </w:rPr>
                    <m:t>j</m:t>
                  </m:r>
                </m:sub>
              </m:sSub>
              <m:r>
                <m:rPr>
                  <m:sty m:val="p"/>
                </m:rPr>
                <w:rPr>
                  <w:rFonts w:ascii="Cambria Math" w:hAnsi="Cambria Math"/>
                  <w:sz w:val="22"/>
                  <w:szCs w:val="22"/>
                  <w:lang w:eastAsia="en-US"/>
                </w:rPr>
                <m:t>=</m:t>
              </m:r>
              <m:nary>
                <m:naryPr>
                  <m:chr m:val="∑"/>
                  <m:limLoc m:val="undOvr"/>
                  <m:ctrlPr>
                    <w:rPr>
                      <w:rFonts w:ascii="Cambria Math" w:hAnsi="Cambria Math"/>
                      <w:iCs/>
                      <w:sz w:val="22"/>
                      <w:szCs w:val="22"/>
                      <w:lang w:eastAsia="en-US"/>
                    </w:rPr>
                  </m:ctrlPr>
                </m:naryPr>
                <m:sub>
                  <m:r>
                    <m:rPr>
                      <m:sty m:val="p"/>
                    </m:rPr>
                    <w:rPr>
                      <w:rFonts w:ascii="Cambria Math" w:hAnsi="Cambria Math"/>
                      <w:sz w:val="22"/>
                      <w:szCs w:val="22"/>
                      <w:lang w:eastAsia="en-US"/>
                    </w:rPr>
                    <m:t>i=1</m:t>
                  </m:r>
                </m:sub>
                <m:sup>
                  <m:r>
                    <m:rPr>
                      <m:sty m:val="p"/>
                    </m:rPr>
                    <w:rPr>
                      <w:rFonts w:ascii="Cambria Math" w:hAnsi="Cambria Math"/>
                      <w:sz w:val="22"/>
                      <w:szCs w:val="22"/>
                      <w:lang w:eastAsia="en-US"/>
                    </w:rPr>
                    <m:t>n</m:t>
                  </m:r>
                </m:sup>
                <m:e>
                  <m:sSup>
                    <m:sSupPr>
                      <m:ctrlPr>
                        <w:rPr>
                          <w:rFonts w:ascii="Cambria Math" w:hAnsi="Cambria Math"/>
                          <w:iCs/>
                          <w:sz w:val="22"/>
                          <w:szCs w:val="22"/>
                          <w:lang w:eastAsia="en-US"/>
                        </w:rPr>
                      </m:ctrlPr>
                    </m:sSupPr>
                    <m:e>
                      <m:d>
                        <m:dPr>
                          <m:ctrlPr>
                            <w:rPr>
                              <w:rFonts w:ascii="Cambria Math" w:hAnsi="Cambria Math"/>
                              <w:iCs/>
                              <w:sz w:val="22"/>
                              <w:szCs w:val="22"/>
                              <w:lang w:eastAsia="en-US"/>
                            </w:rPr>
                          </m:ctrlPr>
                        </m:dPr>
                        <m:e>
                          <m:f>
                            <m:fPr>
                              <m:ctrlPr>
                                <w:rPr>
                                  <w:rFonts w:ascii="Cambria Math" w:hAnsi="Cambria Math"/>
                                  <w:iCs/>
                                  <w:sz w:val="22"/>
                                  <w:szCs w:val="22"/>
                                  <w:lang w:eastAsia="en-US"/>
                                </w:rPr>
                              </m:ctrlPr>
                            </m:fPr>
                            <m:num>
                              <m:sSub>
                                <m:sSubPr>
                                  <m:ctrlPr>
                                    <w:rPr>
                                      <w:rFonts w:ascii="Cambria Math" w:hAnsi="Cambria Math"/>
                                      <w:iCs/>
                                      <w:sz w:val="22"/>
                                      <w:szCs w:val="22"/>
                                      <w:lang w:eastAsia="en-US"/>
                                    </w:rPr>
                                  </m:ctrlPr>
                                </m:sSubPr>
                                <m:e>
                                  <m:r>
                                    <m:rPr>
                                      <m:sty m:val="p"/>
                                    </m:rPr>
                                    <w:rPr>
                                      <w:rFonts w:ascii="Cambria Math" w:hAnsi="Cambria Math"/>
                                      <w:sz w:val="22"/>
                                      <w:szCs w:val="22"/>
                                      <w:lang w:eastAsia="en-US"/>
                                    </w:rPr>
                                    <m:t>sales</m:t>
                                  </m:r>
                                </m:e>
                                <m:sub>
                                  <m:r>
                                    <m:rPr>
                                      <m:sty m:val="p"/>
                                    </m:rPr>
                                    <w:rPr>
                                      <w:rFonts w:ascii="Cambria Math" w:hAnsi="Cambria Math"/>
                                      <w:sz w:val="22"/>
                                      <w:szCs w:val="22"/>
                                      <w:lang w:eastAsia="en-US"/>
                                    </w:rPr>
                                    <m:t>ij</m:t>
                                  </m:r>
                                </m:sub>
                              </m:sSub>
                            </m:num>
                            <m:den>
                              <m:sSub>
                                <m:sSubPr>
                                  <m:ctrlPr>
                                    <w:rPr>
                                      <w:rFonts w:ascii="Cambria Math" w:hAnsi="Cambria Math"/>
                                      <w:iCs/>
                                      <w:sz w:val="22"/>
                                      <w:szCs w:val="22"/>
                                      <w:lang w:eastAsia="en-US"/>
                                    </w:rPr>
                                  </m:ctrlPr>
                                </m:sSubPr>
                                <m:e>
                                  <m:r>
                                    <m:rPr>
                                      <m:sty m:val="p"/>
                                    </m:rPr>
                                    <w:rPr>
                                      <w:rFonts w:ascii="Cambria Math" w:hAnsi="Cambria Math"/>
                                      <w:sz w:val="22"/>
                                      <w:szCs w:val="22"/>
                                      <w:lang w:eastAsia="en-US"/>
                                    </w:rPr>
                                    <m:t>sales</m:t>
                                  </m:r>
                                </m:e>
                                <m:sub>
                                  <m:r>
                                    <m:rPr>
                                      <m:sty m:val="p"/>
                                    </m:rPr>
                                    <w:rPr>
                                      <w:rFonts w:ascii="Cambria Math" w:hAnsi="Cambria Math"/>
                                      <w:sz w:val="22"/>
                                      <w:szCs w:val="22"/>
                                      <w:lang w:eastAsia="en-US"/>
                                    </w:rPr>
                                    <m:t xml:space="preserve"> j</m:t>
                                  </m:r>
                                </m:sub>
                              </m:sSub>
                            </m:den>
                          </m:f>
                        </m:e>
                      </m:d>
                    </m:e>
                    <m:sup>
                      <m:r>
                        <m:rPr>
                          <m:sty m:val="p"/>
                        </m:rPr>
                        <w:rPr>
                          <w:rFonts w:ascii="Cambria Math" w:hAnsi="Cambria Math"/>
                          <w:sz w:val="22"/>
                          <w:szCs w:val="22"/>
                          <w:lang w:eastAsia="en-US"/>
                        </w:rPr>
                        <m:t>2</m:t>
                      </m:r>
                    </m:sup>
                  </m:sSup>
                </m:e>
              </m:nary>
              <m:r>
                <w:rPr>
                  <w:rFonts w:ascii="Cambria Math" w:hAnsi="Cambria Math"/>
                  <w:sz w:val="22"/>
                  <w:szCs w:val="22"/>
                  <w:lang w:eastAsia="en-US"/>
                </w:rPr>
                <m:t>#</m:t>
              </m:r>
              <m:d>
                <m:dPr>
                  <m:ctrlPr>
                    <w:rPr>
                      <w:rFonts w:ascii="Cambria Math" w:hAnsi="Cambria Math"/>
                      <w:i/>
                      <w:iCs/>
                      <w:sz w:val="22"/>
                      <w:szCs w:val="22"/>
                      <w:lang w:eastAsia="en-US"/>
                    </w:rPr>
                  </m:ctrlPr>
                </m:dPr>
                <m:e>
                  <m:r>
                    <w:rPr>
                      <w:rFonts w:ascii="Cambria Math" w:hAnsi="Cambria Math"/>
                      <w:sz w:val="22"/>
                      <w:szCs w:val="22"/>
                      <w:lang w:eastAsia="en-US"/>
                    </w:rPr>
                    <m:t>4</m:t>
                  </m:r>
                </m:e>
              </m:d>
            </m:e>
          </m:eqArr>
        </m:oMath>
      </m:oMathPara>
    </w:p>
    <w:p w14:paraId="1FB251BF" w14:textId="22BAA605" w:rsidR="00CA295B" w:rsidRDefault="00CA295B" w:rsidP="00CA295B">
      <w:pPr>
        <w:spacing w:before="240" w:after="240" w:line="480" w:lineRule="auto"/>
        <w:jc w:val="both"/>
        <w:rPr>
          <w:rFonts w:eastAsiaTheme="minorEastAsia"/>
          <w:lang w:eastAsia="en-US"/>
        </w:rPr>
      </w:pPr>
      <w:r w:rsidRPr="00B34AB8">
        <w:rPr>
          <w:lang w:eastAsia="en-US"/>
        </w:rPr>
        <w:t xml:space="preserve">where </w:t>
      </w:r>
      <m:oMath>
        <m:sSub>
          <m:sSubPr>
            <m:ctrlPr>
              <w:rPr>
                <w:rFonts w:ascii="Cambria Math" w:hAnsi="Cambria Math"/>
                <w:i/>
                <w:lang w:eastAsia="en-US"/>
              </w:rPr>
            </m:ctrlPr>
          </m:sSubPr>
          <m:e>
            <m:r>
              <m:rPr>
                <m:nor/>
              </m:rPr>
              <w:rPr>
                <w:i/>
                <w:lang w:eastAsia="en-US"/>
              </w:rPr>
              <m:t>sales</m:t>
            </m:r>
          </m:e>
          <m:sub>
            <w:proofErr w:type="spellStart"/>
            <m:r>
              <m:rPr>
                <m:nor/>
              </m:rPr>
              <w:rPr>
                <w:i/>
                <w:lang w:eastAsia="en-US"/>
              </w:rPr>
              <m:t>ij</m:t>
            </m:r>
            <w:proofErr w:type="spellEnd"/>
          </m:sub>
        </m:sSub>
      </m:oMath>
      <w:r w:rsidRPr="00BF4CF3">
        <w:rPr>
          <w:rFonts w:eastAsiaTheme="minorEastAsia"/>
          <w:lang w:eastAsia="en-US"/>
        </w:rPr>
        <w:t xml:space="preserve"> is firm i’s sales in industry j in </w:t>
      </w:r>
      <w:r>
        <w:rPr>
          <w:rFonts w:eastAsiaTheme="minorEastAsia"/>
          <w:lang w:eastAsia="en-US"/>
        </w:rPr>
        <w:t>the year prior to the S-1 filing (</w:t>
      </w:r>
      <w:r w:rsidRPr="00BF4CF3">
        <w:rPr>
          <w:rFonts w:eastAsiaTheme="minorEastAsia"/>
          <w:lang w:eastAsia="en-US"/>
        </w:rPr>
        <w:t>year t-1</w:t>
      </w:r>
      <w:r>
        <w:rPr>
          <w:rFonts w:eastAsiaTheme="minorEastAsia"/>
          <w:lang w:eastAsia="en-US"/>
        </w:rPr>
        <w:t>)</w:t>
      </w:r>
      <w:r w:rsidRPr="00BF4CF3">
        <w:rPr>
          <w:rFonts w:eastAsiaTheme="minorEastAsia"/>
          <w:lang w:eastAsia="en-US"/>
        </w:rPr>
        <w:t>, as defined by two-digit SIC codes,</w:t>
      </w:r>
      <w:r>
        <w:rPr>
          <w:rFonts w:eastAsiaTheme="minorEastAsia"/>
          <w:lang w:eastAsia="en-US"/>
        </w:rPr>
        <w:t xml:space="preserve"> and</w:t>
      </w:r>
      <w:r w:rsidRPr="00BF4CF3">
        <w:rPr>
          <w:rFonts w:eastAsiaTheme="minorEastAsia"/>
          <w:lang w:eastAsia="en-US"/>
        </w:rPr>
        <w:t xml:space="preserve"> </w:t>
      </w:r>
      <m:oMath>
        <m:sSub>
          <m:sSubPr>
            <m:ctrlPr>
              <w:rPr>
                <w:rFonts w:ascii="Cambria Math" w:hAnsi="Cambria Math"/>
                <w:i/>
                <w:lang w:eastAsia="en-US"/>
              </w:rPr>
            </m:ctrlPr>
          </m:sSubPr>
          <m:e>
            <m:r>
              <m:rPr>
                <m:nor/>
              </m:rPr>
              <w:rPr>
                <w:i/>
                <w:lang w:eastAsia="en-US"/>
              </w:rPr>
              <m:t>sales</m:t>
            </m:r>
          </m:e>
          <m:sub>
            <m:r>
              <m:rPr>
                <m:nor/>
              </m:rPr>
              <w:rPr>
                <w:i/>
                <w:lang w:eastAsia="en-US"/>
              </w:rPr>
              <m:t xml:space="preserve"> j</m:t>
            </m:r>
          </m:sub>
        </m:sSub>
      </m:oMath>
      <w:r w:rsidRPr="00BF4CF3">
        <w:rPr>
          <w:rFonts w:eastAsiaTheme="minorEastAsia"/>
          <w:lang w:eastAsia="en-US"/>
        </w:rPr>
        <w:t xml:space="preserve"> is the sum of sales for all firms in industry j in </w:t>
      </w:r>
      <w:r>
        <w:rPr>
          <w:rFonts w:eastAsiaTheme="minorEastAsia"/>
          <w:lang w:eastAsia="en-US"/>
        </w:rPr>
        <w:t>the same year</w:t>
      </w:r>
      <w:r w:rsidRPr="00BF4CF3">
        <w:rPr>
          <w:rFonts w:eastAsiaTheme="minorEastAsia"/>
          <w:lang w:eastAsia="en-US"/>
        </w:rPr>
        <w:t xml:space="preserve"> </w:t>
      </w:r>
      <w:r w:rsidRPr="00B34AB8">
        <w:rPr>
          <w:rFonts w:eastAsiaTheme="minorEastAsia"/>
          <w:lang w:eastAsia="en-US"/>
        </w:rPr>
        <w:fldChar w:fldCharType="begin" w:fldLock="1"/>
      </w:r>
      <w:r w:rsidRPr="00702F94">
        <w:rPr>
          <w:rFonts w:eastAsiaTheme="minorEastAsia"/>
          <w:lang w:eastAsia="en-US"/>
        </w:rPr>
        <w:instrText>ADDIN CSL_CITATION {"citationItems":[{"id":"ITEM-1","itemData":{"author":[{"dropping-particle":"","family":"Wang","given":"Qian","non-dropping-particle":"","parse-names":false,"suffix":""}],"container-title":"Journal of Accounting and Public Policy","id":"ITEM-1","issue":"2","issued":{"date-parts":[["2016"]]},"page":"109-133","publisher":"Elsevier Inc.","title":"Determinants of segment disclosure deficiencies and the effect of the SEC comment letter process","type":"article-journal","volume":"35"},"uris":["http://www.mendeley.com/documents/?uuid=91cfdfb9-8157-4540-8d03-7dd2af28c48c"]}],"mendeley":{"formattedCitation":"(Wang, 2016)","plainTextFormattedCitation":"(Wang, 2016)","previouslyFormattedCitation":"(Wang, 2016)"},"properties":{"noteIndex":0},"schema":"https://github.com/citation-style-language/schema/raw/master/csl-citation.json"}</w:instrText>
      </w:r>
      <w:r w:rsidRPr="00B34AB8">
        <w:rPr>
          <w:rFonts w:eastAsiaTheme="minorEastAsia"/>
          <w:lang w:eastAsia="en-US"/>
        </w:rPr>
        <w:fldChar w:fldCharType="separate"/>
      </w:r>
      <w:r w:rsidRPr="00B34AB8">
        <w:rPr>
          <w:rFonts w:eastAsiaTheme="minorEastAsia"/>
          <w:noProof/>
          <w:lang w:eastAsia="en-US"/>
        </w:rPr>
        <w:t>(Wang, 2016)</w:t>
      </w:r>
      <w:r w:rsidRPr="00B34AB8">
        <w:rPr>
          <w:rFonts w:eastAsiaTheme="minorEastAsia"/>
          <w:lang w:eastAsia="en-US"/>
        </w:rPr>
        <w:fldChar w:fldCharType="end"/>
      </w:r>
      <w:r w:rsidRPr="00BF4CF3">
        <w:rPr>
          <w:rFonts w:eastAsiaTheme="minorEastAsia"/>
          <w:lang w:eastAsia="en-US"/>
        </w:rPr>
        <w:t>.</w:t>
      </w:r>
      <w:r w:rsidR="000A2E29">
        <w:rPr>
          <w:rFonts w:eastAsiaTheme="minorEastAsia"/>
          <w:lang w:eastAsia="en-US"/>
        </w:rPr>
        <w:t xml:space="preserve"> The</w:t>
      </w:r>
      <w:r w:rsidR="000A2E29" w:rsidRPr="000A2E29">
        <w:rPr>
          <w:rFonts w:eastAsiaTheme="minorEastAsia"/>
          <w:lang w:eastAsia="en-US"/>
        </w:rPr>
        <w:t xml:space="preserve"> augmented version</w:t>
      </w:r>
      <w:r w:rsidR="000A2E29">
        <w:rPr>
          <w:rFonts w:eastAsiaTheme="minorEastAsia"/>
          <w:lang w:eastAsia="en-US"/>
        </w:rPr>
        <w:t xml:space="preserve"> is as follows</w:t>
      </w:r>
      <w:r w:rsidR="00751FA8">
        <w:rPr>
          <w:rFonts w:eastAsiaTheme="minorEastAsia"/>
          <w:lang w:eastAsia="en-US"/>
        </w:rPr>
        <w:t>.</w:t>
      </w:r>
    </w:p>
    <w:p w14:paraId="16F935DE" w14:textId="30DFACA0" w:rsidR="000A2E29" w:rsidRPr="00751FA8" w:rsidRDefault="00000000" w:rsidP="00CA295B">
      <w:pPr>
        <w:spacing w:before="240" w:after="240" w:line="480" w:lineRule="auto"/>
        <w:jc w:val="both"/>
        <w:rPr>
          <w:rFonts w:eastAsia="Times New Roman"/>
          <w:sz w:val="18"/>
          <w:szCs w:val="20"/>
        </w:rPr>
      </w:pPr>
      <m:oMathPara>
        <m:oMath>
          <m:eqArr>
            <m:eqArrPr>
              <m:maxDist m:val="1"/>
              <m:ctrlPr>
                <w:rPr>
                  <w:rFonts w:ascii="Cambria Math" w:eastAsia="Times New Roman" w:hAnsi="Cambria Math"/>
                  <w:i/>
                  <w:sz w:val="20"/>
                  <w:szCs w:val="22"/>
                </w:rPr>
              </m:ctrlPr>
            </m:eqArrPr>
            <m:e>
              <m:sSub>
                <m:sSubPr>
                  <m:ctrlPr>
                    <w:rPr>
                      <w:rFonts w:ascii="Cambria Math" w:eastAsia="Times New Roman" w:hAnsi="Cambria Math"/>
                      <w:i/>
                      <w:sz w:val="20"/>
                      <w:szCs w:val="22"/>
                    </w:rPr>
                  </m:ctrlPr>
                </m:sSubPr>
                <m:e>
                  <m:r>
                    <w:rPr>
                      <w:rFonts w:ascii="Cambria Math" w:eastAsia="Times New Roman" w:hAnsi="Cambria Math"/>
                      <w:sz w:val="20"/>
                      <w:szCs w:val="22"/>
                    </w:rPr>
                    <m:t>SEC review</m:t>
                  </m:r>
                </m:e>
                <m:sub>
                  <m:r>
                    <w:rPr>
                      <w:rFonts w:ascii="Cambria Math" w:eastAsia="Times New Roman" w:hAnsi="Cambria Math"/>
                      <w:sz w:val="20"/>
                      <w:szCs w:val="22"/>
                    </w:rPr>
                    <m:t>it</m:t>
                  </m:r>
                </m:sub>
              </m:sSub>
              <m:r>
                <w:rPr>
                  <w:rFonts w:ascii="Cambria Math" w:eastAsia="Times New Roman" w:hAnsi="Cambria Math"/>
                  <w:sz w:val="20"/>
                  <w:szCs w:val="22"/>
                </w:rPr>
                <m:t>=</m:t>
              </m:r>
              <m:sSub>
                <m:sSubPr>
                  <m:ctrlPr>
                    <w:rPr>
                      <w:rFonts w:ascii="Cambria Math" w:eastAsia="Times New Roman" w:hAnsi="Cambria Math"/>
                      <w:i/>
                      <w:sz w:val="20"/>
                      <w:szCs w:val="22"/>
                    </w:rPr>
                  </m:ctrlPr>
                </m:sSubPr>
                <m:e>
                  <m:r>
                    <w:rPr>
                      <w:rFonts w:ascii="Cambria Math" w:eastAsia="Times New Roman" w:hAnsi="Cambria Math"/>
                      <w:sz w:val="20"/>
                      <w:szCs w:val="22"/>
                    </w:rPr>
                    <m:t>β</m:t>
                  </m:r>
                </m:e>
                <m:sub>
                  <m:r>
                    <w:rPr>
                      <w:rFonts w:ascii="Cambria Math" w:eastAsia="Times New Roman" w:hAnsi="Cambria Math"/>
                      <w:sz w:val="20"/>
                      <w:szCs w:val="22"/>
                    </w:rPr>
                    <m:t>0</m:t>
                  </m:r>
                </m:sub>
              </m:sSub>
              <m:r>
                <w:rPr>
                  <w:rFonts w:ascii="Cambria Math" w:eastAsia="Times New Roman" w:hAnsi="Cambria Math"/>
                  <w:sz w:val="20"/>
                  <w:szCs w:val="22"/>
                </w:rPr>
                <m:t>+</m:t>
              </m:r>
              <m:sSub>
                <m:sSubPr>
                  <m:ctrlPr>
                    <w:rPr>
                      <w:rFonts w:ascii="Cambria Math" w:eastAsia="Times New Roman" w:hAnsi="Cambria Math"/>
                      <w:i/>
                      <w:sz w:val="20"/>
                      <w:szCs w:val="22"/>
                    </w:rPr>
                  </m:ctrlPr>
                </m:sSubPr>
                <m:e>
                  <m:r>
                    <w:rPr>
                      <w:rFonts w:ascii="Cambria Math" w:eastAsia="Times New Roman" w:hAnsi="Cambria Math"/>
                      <w:sz w:val="20"/>
                      <w:szCs w:val="22"/>
                    </w:rPr>
                    <m:t>β</m:t>
                  </m:r>
                </m:e>
                <m:sub>
                  <m:r>
                    <w:rPr>
                      <w:rFonts w:ascii="Cambria Math" w:eastAsia="Times New Roman" w:hAnsi="Cambria Math"/>
                      <w:sz w:val="20"/>
                      <w:szCs w:val="22"/>
                    </w:rPr>
                    <m:t>1</m:t>
                  </m:r>
                </m:sub>
              </m:sSub>
              <m:sSub>
                <m:sSubPr>
                  <m:ctrlPr>
                    <w:rPr>
                      <w:rFonts w:ascii="Cambria Math" w:eastAsia="Times New Roman" w:hAnsi="Cambria Math"/>
                      <w:i/>
                      <w:sz w:val="20"/>
                      <w:szCs w:val="22"/>
                    </w:rPr>
                  </m:ctrlPr>
                </m:sSubPr>
                <m:e>
                  <m:r>
                    <w:rPr>
                      <w:rFonts w:ascii="Cambria Math" w:eastAsia="Times New Roman" w:hAnsi="Cambria Math"/>
                      <w:sz w:val="20"/>
                      <w:szCs w:val="22"/>
                    </w:rPr>
                    <m:t>JOBS Act</m:t>
                  </m:r>
                </m:e>
                <m:sub>
                  <m:r>
                    <w:rPr>
                      <w:rFonts w:ascii="Cambria Math" w:eastAsia="Times New Roman" w:hAnsi="Cambria Math"/>
                      <w:sz w:val="20"/>
                      <w:szCs w:val="22"/>
                    </w:rPr>
                    <m:t>it</m:t>
                  </m:r>
                </m:sub>
              </m:sSub>
              <m:r>
                <w:rPr>
                  <w:rFonts w:ascii="Cambria Math" w:eastAsia="Times New Roman" w:hAnsi="Cambria Math"/>
                  <w:sz w:val="20"/>
                  <w:szCs w:val="22"/>
                </w:rPr>
                <m:t>+</m:t>
              </m:r>
              <m:sSub>
                <m:sSubPr>
                  <m:ctrlPr>
                    <w:rPr>
                      <w:rFonts w:ascii="Cambria Math" w:eastAsia="Times New Roman" w:hAnsi="Cambria Math"/>
                      <w:i/>
                      <w:sz w:val="20"/>
                      <w:szCs w:val="22"/>
                    </w:rPr>
                  </m:ctrlPr>
                </m:sSubPr>
                <m:e>
                  <m:r>
                    <w:rPr>
                      <w:rFonts w:ascii="Cambria Math" w:eastAsia="Times New Roman" w:hAnsi="Cambria Math"/>
                      <w:sz w:val="20"/>
                      <w:szCs w:val="22"/>
                    </w:rPr>
                    <m:t>β</m:t>
                  </m:r>
                </m:e>
                <m:sub>
                  <m:r>
                    <w:rPr>
                      <w:rFonts w:ascii="Cambria Math" w:eastAsia="Times New Roman" w:hAnsi="Cambria Math"/>
                      <w:sz w:val="20"/>
                      <w:szCs w:val="22"/>
                    </w:rPr>
                    <m:t>2</m:t>
                  </m:r>
                </m:sub>
              </m:sSub>
              <m:sSub>
                <m:sSubPr>
                  <m:ctrlPr>
                    <w:rPr>
                      <w:rFonts w:ascii="Cambria Math" w:eastAsia="Times New Roman" w:hAnsi="Cambria Math"/>
                      <w:i/>
                      <w:sz w:val="20"/>
                      <w:szCs w:val="22"/>
                    </w:rPr>
                  </m:ctrlPr>
                </m:sSubPr>
                <m:e>
                  <m:r>
                    <w:rPr>
                      <w:rFonts w:ascii="Cambria Math" w:eastAsia="Times New Roman" w:hAnsi="Cambria Math"/>
                      <w:sz w:val="20"/>
                      <w:szCs w:val="22"/>
                    </w:rPr>
                    <m:t>Herfindahl Index</m:t>
                  </m:r>
                </m:e>
                <m:sub>
                  <m:r>
                    <w:rPr>
                      <w:rFonts w:ascii="Cambria Math" w:eastAsia="Times New Roman" w:hAnsi="Cambria Math"/>
                      <w:sz w:val="20"/>
                      <w:szCs w:val="22"/>
                    </w:rPr>
                    <m:t>it</m:t>
                  </m:r>
                </m:sub>
              </m:sSub>
              <m:r>
                <w:rPr>
                  <w:rFonts w:ascii="Cambria Math" w:eastAsia="Times New Roman" w:hAnsi="Cambria Math"/>
                  <w:sz w:val="20"/>
                  <w:szCs w:val="22"/>
                </w:rPr>
                <m:t>+</m:t>
              </m:r>
              <m:sSub>
                <m:sSubPr>
                  <m:ctrlPr>
                    <w:rPr>
                      <w:rFonts w:ascii="Cambria Math" w:eastAsia="Times New Roman" w:hAnsi="Cambria Math"/>
                      <w:i/>
                      <w:sz w:val="20"/>
                      <w:szCs w:val="22"/>
                    </w:rPr>
                  </m:ctrlPr>
                </m:sSubPr>
                <m:e>
                  <m:r>
                    <w:rPr>
                      <w:rFonts w:ascii="Cambria Math" w:eastAsia="Times New Roman" w:hAnsi="Cambria Math"/>
                      <w:sz w:val="20"/>
                      <w:szCs w:val="22"/>
                    </w:rPr>
                    <m:t>β</m:t>
                  </m:r>
                </m:e>
                <m:sub>
                  <m:r>
                    <w:rPr>
                      <w:rFonts w:ascii="Cambria Math" w:eastAsia="Times New Roman" w:hAnsi="Cambria Math"/>
                      <w:sz w:val="20"/>
                      <w:szCs w:val="22"/>
                    </w:rPr>
                    <m:t>3</m:t>
                  </m:r>
                </m:sub>
              </m:sSub>
              <m:sSub>
                <m:sSubPr>
                  <m:ctrlPr>
                    <w:rPr>
                      <w:rFonts w:ascii="Cambria Math" w:eastAsia="Times New Roman" w:hAnsi="Cambria Math"/>
                      <w:i/>
                      <w:sz w:val="20"/>
                      <w:szCs w:val="22"/>
                    </w:rPr>
                  </m:ctrlPr>
                </m:sSubPr>
                <m:e>
                  <m:r>
                    <w:rPr>
                      <w:rFonts w:ascii="Cambria Math" w:eastAsia="Times New Roman" w:hAnsi="Cambria Math"/>
                      <w:sz w:val="20"/>
                      <w:szCs w:val="22"/>
                    </w:rPr>
                    <m:t>JOBS Act</m:t>
                  </m:r>
                </m:e>
                <m:sub>
                  <m:r>
                    <w:rPr>
                      <w:rFonts w:ascii="Cambria Math" w:eastAsia="Times New Roman" w:hAnsi="Cambria Math"/>
                      <w:sz w:val="20"/>
                      <w:szCs w:val="22"/>
                    </w:rPr>
                    <m:t>it</m:t>
                  </m:r>
                </m:sub>
              </m:sSub>
              <m:r>
                <w:rPr>
                  <w:rFonts w:ascii="Cambria Math" w:eastAsia="Times New Roman" w:hAnsi="Cambria Math"/>
                  <w:sz w:val="20"/>
                  <w:szCs w:val="22"/>
                </w:rPr>
                <m:t>×</m:t>
              </m:r>
              <m:sSub>
                <m:sSubPr>
                  <m:ctrlPr>
                    <w:rPr>
                      <w:rFonts w:ascii="Cambria Math" w:eastAsia="Times New Roman" w:hAnsi="Cambria Math"/>
                      <w:i/>
                      <w:sz w:val="20"/>
                      <w:szCs w:val="22"/>
                    </w:rPr>
                  </m:ctrlPr>
                </m:sSubPr>
                <m:e>
                  <m:r>
                    <w:rPr>
                      <w:rFonts w:ascii="Cambria Math" w:eastAsia="Times New Roman" w:hAnsi="Cambria Math"/>
                      <w:sz w:val="20"/>
                      <w:szCs w:val="22"/>
                    </w:rPr>
                    <m:t>Herfindahl Index</m:t>
                  </m:r>
                </m:e>
                <m:sub>
                  <m:r>
                    <w:rPr>
                      <w:rFonts w:ascii="Cambria Math" w:eastAsia="Times New Roman" w:hAnsi="Cambria Math"/>
                      <w:sz w:val="20"/>
                      <w:szCs w:val="22"/>
                    </w:rPr>
                    <m:t>it</m:t>
                  </m:r>
                </m:sub>
              </m:sSub>
              <m:r>
                <w:rPr>
                  <w:rFonts w:ascii="Cambria Math" w:eastAsia="Times New Roman" w:hAnsi="Cambria Math"/>
                  <w:sz w:val="20"/>
                  <w:szCs w:val="22"/>
                </w:rPr>
                <m:t>+</m:t>
              </m:r>
              <m:nary>
                <m:naryPr>
                  <m:chr m:val="∑"/>
                  <m:limLoc m:val="undOvr"/>
                  <m:subHide m:val="1"/>
                  <m:supHide m:val="1"/>
                  <m:ctrlPr>
                    <w:rPr>
                      <w:rFonts w:ascii="Cambria Math" w:eastAsia="Times New Roman" w:hAnsi="Cambria Math"/>
                      <w:i/>
                      <w:sz w:val="20"/>
                      <w:szCs w:val="22"/>
                    </w:rPr>
                  </m:ctrlPr>
                </m:naryPr>
                <m:sub/>
                <m:sup/>
                <m:e>
                  <m:r>
                    <w:rPr>
                      <w:rFonts w:ascii="Cambria Math" w:eastAsia="Times New Roman" w:hAnsi="Cambria Math"/>
                      <w:sz w:val="20"/>
                      <w:szCs w:val="22"/>
                    </w:rPr>
                    <m:t>δ</m:t>
                  </m:r>
                  <m:sSub>
                    <m:sSubPr>
                      <m:ctrlPr>
                        <w:rPr>
                          <w:rFonts w:ascii="Cambria Math" w:eastAsia="Times New Roman" w:hAnsi="Cambria Math"/>
                          <w:i/>
                          <w:sz w:val="20"/>
                          <w:szCs w:val="22"/>
                        </w:rPr>
                      </m:ctrlPr>
                    </m:sSubPr>
                    <m:e>
                      <m:r>
                        <w:rPr>
                          <w:rFonts w:ascii="Cambria Math" w:eastAsia="Times New Roman" w:hAnsi="Cambria Math"/>
                          <w:sz w:val="20"/>
                          <w:szCs w:val="22"/>
                        </w:rPr>
                        <m:t>X</m:t>
                      </m:r>
                    </m:e>
                    <m:sub>
                      <m:r>
                        <w:rPr>
                          <w:rFonts w:ascii="Cambria Math" w:eastAsia="Times New Roman" w:hAnsi="Cambria Math"/>
                          <w:sz w:val="20"/>
                          <w:szCs w:val="22"/>
                        </w:rPr>
                        <m:t>it</m:t>
                      </m:r>
                    </m:sub>
                  </m:sSub>
                  <m:r>
                    <w:rPr>
                      <w:rFonts w:ascii="Cambria Math" w:eastAsia="Times New Roman" w:hAnsi="Cambria Math"/>
                      <w:sz w:val="20"/>
                      <w:szCs w:val="22"/>
                    </w:rPr>
                    <m:t>+</m:t>
                  </m:r>
                  <m:sSub>
                    <m:sSubPr>
                      <m:ctrlPr>
                        <w:rPr>
                          <w:rFonts w:ascii="Cambria Math" w:eastAsia="Times New Roman" w:hAnsi="Cambria Math"/>
                          <w:i/>
                          <w:sz w:val="20"/>
                          <w:szCs w:val="22"/>
                        </w:rPr>
                      </m:ctrlPr>
                    </m:sSubPr>
                    <m:e>
                      <m:r>
                        <w:rPr>
                          <w:rFonts w:ascii="Cambria Math" w:eastAsia="Times New Roman" w:hAnsi="Cambria Math"/>
                          <w:sz w:val="20"/>
                          <w:szCs w:val="22"/>
                        </w:rPr>
                        <m:t>ϵ</m:t>
                      </m:r>
                    </m:e>
                    <m:sub>
                      <m:r>
                        <w:rPr>
                          <w:rFonts w:ascii="Cambria Math" w:eastAsia="Times New Roman" w:hAnsi="Cambria Math"/>
                          <w:sz w:val="20"/>
                          <w:szCs w:val="22"/>
                        </w:rPr>
                        <m:t>it</m:t>
                      </m:r>
                    </m:sub>
                  </m:sSub>
                </m:e>
              </m:nary>
              <m:r>
                <w:rPr>
                  <w:rFonts w:ascii="Cambria Math" w:eastAsia="Times New Roman" w:hAnsi="Cambria Math"/>
                  <w:sz w:val="20"/>
                  <w:szCs w:val="22"/>
                </w:rPr>
                <m:t>#</m:t>
              </m:r>
              <m:d>
                <m:dPr>
                  <m:ctrlPr>
                    <w:rPr>
                      <w:rFonts w:ascii="Cambria Math" w:eastAsia="Times New Roman" w:hAnsi="Cambria Math"/>
                      <w:i/>
                      <w:sz w:val="20"/>
                      <w:szCs w:val="22"/>
                    </w:rPr>
                  </m:ctrlPr>
                </m:dPr>
                <m:e>
                  <m:r>
                    <w:rPr>
                      <w:rFonts w:ascii="Cambria Math" w:eastAsia="Times New Roman" w:hAnsi="Cambria Math"/>
                      <w:sz w:val="20"/>
                      <w:szCs w:val="22"/>
                    </w:rPr>
                    <m:t>5</m:t>
                  </m:r>
                </m:e>
              </m:d>
            </m:e>
          </m:eqArr>
        </m:oMath>
      </m:oMathPara>
    </w:p>
    <w:p w14:paraId="68212D78" w14:textId="7E99405E" w:rsidR="003F60C9" w:rsidRPr="009C10CE" w:rsidRDefault="00406F3D" w:rsidP="00E30766">
      <w:pPr>
        <w:pStyle w:val="ListParagraph"/>
        <w:numPr>
          <w:ilvl w:val="0"/>
          <w:numId w:val="29"/>
        </w:numPr>
        <w:spacing w:before="240" w:after="240" w:line="480" w:lineRule="auto"/>
        <w:contextualSpacing w:val="0"/>
        <w:jc w:val="center"/>
        <w:outlineLvl w:val="0"/>
        <w:rPr>
          <w:b/>
        </w:rPr>
      </w:pPr>
      <w:bookmarkStart w:id="16" w:name="_Toc69749285"/>
      <w:r>
        <w:rPr>
          <w:rFonts w:eastAsia="Times New Roman"/>
          <w:b/>
          <w:bCs/>
        </w:rPr>
        <w:lastRenderedPageBreak/>
        <w:t>R</w:t>
      </w:r>
      <w:r w:rsidR="003F60C9" w:rsidRPr="009C10CE">
        <w:rPr>
          <w:rFonts w:eastAsia="Times New Roman"/>
          <w:b/>
          <w:bCs/>
        </w:rPr>
        <w:t>esults</w:t>
      </w:r>
      <w:bookmarkEnd w:id="16"/>
      <w:r>
        <w:rPr>
          <w:rFonts w:eastAsia="Times New Roman"/>
          <w:b/>
          <w:bCs/>
        </w:rPr>
        <w:t xml:space="preserve"> and discussion</w:t>
      </w:r>
    </w:p>
    <w:p w14:paraId="5C5DE3AD" w14:textId="593FF96A" w:rsidR="008204BE" w:rsidRPr="00832F39" w:rsidRDefault="00942AC7" w:rsidP="005B0E9E">
      <w:pPr>
        <w:pStyle w:val="ListParagraph"/>
        <w:numPr>
          <w:ilvl w:val="1"/>
          <w:numId w:val="29"/>
        </w:numPr>
        <w:spacing w:before="240" w:after="240" w:line="480" w:lineRule="auto"/>
        <w:ind w:left="360"/>
        <w:contextualSpacing w:val="0"/>
        <w:jc w:val="both"/>
        <w:outlineLvl w:val="0"/>
        <w:rPr>
          <w:b/>
          <w:lang w:eastAsia="en-US"/>
        </w:rPr>
      </w:pPr>
      <w:bookmarkStart w:id="17" w:name="_Toc17641274"/>
      <w:bookmarkStart w:id="18" w:name="_Toc22114061"/>
      <w:bookmarkStart w:id="19" w:name="_Toc69749284"/>
      <w:r>
        <w:rPr>
          <w:b/>
          <w:lang w:eastAsia="en-US"/>
        </w:rPr>
        <w:t xml:space="preserve"> </w:t>
      </w:r>
      <w:r w:rsidR="00AD752C">
        <w:rPr>
          <w:b/>
          <w:lang w:eastAsia="en-US"/>
        </w:rPr>
        <w:t>Descriptive</w:t>
      </w:r>
      <w:r w:rsidR="00AD752C" w:rsidRPr="00164BD0">
        <w:rPr>
          <w:b/>
          <w:lang w:eastAsia="en-US"/>
        </w:rPr>
        <w:t xml:space="preserve"> </w:t>
      </w:r>
      <w:r w:rsidR="008204BE" w:rsidRPr="00164BD0">
        <w:rPr>
          <w:b/>
          <w:lang w:eastAsia="en-US"/>
        </w:rPr>
        <w:t>statistics</w:t>
      </w:r>
      <w:bookmarkEnd w:id="17"/>
      <w:bookmarkEnd w:id="18"/>
      <w:bookmarkEnd w:id="19"/>
    </w:p>
    <w:p w14:paraId="6CEC7ABC" w14:textId="225A24E9" w:rsidR="008204BE" w:rsidRDefault="008204BE" w:rsidP="005B0E9E">
      <w:pPr>
        <w:spacing w:before="240" w:after="240" w:line="480" w:lineRule="auto"/>
        <w:jc w:val="both"/>
      </w:pPr>
      <w:r w:rsidRPr="003D3BF8">
        <w:t>Figure 1</w:t>
      </w:r>
      <w:r w:rsidRPr="00BF4CF3">
        <w:t xml:space="preserve"> </w:t>
      </w:r>
      <w:r w:rsidRPr="00B34AB8">
        <w:rPr>
          <w:rFonts w:eastAsia="Times New Roman"/>
        </w:rPr>
        <w:t>presents the distribution of the sample of 722 EGC and 77 non-EGC IPOs</w:t>
      </w:r>
      <w:r w:rsidR="00AB5855">
        <w:rPr>
          <w:rFonts w:eastAsia="Times New Roman"/>
        </w:rPr>
        <w:t xml:space="preserve"> </w:t>
      </w:r>
      <w:r w:rsidRPr="007846CD">
        <w:t>over time.</w:t>
      </w:r>
      <w:r w:rsidRPr="00AA0772">
        <w:t xml:space="preserve"> </w:t>
      </w:r>
      <w:r w:rsidRPr="00A536F2">
        <w:t>After a low</w:t>
      </w:r>
      <w:r w:rsidRPr="006B3FA2">
        <w:t xml:space="preserve"> of 17 IPO filings </w:t>
      </w:r>
      <w:r w:rsidRPr="005D76FD">
        <w:t xml:space="preserve">during the height of financial crisis in 2008, the volume </w:t>
      </w:r>
      <w:r w:rsidR="00557791">
        <w:t xml:space="preserve">of IPOs </w:t>
      </w:r>
      <w:r w:rsidRPr="00164BD0">
        <w:t>increases</w:t>
      </w:r>
      <w:r w:rsidRPr="00832F39">
        <w:t xml:space="preserve"> dramatically </w:t>
      </w:r>
      <w:r w:rsidRPr="009C10CE">
        <w:t xml:space="preserve">following enactment of the JOBS Act, starting in 2013 and reaching a peak of 110 IPO filings in 2014, suggesting the Act </w:t>
      </w:r>
      <w:r w:rsidR="0088345D">
        <w:t>was</w:t>
      </w:r>
      <w:r w:rsidRPr="009C10CE">
        <w:t xml:space="preserve"> successful in stimulating IPO activity, at least in the initial post-JOBS period </w:t>
      </w:r>
      <w:r w:rsidRPr="00B34AB8">
        <w:fldChar w:fldCharType="begin" w:fldLock="1"/>
      </w:r>
      <w:r>
        <w:instrText>ADDIN CSL_CITATION {"citationItems":[{"id":"ITEM-1","itemData":{"ISBN":"0304-405X","ISSN":"0304405X","abstract":"In April 2012, the Jumpstart Our Business Startups Act (JOBS Act) was enacted to help revitalize the initial public offering (IPO) market, especially for small firms. During the year ending March 2014, IPO volume and the proportion of small firm issuers was the largest since 2000. Controlling for market conditions, we estimate that the JOBS Act has led to 21 additional IPOs annually, a 25% increase over pre-JOBS levels. Firms with high proprietary disclosure costs, such as biotechnology and pharmaceutical firms, increase IPO activity the most. These firms are also more likely to take advantage of the act's de-risking provisions, allowing firms to file the IPO confidentially while testing-the-waters.","author":[{"dropping-particle":"","family":"Dambra","given":"Michael","non-dropping-particle":"","parse-names":false,"suffix":""},{"dropping-particle":"","family":"Field","given":"Laura Casares","non-dropping-particle":"","parse-names":false,"suffix":""},{"dropping-particle":"","family":"Gustafson","given":"Matthew T.","non-dropping-particle":"","parse-names":false,"suffix":""}],"container-title":"Journal of Financial Economics","id":"ITEM-1","issue":"1","issued":{"date-parts":[["2015"]]},"page":"121-143","publisher":"Elsevier","title":"The JOBS Act and IPO volume: Evidence that disclosure costs affect the IPO decision","type":"article-journal","volume":"116"},"uris":["http://www.mendeley.com/documents/?uuid=3c054d71-9180-431c-9120-c19a70422752"]}],"mendeley":{"formattedCitation":"(Dambra, Field, &amp; Gustafson, 2015)","manualFormatting":"(Dambra et al., 2015)","plainTextFormattedCitation":"(Dambra, Field, &amp; Gustafson, 2015)","previouslyFormattedCitation":"(Dambra, Field, &amp; Gustafson, 2015)"},"properties":{"noteIndex":0},"schema":"https://github.com/citation-style-language/schema/raw/master/csl-citation.json"}</w:instrText>
      </w:r>
      <w:r w:rsidRPr="00B34AB8">
        <w:fldChar w:fldCharType="separate"/>
      </w:r>
      <w:r w:rsidRPr="00B34AB8">
        <w:rPr>
          <w:noProof/>
        </w:rPr>
        <w:t>(Dambra et al., 2015)</w:t>
      </w:r>
      <w:r w:rsidRPr="00B34AB8">
        <w:fldChar w:fldCharType="end"/>
      </w:r>
      <w:r w:rsidRPr="00BF4CF3">
        <w:t xml:space="preserve">. </w:t>
      </w:r>
      <w:r w:rsidR="008A6F90">
        <w:t>However, f</w:t>
      </w:r>
      <w:r w:rsidRPr="00B34AB8">
        <w:t>rom 2015</w:t>
      </w:r>
      <w:r w:rsidRPr="00AA0772">
        <w:t xml:space="preserve"> </w:t>
      </w:r>
      <w:r w:rsidRPr="00A536F2">
        <w:t>an</w:t>
      </w:r>
      <w:r w:rsidRPr="006B3FA2">
        <w:t xml:space="preserve"> </w:t>
      </w:r>
      <w:r w:rsidRPr="005D76FD">
        <w:t xml:space="preserve">apparent </w:t>
      </w:r>
      <w:r w:rsidRPr="00164BD0">
        <w:t>reversal of this trend</w:t>
      </w:r>
      <w:r w:rsidRPr="00832F39">
        <w:t xml:space="preserve"> is observed</w:t>
      </w:r>
      <w:r w:rsidRPr="009C10CE">
        <w:t xml:space="preserve">, with the level in 2017 (46 filings) sitting below that of 2011 (56 filings), immediately prior to the enactment of the Act. The proportion of IPOs qualifying </w:t>
      </w:r>
      <w:r w:rsidR="001A600E">
        <w:t>for</w:t>
      </w:r>
      <w:r w:rsidR="001A600E" w:rsidRPr="009C10CE">
        <w:t xml:space="preserve"> </w:t>
      </w:r>
      <w:r w:rsidRPr="009C10CE">
        <w:t xml:space="preserve">EGC </w:t>
      </w:r>
      <w:r w:rsidR="001A600E">
        <w:t xml:space="preserve">status </w:t>
      </w:r>
      <w:r w:rsidRPr="009C10CE">
        <w:t>is consistently high (</w:t>
      </w:r>
      <w:proofErr w:type="gramStart"/>
      <w:r w:rsidRPr="009C10CE">
        <w:t>i.e.</w:t>
      </w:r>
      <w:proofErr w:type="gramEnd"/>
      <w:r w:rsidRPr="009C10CE">
        <w:t xml:space="preserve"> between 82-95%) throughout the sample period. This is consistent with the observations of </w:t>
      </w:r>
      <w:r w:rsidRPr="00B34AB8">
        <w:fldChar w:fldCharType="begin" w:fldLock="1"/>
      </w:r>
      <w:r>
        <w:instrText>ADDIN CSL_CITATION {"citationItems":[{"id":"ITEM-1","itemData":{"ISSN":"1475679X","abstract":"We examine the effects of Title I of the Jumpstart Our Business Startups Act (JOBS) for a sample of 213 EGC IPOs issued between April 5, 2012 and April 30, 2014. We show no reduction in the direct costs of issuance, accounting, legal, or underwriting fees, for EGC IPOs. Further, the indirect cost of issuance, underpricing, is significantly higher for EGCs than other IPOs. More importantly, greater underpricing is present only for larger firms that were not previously eligible for scaled disclosure under Regulation S-K. EGCs that are more definitive about their intentions to use the provisions of the Act have lower underpricing than those that are ambiguous. Finally, we find no increase in IPO volume after the Act. Overall, we find little evidence that the Act has initially been effective in achieving its main objectives and conclude that there are significant consequences to extending scaled disclosure to larger issuers.","author":[{"dropping-particle":"","family":"Chaplinsky","given":"Susan","non-dropping-particle":"","parse-names":false,"suffix":""},{"dropping-particle":"","family":"Hanley","given":"Kathleen Weiss","non-dropping-particle":"","parse-names":false,"suffix":""},{"dropping-particle":"","family":"Moon","given":"S. Katie","non-dropping-particle":"","parse-names":false,"suffix":""}],"container-title":"Journal of Accounting Research","id":"ITEM-1","issue":"4","issued":{"date-parts":[["2017"]]},"page":"795-836","title":"The JOBS Act and the costs of going public","type":"article-journal","volume":"55"},"uris":["http://www.mendeley.com/documents/?uuid=3695e7dd-d3b0-4cad-9f96-85adfdfb0789"]}],"mendeley":{"formattedCitation":"(Chaplinsky, Hanley, &amp; Moon, 2017)","manualFormatting":"Chaplinsky et al. (2017)","plainTextFormattedCitation":"(Chaplinsky, Hanley, &amp; Moon, 2017)","previouslyFormattedCitation":"(Chaplinsky, Hanley, &amp; Moon, 2017)"},"properties":{"noteIndex":0},"schema":"https://github.com/citation-style-language/schema/raw/master/csl-citation.json"}</w:instrText>
      </w:r>
      <w:r w:rsidRPr="00B34AB8">
        <w:fldChar w:fldCharType="separate"/>
      </w:r>
      <w:r w:rsidRPr="00B34AB8">
        <w:rPr>
          <w:noProof/>
        </w:rPr>
        <w:t>Chaplinsky et al. (2017)</w:t>
      </w:r>
      <w:r w:rsidRPr="00B34AB8">
        <w:fldChar w:fldCharType="end"/>
      </w:r>
      <w:r w:rsidRPr="00BF4CF3">
        <w:t>,</w:t>
      </w:r>
      <w:r w:rsidRPr="00B34AB8">
        <w:t xml:space="preserve"> who identify that firms qualifying as EGCs account for the vast majority of IPOs. </w:t>
      </w:r>
      <w:bookmarkStart w:id="20" w:name="_Ref50717024"/>
      <w:bookmarkStart w:id="21" w:name="_Toc69749949"/>
    </w:p>
    <w:p w14:paraId="472D822C" w14:textId="236CE3B9" w:rsidR="008204BE" w:rsidRPr="00C32227" w:rsidRDefault="008204BE" w:rsidP="005B0E9E">
      <w:pPr>
        <w:spacing w:before="240" w:after="240" w:line="480" w:lineRule="auto"/>
        <w:jc w:val="center"/>
        <w:rPr>
          <w:b/>
          <w:bCs/>
        </w:rPr>
      </w:pPr>
      <w:r>
        <w:rPr>
          <w:b/>
          <w:bCs/>
        </w:rPr>
        <w:t>[Figure 1 about here]</w:t>
      </w:r>
    </w:p>
    <w:bookmarkEnd w:id="20"/>
    <w:bookmarkEnd w:id="21"/>
    <w:p w14:paraId="2A000E0A" w14:textId="62435353" w:rsidR="008204BE" w:rsidRDefault="008204BE" w:rsidP="005B0E9E">
      <w:pPr>
        <w:spacing w:before="240" w:after="240" w:line="480" w:lineRule="auto"/>
        <w:jc w:val="both"/>
        <w:rPr>
          <w:rFonts w:eastAsia="Times New Roman"/>
        </w:rPr>
      </w:pPr>
      <w:r w:rsidRPr="00CA29BE">
        <w:rPr>
          <w:rFonts w:eastAsia="Times New Roman"/>
        </w:rPr>
        <w:t xml:space="preserve">Table 3 provides descriptive statistics </w:t>
      </w:r>
      <w:r w:rsidR="002C5A20" w:rsidRPr="00CA29BE">
        <w:rPr>
          <w:rFonts w:eastAsia="Times New Roman"/>
        </w:rPr>
        <w:t xml:space="preserve">for the </w:t>
      </w:r>
      <w:r w:rsidRPr="00CA29BE">
        <w:rPr>
          <w:rFonts w:eastAsia="Times New Roman"/>
        </w:rPr>
        <w:t xml:space="preserve">variables employed in </w:t>
      </w:r>
      <w:r w:rsidR="002C5A20" w:rsidRPr="00CA29BE">
        <w:rPr>
          <w:rFonts w:eastAsia="Times New Roman"/>
        </w:rPr>
        <w:t xml:space="preserve">the </w:t>
      </w:r>
      <w:r w:rsidRPr="00CA29BE">
        <w:rPr>
          <w:rFonts w:eastAsia="Times New Roman"/>
        </w:rPr>
        <w:t xml:space="preserve">analyses. It is observed in Panel A of Table 3 that the characteristics of </w:t>
      </w:r>
      <w:r w:rsidR="000A7DFB" w:rsidRPr="00CA29BE">
        <w:rPr>
          <w:rFonts w:eastAsia="Times New Roman"/>
        </w:rPr>
        <w:t>SRC</w:t>
      </w:r>
      <w:r w:rsidR="00324C5F" w:rsidRPr="00CA29BE">
        <w:rPr>
          <w:rFonts w:eastAsia="Times New Roman"/>
        </w:rPr>
        <w:t>s</w:t>
      </w:r>
      <w:r w:rsidRPr="00CA29BE">
        <w:rPr>
          <w:rFonts w:eastAsia="Times New Roman"/>
        </w:rPr>
        <w:t xml:space="preserve"> differ to those of </w:t>
      </w:r>
      <w:r w:rsidR="00324C5F" w:rsidRPr="00CA29BE">
        <w:rPr>
          <w:rFonts w:eastAsia="Times New Roman"/>
        </w:rPr>
        <w:t>n</w:t>
      </w:r>
      <w:r w:rsidRPr="00CA29BE">
        <w:rPr>
          <w:rFonts w:eastAsia="Times New Roman"/>
        </w:rPr>
        <w:t>on-</w:t>
      </w:r>
      <w:r w:rsidR="000A7DFB" w:rsidRPr="00CA29BE">
        <w:rPr>
          <w:rFonts w:eastAsia="Times New Roman"/>
        </w:rPr>
        <w:t>SR</w:t>
      </w:r>
      <w:r w:rsidRPr="00CA29BE">
        <w:rPr>
          <w:rFonts w:eastAsia="Times New Roman"/>
        </w:rPr>
        <w:t>C</w:t>
      </w:r>
      <w:r w:rsidR="00324C5F" w:rsidRPr="00CA29BE">
        <w:rPr>
          <w:rFonts w:eastAsia="Times New Roman"/>
        </w:rPr>
        <w:t xml:space="preserve">s </w:t>
      </w:r>
      <w:r w:rsidRPr="00CA29BE">
        <w:rPr>
          <w:rFonts w:eastAsia="Times New Roman"/>
        </w:rPr>
        <w:t xml:space="preserve">in </w:t>
      </w:r>
      <w:proofErr w:type="gramStart"/>
      <w:r w:rsidRPr="00CA29BE">
        <w:rPr>
          <w:rFonts w:eastAsia="Times New Roman"/>
        </w:rPr>
        <w:t>a number of</w:t>
      </w:r>
      <w:proofErr w:type="gramEnd"/>
      <w:r w:rsidRPr="00CA29BE">
        <w:rPr>
          <w:rFonts w:eastAsia="Times New Roman"/>
        </w:rPr>
        <w:t xml:space="preserve"> important ways, namely: </w:t>
      </w:r>
      <w:r w:rsidR="00B746CA" w:rsidRPr="00CA29BE">
        <w:rPr>
          <w:rFonts w:eastAsia="Times New Roman"/>
        </w:rPr>
        <w:t>SRC</w:t>
      </w:r>
      <w:r w:rsidR="00324C5F" w:rsidRPr="00CA29BE">
        <w:rPr>
          <w:rFonts w:eastAsia="Times New Roman"/>
        </w:rPr>
        <w:t xml:space="preserve">s </w:t>
      </w:r>
      <w:r w:rsidRPr="00CA29BE">
        <w:rPr>
          <w:rFonts w:eastAsia="Times New Roman"/>
        </w:rPr>
        <w:t>tend to be smaller, younger, operate in fewer segments, and have a high</w:t>
      </w:r>
      <w:r w:rsidR="009668FC" w:rsidRPr="00CA29BE">
        <w:rPr>
          <w:rFonts w:eastAsia="Times New Roman"/>
        </w:rPr>
        <w:t>er</w:t>
      </w:r>
      <w:r w:rsidRPr="00CA29BE">
        <w:rPr>
          <w:rFonts w:eastAsia="Times New Roman"/>
        </w:rPr>
        <w:t xml:space="preserve"> probability of bankruptcy (</w:t>
      </w:r>
      <w:proofErr w:type="spellStart"/>
      <w:r w:rsidRPr="00CA29BE">
        <w:rPr>
          <w:rFonts w:eastAsia="Times New Roman"/>
          <w:i/>
          <w:iCs/>
        </w:rPr>
        <w:t>Zscore</w:t>
      </w:r>
      <w:proofErr w:type="spellEnd"/>
      <w:r w:rsidRPr="00CA29BE">
        <w:rPr>
          <w:rFonts w:eastAsia="Times New Roman"/>
          <w:i/>
          <w:iCs/>
        </w:rPr>
        <w:t>)</w:t>
      </w:r>
      <w:r w:rsidRPr="00CA29BE">
        <w:rPr>
          <w:rFonts w:eastAsia="Times New Roman"/>
        </w:rPr>
        <w:t>.</w:t>
      </w:r>
      <w:r w:rsidR="00B746CA" w:rsidRPr="00CA29BE">
        <w:rPr>
          <w:rFonts w:eastAsia="Times New Roman"/>
        </w:rPr>
        <w:t xml:space="preserve"> </w:t>
      </w:r>
      <w:r w:rsidR="00324C5F" w:rsidRPr="00CA29BE">
        <w:rPr>
          <w:rFonts w:eastAsia="Times New Roman"/>
        </w:rPr>
        <w:t>They are also</w:t>
      </w:r>
      <w:r w:rsidRPr="00CA29BE">
        <w:rPr>
          <w:rFonts w:eastAsia="Times New Roman"/>
        </w:rPr>
        <w:t xml:space="preserve"> less likely to be audited </w:t>
      </w:r>
      <w:proofErr w:type="gramStart"/>
      <w:r w:rsidRPr="00CA29BE">
        <w:rPr>
          <w:rFonts w:eastAsia="Times New Roman"/>
        </w:rPr>
        <w:t>by  Big</w:t>
      </w:r>
      <w:proofErr w:type="gramEnd"/>
      <w:r w:rsidRPr="00CA29BE">
        <w:rPr>
          <w:rFonts w:eastAsia="Times New Roman"/>
        </w:rPr>
        <w:t xml:space="preserve"> 4 audit firms</w:t>
      </w:r>
      <w:r w:rsidR="0038296C" w:rsidRPr="00CA29BE">
        <w:rPr>
          <w:rFonts w:eastAsia="Times New Roman"/>
        </w:rPr>
        <w:t xml:space="preserve"> and</w:t>
      </w:r>
      <w:r w:rsidRPr="00CA29BE">
        <w:rPr>
          <w:rFonts w:eastAsia="Times New Roman"/>
        </w:rPr>
        <w:t xml:space="preserve"> engage in restructuring and M&amp;A activities, they are less likely to be profitable, but more likely to have CEO</w:t>
      </w:r>
      <w:r w:rsidR="00E470C7" w:rsidRPr="00CA29BE">
        <w:rPr>
          <w:rFonts w:eastAsia="Times New Roman"/>
        </w:rPr>
        <w:t>-</w:t>
      </w:r>
      <w:r w:rsidRPr="00CA29BE">
        <w:rPr>
          <w:rFonts w:eastAsia="Times New Roman"/>
        </w:rPr>
        <w:t xml:space="preserve">chairperson separation. Furthermore, </w:t>
      </w:r>
      <w:r w:rsidR="000A7DFB" w:rsidRPr="00CA29BE">
        <w:rPr>
          <w:rFonts w:eastAsia="Times New Roman"/>
          <w:highlight w:val="yellow"/>
        </w:rPr>
        <w:t>SRCs</w:t>
      </w:r>
      <w:r w:rsidRPr="00CA29BE">
        <w:rPr>
          <w:rFonts w:eastAsia="Times New Roman"/>
          <w:highlight w:val="yellow"/>
        </w:rPr>
        <w:t xml:space="preserve"> </w:t>
      </w:r>
      <w:r w:rsidR="00CA29BE" w:rsidRPr="00CA29BE">
        <w:rPr>
          <w:rFonts w:eastAsia="Times New Roman"/>
          <w:highlight w:val="yellow"/>
        </w:rPr>
        <w:t>operate in the industries having higher number of IPOs</w:t>
      </w:r>
      <w:r w:rsidR="00CA29BE" w:rsidRPr="00CA29BE">
        <w:rPr>
          <w:rFonts w:eastAsia="Times New Roman"/>
        </w:rPr>
        <w:t xml:space="preserve"> and </w:t>
      </w:r>
      <w:r w:rsidRPr="00CA29BE">
        <w:rPr>
          <w:rFonts w:eastAsia="Times New Roman"/>
        </w:rPr>
        <w:t>are more likely to file draft registration statements.</w:t>
      </w:r>
      <w:r w:rsidR="00564B0E">
        <w:rPr>
          <w:rFonts w:eastAsia="Times New Roman"/>
        </w:rPr>
        <w:t xml:space="preserve"> </w:t>
      </w:r>
    </w:p>
    <w:p w14:paraId="6B980388" w14:textId="77777777" w:rsidR="00B24E82" w:rsidRPr="0033050F" w:rsidRDefault="00B24E82" w:rsidP="005B0E9E">
      <w:pPr>
        <w:spacing w:line="480" w:lineRule="auto"/>
        <w:ind w:left="100"/>
        <w:jc w:val="center"/>
        <w:rPr>
          <w:b/>
          <w:bCs/>
        </w:rPr>
      </w:pPr>
      <w:r w:rsidRPr="0033050F">
        <w:rPr>
          <w:b/>
          <w:bCs/>
        </w:rPr>
        <w:t>[Table 3 about here]</w:t>
      </w:r>
    </w:p>
    <w:p w14:paraId="45368020" w14:textId="507CE3FD" w:rsidR="00751FA8" w:rsidRPr="00972945" w:rsidRDefault="008204BE" w:rsidP="005B0E9E">
      <w:pPr>
        <w:spacing w:before="240" w:after="240" w:line="480" w:lineRule="auto"/>
        <w:jc w:val="both"/>
        <w:rPr>
          <w:rFonts w:eastAsia="Times New Roman"/>
        </w:rPr>
      </w:pPr>
      <w:r w:rsidRPr="009C10CE">
        <w:rPr>
          <w:rFonts w:eastAsia="Times New Roman"/>
        </w:rPr>
        <w:lastRenderedPageBreak/>
        <w:t xml:space="preserve">In Panel B of </w:t>
      </w:r>
      <w:r w:rsidRPr="003D3BF8">
        <w:rPr>
          <w:rFonts w:eastAsia="Times New Roman"/>
        </w:rPr>
        <w:t xml:space="preserve">Table </w:t>
      </w:r>
      <w:r>
        <w:rPr>
          <w:rFonts w:eastAsia="Times New Roman"/>
        </w:rPr>
        <w:t>3</w:t>
      </w:r>
      <w:r w:rsidRPr="00BF4CF3">
        <w:rPr>
          <w:rFonts w:eastAsia="Times New Roman"/>
        </w:rPr>
        <w:t xml:space="preserve">, </w:t>
      </w:r>
      <w:r w:rsidRPr="00B34AB8">
        <w:rPr>
          <w:rFonts w:eastAsia="Times New Roman"/>
        </w:rPr>
        <w:t xml:space="preserve">univariate tests of differences in SEC review attributes before and after the Act are presented </w:t>
      </w:r>
      <w:r w:rsidRPr="003A04BF">
        <w:rPr>
          <w:rFonts w:eastAsia="Times New Roman"/>
        </w:rPr>
        <w:t>for EGC firms. Overall</w:t>
      </w:r>
      <w:r w:rsidRPr="007846CD">
        <w:rPr>
          <w:rFonts w:eastAsia="Times New Roman"/>
        </w:rPr>
        <w:t xml:space="preserve">, </w:t>
      </w:r>
      <w:r w:rsidRPr="00AA0772">
        <w:rPr>
          <w:rFonts w:eastAsia="Times New Roman"/>
        </w:rPr>
        <w:t xml:space="preserve">significant and sizable reduction in all </w:t>
      </w:r>
      <w:r w:rsidRPr="00A536F2">
        <w:rPr>
          <w:rFonts w:eastAsia="Times New Roman"/>
        </w:rPr>
        <w:t xml:space="preserve">four </w:t>
      </w:r>
      <w:r w:rsidRPr="006B3FA2">
        <w:rPr>
          <w:rFonts w:eastAsia="Times New Roman"/>
        </w:rPr>
        <w:t xml:space="preserve">measures </w:t>
      </w:r>
      <w:proofErr w:type="gramStart"/>
      <w:r w:rsidRPr="00164BD0">
        <w:rPr>
          <w:rFonts w:eastAsia="Times New Roman"/>
        </w:rPr>
        <w:t>are</w:t>
      </w:r>
      <w:proofErr w:type="gramEnd"/>
      <w:r w:rsidRPr="00164BD0">
        <w:rPr>
          <w:rFonts w:eastAsia="Times New Roman"/>
        </w:rPr>
        <w:t xml:space="preserve"> observed</w:t>
      </w:r>
      <w:r w:rsidR="00E50B7F">
        <w:rPr>
          <w:rFonts w:eastAsia="Times New Roman"/>
        </w:rPr>
        <w:t xml:space="preserve"> following the Act</w:t>
      </w:r>
      <w:r w:rsidRPr="00832F39">
        <w:rPr>
          <w:rFonts w:eastAsia="Times New Roman"/>
        </w:rPr>
        <w:t xml:space="preserve">. Specifically, using </w:t>
      </w:r>
      <w:r w:rsidRPr="009C10CE">
        <w:rPr>
          <w:rFonts w:eastAsia="Times New Roman"/>
        </w:rPr>
        <w:t xml:space="preserve">two-sample t-tests of differences in means, </w:t>
      </w:r>
      <w:r w:rsidR="008D7A2F">
        <w:rPr>
          <w:rFonts w:eastAsia="Times New Roman"/>
        </w:rPr>
        <w:t>the following are observed</w:t>
      </w:r>
      <w:r w:rsidRPr="009C10CE">
        <w:rPr>
          <w:rFonts w:eastAsia="Times New Roman"/>
        </w:rPr>
        <w:t xml:space="preserve">: a 58.6% reduction in average </w:t>
      </w:r>
      <w:r w:rsidRPr="009C10CE">
        <w:rPr>
          <w:rFonts w:eastAsia="Times New Roman"/>
          <w:i/>
          <w:iCs/>
        </w:rPr>
        <w:t>Duration</w:t>
      </w:r>
      <w:r w:rsidRPr="009C10CE">
        <w:rPr>
          <w:rFonts w:eastAsia="Times New Roman"/>
        </w:rPr>
        <w:t xml:space="preserve">; a 59.6% reduction in average </w:t>
      </w:r>
      <w:r w:rsidRPr="009C10CE">
        <w:rPr>
          <w:rFonts w:eastAsia="Times New Roman"/>
          <w:i/>
          <w:iCs/>
        </w:rPr>
        <w:t>#Letters</w:t>
      </w:r>
      <w:r w:rsidRPr="009C10CE">
        <w:rPr>
          <w:rFonts w:eastAsia="Times New Roman"/>
        </w:rPr>
        <w:t xml:space="preserve">; an 86.3% reduction in average </w:t>
      </w:r>
      <w:r w:rsidRPr="009C10CE">
        <w:rPr>
          <w:rFonts w:eastAsia="Times New Roman"/>
          <w:i/>
          <w:iCs/>
        </w:rPr>
        <w:t>#Comments</w:t>
      </w:r>
      <w:r w:rsidRPr="009C10CE">
        <w:rPr>
          <w:rFonts w:eastAsia="Times New Roman"/>
        </w:rPr>
        <w:t xml:space="preserve">; and a 66.1% reduction in average </w:t>
      </w:r>
      <w:r w:rsidRPr="009C10CE">
        <w:rPr>
          <w:rFonts w:eastAsia="Times New Roman"/>
          <w:i/>
          <w:iCs/>
        </w:rPr>
        <w:t>#Themes</w:t>
      </w:r>
      <w:r w:rsidRPr="009C10CE">
        <w:rPr>
          <w:rFonts w:eastAsia="Times New Roman"/>
        </w:rPr>
        <w:t xml:space="preserve"> </w:t>
      </w:r>
      <w:r w:rsidR="00F34323">
        <w:rPr>
          <w:rFonts w:eastAsia="Times New Roman"/>
        </w:rPr>
        <w:t xml:space="preserve">in comment letters </w:t>
      </w:r>
      <w:r w:rsidRPr="009C10CE">
        <w:rPr>
          <w:rFonts w:eastAsia="Times New Roman"/>
        </w:rPr>
        <w:t xml:space="preserve">following the enactment of the JOBS Act. </w:t>
      </w:r>
      <w:r>
        <w:rPr>
          <w:rFonts w:eastAsia="Times New Roman"/>
        </w:rPr>
        <w:t>The test</w:t>
      </w:r>
      <w:r w:rsidR="00124239">
        <w:rPr>
          <w:rFonts w:eastAsia="Times New Roman"/>
        </w:rPr>
        <w:t>s</w:t>
      </w:r>
      <w:r w:rsidRPr="009C10CE">
        <w:rPr>
          <w:rFonts w:eastAsia="Times New Roman"/>
        </w:rPr>
        <w:t xml:space="preserve"> reveal very substantial de-burdening of the IPO approval process in the era since the enactment of the JOBS Act.</w:t>
      </w:r>
      <w:r>
        <w:rPr>
          <w:rFonts w:eastAsia="Times New Roman"/>
        </w:rPr>
        <w:t xml:space="preserve"> In addition, Panel B of Table 3 also shows that in post-JOBS Act period, ECG firms tend to be smaller, younger, have greater probability of bankruptcy</w:t>
      </w:r>
      <w:r w:rsidR="000A7DFB">
        <w:rPr>
          <w:rFonts w:eastAsia="Times New Roman"/>
        </w:rPr>
        <w:t xml:space="preserve">, </w:t>
      </w:r>
      <w:r>
        <w:rPr>
          <w:rFonts w:eastAsia="Times New Roman"/>
        </w:rPr>
        <w:t>provide</w:t>
      </w:r>
      <w:r w:rsidR="004F7898">
        <w:rPr>
          <w:rFonts w:eastAsia="Times New Roman"/>
        </w:rPr>
        <w:t xml:space="preserve"> lengthier S-1 </w:t>
      </w:r>
      <w:proofErr w:type="gramStart"/>
      <w:r w:rsidR="004F7898">
        <w:rPr>
          <w:rFonts w:eastAsia="Times New Roman"/>
        </w:rPr>
        <w:t>filings</w:t>
      </w:r>
      <w:proofErr w:type="gramEnd"/>
      <w:r w:rsidR="000A7DFB">
        <w:rPr>
          <w:rFonts w:eastAsia="Times New Roman"/>
        </w:rPr>
        <w:t xml:space="preserve"> </w:t>
      </w:r>
      <w:r w:rsidR="000A7DFB" w:rsidRPr="00CA29BE">
        <w:rPr>
          <w:rFonts w:eastAsia="Times New Roman"/>
          <w:highlight w:val="yellow"/>
        </w:rPr>
        <w:t xml:space="preserve">and </w:t>
      </w:r>
      <w:r w:rsidR="00CA29BE" w:rsidRPr="00CA29BE">
        <w:rPr>
          <w:rFonts w:eastAsia="Times New Roman"/>
          <w:highlight w:val="yellow"/>
        </w:rPr>
        <w:t>operate in the industries having lower number of IPOs</w:t>
      </w:r>
      <w:r w:rsidR="004F7898">
        <w:rPr>
          <w:rFonts w:eastAsia="Times New Roman"/>
        </w:rPr>
        <w:t>.</w:t>
      </w:r>
      <w:r w:rsidR="004F7898">
        <w:rPr>
          <w:rStyle w:val="FootnoteReference"/>
          <w:rFonts w:eastAsia="Times New Roman"/>
        </w:rPr>
        <w:footnoteReference w:id="12"/>
      </w:r>
      <w:r w:rsidR="004F7898">
        <w:rPr>
          <w:rFonts w:eastAsia="Times New Roman"/>
        </w:rPr>
        <w:t xml:space="preserve"> EGC firms are also more likely to engage in M&amp;A activity and less likely to have profits after the JOBS Act. </w:t>
      </w:r>
    </w:p>
    <w:p w14:paraId="5D852A50" w14:textId="77777777" w:rsidR="008204BE" w:rsidRPr="00FF2F9C" w:rsidRDefault="00CF0FC9" w:rsidP="005B0E9E">
      <w:pPr>
        <w:pStyle w:val="ListParagraph"/>
        <w:numPr>
          <w:ilvl w:val="1"/>
          <w:numId w:val="29"/>
        </w:numPr>
        <w:spacing w:before="240" w:after="240" w:line="480" w:lineRule="auto"/>
        <w:ind w:left="360"/>
        <w:outlineLvl w:val="1"/>
        <w:rPr>
          <w:b/>
        </w:rPr>
      </w:pPr>
      <w:r>
        <w:rPr>
          <w:rFonts w:eastAsia="Times New Roman"/>
          <w:b/>
          <w:bCs/>
        </w:rPr>
        <w:t xml:space="preserve"> Baseline m</w:t>
      </w:r>
      <w:r w:rsidR="00524BC0">
        <w:rPr>
          <w:rFonts w:eastAsia="Times New Roman"/>
          <w:b/>
          <w:bCs/>
        </w:rPr>
        <w:t xml:space="preserve">ultivariate </w:t>
      </w:r>
      <w:r w:rsidR="001364E2">
        <w:rPr>
          <w:rFonts w:eastAsia="Times New Roman"/>
          <w:b/>
          <w:bCs/>
        </w:rPr>
        <w:t>results</w:t>
      </w:r>
    </w:p>
    <w:p w14:paraId="58B52724" w14:textId="3EB7C8FC" w:rsidR="008204BE" w:rsidRPr="00B34AB8" w:rsidRDefault="00057D75" w:rsidP="005B0E9E">
      <w:pPr>
        <w:spacing w:before="240" w:after="240" w:line="480" w:lineRule="auto"/>
        <w:jc w:val="both"/>
        <w:rPr>
          <w:rFonts w:eastAsia="Times New Roman"/>
        </w:rPr>
      </w:pPr>
      <w:r>
        <w:rPr>
          <w:rFonts w:eastAsia="Times New Roman"/>
        </w:rPr>
        <w:t>The m</w:t>
      </w:r>
      <w:r w:rsidR="008204BE" w:rsidRPr="009C10CE">
        <w:rPr>
          <w:rFonts w:eastAsia="Times New Roman"/>
        </w:rPr>
        <w:t xml:space="preserve">ultivariate analyses commence by examining the impact of the JOBS Act for EGC IPOs, specifically. </w:t>
      </w:r>
      <w:r w:rsidR="008204BE" w:rsidRPr="003D3BF8">
        <w:rPr>
          <w:rFonts w:eastAsia="Times New Roman"/>
        </w:rPr>
        <w:t xml:space="preserve">Table </w:t>
      </w:r>
      <w:r w:rsidR="008204BE">
        <w:rPr>
          <w:rFonts w:eastAsia="Times New Roman"/>
        </w:rPr>
        <w:t>4</w:t>
      </w:r>
      <w:r w:rsidR="008204BE" w:rsidRPr="003D3BF8">
        <w:rPr>
          <w:rFonts w:eastAsia="Times New Roman"/>
        </w:rPr>
        <w:t xml:space="preserve"> presents results from estimation of Eq. (</w:t>
      </w:r>
      <w:r w:rsidR="008204BE">
        <w:rPr>
          <w:rFonts w:eastAsia="Times New Roman"/>
        </w:rPr>
        <w:t>2</w:t>
      </w:r>
      <w:r w:rsidR="008204BE" w:rsidRPr="003D3BF8">
        <w:rPr>
          <w:rFonts w:eastAsia="Times New Roman"/>
        </w:rPr>
        <w:t xml:space="preserve">) using each of the dependent variables </w:t>
      </w:r>
      <w:r w:rsidR="008204BE" w:rsidRPr="00EC6051">
        <w:rPr>
          <w:rFonts w:eastAsia="Times New Roman"/>
          <w:i/>
          <w:iCs/>
        </w:rPr>
        <w:t>Duration, #Letters, #Comments and #Themes</w:t>
      </w:r>
      <w:r w:rsidR="008204BE" w:rsidRPr="003D3BF8">
        <w:rPr>
          <w:rFonts w:eastAsia="Times New Roman"/>
        </w:rPr>
        <w:t xml:space="preserve">. Consistent with the univariate tests in Table </w:t>
      </w:r>
      <w:r w:rsidR="008204BE">
        <w:rPr>
          <w:rFonts w:eastAsia="Times New Roman"/>
        </w:rPr>
        <w:t>3</w:t>
      </w:r>
      <w:r w:rsidR="008204BE" w:rsidRPr="003D3BF8">
        <w:rPr>
          <w:rFonts w:eastAsia="Times New Roman"/>
        </w:rPr>
        <w:t>,</w:t>
      </w:r>
      <w:r w:rsidR="008204BE" w:rsidRPr="00BF4CF3">
        <w:rPr>
          <w:rFonts w:eastAsia="Times New Roman"/>
        </w:rPr>
        <w:t xml:space="preserve"> and the n</w:t>
      </w:r>
      <w:r w:rsidR="008204BE" w:rsidRPr="00B34AB8">
        <w:rPr>
          <w:rFonts w:eastAsia="Times New Roman"/>
        </w:rPr>
        <w:t>otion that the JOBS Act led to de-burdening of the IPO approval process for EGC firms</w:t>
      </w:r>
      <w:r w:rsidR="008204BE" w:rsidRPr="003A04BF">
        <w:rPr>
          <w:rFonts w:eastAsia="Times New Roman"/>
        </w:rPr>
        <w:t xml:space="preserve">, </w:t>
      </w:r>
      <w:r w:rsidR="008204BE" w:rsidRPr="007846CD">
        <w:rPr>
          <w:rFonts w:eastAsia="Times New Roman"/>
        </w:rPr>
        <w:t xml:space="preserve">a significantly </w:t>
      </w:r>
      <w:r w:rsidR="008204BE" w:rsidRPr="00AA0772">
        <w:rPr>
          <w:rFonts w:eastAsia="Times New Roman"/>
        </w:rPr>
        <w:t xml:space="preserve">negative coefficient on </w:t>
      </w:r>
      <w:r w:rsidR="008204BE" w:rsidRPr="00A536F2">
        <w:rPr>
          <w:rFonts w:eastAsia="Times New Roman"/>
          <w:i/>
          <w:iCs/>
        </w:rPr>
        <w:t>JOBS Act</w:t>
      </w:r>
      <w:r w:rsidR="008204BE" w:rsidRPr="00A536F2">
        <w:rPr>
          <w:rFonts w:eastAsia="Times New Roman"/>
        </w:rPr>
        <w:t xml:space="preserve"> </w:t>
      </w:r>
      <w:r w:rsidR="008204BE" w:rsidRPr="006B3FA2">
        <w:rPr>
          <w:rFonts w:eastAsia="Times New Roman"/>
        </w:rPr>
        <w:t xml:space="preserve">is observed </w:t>
      </w:r>
      <w:r w:rsidR="008204BE" w:rsidRPr="005D76FD">
        <w:rPr>
          <w:rFonts w:eastAsia="Times New Roman"/>
        </w:rPr>
        <w:t>in each case. Controlling for other factors, the results imply that post-JOBS EGC</w:t>
      </w:r>
      <w:r w:rsidR="008204BE" w:rsidRPr="00164BD0">
        <w:rPr>
          <w:rFonts w:eastAsia="Times New Roman"/>
        </w:rPr>
        <w:t xml:space="preserve"> filers </w:t>
      </w:r>
      <w:r w:rsidR="008204BE" w:rsidRPr="009C10CE">
        <w:rPr>
          <w:rFonts w:eastAsia="Times New Roman"/>
        </w:rPr>
        <w:t xml:space="preserve">enjoy reduced </w:t>
      </w:r>
      <w:r w:rsidR="008204BE" w:rsidRPr="009C10CE">
        <w:rPr>
          <w:rFonts w:eastAsia="Times New Roman"/>
          <w:i/>
          <w:iCs/>
        </w:rPr>
        <w:t xml:space="preserve">Duration, #Letters, </w:t>
      </w:r>
      <w:r w:rsidR="008204BE" w:rsidRPr="009C10CE">
        <w:rPr>
          <w:rFonts w:eastAsia="Times New Roman"/>
          <w:i/>
          <w:iCs/>
        </w:rPr>
        <w:lastRenderedPageBreak/>
        <w:t>#Comments</w:t>
      </w:r>
      <w:r w:rsidR="008204BE" w:rsidRPr="009C10CE">
        <w:rPr>
          <w:rFonts w:eastAsia="Times New Roman"/>
        </w:rPr>
        <w:t xml:space="preserve"> and </w:t>
      </w:r>
      <w:r w:rsidR="008204BE" w:rsidRPr="009C10CE">
        <w:rPr>
          <w:rFonts w:eastAsia="Times New Roman"/>
          <w:i/>
          <w:iCs/>
        </w:rPr>
        <w:t>#Themes</w:t>
      </w:r>
      <w:r w:rsidR="008204BE" w:rsidRPr="009C10CE">
        <w:rPr>
          <w:rFonts w:eastAsia="Times New Roman"/>
        </w:rPr>
        <w:t xml:space="preserve"> by on average </w:t>
      </w:r>
      <w:r w:rsidR="008204BE">
        <w:rPr>
          <w:rFonts w:eastAsia="Times New Roman"/>
        </w:rPr>
        <w:t>40.88</w:t>
      </w:r>
      <w:r w:rsidR="008204BE" w:rsidRPr="009C10CE">
        <w:rPr>
          <w:rFonts w:eastAsia="Times New Roman"/>
        </w:rPr>
        <w:t>days (</w:t>
      </w:r>
      <w:r w:rsidR="008204BE">
        <w:rPr>
          <w:rFonts w:eastAsia="Times New Roman"/>
        </w:rPr>
        <w:t>27.65</w:t>
      </w:r>
      <w:r w:rsidR="008204BE" w:rsidRPr="009C10CE">
        <w:rPr>
          <w:rFonts w:eastAsia="Times New Roman"/>
        </w:rPr>
        <w:t xml:space="preserve">%), </w:t>
      </w:r>
      <w:r w:rsidR="008204BE">
        <w:rPr>
          <w:rFonts w:eastAsia="Times New Roman"/>
        </w:rPr>
        <w:t>0.76</w:t>
      </w:r>
      <w:r w:rsidR="008204BE" w:rsidRPr="009C10CE">
        <w:rPr>
          <w:rFonts w:eastAsia="Times New Roman"/>
        </w:rPr>
        <w:t xml:space="preserve"> letters (</w:t>
      </w:r>
      <w:r w:rsidR="008204BE">
        <w:rPr>
          <w:rFonts w:eastAsia="Times New Roman"/>
        </w:rPr>
        <w:t>20.60</w:t>
      </w:r>
      <w:r w:rsidR="008204BE" w:rsidRPr="009C10CE">
        <w:rPr>
          <w:rFonts w:eastAsia="Times New Roman"/>
        </w:rPr>
        <w:t xml:space="preserve">%), </w:t>
      </w:r>
      <w:r w:rsidR="008204BE">
        <w:rPr>
          <w:rFonts w:eastAsia="Times New Roman"/>
        </w:rPr>
        <w:t>19.02</w:t>
      </w:r>
      <w:r w:rsidR="008204BE" w:rsidRPr="009C10CE">
        <w:rPr>
          <w:rFonts w:eastAsia="Times New Roman"/>
        </w:rPr>
        <w:t xml:space="preserve"> comments (</w:t>
      </w:r>
      <w:r w:rsidR="008204BE">
        <w:rPr>
          <w:rFonts w:eastAsia="Times New Roman"/>
        </w:rPr>
        <w:t>43.18</w:t>
      </w:r>
      <w:r w:rsidR="008204BE" w:rsidRPr="009C10CE">
        <w:rPr>
          <w:rFonts w:eastAsia="Times New Roman"/>
        </w:rPr>
        <w:t xml:space="preserve">%) and </w:t>
      </w:r>
      <w:r w:rsidR="008204BE">
        <w:rPr>
          <w:rFonts w:eastAsia="Times New Roman"/>
        </w:rPr>
        <w:t>1.31</w:t>
      </w:r>
      <w:r w:rsidR="008204BE" w:rsidRPr="009C10CE">
        <w:rPr>
          <w:rFonts w:eastAsia="Times New Roman"/>
        </w:rPr>
        <w:t xml:space="preserve"> themes (</w:t>
      </w:r>
      <w:r w:rsidR="008204BE">
        <w:rPr>
          <w:rFonts w:eastAsia="Times New Roman"/>
        </w:rPr>
        <w:t>26.46</w:t>
      </w:r>
      <w:r w:rsidR="008204BE" w:rsidRPr="009C10CE">
        <w:rPr>
          <w:rFonts w:eastAsia="Times New Roman"/>
        </w:rPr>
        <w:t>%), respectively, as compared with pre-JOBS levels.</w:t>
      </w:r>
      <w:r w:rsidR="008204BE" w:rsidRPr="00BF4CF3">
        <w:rPr>
          <w:rStyle w:val="FootnoteReference"/>
          <w:rFonts w:eastAsia="Times New Roman"/>
        </w:rPr>
        <w:footnoteReference w:id="13"/>
      </w:r>
      <w:r w:rsidR="008204BE" w:rsidRPr="00BF4CF3">
        <w:rPr>
          <w:rFonts w:eastAsia="Times New Roman"/>
        </w:rPr>
        <w:t xml:space="preserve"> </w:t>
      </w:r>
    </w:p>
    <w:p w14:paraId="6AE8913D" w14:textId="3926346B" w:rsidR="001908F1" w:rsidRPr="00F0531D" w:rsidRDefault="008204BE" w:rsidP="005B0E9E">
      <w:pPr>
        <w:spacing w:before="240" w:after="240" w:line="480" w:lineRule="auto"/>
        <w:jc w:val="both"/>
        <w:rPr>
          <w:rFonts w:eastAsia="Times New Roman"/>
        </w:rPr>
      </w:pPr>
      <w:r w:rsidRPr="00B34AB8">
        <w:rPr>
          <w:rFonts w:eastAsia="Times New Roman"/>
        </w:rPr>
        <w:t>The</w:t>
      </w:r>
      <w:r w:rsidRPr="003A04BF">
        <w:rPr>
          <w:rFonts w:eastAsia="Times New Roman"/>
        </w:rPr>
        <w:t xml:space="preserve"> above</w:t>
      </w:r>
      <w:r w:rsidRPr="007846CD">
        <w:rPr>
          <w:rFonts w:eastAsia="Times New Roman"/>
        </w:rPr>
        <w:t xml:space="preserve"> findings s</w:t>
      </w:r>
      <w:r w:rsidRPr="00AA0772">
        <w:rPr>
          <w:rFonts w:eastAsia="Times New Roman"/>
        </w:rPr>
        <w:t>uggest</w:t>
      </w:r>
      <w:r w:rsidRPr="00A536F2">
        <w:rPr>
          <w:rFonts w:eastAsia="Times New Roman"/>
        </w:rPr>
        <w:t xml:space="preserve"> the JOBS Act</w:t>
      </w:r>
      <w:r w:rsidRPr="006B3FA2">
        <w:rPr>
          <w:rFonts w:eastAsia="Times New Roman"/>
        </w:rPr>
        <w:t xml:space="preserve"> was </w:t>
      </w:r>
      <w:r w:rsidRPr="005D76FD">
        <w:rPr>
          <w:rFonts w:eastAsia="Times New Roman"/>
        </w:rPr>
        <w:t xml:space="preserve">successful </w:t>
      </w:r>
      <w:r w:rsidRPr="00164BD0">
        <w:rPr>
          <w:rFonts w:eastAsia="Times New Roman"/>
        </w:rPr>
        <w:t>in relieving</w:t>
      </w:r>
      <w:r w:rsidRPr="00832F39">
        <w:rPr>
          <w:rFonts w:eastAsia="Times New Roman"/>
        </w:rPr>
        <w:t xml:space="preserve"> </w:t>
      </w:r>
      <w:r w:rsidRPr="009C10CE">
        <w:rPr>
          <w:rFonts w:eastAsia="Times New Roman"/>
        </w:rPr>
        <w:t xml:space="preserve">the regulatory burden on EGC issuers, a key intention of the Act </w:t>
      </w:r>
      <w:r w:rsidR="003946A6">
        <w:rPr>
          <w:rFonts w:eastAsia="Times New Roman"/>
        </w:rPr>
        <w:t>that was thought necessary</w:t>
      </w:r>
      <w:r w:rsidRPr="009C10CE">
        <w:rPr>
          <w:rFonts w:eastAsia="Times New Roman"/>
        </w:rPr>
        <w:t xml:space="preserve"> to revitali</w:t>
      </w:r>
      <w:r w:rsidR="007A4E45">
        <w:rPr>
          <w:rFonts w:eastAsia="Times New Roman"/>
        </w:rPr>
        <w:t>z</w:t>
      </w:r>
      <w:r w:rsidRPr="009C10CE">
        <w:rPr>
          <w:rFonts w:eastAsia="Times New Roman"/>
        </w:rPr>
        <w:t xml:space="preserve">e the IPO market (Forbes, 2013; Gao et al. 2013). These findings are also in agreement with arguments that the SEC adjust their style in reviewing IPO prospectuses prepared by ECGs after the enactment of the JOBS Act (Agarwal et al., 2017). However, while Agarwal et al. (2017) document that individual comments become more negatively worded, on average, the findings of this study show that they </w:t>
      </w:r>
      <w:r w:rsidRPr="00F0531D">
        <w:rPr>
          <w:rFonts w:eastAsia="Times New Roman"/>
        </w:rPr>
        <w:t>also become less voluminous and narrower in scope.</w:t>
      </w:r>
      <w:r w:rsidR="007D4E66" w:rsidRPr="00F0531D">
        <w:rPr>
          <w:rFonts w:eastAsia="Times New Roman"/>
        </w:rPr>
        <w:t xml:space="preserve"> </w:t>
      </w:r>
      <w:r w:rsidR="00EA2D12" w:rsidRPr="00F0531D">
        <w:rPr>
          <w:rFonts w:eastAsia="Times New Roman"/>
        </w:rPr>
        <w:t xml:space="preserve">The signs of control variables are generally consistent with prior literature. The SEC </w:t>
      </w:r>
      <w:r w:rsidR="00BE7093" w:rsidRPr="00F0531D">
        <w:rPr>
          <w:rFonts w:eastAsia="Times New Roman"/>
        </w:rPr>
        <w:t>appear</w:t>
      </w:r>
      <w:r w:rsidR="00EA2D12" w:rsidRPr="00F0531D">
        <w:rPr>
          <w:rFonts w:eastAsia="Times New Roman"/>
        </w:rPr>
        <w:t xml:space="preserve"> to </w:t>
      </w:r>
      <w:r w:rsidR="00354637" w:rsidRPr="00F0531D">
        <w:rPr>
          <w:rFonts w:eastAsia="Times New Roman"/>
        </w:rPr>
        <w:t>place more scrutiny</w:t>
      </w:r>
      <w:r w:rsidR="00EA2D12" w:rsidRPr="00F0531D">
        <w:rPr>
          <w:rFonts w:eastAsia="Times New Roman"/>
        </w:rPr>
        <w:t xml:space="preserve"> on smaller filers who </w:t>
      </w:r>
      <w:r w:rsidR="00407A17" w:rsidRPr="00F0531D">
        <w:rPr>
          <w:rFonts w:eastAsia="Times New Roman"/>
        </w:rPr>
        <w:t xml:space="preserve">tend to </w:t>
      </w:r>
      <w:r w:rsidR="00EA2D12" w:rsidRPr="00F0531D">
        <w:rPr>
          <w:rFonts w:eastAsia="Times New Roman"/>
        </w:rPr>
        <w:t xml:space="preserve">have lower capacity </w:t>
      </w:r>
      <w:r w:rsidR="00407A17" w:rsidRPr="00F0531D">
        <w:rPr>
          <w:rFonts w:eastAsia="Times New Roman"/>
        </w:rPr>
        <w:t>to deal with</w:t>
      </w:r>
      <w:r w:rsidR="00EA2D12" w:rsidRPr="00F0531D">
        <w:rPr>
          <w:rFonts w:eastAsia="Times New Roman"/>
        </w:rPr>
        <w:t xml:space="preserve"> </w:t>
      </w:r>
      <w:r w:rsidR="00407A17" w:rsidRPr="00F0531D">
        <w:rPr>
          <w:rFonts w:eastAsia="Times New Roman"/>
        </w:rPr>
        <w:t xml:space="preserve">reporting compliance issues </w:t>
      </w:r>
      <w:r w:rsidR="00EA2D12" w:rsidRPr="00F0531D">
        <w:rPr>
          <w:rFonts w:eastAsia="Times New Roman"/>
        </w:rPr>
        <w:t xml:space="preserve">(SEC, 2006), </w:t>
      </w:r>
      <w:r w:rsidR="00C037C3" w:rsidRPr="00F0531D">
        <w:rPr>
          <w:rFonts w:eastAsia="Times New Roman"/>
        </w:rPr>
        <w:t xml:space="preserve">also </w:t>
      </w:r>
      <w:r w:rsidR="00EA2D12" w:rsidRPr="00F0531D">
        <w:rPr>
          <w:rFonts w:eastAsia="Times New Roman"/>
        </w:rPr>
        <w:t xml:space="preserve">younger firms who </w:t>
      </w:r>
      <w:r w:rsidR="001F7F3E" w:rsidRPr="00F0531D">
        <w:rPr>
          <w:rFonts w:eastAsia="Times New Roman"/>
        </w:rPr>
        <w:t>tend to</w:t>
      </w:r>
      <w:r w:rsidR="00EA2D12" w:rsidRPr="00F0531D">
        <w:rPr>
          <w:rFonts w:eastAsia="Times New Roman"/>
        </w:rPr>
        <w:t xml:space="preserve"> have lower reporting quality (Cassell et al., 2013, Doyle et al., 2007), </w:t>
      </w:r>
      <w:r w:rsidR="00056E47" w:rsidRPr="00F0531D">
        <w:rPr>
          <w:rFonts w:eastAsia="Times New Roman"/>
        </w:rPr>
        <w:t>more highly levered firms</w:t>
      </w:r>
      <w:r w:rsidR="00EA2D12" w:rsidRPr="00F0531D">
        <w:rPr>
          <w:rFonts w:eastAsia="Times New Roman"/>
        </w:rPr>
        <w:t xml:space="preserve"> (</w:t>
      </w:r>
      <w:proofErr w:type="spellStart"/>
      <w:r w:rsidR="00EA2D12" w:rsidRPr="00F0531D">
        <w:rPr>
          <w:rFonts w:eastAsia="Times New Roman"/>
        </w:rPr>
        <w:t>Duro</w:t>
      </w:r>
      <w:proofErr w:type="spellEnd"/>
      <w:r w:rsidR="00EA2D12" w:rsidRPr="00F0531D">
        <w:rPr>
          <w:rFonts w:eastAsia="Times New Roman"/>
        </w:rPr>
        <w:t xml:space="preserve"> et al., 2017; Filatotchev, 2019; </w:t>
      </w:r>
      <w:proofErr w:type="spellStart"/>
      <w:r w:rsidR="00EA2D12" w:rsidRPr="00F0531D">
        <w:rPr>
          <w:rFonts w:eastAsia="Times New Roman"/>
        </w:rPr>
        <w:t>Ryans</w:t>
      </w:r>
      <w:proofErr w:type="spellEnd"/>
      <w:r w:rsidR="00EA2D12" w:rsidRPr="00F0531D">
        <w:rPr>
          <w:rFonts w:eastAsia="Times New Roman"/>
        </w:rPr>
        <w:t xml:space="preserve">, 2015) and </w:t>
      </w:r>
      <w:r w:rsidR="00056E47" w:rsidRPr="00F0531D">
        <w:rPr>
          <w:rFonts w:eastAsia="Times New Roman"/>
        </w:rPr>
        <w:t xml:space="preserve">firms </w:t>
      </w:r>
      <w:r w:rsidR="00EA2D12" w:rsidRPr="00F0531D">
        <w:rPr>
          <w:rFonts w:eastAsia="Times New Roman"/>
        </w:rPr>
        <w:t xml:space="preserve">reporting profits (Baugh et al., 2017; Wang, 2016) </w:t>
      </w:r>
      <w:r w:rsidR="00E50BF0" w:rsidRPr="00F0531D">
        <w:rPr>
          <w:rFonts w:eastAsia="Times New Roman"/>
        </w:rPr>
        <w:t>which may be a symptom of upwards earnings management</w:t>
      </w:r>
      <w:r w:rsidR="00EA2D12" w:rsidRPr="00F0531D">
        <w:rPr>
          <w:rFonts w:eastAsia="Times New Roman"/>
        </w:rPr>
        <w:t xml:space="preserve"> (Healy &amp; Palepu, 2001, Teoh et al., 1998)</w:t>
      </w:r>
      <w:r w:rsidR="00E50BF0" w:rsidRPr="00F0531D">
        <w:rPr>
          <w:rFonts w:eastAsia="Times New Roman"/>
        </w:rPr>
        <w:t>.</w:t>
      </w:r>
      <w:r w:rsidR="00EA2D12" w:rsidRPr="00F0531D">
        <w:rPr>
          <w:rFonts w:eastAsia="Times New Roman"/>
        </w:rPr>
        <w:t xml:space="preserve"> </w:t>
      </w:r>
      <w:r w:rsidR="00811D47" w:rsidRPr="00F0531D">
        <w:rPr>
          <w:rFonts w:eastAsia="Times New Roman"/>
        </w:rPr>
        <w:t>F</w:t>
      </w:r>
      <w:r w:rsidR="00EA2D12" w:rsidRPr="00F0531D">
        <w:rPr>
          <w:rFonts w:eastAsia="Times New Roman"/>
        </w:rPr>
        <w:t>inancially</w:t>
      </w:r>
      <w:r w:rsidR="004116BD" w:rsidRPr="00F0531D">
        <w:rPr>
          <w:rFonts w:eastAsia="Times New Roman"/>
        </w:rPr>
        <w:t xml:space="preserve"> </w:t>
      </w:r>
      <w:r w:rsidR="00EA2D12" w:rsidRPr="00F0531D">
        <w:rPr>
          <w:rFonts w:eastAsia="Times New Roman"/>
        </w:rPr>
        <w:t xml:space="preserve">distressed firms who </w:t>
      </w:r>
      <w:r w:rsidR="00F0312A" w:rsidRPr="00F0531D">
        <w:rPr>
          <w:rFonts w:eastAsia="Times New Roman"/>
        </w:rPr>
        <w:t xml:space="preserve">may be less </w:t>
      </w:r>
      <w:r w:rsidR="00EA2D12" w:rsidRPr="00F0531D">
        <w:rPr>
          <w:rFonts w:eastAsia="Times New Roman"/>
        </w:rPr>
        <w:t>likely to compl</w:t>
      </w:r>
      <w:r w:rsidR="009450AB" w:rsidRPr="00F0531D">
        <w:rPr>
          <w:rFonts w:eastAsia="Times New Roman"/>
        </w:rPr>
        <w:t>y</w:t>
      </w:r>
      <w:r w:rsidR="00EA2D12" w:rsidRPr="00F0531D">
        <w:rPr>
          <w:rFonts w:eastAsia="Times New Roman"/>
        </w:rPr>
        <w:t xml:space="preserve"> with reporting regulation </w:t>
      </w:r>
      <w:r w:rsidR="00811D47" w:rsidRPr="00F0531D">
        <w:rPr>
          <w:rFonts w:eastAsia="Times New Roman"/>
        </w:rPr>
        <w:t xml:space="preserve">also </w:t>
      </w:r>
      <w:r w:rsidR="009450AB" w:rsidRPr="00F0531D">
        <w:rPr>
          <w:rFonts w:eastAsia="Times New Roman"/>
        </w:rPr>
        <w:t>tend</w:t>
      </w:r>
      <w:r w:rsidR="00811D47" w:rsidRPr="00F0531D">
        <w:rPr>
          <w:rFonts w:eastAsia="Times New Roman"/>
        </w:rPr>
        <w:t xml:space="preserve"> to attract SEC scrutiny </w:t>
      </w:r>
      <w:r w:rsidR="00EA2D12" w:rsidRPr="00F0531D">
        <w:rPr>
          <w:rFonts w:eastAsia="Times New Roman"/>
        </w:rPr>
        <w:t>(</w:t>
      </w:r>
      <w:proofErr w:type="spellStart"/>
      <w:r w:rsidR="00EA2D12" w:rsidRPr="00F0531D">
        <w:rPr>
          <w:rFonts w:eastAsia="Times New Roman"/>
        </w:rPr>
        <w:t>Brazel</w:t>
      </w:r>
      <w:proofErr w:type="spellEnd"/>
      <w:r w:rsidR="00EA2D12" w:rsidRPr="00F0531D">
        <w:rPr>
          <w:rFonts w:eastAsia="Times New Roman"/>
        </w:rPr>
        <w:t xml:space="preserve"> et al., 2009; </w:t>
      </w:r>
      <w:proofErr w:type="spellStart"/>
      <w:r w:rsidR="00EA2D12" w:rsidRPr="00F0531D">
        <w:rPr>
          <w:rFonts w:eastAsia="Times New Roman"/>
        </w:rPr>
        <w:t>Ettredge</w:t>
      </w:r>
      <w:proofErr w:type="spellEnd"/>
      <w:r w:rsidR="00EA2D12" w:rsidRPr="00F0531D">
        <w:rPr>
          <w:rFonts w:eastAsia="Times New Roman"/>
        </w:rPr>
        <w:t xml:space="preserve"> et</w:t>
      </w:r>
      <w:r w:rsidR="00751FA8">
        <w:rPr>
          <w:rFonts w:eastAsia="Times New Roman"/>
        </w:rPr>
        <w:t xml:space="preserve"> </w:t>
      </w:r>
      <w:r w:rsidR="00EA2D12" w:rsidRPr="00F0531D">
        <w:rPr>
          <w:rFonts w:eastAsia="Times New Roman"/>
        </w:rPr>
        <w:t xml:space="preserve">al., 2011), </w:t>
      </w:r>
      <w:r w:rsidR="00811D47" w:rsidRPr="00F0531D">
        <w:rPr>
          <w:rFonts w:eastAsia="Times New Roman"/>
        </w:rPr>
        <w:t xml:space="preserve">as well as </w:t>
      </w:r>
      <w:r w:rsidR="00EA2D12" w:rsidRPr="00F0531D">
        <w:rPr>
          <w:rFonts w:eastAsia="Times New Roman"/>
        </w:rPr>
        <w:t xml:space="preserve">firms conducting M&amp;A activities </w:t>
      </w:r>
      <w:r w:rsidR="00811D47" w:rsidRPr="00F0531D">
        <w:rPr>
          <w:rFonts w:eastAsia="Times New Roman"/>
        </w:rPr>
        <w:t>due to</w:t>
      </w:r>
      <w:r w:rsidR="00EA2D12" w:rsidRPr="00F0531D">
        <w:rPr>
          <w:rFonts w:eastAsia="Times New Roman"/>
        </w:rPr>
        <w:t xml:space="preserve"> greater complexity </w:t>
      </w:r>
      <w:r w:rsidR="001908F1" w:rsidRPr="00F0531D">
        <w:rPr>
          <w:rFonts w:eastAsia="Times New Roman"/>
        </w:rPr>
        <w:t xml:space="preserve">in corporate structures </w:t>
      </w:r>
      <w:r w:rsidR="00EA2D12" w:rsidRPr="00F0531D">
        <w:rPr>
          <w:rFonts w:eastAsia="Times New Roman"/>
        </w:rPr>
        <w:t xml:space="preserve">(Baugh et al., 2017; Cassell et al., 2013; </w:t>
      </w:r>
      <w:proofErr w:type="spellStart"/>
      <w:r w:rsidR="00EA2D12" w:rsidRPr="00F0531D">
        <w:rPr>
          <w:rFonts w:eastAsia="Times New Roman"/>
        </w:rPr>
        <w:t>Duro</w:t>
      </w:r>
      <w:proofErr w:type="spellEnd"/>
      <w:r w:rsidR="00EA2D12" w:rsidRPr="00F0531D">
        <w:rPr>
          <w:rFonts w:eastAsia="Times New Roman"/>
        </w:rPr>
        <w:t xml:space="preserve"> et al., 2017; </w:t>
      </w:r>
      <w:proofErr w:type="spellStart"/>
      <w:r w:rsidR="00EA2D12" w:rsidRPr="00F0531D">
        <w:rPr>
          <w:rFonts w:eastAsia="Times New Roman"/>
        </w:rPr>
        <w:t>Heese</w:t>
      </w:r>
      <w:proofErr w:type="spellEnd"/>
      <w:r w:rsidR="00EA2D12" w:rsidRPr="00F0531D">
        <w:rPr>
          <w:rFonts w:eastAsia="Times New Roman"/>
        </w:rPr>
        <w:t xml:space="preserve"> et al., 2017). </w:t>
      </w:r>
    </w:p>
    <w:p w14:paraId="6278EC95" w14:textId="78250303" w:rsidR="00EA2D12" w:rsidRPr="00C05240" w:rsidRDefault="00EA2D12" w:rsidP="005B0E9E">
      <w:pPr>
        <w:spacing w:before="240" w:after="240" w:line="480" w:lineRule="auto"/>
        <w:jc w:val="both"/>
        <w:rPr>
          <w:rFonts w:eastAsia="Times New Roman"/>
        </w:rPr>
      </w:pPr>
      <w:r w:rsidRPr="00F0531D">
        <w:rPr>
          <w:rFonts w:eastAsia="Times New Roman"/>
        </w:rPr>
        <w:t>Interestingly, the results also reveal that SEC review</w:t>
      </w:r>
      <w:r w:rsidR="0092527D" w:rsidRPr="00F0531D">
        <w:rPr>
          <w:rFonts w:eastAsia="Times New Roman"/>
        </w:rPr>
        <w:t>s</w:t>
      </w:r>
      <w:r w:rsidRPr="00F0531D">
        <w:rPr>
          <w:rFonts w:eastAsia="Times New Roman"/>
        </w:rPr>
        <w:t xml:space="preserve"> </w:t>
      </w:r>
      <w:r w:rsidR="0092527D" w:rsidRPr="00F0531D">
        <w:rPr>
          <w:rFonts w:eastAsia="Times New Roman"/>
        </w:rPr>
        <w:t xml:space="preserve">are less </w:t>
      </w:r>
      <w:r w:rsidRPr="00F0531D">
        <w:rPr>
          <w:rFonts w:eastAsia="Times New Roman"/>
        </w:rPr>
        <w:t>extensive</w:t>
      </w:r>
      <w:r w:rsidR="0092527D" w:rsidRPr="00F0531D">
        <w:rPr>
          <w:rFonts w:eastAsia="Times New Roman"/>
        </w:rPr>
        <w:t xml:space="preserve"> </w:t>
      </w:r>
      <w:r w:rsidR="00301D05" w:rsidRPr="00F0531D">
        <w:rPr>
          <w:rFonts w:eastAsia="Times New Roman"/>
        </w:rPr>
        <w:t xml:space="preserve">for </w:t>
      </w:r>
      <w:r w:rsidR="00F93AE1" w:rsidRPr="00F0531D">
        <w:rPr>
          <w:rFonts w:eastAsia="Times New Roman"/>
        </w:rPr>
        <w:t>issuer</w:t>
      </w:r>
      <w:r w:rsidR="00301D05" w:rsidRPr="00F0531D">
        <w:rPr>
          <w:rFonts w:eastAsia="Times New Roman"/>
        </w:rPr>
        <w:t>s filing dra</w:t>
      </w:r>
      <w:r w:rsidR="007E546F" w:rsidRPr="00F0531D">
        <w:rPr>
          <w:rFonts w:eastAsia="Times New Roman"/>
        </w:rPr>
        <w:t>ft registration statements</w:t>
      </w:r>
      <w:r w:rsidR="000C4563" w:rsidRPr="00F0531D">
        <w:rPr>
          <w:rFonts w:eastAsia="Times New Roman"/>
        </w:rPr>
        <w:t>,</w:t>
      </w:r>
      <w:r w:rsidRPr="00F0531D">
        <w:rPr>
          <w:rFonts w:eastAsia="Times New Roman"/>
        </w:rPr>
        <w:t xml:space="preserve"> </w:t>
      </w:r>
      <w:r w:rsidR="000C4563" w:rsidRPr="00F0531D">
        <w:rPr>
          <w:rFonts w:eastAsia="Times New Roman"/>
        </w:rPr>
        <w:t xml:space="preserve">suggesting that </w:t>
      </w:r>
      <w:r w:rsidRPr="00F0531D">
        <w:rPr>
          <w:rFonts w:eastAsia="Times New Roman"/>
        </w:rPr>
        <w:t xml:space="preserve">previous comments on the draft </w:t>
      </w:r>
      <w:r w:rsidR="007028CB" w:rsidRPr="00F0531D">
        <w:rPr>
          <w:rFonts w:eastAsia="Times New Roman"/>
        </w:rPr>
        <w:t>have been</w:t>
      </w:r>
      <w:r w:rsidR="004149D3" w:rsidRPr="00F0531D">
        <w:rPr>
          <w:rFonts w:eastAsia="Times New Roman"/>
        </w:rPr>
        <w:t xml:space="preserve"> </w:t>
      </w:r>
      <w:r w:rsidRPr="00F0531D">
        <w:rPr>
          <w:rFonts w:eastAsia="Times New Roman"/>
        </w:rPr>
        <w:t xml:space="preserve">addressed. </w:t>
      </w:r>
      <w:r w:rsidR="002E27DE" w:rsidRPr="00F0531D">
        <w:rPr>
          <w:rFonts w:eastAsia="Times New Roman"/>
        </w:rPr>
        <w:t>T</w:t>
      </w:r>
      <w:r w:rsidRPr="00F0531D">
        <w:rPr>
          <w:rFonts w:eastAsia="Times New Roman"/>
        </w:rPr>
        <w:t xml:space="preserve">he </w:t>
      </w:r>
      <w:r w:rsidRPr="00F0531D">
        <w:rPr>
          <w:rFonts w:eastAsia="Times New Roman"/>
        </w:rPr>
        <w:lastRenderedPageBreak/>
        <w:t xml:space="preserve">SEC </w:t>
      </w:r>
      <w:r w:rsidR="008E4E3D" w:rsidRPr="00F0531D">
        <w:rPr>
          <w:rFonts w:eastAsia="Times New Roman"/>
        </w:rPr>
        <w:t xml:space="preserve">seem to </w:t>
      </w:r>
      <w:r w:rsidRPr="00F0531D">
        <w:rPr>
          <w:rFonts w:eastAsia="Times New Roman"/>
        </w:rPr>
        <w:t xml:space="preserve">spend more time reviewing IPO firms </w:t>
      </w:r>
      <w:r w:rsidR="00414CEB" w:rsidRPr="00F0531D">
        <w:rPr>
          <w:rFonts w:eastAsia="Times New Roman"/>
        </w:rPr>
        <w:t>with</w:t>
      </w:r>
      <w:r w:rsidRPr="00F0531D">
        <w:rPr>
          <w:rFonts w:eastAsia="Times New Roman"/>
        </w:rPr>
        <w:t xml:space="preserve"> shorter S-1 filings</w:t>
      </w:r>
      <w:r w:rsidR="00591CD2" w:rsidRPr="00F0531D">
        <w:rPr>
          <w:rFonts w:eastAsia="Times New Roman"/>
        </w:rPr>
        <w:t>,</w:t>
      </w:r>
      <w:r w:rsidRPr="00F0531D">
        <w:rPr>
          <w:rFonts w:eastAsia="Times New Roman"/>
        </w:rPr>
        <w:t xml:space="preserve"> </w:t>
      </w:r>
      <w:r w:rsidR="00024969" w:rsidRPr="00F0531D">
        <w:rPr>
          <w:rFonts w:eastAsia="Times New Roman"/>
        </w:rPr>
        <w:t>which</w:t>
      </w:r>
      <w:r w:rsidRPr="00F0531D">
        <w:rPr>
          <w:rFonts w:eastAsia="Times New Roman"/>
        </w:rPr>
        <w:t xml:space="preserve"> </w:t>
      </w:r>
      <w:r w:rsidR="00591CD2" w:rsidRPr="00F0531D">
        <w:rPr>
          <w:rFonts w:eastAsia="Times New Roman"/>
        </w:rPr>
        <w:t xml:space="preserve">may </w:t>
      </w:r>
      <w:r w:rsidR="00637C98" w:rsidRPr="00F0531D">
        <w:rPr>
          <w:rFonts w:eastAsia="Times New Roman"/>
        </w:rPr>
        <w:t xml:space="preserve">be </w:t>
      </w:r>
      <w:r w:rsidR="00591CD2" w:rsidRPr="00F0531D">
        <w:rPr>
          <w:rFonts w:eastAsia="Times New Roman"/>
        </w:rPr>
        <w:t>indicat</w:t>
      </w:r>
      <w:r w:rsidR="00637C98" w:rsidRPr="00F0531D">
        <w:rPr>
          <w:rFonts w:eastAsia="Times New Roman"/>
        </w:rPr>
        <w:t>ive of</w:t>
      </w:r>
      <w:r w:rsidR="00591CD2" w:rsidRPr="00F0531D">
        <w:rPr>
          <w:rFonts w:eastAsia="Times New Roman"/>
        </w:rPr>
        <w:t xml:space="preserve"> low</w:t>
      </w:r>
      <w:r w:rsidRPr="00F0531D">
        <w:rPr>
          <w:rFonts w:eastAsia="Times New Roman"/>
        </w:rPr>
        <w:t xml:space="preserve"> transparen</w:t>
      </w:r>
      <w:r w:rsidR="00591CD2" w:rsidRPr="00F0531D">
        <w:rPr>
          <w:rFonts w:eastAsia="Times New Roman"/>
        </w:rPr>
        <w:t>cy</w:t>
      </w:r>
      <w:r w:rsidRPr="00F0531D">
        <w:rPr>
          <w:rFonts w:eastAsia="Times New Roman"/>
        </w:rPr>
        <w:t xml:space="preserve">. Another interesting finding is that SEC scrutiny becomes less extensive when the number of IPOs in each industry </w:t>
      </w:r>
      <w:r w:rsidR="0029448D" w:rsidRPr="00F0531D">
        <w:rPr>
          <w:rFonts w:eastAsia="Times New Roman"/>
        </w:rPr>
        <w:t>increases</w:t>
      </w:r>
      <w:r w:rsidR="00826722" w:rsidRPr="00F0531D">
        <w:rPr>
          <w:rFonts w:eastAsia="Times New Roman"/>
        </w:rPr>
        <w:t xml:space="preserve"> or the</w:t>
      </w:r>
      <w:r w:rsidRPr="00F0531D">
        <w:rPr>
          <w:rFonts w:eastAsia="Times New Roman"/>
        </w:rPr>
        <w:t xml:space="preserve"> workload</w:t>
      </w:r>
      <w:r w:rsidR="00826722" w:rsidRPr="00F0531D">
        <w:rPr>
          <w:rFonts w:eastAsia="Times New Roman"/>
        </w:rPr>
        <w:t xml:space="preserve"> </w:t>
      </w:r>
      <w:r w:rsidR="008A3EB4" w:rsidRPr="00F0531D">
        <w:rPr>
          <w:rFonts w:eastAsia="Times New Roman"/>
        </w:rPr>
        <w:t xml:space="preserve">of SEC staff </w:t>
      </w:r>
      <w:r w:rsidR="00826722" w:rsidRPr="00F0531D">
        <w:rPr>
          <w:rFonts w:eastAsia="Times New Roman"/>
        </w:rPr>
        <w:t>is hi</w:t>
      </w:r>
      <w:r w:rsidR="006D5C83" w:rsidRPr="00F0531D">
        <w:rPr>
          <w:rFonts w:eastAsia="Times New Roman"/>
        </w:rPr>
        <w:t>g</w:t>
      </w:r>
      <w:r w:rsidR="00826722" w:rsidRPr="00F0531D">
        <w:rPr>
          <w:rFonts w:eastAsia="Times New Roman"/>
        </w:rPr>
        <w:t>her</w:t>
      </w:r>
      <w:r w:rsidRPr="00F0531D">
        <w:rPr>
          <w:rFonts w:eastAsia="Times New Roman"/>
        </w:rPr>
        <w:t xml:space="preserve"> (</w:t>
      </w:r>
      <w:proofErr w:type="spellStart"/>
      <w:r w:rsidRPr="00F0531D">
        <w:rPr>
          <w:rFonts w:eastAsia="Times New Roman"/>
        </w:rPr>
        <w:t>Köchling</w:t>
      </w:r>
      <w:proofErr w:type="spellEnd"/>
      <w:r w:rsidRPr="00F0531D">
        <w:rPr>
          <w:rFonts w:eastAsia="Times New Roman"/>
        </w:rPr>
        <w:t xml:space="preserve"> et al., 2021). In addition, the SEC </w:t>
      </w:r>
      <w:r w:rsidR="000C7691" w:rsidRPr="00F0531D">
        <w:rPr>
          <w:rFonts w:eastAsia="Times New Roman"/>
        </w:rPr>
        <w:t xml:space="preserve">appear </w:t>
      </w:r>
      <w:r w:rsidRPr="00F0531D">
        <w:rPr>
          <w:rFonts w:eastAsia="Times New Roman"/>
        </w:rPr>
        <w:t xml:space="preserve">to spend more time </w:t>
      </w:r>
      <w:r w:rsidR="00623DF9" w:rsidRPr="00F0531D">
        <w:rPr>
          <w:rFonts w:eastAsia="Times New Roman"/>
        </w:rPr>
        <w:t>reviewing</w:t>
      </w:r>
      <w:r w:rsidRPr="00F0531D">
        <w:rPr>
          <w:rFonts w:eastAsia="Times New Roman"/>
        </w:rPr>
        <w:t xml:space="preserve"> IPO</w:t>
      </w:r>
      <w:r w:rsidR="00C81F9E" w:rsidRPr="00F0531D">
        <w:rPr>
          <w:rFonts w:eastAsia="Times New Roman"/>
        </w:rPr>
        <w:t>s</w:t>
      </w:r>
      <w:r w:rsidRPr="00F0531D">
        <w:rPr>
          <w:rFonts w:eastAsia="Times New Roman"/>
        </w:rPr>
        <w:t xml:space="preserve"> </w:t>
      </w:r>
      <w:r w:rsidR="00C81F9E" w:rsidRPr="00F0531D">
        <w:rPr>
          <w:rFonts w:eastAsia="Times New Roman"/>
        </w:rPr>
        <w:t>with</w:t>
      </w:r>
      <w:r w:rsidRPr="00F0531D">
        <w:rPr>
          <w:rFonts w:eastAsia="Times New Roman"/>
        </w:rPr>
        <w:t xml:space="preserve"> more reputable underwriters</w:t>
      </w:r>
      <w:r w:rsidR="000E16A9" w:rsidRPr="00F0531D">
        <w:rPr>
          <w:rFonts w:eastAsia="Times New Roman"/>
        </w:rPr>
        <w:t>.</w:t>
      </w:r>
      <w:r w:rsidRPr="00F0531D">
        <w:rPr>
          <w:rFonts w:eastAsia="Times New Roman"/>
        </w:rPr>
        <w:t xml:space="preserve"> </w:t>
      </w:r>
      <w:r w:rsidR="000E16A9" w:rsidRPr="00F0531D">
        <w:rPr>
          <w:rFonts w:eastAsia="Times New Roman"/>
        </w:rPr>
        <w:t>This is consistent with the assumptions of</w:t>
      </w:r>
      <w:r w:rsidRPr="00F0531D">
        <w:rPr>
          <w:rFonts w:eastAsia="Times New Roman"/>
        </w:rPr>
        <w:t xml:space="preserve"> “deep pocket” theory, </w:t>
      </w:r>
      <w:r w:rsidR="00FC6A7D" w:rsidRPr="00F0531D">
        <w:rPr>
          <w:rFonts w:eastAsia="Times New Roman"/>
        </w:rPr>
        <w:t>which suggests that</w:t>
      </w:r>
      <w:r w:rsidRPr="00F0531D">
        <w:rPr>
          <w:rFonts w:eastAsia="Times New Roman"/>
        </w:rPr>
        <w:t xml:space="preserve"> firm</w:t>
      </w:r>
      <w:r w:rsidR="00231B50" w:rsidRPr="00F0531D">
        <w:rPr>
          <w:rFonts w:eastAsia="Times New Roman"/>
        </w:rPr>
        <w:t>s</w:t>
      </w:r>
      <w:r w:rsidRPr="00F0531D">
        <w:rPr>
          <w:rFonts w:eastAsia="Times New Roman"/>
        </w:rPr>
        <w:t xml:space="preserve"> with higher litigation risk </w:t>
      </w:r>
      <w:r w:rsidR="00231B50" w:rsidRPr="00F0531D">
        <w:rPr>
          <w:rFonts w:eastAsia="Times New Roman"/>
        </w:rPr>
        <w:t>are</w:t>
      </w:r>
      <w:r w:rsidRPr="00F0531D">
        <w:rPr>
          <w:rFonts w:eastAsia="Times New Roman"/>
        </w:rPr>
        <w:t xml:space="preserve"> more likely to </w:t>
      </w:r>
      <w:r w:rsidR="00231B50" w:rsidRPr="00F0531D">
        <w:rPr>
          <w:rFonts w:eastAsia="Times New Roman"/>
        </w:rPr>
        <w:t>appoint</w:t>
      </w:r>
      <w:r w:rsidRPr="00F0531D">
        <w:rPr>
          <w:rFonts w:eastAsia="Times New Roman"/>
        </w:rPr>
        <w:t xml:space="preserve"> </w:t>
      </w:r>
      <w:r w:rsidR="00231B50" w:rsidRPr="00F0531D">
        <w:rPr>
          <w:rFonts w:eastAsia="Times New Roman"/>
        </w:rPr>
        <w:t xml:space="preserve">a </w:t>
      </w:r>
      <w:r w:rsidR="005855B5" w:rsidRPr="00F0531D">
        <w:rPr>
          <w:rFonts w:eastAsia="Times New Roman"/>
        </w:rPr>
        <w:t>high-</w:t>
      </w:r>
      <w:r w:rsidRPr="00F0531D">
        <w:rPr>
          <w:rFonts w:eastAsia="Times New Roman"/>
        </w:rPr>
        <w:t>rank</w:t>
      </w:r>
      <w:r w:rsidR="00231B50" w:rsidRPr="00F0531D">
        <w:rPr>
          <w:rFonts w:eastAsia="Times New Roman"/>
        </w:rPr>
        <w:t>ing</w:t>
      </w:r>
      <w:r w:rsidRPr="00F0531D">
        <w:rPr>
          <w:rFonts w:eastAsia="Times New Roman"/>
        </w:rPr>
        <w:t xml:space="preserve"> underwriter (Lowry and Shu, 2002).</w:t>
      </w:r>
    </w:p>
    <w:p w14:paraId="2275B4C5" w14:textId="4BA71C2D" w:rsidR="008204BE" w:rsidRDefault="008204BE" w:rsidP="005B0E9E">
      <w:pPr>
        <w:spacing w:after="240" w:line="480" w:lineRule="auto"/>
        <w:jc w:val="center"/>
        <w:rPr>
          <w:b/>
          <w:bCs/>
        </w:rPr>
      </w:pPr>
      <w:r>
        <w:rPr>
          <w:b/>
          <w:bCs/>
        </w:rPr>
        <w:t>[Table 4 about here]</w:t>
      </w:r>
    </w:p>
    <w:p w14:paraId="3E17955E" w14:textId="63AFA7D4" w:rsidR="008204BE" w:rsidRDefault="008204BE" w:rsidP="0003367F">
      <w:pPr>
        <w:spacing w:line="480" w:lineRule="auto"/>
        <w:jc w:val="both"/>
        <w:rPr>
          <w:rFonts w:eastAsia="Times New Roman"/>
        </w:rPr>
      </w:pPr>
      <w:r w:rsidRPr="00BF4CF3">
        <w:rPr>
          <w:rFonts w:eastAsia="Times New Roman"/>
        </w:rPr>
        <w:t xml:space="preserve">While </w:t>
      </w:r>
      <w:r w:rsidRPr="00A536F2">
        <w:rPr>
          <w:rFonts w:eastAsia="Times New Roman"/>
        </w:rPr>
        <w:t>significant reductions in all four</w:t>
      </w:r>
      <w:r w:rsidRPr="006B3FA2">
        <w:rPr>
          <w:rFonts w:eastAsia="Times New Roman"/>
        </w:rPr>
        <w:t xml:space="preserve"> </w:t>
      </w:r>
      <w:r w:rsidRPr="005D76FD">
        <w:rPr>
          <w:rFonts w:eastAsia="Times New Roman"/>
        </w:rPr>
        <w:t xml:space="preserve">review attributes </w:t>
      </w:r>
      <w:r w:rsidR="00E53DFB">
        <w:rPr>
          <w:rFonts w:eastAsia="Times New Roman"/>
        </w:rPr>
        <w:t xml:space="preserve">are observed </w:t>
      </w:r>
      <w:r w:rsidRPr="005D76FD">
        <w:rPr>
          <w:rFonts w:eastAsia="Times New Roman"/>
        </w:rPr>
        <w:t>for EGCs in the post-JOBS era, it is possible that they are explained by factors other than the enactment of the JOBS Act, per se.</w:t>
      </w:r>
      <w:r w:rsidRPr="00BF4CF3">
        <w:rPr>
          <w:rFonts w:eastAsia="Times New Roman"/>
        </w:rPr>
        <w:t xml:space="preserve"> </w:t>
      </w:r>
      <w:proofErr w:type="gramStart"/>
      <w:r w:rsidRPr="00BF4CF3">
        <w:rPr>
          <w:rFonts w:eastAsia="Times New Roman"/>
        </w:rPr>
        <w:t>In order to</w:t>
      </w:r>
      <w:proofErr w:type="gramEnd"/>
      <w:r w:rsidRPr="00BF4CF3">
        <w:rPr>
          <w:rFonts w:eastAsia="Times New Roman"/>
        </w:rPr>
        <w:t xml:space="preserve"> </w:t>
      </w:r>
      <w:r w:rsidRPr="00B34AB8">
        <w:rPr>
          <w:rFonts w:eastAsia="Times New Roman"/>
        </w:rPr>
        <w:t>draw a more robust link to the JOBS Act, this study contrasts</w:t>
      </w:r>
      <w:r w:rsidRPr="003A04BF">
        <w:rPr>
          <w:rFonts w:eastAsia="Times New Roman"/>
        </w:rPr>
        <w:t xml:space="preserve"> </w:t>
      </w:r>
      <w:r w:rsidRPr="007846CD">
        <w:rPr>
          <w:rFonts w:eastAsia="Times New Roman"/>
        </w:rPr>
        <w:t>changes in review attributes</w:t>
      </w:r>
      <w:r w:rsidRPr="00AA0772">
        <w:rPr>
          <w:rFonts w:eastAsia="Times New Roman"/>
        </w:rPr>
        <w:t xml:space="preserve"> </w:t>
      </w:r>
      <w:r w:rsidRPr="00A536F2">
        <w:rPr>
          <w:rFonts w:eastAsia="Times New Roman"/>
        </w:rPr>
        <w:t xml:space="preserve">for EGC IPOs </w:t>
      </w:r>
      <w:r w:rsidRPr="006B3FA2">
        <w:rPr>
          <w:rFonts w:eastAsia="Times New Roman"/>
        </w:rPr>
        <w:t>with</w:t>
      </w:r>
      <w:r w:rsidRPr="005D76FD">
        <w:rPr>
          <w:rFonts w:eastAsia="Times New Roman"/>
        </w:rPr>
        <w:t xml:space="preserve"> a control sample of </w:t>
      </w:r>
      <w:r>
        <w:rPr>
          <w:rFonts w:eastAsia="Times New Roman"/>
        </w:rPr>
        <w:t>n</w:t>
      </w:r>
      <w:r w:rsidRPr="005D76FD">
        <w:rPr>
          <w:rFonts w:eastAsia="Times New Roman"/>
        </w:rPr>
        <w:t>on-EGC IPOs</w:t>
      </w:r>
      <w:r w:rsidRPr="009C10CE">
        <w:rPr>
          <w:rFonts w:eastAsia="Times New Roman"/>
        </w:rPr>
        <w:t xml:space="preserve">. The JOBS Act focused specifically on de-burdening the IPO approval process for EGCs, therefore this study expects differences to be more pronounced for EGC IPOs. </w:t>
      </w:r>
      <w:proofErr w:type="spellStart"/>
      <w:r w:rsidR="009811C2">
        <w:rPr>
          <w:rFonts w:eastAsia="Times New Roman"/>
        </w:rPr>
        <w:t>Untabulated</w:t>
      </w:r>
      <w:proofErr w:type="spellEnd"/>
      <w:r w:rsidR="009811C2">
        <w:rPr>
          <w:rFonts w:eastAsia="Times New Roman"/>
        </w:rPr>
        <w:t xml:space="preserve"> test shows</w:t>
      </w:r>
      <w:r w:rsidRPr="003D3BF8">
        <w:rPr>
          <w:rFonts w:eastAsia="Times New Roman"/>
        </w:rPr>
        <w:t xml:space="preserve"> significantly negative coefficients on JOBS Act × EGC are observed in the regressions</w:t>
      </w:r>
      <w:r w:rsidR="009A58E6">
        <w:rPr>
          <w:rFonts w:eastAsia="Times New Roman"/>
        </w:rPr>
        <w:t xml:space="preserve"> having </w:t>
      </w:r>
      <w:r w:rsidR="009A58E6" w:rsidRPr="000C2497">
        <w:rPr>
          <w:rFonts w:eastAsia="Times New Roman"/>
          <w:i/>
          <w:iCs/>
        </w:rPr>
        <w:t xml:space="preserve">#Comments </w:t>
      </w:r>
      <w:r w:rsidR="009A58E6" w:rsidRPr="000C2497">
        <w:rPr>
          <w:rFonts w:eastAsia="Times New Roman"/>
        </w:rPr>
        <w:t xml:space="preserve">and </w:t>
      </w:r>
      <w:r w:rsidR="009A58E6" w:rsidRPr="000C2497">
        <w:rPr>
          <w:rFonts w:eastAsia="Times New Roman"/>
          <w:i/>
          <w:iCs/>
        </w:rPr>
        <w:t>#Themes</w:t>
      </w:r>
      <w:r w:rsidR="009A58E6">
        <w:rPr>
          <w:rFonts w:eastAsia="Times New Roman"/>
          <w:i/>
          <w:iCs/>
        </w:rPr>
        <w:t xml:space="preserve"> </w:t>
      </w:r>
      <w:r w:rsidR="009A58E6">
        <w:rPr>
          <w:rFonts w:eastAsia="Times New Roman"/>
        </w:rPr>
        <w:t>as dependent variables</w:t>
      </w:r>
      <w:r w:rsidRPr="003D3BF8">
        <w:rPr>
          <w:rFonts w:eastAsia="Times New Roman"/>
        </w:rPr>
        <w:t>, indicating the reduction observed in these attributes is experienced mostly by EGC IPOs.</w:t>
      </w:r>
      <w:r w:rsidR="0003367F">
        <w:rPr>
          <w:rFonts w:eastAsia="Times New Roman"/>
        </w:rPr>
        <w:t xml:space="preserve"> </w:t>
      </w:r>
      <w:r w:rsidRPr="003D3BF8">
        <w:rPr>
          <w:rFonts w:eastAsia="Times New Roman"/>
        </w:rPr>
        <w:t xml:space="preserve">On the other hand, </w:t>
      </w:r>
      <w:r w:rsidR="000C2497">
        <w:rPr>
          <w:rFonts w:eastAsia="Times New Roman"/>
        </w:rPr>
        <w:t xml:space="preserve">the </w:t>
      </w:r>
      <w:r w:rsidRPr="009C10CE">
        <w:rPr>
          <w:rFonts w:eastAsia="Times New Roman"/>
        </w:rPr>
        <w:t xml:space="preserve">changes in </w:t>
      </w:r>
      <w:r w:rsidRPr="009C10CE">
        <w:rPr>
          <w:rFonts w:eastAsia="Times New Roman"/>
          <w:i/>
          <w:iCs/>
        </w:rPr>
        <w:t>Duration</w:t>
      </w:r>
      <w:r>
        <w:rPr>
          <w:rFonts w:eastAsia="Times New Roman"/>
          <w:i/>
          <w:iCs/>
        </w:rPr>
        <w:t xml:space="preserve"> </w:t>
      </w:r>
      <w:r w:rsidRPr="00EC6051">
        <w:rPr>
          <w:rFonts w:eastAsia="Times New Roman"/>
        </w:rPr>
        <w:t>and</w:t>
      </w:r>
      <w:r>
        <w:rPr>
          <w:rFonts w:eastAsia="Times New Roman"/>
          <w:i/>
          <w:iCs/>
        </w:rPr>
        <w:t xml:space="preserve"> #Letters</w:t>
      </w:r>
      <w:r w:rsidRPr="009C10CE">
        <w:rPr>
          <w:rFonts w:eastAsia="Times New Roman"/>
        </w:rPr>
        <w:t xml:space="preserve"> following the JOBS Act are not significantly different for EGC IPOs than for </w:t>
      </w:r>
      <w:r w:rsidR="0077274B">
        <w:rPr>
          <w:rFonts w:eastAsia="Times New Roman"/>
        </w:rPr>
        <w:t>n</w:t>
      </w:r>
      <w:r w:rsidRPr="009C10CE">
        <w:rPr>
          <w:rFonts w:eastAsia="Times New Roman"/>
        </w:rPr>
        <w:t xml:space="preserve">on-EGC IPOs (the coefficient on JOBS Act </w:t>
      </w:r>
      <w:r w:rsidRPr="009C10CE">
        <w:rPr>
          <w:rFonts w:eastAsia="Times New Roman"/>
          <w:i/>
          <w:iCs/>
        </w:rPr>
        <w:t xml:space="preserve">× </w:t>
      </w:r>
      <w:r w:rsidRPr="007E5D02">
        <w:rPr>
          <w:rFonts w:eastAsia="Times New Roman"/>
        </w:rPr>
        <w:t>EGC</w:t>
      </w:r>
      <w:r w:rsidRPr="009C10CE">
        <w:rPr>
          <w:rFonts w:eastAsia="Times New Roman"/>
        </w:rPr>
        <w:t xml:space="preserve"> is insignificant in mode</w:t>
      </w:r>
      <w:r w:rsidR="009A58E6">
        <w:rPr>
          <w:rFonts w:eastAsia="Times New Roman"/>
        </w:rPr>
        <w:t xml:space="preserve">ls having </w:t>
      </w:r>
      <w:r w:rsidR="009A58E6">
        <w:rPr>
          <w:rFonts w:eastAsia="Times New Roman"/>
          <w:i/>
          <w:iCs/>
        </w:rPr>
        <w:t xml:space="preserve">Duration </w:t>
      </w:r>
      <w:r w:rsidR="009A58E6">
        <w:rPr>
          <w:rFonts w:eastAsia="Times New Roman"/>
        </w:rPr>
        <w:t xml:space="preserve">and </w:t>
      </w:r>
      <w:r w:rsidR="009A58E6">
        <w:rPr>
          <w:rFonts w:eastAsia="Times New Roman"/>
          <w:i/>
          <w:iCs/>
        </w:rPr>
        <w:t xml:space="preserve">#Letters </w:t>
      </w:r>
      <w:r w:rsidR="009A58E6">
        <w:rPr>
          <w:rFonts w:eastAsia="Times New Roman"/>
        </w:rPr>
        <w:t>as dependent variables</w:t>
      </w:r>
      <w:r w:rsidRPr="009C10CE">
        <w:rPr>
          <w:rFonts w:eastAsia="Times New Roman"/>
        </w:rPr>
        <w:t>). However, significantly lower average</w:t>
      </w:r>
      <w:r w:rsidR="000C2497">
        <w:rPr>
          <w:rFonts w:eastAsia="Times New Roman"/>
        </w:rPr>
        <w:t xml:space="preserve">s </w:t>
      </w:r>
      <w:r w:rsidRPr="009C10CE">
        <w:rPr>
          <w:rFonts w:eastAsia="Times New Roman"/>
          <w:i/>
          <w:iCs/>
        </w:rPr>
        <w:t>Duration</w:t>
      </w:r>
      <w:r w:rsidR="000C2497">
        <w:rPr>
          <w:rFonts w:eastAsia="Times New Roman"/>
          <w:i/>
          <w:iCs/>
        </w:rPr>
        <w:t xml:space="preserve"> </w:t>
      </w:r>
      <w:r w:rsidR="000C2497">
        <w:rPr>
          <w:rFonts w:eastAsia="Times New Roman"/>
        </w:rPr>
        <w:t xml:space="preserve">and </w:t>
      </w:r>
      <w:r w:rsidR="000C2497">
        <w:rPr>
          <w:rFonts w:eastAsia="Times New Roman"/>
          <w:i/>
          <w:iCs/>
        </w:rPr>
        <w:t>#Letters</w:t>
      </w:r>
      <w:r w:rsidRPr="009C10CE">
        <w:rPr>
          <w:rFonts w:eastAsia="Times New Roman"/>
        </w:rPr>
        <w:t xml:space="preserve"> </w:t>
      </w:r>
      <w:r w:rsidR="000C2497">
        <w:rPr>
          <w:rFonts w:eastAsia="Times New Roman"/>
        </w:rPr>
        <w:t>are</w:t>
      </w:r>
      <w:r w:rsidRPr="009C10CE">
        <w:rPr>
          <w:rFonts w:eastAsia="Times New Roman"/>
        </w:rPr>
        <w:t xml:space="preserve"> observed for EGC IPOs in the pre-</w:t>
      </w:r>
      <w:proofErr w:type="gramStart"/>
      <w:r w:rsidRPr="009C10CE">
        <w:rPr>
          <w:rFonts w:eastAsia="Times New Roman"/>
        </w:rPr>
        <w:t>JOBS</w:t>
      </w:r>
      <w:proofErr w:type="gramEnd"/>
      <w:r w:rsidRPr="009C10CE">
        <w:rPr>
          <w:rFonts w:eastAsia="Times New Roman"/>
        </w:rPr>
        <w:t xml:space="preserve"> era. Therefore, the proportional change for EGC IPOs may still be greater than for </w:t>
      </w:r>
      <w:r w:rsidR="0090004E">
        <w:rPr>
          <w:rFonts w:eastAsia="Times New Roman"/>
        </w:rPr>
        <w:t>n</w:t>
      </w:r>
      <w:r w:rsidRPr="009C10CE">
        <w:rPr>
          <w:rFonts w:eastAsia="Times New Roman"/>
        </w:rPr>
        <w:t>on-EGC IPOs.</w:t>
      </w:r>
      <w:r w:rsidRPr="00BF4CF3">
        <w:rPr>
          <w:rFonts w:eastAsia="Times New Roman"/>
        </w:rPr>
        <w:t xml:space="preserve"> </w:t>
      </w:r>
    </w:p>
    <w:p w14:paraId="07D73DFB" w14:textId="77777777" w:rsidR="002D4060" w:rsidRPr="00B647C8" w:rsidRDefault="002D4060" w:rsidP="002D4060">
      <w:pPr>
        <w:pStyle w:val="ListParagraph"/>
        <w:numPr>
          <w:ilvl w:val="1"/>
          <w:numId w:val="29"/>
        </w:numPr>
        <w:spacing w:before="240" w:after="240" w:line="480" w:lineRule="auto"/>
        <w:ind w:left="360"/>
        <w:rPr>
          <w:rFonts w:eastAsia="Times New Roman"/>
          <w:b/>
          <w:bCs/>
        </w:rPr>
      </w:pPr>
      <w:bookmarkStart w:id="22" w:name="_Hlk104797526"/>
      <w:r>
        <w:rPr>
          <w:rFonts w:eastAsia="Times New Roman"/>
          <w:b/>
          <w:bCs/>
        </w:rPr>
        <w:t>Sensitivity to SRC status</w:t>
      </w:r>
    </w:p>
    <w:bookmarkEnd w:id="22"/>
    <w:p w14:paraId="43FACEAB" w14:textId="15995655" w:rsidR="002D4060" w:rsidRDefault="005C25BD" w:rsidP="002D4060">
      <w:pPr>
        <w:spacing w:before="240" w:after="240" w:line="480" w:lineRule="auto"/>
        <w:jc w:val="both"/>
        <w:rPr>
          <w:rFonts w:eastAsia="Times New Roman"/>
        </w:rPr>
      </w:pPr>
      <w:r>
        <w:rPr>
          <w:rFonts w:eastAsia="Times New Roman"/>
        </w:rPr>
        <w:lastRenderedPageBreak/>
        <w:t xml:space="preserve">Table 5 presents the results of </w:t>
      </w:r>
      <w:r w:rsidRPr="005C25BD">
        <w:rPr>
          <w:rFonts w:eastAsia="Times New Roman"/>
        </w:rPr>
        <w:t xml:space="preserve">regressions examining the effects of the JOBS Act on SEC reviews of smaller reporting company (SRC) </w:t>
      </w:r>
      <w:r w:rsidR="00324C5F" w:rsidRPr="005C25BD">
        <w:rPr>
          <w:rFonts w:eastAsia="Times New Roman"/>
        </w:rPr>
        <w:t xml:space="preserve">eligible EGC </w:t>
      </w:r>
      <w:r w:rsidRPr="005C25BD">
        <w:rPr>
          <w:rFonts w:eastAsia="Times New Roman"/>
        </w:rPr>
        <w:t>IPOs compared with non-SRC eligible EGC IPOs</w:t>
      </w:r>
      <w:r w:rsidR="002D4060">
        <w:rPr>
          <w:rFonts w:eastAsia="Times New Roman"/>
        </w:rPr>
        <w:t xml:space="preserve">. </w:t>
      </w:r>
      <w:r w:rsidR="009A58E6">
        <w:rPr>
          <w:rFonts w:eastAsia="Times New Roman"/>
        </w:rPr>
        <w:t>Significantly</w:t>
      </w:r>
      <w:r w:rsidR="002D4060">
        <w:rPr>
          <w:rFonts w:eastAsia="Times New Roman"/>
        </w:rPr>
        <w:t xml:space="preserve"> negative coefficients are observed on JOBS Act, but insignificant coefficients on the JOBS Act </w:t>
      </w:r>
      <w:r w:rsidR="002D4060" w:rsidRPr="009C10CE">
        <w:rPr>
          <w:rFonts w:eastAsia="Times New Roman"/>
          <w:i/>
          <w:iCs/>
        </w:rPr>
        <w:t>×</w:t>
      </w:r>
      <w:r w:rsidR="002D4060">
        <w:rPr>
          <w:rFonts w:eastAsia="Times New Roman"/>
        </w:rPr>
        <w:t xml:space="preserve"> non-SRC interaction. This indicates that the reduction in SEC scrutiny observed for EGC-eligible issuers under the Act applies to both SRC and non-SRC eligible EGCs, thus quelling the concern of a mechanical effect of disclosure exemptions since these did not change for SRC under the Act. Interestingly, a significantly negative coefficient on non-SRC is observed in all four columns in Table </w:t>
      </w:r>
      <w:r w:rsidR="004F7898">
        <w:rPr>
          <w:rFonts w:eastAsia="Times New Roman"/>
        </w:rPr>
        <w:t>5</w:t>
      </w:r>
      <w:r w:rsidR="002D4060">
        <w:rPr>
          <w:rFonts w:eastAsia="Times New Roman"/>
        </w:rPr>
        <w:t>, suggesting relatively greater SEC scrutiny of SRC scale issuers, both before and under JOBS. This is presumably because the SEC consider IPOs of smaller companies to be more speculative investments.</w:t>
      </w:r>
    </w:p>
    <w:p w14:paraId="0730EB28" w14:textId="4CE0E5C8" w:rsidR="005C25BD" w:rsidRPr="005C25BD" w:rsidRDefault="005C25BD" w:rsidP="005C25BD">
      <w:pPr>
        <w:spacing w:before="240" w:after="240" w:line="480" w:lineRule="auto"/>
        <w:jc w:val="center"/>
        <w:rPr>
          <w:rFonts w:eastAsia="Times New Roman"/>
          <w:b/>
          <w:bCs/>
        </w:rPr>
      </w:pPr>
      <w:r>
        <w:rPr>
          <w:rFonts w:eastAsia="Times New Roman"/>
          <w:b/>
          <w:bCs/>
        </w:rPr>
        <w:t>[Table 5 about here]</w:t>
      </w:r>
    </w:p>
    <w:p w14:paraId="457F53A1" w14:textId="2150044B" w:rsidR="008204BE" w:rsidRPr="00B34AB8" w:rsidRDefault="00AB2396" w:rsidP="005B0E9E">
      <w:pPr>
        <w:pStyle w:val="ListParagraph"/>
        <w:numPr>
          <w:ilvl w:val="1"/>
          <w:numId w:val="29"/>
        </w:numPr>
        <w:spacing w:before="240" w:after="240" w:line="480" w:lineRule="auto"/>
        <w:ind w:left="360"/>
        <w:contextualSpacing w:val="0"/>
        <w:jc w:val="both"/>
        <w:outlineLvl w:val="1"/>
        <w:rPr>
          <w:b/>
        </w:rPr>
      </w:pPr>
      <w:bookmarkStart w:id="23" w:name="_Toc69749287"/>
      <w:r>
        <w:rPr>
          <w:rFonts w:eastAsia="Times New Roman"/>
          <w:b/>
          <w:bCs/>
        </w:rPr>
        <w:t xml:space="preserve"> </w:t>
      </w:r>
      <w:r w:rsidR="008204BE" w:rsidRPr="00BF4CF3">
        <w:rPr>
          <w:rFonts w:eastAsia="Times New Roman"/>
          <w:b/>
          <w:bCs/>
        </w:rPr>
        <w:t>The moderating role of industry concentration</w:t>
      </w:r>
      <w:bookmarkEnd w:id="23"/>
    </w:p>
    <w:p w14:paraId="23813D27" w14:textId="50380779" w:rsidR="00583EDB" w:rsidRDefault="00562C56" w:rsidP="005B0E9E">
      <w:pPr>
        <w:tabs>
          <w:tab w:val="left" w:pos="250"/>
        </w:tabs>
        <w:spacing w:before="240" w:after="240" w:line="480" w:lineRule="auto"/>
        <w:jc w:val="both"/>
        <w:rPr>
          <w:rFonts w:eastAsia="Times New Roman"/>
        </w:rPr>
      </w:pPr>
      <w:r>
        <w:rPr>
          <w:rFonts w:eastAsiaTheme="minorEastAsia"/>
          <w:lang w:eastAsia="en-US"/>
        </w:rPr>
        <w:t xml:space="preserve">The </w:t>
      </w:r>
      <w:r>
        <w:rPr>
          <w:rFonts w:eastAsia="Times New Roman"/>
        </w:rPr>
        <w:t>r</w:t>
      </w:r>
      <w:r w:rsidR="008204BE" w:rsidRPr="00B34AB8">
        <w:rPr>
          <w:rFonts w:eastAsia="Times New Roman"/>
        </w:rPr>
        <w:t>esults</w:t>
      </w:r>
      <w:r w:rsidR="000A2E29">
        <w:rPr>
          <w:rFonts w:eastAsia="Times New Roman"/>
        </w:rPr>
        <w:t xml:space="preserve"> </w:t>
      </w:r>
      <w:r w:rsidR="000A2E29" w:rsidRPr="000A2E29">
        <w:rPr>
          <w:rFonts w:eastAsia="Times New Roman"/>
        </w:rPr>
        <w:t xml:space="preserve">of the moderating effect of </w:t>
      </w:r>
      <w:r w:rsidR="000A2E29">
        <w:rPr>
          <w:rFonts w:eastAsia="Times New Roman"/>
        </w:rPr>
        <w:t>industry concentration</w:t>
      </w:r>
      <w:r w:rsidR="000A2E29" w:rsidRPr="000A2E29">
        <w:rPr>
          <w:rFonts w:eastAsia="Times New Roman"/>
        </w:rPr>
        <w:t xml:space="preserve"> on the impact of JOBS Act on the SEC review attributes</w:t>
      </w:r>
      <w:r w:rsidR="008204BE" w:rsidRPr="00B34AB8">
        <w:rPr>
          <w:rFonts w:eastAsia="Times New Roman"/>
        </w:rPr>
        <w:t xml:space="preserve"> are presented in </w:t>
      </w:r>
      <w:r w:rsidR="008204BE" w:rsidRPr="003D3BF8">
        <w:rPr>
          <w:rFonts w:eastAsia="Times New Roman"/>
        </w:rPr>
        <w:t xml:space="preserve">Table </w:t>
      </w:r>
      <w:r w:rsidR="004F7898">
        <w:rPr>
          <w:rFonts w:eastAsia="Times New Roman"/>
        </w:rPr>
        <w:t>6</w:t>
      </w:r>
      <w:r w:rsidR="008204BE" w:rsidRPr="00BF4CF3">
        <w:rPr>
          <w:rFonts w:eastAsia="Times New Roman"/>
        </w:rPr>
        <w:t xml:space="preserve">. </w:t>
      </w:r>
      <w:proofErr w:type="gramStart"/>
      <w:r w:rsidR="008204BE" w:rsidRPr="00BF4CF3">
        <w:rPr>
          <w:rFonts w:eastAsia="Times New Roman"/>
        </w:rPr>
        <w:t>In particular</w:t>
      </w:r>
      <w:r w:rsidR="008204BE" w:rsidRPr="00B34AB8">
        <w:rPr>
          <w:rFonts w:eastAsia="Times New Roman"/>
        </w:rPr>
        <w:t>, a</w:t>
      </w:r>
      <w:proofErr w:type="gramEnd"/>
      <w:r w:rsidR="008204BE" w:rsidRPr="00B34AB8">
        <w:rPr>
          <w:rFonts w:eastAsia="Times New Roman"/>
        </w:rPr>
        <w:t xml:space="preserve"> significantly positive</w:t>
      </w:r>
      <w:r w:rsidR="008204BE" w:rsidRPr="003A04BF">
        <w:rPr>
          <w:rFonts w:eastAsia="Times New Roman"/>
        </w:rPr>
        <w:t xml:space="preserve"> coefficient on </w:t>
      </w:r>
      <w:r w:rsidR="008204BE" w:rsidRPr="00AA0772">
        <w:rPr>
          <w:rFonts w:eastAsia="Times New Roman"/>
          <w:i/>
          <w:iCs/>
        </w:rPr>
        <w:t>JOBS Act</w:t>
      </w:r>
      <w:r w:rsidR="00CE674C">
        <w:rPr>
          <w:rFonts w:eastAsia="Times New Roman"/>
          <w:i/>
          <w:iCs/>
        </w:rPr>
        <w:t>*</w:t>
      </w:r>
      <w:r w:rsidR="00CE674C" w:rsidRPr="007846CD">
        <w:rPr>
          <w:rFonts w:eastAsia="Times New Roman"/>
          <w:i/>
          <w:iCs/>
        </w:rPr>
        <w:t xml:space="preserve">Herfindahl </w:t>
      </w:r>
      <w:r w:rsidR="00CE674C" w:rsidRPr="00AA0772">
        <w:rPr>
          <w:rFonts w:eastAsia="Times New Roman"/>
          <w:i/>
          <w:iCs/>
        </w:rPr>
        <w:t>Index</w:t>
      </w:r>
      <w:r w:rsidR="008204BE" w:rsidRPr="00A536F2">
        <w:rPr>
          <w:rFonts w:eastAsia="Times New Roman"/>
        </w:rPr>
        <w:t xml:space="preserve"> is observed </w:t>
      </w:r>
      <w:r w:rsidR="008204BE" w:rsidRPr="006B3FA2">
        <w:rPr>
          <w:rFonts w:eastAsia="Times New Roman"/>
        </w:rPr>
        <w:t>in models 2</w:t>
      </w:r>
      <w:r w:rsidR="00101C25">
        <w:rPr>
          <w:rFonts w:eastAsia="Times New Roman"/>
        </w:rPr>
        <w:t>, 3</w:t>
      </w:r>
      <w:r w:rsidR="008204BE" w:rsidRPr="005D76FD">
        <w:rPr>
          <w:rFonts w:eastAsia="Times New Roman"/>
        </w:rPr>
        <w:t xml:space="preserve"> and 4, suggesting </w:t>
      </w:r>
      <w:r w:rsidR="008204BE" w:rsidRPr="00164BD0">
        <w:rPr>
          <w:rFonts w:eastAsia="Times New Roman"/>
        </w:rPr>
        <w:t xml:space="preserve">less pronounced reductions in </w:t>
      </w:r>
      <w:r w:rsidR="008204BE" w:rsidRPr="00164BD0">
        <w:rPr>
          <w:rFonts w:eastAsia="Times New Roman"/>
          <w:i/>
          <w:iCs/>
        </w:rPr>
        <w:t>#Letters</w:t>
      </w:r>
      <w:r w:rsidR="004225AD">
        <w:rPr>
          <w:rFonts w:eastAsia="Times New Roman"/>
          <w:i/>
          <w:iCs/>
        </w:rPr>
        <w:t>, #Comments,</w:t>
      </w:r>
      <w:r w:rsidR="008204BE" w:rsidRPr="00832F39">
        <w:rPr>
          <w:rFonts w:eastAsia="Times New Roman"/>
        </w:rPr>
        <w:t xml:space="preserve"> </w:t>
      </w:r>
      <w:r w:rsidR="008204BE" w:rsidRPr="00702F94">
        <w:rPr>
          <w:rFonts w:eastAsia="Times New Roman"/>
        </w:rPr>
        <w:t xml:space="preserve">and </w:t>
      </w:r>
      <w:r w:rsidR="008204BE" w:rsidRPr="00702F94">
        <w:rPr>
          <w:rFonts w:eastAsia="Times New Roman"/>
          <w:i/>
          <w:iCs/>
        </w:rPr>
        <w:t>#Themes</w:t>
      </w:r>
      <w:r w:rsidR="008204BE" w:rsidRPr="00702F94">
        <w:rPr>
          <w:rFonts w:eastAsia="Times New Roman"/>
        </w:rPr>
        <w:t xml:space="preserve"> for IPOs in more concentrated industries. At the maximum </w:t>
      </w:r>
      <w:r w:rsidR="008204BE" w:rsidRPr="00702F94">
        <w:rPr>
          <w:rFonts w:eastAsia="Times New Roman"/>
          <w:i/>
          <w:iCs/>
        </w:rPr>
        <w:t>Herfindahl Index</w:t>
      </w:r>
      <w:r w:rsidR="008204BE" w:rsidRPr="00702F94">
        <w:rPr>
          <w:rFonts w:eastAsia="Times New Roman"/>
        </w:rPr>
        <w:t xml:space="preserve"> value of 1, the post-JOBS reduction on the log of expected counts for #</w:t>
      </w:r>
      <w:r w:rsidR="008204BE" w:rsidRPr="00702F94">
        <w:rPr>
          <w:rFonts w:eastAsia="Times New Roman"/>
          <w:i/>
          <w:iCs/>
        </w:rPr>
        <w:t>Letters,</w:t>
      </w:r>
      <w:r w:rsidR="008204BE">
        <w:rPr>
          <w:rFonts w:eastAsia="Times New Roman"/>
          <w:i/>
          <w:iCs/>
        </w:rPr>
        <w:t xml:space="preserve"> #Comments</w:t>
      </w:r>
      <w:r w:rsidR="008204BE" w:rsidRPr="00702F94">
        <w:rPr>
          <w:rFonts w:eastAsia="Times New Roman"/>
          <w:i/>
          <w:iCs/>
        </w:rPr>
        <w:t xml:space="preserve"> </w:t>
      </w:r>
      <w:r w:rsidR="008204BE" w:rsidRPr="00702F94">
        <w:rPr>
          <w:rFonts w:eastAsia="Times New Roman"/>
        </w:rPr>
        <w:t xml:space="preserve">and </w:t>
      </w:r>
      <w:r w:rsidR="008204BE" w:rsidRPr="00702F94">
        <w:rPr>
          <w:rFonts w:eastAsia="Times New Roman"/>
          <w:i/>
          <w:iCs/>
        </w:rPr>
        <w:t>#Themes</w:t>
      </w:r>
      <w:r w:rsidR="008204BE" w:rsidRPr="00702F94">
        <w:rPr>
          <w:rFonts w:eastAsia="Times New Roman"/>
        </w:rPr>
        <w:t xml:space="preserve"> </w:t>
      </w:r>
      <w:r w:rsidR="004C1499">
        <w:rPr>
          <w:rFonts w:eastAsia="Times New Roman"/>
        </w:rPr>
        <w:t>reduces</w:t>
      </w:r>
      <w:r w:rsidR="00F25DEF">
        <w:rPr>
          <w:rFonts w:eastAsia="Times New Roman"/>
        </w:rPr>
        <w:t xml:space="preserve"> </w:t>
      </w:r>
      <w:r w:rsidR="000C250A">
        <w:rPr>
          <w:rFonts w:eastAsia="Times New Roman"/>
        </w:rPr>
        <w:t>by</w:t>
      </w:r>
      <w:r w:rsidR="0020486C">
        <w:rPr>
          <w:rFonts w:eastAsia="Times New Roman"/>
        </w:rPr>
        <w:t xml:space="preserve"> </w:t>
      </w:r>
      <w:r w:rsidR="000C250A">
        <w:rPr>
          <w:rFonts w:eastAsia="Times New Roman"/>
        </w:rPr>
        <w:t>0.54</w:t>
      </w:r>
      <w:r w:rsidR="008204BE" w:rsidRPr="00702F94">
        <w:rPr>
          <w:rFonts w:eastAsia="Times New Roman"/>
        </w:rPr>
        <w:t xml:space="preserve"> units,</w:t>
      </w:r>
      <w:r w:rsidR="008204BE">
        <w:rPr>
          <w:rFonts w:eastAsia="Times New Roman"/>
        </w:rPr>
        <w:t xml:space="preserve"> </w:t>
      </w:r>
      <w:r w:rsidR="000C250A">
        <w:rPr>
          <w:rFonts w:eastAsia="Times New Roman"/>
        </w:rPr>
        <w:t>1.35</w:t>
      </w:r>
      <w:r w:rsidR="008204BE">
        <w:rPr>
          <w:rFonts w:eastAsia="Times New Roman"/>
        </w:rPr>
        <w:t xml:space="preserve"> units </w:t>
      </w:r>
      <w:r w:rsidR="008204BE" w:rsidRPr="00702F94">
        <w:rPr>
          <w:rFonts w:eastAsia="Times New Roman"/>
        </w:rPr>
        <w:t xml:space="preserve">and </w:t>
      </w:r>
      <w:r w:rsidR="000C250A">
        <w:rPr>
          <w:rFonts w:eastAsia="Times New Roman"/>
        </w:rPr>
        <w:t>0.60</w:t>
      </w:r>
      <w:r w:rsidR="008204BE">
        <w:rPr>
          <w:rFonts w:eastAsia="Times New Roman"/>
        </w:rPr>
        <w:t xml:space="preserve"> </w:t>
      </w:r>
      <w:r w:rsidR="008204BE" w:rsidRPr="00702F94">
        <w:rPr>
          <w:rFonts w:eastAsia="Times New Roman"/>
        </w:rPr>
        <w:t>units, respectively.</w:t>
      </w:r>
      <w:r w:rsidR="008204BE" w:rsidRPr="00BF4CF3">
        <w:rPr>
          <w:rFonts w:eastAsia="Times New Roman"/>
        </w:rPr>
        <w:t xml:space="preserve"> In other words, </w:t>
      </w:r>
      <w:r w:rsidR="008204BE" w:rsidRPr="00B34AB8">
        <w:rPr>
          <w:rFonts w:eastAsia="Times New Roman"/>
        </w:rPr>
        <w:t xml:space="preserve">the marginal effects suggest that at the maximum </w:t>
      </w:r>
      <w:r w:rsidR="008204BE" w:rsidRPr="00B34AB8">
        <w:rPr>
          <w:rFonts w:eastAsia="Times New Roman"/>
          <w:i/>
          <w:iCs/>
        </w:rPr>
        <w:t>Herfindahl Index</w:t>
      </w:r>
      <w:r w:rsidR="008204BE" w:rsidRPr="003A04BF">
        <w:rPr>
          <w:rFonts w:eastAsia="Times New Roman"/>
        </w:rPr>
        <w:t xml:space="preserve"> value of 1, the post-JOBS reduction on </w:t>
      </w:r>
      <w:r w:rsidR="008204BE" w:rsidRPr="007846CD">
        <w:rPr>
          <w:rFonts w:eastAsia="Times New Roman"/>
          <w:i/>
          <w:iCs/>
        </w:rPr>
        <w:t>#Letters</w:t>
      </w:r>
      <w:r w:rsidR="008204BE" w:rsidRPr="00AA0772">
        <w:rPr>
          <w:rFonts w:eastAsia="Times New Roman"/>
          <w:i/>
          <w:iCs/>
        </w:rPr>
        <w:t xml:space="preserve">, </w:t>
      </w:r>
      <w:r w:rsidR="008204BE">
        <w:rPr>
          <w:rFonts w:eastAsia="Times New Roman"/>
          <w:i/>
          <w:iCs/>
        </w:rPr>
        <w:t xml:space="preserve">#Comments </w:t>
      </w:r>
      <w:r w:rsidR="008204BE" w:rsidRPr="00A536F2">
        <w:rPr>
          <w:rFonts w:eastAsia="Times New Roman"/>
        </w:rPr>
        <w:t xml:space="preserve">and </w:t>
      </w:r>
      <w:r w:rsidR="008204BE" w:rsidRPr="00A536F2">
        <w:rPr>
          <w:rFonts w:eastAsia="Times New Roman"/>
          <w:i/>
          <w:iCs/>
        </w:rPr>
        <w:t xml:space="preserve">#Themes </w:t>
      </w:r>
      <w:r w:rsidR="008204BE">
        <w:rPr>
          <w:rFonts w:eastAsia="Times New Roman"/>
        </w:rPr>
        <w:t xml:space="preserve">is </w:t>
      </w:r>
      <w:r w:rsidR="00BC4B55">
        <w:rPr>
          <w:rFonts w:eastAsia="Times New Roman"/>
        </w:rPr>
        <w:t>less pronounced</w:t>
      </w:r>
      <w:r w:rsidR="008204BE" w:rsidRPr="006B3FA2">
        <w:rPr>
          <w:rFonts w:eastAsia="Times New Roman"/>
        </w:rPr>
        <w:t xml:space="preserve"> on average </w:t>
      </w:r>
      <w:r w:rsidR="008204BE">
        <w:rPr>
          <w:rFonts w:eastAsia="Times New Roman"/>
        </w:rPr>
        <w:t>by</w:t>
      </w:r>
      <w:r w:rsidR="008204BE" w:rsidRPr="006B3FA2">
        <w:rPr>
          <w:rFonts w:eastAsia="Times New Roman"/>
        </w:rPr>
        <w:t xml:space="preserve"> </w:t>
      </w:r>
      <w:r w:rsidR="0001273E">
        <w:rPr>
          <w:rFonts w:eastAsia="Times New Roman"/>
        </w:rPr>
        <w:t>1.</w:t>
      </w:r>
      <w:r w:rsidR="0015643E">
        <w:rPr>
          <w:rFonts w:eastAsia="Times New Roman"/>
        </w:rPr>
        <w:t>38</w:t>
      </w:r>
      <w:r w:rsidR="0032441D">
        <w:rPr>
          <w:rFonts w:eastAsia="Times New Roman"/>
        </w:rPr>
        <w:t xml:space="preserve"> </w:t>
      </w:r>
      <w:r w:rsidR="008204BE" w:rsidRPr="00164BD0">
        <w:rPr>
          <w:rFonts w:eastAsia="Times New Roman"/>
        </w:rPr>
        <w:lastRenderedPageBreak/>
        <w:t>commen</w:t>
      </w:r>
      <w:r w:rsidR="008204BE" w:rsidRPr="00832F39">
        <w:rPr>
          <w:rFonts w:eastAsia="Times New Roman"/>
        </w:rPr>
        <w:t>t letters</w:t>
      </w:r>
      <w:r w:rsidR="008204BE" w:rsidRPr="00702F94">
        <w:rPr>
          <w:rFonts w:eastAsia="Times New Roman"/>
        </w:rPr>
        <w:t xml:space="preserve">, </w:t>
      </w:r>
      <w:r w:rsidR="00C6022F">
        <w:rPr>
          <w:rFonts w:eastAsia="Times New Roman"/>
        </w:rPr>
        <w:t>34.29</w:t>
      </w:r>
      <w:r w:rsidR="008204BE">
        <w:rPr>
          <w:rFonts w:eastAsia="Times New Roman"/>
        </w:rPr>
        <w:t xml:space="preserve"> comments </w:t>
      </w:r>
      <w:r w:rsidR="008204BE" w:rsidRPr="00702F94">
        <w:rPr>
          <w:rFonts w:eastAsia="Times New Roman"/>
        </w:rPr>
        <w:t xml:space="preserve">and </w:t>
      </w:r>
      <w:r w:rsidR="00C6022F">
        <w:rPr>
          <w:rFonts w:eastAsia="Times New Roman"/>
        </w:rPr>
        <w:t>1.95</w:t>
      </w:r>
      <w:r w:rsidR="008204BE">
        <w:rPr>
          <w:rFonts w:eastAsia="Times New Roman"/>
        </w:rPr>
        <w:t xml:space="preserve"> </w:t>
      </w:r>
      <w:r w:rsidR="008204BE" w:rsidRPr="00702F94">
        <w:rPr>
          <w:rFonts w:eastAsia="Times New Roman"/>
        </w:rPr>
        <w:t>themes, respectively.</w:t>
      </w:r>
      <w:r w:rsidR="007E3F70">
        <w:rPr>
          <w:rStyle w:val="FootnoteReference"/>
          <w:rFonts w:eastAsia="Times New Roman"/>
        </w:rPr>
        <w:footnoteReference w:id="14"/>
      </w:r>
      <w:r w:rsidR="00583EDB">
        <w:rPr>
          <w:rFonts w:eastAsia="Times New Roman"/>
        </w:rPr>
        <w:t xml:space="preserve"> </w:t>
      </w:r>
      <w:r w:rsidR="008204BE" w:rsidRPr="00702F94">
        <w:rPr>
          <w:rFonts w:eastAsia="Times New Roman"/>
        </w:rPr>
        <w:t>On the other hand, change</w:t>
      </w:r>
      <w:r w:rsidR="008A2270">
        <w:rPr>
          <w:rFonts w:eastAsia="Times New Roman"/>
        </w:rPr>
        <w:t>s</w:t>
      </w:r>
      <w:r w:rsidR="008204BE" w:rsidRPr="00702F94">
        <w:rPr>
          <w:rFonts w:eastAsia="Times New Roman"/>
        </w:rPr>
        <w:t xml:space="preserve"> in </w:t>
      </w:r>
      <w:r w:rsidR="008204BE" w:rsidRPr="00702F94">
        <w:rPr>
          <w:rFonts w:eastAsia="Times New Roman"/>
          <w:i/>
          <w:iCs/>
        </w:rPr>
        <w:t>Duration</w:t>
      </w:r>
      <w:r w:rsidR="008204BE" w:rsidRPr="00702F94">
        <w:rPr>
          <w:rFonts w:eastAsia="Times New Roman"/>
        </w:rPr>
        <w:t xml:space="preserve"> do not appear to vary with the level of industry concentration (</w:t>
      </w:r>
      <w:r w:rsidR="008A2270">
        <w:rPr>
          <w:rFonts w:eastAsia="Times New Roman"/>
        </w:rPr>
        <w:t xml:space="preserve">coefficient on </w:t>
      </w:r>
      <w:r w:rsidR="008204BE" w:rsidRPr="00702F94">
        <w:rPr>
          <w:rFonts w:eastAsia="Times New Roman"/>
          <w:i/>
          <w:iCs/>
        </w:rPr>
        <w:t>JOBS Act</w:t>
      </w:r>
      <w:r w:rsidR="008A2270">
        <w:rPr>
          <w:rFonts w:eastAsia="Times New Roman"/>
          <w:i/>
          <w:iCs/>
        </w:rPr>
        <w:t>*</w:t>
      </w:r>
      <w:r w:rsidR="008A2270" w:rsidRPr="00702F94">
        <w:rPr>
          <w:rFonts w:eastAsia="Times New Roman"/>
          <w:i/>
          <w:iCs/>
        </w:rPr>
        <w:t>Herfindahl Index</w:t>
      </w:r>
      <w:r w:rsidR="008204BE" w:rsidRPr="00702F94">
        <w:rPr>
          <w:rFonts w:eastAsia="Times New Roman"/>
          <w:i/>
          <w:iCs/>
        </w:rPr>
        <w:t xml:space="preserve"> </w:t>
      </w:r>
      <w:r w:rsidR="00FC12AC">
        <w:rPr>
          <w:rFonts w:eastAsia="Times New Roman"/>
        </w:rPr>
        <w:t>is</w:t>
      </w:r>
      <w:r w:rsidR="008204BE" w:rsidRPr="00702F94">
        <w:rPr>
          <w:rFonts w:eastAsia="Times New Roman"/>
        </w:rPr>
        <w:t xml:space="preserve"> insignificant in model 1). </w:t>
      </w:r>
    </w:p>
    <w:p w14:paraId="30B67070" w14:textId="2A6FF11A" w:rsidR="008204BE" w:rsidRDefault="008204BE" w:rsidP="005B0E9E">
      <w:pPr>
        <w:tabs>
          <w:tab w:val="left" w:pos="250"/>
        </w:tabs>
        <w:spacing w:before="240" w:after="240" w:line="480" w:lineRule="auto"/>
        <w:jc w:val="both"/>
        <w:rPr>
          <w:rFonts w:eastAsia="Times New Roman"/>
        </w:rPr>
      </w:pPr>
      <w:r w:rsidRPr="00702F94">
        <w:rPr>
          <w:rFonts w:eastAsia="Times New Roman"/>
        </w:rPr>
        <w:t>Overall, the results imply that decreases in the number of SEC comment letters</w:t>
      </w:r>
      <w:r>
        <w:rPr>
          <w:rFonts w:eastAsia="Times New Roman"/>
        </w:rPr>
        <w:t>, comments</w:t>
      </w:r>
      <w:r w:rsidRPr="00702F94">
        <w:rPr>
          <w:rFonts w:eastAsia="Times New Roman"/>
        </w:rPr>
        <w:t xml:space="preserve"> and themes under the JOBS Act are less pronounced in markets with higher concentration, where information uncertainty </w:t>
      </w:r>
      <w:r w:rsidR="00D55022">
        <w:rPr>
          <w:rFonts w:eastAsia="Times New Roman"/>
        </w:rPr>
        <w:t>is expected to be</w:t>
      </w:r>
      <w:r w:rsidRPr="00702F94">
        <w:rPr>
          <w:rFonts w:eastAsia="Times New Roman"/>
        </w:rPr>
        <w:t xml:space="preserve"> higher</w:t>
      </w:r>
      <w:r w:rsidR="00782760">
        <w:rPr>
          <w:rFonts w:eastAsia="Times New Roman"/>
        </w:rPr>
        <w:t>,</w:t>
      </w:r>
      <w:r w:rsidRPr="00702F94">
        <w:rPr>
          <w:rFonts w:eastAsia="Times New Roman"/>
        </w:rPr>
        <w:t xml:space="preserve"> and information quality lower</w:t>
      </w:r>
      <w:r w:rsidR="00782760">
        <w:rPr>
          <w:rFonts w:eastAsia="Times New Roman"/>
        </w:rPr>
        <w:t>,</w:t>
      </w:r>
      <w:r w:rsidRPr="00702F94">
        <w:rPr>
          <w:rFonts w:eastAsia="Times New Roman"/>
        </w:rPr>
        <w:t xml:space="preserve"> due to high proprietary costs of disclosure (Ali et al., 2014; Robinson et al., 2011). In these cases, more intensive SEC reviews </w:t>
      </w:r>
      <w:r w:rsidR="0048631D">
        <w:rPr>
          <w:rFonts w:eastAsia="Times New Roman"/>
        </w:rPr>
        <w:t>are likely to be</w:t>
      </w:r>
      <w:r w:rsidR="0048631D" w:rsidRPr="00702F94">
        <w:rPr>
          <w:rFonts w:eastAsia="Times New Roman"/>
        </w:rPr>
        <w:t xml:space="preserve"> </w:t>
      </w:r>
      <w:r w:rsidRPr="00702F94">
        <w:rPr>
          <w:rFonts w:eastAsia="Times New Roman"/>
        </w:rPr>
        <w:t xml:space="preserve">more beneficial in terms of investor protection (Chen &amp; Johnston, 2010; </w:t>
      </w:r>
      <w:proofErr w:type="spellStart"/>
      <w:r w:rsidRPr="00702F94">
        <w:rPr>
          <w:rFonts w:eastAsia="Times New Roman"/>
        </w:rPr>
        <w:t>Colaco</w:t>
      </w:r>
      <w:proofErr w:type="spellEnd"/>
      <w:r w:rsidRPr="00702F94">
        <w:rPr>
          <w:rFonts w:eastAsia="Times New Roman"/>
        </w:rPr>
        <w:t xml:space="preserve"> et al., 2018; </w:t>
      </w:r>
      <w:proofErr w:type="spellStart"/>
      <w:r w:rsidRPr="00702F94">
        <w:rPr>
          <w:rFonts w:eastAsia="Times New Roman"/>
        </w:rPr>
        <w:t>Ertimur</w:t>
      </w:r>
      <w:proofErr w:type="spellEnd"/>
      <w:r w:rsidRPr="00702F94">
        <w:rPr>
          <w:rFonts w:eastAsia="Times New Roman"/>
        </w:rPr>
        <w:t xml:space="preserve"> &amp; </w:t>
      </w:r>
      <w:proofErr w:type="spellStart"/>
      <w:r w:rsidRPr="00702F94">
        <w:rPr>
          <w:rFonts w:eastAsia="Times New Roman"/>
        </w:rPr>
        <w:t>Nondorf</w:t>
      </w:r>
      <w:proofErr w:type="spellEnd"/>
      <w:r w:rsidRPr="00702F94">
        <w:rPr>
          <w:rFonts w:eastAsia="Times New Roman"/>
        </w:rPr>
        <w:t xml:space="preserve">, 2006). </w:t>
      </w:r>
    </w:p>
    <w:p w14:paraId="62043B5F" w14:textId="5485FB33" w:rsidR="008204BE" w:rsidRPr="00E60656" w:rsidRDefault="008204BE" w:rsidP="005B0E9E">
      <w:pPr>
        <w:tabs>
          <w:tab w:val="left" w:pos="250"/>
        </w:tabs>
        <w:spacing w:before="240" w:after="240" w:line="480" w:lineRule="auto"/>
        <w:jc w:val="center"/>
        <w:rPr>
          <w:rFonts w:eastAsia="Times New Roman"/>
          <w:b/>
          <w:bCs/>
        </w:rPr>
      </w:pPr>
      <w:r>
        <w:rPr>
          <w:rFonts w:eastAsia="Times New Roman"/>
          <w:b/>
          <w:bCs/>
        </w:rPr>
        <w:t xml:space="preserve">[Table </w:t>
      </w:r>
      <w:r w:rsidR="000A2E29">
        <w:rPr>
          <w:rFonts w:eastAsia="Times New Roman"/>
          <w:b/>
          <w:bCs/>
        </w:rPr>
        <w:t>6</w:t>
      </w:r>
      <w:r>
        <w:rPr>
          <w:rFonts w:eastAsia="Times New Roman"/>
          <w:b/>
          <w:bCs/>
        </w:rPr>
        <w:t xml:space="preserve"> about here]</w:t>
      </w:r>
    </w:p>
    <w:p w14:paraId="57669EAD" w14:textId="6D1F7102" w:rsidR="008204BE" w:rsidRPr="00B34AB8" w:rsidRDefault="003D1FBF" w:rsidP="005B0E9E">
      <w:pPr>
        <w:pStyle w:val="ListParagraph"/>
        <w:numPr>
          <w:ilvl w:val="1"/>
          <w:numId w:val="29"/>
        </w:numPr>
        <w:spacing w:before="240" w:after="240" w:line="480" w:lineRule="auto"/>
        <w:ind w:left="360"/>
        <w:jc w:val="both"/>
        <w:outlineLvl w:val="0"/>
        <w:rPr>
          <w:rFonts w:eastAsia="Times New Roman"/>
          <w:b/>
          <w:bCs/>
        </w:rPr>
      </w:pPr>
      <w:bookmarkStart w:id="24" w:name="_Toc69749288"/>
      <w:r>
        <w:rPr>
          <w:rFonts w:eastAsia="Times New Roman"/>
          <w:b/>
          <w:bCs/>
        </w:rPr>
        <w:t xml:space="preserve"> </w:t>
      </w:r>
      <w:bookmarkEnd w:id="24"/>
      <w:r w:rsidR="00CA295B">
        <w:rPr>
          <w:rFonts w:eastAsia="Times New Roman"/>
          <w:b/>
          <w:bCs/>
        </w:rPr>
        <w:t xml:space="preserve">Additional test - </w:t>
      </w:r>
      <w:r w:rsidR="00C81BC6">
        <w:rPr>
          <w:rFonts w:eastAsia="Times New Roman"/>
          <w:b/>
          <w:bCs/>
        </w:rPr>
        <w:t>Change in focus of SEC reviews</w:t>
      </w:r>
    </w:p>
    <w:p w14:paraId="7EE48194" w14:textId="5D220F52" w:rsidR="008204BE" w:rsidRDefault="008204BE" w:rsidP="005B0E9E">
      <w:pPr>
        <w:spacing w:before="240" w:after="240" w:line="480" w:lineRule="auto"/>
        <w:jc w:val="both"/>
        <w:rPr>
          <w:rFonts w:eastAsia="Times New Roman"/>
        </w:rPr>
      </w:pPr>
      <w:r w:rsidRPr="003A04BF">
        <w:rPr>
          <w:rFonts w:eastAsia="Times New Roman"/>
        </w:rPr>
        <w:t>Further</w:t>
      </w:r>
      <w:r w:rsidRPr="007846CD">
        <w:rPr>
          <w:rFonts w:eastAsia="Times New Roman"/>
        </w:rPr>
        <w:t xml:space="preserve"> </w:t>
      </w:r>
      <w:r w:rsidRPr="00AA0772">
        <w:rPr>
          <w:rFonts w:eastAsia="Times New Roman"/>
        </w:rPr>
        <w:t>multivariate analys</w:t>
      </w:r>
      <w:r w:rsidRPr="00A536F2">
        <w:rPr>
          <w:rFonts w:eastAsia="Times New Roman"/>
        </w:rPr>
        <w:t xml:space="preserve">es </w:t>
      </w:r>
      <w:r w:rsidRPr="006B3FA2">
        <w:rPr>
          <w:rFonts w:eastAsia="Times New Roman"/>
        </w:rPr>
        <w:t>using</w:t>
      </w:r>
      <w:r w:rsidRPr="005D76FD">
        <w:rPr>
          <w:rFonts w:eastAsia="Times New Roman"/>
        </w:rPr>
        <w:t xml:space="preserve"> negative binomial regression </w:t>
      </w:r>
      <w:r w:rsidRPr="00164BD0">
        <w:rPr>
          <w:rFonts w:eastAsia="Times New Roman"/>
        </w:rPr>
        <w:t xml:space="preserve">are </w:t>
      </w:r>
      <w:r w:rsidRPr="00832F39">
        <w:rPr>
          <w:rFonts w:eastAsia="Times New Roman"/>
        </w:rPr>
        <w:t>conducted in order to examine the effects of the JOBS Act on the proportion of comments relating to each theme (%</w:t>
      </w:r>
      <w:r w:rsidRPr="00702F94">
        <w:rPr>
          <w:rFonts w:eastAsia="Times New Roman"/>
          <w:i/>
          <w:iCs/>
        </w:rPr>
        <w:t>Core</w:t>
      </w:r>
      <w:r w:rsidRPr="00702F94">
        <w:rPr>
          <w:rFonts w:eastAsia="Times New Roman"/>
        </w:rPr>
        <w:t xml:space="preserve"> </w:t>
      </w:r>
      <w:r w:rsidRPr="00702F94">
        <w:rPr>
          <w:rFonts w:eastAsia="Times New Roman"/>
          <w:i/>
          <w:iCs/>
        </w:rPr>
        <w:t xml:space="preserve">accounting issues, </w:t>
      </w:r>
      <w:r w:rsidRPr="00702F94">
        <w:rPr>
          <w:rFonts w:eastAsia="Times New Roman"/>
        </w:rPr>
        <w:t>%</w:t>
      </w:r>
      <w:proofErr w:type="gramStart"/>
      <w:r w:rsidRPr="00702F94">
        <w:rPr>
          <w:rFonts w:eastAsia="Times New Roman"/>
          <w:i/>
          <w:iCs/>
        </w:rPr>
        <w:t>Non-core</w:t>
      </w:r>
      <w:proofErr w:type="gramEnd"/>
      <w:r w:rsidRPr="00702F94">
        <w:rPr>
          <w:rFonts w:eastAsia="Times New Roman"/>
          <w:i/>
          <w:iCs/>
        </w:rPr>
        <w:t xml:space="preserve"> accounting issues, %Offering </w:t>
      </w:r>
      <w:r w:rsidR="008A1C60">
        <w:rPr>
          <w:rFonts w:eastAsia="Times New Roman"/>
          <w:i/>
          <w:iCs/>
        </w:rPr>
        <w:t>issue</w:t>
      </w:r>
      <w:r w:rsidRPr="00702F94">
        <w:rPr>
          <w:rFonts w:eastAsia="Times New Roman"/>
          <w:i/>
          <w:iCs/>
        </w:rPr>
        <w:t>s, %Business issues, % Corporate governance issues, %Disclosure issues)</w:t>
      </w:r>
      <w:r w:rsidRPr="00702F94">
        <w:rPr>
          <w:rFonts w:eastAsia="Times New Roman"/>
        </w:rPr>
        <w:t>. The data used</w:t>
      </w:r>
      <w:r w:rsidRPr="00702F94">
        <w:rPr>
          <w:rFonts w:eastAsia="Times New Roman"/>
          <w:i/>
          <w:iCs/>
        </w:rPr>
        <w:t xml:space="preserve"> </w:t>
      </w:r>
      <w:r w:rsidRPr="00702F94">
        <w:rPr>
          <w:rFonts w:eastAsia="Times New Roman"/>
        </w:rPr>
        <w:t xml:space="preserve">in this analysis are derived from the coding of SEC initial comment letters issued to EGC IPOs using Naïve Bayes machine learning. </w:t>
      </w:r>
      <w:r w:rsidR="00FE565E">
        <w:rPr>
          <w:rFonts w:eastAsia="Times New Roman"/>
        </w:rPr>
        <w:t>D</w:t>
      </w:r>
      <w:r w:rsidRPr="00702F94">
        <w:rPr>
          <w:rFonts w:eastAsia="Times New Roman"/>
        </w:rPr>
        <w:t>efinition</w:t>
      </w:r>
      <w:r w:rsidR="00FE565E">
        <w:rPr>
          <w:rFonts w:eastAsia="Times New Roman"/>
        </w:rPr>
        <w:t>s</w:t>
      </w:r>
      <w:r w:rsidRPr="00702F94">
        <w:rPr>
          <w:rFonts w:eastAsia="Times New Roman"/>
        </w:rPr>
        <w:t xml:space="preserve"> </w:t>
      </w:r>
      <w:r w:rsidR="00FE565E">
        <w:rPr>
          <w:rFonts w:eastAsia="Times New Roman"/>
        </w:rPr>
        <w:t>for</w:t>
      </w:r>
      <w:r w:rsidRPr="00702F94">
        <w:rPr>
          <w:rFonts w:eastAsia="Times New Roman"/>
        </w:rPr>
        <w:t xml:space="preserve"> these variables are provided in Appendix </w:t>
      </w:r>
      <w:r>
        <w:rPr>
          <w:rFonts w:eastAsia="Times New Roman"/>
        </w:rPr>
        <w:t>A</w:t>
      </w:r>
      <w:r w:rsidRPr="00702F94">
        <w:rPr>
          <w:rFonts w:eastAsia="Times New Roman"/>
        </w:rPr>
        <w:t xml:space="preserve">. </w:t>
      </w:r>
      <w:r w:rsidRPr="003D3BF8">
        <w:rPr>
          <w:rFonts w:eastAsia="Times New Roman"/>
        </w:rPr>
        <w:t xml:space="preserve">Table </w:t>
      </w:r>
      <w:r w:rsidR="004F7898">
        <w:rPr>
          <w:rFonts w:eastAsia="Times New Roman"/>
        </w:rPr>
        <w:t>7</w:t>
      </w:r>
      <w:r w:rsidRPr="00BF4CF3">
        <w:rPr>
          <w:rFonts w:eastAsia="Times New Roman"/>
          <w:sz w:val="32"/>
        </w:rPr>
        <w:t xml:space="preserve"> </w:t>
      </w:r>
      <w:r w:rsidRPr="00B34AB8">
        <w:rPr>
          <w:rFonts w:eastAsia="Times New Roman"/>
        </w:rPr>
        <w:t xml:space="preserve">shows the effects of the JOBS Act on the proportion of comments in each theme. </w:t>
      </w:r>
      <w:r w:rsidR="007B6717">
        <w:rPr>
          <w:rFonts w:eastAsia="Times New Roman"/>
        </w:rPr>
        <w:t>R</w:t>
      </w:r>
      <w:r w:rsidRPr="00B34AB8">
        <w:rPr>
          <w:rFonts w:eastAsia="Times New Roman"/>
        </w:rPr>
        <w:t xml:space="preserve">esults reveal that the estimated coefficient on </w:t>
      </w:r>
      <w:r w:rsidRPr="003A04BF">
        <w:rPr>
          <w:rFonts w:eastAsia="Times New Roman"/>
          <w:i/>
          <w:iCs/>
        </w:rPr>
        <w:t>JOBS Act</w:t>
      </w:r>
      <w:r w:rsidRPr="007846CD">
        <w:rPr>
          <w:rFonts w:eastAsia="Times New Roman"/>
        </w:rPr>
        <w:t xml:space="preserve"> is significantly </w:t>
      </w:r>
      <w:r w:rsidRPr="00AA0772">
        <w:rPr>
          <w:rFonts w:eastAsia="Times New Roman"/>
        </w:rPr>
        <w:t>positive</w:t>
      </w:r>
      <w:r w:rsidRPr="00A536F2">
        <w:rPr>
          <w:rFonts w:eastAsia="Times New Roman"/>
        </w:rPr>
        <w:t xml:space="preserve"> for </w:t>
      </w:r>
      <w:r w:rsidRPr="00164BD0">
        <w:rPr>
          <w:rFonts w:eastAsia="Times New Roman"/>
          <w:i/>
          <w:iCs/>
        </w:rPr>
        <w:t xml:space="preserve">%Offering issues, </w:t>
      </w:r>
      <w:r w:rsidRPr="00832F39">
        <w:rPr>
          <w:rFonts w:eastAsia="Times New Roman"/>
        </w:rPr>
        <w:t xml:space="preserve">but significantly </w:t>
      </w:r>
      <w:r w:rsidRPr="00702F94">
        <w:rPr>
          <w:rFonts w:eastAsia="Times New Roman"/>
        </w:rPr>
        <w:t>negative for</w:t>
      </w:r>
      <w:r>
        <w:rPr>
          <w:rFonts w:eastAsia="Times New Roman"/>
          <w:i/>
          <w:iCs/>
        </w:rPr>
        <w:t xml:space="preserve"> %Core accounting issues,</w:t>
      </w:r>
      <w:r w:rsidRPr="00702F94">
        <w:rPr>
          <w:rFonts w:eastAsia="Times New Roman"/>
        </w:rPr>
        <w:t xml:space="preserve"> %</w:t>
      </w:r>
      <w:r w:rsidRPr="00702F94">
        <w:rPr>
          <w:rFonts w:eastAsia="Times New Roman"/>
          <w:i/>
          <w:iCs/>
        </w:rPr>
        <w:t xml:space="preserve">Business issues </w:t>
      </w:r>
      <w:r w:rsidRPr="00702F94">
        <w:rPr>
          <w:rFonts w:eastAsia="Times New Roman"/>
        </w:rPr>
        <w:t xml:space="preserve">and </w:t>
      </w:r>
      <w:r w:rsidRPr="00702F94">
        <w:rPr>
          <w:rFonts w:eastAsia="Times New Roman"/>
          <w:i/>
          <w:iCs/>
        </w:rPr>
        <w:t>%Disclosure issues.</w:t>
      </w:r>
      <w:r w:rsidRPr="00702F94">
        <w:rPr>
          <w:rFonts w:eastAsia="Times New Roman"/>
        </w:rPr>
        <w:t xml:space="preserve"> </w:t>
      </w:r>
      <w:r w:rsidR="000E0073">
        <w:rPr>
          <w:rFonts w:eastAsia="Times New Roman"/>
        </w:rPr>
        <w:t>This</w:t>
      </w:r>
      <w:r w:rsidRPr="00702F94">
        <w:rPr>
          <w:rFonts w:eastAsia="Times New Roman"/>
        </w:rPr>
        <w:t xml:space="preserve"> indicate</w:t>
      </w:r>
      <w:r w:rsidR="00AD752C">
        <w:rPr>
          <w:rFonts w:eastAsia="Times New Roman"/>
        </w:rPr>
        <w:t>s</w:t>
      </w:r>
      <w:r w:rsidRPr="00702F94">
        <w:rPr>
          <w:rFonts w:eastAsia="Times New Roman"/>
        </w:rPr>
        <w:t xml:space="preserve"> that, after </w:t>
      </w:r>
      <w:r w:rsidRPr="00702F94">
        <w:rPr>
          <w:rFonts w:eastAsia="Times New Roman"/>
        </w:rPr>
        <w:lastRenderedPageBreak/>
        <w:t>the passing of the JOBS Act, the SEC focus more on offering issues, but less on</w:t>
      </w:r>
      <w:r>
        <w:rPr>
          <w:rFonts w:eastAsia="Times New Roman"/>
        </w:rPr>
        <w:t xml:space="preserve"> core accounting issues,</w:t>
      </w:r>
      <w:r w:rsidRPr="00702F94">
        <w:rPr>
          <w:rFonts w:eastAsia="Times New Roman"/>
        </w:rPr>
        <w:t xml:space="preserve"> business issues and disclosure issues. </w:t>
      </w:r>
      <w:proofErr w:type="gramStart"/>
      <w:r w:rsidR="00AD752C">
        <w:rPr>
          <w:rFonts w:eastAsia="Times New Roman"/>
        </w:rPr>
        <w:t>In particular</w:t>
      </w:r>
      <w:r w:rsidRPr="00702F94">
        <w:rPr>
          <w:rFonts w:eastAsia="Times New Roman"/>
        </w:rPr>
        <w:t>, in</w:t>
      </w:r>
      <w:proofErr w:type="gramEnd"/>
      <w:r w:rsidRPr="00702F94">
        <w:rPr>
          <w:rFonts w:eastAsia="Times New Roman"/>
        </w:rPr>
        <w:t xml:space="preserve"> </w:t>
      </w:r>
      <w:r w:rsidR="000702EB">
        <w:rPr>
          <w:rFonts w:eastAsia="Times New Roman"/>
        </w:rPr>
        <w:t xml:space="preserve">the </w:t>
      </w:r>
      <w:r w:rsidRPr="00702F94">
        <w:rPr>
          <w:rFonts w:eastAsia="Times New Roman"/>
        </w:rPr>
        <w:t>post-JOBS Act period, the percentage of offering-related comments marginally increase</w:t>
      </w:r>
      <w:r>
        <w:rPr>
          <w:rFonts w:eastAsia="Times New Roman"/>
        </w:rPr>
        <w:t>s</w:t>
      </w:r>
      <w:r w:rsidRPr="00702F94">
        <w:rPr>
          <w:rFonts w:eastAsia="Times New Roman"/>
        </w:rPr>
        <w:t xml:space="preserve"> by on average </w:t>
      </w:r>
      <w:r>
        <w:rPr>
          <w:rFonts w:eastAsia="Times New Roman"/>
        </w:rPr>
        <w:t>5.62%</w:t>
      </w:r>
      <w:r w:rsidRPr="00702F94">
        <w:rPr>
          <w:rFonts w:eastAsia="Times New Roman"/>
        </w:rPr>
        <w:t xml:space="preserve">, but the proportion of </w:t>
      </w:r>
      <w:r>
        <w:rPr>
          <w:rFonts w:eastAsia="Times New Roman"/>
        </w:rPr>
        <w:t xml:space="preserve">core accounting, </w:t>
      </w:r>
      <w:r w:rsidRPr="00702F94">
        <w:rPr>
          <w:rFonts w:eastAsia="Times New Roman"/>
        </w:rPr>
        <w:t>business and disclosure-related comments decrease</w:t>
      </w:r>
      <w:r w:rsidR="00AD752C">
        <w:rPr>
          <w:rFonts w:eastAsia="Times New Roman"/>
        </w:rPr>
        <w:t>d</w:t>
      </w:r>
      <w:r w:rsidRPr="00702F94">
        <w:rPr>
          <w:rFonts w:eastAsia="Times New Roman"/>
        </w:rPr>
        <w:t xml:space="preserve"> by on average </w:t>
      </w:r>
      <w:r>
        <w:rPr>
          <w:rFonts w:eastAsia="Times New Roman"/>
        </w:rPr>
        <w:t>5.65%, 6.48%</w:t>
      </w:r>
      <w:r w:rsidR="00D167D9">
        <w:rPr>
          <w:rFonts w:eastAsia="Times New Roman"/>
        </w:rPr>
        <w:t xml:space="preserve"> </w:t>
      </w:r>
      <w:r w:rsidRPr="00702F94">
        <w:rPr>
          <w:rFonts w:eastAsia="Times New Roman"/>
        </w:rPr>
        <w:t>and</w:t>
      </w:r>
      <w:r w:rsidR="00FA6742">
        <w:rPr>
          <w:rFonts w:eastAsia="Times New Roman"/>
        </w:rPr>
        <w:t xml:space="preserve"> </w:t>
      </w:r>
      <w:r>
        <w:rPr>
          <w:rFonts w:eastAsia="Times New Roman"/>
        </w:rPr>
        <w:t>4.67%</w:t>
      </w:r>
      <w:r w:rsidRPr="00702F94">
        <w:rPr>
          <w:rFonts w:eastAsia="Times New Roman"/>
        </w:rPr>
        <w:t xml:space="preserve">, respectively, as compared with pre-JOBS Act period (as per the </w:t>
      </w:r>
      <w:r w:rsidRPr="00702F94">
        <w:rPr>
          <w:rFonts w:eastAsia="Cambria Math"/>
        </w:rPr>
        <w:t>β</w:t>
      </w:r>
      <w:r w:rsidRPr="00702F94">
        <w:rPr>
          <w:rFonts w:eastAsia="Cambria Math"/>
          <w:vertAlign w:val="subscript"/>
        </w:rPr>
        <w:t>1</w:t>
      </w:r>
      <w:r w:rsidRPr="00702F94">
        <w:t xml:space="preserve"> </w:t>
      </w:r>
      <w:r w:rsidRPr="00702F94">
        <w:rPr>
          <w:rFonts w:eastAsia="Times New Roman"/>
        </w:rPr>
        <w:t>coefficients in models</w:t>
      </w:r>
      <w:r>
        <w:rPr>
          <w:rFonts w:eastAsia="Times New Roman"/>
        </w:rPr>
        <w:t xml:space="preserve"> 3, 1, 4, 6</w:t>
      </w:r>
      <w:r w:rsidRPr="00702F94">
        <w:rPr>
          <w:rFonts w:eastAsia="Times New Roman"/>
        </w:rPr>
        <w:t>, respectively).</w:t>
      </w:r>
      <w:r w:rsidRPr="00BF4CF3">
        <w:rPr>
          <w:rFonts w:eastAsia="Times New Roman"/>
        </w:rPr>
        <w:t xml:space="preserve"> </w:t>
      </w:r>
      <w:r w:rsidRPr="00B34AB8">
        <w:rPr>
          <w:rFonts w:eastAsia="Times New Roman"/>
        </w:rPr>
        <w:t>No significant differences</w:t>
      </w:r>
      <w:r w:rsidRPr="003A04BF">
        <w:rPr>
          <w:rFonts w:eastAsia="Times New Roman"/>
        </w:rPr>
        <w:t xml:space="preserve"> in the proportion of </w:t>
      </w:r>
      <w:r>
        <w:rPr>
          <w:rFonts w:eastAsia="Times New Roman"/>
        </w:rPr>
        <w:t>non-</w:t>
      </w:r>
      <w:r w:rsidRPr="003A04BF">
        <w:rPr>
          <w:rFonts w:eastAsia="Times New Roman"/>
        </w:rPr>
        <w:t xml:space="preserve">core accounting and corporate governance-related </w:t>
      </w:r>
      <w:r>
        <w:rPr>
          <w:rFonts w:eastAsia="Times New Roman"/>
        </w:rPr>
        <w:t>c</w:t>
      </w:r>
      <w:r w:rsidRPr="003A04BF">
        <w:rPr>
          <w:rFonts w:eastAsia="Times New Roman"/>
        </w:rPr>
        <w:t>omments</w:t>
      </w:r>
      <w:r w:rsidRPr="007846CD">
        <w:rPr>
          <w:rFonts w:eastAsia="Times New Roman"/>
        </w:rPr>
        <w:t xml:space="preserve"> are observed</w:t>
      </w:r>
      <w:r>
        <w:rPr>
          <w:rFonts w:eastAsia="Times New Roman"/>
        </w:rPr>
        <w:t>.</w:t>
      </w:r>
      <w:bookmarkStart w:id="25" w:name="_Toc69749289"/>
    </w:p>
    <w:p w14:paraId="1F4C0AE5" w14:textId="08AAC1DC" w:rsidR="008204BE" w:rsidRDefault="008204BE" w:rsidP="005B0E9E">
      <w:pPr>
        <w:spacing w:before="240" w:after="240" w:line="480" w:lineRule="auto"/>
        <w:jc w:val="center"/>
        <w:rPr>
          <w:rFonts w:eastAsia="Times New Roman"/>
          <w:b/>
          <w:bCs/>
        </w:rPr>
      </w:pPr>
      <w:r>
        <w:rPr>
          <w:rFonts w:eastAsia="Times New Roman"/>
          <w:b/>
          <w:bCs/>
        </w:rPr>
        <w:t xml:space="preserve">[Table </w:t>
      </w:r>
      <w:r w:rsidR="000A2E29">
        <w:rPr>
          <w:rFonts w:eastAsia="Times New Roman"/>
          <w:b/>
          <w:bCs/>
        </w:rPr>
        <w:t>7</w:t>
      </w:r>
      <w:r>
        <w:rPr>
          <w:rFonts w:eastAsia="Times New Roman"/>
          <w:b/>
          <w:bCs/>
        </w:rPr>
        <w:t xml:space="preserve"> about here]</w:t>
      </w:r>
    </w:p>
    <w:p w14:paraId="25699772" w14:textId="77777777" w:rsidR="008204BE" w:rsidRPr="00FF35A2" w:rsidRDefault="008204BE" w:rsidP="00E30766">
      <w:pPr>
        <w:pStyle w:val="ListParagraph"/>
        <w:numPr>
          <w:ilvl w:val="0"/>
          <w:numId w:val="29"/>
        </w:numPr>
        <w:spacing w:before="240" w:after="240" w:line="480" w:lineRule="auto"/>
        <w:jc w:val="center"/>
        <w:outlineLvl w:val="0"/>
        <w:rPr>
          <w:b/>
        </w:rPr>
      </w:pPr>
      <w:r w:rsidRPr="00FF35A2">
        <w:rPr>
          <w:rFonts w:eastAsia="Times New Roman"/>
          <w:b/>
          <w:bCs/>
        </w:rPr>
        <w:t>Conclusion</w:t>
      </w:r>
      <w:bookmarkEnd w:id="25"/>
    </w:p>
    <w:p w14:paraId="603BA86E" w14:textId="1AA873E8" w:rsidR="008204BE" w:rsidRPr="00702F94" w:rsidRDefault="008204BE" w:rsidP="005B0E9E">
      <w:pPr>
        <w:spacing w:before="240" w:after="240" w:line="480" w:lineRule="auto"/>
        <w:jc w:val="both"/>
        <w:rPr>
          <w:sz w:val="20"/>
          <w:szCs w:val="20"/>
        </w:rPr>
      </w:pPr>
      <w:r w:rsidRPr="00702F94">
        <w:rPr>
          <w:rFonts w:eastAsia="Times New Roman"/>
        </w:rPr>
        <w:t xml:space="preserve">This study </w:t>
      </w:r>
      <w:r w:rsidR="00AD752C">
        <w:rPr>
          <w:rFonts w:eastAsia="Times New Roman"/>
        </w:rPr>
        <w:t xml:space="preserve">empirically assesses </w:t>
      </w:r>
      <w:r w:rsidR="005F6252">
        <w:rPr>
          <w:rFonts w:eastAsia="Times New Roman"/>
        </w:rPr>
        <w:t>the extent of</w:t>
      </w:r>
      <w:r w:rsidRPr="00702F94">
        <w:rPr>
          <w:rFonts w:eastAsia="Times New Roman"/>
        </w:rPr>
        <w:t xml:space="preserve"> de-burdening </w:t>
      </w:r>
      <w:r w:rsidR="005F6252">
        <w:rPr>
          <w:rFonts w:eastAsia="Times New Roman"/>
        </w:rPr>
        <w:t xml:space="preserve">in </w:t>
      </w:r>
      <w:r w:rsidRPr="00702F94">
        <w:rPr>
          <w:rFonts w:eastAsia="Times New Roman"/>
        </w:rPr>
        <w:t>the IPO approval process</w:t>
      </w:r>
      <w:r w:rsidR="005F6252">
        <w:rPr>
          <w:rFonts w:eastAsia="Times New Roman"/>
        </w:rPr>
        <w:t xml:space="preserve"> following the enactment of the 2012 JOBS Act</w:t>
      </w:r>
      <w:r w:rsidR="00AB4BDA">
        <w:rPr>
          <w:rFonts w:eastAsia="Times New Roman"/>
        </w:rPr>
        <w:t xml:space="preserve">, with a </w:t>
      </w:r>
      <w:r w:rsidRPr="00702F94">
        <w:rPr>
          <w:rFonts w:eastAsia="Times New Roman"/>
        </w:rPr>
        <w:t>particular</w:t>
      </w:r>
      <w:r w:rsidR="00AB4BDA">
        <w:rPr>
          <w:rFonts w:eastAsia="Times New Roman"/>
        </w:rPr>
        <w:t xml:space="preserve"> focus on</w:t>
      </w:r>
      <w:r w:rsidRPr="00702F94">
        <w:rPr>
          <w:rFonts w:eastAsia="Times New Roman"/>
        </w:rPr>
        <w:t xml:space="preserve"> changes in the duration of the IPO approval process, as well as the volume and nature of comments issued by the SEC following their review of S-1 filings. </w:t>
      </w:r>
      <w:r w:rsidR="00393ABC">
        <w:rPr>
          <w:rFonts w:eastAsia="Times New Roman"/>
        </w:rPr>
        <w:t>Findings indicate</w:t>
      </w:r>
      <w:r w:rsidRPr="00702F94">
        <w:rPr>
          <w:rFonts w:eastAsia="Times New Roman"/>
        </w:rPr>
        <w:t xml:space="preserve"> substantial de-burdening of the IPO approval process following enactment of the JOBS Act. Specifically, initial comment letters include fewer comments, and </w:t>
      </w:r>
      <w:r w:rsidR="00C243C0">
        <w:rPr>
          <w:rFonts w:eastAsia="Times New Roman"/>
        </w:rPr>
        <w:t xml:space="preserve">comments </w:t>
      </w:r>
      <w:r w:rsidRPr="00702F94">
        <w:rPr>
          <w:rFonts w:eastAsia="Times New Roman"/>
        </w:rPr>
        <w:t xml:space="preserve">covering a narrower range of themes, in the post-JOBS </w:t>
      </w:r>
      <w:r w:rsidR="00C243C0">
        <w:rPr>
          <w:rFonts w:eastAsia="Times New Roman"/>
        </w:rPr>
        <w:t xml:space="preserve">enactment </w:t>
      </w:r>
      <w:r w:rsidRPr="00702F94">
        <w:rPr>
          <w:rFonts w:eastAsia="Times New Roman"/>
        </w:rPr>
        <w:t xml:space="preserve">era. Furthermore, a pronounced reduction in the duration of the approval process </w:t>
      </w:r>
      <w:r w:rsidR="00C46C6A">
        <w:rPr>
          <w:rFonts w:eastAsia="Times New Roman"/>
        </w:rPr>
        <w:t xml:space="preserve">and the number of comment letters </w:t>
      </w:r>
      <w:r w:rsidRPr="00702F94">
        <w:rPr>
          <w:rFonts w:eastAsia="Times New Roman"/>
        </w:rPr>
        <w:t>is observed under the JOBS Act</w:t>
      </w:r>
      <w:r w:rsidR="0099035F">
        <w:rPr>
          <w:rFonts w:eastAsia="Times New Roman"/>
        </w:rPr>
        <w:t xml:space="preserve"> for </w:t>
      </w:r>
      <w:r w:rsidRPr="00702F94">
        <w:rPr>
          <w:rFonts w:eastAsia="Times New Roman"/>
        </w:rPr>
        <w:t>EGC</w:t>
      </w:r>
      <w:r w:rsidR="00B83A01">
        <w:rPr>
          <w:rFonts w:eastAsia="Times New Roman"/>
        </w:rPr>
        <w:t xml:space="preserve"> </w:t>
      </w:r>
      <w:r w:rsidRPr="00702F94">
        <w:rPr>
          <w:rFonts w:eastAsia="Times New Roman"/>
        </w:rPr>
        <w:t>IPOs</w:t>
      </w:r>
      <w:r w:rsidR="0099035F">
        <w:rPr>
          <w:rFonts w:eastAsia="Times New Roman"/>
        </w:rPr>
        <w:t>.</w:t>
      </w:r>
      <w:r w:rsidR="00C46C6A">
        <w:rPr>
          <w:rFonts w:eastAsia="Times New Roman"/>
        </w:rPr>
        <w:t xml:space="preserve"> Additionally, findings indicate no mechanical link between </w:t>
      </w:r>
      <w:r w:rsidR="00C46C6A" w:rsidRPr="00836064">
        <w:rPr>
          <w:rFonts w:eastAsia="Times New Roman"/>
        </w:rPr>
        <w:t xml:space="preserve">reduced SEC scrutiny </w:t>
      </w:r>
      <w:r w:rsidR="00C46C6A">
        <w:rPr>
          <w:rFonts w:eastAsia="Times New Roman"/>
        </w:rPr>
        <w:t>and</w:t>
      </w:r>
      <w:r w:rsidR="00C46C6A" w:rsidRPr="00836064">
        <w:rPr>
          <w:rFonts w:eastAsia="Times New Roman"/>
        </w:rPr>
        <w:t xml:space="preserve"> additional disclosure exemptions for EGC issuers</w:t>
      </w:r>
      <w:r w:rsidR="00C46C6A">
        <w:rPr>
          <w:rFonts w:eastAsia="Times New Roman"/>
        </w:rPr>
        <w:t xml:space="preserve"> under the JOBS Act.</w:t>
      </w:r>
      <w:r w:rsidR="00051BDD">
        <w:rPr>
          <w:rFonts w:eastAsia="Times New Roman"/>
        </w:rPr>
        <w:t xml:space="preserve"> </w:t>
      </w:r>
      <w:r w:rsidRPr="00702F94">
        <w:rPr>
          <w:rFonts w:eastAsia="Times New Roman"/>
        </w:rPr>
        <w:t xml:space="preserve">Further tests reveal that the extent of de-burdening is less pronounced for IPOs in more concentrated industries, where competition and the proprietary costs of disclosure, and therefore information uncertainty, are higher. </w:t>
      </w:r>
      <w:r w:rsidR="00051BDD">
        <w:rPr>
          <w:rFonts w:eastAsia="Times New Roman"/>
        </w:rPr>
        <w:t>Overall,</w:t>
      </w:r>
      <w:r w:rsidRPr="00702F94">
        <w:rPr>
          <w:rFonts w:eastAsia="Times New Roman"/>
        </w:rPr>
        <w:t xml:space="preserve"> post-JOBS comment letters </w:t>
      </w:r>
      <w:r w:rsidRPr="00702F94">
        <w:rPr>
          <w:rFonts w:eastAsia="Times New Roman"/>
        </w:rPr>
        <w:lastRenderedPageBreak/>
        <w:t xml:space="preserve">focus proportionally more </w:t>
      </w:r>
      <w:r w:rsidR="00944061">
        <w:rPr>
          <w:rFonts w:eastAsia="Times New Roman"/>
        </w:rPr>
        <w:t xml:space="preserve">on </w:t>
      </w:r>
      <w:r w:rsidRPr="00702F94">
        <w:rPr>
          <w:rFonts w:eastAsia="Times New Roman"/>
        </w:rPr>
        <w:t xml:space="preserve">matters directly related to the offering, but proportionately less on </w:t>
      </w:r>
      <w:r>
        <w:rPr>
          <w:rFonts w:eastAsia="Times New Roman"/>
        </w:rPr>
        <w:t xml:space="preserve">core accounting issues, </w:t>
      </w:r>
      <w:r w:rsidRPr="00702F94">
        <w:rPr>
          <w:rFonts w:eastAsia="Times New Roman"/>
        </w:rPr>
        <w:t>general business matters and potential disclosure deficiencies.</w:t>
      </w:r>
    </w:p>
    <w:p w14:paraId="6710B01D" w14:textId="69A4C675" w:rsidR="00246EE1" w:rsidRDefault="002C26C7" w:rsidP="005B0E9E">
      <w:pPr>
        <w:spacing w:before="240" w:after="240" w:line="480" w:lineRule="auto"/>
        <w:jc w:val="both"/>
        <w:rPr>
          <w:rFonts w:eastAsia="Times New Roman"/>
        </w:rPr>
      </w:pPr>
      <w:r>
        <w:rPr>
          <w:rFonts w:eastAsia="Times New Roman"/>
        </w:rPr>
        <w:t>The findings offer p</w:t>
      </w:r>
      <w:r w:rsidR="008204BE" w:rsidRPr="00702F94">
        <w:rPr>
          <w:rFonts w:eastAsia="Times New Roman"/>
        </w:rPr>
        <w:t xml:space="preserve">olicy implications. </w:t>
      </w:r>
      <w:proofErr w:type="gramStart"/>
      <w:r w:rsidR="00D87B0D">
        <w:rPr>
          <w:rFonts w:eastAsia="Times New Roman"/>
        </w:rPr>
        <w:t>In particular,</w:t>
      </w:r>
      <w:r w:rsidR="00D87B0D" w:rsidRPr="00702F94">
        <w:rPr>
          <w:rFonts w:eastAsia="Times New Roman"/>
        </w:rPr>
        <w:t xml:space="preserve"> </w:t>
      </w:r>
      <w:r w:rsidR="005E53CF">
        <w:rPr>
          <w:rFonts w:eastAsia="Times New Roman"/>
        </w:rPr>
        <w:t>findings</w:t>
      </w:r>
      <w:proofErr w:type="gramEnd"/>
      <w:r w:rsidR="005E53CF">
        <w:rPr>
          <w:rFonts w:eastAsia="Times New Roman"/>
        </w:rPr>
        <w:t xml:space="preserve"> </w:t>
      </w:r>
      <w:r w:rsidR="00D87B0D">
        <w:rPr>
          <w:rFonts w:eastAsia="Times New Roman"/>
        </w:rPr>
        <w:t>of</w:t>
      </w:r>
      <w:r w:rsidR="005E53CF">
        <w:rPr>
          <w:rFonts w:eastAsia="Times New Roman"/>
        </w:rPr>
        <w:t xml:space="preserve"> a significant decline</w:t>
      </w:r>
      <w:r w:rsidR="005E53CF" w:rsidRPr="00702F94">
        <w:rPr>
          <w:rFonts w:eastAsia="Times New Roman"/>
        </w:rPr>
        <w:t xml:space="preserve"> </w:t>
      </w:r>
      <w:r w:rsidR="008204BE" w:rsidRPr="00702F94">
        <w:rPr>
          <w:rFonts w:eastAsia="Times New Roman"/>
        </w:rPr>
        <w:t xml:space="preserve">in </w:t>
      </w:r>
      <w:r w:rsidR="002D7A0D">
        <w:rPr>
          <w:rFonts w:eastAsia="Times New Roman"/>
        </w:rPr>
        <w:t xml:space="preserve">extensiveness of </w:t>
      </w:r>
      <w:r w:rsidR="008204BE" w:rsidRPr="00702F94">
        <w:rPr>
          <w:rFonts w:eastAsia="Times New Roman"/>
        </w:rPr>
        <w:t>SEC reviews under the JOBS Act</w:t>
      </w:r>
      <w:r w:rsidR="002D7A0D">
        <w:rPr>
          <w:rFonts w:eastAsia="Times New Roman"/>
        </w:rPr>
        <w:t xml:space="preserve"> raise a natural concern regarding the </w:t>
      </w:r>
      <w:r w:rsidR="00326FF8">
        <w:rPr>
          <w:rFonts w:eastAsia="Times New Roman"/>
        </w:rPr>
        <w:t xml:space="preserve">current </w:t>
      </w:r>
      <w:r w:rsidR="002D7A0D">
        <w:rPr>
          <w:rFonts w:eastAsia="Times New Roman"/>
        </w:rPr>
        <w:t>quality of the IPO information environment</w:t>
      </w:r>
      <w:r w:rsidR="00945F9D">
        <w:rPr>
          <w:rFonts w:eastAsia="Times New Roman"/>
        </w:rPr>
        <w:t>, and thus whether investors</w:t>
      </w:r>
      <w:r w:rsidR="00DD2C55">
        <w:rPr>
          <w:rFonts w:eastAsia="Times New Roman"/>
        </w:rPr>
        <w:t>’ interests</w:t>
      </w:r>
      <w:r w:rsidR="00945F9D">
        <w:rPr>
          <w:rFonts w:eastAsia="Times New Roman"/>
        </w:rPr>
        <w:t xml:space="preserve"> are sufficiently protected</w:t>
      </w:r>
      <w:r w:rsidR="008204BE" w:rsidRPr="00702F94">
        <w:rPr>
          <w:rFonts w:eastAsia="Times New Roman"/>
        </w:rPr>
        <w:t xml:space="preserve">. </w:t>
      </w:r>
      <w:r w:rsidR="00EF4073">
        <w:rPr>
          <w:rFonts w:eastAsia="Times New Roman"/>
        </w:rPr>
        <w:t xml:space="preserve">While JOBS Act deregulation </w:t>
      </w:r>
      <w:r w:rsidR="00F37682">
        <w:rPr>
          <w:rFonts w:eastAsia="Times New Roman"/>
        </w:rPr>
        <w:t>has</w:t>
      </w:r>
      <w:r w:rsidR="00EF4073">
        <w:rPr>
          <w:rFonts w:eastAsia="Times New Roman"/>
        </w:rPr>
        <w:t xml:space="preserve"> encouraged firms</w:t>
      </w:r>
      <w:r w:rsidR="00D06724">
        <w:rPr>
          <w:rFonts w:eastAsia="Times New Roman"/>
        </w:rPr>
        <w:t xml:space="preserve"> </w:t>
      </w:r>
      <w:r w:rsidR="00EF4073">
        <w:rPr>
          <w:rFonts w:eastAsia="Times New Roman"/>
        </w:rPr>
        <w:t xml:space="preserve">to go public, </w:t>
      </w:r>
      <w:r w:rsidR="008947C3">
        <w:rPr>
          <w:rFonts w:eastAsia="Times New Roman"/>
        </w:rPr>
        <w:t>this</w:t>
      </w:r>
      <w:r w:rsidR="00EF4073">
        <w:rPr>
          <w:rFonts w:eastAsia="Times New Roman"/>
        </w:rPr>
        <w:t xml:space="preserve"> </w:t>
      </w:r>
      <w:r w:rsidR="00F37682">
        <w:rPr>
          <w:rFonts w:eastAsia="Times New Roman"/>
        </w:rPr>
        <w:t xml:space="preserve">appears to </w:t>
      </w:r>
      <w:r w:rsidR="00EF4073">
        <w:rPr>
          <w:rFonts w:eastAsia="Times New Roman"/>
        </w:rPr>
        <w:t>come at a cost to investors</w:t>
      </w:r>
      <w:r w:rsidR="00E05B75">
        <w:rPr>
          <w:rFonts w:eastAsia="Times New Roman"/>
        </w:rPr>
        <w:t xml:space="preserve">’ ability to make informed </w:t>
      </w:r>
      <w:r w:rsidR="005A64DE">
        <w:rPr>
          <w:rFonts w:eastAsia="Times New Roman"/>
        </w:rPr>
        <w:t xml:space="preserve">investment </w:t>
      </w:r>
      <w:r w:rsidR="00E05B75">
        <w:rPr>
          <w:rFonts w:eastAsia="Times New Roman"/>
        </w:rPr>
        <w:t>choices</w:t>
      </w:r>
      <w:r w:rsidR="00FC6615">
        <w:rPr>
          <w:rFonts w:eastAsia="Times New Roman"/>
        </w:rPr>
        <w:t>;</w:t>
      </w:r>
      <w:r w:rsidR="00EF4073">
        <w:rPr>
          <w:rFonts w:eastAsia="Times New Roman"/>
        </w:rPr>
        <w:t xml:space="preserve"> </w:t>
      </w:r>
      <w:r w:rsidR="008204BE" w:rsidRPr="00702F94">
        <w:rPr>
          <w:rFonts w:eastAsia="Times New Roman"/>
        </w:rPr>
        <w:t xml:space="preserve">Chaplinsky et al. (2017) </w:t>
      </w:r>
      <w:r w:rsidR="009154C7">
        <w:rPr>
          <w:rFonts w:eastAsia="Times New Roman"/>
        </w:rPr>
        <w:t>observe a considerable increase</w:t>
      </w:r>
      <w:r w:rsidR="008204BE" w:rsidRPr="00702F94">
        <w:rPr>
          <w:rFonts w:eastAsia="Times New Roman"/>
        </w:rPr>
        <w:t xml:space="preserve"> </w:t>
      </w:r>
      <w:r w:rsidR="008C20A5">
        <w:rPr>
          <w:rFonts w:eastAsia="Times New Roman"/>
        </w:rPr>
        <w:t xml:space="preserve">in the </w:t>
      </w:r>
      <w:r w:rsidR="008204BE" w:rsidRPr="00702F94">
        <w:rPr>
          <w:rFonts w:eastAsia="Times New Roman"/>
        </w:rPr>
        <w:t xml:space="preserve">cost of capital under the Act. </w:t>
      </w:r>
      <w:r w:rsidR="00C219D7">
        <w:rPr>
          <w:rFonts w:eastAsia="Times New Roman"/>
        </w:rPr>
        <w:t>I</w:t>
      </w:r>
      <w:r w:rsidR="00EB362A">
        <w:rPr>
          <w:rFonts w:eastAsia="Times New Roman"/>
        </w:rPr>
        <w:t xml:space="preserve">t is imperative for policymakers to </w:t>
      </w:r>
      <w:r w:rsidR="004B3FD4">
        <w:rPr>
          <w:rFonts w:eastAsia="Times New Roman"/>
        </w:rPr>
        <w:t>re-</w:t>
      </w:r>
      <w:r w:rsidR="00EB362A">
        <w:rPr>
          <w:rFonts w:eastAsia="Times New Roman"/>
        </w:rPr>
        <w:t xml:space="preserve">consider </w:t>
      </w:r>
      <w:r w:rsidR="00D574B8">
        <w:rPr>
          <w:rFonts w:eastAsia="Times New Roman"/>
        </w:rPr>
        <w:t xml:space="preserve">whether </w:t>
      </w:r>
      <w:r w:rsidR="004571D0">
        <w:rPr>
          <w:rFonts w:eastAsia="Times New Roman"/>
        </w:rPr>
        <w:t xml:space="preserve">manifest </w:t>
      </w:r>
      <w:r w:rsidR="00D574B8">
        <w:rPr>
          <w:rFonts w:eastAsia="Times New Roman"/>
        </w:rPr>
        <w:t xml:space="preserve">benefits </w:t>
      </w:r>
      <w:r w:rsidR="009E4390">
        <w:rPr>
          <w:rFonts w:eastAsia="Times New Roman"/>
        </w:rPr>
        <w:t>of</w:t>
      </w:r>
      <w:r w:rsidR="00D574B8">
        <w:rPr>
          <w:rFonts w:eastAsia="Times New Roman"/>
        </w:rPr>
        <w:t xml:space="preserve"> the JOBS Act </w:t>
      </w:r>
      <w:r w:rsidR="009F42F3">
        <w:rPr>
          <w:rFonts w:eastAsia="Times New Roman"/>
        </w:rPr>
        <w:t xml:space="preserve">deregulation </w:t>
      </w:r>
      <w:r w:rsidR="00064372">
        <w:rPr>
          <w:rFonts w:eastAsia="Times New Roman"/>
        </w:rPr>
        <w:t>outweigh th</w:t>
      </w:r>
      <w:r w:rsidR="00DE6058">
        <w:rPr>
          <w:rFonts w:eastAsia="Times New Roman"/>
        </w:rPr>
        <w:t>e</w:t>
      </w:r>
      <w:r w:rsidR="00064372">
        <w:rPr>
          <w:rFonts w:eastAsia="Times New Roman"/>
        </w:rPr>
        <w:t xml:space="preserve"> </w:t>
      </w:r>
      <w:r w:rsidR="000361B8">
        <w:rPr>
          <w:rFonts w:eastAsia="Times New Roman"/>
        </w:rPr>
        <w:t>cost</w:t>
      </w:r>
      <w:r w:rsidR="00E50D07">
        <w:rPr>
          <w:rFonts w:eastAsia="Times New Roman"/>
        </w:rPr>
        <w:t>s</w:t>
      </w:r>
      <w:r w:rsidR="000361B8">
        <w:rPr>
          <w:rFonts w:eastAsia="Times New Roman"/>
        </w:rPr>
        <w:t xml:space="preserve"> </w:t>
      </w:r>
      <w:r w:rsidR="00DE6058">
        <w:rPr>
          <w:rFonts w:eastAsia="Times New Roman"/>
        </w:rPr>
        <w:t xml:space="preserve">identified </w:t>
      </w:r>
      <w:r w:rsidR="00E50D07">
        <w:rPr>
          <w:rFonts w:eastAsia="Times New Roman"/>
        </w:rPr>
        <w:t>for</w:t>
      </w:r>
      <w:r w:rsidR="000361B8">
        <w:rPr>
          <w:rFonts w:eastAsia="Times New Roman"/>
        </w:rPr>
        <w:t xml:space="preserve"> investor</w:t>
      </w:r>
      <w:r w:rsidR="009D03EA">
        <w:rPr>
          <w:rFonts w:eastAsia="Times New Roman"/>
        </w:rPr>
        <w:t>s</w:t>
      </w:r>
      <w:r w:rsidR="000361B8">
        <w:rPr>
          <w:rFonts w:eastAsia="Times New Roman"/>
        </w:rPr>
        <w:t xml:space="preserve">. </w:t>
      </w:r>
      <w:r w:rsidR="007D4BBC">
        <w:rPr>
          <w:rFonts w:eastAsia="Times New Roman"/>
        </w:rPr>
        <w:t xml:space="preserve">Findings in this study </w:t>
      </w:r>
      <w:r w:rsidR="00A871BF">
        <w:rPr>
          <w:rFonts w:eastAsia="Times New Roman"/>
        </w:rPr>
        <w:t xml:space="preserve">should </w:t>
      </w:r>
      <w:r w:rsidR="00E50D07">
        <w:rPr>
          <w:rFonts w:eastAsia="Times New Roman"/>
        </w:rPr>
        <w:t xml:space="preserve">help to </w:t>
      </w:r>
      <w:r w:rsidR="006D6733">
        <w:rPr>
          <w:rFonts w:eastAsia="Times New Roman"/>
        </w:rPr>
        <w:t>inform this debate</w:t>
      </w:r>
      <w:r w:rsidR="00E50D07">
        <w:rPr>
          <w:rFonts w:eastAsia="Times New Roman"/>
        </w:rPr>
        <w:t xml:space="preserve"> by highlighting the role played by </w:t>
      </w:r>
      <w:r w:rsidR="0074037F">
        <w:rPr>
          <w:rFonts w:eastAsia="Times New Roman"/>
        </w:rPr>
        <w:t>relaxation of SEC review</w:t>
      </w:r>
      <w:r w:rsidR="00494656">
        <w:rPr>
          <w:rFonts w:eastAsia="Times New Roman"/>
        </w:rPr>
        <w:t>er scrutiny</w:t>
      </w:r>
      <w:r w:rsidR="0074037F">
        <w:rPr>
          <w:rFonts w:eastAsia="Times New Roman"/>
        </w:rPr>
        <w:t xml:space="preserve">. </w:t>
      </w:r>
    </w:p>
    <w:p w14:paraId="3B47DC64" w14:textId="77777777" w:rsidR="008204BE" w:rsidRDefault="008204BE" w:rsidP="00842A41">
      <w:pPr>
        <w:spacing w:before="240" w:after="240" w:line="480" w:lineRule="auto"/>
        <w:jc w:val="both"/>
        <w:rPr>
          <w:rFonts w:eastAsia="Times New Roman"/>
        </w:rPr>
      </w:pPr>
      <w:r w:rsidRPr="00702F94">
        <w:rPr>
          <w:rFonts w:eastAsia="Times New Roman"/>
        </w:rPr>
        <w:t xml:space="preserve">While this study provides evidence on substantial changes </w:t>
      </w:r>
      <w:proofErr w:type="gramStart"/>
      <w:r w:rsidRPr="00702F94">
        <w:rPr>
          <w:rFonts w:eastAsia="Times New Roman"/>
        </w:rPr>
        <w:t>in the nature of SEC</w:t>
      </w:r>
      <w:proofErr w:type="gramEnd"/>
      <w:r w:rsidRPr="00702F94">
        <w:rPr>
          <w:rFonts w:eastAsia="Times New Roman"/>
        </w:rPr>
        <w:t xml:space="preserve"> S-1 reviews following the JOBS Act, the findings do not, in themselves, speak to the quality of information within IPO registration statements under the Act. Ceteris paribus, more extensive revision requirements by the SEC are likely to increase information quality to an extent, however if the impact of the JOBS Act is to mitigate an </w:t>
      </w:r>
      <w:r w:rsidRPr="00702F94">
        <w:rPr>
          <w:rFonts w:eastAsia="Times New Roman"/>
          <w:i/>
          <w:iCs/>
        </w:rPr>
        <w:t>excessive</w:t>
      </w:r>
      <w:r w:rsidRPr="00702F94">
        <w:rPr>
          <w:rFonts w:eastAsia="Times New Roman"/>
        </w:rPr>
        <w:t xml:space="preserve"> burden, the benefits in terms of facilitating capital formation may still exceed the costs from reduced information quality. On the other hand, many post-JOBS IPO firms provide offsetting voluntary disclosure to mitigate information problems (Barth et al., 2017), thus the net effect on IPO disclosure quality is ambiguous. This </w:t>
      </w:r>
      <w:r>
        <w:rPr>
          <w:rFonts w:eastAsia="Times New Roman"/>
        </w:rPr>
        <w:t>study</w:t>
      </w:r>
      <w:r w:rsidRPr="00702F94">
        <w:rPr>
          <w:rFonts w:eastAsia="Times New Roman"/>
        </w:rPr>
        <w:t xml:space="preserve"> therefore concludes with a call for further examination of how the de-burdening provisions of the JOBS Act have affected the quality of S-1 disclosures, considering this to be a fruitful and important topic for future research. </w:t>
      </w:r>
    </w:p>
    <w:p w14:paraId="52C8DD6C" w14:textId="25EDB216" w:rsidR="008204BE" w:rsidRDefault="008204BE" w:rsidP="00842A41">
      <w:pPr>
        <w:spacing w:before="240" w:after="240" w:line="360" w:lineRule="auto"/>
        <w:jc w:val="both"/>
        <w:rPr>
          <w:rFonts w:eastAsia="Times New Roman"/>
        </w:rPr>
        <w:sectPr w:rsidR="008204BE">
          <w:pgSz w:w="12240" w:h="15840"/>
          <w:pgMar w:top="1440" w:right="1440" w:bottom="1440" w:left="1440" w:header="720" w:footer="720" w:gutter="0"/>
          <w:cols w:space="720"/>
          <w:docGrid w:linePitch="360"/>
        </w:sectPr>
      </w:pPr>
    </w:p>
    <w:p w14:paraId="543BBE0D" w14:textId="12F6DAF5" w:rsidR="005E1BA3" w:rsidRDefault="005E1BA3" w:rsidP="00842A41">
      <w:pPr>
        <w:jc w:val="both"/>
      </w:pPr>
    </w:p>
    <w:p w14:paraId="44261939" w14:textId="77777777" w:rsidR="005E1BA3" w:rsidRDefault="005E1BA3" w:rsidP="00842A41">
      <w:pPr>
        <w:spacing w:after="200" w:line="276" w:lineRule="auto"/>
        <w:jc w:val="both"/>
        <w:rPr>
          <w:sz w:val="20"/>
          <w:szCs w:val="20"/>
        </w:rPr>
      </w:pPr>
      <w:r>
        <w:rPr>
          <w:rFonts w:eastAsia="Times New Roman"/>
          <w:b/>
          <w:bCs/>
        </w:rPr>
        <w:t>References</w:t>
      </w:r>
    </w:p>
    <w:p w14:paraId="6982317E" w14:textId="03336B32" w:rsidR="005E1BA3" w:rsidRPr="005B0E9E" w:rsidRDefault="005E1BA3" w:rsidP="00842A41">
      <w:pPr>
        <w:spacing w:after="200" w:line="276" w:lineRule="auto"/>
        <w:ind w:left="284" w:hanging="284"/>
        <w:jc w:val="both"/>
        <w:rPr>
          <w:sz w:val="20"/>
          <w:szCs w:val="20"/>
        </w:rPr>
      </w:pPr>
      <w:r w:rsidRPr="005B0E9E">
        <w:rPr>
          <w:rFonts w:eastAsia="Times New Roman"/>
        </w:rPr>
        <w:t xml:space="preserve">Agarwal, S., Gupta, S., &amp; </w:t>
      </w:r>
      <w:proofErr w:type="spellStart"/>
      <w:r w:rsidRPr="005B0E9E">
        <w:rPr>
          <w:rFonts w:eastAsia="Times New Roman"/>
        </w:rPr>
        <w:t>Israelsen</w:t>
      </w:r>
      <w:proofErr w:type="spellEnd"/>
      <w:r w:rsidRPr="005B0E9E">
        <w:rPr>
          <w:rFonts w:eastAsia="Times New Roman"/>
        </w:rPr>
        <w:t>, R. D.</w:t>
      </w:r>
      <w:r w:rsidR="00DB1F66">
        <w:rPr>
          <w:rFonts w:eastAsia="Times New Roman"/>
        </w:rPr>
        <w:t xml:space="preserve"> (2</w:t>
      </w:r>
      <w:r w:rsidRPr="005B0E9E">
        <w:rPr>
          <w:rFonts w:eastAsia="Times New Roman"/>
        </w:rPr>
        <w:t>017</w:t>
      </w:r>
      <w:r w:rsidR="00DB1F66">
        <w:rPr>
          <w:rFonts w:eastAsia="Times New Roman"/>
        </w:rPr>
        <w:t>)</w:t>
      </w:r>
      <w:r w:rsidRPr="005B0E9E">
        <w:rPr>
          <w:rFonts w:eastAsia="Times New Roman"/>
        </w:rPr>
        <w:t xml:space="preserve">. Public and private information: Firm disclosure, SEC letters, and the JOBS Act. </w:t>
      </w:r>
      <w:r w:rsidR="00574ED6" w:rsidRPr="005B0E9E">
        <w:rPr>
          <w:rFonts w:eastAsia="Times New Roman"/>
          <w:i/>
          <w:iCs/>
        </w:rPr>
        <w:t xml:space="preserve">Working paper, </w:t>
      </w:r>
      <w:r w:rsidRPr="005B0E9E">
        <w:rPr>
          <w:rFonts w:eastAsia="Times New Roman"/>
          <w:i/>
          <w:iCs/>
        </w:rPr>
        <w:t>Kelley School of Business</w:t>
      </w:r>
      <w:r w:rsidRPr="005B0E9E">
        <w:rPr>
          <w:rFonts w:eastAsia="Times New Roman"/>
        </w:rPr>
        <w:t>.</w:t>
      </w:r>
    </w:p>
    <w:p w14:paraId="33B9B404" w14:textId="1DD24AF1" w:rsidR="005E1BA3" w:rsidRPr="005B0E9E" w:rsidRDefault="005E1BA3" w:rsidP="00842A41">
      <w:pPr>
        <w:spacing w:after="200" w:line="276" w:lineRule="auto"/>
        <w:ind w:left="284" w:hanging="284"/>
        <w:jc w:val="both"/>
        <w:rPr>
          <w:sz w:val="20"/>
          <w:szCs w:val="20"/>
        </w:rPr>
      </w:pPr>
      <w:r w:rsidRPr="005B0E9E">
        <w:rPr>
          <w:rFonts w:eastAsia="Times New Roman"/>
          <w:sz w:val="23"/>
          <w:szCs w:val="23"/>
        </w:rPr>
        <w:t xml:space="preserve">Ali, A., </w:t>
      </w:r>
      <w:proofErr w:type="spellStart"/>
      <w:r w:rsidRPr="005B0E9E">
        <w:rPr>
          <w:rFonts w:eastAsia="Times New Roman"/>
          <w:sz w:val="23"/>
          <w:szCs w:val="23"/>
        </w:rPr>
        <w:t>Klasa</w:t>
      </w:r>
      <w:proofErr w:type="spellEnd"/>
      <w:r w:rsidRPr="005B0E9E">
        <w:rPr>
          <w:rFonts w:eastAsia="Times New Roman"/>
          <w:sz w:val="23"/>
          <w:szCs w:val="23"/>
        </w:rPr>
        <w:t>, S., &amp; Yeung, E.</w:t>
      </w:r>
      <w:r w:rsidR="00DB1F66">
        <w:rPr>
          <w:rFonts w:eastAsia="Times New Roman"/>
          <w:sz w:val="23"/>
          <w:szCs w:val="23"/>
        </w:rPr>
        <w:t xml:space="preserve"> (2</w:t>
      </w:r>
      <w:r w:rsidRPr="005B0E9E">
        <w:rPr>
          <w:rFonts w:eastAsia="Times New Roman"/>
          <w:sz w:val="23"/>
          <w:szCs w:val="23"/>
        </w:rPr>
        <w:t>014</w:t>
      </w:r>
      <w:r w:rsidR="00DB1F66">
        <w:rPr>
          <w:rFonts w:eastAsia="Times New Roman"/>
          <w:sz w:val="23"/>
          <w:szCs w:val="23"/>
        </w:rPr>
        <w:t>)</w:t>
      </w:r>
      <w:r w:rsidRPr="005B0E9E">
        <w:rPr>
          <w:rFonts w:eastAsia="Times New Roman"/>
          <w:sz w:val="23"/>
          <w:szCs w:val="23"/>
        </w:rPr>
        <w:t>. Industry concentration and corporate disclosure policy.</w:t>
      </w:r>
      <w:r w:rsidR="008821C9" w:rsidRPr="005B0E9E">
        <w:rPr>
          <w:rFonts w:eastAsia="Times New Roman"/>
          <w:sz w:val="23"/>
          <w:szCs w:val="23"/>
        </w:rPr>
        <w:t xml:space="preserve"> </w:t>
      </w:r>
      <w:r w:rsidR="004E7200" w:rsidRPr="005B0E9E">
        <w:rPr>
          <w:rFonts w:eastAsia="Times New Roman"/>
          <w:i/>
          <w:iCs/>
          <w:sz w:val="23"/>
          <w:szCs w:val="23"/>
        </w:rPr>
        <w:t>Journal of Accounting and Economics</w:t>
      </w:r>
      <w:r w:rsidR="004E7200" w:rsidRPr="006E2772">
        <w:rPr>
          <w:rFonts w:eastAsia="Times New Roman"/>
          <w:sz w:val="23"/>
          <w:szCs w:val="23"/>
        </w:rPr>
        <w:t>,</w:t>
      </w:r>
      <w:r w:rsidRPr="006E2772">
        <w:rPr>
          <w:rFonts w:eastAsia="Times New Roman"/>
        </w:rPr>
        <w:t xml:space="preserve"> </w:t>
      </w:r>
      <w:r w:rsidRPr="00F522FB">
        <w:rPr>
          <w:rFonts w:eastAsia="Times New Roman"/>
          <w:i/>
          <w:iCs/>
        </w:rPr>
        <w:t>58</w:t>
      </w:r>
      <w:r w:rsidRPr="005B0E9E">
        <w:rPr>
          <w:rFonts w:eastAsia="Times New Roman"/>
        </w:rPr>
        <w:t>(2–3), 240–264.</w:t>
      </w:r>
    </w:p>
    <w:p w14:paraId="6C5E1C5A" w14:textId="3297646F" w:rsidR="005E1BA3" w:rsidRPr="005B0E9E" w:rsidRDefault="005E1BA3" w:rsidP="00842A41">
      <w:pPr>
        <w:spacing w:after="200" w:line="276" w:lineRule="auto"/>
        <w:ind w:left="284" w:hanging="284"/>
        <w:jc w:val="both"/>
        <w:rPr>
          <w:sz w:val="20"/>
          <w:szCs w:val="20"/>
        </w:rPr>
      </w:pPr>
      <w:r w:rsidRPr="005B0E9E">
        <w:rPr>
          <w:rFonts w:eastAsia="Times New Roman"/>
        </w:rPr>
        <w:t>Altman, E. I.</w:t>
      </w:r>
      <w:r w:rsidR="00DB1F66">
        <w:rPr>
          <w:rFonts w:eastAsia="Times New Roman"/>
        </w:rPr>
        <w:t xml:space="preserve"> (2</w:t>
      </w:r>
      <w:r w:rsidRPr="005B0E9E">
        <w:rPr>
          <w:rFonts w:eastAsia="Times New Roman"/>
        </w:rPr>
        <w:t>013</w:t>
      </w:r>
      <w:r w:rsidR="00DB1F66">
        <w:rPr>
          <w:rFonts w:eastAsia="Times New Roman"/>
        </w:rPr>
        <w:t>)</w:t>
      </w:r>
      <w:r w:rsidRPr="005B0E9E">
        <w:rPr>
          <w:rFonts w:eastAsia="Times New Roman"/>
        </w:rPr>
        <w:t xml:space="preserve">. Predicting financial distress of companies: </w:t>
      </w:r>
      <w:r w:rsidR="00A65ABF">
        <w:rPr>
          <w:rFonts w:eastAsia="Times New Roman"/>
        </w:rPr>
        <w:t>R</w:t>
      </w:r>
      <w:r w:rsidRPr="005B0E9E">
        <w:rPr>
          <w:rFonts w:eastAsia="Times New Roman"/>
        </w:rPr>
        <w:t>evisiting the Z-Score and ZETA models</w:t>
      </w:r>
      <w:r w:rsidRPr="00932BB0">
        <w:rPr>
          <w:rFonts w:eastAsia="Times New Roman"/>
        </w:rPr>
        <w:t xml:space="preserve">. </w:t>
      </w:r>
      <w:r w:rsidR="00932BB0" w:rsidRPr="00932BB0">
        <w:rPr>
          <w:rFonts w:eastAsia="Times New Roman"/>
        </w:rPr>
        <w:t>I</w:t>
      </w:r>
      <w:r w:rsidRPr="00932BB0">
        <w:rPr>
          <w:rFonts w:eastAsia="Times New Roman"/>
        </w:rPr>
        <w:t xml:space="preserve">n </w:t>
      </w:r>
      <w:r w:rsidR="00932BB0" w:rsidRPr="00932BB0">
        <w:rPr>
          <w:rFonts w:eastAsia="Times New Roman"/>
        </w:rPr>
        <w:t xml:space="preserve">A.R. </w:t>
      </w:r>
      <w:r w:rsidRPr="00932BB0">
        <w:rPr>
          <w:rFonts w:eastAsia="Times New Roman"/>
        </w:rPr>
        <w:t xml:space="preserve">Bell, </w:t>
      </w:r>
      <w:r w:rsidR="00932BB0" w:rsidRPr="00932BB0">
        <w:rPr>
          <w:rFonts w:eastAsia="Times New Roman"/>
        </w:rPr>
        <w:t xml:space="preserve">C. </w:t>
      </w:r>
      <w:r w:rsidRPr="00932BB0">
        <w:rPr>
          <w:rFonts w:eastAsia="Times New Roman"/>
        </w:rPr>
        <w:t xml:space="preserve">Brooks, </w:t>
      </w:r>
      <w:r w:rsidR="00932BB0" w:rsidRPr="00932BB0">
        <w:rPr>
          <w:rFonts w:eastAsia="Times New Roman"/>
        </w:rPr>
        <w:t>&amp;</w:t>
      </w:r>
      <w:r w:rsidRPr="00932BB0">
        <w:rPr>
          <w:rFonts w:eastAsia="Times New Roman"/>
        </w:rPr>
        <w:t xml:space="preserve"> </w:t>
      </w:r>
      <w:r w:rsidR="00932BB0" w:rsidRPr="00932BB0">
        <w:rPr>
          <w:rFonts w:eastAsia="Times New Roman"/>
        </w:rPr>
        <w:t xml:space="preserve">M. </w:t>
      </w:r>
      <w:proofErr w:type="spellStart"/>
      <w:r w:rsidRPr="00932BB0">
        <w:rPr>
          <w:rFonts w:eastAsia="Times New Roman"/>
        </w:rPr>
        <w:t>Prokopczuk</w:t>
      </w:r>
      <w:proofErr w:type="spellEnd"/>
      <w:r w:rsidRPr="00932BB0">
        <w:rPr>
          <w:rFonts w:eastAsia="Times New Roman"/>
        </w:rPr>
        <w:t xml:space="preserve"> (Eds),</w:t>
      </w:r>
      <w:r w:rsidRPr="005B0E9E">
        <w:rPr>
          <w:rFonts w:eastAsia="Times New Roman"/>
          <w:i/>
          <w:iCs/>
        </w:rPr>
        <w:t xml:space="preserve"> Handbook of </w:t>
      </w:r>
      <w:r w:rsidR="0046378C">
        <w:rPr>
          <w:rFonts w:eastAsia="Times New Roman"/>
          <w:i/>
          <w:iCs/>
        </w:rPr>
        <w:t>r</w:t>
      </w:r>
      <w:r w:rsidRPr="005B0E9E">
        <w:rPr>
          <w:rFonts w:eastAsia="Times New Roman"/>
          <w:i/>
          <w:iCs/>
        </w:rPr>
        <w:t xml:space="preserve">esearch </w:t>
      </w:r>
      <w:r w:rsidR="0046378C">
        <w:rPr>
          <w:rFonts w:eastAsia="Times New Roman"/>
          <w:i/>
          <w:iCs/>
        </w:rPr>
        <w:t>m</w:t>
      </w:r>
      <w:r w:rsidRPr="005B0E9E">
        <w:rPr>
          <w:rFonts w:eastAsia="Times New Roman"/>
          <w:i/>
          <w:iCs/>
        </w:rPr>
        <w:t xml:space="preserve">ethods and </w:t>
      </w:r>
      <w:r w:rsidR="0046378C">
        <w:rPr>
          <w:rFonts w:eastAsia="Times New Roman"/>
          <w:i/>
          <w:iCs/>
        </w:rPr>
        <w:t>a</w:t>
      </w:r>
      <w:r w:rsidRPr="005B0E9E">
        <w:rPr>
          <w:rFonts w:eastAsia="Times New Roman"/>
          <w:i/>
          <w:iCs/>
        </w:rPr>
        <w:t xml:space="preserve">pplications in </w:t>
      </w:r>
      <w:r w:rsidR="0046378C">
        <w:rPr>
          <w:rFonts w:eastAsia="Times New Roman"/>
          <w:i/>
          <w:iCs/>
        </w:rPr>
        <w:t>e</w:t>
      </w:r>
      <w:r w:rsidRPr="005B0E9E">
        <w:rPr>
          <w:rFonts w:eastAsia="Times New Roman"/>
          <w:i/>
          <w:iCs/>
        </w:rPr>
        <w:t xml:space="preserve">mpirical </w:t>
      </w:r>
      <w:r w:rsidR="0046378C">
        <w:rPr>
          <w:rFonts w:eastAsia="Times New Roman"/>
          <w:i/>
          <w:iCs/>
        </w:rPr>
        <w:t>f</w:t>
      </w:r>
      <w:r w:rsidRPr="005B0E9E">
        <w:rPr>
          <w:rFonts w:eastAsia="Times New Roman"/>
          <w:i/>
          <w:iCs/>
        </w:rPr>
        <w:t>inance</w:t>
      </w:r>
      <w:r w:rsidR="00381D1F">
        <w:rPr>
          <w:rFonts w:eastAsia="Times New Roman"/>
        </w:rPr>
        <w:t xml:space="preserve"> (</w:t>
      </w:r>
      <w:r w:rsidR="00381D1F" w:rsidRPr="005B0E9E">
        <w:rPr>
          <w:rFonts w:eastAsia="Times New Roman"/>
        </w:rPr>
        <w:t>pp. 428-456</w:t>
      </w:r>
      <w:r w:rsidR="00381D1F">
        <w:rPr>
          <w:rFonts w:eastAsia="Times New Roman"/>
        </w:rPr>
        <w:t>)</w:t>
      </w:r>
      <w:r w:rsidRPr="005B0E9E">
        <w:rPr>
          <w:rFonts w:eastAsia="Times New Roman"/>
        </w:rPr>
        <w:t xml:space="preserve">. </w:t>
      </w:r>
      <w:r w:rsidR="00057DF1" w:rsidRPr="005B0E9E">
        <w:rPr>
          <w:rFonts w:eastAsia="Times New Roman"/>
        </w:rPr>
        <w:t>Cheltenham, UK</w:t>
      </w:r>
      <w:r w:rsidR="00057DF1">
        <w:rPr>
          <w:rFonts w:eastAsia="Times New Roman"/>
        </w:rPr>
        <w:t>:</w:t>
      </w:r>
      <w:r w:rsidR="00057DF1" w:rsidRPr="005B0E9E">
        <w:rPr>
          <w:rFonts w:eastAsia="Times New Roman"/>
        </w:rPr>
        <w:t xml:space="preserve"> </w:t>
      </w:r>
      <w:r w:rsidRPr="005B0E9E">
        <w:rPr>
          <w:rFonts w:eastAsia="Times New Roman"/>
        </w:rPr>
        <w:t>Edward Elgar Publishing.</w:t>
      </w:r>
    </w:p>
    <w:p w14:paraId="5619D90F" w14:textId="2791C2D7" w:rsidR="005E1BA3" w:rsidRPr="005B0E9E" w:rsidRDefault="005E1BA3" w:rsidP="00842A41">
      <w:pPr>
        <w:spacing w:after="200" w:line="276" w:lineRule="auto"/>
        <w:ind w:left="284" w:hanging="284"/>
        <w:jc w:val="both"/>
        <w:rPr>
          <w:sz w:val="20"/>
          <w:szCs w:val="20"/>
        </w:rPr>
      </w:pPr>
      <w:r w:rsidRPr="005B0E9E">
        <w:rPr>
          <w:rFonts w:eastAsia="Times New Roman"/>
        </w:rPr>
        <w:t>Barth, M. E., Landsman, W. R., &amp; Taylor, D. J.</w:t>
      </w:r>
      <w:r w:rsidR="00DB1F66">
        <w:rPr>
          <w:rFonts w:eastAsia="Times New Roman"/>
        </w:rPr>
        <w:t xml:space="preserve"> (2</w:t>
      </w:r>
      <w:r w:rsidRPr="005B0E9E">
        <w:rPr>
          <w:rFonts w:eastAsia="Times New Roman"/>
        </w:rPr>
        <w:t>017</w:t>
      </w:r>
      <w:r w:rsidR="00DB1F66">
        <w:rPr>
          <w:rFonts w:eastAsia="Times New Roman"/>
        </w:rPr>
        <w:t>)</w:t>
      </w:r>
      <w:r w:rsidRPr="005B0E9E">
        <w:rPr>
          <w:rFonts w:eastAsia="Times New Roman"/>
        </w:rPr>
        <w:t xml:space="preserve">. The JOBS Act and information uncertainty in IPO firms. </w:t>
      </w:r>
      <w:r w:rsidR="00E57C6B" w:rsidRPr="005B0E9E">
        <w:rPr>
          <w:rFonts w:eastAsia="Times New Roman"/>
          <w:i/>
          <w:iCs/>
        </w:rPr>
        <w:t>The Accounting Review</w:t>
      </w:r>
      <w:r w:rsidR="00E57C6B" w:rsidRPr="006E2772">
        <w:rPr>
          <w:rFonts w:eastAsia="Times New Roman"/>
        </w:rPr>
        <w:t>,</w:t>
      </w:r>
      <w:r w:rsidRPr="006E2772">
        <w:rPr>
          <w:rFonts w:eastAsia="Times New Roman"/>
        </w:rPr>
        <w:t xml:space="preserve"> </w:t>
      </w:r>
      <w:r w:rsidRPr="00F522FB">
        <w:rPr>
          <w:rFonts w:eastAsia="Times New Roman"/>
          <w:i/>
          <w:iCs/>
        </w:rPr>
        <w:t>92</w:t>
      </w:r>
      <w:r w:rsidRPr="005B0E9E">
        <w:rPr>
          <w:rFonts w:eastAsia="Times New Roman"/>
        </w:rPr>
        <w:t>(6), 25–47.</w:t>
      </w:r>
    </w:p>
    <w:p w14:paraId="4756B5B0" w14:textId="364E9BBF" w:rsidR="005E1BA3" w:rsidRPr="005B0E9E" w:rsidRDefault="005E1BA3" w:rsidP="00842A41">
      <w:pPr>
        <w:spacing w:after="200" w:line="276" w:lineRule="auto"/>
        <w:ind w:left="284" w:hanging="284"/>
        <w:jc w:val="both"/>
        <w:rPr>
          <w:sz w:val="20"/>
          <w:szCs w:val="20"/>
        </w:rPr>
      </w:pPr>
      <w:r w:rsidRPr="005B0E9E">
        <w:rPr>
          <w:rFonts w:eastAsia="Times New Roman"/>
        </w:rPr>
        <w:t>Baugh, M., Kim, K., &amp; Lee, K. J.</w:t>
      </w:r>
      <w:r w:rsidR="00DB1F66">
        <w:rPr>
          <w:rFonts w:eastAsia="Times New Roman"/>
        </w:rPr>
        <w:t xml:space="preserve"> (2</w:t>
      </w:r>
      <w:r w:rsidRPr="005B0E9E">
        <w:rPr>
          <w:rFonts w:eastAsia="Times New Roman"/>
        </w:rPr>
        <w:t>017</w:t>
      </w:r>
      <w:r w:rsidR="00DB1F66">
        <w:rPr>
          <w:rFonts w:eastAsia="Times New Roman"/>
        </w:rPr>
        <w:t>)</w:t>
      </w:r>
      <w:r w:rsidRPr="005B0E9E">
        <w:rPr>
          <w:rFonts w:eastAsia="Times New Roman"/>
        </w:rPr>
        <w:t xml:space="preserve">. The effect of SEC reviewers on comment letters and financial reporting quality. </w:t>
      </w:r>
      <w:r w:rsidRPr="005B0E9E">
        <w:rPr>
          <w:rFonts w:eastAsia="Times New Roman"/>
          <w:i/>
          <w:iCs/>
        </w:rPr>
        <w:t>Working Paper, KAIST College of Business</w:t>
      </w:r>
      <w:r w:rsidRPr="005B0E9E">
        <w:rPr>
          <w:rFonts w:eastAsia="Times New Roman"/>
        </w:rPr>
        <w:t>.</w:t>
      </w:r>
    </w:p>
    <w:p w14:paraId="5CD4B31E" w14:textId="65AC596F" w:rsidR="005E1BA3" w:rsidRPr="005B0E9E" w:rsidRDefault="005E1BA3" w:rsidP="00842A41">
      <w:pPr>
        <w:spacing w:after="200" w:line="276" w:lineRule="auto"/>
        <w:ind w:left="284" w:hanging="284"/>
        <w:jc w:val="both"/>
        <w:rPr>
          <w:rFonts w:eastAsia="Times New Roman"/>
        </w:rPr>
      </w:pPr>
      <w:r w:rsidRPr="005B0E9E">
        <w:rPr>
          <w:rFonts w:eastAsia="Times New Roman"/>
        </w:rPr>
        <w:t xml:space="preserve">Bellman, R. E. </w:t>
      </w:r>
      <w:r w:rsidR="00DB1F66">
        <w:rPr>
          <w:rFonts w:eastAsia="Times New Roman"/>
        </w:rPr>
        <w:t>(</w:t>
      </w:r>
      <w:r w:rsidRPr="005B0E9E">
        <w:rPr>
          <w:rFonts w:eastAsia="Times New Roman"/>
        </w:rPr>
        <w:t>1961</w:t>
      </w:r>
      <w:r w:rsidR="00DB1F66">
        <w:rPr>
          <w:rFonts w:eastAsia="Times New Roman"/>
        </w:rPr>
        <w:t>)</w:t>
      </w:r>
      <w:r w:rsidRPr="005B0E9E">
        <w:rPr>
          <w:rFonts w:eastAsia="Times New Roman"/>
        </w:rPr>
        <w:t xml:space="preserve">. </w:t>
      </w:r>
      <w:r w:rsidRPr="005B0E9E">
        <w:rPr>
          <w:rFonts w:eastAsia="Times New Roman"/>
          <w:i/>
          <w:iCs/>
        </w:rPr>
        <w:t xml:space="preserve">Adaptive </w:t>
      </w:r>
      <w:r w:rsidR="00277968">
        <w:rPr>
          <w:rFonts w:eastAsia="Times New Roman"/>
          <w:i/>
          <w:iCs/>
        </w:rPr>
        <w:t>c</w:t>
      </w:r>
      <w:r w:rsidRPr="005B0E9E">
        <w:rPr>
          <w:rFonts w:eastAsia="Times New Roman"/>
          <w:i/>
          <w:iCs/>
        </w:rPr>
        <w:t xml:space="preserve">ontrol </w:t>
      </w:r>
      <w:r w:rsidR="00277968">
        <w:rPr>
          <w:rFonts w:eastAsia="Times New Roman"/>
          <w:i/>
          <w:iCs/>
        </w:rPr>
        <w:t>p</w:t>
      </w:r>
      <w:r w:rsidRPr="005B0E9E">
        <w:rPr>
          <w:rFonts w:eastAsia="Times New Roman"/>
          <w:i/>
          <w:iCs/>
        </w:rPr>
        <w:t>rocesses: A Guided Tour</w:t>
      </w:r>
      <w:r w:rsidR="0045150A">
        <w:rPr>
          <w:rFonts w:eastAsia="Times New Roman"/>
        </w:rPr>
        <w:t>.</w:t>
      </w:r>
      <w:r w:rsidRPr="005B0E9E">
        <w:rPr>
          <w:rFonts w:eastAsia="Times New Roman"/>
        </w:rPr>
        <w:t xml:space="preserve"> </w:t>
      </w:r>
      <w:r w:rsidR="0045150A">
        <w:rPr>
          <w:rFonts w:eastAsia="Times New Roman"/>
        </w:rPr>
        <w:t>(2</w:t>
      </w:r>
      <w:r w:rsidR="0045150A" w:rsidRPr="0045150A">
        <w:rPr>
          <w:rFonts w:eastAsia="Times New Roman"/>
          <w:vertAlign w:val="superscript"/>
        </w:rPr>
        <w:t>nd</w:t>
      </w:r>
      <w:r w:rsidR="0045150A">
        <w:rPr>
          <w:rFonts w:eastAsia="Times New Roman"/>
        </w:rPr>
        <w:t xml:space="preserve"> </w:t>
      </w:r>
      <w:r w:rsidRPr="005B0E9E">
        <w:rPr>
          <w:rFonts w:eastAsia="Times New Roman"/>
        </w:rPr>
        <w:t>ed</w:t>
      </w:r>
      <w:r w:rsidR="0045150A">
        <w:rPr>
          <w:rFonts w:eastAsia="Times New Roman"/>
        </w:rPr>
        <w:t>.).</w:t>
      </w:r>
      <w:r w:rsidRPr="005B0E9E">
        <w:rPr>
          <w:rFonts w:eastAsia="Times New Roman"/>
        </w:rPr>
        <w:t xml:space="preserve"> Princeton University Press, New York</w:t>
      </w:r>
    </w:p>
    <w:p w14:paraId="7F457DF2" w14:textId="63BC9AFB" w:rsidR="005E1BA3" w:rsidRPr="005B0E9E" w:rsidRDefault="005E1BA3" w:rsidP="00842A41">
      <w:pPr>
        <w:spacing w:after="200" w:line="276" w:lineRule="auto"/>
        <w:ind w:left="284" w:hanging="284"/>
        <w:jc w:val="both"/>
        <w:rPr>
          <w:rFonts w:eastAsia="Times New Roman"/>
        </w:rPr>
      </w:pPr>
      <w:r w:rsidRPr="005B0E9E">
        <w:rPr>
          <w:rFonts w:eastAsia="Times New Roman"/>
        </w:rPr>
        <w:t>Blackburne, T.</w:t>
      </w:r>
      <w:r w:rsidR="00DB1F66">
        <w:rPr>
          <w:rFonts w:eastAsia="Times New Roman"/>
        </w:rPr>
        <w:t xml:space="preserve"> (2</w:t>
      </w:r>
      <w:r w:rsidRPr="005B0E9E">
        <w:rPr>
          <w:rFonts w:eastAsia="Times New Roman"/>
        </w:rPr>
        <w:t>014</w:t>
      </w:r>
      <w:r w:rsidR="00DB1F66">
        <w:rPr>
          <w:rFonts w:eastAsia="Times New Roman"/>
        </w:rPr>
        <w:t>)</w:t>
      </w:r>
      <w:r w:rsidRPr="005B0E9E">
        <w:rPr>
          <w:rFonts w:eastAsia="Times New Roman"/>
        </w:rPr>
        <w:t xml:space="preserve">. Regulatory oversight and reporting incentives: Evidence from SEC budget allocations. </w:t>
      </w:r>
      <w:r w:rsidRPr="005B0E9E">
        <w:rPr>
          <w:rFonts w:eastAsia="Times New Roman"/>
          <w:i/>
          <w:iCs/>
        </w:rPr>
        <w:t xml:space="preserve">Working </w:t>
      </w:r>
      <w:r w:rsidR="00E57C6B" w:rsidRPr="005B0E9E">
        <w:rPr>
          <w:rFonts w:eastAsia="Times New Roman"/>
          <w:i/>
          <w:iCs/>
        </w:rPr>
        <w:t>p</w:t>
      </w:r>
      <w:r w:rsidRPr="005B0E9E">
        <w:rPr>
          <w:rFonts w:eastAsia="Times New Roman"/>
          <w:i/>
          <w:iCs/>
        </w:rPr>
        <w:t>aper</w:t>
      </w:r>
      <w:r w:rsidR="00E57C6B" w:rsidRPr="005B0E9E">
        <w:rPr>
          <w:rFonts w:eastAsia="Times New Roman"/>
          <w:i/>
          <w:iCs/>
        </w:rPr>
        <w:t>,</w:t>
      </w:r>
      <w:r w:rsidRPr="005B0E9E">
        <w:rPr>
          <w:rFonts w:eastAsia="Times New Roman"/>
          <w:i/>
          <w:iCs/>
        </w:rPr>
        <w:t xml:space="preserve"> University of Pennsylvania</w:t>
      </w:r>
      <w:r w:rsidRPr="005B0E9E">
        <w:rPr>
          <w:rFonts w:eastAsia="Times New Roman"/>
        </w:rPr>
        <w:t>.</w:t>
      </w:r>
    </w:p>
    <w:p w14:paraId="566CC1AF" w14:textId="11A6AFF0" w:rsidR="000F5388" w:rsidRPr="005B0E9E" w:rsidRDefault="000F5388" w:rsidP="00842A41">
      <w:pPr>
        <w:spacing w:after="200" w:line="276" w:lineRule="auto"/>
        <w:ind w:left="284" w:hanging="284"/>
        <w:jc w:val="both"/>
        <w:rPr>
          <w:rFonts w:eastAsia="Times New Roman"/>
        </w:rPr>
      </w:pPr>
      <w:proofErr w:type="spellStart"/>
      <w:r w:rsidRPr="005B0E9E">
        <w:rPr>
          <w:rFonts w:eastAsia="Times New Roman"/>
        </w:rPr>
        <w:t>Boeh</w:t>
      </w:r>
      <w:proofErr w:type="spellEnd"/>
      <w:r w:rsidRPr="005B0E9E">
        <w:rPr>
          <w:rFonts w:eastAsia="Times New Roman"/>
        </w:rPr>
        <w:t xml:space="preserve">, K. K., &amp; Dunbar, C. G. (2021). Raising capital after IPO withdrawal. </w:t>
      </w:r>
      <w:r w:rsidRPr="005B0E9E">
        <w:rPr>
          <w:rFonts w:eastAsia="Times New Roman"/>
          <w:i/>
          <w:iCs/>
        </w:rPr>
        <w:t xml:space="preserve">Journal of Corporate Finance, </w:t>
      </w:r>
      <w:r w:rsidRPr="00F522FB">
        <w:rPr>
          <w:rFonts w:eastAsia="Times New Roman"/>
          <w:i/>
          <w:iCs/>
        </w:rPr>
        <w:t>69</w:t>
      </w:r>
      <w:r w:rsidRPr="006E2772">
        <w:rPr>
          <w:rFonts w:eastAsia="Times New Roman"/>
        </w:rPr>
        <w:t>,</w:t>
      </w:r>
      <w:r w:rsidRPr="005B0E9E">
        <w:rPr>
          <w:rFonts w:eastAsia="Times New Roman"/>
        </w:rPr>
        <w:t xml:space="preserve"> 1–18. </w:t>
      </w:r>
    </w:p>
    <w:p w14:paraId="1D1602F5" w14:textId="1DEC69EE" w:rsidR="007D778A" w:rsidRPr="005B0E9E" w:rsidRDefault="00DB076B" w:rsidP="00842A41">
      <w:pPr>
        <w:spacing w:after="200" w:line="276" w:lineRule="auto"/>
        <w:ind w:left="284" w:hanging="284"/>
        <w:jc w:val="both"/>
        <w:rPr>
          <w:rFonts w:eastAsia="Times New Roman"/>
        </w:rPr>
      </w:pPr>
      <w:r w:rsidRPr="005B0E9E">
        <w:rPr>
          <w:rFonts w:eastAsia="Times New Roman"/>
        </w:rPr>
        <w:t xml:space="preserve">Bonsall, S. B., Leone, A.J., Miller, B. P., </w:t>
      </w:r>
      <w:proofErr w:type="spellStart"/>
      <w:r w:rsidRPr="005B0E9E">
        <w:rPr>
          <w:rFonts w:eastAsia="Times New Roman"/>
        </w:rPr>
        <w:t>Rennekamp</w:t>
      </w:r>
      <w:proofErr w:type="spellEnd"/>
      <w:r w:rsidRPr="005B0E9E">
        <w:rPr>
          <w:rFonts w:eastAsia="Times New Roman"/>
        </w:rPr>
        <w:t xml:space="preserve">, K. </w:t>
      </w:r>
      <w:r w:rsidR="00DB1F66">
        <w:rPr>
          <w:rFonts w:eastAsia="Times New Roman"/>
        </w:rPr>
        <w:t>(</w:t>
      </w:r>
      <w:r w:rsidRPr="005B0E9E">
        <w:rPr>
          <w:rFonts w:eastAsia="Times New Roman"/>
        </w:rPr>
        <w:t>2017</w:t>
      </w:r>
      <w:r w:rsidR="00DB1F66">
        <w:rPr>
          <w:rFonts w:eastAsia="Times New Roman"/>
        </w:rPr>
        <w:t>)</w:t>
      </w:r>
      <w:r w:rsidR="00B11064" w:rsidRPr="005B0E9E">
        <w:rPr>
          <w:rFonts w:eastAsia="Times New Roman"/>
        </w:rPr>
        <w:t xml:space="preserve">. A plain English measure of financial reporting readability. </w:t>
      </w:r>
      <w:r w:rsidR="00B11064" w:rsidRPr="005B0E9E">
        <w:rPr>
          <w:rFonts w:eastAsia="Times New Roman"/>
          <w:i/>
          <w:iCs/>
        </w:rPr>
        <w:t>Journal of Accounting and Economics</w:t>
      </w:r>
      <w:r w:rsidR="00B11064" w:rsidRPr="006E2772">
        <w:rPr>
          <w:rFonts w:eastAsia="Times New Roman"/>
        </w:rPr>
        <w:t xml:space="preserve">, </w:t>
      </w:r>
      <w:r w:rsidR="00B11064" w:rsidRPr="00F522FB">
        <w:rPr>
          <w:rFonts w:eastAsia="Times New Roman"/>
          <w:i/>
          <w:iCs/>
        </w:rPr>
        <w:t>63</w:t>
      </w:r>
      <w:r w:rsidR="00B11064" w:rsidRPr="006E2772">
        <w:rPr>
          <w:rFonts w:eastAsia="Times New Roman"/>
        </w:rPr>
        <w:t>(2-3),</w:t>
      </w:r>
      <w:r w:rsidR="00B11064" w:rsidRPr="005B0E9E">
        <w:rPr>
          <w:rFonts w:eastAsia="Times New Roman"/>
        </w:rPr>
        <w:t xml:space="preserve"> </w:t>
      </w:r>
      <w:r w:rsidR="00AF76B0" w:rsidRPr="005B0E9E">
        <w:rPr>
          <w:rFonts w:eastAsia="Times New Roman"/>
        </w:rPr>
        <w:t>329-357</w:t>
      </w:r>
    </w:p>
    <w:p w14:paraId="7319198C" w14:textId="11A88F4E" w:rsidR="00627054" w:rsidRPr="005B0E9E" w:rsidRDefault="00627054" w:rsidP="00842A41">
      <w:pPr>
        <w:spacing w:after="200" w:line="276" w:lineRule="auto"/>
        <w:ind w:left="284" w:hanging="284"/>
        <w:jc w:val="both"/>
      </w:pPr>
      <w:proofErr w:type="spellStart"/>
      <w:r w:rsidRPr="005B0E9E">
        <w:t>Brazel</w:t>
      </w:r>
      <w:proofErr w:type="spellEnd"/>
      <w:r w:rsidRPr="005B0E9E">
        <w:t xml:space="preserve">, J. F., Jones, K. L., &amp; </w:t>
      </w:r>
      <w:proofErr w:type="spellStart"/>
      <w:r w:rsidRPr="005B0E9E">
        <w:t>Zimbelman</w:t>
      </w:r>
      <w:proofErr w:type="spellEnd"/>
      <w:r w:rsidRPr="005B0E9E">
        <w:t>, M. F.</w:t>
      </w:r>
      <w:r w:rsidR="00DB1F66">
        <w:t xml:space="preserve"> (20</w:t>
      </w:r>
      <w:r w:rsidRPr="005B0E9E">
        <w:t>09</w:t>
      </w:r>
      <w:r w:rsidR="00DB1F66">
        <w:t>)</w:t>
      </w:r>
      <w:r w:rsidRPr="005B0E9E">
        <w:t xml:space="preserve">. Using nonfinancial measures to assess fraud risk. </w:t>
      </w:r>
      <w:r w:rsidRPr="005B0E9E">
        <w:rPr>
          <w:i/>
          <w:iCs/>
        </w:rPr>
        <w:t xml:space="preserve">Journal of Accounting Research, </w:t>
      </w:r>
      <w:r w:rsidRPr="00F522FB">
        <w:rPr>
          <w:i/>
          <w:iCs/>
        </w:rPr>
        <w:t>47</w:t>
      </w:r>
      <w:r w:rsidRPr="006E2772">
        <w:t>(5),</w:t>
      </w:r>
      <w:r w:rsidRPr="005B0E9E">
        <w:t xml:space="preserve"> 1135–1166.</w:t>
      </w:r>
    </w:p>
    <w:p w14:paraId="47AE0340" w14:textId="0A8E4D86" w:rsidR="005E1BA3" w:rsidRPr="005B0E9E" w:rsidRDefault="005E1BA3" w:rsidP="00842A41">
      <w:pPr>
        <w:spacing w:after="200" w:line="276" w:lineRule="auto"/>
        <w:ind w:left="284" w:hanging="284"/>
        <w:jc w:val="both"/>
        <w:rPr>
          <w:sz w:val="20"/>
          <w:szCs w:val="20"/>
        </w:rPr>
      </w:pPr>
      <w:r w:rsidRPr="005B0E9E">
        <w:rPr>
          <w:rFonts w:eastAsia="Times New Roman"/>
        </w:rPr>
        <w:t>Brown, S. V, Tian, X., &amp; Tucker.</w:t>
      </w:r>
      <w:r w:rsidR="00DB1F66">
        <w:rPr>
          <w:rFonts w:eastAsia="Times New Roman"/>
        </w:rPr>
        <w:t xml:space="preserve"> (20</w:t>
      </w:r>
      <w:r w:rsidRPr="005B0E9E">
        <w:rPr>
          <w:rFonts w:eastAsia="Times New Roman"/>
        </w:rPr>
        <w:t>18</w:t>
      </w:r>
      <w:r w:rsidR="00DB1F66">
        <w:rPr>
          <w:rFonts w:eastAsia="Times New Roman"/>
        </w:rPr>
        <w:t>)</w:t>
      </w:r>
      <w:r w:rsidRPr="005B0E9E">
        <w:rPr>
          <w:rFonts w:eastAsia="Times New Roman"/>
        </w:rPr>
        <w:t xml:space="preserve">. The </w:t>
      </w:r>
      <w:proofErr w:type="spellStart"/>
      <w:r w:rsidRPr="005B0E9E">
        <w:rPr>
          <w:rFonts w:eastAsia="Times New Roman"/>
        </w:rPr>
        <w:t>spillover</w:t>
      </w:r>
      <w:proofErr w:type="spellEnd"/>
      <w:r w:rsidRPr="005B0E9E">
        <w:rPr>
          <w:rFonts w:eastAsia="Times New Roman"/>
        </w:rPr>
        <w:t xml:space="preserve"> effect of SEC comment letters on qualitative corporate disclosure: Evidence from the risk factor disclosure. </w:t>
      </w:r>
      <w:r w:rsidR="00E57C6B" w:rsidRPr="005B0E9E">
        <w:rPr>
          <w:rFonts w:eastAsia="Times New Roman"/>
          <w:i/>
          <w:iCs/>
        </w:rPr>
        <w:t>Contemporary Accounting Research,</w:t>
      </w:r>
      <w:r w:rsidRPr="005B0E9E">
        <w:rPr>
          <w:rFonts w:eastAsia="Times New Roman"/>
          <w:i/>
          <w:iCs/>
        </w:rPr>
        <w:t xml:space="preserve"> </w:t>
      </w:r>
      <w:r w:rsidRPr="00F522FB">
        <w:rPr>
          <w:rFonts w:eastAsia="Times New Roman"/>
          <w:i/>
          <w:iCs/>
        </w:rPr>
        <w:t>35</w:t>
      </w:r>
      <w:r w:rsidRPr="005B0E9E">
        <w:rPr>
          <w:rFonts w:eastAsia="Times New Roman"/>
        </w:rPr>
        <w:t>(2), 622–656.</w:t>
      </w:r>
    </w:p>
    <w:p w14:paraId="465B6EEE" w14:textId="1040CB46" w:rsidR="005E1BA3" w:rsidRDefault="005E1BA3" w:rsidP="00842A41">
      <w:pPr>
        <w:spacing w:after="200" w:line="276" w:lineRule="auto"/>
        <w:ind w:left="284" w:hanging="284"/>
        <w:jc w:val="both"/>
        <w:rPr>
          <w:rFonts w:eastAsia="Times New Roman"/>
        </w:rPr>
      </w:pPr>
      <w:r w:rsidRPr="005B0E9E">
        <w:rPr>
          <w:rFonts w:eastAsia="Times New Roman"/>
        </w:rPr>
        <w:t>Cassell, C. A., Dreher, L. M., &amp; Myers, L. A.</w:t>
      </w:r>
      <w:r w:rsidR="00DB1F66">
        <w:rPr>
          <w:rFonts w:eastAsia="Times New Roman"/>
        </w:rPr>
        <w:t xml:space="preserve"> (20</w:t>
      </w:r>
      <w:r w:rsidRPr="005B0E9E">
        <w:rPr>
          <w:rFonts w:eastAsia="Times New Roman"/>
        </w:rPr>
        <w:t>13</w:t>
      </w:r>
      <w:r w:rsidR="00DB1F66">
        <w:rPr>
          <w:rFonts w:eastAsia="Times New Roman"/>
        </w:rPr>
        <w:t>)</w:t>
      </w:r>
      <w:r w:rsidRPr="005B0E9E">
        <w:rPr>
          <w:rFonts w:eastAsia="Times New Roman"/>
        </w:rPr>
        <w:t xml:space="preserve">. Reviewing the SEC’s review process: 10-K comment letters and the cost of remediation. </w:t>
      </w:r>
      <w:r w:rsidR="00E57C6B" w:rsidRPr="005B0E9E">
        <w:rPr>
          <w:rFonts w:eastAsia="Times New Roman"/>
          <w:i/>
          <w:iCs/>
        </w:rPr>
        <w:t>The Accounting Review,</w:t>
      </w:r>
      <w:r w:rsidRPr="005B0E9E">
        <w:rPr>
          <w:rFonts w:eastAsia="Times New Roman"/>
          <w:i/>
          <w:iCs/>
        </w:rPr>
        <w:t xml:space="preserve"> </w:t>
      </w:r>
      <w:r w:rsidRPr="00F522FB">
        <w:rPr>
          <w:rFonts w:eastAsia="Times New Roman"/>
          <w:i/>
          <w:iCs/>
        </w:rPr>
        <w:t>88</w:t>
      </w:r>
      <w:r w:rsidRPr="005B0E9E">
        <w:rPr>
          <w:rFonts w:eastAsia="Times New Roman"/>
        </w:rPr>
        <w:t>(6), 1875–1908.</w:t>
      </w:r>
    </w:p>
    <w:p w14:paraId="21363B9E" w14:textId="71C9E98E" w:rsidR="002A4834" w:rsidRPr="002A4834" w:rsidRDefault="002A4834" w:rsidP="00842A41">
      <w:pPr>
        <w:spacing w:after="200" w:line="276" w:lineRule="auto"/>
        <w:ind w:left="284" w:hanging="284"/>
        <w:jc w:val="both"/>
      </w:pPr>
      <w:proofErr w:type="spellStart"/>
      <w:r w:rsidRPr="002A4834">
        <w:rPr>
          <w:shd w:val="clear" w:color="auto" w:fill="FFFFFF"/>
        </w:rPr>
        <w:t>Chantziaras</w:t>
      </w:r>
      <w:proofErr w:type="spellEnd"/>
      <w:r w:rsidRPr="002A4834">
        <w:rPr>
          <w:shd w:val="clear" w:color="auto" w:fill="FFFFFF"/>
        </w:rPr>
        <w:t xml:space="preserve">, A., </w:t>
      </w:r>
      <w:proofErr w:type="spellStart"/>
      <w:r w:rsidRPr="002A4834">
        <w:rPr>
          <w:shd w:val="clear" w:color="auto" w:fill="FFFFFF"/>
        </w:rPr>
        <w:t>Koulikidou</w:t>
      </w:r>
      <w:proofErr w:type="spellEnd"/>
      <w:r w:rsidRPr="002A4834">
        <w:rPr>
          <w:shd w:val="clear" w:color="auto" w:fill="FFFFFF"/>
        </w:rPr>
        <w:t xml:space="preserve">, K., &amp; </w:t>
      </w:r>
      <w:proofErr w:type="spellStart"/>
      <w:r w:rsidRPr="002A4834">
        <w:rPr>
          <w:shd w:val="clear" w:color="auto" w:fill="FFFFFF"/>
        </w:rPr>
        <w:t>Leventis</w:t>
      </w:r>
      <w:proofErr w:type="spellEnd"/>
      <w:r w:rsidRPr="002A4834">
        <w:rPr>
          <w:shd w:val="clear" w:color="auto" w:fill="FFFFFF"/>
        </w:rPr>
        <w:t>, S. (2021). The power of words in capital markets: SEC comment letters on foreign issuers and the impact of home country enforcement. </w:t>
      </w:r>
      <w:r w:rsidRPr="002A4834">
        <w:rPr>
          <w:i/>
          <w:iCs/>
          <w:shd w:val="clear" w:color="auto" w:fill="FFFFFF"/>
        </w:rPr>
        <w:t>Journal of International Accounting, Auditing and Taxation</w:t>
      </w:r>
      <w:r w:rsidRPr="002A4834">
        <w:rPr>
          <w:shd w:val="clear" w:color="auto" w:fill="FFFFFF"/>
        </w:rPr>
        <w:t>, </w:t>
      </w:r>
      <w:r w:rsidRPr="00F522FB">
        <w:rPr>
          <w:i/>
          <w:iCs/>
          <w:shd w:val="clear" w:color="auto" w:fill="FFFFFF"/>
        </w:rPr>
        <w:t>42</w:t>
      </w:r>
      <w:r w:rsidRPr="002A4834">
        <w:rPr>
          <w:shd w:val="clear" w:color="auto" w:fill="FFFFFF"/>
        </w:rPr>
        <w:t>, 100359.</w:t>
      </w:r>
    </w:p>
    <w:p w14:paraId="7E47398A" w14:textId="20C2FBBF" w:rsidR="005E1BA3" w:rsidRPr="005B0E9E" w:rsidRDefault="005E1BA3" w:rsidP="00842A41">
      <w:pPr>
        <w:spacing w:after="200" w:line="276" w:lineRule="auto"/>
        <w:ind w:left="284" w:hanging="284"/>
        <w:jc w:val="both"/>
        <w:rPr>
          <w:sz w:val="20"/>
          <w:szCs w:val="20"/>
        </w:rPr>
      </w:pPr>
      <w:r w:rsidRPr="005B0E9E">
        <w:rPr>
          <w:rFonts w:eastAsia="Times New Roman"/>
        </w:rPr>
        <w:t>Chaplinsky, S., Hanley, K. W., &amp; Moon, S. K.</w:t>
      </w:r>
      <w:r w:rsidR="00DB1F66">
        <w:rPr>
          <w:rFonts w:eastAsia="Times New Roman"/>
        </w:rPr>
        <w:t xml:space="preserve"> (20</w:t>
      </w:r>
      <w:r w:rsidRPr="005B0E9E">
        <w:rPr>
          <w:rFonts w:eastAsia="Times New Roman"/>
        </w:rPr>
        <w:t>17</w:t>
      </w:r>
      <w:r w:rsidR="00DB1F66">
        <w:rPr>
          <w:rFonts w:eastAsia="Times New Roman"/>
        </w:rPr>
        <w:t>)</w:t>
      </w:r>
      <w:r w:rsidRPr="005B0E9E">
        <w:rPr>
          <w:rFonts w:eastAsia="Times New Roman"/>
        </w:rPr>
        <w:t xml:space="preserve">. The JOBS Act and the costs of going public. </w:t>
      </w:r>
      <w:r w:rsidR="00E57C6B" w:rsidRPr="005B0E9E">
        <w:rPr>
          <w:rFonts w:eastAsia="Times New Roman"/>
          <w:i/>
          <w:iCs/>
        </w:rPr>
        <w:t>Journal of Accounting Research,</w:t>
      </w:r>
      <w:r w:rsidRPr="005B0E9E">
        <w:rPr>
          <w:rFonts w:eastAsia="Times New Roman"/>
          <w:i/>
          <w:iCs/>
        </w:rPr>
        <w:t xml:space="preserve"> </w:t>
      </w:r>
      <w:r w:rsidRPr="00F522FB">
        <w:rPr>
          <w:rFonts w:eastAsia="Times New Roman"/>
          <w:i/>
          <w:iCs/>
        </w:rPr>
        <w:t>55</w:t>
      </w:r>
      <w:r w:rsidRPr="005B0E9E">
        <w:rPr>
          <w:rFonts w:eastAsia="Times New Roman"/>
        </w:rPr>
        <w:t>(4), 795–836.</w:t>
      </w:r>
    </w:p>
    <w:p w14:paraId="376CF486" w14:textId="3999F684" w:rsidR="005E1BA3" w:rsidRPr="005B0E9E" w:rsidRDefault="005E1BA3" w:rsidP="00842A41">
      <w:pPr>
        <w:spacing w:after="200" w:line="276" w:lineRule="auto"/>
        <w:ind w:left="284" w:hanging="284"/>
        <w:jc w:val="both"/>
        <w:rPr>
          <w:sz w:val="20"/>
          <w:szCs w:val="20"/>
        </w:rPr>
      </w:pPr>
      <w:r w:rsidRPr="005B0E9E">
        <w:rPr>
          <w:rFonts w:eastAsia="Times New Roman"/>
        </w:rPr>
        <w:lastRenderedPageBreak/>
        <w:t>Chen, R., &amp; Johnston, R.</w:t>
      </w:r>
      <w:r w:rsidR="00DB1F66">
        <w:rPr>
          <w:rFonts w:eastAsia="Times New Roman"/>
        </w:rPr>
        <w:t xml:space="preserve"> (20</w:t>
      </w:r>
      <w:r w:rsidRPr="005B0E9E">
        <w:rPr>
          <w:rFonts w:eastAsia="Times New Roman"/>
        </w:rPr>
        <w:t>10</w:t>
      </w:r>
      <w:r w:rsidR="00DB1F66">
        <w:rPr>
          <w:rFonts w:eastAsia="Times New Roman"/>
        </w:rPr>
        <w:t>)</w:t>
      </w:r>
      <w:r w:rsidRPr="005B0E9E">
        <w:rPr>
          <w:rFonts w:eastAsia="Times New Roman"/>
        </w:rPr>
        <w:t xml:space="preserve">. The effect of </w:t>
      </w:r>
      <w:proofErr w:type="spellStart"/>
      <w:r w:rsidRPr="005B0E9E">
        <w:rPr>
          <w:rFonts w:eastAsia="Times New Roman"/>
        </w:rPr>
        <w:t>regulator</w:t>
      </w:r>
      <w:proofErr w:type="spellEnd"/>
      <w:r w:rsidRPr="005B0E9E">
        <w:rPr>
          <w:rFonts w:eastAsia="Times New Roman"/>
        </w:rPr>
        <w:t xml:space="preserve"> oversight on firms’ information environment: Securities and exchange commission comment letters. </w:t>
      </w:r>
      <w:r w:rsidRPr="005B0E9E">
        <w:rPr>
          <w:rFonts w:eastAsia="Times New Roman"/>
          <w:i/>
          <w:iCs/>
        </w:rPr>
        <w:t xml:space="preserve">Working </w:t>
      </w:r>
      <w:r w:rsidR="00894BA3" w:rsidRPr="005B0E9E">
        <w:rPr>
          <w:rFonts w:eastAsia="Times New Roman"/>
          <w:i/>
          <w:iCs/>
        </w:rPr>
        <w:t>p</w:t>
      </w:r>
      <w:r w:rsidRPr="005B0E9E">
        <w:rPr>
          <w:rFonts w:eastAsia="Times New Roman"/>
          <w:i/>
          <w:iCs/>
        </w:rPr>
        <w:t>aper</w:t>
      </w:r>
      <w:r w:rsidR="00894BA3" w:rsidRPr="005B0E9E">
        <w:rPr>
          <w:rFonts w:eastAsia="Times New Roman"/>
          <w:i/>
          <w:iCs/>
        </w:rPr>
        <w:t>,</w:t>
      </w:r>
      <w:r w:rsidRPr="005B0E9E">
        <w:rPr>
          <w:rFonts w:eastAsia="Times New Roman"/>
          <w:i/>
          <w:iCs/>
        </w:rPr>
        <w:t xml:space="preserve"> MIT Sloan School of Management</w:t>
      </w:r>
      <w:r w:rsidRPr="005B0E9E">
        <w:rPr>
          <w:rFonts w:eastAsia="Times New Roman"/>
        </w:rPr>
        <w:t>.</w:t>
      </w:r>
    </w:p>
    <w:p w14:paraId="5B9918C9" w14:textId="73409484" w:rsidR="005E1BA3" w:rsidRPr="005B0E9E" w:rsidRDefault="005E1BA3" w:rsidP="00842A41">
      <w:pPr>
        <w:spacing w:after="200" w:line="276" w:lineRule="auto"/>
        <w:ind w:left="284" w:hanging="284"/>
        <w:jc w:val="both"/>
        <w:rPr>
          <w:sz w:val="20"/>
          <w:szCs w:val="20"/>
        </w:rPr>
      </w:pPr>
      <w:r w:rsidRPr="005B0E9E">
        <w:rPr>
          <w:rFonts w:eastAsia="Times New Roman"/>
        </w:rPr>
        <w:t>Cheng, P., Man, P., &amp; Yi, C. H.</w:t>
      </w:r>
      <w:r w:rsidR="00DB1F66">
        <w:rPr>
          <w:rFonts w:eastAsia="Times New Roman"/>
        </w:rPr>
        <w:t xml:space="preserve"> (20</w:t>
      </w:r>
      <w:r w:rsidRPr="005B0E9E">
        <w:rPr>
          <w:rFonts w:eastAsia="Times New Roman"/>
        </w:rPr>
        <w:t>13</w:t>
      </w:r>
      <w:r w:rsidR="00DB1F66">
        <w:rPr>
          <w:rFonts w:eastAsia="Times New Roman"/>
        </w:rPr>
        <w:t>)</w:t>
      </w:r>
      <w:r w:rsidRPr="005B0E9E">
        <w:rPr>
          <w:rFonts w:eastAsia="Times New Roman"/>
        </w:rPr>
        <w:t xml:space="preserve">. The impact of product market competition on earnings quality. </w:t>
      </w:r>
      <w:r w:rsidRPr="005B0E9E">
        <w:rPr>
          <w:rFonts w:eastAsia="Times New Roman"/>
          <w:i/>
          <w:iCs/>
        </w:rPr>
        <w:t>Account</w:t>
      </w:r>
      <w:r w:rsidR="00D456F0" w:rsidRPr="005B0E9E">
        <w:rPr>
          <w:rFonts w:eastAsia="Times New Roman"/>
          <w:i/>
          <w:iCs/>
        </w:rPr>
        <w:t xml:space="preserve">ing &amp; </w:t>
      </w:r>
      <w:r w:rsidRPr="005B0E9E">
        <w:rPr>
          <w:rFonts w:eastAsia="Times New Roman"/>
          <w:i/>
          <w:iCs/>
        </w:rPr>
        <w:t>Finance</w:t>
      </w:r>
      <w:r w:rsidR="00D456F0" w:rsidRPr="005B0E9E">
        <w:rPr>
          <w:rFonts w:eastAsia="Times New Roman"/>
          <w:i/>
          <w:iCs/>
        </w:rPr>
        <w:t>,</w:t>
      </w:r>
      <w:r w:rsidRPr="005B0E9E">
        <w:rPr>
          <w:rFonts w:eastAsia="Times New Roman"/>
          <w:i/>
          <w:iCs/>
        </w:rPr>
        <w:t xml:space="preserve"> </w:t>
      </w:r>
      <w:r w:rsidRPr="00F522FB">
        <w:rPr>
          <w:rFonts w:eastAsia="Times New Roman"/>
          <w:i/>
          <w:iCs/>
        </w:rPr>
        <w:t>53</w:t>
      </w:r>
      <w:r w:rsidRPr="005B0E9E">
        <w:rPr>
          <w:rFonts w:eastAsia="Times New Roman"/>
        </w:rPr>
        <w:t>(1), 137–162.</w:t>
      </w:r>
    </w:p>
    <w:p w14:paraId="2DEC545C" w14:textId="3D91133A" w:rsidR="005E1BA3" w:rsidRPr="005B0E9E" w:rsidRDefault="005E1BA3" w:rsidP="00842A41">
      <w:pPr>
        <w:spacing w:after="200" w:line="276" w:lineRule="auto"/>
        <w:ind w:left="284" w:hanging="284"/>
        <w:jc w:val="both"/>
        <w:rPr>
          <w:sz w:val="20"/>
          <w:szCs w:val="20"/>
        </w:rPr>
      </w:pPr>
      <w:bookmarkStart w:id="26" w:name="page30"/>
      <w:bookmarkEnd w:id="26"/>
      <w:proofErr w:type="spellStart"/>
      <w:r w:rsidRPr="005B0E9E">
        <w:rPr>
          <w:rFonts w:eastAsia="Times New Roman"/>
        </w:rPr>
        <w:t>Colaco</w:t>
      </w:r>
      <w:proofErr w:type="spellEnd"/>
      <w:r w:rsidRPr="005B0E9E">
        <w:rPr>
          <w:rFonts w:eastAsia="Times New Roman"/>
        </w:rPr>
        <w:t xml:space="preserve">, H. M. J., De </w:t>
      </w:r>
      <w:proofErr w:type="spellStart"/>
      <w:r w:rsidRPr="005B0E9E">
        <w:rPr>
          <w:rFonts w:eastAsia="Times New Roman"/>
        </w:rPr>
        <w:t>Cesari</w:t>
      </w:r>
      <w:proofErr w:type="spellEnd"/>
      <w:r w:rsidRPr="005B0E9E">
        <w:rPr>
          <w:rFonts w:eastAsia="Times New Roman"/>
        </w:rPr>
        <w:t>, A., &amp; Hegde, S. P.</w:t>
      </w:r>
      <w:r w:rsidR="00DB1F66">
        <w:rPr>
          <w:rFonts w:eastAsia="Times New Roman"/>
        </w:rPr>
        <w:t xml:space="preserve"> (20</w:t>
      </w:r>
      <w:r w:rsidRPr="005B0E9E">
        <w:rPr>
          <w:rFonts w:eastAsia="Times New Roman"/>
        </w:rPr>
        <w:t>18</w:t>
      </w:r>
      <w:r w:rsidR="00DB1F66">
        <w:rPr>
          <w:rFonts w:eastAsia="Times New Roman"/>
        </w:rPr>
        <w:t>)</w:t>
      </w:r>
      <w:r w:rsidRPr="005B0E9E">
        <w:rPr>
          <w:rFonts w:eastAsia="Times New Roman"/>
        </w:rPr>
        <w:t xml:space="preserve">. The waiting period of initial public offerings. </w:t>
      </w:r>
      <w:r w:rsidR="008A49D6" w:rsidRPr="005B0E9E">
        <w:rPr>
          <w:rFonts w:eastAsia="Times New Roman"/>
          <w:i/>
          <w:iCs/>
        </w:rPr>
        <w:t xml:space="preserve">European Journal of </w:t>
      </w:r>
      <w:r w:rsidRPr="005B0E9E">
        <w:rPr>
          <w:rFonts w:eastAsia="Times New Roman"/>
          <w:i/>
          <w:iCs/>
        </w:rPr>
        <w:t xml:space="preserve">Finance </w:t>
      </w:r>
      <w:r w:rsidRPr="00F522FB">
        <w:rPr>
          <w:rFonts w:eastAsia="Times New Roman"/>
          <w:i/>
          <w:iCs/>
        </w:rPr>
        <w:t>24</w:t>
      </w:r>
      <w:r w:rsidRPr="005B0E9E">
        <w:rPr>
          <w:rFonts w:eastAsia="Times New Roman"/>
        </w:rPr>
        <w:t>, 1–34.</w:t>
      </w:r>
    </w:p>
    <w:p w14:paraId="17F33BC8" w14:textId="0F8E8CC2" w:rsidR="005E1BA3" w:rsidRPr="005B0E9E" w:rsidRDefault="005E1BA3" w:rsidP="00842A41">
      <w:pPr>
        <w:spacing w:after="200" w:line="276" w:lineRule="auto"/>
        <w:ind w:left="284" w:hanging="284"/>
        <w:jc w:val="both"/>
        <w:rPr>
          <w:sz w:val="20"/>
          <w:szCs w:val="20"/>
        </w:rPr>
      </w:pPr>
      <w:proofErr w:type="spellStart"/>
      <w:r w:rsidRPr="005B0E9E">
        <w:rPr>
          <w:rFonts w:eastAsia="Times New Roman"/>
        </w:rPr>
        <w:t>Dambra</w:t>
      </w:r>
      <w:proofErr w:type="spellEnd"/>
      <w:r w:rsidRPr="005B0E9E">
        <w:rPr>
          <w:rFonts w:eastAsia="Times New Roman"/>
        </w:rPr>
        <w:t>, M., Field, L. C., &amp; Gustafson, M. T.</w:t>
      </w:r>
      <w:r w:rsidR="00DB1F66">
        <w:rPr>
          <w:rFonts w:eastAsia="Times New Roman"/>
        </w:rPr>
        <w:t xml:space="preserve"> (20</w:t>
      </w:r>
      <w:r w:rsidRPr="005B0E9E">
        <w:rPr>
          <w:rFonts w:eastAsia="Times New Roman"/>
        </w:rPr>
        <w:t>15</w:t>
      </w:r>
      <w:r w:rsidR="00DB1F66">
        <w:rPr>
          <w:rFonts w:eastAsia="Times New Roman"/>
        </w:rPr>
        <w:t>)</w:t>
      </w:r>
      <w:r w:rsidRPr="005B0E9E">
        <w:rPr>
          <w:rFonts w:eastAsia="Times New Roman"/>
        </w:rPr>
        <w:t xml:space="preserve">. The JOBS Act and IPO volume: Evidence that disclosure costs affect the IPO decision. </w:t>
      </w:r>
      <w:r w:rsidR="00894BA3" w:rsidRPr="005B0E9E">
        <w:rPr>
          <w:rFonts w:eastAsia="Times New Roman"/>
          <w:i/>
          <w:iCs/>
        </w:rPr>
        <w:t>Journal of Financial Economics,</w:t>
      </w:r>
      <w:r w:rsidRPr="005B0E9E">
        <w:rPr>
          <w:rFonts w:eastAsia="Times New Roman"/>
          <w:i/>
          <w:iCs/>
        </w:rPr>
        <w:t xml:space="preserve"> </w:t>
      </w:r>
      <w:r w:rsidRPr="00F522FB">
        <w:rPr>
          <w:rFonts w:eastAsia="Times New Roman"/>
          <w:i/>
          <w:iCs/>
        </w:rPr>
        <w:t>116</w:t>
      </w:r>
      <w:r w:rsidRPr="005B0E9E">
        <w:rPr>
          <w:rFonts w:eastAsia="Times New Roman"/>
        </w:rPr>
        <w:t>(1), 121–143.</w:t>
      </w:r>
    </w:p>
    <w:p w14:paraId="3394852E" w14:textId="6ABAAB3E" w:rsidR="005E1BA3" w:rsidRPr="005B0E9E" w:rsidRDefault="005E1BA3" w:rsidP="00842A41">
      <w:pPr>
        <w:spacing w:after="200" w:line="276" w:lineRule="auto"/>
        <w:ind w:left="284" w:hanging="284"/>
        <w:jc w:val="both"/>
        <w:rPr>
          <w:rFonts w:eastAsia="Times New Roman"/>
        </w:rPr>
      </w:pPr>
      <w:proofErr w:type="spellStart"/>
      <w:r w:rsidRPr="005B0E9E">
        <w:rPr>
          <w:rFonts w:eastAsia="Times New Roman"/>
        </w:rPr>
        <w:t>Dechow</w:t>
      </w:r>
      <w:proofErr w:type="spellEnd"/>
      <w:r w:rsidRPr="005B0E9E">
        <w:rPr>
          <w:rFonts w:eastAsia="Times New Roman"/>
        </w:rPr>
        <w:t xml:space="preserve">, P.M., Sloan, G. R., &amp; Sweeney, A. P. </w:t>
      </w:r>
      <w:r w:rsidR="00DB1F66">
        <w:rPr>
          <w:rFonts w:eastAsia="Times New Roman"/>
        </w:rPr>
        <w:t>(</w:t>
      </w:r>
      <w:r w:rsidRPr="005B0E9E">
        <w:rPr>
          <w:rFonts w:eastAsia="Times New Roman"/>
        </w:rPr>
        <w:t>1996</w:t>
      </w:r>
      <w:r w:rsidR="00DB1F66">
        <w:rPr>
          <w:rFonts w:eastAsia="Times New Roman"/>
        </w:rPr>
        <w:t>)</w:t>
      </w:r>
      <w:r w:rsidRPr="005B0E9E">
        <w:rPr>
          <w:rFonts w:eastAsia="Times New Roman"/>
        </w:rPr>
        <w:t>. Causes and consequences of earnings manipulation: An analysis of firms subject to enforcement actions by the SEC.</w:t>
      </w:r>
      <w:r w:rsidR="00894BA3" w:rsidRPr="005B0E9E">
        <w:rPr>
          <w:rFonts w:eastAsia="Times New Roman"/>
        </w:rPr>
        <w:t xml:space="preserve"> </w:t>
      </w:r>
      <w:r w:rsidR="00E57C6B" w:rsidRPr="005B0E9E">
        <w:rPr>
          <w:rFonts w:eastAsia="Times New Roman"/>
          <w:i/>
          <w:iCs/>
        </w:rPr>
        <w:t>Contemporary Accounting Research,</w:t>
      </w:r>
      <w:r w:rsidRPr="005B0E9E">
        <w:rPr>
          <w:rFonts w:eastAsia="Times New Roman"/>
          <w:i/>
          <w:iCs/>
        </w:rPr>
        <w:t xml:space="preserve"> </w:t>
      </w:r>
      <w:r w:rsidRPr="00F522FB">
        <w:rPr>
          <w:rFonts w:eastAsia="Times New Roman"/>
          <w:i/>
          <w:iCs/>
        </w:rPr>
        <w:t>13</w:t>
      </w:r>
      <w:r w:rsidRPr="005B0E9E">
        <w:rPr>
          <w:rFonts w:eastAsia="Times New Roman"/>
        </w:rPr>
        <w:t>(1), 1–36.</w:t>
      </w:r>
    </w:p>
    <w:p w14:paraId="135B5DF4" w14:textId="70764F09" w:rsidR="007A2F1C" w:rsidRPr="005B0E9E" w:rsidRDefault="007A2F1C" w:rsidP="00842A41">
      <w:pPr>
        <w:spacing w:after="200" w:line="276" w:lineRule="auto"/>
        <w:ind w:left="284" w:hanging="284"/>
        <w:jc w:val="both"/>
      </w:pPr>
      <w:r w:rsidRPr="005B0E9E">
        <w:t xml:space="preserve">Doyle, J., Ge, W. and </w:t>
      </w:r>
      <w:proofErr w:type="spellStart"/>
      <w:r w:rsidRPr="005B0E9E">
        <w:t>McVay</w:t>
      </w:r>
      <w:proofErr w:type="spellEnd"/>
      <w:r w:rsidRPr="005B0E9E">
        <w:t>, S.</w:t>
      </w:r>
      <w:r w:rsidR="00DB1F66">
        <w:t xml:space="preserve"> (20</w:t>
      </w:r>
      <w:r w:rsidRPr="005B0E9E">
        <w:t>07</w:t>
      </w:r>
      <w:r w:rsidR="00DB1F66">
        <w:t>)</w:t>
      </w:r>
      <w:r w:rsidRPr="005B0E9E">
        <w:t xml:space="preserve">. Determinants of weaknesses in internal control over financial reporting. </w:t>
      </w:r>
      <w:r w:rsidRPr="005B0E9E">
        <w:rPr>
          <w:i/>
          <w:iCs/>
        </w:rPr>
        <w:t>Journal of Accounting and Economics</w:t>
      </w:r>
      <w:r w:rsidRPr="006E2772">
        <w:t>,</w:t>
      </w:r>
      <w:r w:rsidRPr="005B0E9E">
        <w:rPr>
          <w:i/>
          <w:iCs/>
        </w:rPr>
        <w:t xml:space="preserve"> </w:t>
      </w:r>
      <w:r w:rsidRPr="00F522FB">
        <w:rPr>
          <w:i/>
          <w:iCs/>
        </w:rPr>
        <w:t>44</w:t>
      </w:r>
      <w:r w:rsidRPr="006E2772">
        <w:t>,</w:t>
      </w:r>
      <w:r w:rsidRPr="005B0E9E">
        <w:t xml:space="preserve"> 193–223.</w:t>
      </w:r>
    </w:p>
    <w:p w14:paraId="4775CB5D" w14:textId="16484F47" w:rsidR="00B04826" w:rsidRPr="005B0E9E" w:rsidRDefault="00124C23" w:rsidP="00842A41">
      <w:pPr>
        <w:spacing w:after="200" w:line="276" w:lineRule="auto"/>
        <w:ind w:left="284" w:hanging="284"/>
        <w:jc w:val="both"/>
      </w:pPr>
      <w:proofErr w:type="spellStart"/>
      <w:r w:rsidRPr="005B0E9E">
        <w:t>DuCharme</w:t>
      </w:r>
      <w:proofErr w:type="spellEnd"/>
      <w:r w:rsidRPr="005B0E9E">
        <w:t xml:space="preserve">, L. L., Malatesta, P. H., &amp; </w:t>
      </w:r>
      <w:proofErr w:type="spellStart"/>
      <w:r w:rsidRPr="005B0E9E">
        <w:t>Sefcik</w:t>
      </w:r>
      <w:proofErr w:type="spellEnd"/>
      <w:r w:rsidRPr="005B0E9E">
        <w:t>, S. E.</w:t>
      </w:r>
      <w:r w:rsidR="00DB1F66">
        <w:t xml:space="preserve"> (20</w:t>
      </w:r>
      <w:r w:rsidRPr="005B0E9E">
        <w:t>04</w:t>
      </w:r>
      <w:r w:rsidR="00DB1F66">
        <w:t>)</w:t>
      </w:r>
      <w:r w:rsidRPr="005B0E9E">
        <w:t xml:space="preserve">. Earnings management, stock issues, and shareholder lawsuits. </w:t>
      </w:r>
      <w:r w:rsidRPr="005B0E9E">
        <w:rPr>
          <w:i/>
          <w:iCs/>
        </w:rPr>
        <w:t>Journal of Financial Economics</w:t>
      </w:r>
      <w:r w:rsidRPr="006E2772">
        <w:t xml:space="preserve">, </w:t>
      </w:r>
      <w:r w:rsidRPr="00F522FB">
        <w:rPr>
          <w:i/>
          <w:iCs/>
        </w:rPr>
        <w:t>71</w:t>
      </w:r>
      <w:r w:rsidRPr="006E2772">
        <w:t>(1),</w:t>
      </w:r>
      <w:r w:rsidRPr="005B0E9E">
        <w:t xml:space="preserve"> 27–49.</w:t>
      </w:r>
    </w:p>
    <w:p w14:paraId="40CDE034" w14:textId="24836992" w:rsidR="005E1BA3" w:rsidRPr="005B0E9E" w:rsidRDefault="005E1BA3" w:rsidP="00842A41">
      <w:pPr>
        <w:spacing w:after="200" w:line="276" w:lineRule="auto"/>
        <w:ind w:left="284" w:hanging="284"/>
        <w:jc w:val="both"/>
        <w:rPr>
          <w:sz w:val="20"/>
          <w:szCs w:val="20"/>
        </w:rPr>
      </w:pPr>
      <w:proofErr w:type="spellStart"/>
      <w:r w:rsidRPr="005B0E9E">
        <w:rPr>
          <w:rFonts w:eastAsia="Times New Roman"/>
        </w:rPr>
        <w:t>Duro</w:t>
      </w:r>
      <w:proofErr w:type="spellEnd"/>
      <w:r w:rsidRPr="005B0E9E">
        <w:rPr>
          <w:rFonts w:eastAsia="Times New Roman"/>
        </w:rPr>
        <w:t xml:space="preserve">, M., </w:t>
      </w:r>
      <w:proofErr w:type="spellStart"/>
      <w:r w:rsidRPr="005B0E9E">
        <w:rPr>
          <w:rFonts w:eastAsia="Times New Roman"/>
        </w:rPr>
        <w:t>Heese</w:t>
      </w:r>
      <w:proofErr w:type="spellEnd"/>
      <w:r w:rsidRPr="005B0E9E">
        <w:rPr>
          <w:rFonts w:eastAsia="Times New Roman"/>
        </w:rPr>
        <w:t xml:space="preserve">, J., &amp; </w:t>
      </w:r>
      <w:proofErr w:type="spellStart"/>
      <w:r w:rsidRPr="005B0E9E">
        <w:rPr>
          <w:rFonts w:eastAsia="Times New Roman"/>
        </w:rPr>
        <w:t>Ormazabal</w:t>
      </w:r>
      <w:proofErr w:type="spellEnd"/>
      <w:r w:rsidRPr="005B0E9E">
        <w:rPr>
          <w:rFonts w:eastAsia="Times New Roman"/>
        </w:rPr>
        <w:t>, G.</w:t>
      </w:r>
      <w:r w:rsidR="00DB1F66">
        <w:rPr>
          <w:rFonts w:eastAsia="Times New Roman"/>
        </w:rPr>
        <w:t xml:space="preserve"> (20</w:t>
      </w:r>
      <w:r w:rsidRPr="005B0E9E">
        <w:rPr>
          <w:rFonts w:eastAsia="Times New Roman"/>
        </w:rPr>
        <w:t>17</w:t>
      </w:r>
      <w:r w:rsidR="00DB1F66">
        <w:rPr>
          <w:rFonts w:eastAsia="Times New Roman"/>
        </w:rPr>
        <w:t>)</w:t>
      </w:r>
      <w:r w:rsidRPr="005B0E9E">
        <w:rPr>
          <w:rFonts w:eastAsia="Times New Roman"/>
        </w:rPr>
        <w:t>. Does the public disclosure of the SEC’s oversight</w:t>
      </w:r>
      <w:r w:rsidR="00894BA3" w:rsidRPr="005B0E9E">
        <w:rPr>
          <w:rFonts w:eastAsia="Times New Roman"/>
        </w:rPr>
        <w:t xml:space="preserve"> </w:t>
      </w:r>
      <w:r w:rsidRPr="005B0E9E">
        <w:rPr>
          <w:rFonts w:eastAsia="Times New Roman"/>
        </w:rPr>
        <w:t>actions</w:t>
      </w:r>
      <w:r w:rsidR="00894BA3" w:rsidRPr="005B0E9E">
        <w:rPr>
          <w:rFonts w:eastAsia="Times New Roman"/>
        </w:rPr>
        <w:t xml:space="preserve"> </w:t>
      </w:r>
      <w:r w:rsidRPr="005B0E9E">
        <w:rPr>
          <w:rFonts w:eastAsia="Times New Roman"/>
        </w:rPr>
        <w:t xml:space="preserve">matter? </w:t>
      </w:r>
      <w:r w:rsidRPr="005B0E9E">
        <w:rPr>
          <w:rFonts w:eastAsia="Times New Roman"/>
          <w:i/>
          <w:iCs/>
        </w:rPr>
        <w:t>CEPR Discussion Paper No. DP12145</w:t>
      </w:r>
      <w:r w:rsidRPr="005B0E9E">
        <w:rPr>
          <w:rFonts w:eastAsia="Times New Roman"/>
        </w:rPr>
        <w:t>.</w:t>
      </w:r>
    </w:p>
    <w:p w14:paraId="7F8D666B" w14:textId="2B590366" w:rsidR="005E1BA3" w:rsidRPr="005B0E9E" w:rsidRDefault="005E1BA3" w:rsidP="00842A41">
      <w:pPr>
        <w:spacing w:after="200" w:line="276" w:lineRule="auto"/>
        <w:ind w:left="284" w:hanging="284"/>
        <w:jc w:val="both"/>
        <w:rPr>
          <w:sz w:val="20"/>
          <w:szCs w:val="20"/>
        </w:rPr>
      </w:pPr>
      <w:proofErr w:type="spellStart"/>
      <w:r w:rsidRPr="005B0E9E">
        <w:rPr>
          <w:rFonts w:eastAsia="Times New Roman"/>
        </w:rPr>
        <w:t>Ertimur</w:t>
      </w:r>
      <w:proofErr w:type="spellEnd"/>
      <w:r w:rsidRPr="005B0E9E">
        <w:rPr>
          <w:rFonts w:eastAsia="Times New Roman"/>
        </w:rPr>
        <w:t xml:space="preserve">, Y., &amp; </w:t>
      </w:r>
      <w:proofErr w:type="spellStart"/>
      <w:r w:rsidRPr="005B0E9E">
        <w:rPr>
          <w:rFonts w:eastAsia="Times New Roman"/>
        </w:rPr>
        <w:t>Nondorf</w:t>
      </w:r>
      <w:proofErr w:type="spellEnd"/>
      <w:r w:rsidRPr="005B0E9E">
        <w:rPr>
          <w:rFonts w:eastAsia="Times New Roman"/>
        </w:rPr>
        <w:t>, M. E.</w:t>
      </w:r>
      <w:r w:rsidR="00DB1F66">
        <w:rPr>
          <w:rFonts w:eastAsia="Times New Roman"/>
        </w:rPr>
        <w:t xml:space="preserve"> (20</w:t>
      </w:r>
      <w:r w:rsidRPr="005B0E9E">
        <w:rPr>
          <w:rFonts w:eastAsia="Times New Roman"/>
        </w:rPr>
        <w:t>06</w:t>
      </w:r>
      <w:r w:rsidR="00DB1F66">
        <w:rPr>
          <w:rFonts w:eastAsia="Times New Roman"/>
        </w:rPr>
        <w:t>)</w:t>
      </w:r>
      <w:r w:rsidRPr="005B0E9E">
        <w:rPr>
          <w:rFonts w:eastAsia="Times New Roman"/>
        </w:rPr>
        <w:t xml:space="preserve">. IPO </w:t>
      </w:r>
      <w:r w:rsidR="00434A62">
        <w:rPr>
          <w:rFonts w:eastAsia="Times New Roman"/>
        </w:rPr>
        <w:t>f</w:t>
      </w:r>
      <w:r w:rsidRPr="005B0E9E">
        <w:rPr>
          <w:rFonts w:eastAsia="Times New Roman"/>
        </w:rPr>
        <w:t xml:space="preserve">irms and the SEC </w:t>
      </w:r>
      <w:r w:rsidR="00434A62">
        <w:rPr>
          <w:rFonts w:eastAsia="Times New Roman"/>
        </w:rPr>
        <w:t>c</w:t>
      </w:r>
      <w:r w:rsidRPr="005B0E9E">
        <w:rPr>
          <w:rFonts w:eastAsia="Times New Roman"/>
        </w:rPr>
        <w:t xml:space="preserve">omment </w:t>
      </w:r>
      <w:r w:rsidR="00434A62">
        <w:rPr>
          <w:rFonts w:eastAsia="Times New Roman"/>
        </w:rPr>
        <w:t>l</w:t>
      </w:r>
      <w:r w:rsidRPr="005B0E9E">
        <w:rPr>
          <w:rFonts w:eastAsia="Times New Roman"/>
        </w:rPr>
        <w:t xml:space="preserve">etter </w:t>
      </w:r>
      <w:r w:rsidR="00434A62">
        <w:rPr>
          <w:rFonts w:eastAsia="Times New Roman"/>
        </w:rPr>
        <w:t>p</w:t>
      </w:r>
      <w:r w:rsidRPr="005B0E9E">
        <w:rPr>
          <w:rFonts w:eastAsia="Times New Roman"/>
        </w:rPr>
        <w:t>rocess.</w:t>
      </w:r>
      <w:r w:rsidR="00E21618" w:rsidRPr="005B0E9E">
        <w:rPr>
          <w:rFonts w:eastAsia="Times New Roman"/>
        </w:rPr>
        <w:t xml:space="preserve"> </w:t>
      </w:r>
      <w:r w:rsidRPr="005B0E9E">
        <w:rPr>
          <w:rFonts w:eastAsia="Times New Roman"/>
          <w:i/>
          <w:iCs/>
        </w:rPr>
        <w:t>Working paper</w:t>
      </w:r>
      <w:r w:rsidR="00E21618" w:rsidRPr="005B0E9E">
        <w:rPr>
          <w:rFonts w:eastAsia="Times New Roman"/>
          <w:i/>
          <w:iCs/>
        </w:rPr>
        <w:t>,</w:t>
      </w:r>
      <w:r w:rsidRPr="005B0E9E">
        <w:rPr>
          <w:rFonts w:eastAsia="Times New Roman"/>
          <w:i/>
          <w:iCs/>
        </w:rPr>
        <w:t xml:space="preserve"> Duke University</w:t>
      </w:r>
      <w:r w:rsidRPr="005B0E9E">
        <w:rPr>
          <w:rFonts w:eastAsia="Times New Roman"/>
        </w:rPr>
        <w:t>.</w:t>
      </w:r>
    </w:p>
    <w:p w14:paraId="6A2DAFA9" w14:textId="00C409C0" w:rsidR="005E1BA3" w:rsidRPr="005B0E9E" w:rsidRDefault="005E1BA3" w:rsidP="00842A41">
      <w:pPr>
        <w:spacing w:after="200" w:line="276" w:lineRule="auto"/>
        <w:ind w:left="284" w:hanging="284"/>
        <w:jc w:val="both"/>
        <w:rPr>
          <w:sz w:val="20"/>
          <w:szCs w:val="20"/>
        </w:rPr>
      </w:pPr>
      <w:proofErr w:type="spellStart"/>
      <w:r w:rsidRPr="005B0E9E">
        <w:rPr>
          <w:rFonts w:eastAsia="Times New Roman"/>
        </w:rPr>
        <w:t>Eskin</w:t>
      </w:r>
      <w:proofErr w:type="spellEnd"/>
      <w:r w:rsidRPr="005B0E9E">
        <w:rPr>
          <w:rFonts w:eastAsia="Times New Roman"/>
        </w:rPr>
        <w:t xml:space="preserve">, E., &amp; </w:t>
      </w:r>
      <w:proofErr w:type="spellStart"/>
      <w:r w:rsidRPr="005B0E9E">
        <w:rPr>
          <w:rFonts w:eastAsia="Times New Roman"/>
        </w:rPr>
        <w:t>Bogosian</w:t>
      </w:r>
      <w:proofErr w:type="spellEnd"/>
      <w:r w:rsidRPr="005B0E9E">
        <w:rPr>
          <w:rFonts w:eastAsia="Times New Roman"/>
        </w:rPr>
        <w:t xml:space="preserve">, M. </w:t>
      </w:r>
      <w:r w:rsidR="00DB1F66">
        <w:rPr>
          <w:rFonts w:eastAsia="Times New Roman"/>
        </w:rPr>
        <w:t>(</w:t>
      </w:r>
      <w:r w:rsidRPr="005B0E9E">
        <w:rPr>
          <w:rFonts w:eastAsia="Times New Roman"/>
        </w:rPr>
        <w:t>1998</w:t>
      </w:r>
      <w:r w:rsidR="00DB1F66">
        <w:rPr>
          <w:rFonts w:eastAsia="Times New Roman"/>
        </w:rPr>
        <w:t>)</w:t>
      </w:r>
      <w:r w:rsidRPr="005B0E9E">
        <w:rPr>
          <w:rFonts w:eastAsia="Times New Roman"/>
        </w:rPr>
        <w:t xml:space="preserve">. Classifying </w:t>
      </w:r>
      <w:r w:rsidR="00BC556C">
        <w:rPr>
          <w:rFonts w:eastAsia="Times New Roman"/>
        </w:rPr>
        <w:t>t</w:t>
      </w:r>
      <w:r w:rsidRPr="005B0E9E">
        <w:rPr>
          <w:rFonts w:eastAsia="Times New Roman"/>
        </w:rPr>
        <w:t xml:space="preserve">ext </w:t>
      </w:r>
      <w:r w:rsidR="00BC556C">
        <w:rPr>
          <w:rFonts w:eastAsia="Times New Roman"/>
        </w:rPr>
        <w:t>d</w:t>
      </w:r>
      <w:r w:rsidRPr="005B0E9E">
        <w:rPr>
          <w:rFonts w:eastAsia="Times New Roman"/>
        </w:rPr>
        <w:t xml:space="preserve">ocuments using </w:t>
      </w:r>
      <w:r w:rsidR="00BC556C">
        <w:rPr>
          <w:rFonts w:eastAsia="Times New Roman"/>
        </w:rPr>
        <w:t>m</w:t>
      </w:r>
      <w:r w:rsidRPr="005B0E9E">
        <w:rPr>
          <w:rFonts w:eastAsia="Times New Roman"/>
        </w:rPr>
        <w:t xml:space="preserve">odular </w:t>
      </w:r>
      <w:r w:rsidR="00BC556C">
        <w:rPr>
          <w:rFonts w:eastAsia="Times New Roman"/>
        </w:rPr>
        <w:t>c</w:t>
      </w:r>
      <w:r w:rsidRPr="005B0E9E">
        <w:rPr>
          <w:rFonts w:eastAsia="Times New Roman"/>
        </w:rPr>
        <w:t xml:space="preserve">ategories and </w:t>
      </w:r>
      <w:r w:rsidR="00BC556C">
        <w:rPr>
          <w:rFonts w:eastAsia="Times New Roman"/>
        </w:rPr>
        <w:t>l</w:t>
      </w:r>
      <w:r w:rsidRPr="005B0E9E">
        <w:rPr>
          <w:rFonts w:eastAsia="Times New Roman"/>
        </w:rPr>
        <w:t xml:space="preserve">inguistically </w:t>
      </w:r>
      <w:r w:rsidR="00BC556C">
        <w:rPr>
          <w:rFonts w:eastAsia="Times New Roman"/>
        </w:rPr>
        <w:t>m</w:t>
      </w:r>
      <w:r w:rsidRPr="005B0E9E">
        <w:rPr>
          <w:rFonts w:eastAsia="Times New Roman"/>
        </w:rPr>
        <w:t xml:space="preserve">otivated </w:t>
      </w:r>
      <w:r w:rsidR="00BC556C">
        <w:rPr>
          <w:rFonts w:eastAsia="Times New Roman"/>
        </w:rPr>
        <w:t>i</w:t>
      </w:r>
      <w:r w:rsidRPr="005B0E9E">
        <w:rPr>
          <w:rFonts w:eastAsia="Times New Roman"/>
        </w:rPr>
        <w:t xml:space="preserve">ndicators. </w:t>
      </w:r>
      <w:r w:rsidRPr="005B0E9E">
        <w:rPr>
          <w:rFonts w:eastAsia="Times New Roman"/>
          <w:i/>
          <w:iCs/>
        </w:rPr>
        <w:t>AAAI Technical Report WS-98-05</w:t>
      </w:r>
      <w:r w:rsidRPr="005B0E9E">
        <w:rPr>
          <w:rFonts w:eastAsia="Times New Roman"/>
        </w:rPr>
        <w:t>.</w:t>
      </w:r>
    </w:p>
    <w:p w14:paraId="50EF1334" w14:textId="6F1623E4" w:rsidR="005E1BA3" w:rsidRPr="005B0E9E" w:rsidRDefault="005E1BA3" w:rsidP="00842A41">
      <w:pPr>
        <w:spacing w:after="200" w:line="276" w:lineRule="auto"/>
        <w:ind w:left="284" w:hanging="284"/>
        <w:jc w:val="both"/>
        <w:rPr>
          <w:rFonts w:eastAsia="Times New Roman"/>
        </w:rPr>
      </w:pPr>
      <w:proofErr w:type="spellStart"/>
      <w:r w:rsidRPr="005B0E9E">
        <w:rPr>
          <w:rFonts w:eastAsia="Times New Roman"/>
        </w:rPr>
        <w:t>Ettredge</w:t>
      </w:r>
      <w:proofErr w:type="spellEnd"/>
      <w:r w:rsidRPr="005B0E9E">
        <w:rPr>
          <w:rFonts w:eastAsia="Times New Roman"/>
        </w:rPr>
        <w:t>, M., Johnstone, K., Stone, M., &amp; Wang, Q.</w:t>
      </w:r>
      <w:r w:rsidR="00DB1F66">
        <w:rPr>
          <w:rFonts w:eastAsia="Times New Roman"/>
        </w:rPr>
        <w:t xml:space="preserve"> (20</w:t>
      </w:r>
      <w:r w:rsidRPr="005B0E9E">
        <w:rPr>
          <w:rFonts w:eastAsia="Times New Roman"/>
        </w:rPr>
        <w:t>11</w:t>
      </w:r>
      <w:r w:rsidR="00DB1F66">
        <w:rPr>
          <w:rFonts w:eastAsia="Times New Roman"/>
        </w:rPr>
        <w:t>)</w:t>
      </w:r>
      <w:r w:rsidRPr="005B0E9E">
        <w:rPr>
          <w:rFonts w:eastAsia="Times New Roman"/>
        </w:rPr>
        <w:t xml:space="preserve">. The effects of firm size, corporate governance quality, and bad news on disclosure compliance. </w:t>
      </w:r>
      <w:r w:rsidR="00BA79A4" w:rsidRPr="005B0E9E">
        <w:rPr>
          <w:rFonts w:eastAsia="Times New Roman"/>
          <w:i/>
          <w:iCs/>
        </w:rPr>
        <w:t>Review of Accounting Studies</w:t>
      </w:r>
      <w:r w:rsidR="00BA79A4" w:rsidRPr="006E2772">
        <w:rPr>
          <w:rFonts w:eastAsia="Times New Roman"/>
        </w:rPr>
        <w:t>,</w:t>
      </w:r>
      <w:r w:rsidRPr="006E2772">
        <w:rPr>
          <w:rFonts w:eastAsia="Times New Roman"/>
        </w:rPr>
        <w:t xml:space="preserve"> </w:t>
      </w:r>
      <w:r w:rsidRPr="00F522FB">
        <w:rPr>
          <w:rFonts w:eastAsia="Times New Roman"/>
          <w:i/>
          <w:iCs/>
        </w:rPr>
        <w:t>16</w:t>
      </w:r>
      <w:r w:rsidRPr="005B0E9E">
        <w:rPr>
          <w:rFonts w:eastAsia="Times New Roman"/>
        </w:rPr>
        <w:t>(4), 866–889.</w:t>
      </w:r>
    </w:p>
    <w:p w14:paraId="349CDA78" w14:textId="3F6BDE82" w:rsidR="00126774" w:rsidRPr="005B0E9E" w:rsidRDefault="00126774" w:rsidP="00842A41">
      <w:pPr>
        <w:spacing w:after="200" w:line="276" w:lineRule="auto"/>
        <w:ind w:left="284" w:hanging="284"/>
        <w:jc w:val="both"/>
      </w:pPr>
      <w:r w:rsidRPr="005B0E9E">
        <w:t xml:space="preserve">Filatotchev, I., </w:t>
      </w:r>
      <w:proofErr w:type="spellStart"/>
      <w:r w:rsidRPr="005B0E9E">
        <w:t>Jona</w:t>
      </w:r>
      <w:proofErr w:type="spellEnd"/>
      <w:r w:rsidRPr="005B0E9E">
        <w:t xml:space="preserve">, J., &amp; </w:t>
      </w:r>
      <w:proofErr w:type="spellStart"/>
      <w:r w:rsidRPr="005B0E9E">
        <w:t>Livne</w:t>
      </w:r>
      <w:proofErr w:type="spellEnd"/>
      <w:r w:rsidRPr="005B0E9E">
        <w:t>, G.</w:t>
      </w:r>
      <w:r w:rsidR="00DB1F66">
        <w:t xml:space="preserve"> (20</w:t>
      </w:r>
      <w:r w:rsidRPr="005B0E9E">
        <w:t>19</w:t>
      </w:r>
      <w:r w:rsidR="00DB1F66">
        <w:t>)</w:t>
      </w:r>
      <w:r w:rsidRPr="005B0E9E">
        <w:t xml:space="preserve">. Earnings </w:t>
      </w:r>
      <w:r w:rsidR="00A64B5C">
        <w:t>m</w:t>
      </w:r>
      <w:r w:rsidRPr="005B0E9E">
        <w:t xml:space="preserve">anagement in </w:t>
      </w:r>
      <w:r w:rsidR="00A64B5C">
        <w:t>d</w:t>
      </w:r>
      <w:r w:rsidRPr="005B0E9E">
        <w:t xml:space="preserve">omestic and </w:t>
      </w:r>
      <w:r w:rsidR="00A64B5C">
        <w:t>f</w:t>
      </w:r>
      <w:r w:rsidRPr="005B0E9E">
        <w:t xml:space="preserve">oreign IPOs in the United States: Do </w:t>
      </w:r>
      <w:r w:rsidR="00A64B5C">
        <w:t>h</w:t>
      </w:r>
      <w:r w:rsidRPr="005B0E9E">
        <w:t xml:space="preserve">ome </w:t>
      </w:r>
      <w:r w:rsidR="00A64B5C">
        <w:t>c</w:t>
      </w:r>
      <w:r w:rsidRPr="005B0E9E">
        <w:t xml:space="preserve">ountry </w:t>
      </w:r>
      <w:r w:rsidR="00A64B5C">
        <w:t>i</w:t>
      </w:r>
      <w:r w:rsidRPr="005B0E9E">
        <w:t xml:space="preserve">nstitutions </w:t>
      </w:r>
      <w:r w:rsidR="00A64B5C">
        <w:t>m</w:t>
      </w:r>
      <w:r w:rsidRPr="005B0E9E">
        <w:t xml:space="preserve">atter? </w:t>
      </w:r>
      <w:r w:rsidRPr="005B0E9E">
        <w:rPr>
          <w:i/>
          <w:iCs/>
        </w:rPr>
        <w:t>European Accounting Review</w:t>
      </w:r>
      <w:r w:rsidRPr="006E2772">
        <w:t xml:space="preserve">, </w:t>
      </w:r>
      <w:r w:rsidRPr="00F522FB">
        <w:rPr>
          <w:i/>
          <w:iCs/>
        </w:rPr>
        <w:t>29</w:t>
      </w:r>
      <w:r w:rsidRPr="006E2772">
        <w:t>(2),</w:t>
      </w:r>
      <w:r w:rsidRPr="005B0E9E">
        <w:t xml:space="preserve"> 307-335</w:t>
      </w:r>
    </w:p>
    <w:p w14:paraId="3B55DB43" w14:textId="2B50258F" w:rsidR="005E1BA3" w:rsidRPr="005B0E9E" w:rsidRDefault="005E1BA3" w:rsidP="00842A41">
      <w:pPr>
        <w:spacing w:after="200" w:line="276" w:lineRule="auto"/>
        <w:ind w:left="284" w:hanging="284"/>
        <w:jc w:val="both"/>
        <w:rPr>
          <w:rFonts w:eastAsia="Times New Roman"/>
        </w:rPr>
      </w:pPr>
      <w:r w:rsidRPr="005B0E9E">
        <w:rPr>
          <w:rFonts w:eastAsia="Times New Roman"/>
        </w:rPr>
        <w:t>Forbes</w:t>
      </w:r>
      <w:r w:rsidR="00DB1F66">
        <w:rPr>
          <w:rFonts w:eastAsia="Times New Roman"/>
        </w:rPr>
        <w:t xml:space="preserve"> (20</w:t>
      </w:r>
      <w:r w:rsidRPr="005B0E9E">
        <w:rPr>
          <w:rFonts w:eastAsia="Times New Roman"/>
        </w:rPr>
        <w:t>13</w:t>
      </w:r>
      <w:r w:rsidR="00DB1F66">
        <w:rPr>
          <w:rFonts w:eastAsia="Times New Roman"/>
        </w:rPr>
        <w:t>)</w:t>
      </w:r>
      <w:r w:rsidRPr="005B0E9E">
        <w:rPr>
          <w:rFonts w:eastAsia="Times New Roman"/>
        </w:rPr>
        <w:t xml:space="preserve">. </w:t>
      </w:r>
      <w:r w:rsidRPr="00C4133D">
        <w:rPr>
          <w:rFonts w:eastAsia="Times New Roman"/>
        </w:rPr>
        <w:t xml:space="preserve">Why </w:t>
      </w:r>
      <w:r w:rsidR="00E75D87" w:rsidRPr="00C4133D">
        <w:rPr>
          <w:rFonts w:eastAsia="Times New Roman"/>
        </w:rPr>
        <w:t>t</w:t>
      </w:r>
      <w:r w:rsidRPr="00C4133D">
        <w:rPr>
          <w:rFonts w:eastAsia="Times New Roman"/>
        </w:rPr>
        <w:t xml:space="preserve">he JOBS Act </w:t>
      </w:r>
      <w:r w:rsidR="00E75D87" w:rsidRPr="00C4133D">
        <w:rPr>
          <w:rFonts w:eastAsia="Times New Roman"/>
        </w:rPr>
        <w:t>i</w:t>
      </w:r>
      <w:r w:rsidRPr="00C4133D">
        <w:rPr>
          <w:rFonts w:eastAsia="Times New Roman"/>
        </w:rPr>
        <w:t xml:space="preserve">s </w:t>
      </w:r>
      <w:r w:rsidR="00E75D87" w:rsidRPr="00C4133D">
        <w:rPr>
          <w:rFonts w:eastAsia="Times New Roman"/>
        </w:rPr>
        <w:t>a</w:t>
      </w:r>
      <w:r w:rsidRPr="00C4133D">
        <w:rPr>
          <w:rFonts w:eastAsia="Times New Roman"/>
        </w:rPr>
        <w:t xml:space="preserve"> </w:t>
      </w:r>
      <w:r w:rsidR="00E75D87" w:rsidRPr="00C4133D">
        <w:rPr>
          <w:rFonts w:eastAsia="Times New Roman"/>
        </w:rPr>
        <w:t>l</w:t>
      </w:r>
      <w:r w:rsidRPr="00C4133D">
        <w:rPr>
          <w:rFonts w:eastAsia="Times New Roman"/>
        </w:rPr>
        <w:t xml:space="preserve">ifesaver </w:t>
      </w:r>
      <w:r w:rsidR="00E75D87" w:rsidRPr="00C4133D">
        <w:rPr>
          <w:rFonts w:eastAsia="Times New Roman"/>
        </w:rPr>
        <w:t>f</w:t>
      </w:r>
      <w:r w:rsidRPr="00C4133D">
        <w:rPr>
          <w:rFonts w:eastAsia="Times New Roman"/>
        </w:rPr>
        <w:t xml:space="preserve">or </w:t>
      </w:r>
      <w:r w:rsidR="00E75D87" w:rsidRPr="00C4133D">
        <w:rPr>
          <w:rFonts w:eastAsia="Times New Roman"/>
        </w:rPr>
        <w:t>l</w:t>
      </w:r>
      <w:r w:rsidRPr="00C4133D">
        <w:rPr>
          <w:rFonts w:eastAsia="Times New Roman"/>
        </w:rPr>
        <w:t xml:space="preserve">ife </w:t>
      </w:r>
      <w:r w:rsidR="00E75D87" w:rsidRPr="00C4133D">
        <w:rPr>
          <w:rFonts w:eastAsia="Times New Roman"/>
        </w:rPr>
        <w:t>s</w:t>
      </w:r>
      <w:r w:rsidRPr="00C4133D">
        <w:rPr>
          <w:rFonts w:eastAsia="Times New Roman"/>
        </w:rPr>
        <w:t xml:space="preserve">ciences </w:t>
      </w:r>
      <w:r w:rsidR="00E75D87" w:rsidRPr="00C4133D">
        <w:rPr>
          <w:rFonts w:eastAsia="Times New Roman"/>
        </w:rPr>
        <w:t>c</w:t>
      </w:r>
      <w:r w:rsidRPr="00C4133D">
        <w:rPr>
          <w:rFonts w:eastAsia="Times New Roman"/>
        </w:rPr>
        <w:t>ompanies</w:t>
      </w:r>
      <w:r w:rsidRPr="005B0E9E">
        <w:rPr>
          <w:rFonts w:eastAsia="Times New Roman"/>
          <w:i/>
          <w:iCs/>
        </w:rPr>
        <w:t>.</w:t>
      </w:r>
      <w:r w:rsidRPr="005B0E9E">
        <w:rPr>
          <w:rFonts w:eastAsia="Times New Roman"/>
        </w:rPr>
        <w:t xml:space="preserve"> </w:t>
      </w:r>
      <w:r w:rsidR="00F87B26">
        <w:rPr>
          <w:rFonts w:eastAsia="Times New Roman"/>
        </w:rPr>
        <w:t>Retrieved from</w:t>
      </w:r>
      <w:r w:rsidR="004A5727" w:rsidRPr="005B0E9E">
        <w:rPr>
          <w:rFonts w:eastAsia="Times New Roman"/>
        </w:rPr>
        <w:t xml:space="preserve"> </w:t>
      </w:r>
      <w:r w:rsidR="00F114BE" w:rsidRPr="00F87B26">
        <w:rPr>
          <w:rFonts w:eastAsia="Times New Roman"/>
        </w:rPr>
        <w:t>https://www.forbes.com/sites/matthewherper/2013/07/19/why-the-jobs-act-is-a-lifesaver-</w:t>
      </w:r>
      <w:r w:rsidRPr="00F87B26">
        <w:rPr>
          <w:rFonts w:eastAsia="Times New Roman"/>
        </w:rPr>
        <w:t>for-life-sciences-companies/#3fea6e467340</w:t>
      </w:r>
      <w:r w:rsidR="00FE40E5" w:rsidRPr="005B0E9E">
        <w:rPr>
          <w:rFonts w:eastAsia="Times New Roman"/>
        </w:rPr>
        <w:t xml:space="preserve">. Accessed </w:t>
      </w:r>
      <w:r w:rsidR="003E5DFB">
        <w:rPr>
          <w:rFonts w:eastAsia="Times New Roman"/>
        </w:rPr>
        <w:t>11</w:t>
      </w:r>
      <w:r w:rsidR="00FE40E5" w:rsidRPr="005B0E9E">
        <w:rPr>
          <w:rFonts w:eastAsia="Times New Roman"/>
        </w:rPr>
        <w:t xml:space="preserve"> </w:t>
      </w:r>
      <w:r w:rsidR="003E5DFB">
        <w:rPr>
          <w:rFonts w:eastAsia="Times New Roman"/>
        </w:rPr>
        <w:t>March</w:t>
      </w:r>
      <w:r w:rsidR="00FE40E5" w:rsidRPr="005B0E9E">
        <w:rPr>
          <w:rFonts w:eastAsia="Times New Roman"/>
        </w:rPr>
        <w:t xml:space="preserve"> 202</w:t>
      </w:r>
      <w:r w:rsidR="003E5DFB">
        <w:rPr>
          <w:rFonts w:eastAsia="Times New Roman"/>
        </w:rPr>
        <w:t>2</w:t>
      </w:r>
      <w:r w:rsidR="00FE40E5" w:rsidRPr="005B0E9E">
        <w:rPr>
          <w:rFonts w:eastAsia="Times New Roman"/>
        </w:rPr>
        <w:t>.</w:t>
      </w:r>
    </w:p>
    <w:p w14:paraId="688BDCE6" w14:textId="284404A8" w:rsidR="005E1BA3" w:rsidRPr="005B0E9E" w:rsidRDefault="005E1BA3" w:rsidP="00842A41">
      <w:pPr>
        <w:spacing w:after="200" w:line="276" w:lineRule="auto"/>
        <w:ind w:left="284" w:hanging="284"/>
        <w:jc w:val="both"/>
        <w:rPr>
          <w:rFonts w:eastAsia="Times New Roman"/>
        </w:rPr>
      </w:pPr>
      <w:r w:rsidRPr="005B0E9E">
        <w:rPr>
          <w:rFonts w:eastAsia="Times New Roman"/>
        </w:rPr>
        <w:t>Gao, X., Ritter, J. R., &amp; Zhu, Z.</w:t>
      </w:r>
      <w:r w:rsidR="00DB1F66">
        <w:rPr>
          <w:rFonts w:eastAsia="Times New Roman"/>
        </w:rPr>
        <w:t xml:space="preserve"> (20</w:t>
      </w:r>
      <w:r w:rsidRPr="005B0E9E">
        <w:rPr>
          <w:rFonts w:eastAsia="Times New Roman"/>
        </w:rPr>
        <w:t>13</w:t>
      </w:r>
      <w:r w:rsidR="00DB1F66">
        <w:rPr>
          <w:rFonts w:eastAsia="Times New Roman"/>
        </w:rPr>
        <w:t>)</w:t>
      </w:r>
      <w:r w:rsidRPr="005B0E9E">
        <w:rPr>
          <w:rFonts w:eastAsia="Times New Roman"/>
        </w:rPr>
        <w:t xml:space="preserve">. Where have all the IPOs gone? </w:t>
      </w:r>
      <w:r w:rsidR="001B4748" w:rsidRPr="005B0E9E">
        <w:rPr>
          <w:rFonts w:eastAsia="Times New Roman"/>
          <w:i/>
          <w:iCs/>
        </w:rPr>
        <w:t>Journal of Financial and Quantitative Analysis</w:t>
      </w:r>
      <w:r w:rsidR="001B4748" w:rsidRPr="006E2772">
        <w:rPr>
          <w:rFonts w:eastAsia="Times New Roman"/>
        </w:rPr>
        <w:t xml:space="preserve">, </w:t>
      </w:r>
      <w:r w:rsidRPr="00F522FB">
        <w:rPr>
          <w:rFonts w:eastAsia="Times New Roman"/>
          <w:i/>
          <w:iCs/>
        </w:rPr>
        <w:t>48</w:t>
      </w:r>
      <w:r w:rsidRPr="005B0E9E">
        <w:rPr>
          <w:rFonts w:eastAsia="Times New Roman"/>
        </w:rPr>
        <w:t>(6), 1663–1692.</w:t>
      </w:r>
    </w:p>
    <w:p w14:paraId="08844C77" w14:textId="54737C4B" w:rsidR="00D5026C" w:rsidRPr="005B0E9E" w:rsidRDefault="00D5026C" w:rsidP="00842A41">
      <w:pPr>
        <w:spacing w:after="200" w:line="276" w:lineRule="auto"/>
        <w:ind w:left="284" w:hanging="284"/>
        <w:jc w:val="both"/>
      </w:pPr>
      <w:proofErr w:type="spellStart"/>
      <w:r w:rsidRPr="005B0E9E">
        <w:lastRenderedPageBreak/>
        <w:t>Gounopoulos</w:t>
      </w:r>
      <w:proofErr w:type="spellEnd"/>
      <w:r w:rsidRPr="005B0E9E">
        <w:t>, D., &amp; Pham, H.</w:t>
      </w:r>
      <w:r w:rsidR="00DB1F66">
        <w:t xml:space="preserve"> (20</w:t>
      </w:r>
      <w:r w:rsidRPr="005B0E9E">
        <w:t>17</w:t>
      </w:r>
      <w:r w:rsidR="00DB1F66">
        <w:t>)</w:t>
      </w:r>
      <w:r w:rsidRPr="005B0E9E">
        <w:t xml:space="preserve">. Credit </w:t>
      </w:r>
      <w:r w:rsidR="00F272AF">
        <w:t>r</w:t>
      </w:r>
      <w:r w:rsidRPr="005B0E9E">
        <w:t xml:space="preserve">atings and </w:t>
      </w:r>
      <w:r w:rsidR="00F272AF">
        <w:t>e</w:t>
      </w:r>
      <w:r w:rsidRPr="005B0E9E">
        <w:t xml:space="preserve">arnings </w:t>
      </w:r>
      <w:r w:rsidR="00F272AF">
        <w:t>m</w:t>
      </w:r>
      <w:r w:rsidRPr="005B0E9E">
        <w:t>anagement around IPOs</w:t>
      </w:r>
      <w:r w:rsidRPr="005B0E9E">
        <w:rPr>
          <w:i/>
          <w:iCs/>
        </w:rPr>
        <w:t>. Journal of Business Finance and Accounting</w:t>
      </w:r>
      <w:r w:rsidRPr="00700156">
        <w:t xml:space="preserve">, </w:t>
      </w:r>
      <w:r w:rsidRPr="00F522FB">
        <w:rPr>
          <w:i/>
          <w:iCs/>
        </w:rPr>
        <w:t>44</w:t>
      </w:r>
      <w:r w:rsidRPr="00700156">
        <w:t>(1–2),</w:t>
      </w:r>
      <w:r w:rsidRPr="005B0E9E">
        <w:t xml:space="preserve"> 154–195.</w:t>
      </w:r>
    </w:p>
    <w:p w14:paraId="5270B0FD" w14:textId="6D742C39" w:rsidR="00D5026C" w:rsidRPr="005B0E9E" w:rsidRDefault="00D5026C" w:rsidP="00842A41">
      <w:pPr>
        <w:spacing w:after="200" w:line="276" w:lineRule="auto"/>
        <w:ind w:left="284" w:hanging="284"/>
        <w:jc w:val="both"/>
      </w:pPr>
      <w:proofErr w:type="spellStart"/>
      <w:r w:rsidRPr="005B0E9E">
        <w:t>Gounopoulos</w:t>
      </w:r>
      <w:proofErr w:type="spellEnd"/>
      <w:r w:rsidRPr="005B0E9E">
        <w:t xml:space="preserve">, D., </w:t>
      </w:r>
      <w:proofErr w:type="gramStart"/>
      <w:r w:rsidRPr="005B0E9E">
        <w:t>&amp;  Pham</w:t>
      </w:r>
      <w:proofErr w:type="gramEnd"/>
      <w:r w:rsidRPr="005B0E9E">
        <w:t>,  H.</w:t>
      </w:r>
      <w:r w:rsidR="00DB1F66">
        <w:t xml:space="preserve"> (</w:t>
      </w:r>
      <w:r w:rsidRPr="005B0E9E">
        <w:t>2018</w:t>
      </w:r>
      <w:r w:rsidR="00DB1F66">
        <w:t>)</w:t>
      </w:r>
      <w:r w:rsidRPr="005B0E9E">
        <w:t xml:space="preserve">. Financial </w:t>
      </w:r>
      <w:r w:rsidR="00E8740C">
        <w:t>e</w:t>
      </w:r>
      <w:r w:rsidRPr="005B0E9E">
        <w:t xml:space="preserve">xpert CEOs and </w:t>
      </w:r>
      <w:r w:rsidR="00E8740C">
        <w:t>e</w:t>
      </w:r>
      <w:r w:rsidRPr="005B0E9E">
        <w:t xml:space="preserve">arnings </w:t>
      </w:r>
      <w:r w:rsidR="00E8740C">
        <w:t>m</w:t>
      </w:r>
      <w:r w:rsidRPr="005B0E9E">
        <w:t xml:space="preserve">anagement </w:t>
      </w:r>
      <w:r w:rsidR="00E8740C">
        <w:t>a</w:t>
      </w:r>
      <w:r w:rsidRPr="005B0E9E">
        <w:t xml:space="preserve">round </w:t>
      </w:r>
      <w:r w:rsidR="00E8740C">
        <w:t>i</w:t>
      </w:r>
      <w:r w:rsidRPr="005B0E9E">
        <w:t xml:space="preserve">nitial </w:t>
      </w:r>
      <w:r w:rsidR="00E8740C">
        <w:t>p</w:t>
      </w:r>
      <w:r w:rsidRPr="005B0E9E">
        <w:t xml:space="preserve">ublic </w:t>
      </w:r>
      <w:r w:rsidR="00E8740C">
        <w:t>o</w:t>
      </w:r>
      <w:r w:rsidRPr="005B0E9E">
        <w:t xml:space="preserve">fferings. </w:t>
      </w:r>
      <w:r w:rsidRPr="005B0E9E">
        <w:rPr>
          <w:i/>
          <w:iCs/>
        </w:rPr>
        <w:t>International Journal of Accounting</w:t>
      </w:r>
      <w:r w:rsidRPr="00700156">
        <w:t xml:space="preserve">, </w:t>
      </w:r>
      <w:r w:rsidRPr="00F522FB">
        <w:rPr>
          <w:i/>
          <w:iCs/>
        </w:rPr>
        <w:t>53</w:t>
      </w:r>
      <w:r w:rsidRPr="00700156">
        <w:t>(2),</w:t>
      </w:r>
      <w:r w:rsidRPr="005B0E9E">
        <w:t xml:space="preserve"> 102 -117.</w:t>
      </w:r>
    </w:p>
    <w:p w14:paraId="7DF28D53" w14:textId="5B9CF09F" w:rsidR="005E1BA3" w:rsidRPr="005B0E9E" w:rsidRDefault="005E1BA3" w:rsidP="00842A41">
      <w:pPr>
        <w:spacing w:after="200" w:line="276" w:lineRule="auto"/>
        <w:ind w:left="284" w:hanging="284"/>
        <w:jc w:val="both"/>
        <w:rPr>
          <w:rFonts w:eastAsia="Times New Roman"/>
        </w:rPr>
      </w:pPr>
      <w:r w:rsidRPr="005B0E9E">
        <w:rPr>
          <w:rFonts w:eastAsia="Times New Roman"/>
        </w:rPr>
        <w:t xml:space="preserve">Gupta, S., &amp; </w:t>
      </w:r>
      <w:proofErr w:type="spellStart"/>
      <w:r w:rsidRPr="005B0E9E">
        <w:rPr>
          <w:rFonts w:eastAsia="Times New Roman"/>
        </w:rPr>
        <w:t>Israelsen</w:t>
      </w:r>
      <w:proofErr w:type="spellEnd"/>
      <w:r w:rsidRPr="005B0E9E">
        <w:rPr>
          <w:rFonts w:eastAsia="Times New Roman"/>
        </w:rPr>
        <w:t>, R. D.</w:t>
      </w:r>
      <w:r w:rsidR="00DB1F66">
        <w:rPr>
          <w:rFonts w:eastAsia="Times New Roman"/>
        </w:rPr>
        <w:t xml:space="preserve"> (20</w:t>
      </w:r>
      <w:r w:rsidRPr="005B0E9E">
        <w:rPr>
          <w:rFonts w:eastAsia="Times New Roman"/>
        </w:rPr>
        <w:t>15</w:t>
      </w:r>
      <w:r w:rsidR="00DB1F66">
        <w:rPr>
          <w:rFonts w:eastAsia="Times New Roman"/>
        </w:rPr>
        <w:t>)</w:t>
      </w:r>
      <w:r w:rsidRPr="005B0E9E">
        <w:rPr>
          <w:rFonts w:eastAsia="Times New Roman"/>
        </w:rPr>
        <w:t xml:space="preserve">. Hard and </w:t>
      </w:r>
      <w:r w:rsidR="00EE276A">
        <w:rPr>
          <w:rFonts w:eastAsia="Times New Roman"/>
        </w:rPr>
        <w:t>s</w:t>
      </w:r>
      <w:r w:rsidRPr="005B0E9E">
        <w:rPr>
          <w:rFonts w:eastAsia="Times New Roman"/>
        </w:rPr>
        <w:t xml:space="preserve">oft </w:t>
      </w:r>
      <w:r w:rsidR="00EE276A">
        <w:rPr>
          <w:rFonts w:eastAsia="Times New Roman"/>
        </w:rPr>
        <w:t>i</w:t>
      </w:r>
      <w:r w:rsidRPr="005B0E9E">
        <w:rPr>
          <w:rFonts w:eastAsia="Times New Roman"/>
        </w:rPr>
        <w:t xml:space="preserve">nformation: Firm </w:t>
      </w:r>
      <w:r w:rsidR="00EE276A">
        <w:rPr>
          <w:rFonts w:eastAsia="Times New Roman"/>
        </w:rPr>
        <w:t>d</w:t>
      </w:r>
      <w:r w:rsidRPr="005B0E9E">
        <w:rPr>
          <w:rFonts w:eastAsia="Times New Roman"/>
        </w:rPr>
        <w:t xml:space="preserve">isclosure, SEC </w:t>
      </w:r>
      <w:r w:rsidR="00EE276A">
        <w:rPr>
          <w:rFonts w:eastAsia="Times New Roman"/>
        </w:rPr>
        <w:t>l</w:t>
      </w:r>
      <w:r w:rsidRPr="005B0E9E">
        <w:rPr>
          <w:rFonts w:eastAsia="Times New Roman"/>
        </w:rPr>
        <w:t xml:space="preserve">etters and the JOBS Act. </w:t>
      </w:r>
      <w:r w:rsidRPr="005B0E9E">
        <w:rPr>
          <w:rFonts w:eastAsia="Times New Roman"/>
          <w:i/>
          <w:iCs/>
        </w:rPr>
        <w:t>Working Paper</w:t>
      </w:r>
      <w:r w:rsidR="00B03CBE" w:rsidRPr="005B0E9E">
        <w:rPr>
          <w:rFonts w:eastAsia="Times New Roman"/>
          <w:i/>
          <w:iCs/>
        </w:rPr>
        <w:t>, Kelley School of Business</w:t>
      </w:r>
      <w:r w:rsidRPr="005B0E9E">
        <w:rPr>
          <w:rFonts w:eastAsia="Times New Roman"/>
        </w:rPr>
        <w:t>.</w:t>
      </w:r>
    </w:p>
    <w:p w14:paraId="22311C83" w14:textId="1CD184E4" w:rsidR="004B3862" w:rsidRPr="005B0E9E" w:rsidRDefault="004B3862" w:rsidP="00842A41">
      <w:pPr>
        <w:spacing w:after="200" w:line="276" w:lineRule="auto"/>
        <w:ind w:left="284" w:hanging="284"/>
        <w:jc w:val="both"/>
      </w:pPr>
      <w:r w:rsidRPr="005B0E9E">
        <w:t>Healy, P. M., &amp; Palepu, K. G.</w:t>
      </w:r>
      <w:r w:rsidR="00DB1F66">
        <w:t xml:space="preserve"> (20</w:t>
      </w:r>
      <w:r w:rsidRPr="005B0E9E">
        <w:t>01</w:t>
      </w:r>
      <w:r w:rsidR="00DB1F66">
        <w:t>)</w:t>
      </w:r>
      <w:r w:rsidRPr="005B0E9E">
        <w:t xml:space="preserve">. Information asymmetry, corporate disclosure, and the capital markets: A review of the empirical disclosure literature. </w:t>
      </w:r>
      <w:r w:rsidRPr="005B0E9E">
        <w:rPr>
          <w:i/>
          <w:iCs/>
        </w:rPr>
        <w:t>Journal of Accounting and Economics</w:t>
      </w:r>
      <w:r w:rsidRPr="00700156">
        <w:t xml:space="preserve">, </w:t>
      </w:r>
      <w:r w:rsidRPr="00F522FB">
        <w:rPr>
          <w:i/>
          <w:iCs/>
        </w:rPr>
        <w:t>31</w:t>
      </w:r>
      <w:r w:rsidRPr="00700156">
        <w:t>(1–3),</w:t>
      </w:r>
      <w:r w:rsidRPr="005B0E9E">
        <w:t xml:space="preserve"> 405–440.</w:t>
      </w:r>
    </w:p>
    <w:p w14:paraId="60992FCA" w14:textId="2CE3CDCF" w:rsidR="005E1BA3" w:rsidRPr="005B0E9E" w:rsidRDefault="005E1BA3" w:rsidP="00842A41">
      <w:pPr>
        <w:spacing w:after="200" w:line="276" w:lineRule="auto"/>
        <w:ind w:left="284" w:hanging="284"/>
        <w:jc w:val="both"/>
        <w:rPr>
          <w:sz w:val="20"/>
          <w:szCs w:val="20"/>
        </w:rPr>
      </w:pPr>
      <w:proofErr w:type="spellStart"/>
      <w:r w:rsidRPr="005B0E9E">
        <w:rPr>
          <w:rFonts w:eastAsia="Times New Roman"/>
        </w:rPr>
        <w:t>Heese</w:t>
      </w:r>
      <w:proofErr w:type="spellEnd"/>
      <w:r w:rsidRPr="005B0E9E">
        <w:rPr>
          <w:rFonts w:eastAsia="Times New Roman"/>
        </w:rPr>
        <w:t xml:space="preserve">, J., Khan, M., &amp; </w:t>
      </w:r>
      <w:proofErr w:type="spellStart"/>
      <w:r w:rsidRPr="005B0E9E">
        <w:rPr>
          <w:rFonts w:eastAsia="Times New Roman"/>
        </w:rPr>
        <w:t>Ramanna</w:t>
      </w:r>
      <w:proofErr w:type="spellEnd"/>
      <w:r w:rsidRPr="005B0E9E">
        <w:rPr>
          <w:rFonts w:eastAsia="Times New Roman"/>
        </w:rPr>
        <w:t>, K.</w:t>
      </w:r>
      <w:r w:rsidR="00DB1F66">
        <w:rPr>
          <w:rFonts w:eastAsia="Times New Roman"/>
        </w:rPr>
        <w:t xml:space="preserve"> (20</w:t>
      </w:r>
      <w:r w:rsidRPr="005B0E9E">
        <w:rPr>
          <w:rFonts w:eastAsia="Times New Roman"/>
        </w:rPr>
        <w:t>17</w:t>
      </w:r>
      <w:r w:rsidR="00DB1F66">
        <w:rPr>
          <w:rFonts w:eastAsia="Times New Roman"/>
        </w:rPr>
        <w:t>)</w:t>
      </w:r>
      <w:r w:rsidRPr="005B0E9E">
        <w:rPr>
          <w:rFonts w:eastAsia="Times New Roman"/>
        </w:rPr>
        <w:t xml:space="preserve">. Is the SEC captured? Evidence from comment-letter reviews. </w:t>
      </w:r>
      <w:r w:rsidR="00294098" w:rsidRPr="005B0E9E">
        <w:rPr>
          <w:rFonts w:eastAsia="Times New Roman"/>
          <w:i/>
          <w:iCs/>
        </w:rPr>
        <w:t>Journal of Accounting and Economics</w:t>
      </w:r>
      <w:r w:rsidR="00294098" w:rsidRPr="00700156">
        <w:rPr>
          <w:rFonts w:eastAsia="Times New Roman"/>
        </w:rPr>
        <w:t xml:space="preserve">, </w:t>
      </w:r>
      <w:r w:rsidRPr="00F522FB">
        <w:rPr>
          <w:rFonts w:eastAsia="Times New Roman"/>
          <w:i/>
          <w:iCs/>
        </w:rPr>
        <w:t>64</w:t>
      </w:r>
      <w:r w:rsidRPr="005B0E9E">
        <w:rPr>
          <w:rFonts w:eastAsia="Times New Roman"/>
        </w:rPr>
        <w:t>(1), 98–122.</w:t>
      </w:r>
    </w:p>
    <w:p w14:paraId="63CDC9CC" w14:textId="095375AF" w:rsidR="005E1BA3" w:rsidRPr="005B0E9E" w:rsidRDefault="005E1BA3" w:rsidP="00842A41">
      <w:pPr>
        <w:spacing w:after="200" w:line="276" w:lineRule="auto"/>
        <w:ind w:left="284" w:hanging="284"/>
        <w:jc w:val="both"/>
        <w:rPr>
          <w:sz w:val="20"/>
          <w:szCs w:val="20"/>
        </w:rPr>
      </w:pPr>
      <w:proofErr w:type="spellStart"/>
      <w:r w:rsidRPr="005B0E9E">
        <w:rPr>
          <w:rFonts w:eastAsia="Times New Roman"/>
        </w:rPr>
        <w:t>Hilbe</w:t>
      </w:r>
      <w:proofErr w:type="spellEnd"/>
      <w:r w:rsidRPr="005B0E9E">
        <w:rPr>
          <w:rFonts w:eastAsia="Times New Roman"/>
        </w:rPr>
        <w:t>, J. M.</w:t>
      </w:r>
      <w:r w:rsidR="00DB1F66">
        <w:rPr>
          <w:rFonts w:eastAsia="Times New Roman"/>
        </w:rPr>
        <w:t xml:space="preserve"> (20</w:t>
      </w:r>
      <w:r w:rsidRPr="005B0E9E">
        <w:rPr>
          <w:rFonts w:eastAsia="Times New Roman"/>
        </w:rPr>
        <w:t>11</w:t>
      </w:r>
      <w:r w:rsidR="00DB1F66">
        <w:rPr>
          <w:rFonts w:eastAsia="Times New Roman"/>
        </w:rPr>
        <w:t>)</w:t>
      </w:r>
      <w:r w:rsidRPr="005B0E9E">
        <w:rPr>
          <w:rFonts w:eastAsia="Times New Roman"/>
        </w:rPr>
        <w:t xml:space="preserve">. </w:t>
      </w:r>
      <w:r w:rsidRPr="005B0E9E">
        <w:rPr>
          <w:rFonts w:eastAsia="Times New Roman"/>
          <w:i/>
          <w:iCs/>
        </w:rPr>
        <w:t>Negative binomial regression</w:t>
      </w:r>
      <w:r w:rsidR="006F5771">
        <w:rPr>
          <w:rFonts w:eastAsia="Times New Roman"/>
        </w:rPr>
        <w:t>.</w:t>
      </w:r>
      <w:r w:rsidRPr="005B0E9E">
        <w:rPr>
          <w:rFonts w:eastAsia="Times New Roman"/>
        </w:rPr>
        <w:t xml:space="preserve"> </w:t>
      </w:r>
      <w:r w:rsidR="006F5771">
        <w:rPr>
          <w:rFonts w:eastAsia="Times New Roman"/>
        </w:rPr>
        <w:t>(2</w:t>
      </w:r>
      <w:r w:rsidR="006F5771" w:rsidRPr="006F5771">
        <w:rPr>
          <w:rFonts w:eastAsia="Times New Roman"/>
          <w:vertAlign w:val="superscript"/>
        </w:rPr>
        <w:t>nd</w:t>
      </w:r>
      <w:r w:rsidR="006F5771">
        <w:rPr>
          <w:rFonts w:eastAsia="Times New Roman"/>
        </w:rPr>
        <w:t xml:space="preserve"> </w:t>
      </w:r>
      <w:r w:rsidRPr="005B0E9E">
        <w:rPr>
          <w:rFonts w:eastAsia="Times New Roman"/>
        </w:rPr>
        <w:t>ed.</w:t>
      </w:r>
      <w:r w:rsidR="006F5771">
        <w:rPr>
          <w:rFonts w:eastAsia="Times New Roman"/>
        </w:rPr>
        <w:t>).</w:t>
      </w:r>
      <w:r w:rsidRPr="005B0E9E">
        <w:rPr>
          <w:rFonts w:eastAsia="Times New Roman"/>
        </w:rPr>
        <w:t xml:space="preserve"> Cambridge University Press, Cambridge.</w:t>
      </w:r>
    </w:p>
    <w:p w14:paraId="0C896DFF" w14:textId="49A2F988" w:rsidR="005E1BA3" w:rsidRPr="005B0E9E" w:rsidRDefault="005E1BA3" w:rsidP="00842A41">
      <w:pPr>
        <w:tabs>
          <w:tab w:val="left" w:pos="1120"/>
          <w:tab w:val="left" w:pos="1840"/>
          <w:tab w:val="left" w:pos="2820"/>
          <w:tab w:val="left" w:pos="4320"/>
          <w:tab w:val="left" w:pos="5520"/>
          <w:tab w:val="left" w:pos="6880"/>
          <w:tab w:val="left" w:pos="8140"/>
        </w:tabs>
        <w:spacing w:after="200" w:line="276" w:lineRule="auto"/>
        <w:ind w:left="284" w:hanging="284"/>
        <w:jc w:val="both"/>
        <w:rPr>
          <w:sz w:val="20"/>
          <w:szCs w:val="20"/>
        </w:rPr>
      </w:pPr>
      <w:r w:rsidRPr="005B0E9E">
        <w:rPr>
          <w:rFonts w:eastAsia="Times New Roman"/>
        </w:rPr>
        <w:t>Huang</w:t>
      </w:r>
      <w:r w:rsidRPr="00DB1F66">
        <w:rPr>
          <w:rFonts w:eastAsia="Times New Roman"/>
        </w:rPr>
        <w:t>,</w:t>
      </w:r>
      <w:r w:rsidRPr="00DB1F66">
        <w:tab/>
      </w:r>
      <w:r w:rsidRPr="00DB1F66">
        <w:rPr>
          <w:rFonts w:eastAsia="Times New Roman"/>
        </w:rPr>
        <w:t>L.</w:t>
      </w:r>
      <w:r w:rsidRPr="00DB1F66">
        <w:tab/>
      </w:r>
      <w:r w:rsidR="00DB1F66" w:rsidRPr="00DB1F66">
        <w:t>(</w:t>
      </w:r>
      <w:r w:rsidRPr="00DB1F66">
        <w:rPr>
          <w:rFonts w:eastAsia="Times New Roman"/>
        </w:rPr>
        <w:t>2</w:t>
      </w:r>
      <w:r w:rsidRPr="005B0E9E">
        <w:rPr>
          <w:rFonts w:eastAsia="Times New Roman"/>
        </w:rPr>
        <w:t>017</w:t>
      </w:r>
      <w:r w:rsidR="00DB1F66">
        <w:rPr>
          <w:rFonts w:eastAsia="Times New Roman"/>
        </w:rPr>
        <w:t>)</w:t>
      </w:r>
      <w:r w:rsidRPr="005B0E9E">
        <w:rPr>
          <w:rFonts w:eastAsia="Times New Roman"/>
        </w:rPr>
        <w:t>.</w:t>
      </w:r>
      <w:r w:rsidRPr="005B0E9E">
        <w:rPr>
          <w:sz w:val="20"/>
          <w:szCs w:val="20"/>
        </w:rPr>
        <w:tab/>
      </w:r>
      <w:r w:rsidRPr="00C4133D">
        <w:rPr>
          <w:rFonts w:eastAsia="Times New Roman"/>
        </w:rPr>
        <w:t>Automated</w:t>
      </w:r>
      <w:r w:rsidRPr="00C4133D">
        <w:rPr>
          <w:sz w:val="20"/>
          <w:szCs w:val="20"/>
        </w:rPr>
        <w:tab/>
      </w:r>
      <w:r w:rsidR="00F272AF" w:rsidRPr="00C4133D">
        <w:rPr>
          <w:rFonts w:eastAsia="Times New Roman"/>
        </w:rPr>
        <w:t>c</w:t>
      </w:r>
      <w:r w:rsidRPr="00C4133D">
        <w:rPr>
          <w:rFonts w:eastAsia="Times New Roman"/>
        </w:rPr>
        <w:t>ontent</w:t>
      </w:r>
      <w:r w:rsidRPr="00C4133D">
        <w:rPr>
          <w:sz w:val="20"/>
          <w:szCs w:val="20"/>
        </w:rPr>
        <w:tab/>
      </w:r>
      <w:r w:rsidR="00F272AF" w:rsidRPr="00C4133D">
        <w:rPr>
          <w:rFonts w:eastAsia="Times New Roman"/>
        </w:rPr>
        <w:t>a</w:t>
      </w:r>
      <w:r w:rsidRPr="00C4133D">
        <w:rPr>
          <w:rFonts w:eastAsia="Times New Roman"/>
        </w:rPr>
        <w:t>nalysis:</w:t>
      </w:r>
      <w:r w:rsidRPr="00C4133D">
        <w:rPr>
          <w:sz w:val="20"/>
          <w:szCs w:val="20"/>
        </w:rPr>
        <w:tab/>
      </w:r>
      <w:r w:rsidRPr="00C4133D">
        <w:rPr>
          <w:rFonts w:eastAsia="Times New Roman"/>
        </w:rPr>
        <w:t>Where’s</w:t>
      </w:r>
      <w:r w:rsidRPr="00C4133D">
        <w:rPr>
          <w:sz w:val="20"/>
          <w:szCs w:val="20"/>
        </w:rPr>
        <w:tab/>
      </w:r>
      <w:r w:rsidR="00F272AF" w:rsidRPr="00C4133D">
        <w:rPr>
          <w:rFonts w:eastAsia="Times New Roman"/>
          <w:sz w:val="23"/>
          <w:szCs w:val="23"/>
        </w:rPr>
        <w:t>h</w:t>
      </w:r>
      <w:r w:rsidRPr="00C4133D">
        <w:rPr>
          <w:rFonts w:eastAsia="Times New Roman"/>
          <w:sz w:val="23"/>
          <w:szCs w:val="23"/>
        </w:rPr>
        <w:t>uman?</w:t>
      </w:r>
      <w:r w:rsidR="006A780A" w:rsidRPr="00F87B26">
        <w:rPr>
          <w:rFonts w:eastAsia="Times New Roman"/>
          <w:i/>
          <w:iCs/>
          <w:sz w:val="23"/>
          <w:szCs w:val="23"/>
        </w:rPr>
        <w:t xml:space="preserve"> </w:t>
      </w:r>
      <w:r w:rsidR="00C4133D">
        <w:rPr>
          <w:rFonts w:eastAsia="Times New Roman"/>
          <w:i/>
          <w:iCs/>
          <w:sz w:val="23"/>
          <w:szCs w:val="23"/>
        </w:rPr>
        <w:t xml:space="preserve">  </w:t>
      </w:r>
      <w:r w:rsidR="00F87B26" w:rsidRPr="00F87B26">
        <w:rPr>
          <w:rFonts w:eastAsia="Times New Roman"/>
          <w:sz w:val="23"/>
          <w:szCs w:val="23"/>
        </w:rPr>
        <w:t>Retrieved from</w:t>
      </w:r>
      <w:r w:rsidR="006A780A" w:rsidRPr="00F87B26">
        <w:rPr>
          <w:rFonts w:eastAsia="Times New Roman"/>
          <w:sz w:val="23"/>
          <w:szCs w:val="23"/>
        </w:rPr>
        <w:t xml:space="preserve"> </w:t>
      </w:r>
      <w:r w:rsidRPr="00F87B26">
        <w:rPr>
          <w:rFonts w:eastAsia="Times New Roman"/>
        </w:rPr>
        <w:t>https://sites.temple.edu/tudsc/2017/02/07/automated-content-analysis-wheres-human/</w:t>
      </w:r>
      <w:r w:rsidR="00FE40E5" w:rsidRPr="00F87B26">
        <w:rPr>
          <w:rFonts w:eastAsia="Times New Roman"/>
        </w:rPr>
        <w:t xml:space="preserve">. Accessed </w:t>
      </w:r>
      <w:r w:rsidR="00757CB6">
        <w:rPr>
          <w:rFonts w:eastAsia="Times New Roman"/>
        </w:rPr>
        <w:t>11</w:t>
      </w:r>
      <w:r w:rsidR="00FE40E5" w:rsidRPr="00F87B26">
        <w:rPr>
          <w:rFonts w:eastAsia="Times New Roman"/>
        </w:rPr>
        <w:t xml:space="preserve"> </w:t>
      </w:r>
      <w:r w:rsidR="00757CB6">
        <w:rPr>
          <w:rFonts w:eastAsia="Times New Roman"/>
        </w:rPr>
        <w:t>March</w:t>
      </w:r>
      <w:r w:rsidR="00FE40E5" w:rsidRPr="00F87B26">
        <w:rPr>
          <w:rFonts w:eastAsia="Times New Roman"/>
        </w:rPr>
        <w:t xml:space="preserve"> 202</w:t>
      </w:r>
      <w:r w:rsidR="00757CB6">
        <w:rPr>
          <w:rFonts w:eastAsia="Times New Roman"/>
        </w:rPr>
        <w:t>2</w:t>
      </w:r>
      <w:r w:rsidR="00FE40E5" w:rsidRPr="005B0E9E">
        <w:rPr>
          <w:rFonts w:eastAsia="Times New Roman"/>
        </w:rPr>
        <w:t>.</w:t>
      </w:r>
    </w:p>
    <w:p w14:paraId="74BC8F26" w14:textId="3A5B53C5" w:rsidR="005E1BA3" w:rsidRPr="005B0E9E" w:rsidRDefault="005E1BA3" w:rsidP="00842A41">
      <w:pPr>
        <w:spacing w:after="200" w:line="276" w:lineRule="auto"/>
        <w:ind w:left="284" w:hanging="284"/>
        <w:jc w:val="both"/>
        <w:rPr>
          <w:sz w:val="20"/>
          <w:szCs w:val="20"/>
        </w:rPr>
      </w:pPr>
      <w:bookmarkStart w:id="27" w:name="page31"/>
      <w:bookmarkEnd w:id="27"/>
      <w:r w:rsidRPr="005B0E9E">
        <w:rPr>
          <w:rFonts w:eastAsia="Times New Roman"/>
        </w:rPr>
        <w:t xml:space="preserve">Johnston, R., &amp; </w:t>
      </w:r>
      <w:proofErr w:type="spellStart"/>
      <w:r w:rsidRPr="005B0E9E">
        <w:rPr>
          <w:rFonts w:eastAsia="Times New Roman"/>
        </w:rPr>
        <w:t>Petacchi</w:t>
      </w:r>
      <w:proofErr w:type="spellEnd"/>
      <w:r w:rsidRPr="005B0E9E">
        <w:rPr>
          <w:rFonts w:eastAsia="Times New Roman"/>
        </w:rPr>
        <w:t>, R.</w:t>
      </w:r>
      <w:r w:rsidR="00DB1F66">
        <w:rPr>
          <w:rFonts w:eastAsia="Times New Roman"/>
        </w:rPr>
        <w:t xml:space="preserve"> (20</w:t>
      </w:r>
      <w:r w:rsidRPr="005B0E9E">
        <w:rPr>
          <w:rFonts w:eastAsia="Times New Roman"/>
        </w:rPr>
        <w:t>17</w:t>
      </w:r>
      <w:r w:rsidR="00DB1F66">
        <w:rPr>
          <w:rFonts w:eastAsia="Times New Roman"/>
        </w:rPr>
        <w:t>)</w:t>
      </w:r>
      <w:r w:rsidRPr="005B0E9E">
        <w:rPr>
          <w:rFonts w:eastAsia="Times New Roman"/>
        </w:rPr>
        <w:t xml:space="preserve">. The effect of </w:t>
      </w:r>
      <w:proofErr w:type="spellStart"/>
      <w:r w:rsidRPr="005B0E9E">
        <w:rPr>
          <w:rFonts w:eastAsia="Times New Roman"/>
        </w:rPr>
        <w:t>regulator</w:t>
      </w:r>
      <w:proofErr w:type="spellEnd"/>
      <w:r w:rsidRPr="005B0E9E">
        <w:rPr>
          <w:rFonts w:eastAsia="Times New Roman"/>
        </w:rPr>
        <w:t xml:space="preserve"> oversight on firms’ information environment: Securities and exchange commission comment letters. </w:t>
      </w:r>
      <w:r w:rsidR="00486EA0" w:rsidRPr="005B0E9E">
        <w:rPr>
          <w:rFonts w:eastAsia="Times New Roman"/>
          <w:i/>
          <w:iCs/>
        </w:rPr>
        <w:t>Contemporary Accounting Research</w:t>
      </w:r>
      <w:r w:rsidR="00486EA0" w:rsidRPr="00700156">
        <w:rPr>
          <w:rFonts w:eastAsia="Times New Roman"/>
        </w:rPr>
        <w:t>,</w:t>
      </w:r>
      <w:r w:rsidRPr="00700156">
        <w:rPr>
          <w:rFonts w:eastAsia="Times New Roman"/>
        </w:rPr>
        <w:t xml:space="preserve"> </w:t>
      </w:r>
      <w:r w:rsidRPr="00F522FB">
        <w:rPr>
          <w:rFonts w:eastAsia="Times New Roman"/>
          <w:i/>
          <w:iCs/>
        </w:rPr>
        <w:t>34</w:t>
      </w:r>
      <w:r w:rsidRPr="005B0E9E">
        <w:rPr>
          <w:rFonts w:eastAsia="Times New Roman"/>
        </w:rPr>
        <w:t>(2), 1128–1155.</w:t>
      </w:r>
    </w:p>
    <w:p w14:paraId="45397707" w14:textId="0D8E5EEA" w:rsidR="005E1BA3" w:rsidRPr="005B0E9E" w:rsidRDefault="005E1BA3" w:rsidP="00842A41">
      <w:pPr>
        <w:spacing w:after="200" w:line="276" w:lineRule="auto"/>
        <w:ind w:left="284" w:hanging="284"/>
        <w:jc w:val="both"/>
        <w:rPr>
          <w:rFonts w:eastAsia="Times New Roman"/>
        </w:rPr>
      </w:pPr>
      <w:r w:rsidRPr="005B0E9E">
        <w:rPr>
          <w:rFonts w:eastAsia="Times New Roman"/>
        </w:rPr>
        <w:t>Keating, T.</w:t>
      </w:r>
      <w:r w:rsidR="00DB1F66">
        <w:rPr>
          <w:rFonts w:eastAsia="Times New Roman"/>
        </w:rPr>
        <w:t xml:space="preserve"> (20</w:t>
      </w:r>
      <w:r w:rsidRPr="005B0E9E">
        <w:rPr>
          <w:rFonts w:eastAsia="Times New Roman"/>
        </w:rPr>
        <w:t>12</w:t>
      </w:r>
      <w:r w:rsidR="00DB1F66" w:rsidRPr="00C4133D">
        <w:rPr>
          <w:rFonts w:eastAsia="Times New Roman"/>
        </w:rPr>
        <w:t>)</w:t>
      </w:r>
      <w:r w:rsidRPr="00C4133D">
        <w:rPr>
          <w:rFonts w:eastAsia="Times New Roman"/>
        </w:rPr>
        <w:t>. The JOBS Act: Shifting into gear and accelerating up the IPO on-ramp.</w:t>
      </w:r>
      <w:r w:rsidRPr="005B0E9E">
        <w:rPr>
          <w:rFonts w:eastAsia="Times New Roman"/>
        </w:rPr>
        <w:t xml:space="preserve"> </w:t>
      </w:r>
      <w:r w:rsidR="00F87B26">
        <w:rPr>
          <w:rFonts w:eastAsia="Times New Roman"/>
        </w:rPr>
        <w:t>Retrieved from</w:t>
      </w:r>
      <w:r w:rsidR="00C2548D" w:rsidRPr="005B0E9E">
        <w:t xml:space="preserve"> </w:t>
      </w:r>
      <w:r w:rsidR="000410FE" w:rsidRPr="00F87B26">
        <w:rPr>
          <w:rFonts w:eastAsia="Times New Roman"/>
        </w:rPr>
        <w:t xml:space="preserve">https://www.otcmarkets.com/files/keatingWhitepaper.pdf. Accessed </w:t>
      </w:r>
      <w:r w:rsidR="00921074">
        <w:rPr>
          <w:rFonts w:eastAsia="Times New Roman"/>
        </w:rPr>
        <w:t>11</w:t>
      </w:r>
      <w:r w:rsidR="000410FE" w:rsidRPr="00F87B26">
        <w:rPr>
          <w:rFonts w:eastAsia="Times New Roman"/>
        </w:rPr>
        <w:t xml:space="preserve"> </w:t>
      </w:r>
      <w:r w:rsidR="00921074">
        <w:rPr>
          <w:rFonts w:eastAsia="Times New Roman"/>
        </w:rPr>
        <w:t>March</w:t>
      </w:r>
      <w:r w:rsidR="000410FE" w:rsidRPr="00F87B26">
        <w:rPr>
          <w:rFonts w:eastAsia="Times New Roman"/>
        </w:rPr>
        <w:t xml:space="preserve"> 202</w:t>
      </w:r>
      <w:r w:rsidR="00921074">
        <w:rPr>
          <w:rFonts w:eastAsia="Times New Roman"/>
        </w:rPr>
        <w:t>2</w:t>
      </w:r>
      <w:r w:rsidR="00C2548D" w:rsidRPr="005B0E9E">
        <w:rPr>
          <w:rFonts w:eastAsia="Times New Roman"/>
        </w:rPr>
        <w:t>.</w:t>
      </w:r>
    </w:p>
    <w:p w14:paraId="1BCA15A1" w14:textId="639D9868" w:rsidR="00F91C51" w:rsidRPr="005B0E9E" w:rsidRDefault="00F91C51" w:rsidP="00842A41">
      <w:pPr>
        <w:spacing w:after="200" w:line="276" w:lineRule="auto"/>
        <w:ind w:left="284" w:hanging="284"/>
        <w:jc w:val="both"/>
        <w:rPr>
          <w:rFonts w:eastAsia="Times New Roman"/>
        </w:rPr>
      </w:pPr>
      <w:proofErr w:type="spellStart"/>
      <w:r w:rsidRPr="005B0E9E">
        <w:rPr>
          <w:rFonts w:eastAsia="Times New Roman"/>
        </w:rPr>
        <w:t>Köchling</w:t>
      </w:r>
      <w:proofErr w:type="spellEnd"/>
      <w:r w:rsidRPr="005B0E9E">
        <w:rPr>
          <w:rFonts w:eastAsia="Times New Roman"/>
        </w:rPr>
        <w:t xml:space="preserve">, G., </w:t>
      </w:r>
      <w:proofErr w:type="spellStart"/>
      <w:r w:rsidRPr="005B0E9E">
        <w:rPr>
          <w:rFonts w:eastAsia="Times New Roman"/>
        </w:rPr>
        <w:t>Schmidtke</w:t>
      </w:r>
      <w:proofErr w:type="spellEnd"/>
      <w:r w:rsidRPr="005B0E9E">
        <w:rPr>
          <w:rFonts w:eastAsia="Times New Roman"/>
        </w:rPr>
        <w:t xml:space="preserve">, P., &amp; </w:t>
      </w:r>
      <w:proofErr w:type="spellStart"/>
      <w:r w:rsidRPr="005B0E9E">
        <w:rPr>
          <w:rFonts w:eastAsia="Times New Roman"/>
        </w:rPr>
        <w:t>Posch</w:t>
      </w:r>
      <w:proofErr w:type="spellEnd"/>
      <w:r w:rsidRPr="005B0E9E">
        <w:rPr>
          <w:rFonts w:eastAsia="Times New Roman"/>
        </w:rPr>
        <w:t>, P. N.</w:t>
      </w:r>
      <w:r w:rsidR="00DB1F66">
        <w:rPr>
          <w:rFonts w:eastAsia="Times New Roman"/>
        </w:rPr>
        <w:t xml:space="preserve"> (20</w:t>
      </w:r>
      <w:r w:rsidRPr="005B0E9E">
        <w:rPr>
          <w:rFonts w:eastAsia="Times New Roman"/>
        </w:rPr>
        <w:t>21</w:t>
      </w:r>
      <w:r w:rsidR="00DB1F66">
        <w:rPr>
          <w:rFonts w:eastAsia="Times New Roman"/>
        </w:rPr>
        <w:t>)</w:t>
      </w:r>
      <w:r w:rsidRPr="005B0E9E">
        <w:rPr>
          <w:rFonts w:eastAsia="Times New Roman"/>
        </w:rPr>
        <w:t xml:space="preserve">. SEC </w:t>
      </w:r>
      <w:r w:rsidR="00D00195">
        <w:rPr>
          <w:rFonts w:eastAsia="Times New Roman"/>
        </w:rPr>
        <w:t>w</w:t>
      </w:r>
      <w:r w:rsidRPr="005B0E9E">
        <w:rPr>
          <w:rFonts w:eastAsia="Times New Roman"/>
        </w:rPr>
        <w:t xml:space="preserve">orkload, IPO </w:t>
      </w:r>
      <w:r w:rsidR="00D00195">
        <w:rPr>
          <w:rFonts w:eastAsia="Times New Roman"/>
        </w:rPr>
        <w:t>f</w:t>
      </w:r>
      <w:r w:rsidRPr="005B0E9E">
        <w:rPr>
          <w:rFonts w:eastAsia="Times New Roman"/>
        </w:rPr>
        <w:t xml:space="preserve">iling </w:t>
      </w:r>
      <w:r w:rsidR="00D00195">
        <w:rPr>
          <w:rFonts w:eastAsia="Times New Roman"/>
        </w:rPr>
        <w:t>r</w:t>
      </w:r>
      <w:r w:rsidRPr="005B0E9E">
        <w:rPr>
          <w:rFonts w:eastAsia="Times New Roman"/>
        </w:rPr>
        <w:t xml:space="preserve">eviews, and IPO </w:t>
      </w:r>
      <w:r w:rsidR="00D00195">
        <w:rPr>
          <w:rFonts w:eastAsia="Times New Roman"/>
        </w:rPr>
        <w:t>p</w:t>
      </w:r>
      <w:r w:rsidRPr="005B0E9E">
        <w:rPr>
          <w:rFonts w:eastAsia="Times New Roman"/>
        </w:rPr>
        <w:t xml:space="preserve">ricing. </w:t>
      </w:r>
      <w:r w:rsidRPr="005B0E9E">
        <w:rPr>
          <w:rFonts w:eastAsia="Times New Roman"/>
          <w:i/>
          <w:iCs/>
        </w:rPr>
        <w:t>Working Paper.</w:t>
      </w:r>
      <w:r w:rsidRPr="005B0E9E">
        <w:rPr>
          <w:rFonts w:eastAsia="Times New Roman"/>
        </w:rPr>
        <w:t xml:space="preserve"> </w:t>
      </w:r>
      <w:r w:rsidR="00DD1C13">
        <w:rPr>
          <w:rFonts w:eastAsia="Times New Roman"/>
        </w:rPr>
        <w:t xml:space="preserve">SSRN ID: </w:t>
      </w:r>
      <w:r w:rsidR="00DD1C13" w:rsidRPr="00DD1C13">
        <w:rPr>
          <w:rFonts w:eastAsia="Times New Roman"/>
        </w:rPr>
        <w:t>3793477</w:t>
      </w:r>
      <w:r w:rsidR="00913F84">
        <w:rPr>
          <w:rFonts w:eastAsia="Times New Roman"/>
        </w:rPr>
        <w:t>.</w:t>
      </w:r>
    </w:p>
    <w:p w14:paraId="3A51896E" w14:textId="3E90CAB6" w:rsidR="00EB3110" w:rsidRPr="005B0E9E" w:rsidRDefault="00EB3110" w:rsidP="00842A41">
      <w:pPr>
        <w:spacing w:after="200" w:line="276" w:lineRule="auto"/>
        <w:ind w:left="284" w:hanging="284"/>
        <w:jc w:val="both"/>
        <w:rPr>
          <w:rFonts w:eastAsia="Times New Roman"/>
        </w:rPr>
      </w:pPr>
      <w:proofErr w:type="spellStart"/>
      <w:r w:rsidRPr="005B0E9E">
        <w:rPr>
          <w:rFonts w:eastAsia="Times New Roman"/>
        </w:rPr>
        <w:t>Kurlat</w:t>
      </w:r>
      <w:proofErr w:type="spellEnd"/>
      <w:r w:rsidRPr="005B0E9E">
        <w:rPr>
          <w:rFonts w:eastAsia="Times New Roman"/>
        </w:rPr>
        <w:t xml:space="preserve">, P., &amp; </w:t>
      </w:r>
      <w:proofErr w:type="spellStart"/>
      <w:r w:rsidRPr="005B0E9E">
        <w:rPr>
          <w:rFonts w:eastAsia="Times New Roman"/>
        </w:rPr>
        <w:t>Veldkamp</w:t>
      </w:r>
      <w:proofErr w:type="spellEnd"/>
      <w:r w:rsidRPr="005B0E9E">
        <w:rPr>
          <w:rFonts w:eastAsia="Times New Roman"/>
        </w:rPr>
        <w:t>, L.</w:t>
      </w:r>
      <w:r w:rsidR="00DB1F66">
        <w:rPr>
          <w:rFonts w:eastAsia="Times New Roman"/>
        </w:rPr>
        <w:t xml:space="preserve"> (20</w:t>
      </w:r>
      <w:r w:rsidRPr="005B0E9E">
        <w:rPr>
          <w:rFonts w:eastAsia="Times New Roman"/>
        </w:rPr>
        <w:t>15</w:t>
      </w:r>
      <w:r w:rsidR="00DB1F66">
        <w:rPr>
          <w:rFonts w:eastAsia="Times New Roman"/>
        </w:rPr>
        <w:t>)</w:t>
      </w:r>
      <w:r w:rsidRPr="005B0E9E">
        <w:rPr>
          <w:rFonts w:eastAsia="Times New Roman"/>
        </w:rPr>
        <w:t xml:space="preserve">. Should we regulate financial information? </w:t>
      </w:r>
      <w:r w:rsidRPr="005B0E9E">
        <w:rPr>
          <w:rFonts w:eastAsia="Times New Roman"/>
          <w:i/>
          <w:iCs/>
        </w:rPr>
        <w:t>Journal of Economic Theory</w:t>
      </w:r>
      <w:r w:rsidRPr="00700156">
        <w:rPr>
          <w:rFonts w:eastAsia="Times New Roman"/>
        </w:rPr>
        <w:t xml:space="preserve">, </w:t>
      </w:r>
      <w:r w:rsidRPr="00F522FB">
        <w:rPr>
          <w:rFonts w:eastAsia="Times New Roman"/>
          <w:i/>
          <w:iCs/>
        </w:rPr>
        <w:t>158</w:t>
      </w:r>
      <w:r w:rsidRPr="00700156">
        <w:rPr>
          <w:rFonts w:eastAsia="Times New Roman"/>
        </w:rPr>
        <w:t xml:space="preserve">, </w:t>
      </w:r>
      <w:r w:rsidRPr="005B0E9E">
        <w:rPr>
          <w:rFonts w:eastAsia="Times New Roman"/>
        </w:rPr>
        <w:t>697–720.</w:t>
      </w:r>
    </w:p>
    <w:p w14:paraId="29ABE8AE" w14:textId="5CA970AD" w:rsidR="000410FE" w:rsidRPr="005B0E9E" w:rsidRDefault="000410FE" w:rsidP="00842A41">
      <w:pPr>
        <w:spacing w:after="200" w:line="276" w:lineRule="auto"/>
        <w:ind w:left="284" w:hanging="284"/>
        <w:jc w:val="both"/>
        <w:rPr>
          <w:rFonts w:eastAsia="Times New Roman"/>
        </w:rPr>
      </w:pPr>
      <w:r w:rsidRPr="005B0E9E">
        <w:rPr>
          <w:rFonts w:eastAsia="Times New Roman"/>
        </w:rPr>
        <w:t xml:space="preserve">Lee, G., &amp; </w:t>
      </w:r>
      <w:proofErr w:type="spellStart"/>
      <w:r w:rsidRPr="005B0E9E">
        <w:rPr>
          <w:rFonts w:eastAsia="Times New Roman"/>
        </w:rPr>
        <w:t>Masulis</w:t>
      </w:r>
      <w:proofErr w:type="spellEnd"/>
      <w:r w:rsidRPr="005B0E9E">
        <w:rPr>
          <w:rFonts w:eastAsia="Times New Roman"/>
        </w:rPr>
        <w:t>, R.  W.</w:t>
      </w:r>
      <w:r w:rsidR="00DB1F66">
        <w:rPr>
          <w:rFonts w:eastAsia="Times New Roman"/>
        </w:rPr>
        <w:t xml:space="preserve"> (20</w:t>
      </w:r>
      <w:r w:rsidRPr="005B0E9E">
        <w:rPr>
          <w:rFonts w:eastAsia="Times New Roman"/>
        </w:rPr>
        <w:t>09</w:t>
      </w:r>
      <w:r w:rsidR="00DB1F66">
        <w:rPr>
          <w:rFonts w:eastAsia="Times New Roman"/>
        </w:rPr>
        <w:t>)</w:t>
      </w:r>
      <w:r w:rsidRPr="005B0E9E">
        <w:rPr>
          <w:rFonts w:eastAsia="Times New Roman"/>
        </w:rPr>
        <w:t xml:space="preserve">. Seasoned equity offerings: Quality of accounting information and expected flotation costs. </w:t>
      </w:r>
      <w:r w:rsidRPr="005B0E9E">
        <w:rPr>
          <w:rFonts w:eastAsia="Times New Roman"/>
          <w:i/>
          <w:iCs/>
        </w:rPr>
        <w:t>Journal of Financial Economics</w:t>
      </w:r>
      <w:r w:rsidRPr="00700156">
        <w:rPr>
          <w:rFonts w:eastAsia="Times New Roman"/>
        </w:rPr>
        <w:t xml:space="preserve">, </w:t>
      </w:r>
      <w:r w:rsidRPr="00F522FB">
        <w:rPr>
          <w:rFonts w:eastAsia="Times New Roman"/>
          <w:i/>
          <w:iCs/>
        </w:rPr>
        <w:t>92</w:t>
      </w:r>
      <w:r w:rsidRPr="00700156">
        <w:rPr>
          <w:rFonts w:eastAsia="Times New Roman"/>
        </w:rPr>
        <w:t>(3),</w:t>
      </w:r>
      <w:r w:rsidRPr="005B0E9E">
        <w:rPr>
          <w:rFonts w:eastAsia="Times New Roman"/>
        </w:rPr>
        <w:t xml:space="preserve"> 443–469.</w:t>
      </w:r>
    </w:p>
    <w:p w14:paraId="302672B6" w14:textId="6B547AF5" w:rsidR="001A1853" w:rsidRPr="005B0E9E" w:rsidRDefault="001A1853" w:rsidP="00842A41">
      <w:pPr>
        <w:spacing w:after="200" w:line="276" w:lineRule="auto"/>
        <w:jc w:val="both"/>
        <w:rPr>
          <w:rFonts w:eastAsia="Times New Roman"/>
        </w:rPr>
      </w:pPr>
      <w:r w:rsidRPr="005B0E9E">
        <w:rPr>
          <w:rFonts w:eastAsia="Times New Roman"/>
        </w:rPr>
        <w:t xml:space="preserve">Lee, G., &amp; </w:t>
      </w:r>
      <w:proofErr w:type="spellStart"/>
      <w:r w:rsidRPr="005B0E9E">
        <w:rPr>
          <w:rFonts w:eastAsia="Times New Roman"/>
        </w:rPr>
        <w:t>Masulis</w:t>
      </w:r>
      <w:proofErr w:type="spellEnd"/>
      <w:r w:rsidRPr="005B0E9E">
        <w:rPr>
          <w:rFonts w:eastAsia="Times New Roman"/>
        </w:rPr>
        <w:t>, R. W.</w:t>
      </w:r>
      <w:r w:rsidR="00DB1F66">
        <w:rPr>
          <w:rFonts w:eastAsia="Times New Roman"/>
        </w:rPr>
        <w:t xml:space="preserve"> (20</w:t>
      </w:r>
      <w:r w:rsidRPr="005B0E9E">
        <w:rPr>
          <w:rFonts w:eastAsia="Times New Roman"/>
        </w:rPr>
        <w:t>11</w:t>
      </w:r>
      <w:r w:rsidR="00DB1F66">
        <w:rPr>
          <w:rFonts w:eastAsia="Times New Roman"/>
        </w:rPr>
        <w:t>).</w:t>
      </w:r>
      <w:r w:rsidRPr="005B0E9E">
        <w:rPr>
          <w:rFonts w:eastAsia="Times New Roman"/>
        </w:rPr>
        <w:t xml:space="preserve"> Do more reputable financial institutions reduce earnings management by IPO issuers? </w:t>
      </w:r>
      <w:r w:rsidRPr="005B0E9E">
        <w:rPr>
          <w:rFonts w:eastAsia="Times New Roman"/>
          <w:i/>
          <w:iCs/>
        </w:rPr>
        <w:t>Journal of Corporate Finance</w:t>
      </w:r>
      <w:r w:rsidRPr="00700156">
        <w:rPr>
          <w:rFonts w:eastAsia="Times New Roman"/>
        </w:rPr>
        <w:t xml:space="preserve">, </w:t>
      </w:r>
      <w:r w:rsidRPr="00F522FB">
        <w:rPr>
          <w:rFonts w:eastAsia="Times New Roman"/>
          <w:i/>
          <w:iCs/>
        </w:rPr>
        <w:t>17</w:t>
      </w:r>
      <w:r w:rsidRPr="00700156">
        <w:rPr>
          <w:rFonts w:eastAsia="Times New Roman"/>
        </w:rPr>
        <w:t>(4),</w:t>
      </w:r>
      <w:r w:rsidRPr="005B0E9E">
        <w:rPr>
          <w:rFonts w:eastAsia="Times New Roman"/>
        </w:rPr>
        <w:t xml:space="preserve"> 982–1000. </w:t>
      </w:r>
    </w:p>
    <w:p w14:paraId="11259425" w14:textId="22FDE83D" w:rsidR="005E1BA3" w:rsidRPr="005B0E9E" w:rsidRDefault="005E1BA3" w:rsidP="00842A41">
      <w:pPr>
        <w:spacing w:after="200" w:line="276" w:lineRule="auto"/>
        <w:ind w:left="284" w:hanging="284"/>
        <w:jc w:val="both"/>
        <w:rPr>
          <w:sz w:val="20"/>
          <w:szCs w:val="20"/>
        </w:rPr>
      </w:pPr>
      <w:r w:rsidRPr="005B0E9E">
        <w:rPr>
          <w:rFonts w:eastAsia="Times New Roman"/>
        </w:rPr>
        <w:t>Li, B., &amp; Liu, Z.</w:t>
      </w:r>
      <w:r w:rsidR="00DB1F66">
        <w:rPr>
          <w:rFonts w:eastAsia="Times New Roman"/>
        </w:rPr>
        <w:t xml:space="preserve"> (20</w:t>
      </w:r>
      <w:r w:rsidRPr="005B0E9E">
        <w:rPr>
          <w:rFonts w:eastAsia="Times New Roman"/>
        </w:rPr>
        <w:t>17</w:t>
      </w:r>
      <w:r w:rsidR="00DB1F66">
        <w:rPr>
          <w:rFonts w:eastAsia="Times New Roman"/>
        </w:rPr>
        <w:t>)</w:t>
      </w:r>
      <w:r w:rsidRPr="005B0E9E">
        <w:rPr>
          <w:rFonts w:eastAsia="Times New Roman"/>
        </w:rPr>
        <w:t xml:space="preserve">. The oversight role of regulators: evidence from SEC comment letters in the IPO process. </w:t>
      </w:r>
      <w:r w:rsidR="00DF0E05" w:rsidRPr="005B0E9E">
        <w:rPr>
          <w:rFonts w:eastAsia="Times New Roman"/>
          <w:i/>
          <w:iCs/>
        </w:rPr>
        <w:t>Review of Accounting Studies</w:t>
      </w:r>
      <w:r w:rsidR="00DF0E05" w:rsidRPr="00E503A5">
        <w:rPr>
          <w:rFonts w:eastAsia="Times New Roman"/>
        </w:rPr>
        <w:t>,</w:t>
      </w:r>
      <w:r w:rsidR="00DF0E05" w:rsidRPr="005B0E9E">
        <w:rPr>
          <w:rFonts w:eastAsia="Times New Roman"/>
        </w:rPr>
        <w:t xml:space="preserve"> </w:t>
      </w:r>
      <w:r w:rsidRPr="00F522FB">
        <w:rPr>
          <w:rFonts w:eastAsia="Times New Roman"/>
          <w:i/>
          <w:iCs/>
        </w:rPr>
        <w:t>22</w:t>
      </w:r>
      <w:r w:rsidRPr="005B0E9E">
        <w:rPr>
          <w:rFonts w:eastAsia="Times New Roman"/>
        </w:rPr>
        <w:t>(3), 1229–1260.</w:t>
      </w:r>
    </w:p>
    <w:p w14:paraId="45DE0DA6" w14:textId="01C340E8" w:rsidR="005E1BA3" w:rsidRPr="005B0E9E" w:rsidRDefault="005E1BA3" w:rsidP="00842A41">
      <w:pPr>
        <w:spacing w:after="200" w:line="276" w:lineRule="auto"/>
        <w:ind w:left="284" w:hanging="284"/>
        <w:jc w:val="both"/>
        <w:rPr>
          <w:sz w:val="20"/>
          <w:szCs w:val="20"/>
        </w:rPr>
      </w:pPr>
      <w:r w:rsidRPr="005B0E9E">
        <w:rPr>
          <w:rFonts w:eastAsia="Times New Roman"/>
        </w:rPr>
        <w:t>Li, F.</w:t>
      </w:r>
      <w:r w:rsidR="00DB1F66">
        <w:rPr>
          <w:rFonts w:eastAsia="Times New Roman"/>
        </w:rPr>
        <w:t xml:space="preserve"> (20</w:t>
      </w:r>
      <w:r w:rsidRPr="005B0E9E">
        <w:rPr>
          <w:rFonts w:eastAsia="Times New Roman"/>
        </w:rPr>
        <w:t>10</w:t>
      </w:r>
      <w:r w:rsidR="00DB1F66">
        <w:rPr>
          <w:rFonts w:eastAsia="Times New Roman"/>
        </w:rPr>
        <w:t>)</w:t>
      </w:r>
      <w:r w:rsidRPr="005B0E9E">
        <w:rPr>
          <w:rFonts w:eastAsia="Times New Roman"/>
        </w:rPr>
        <w:t>. The information content of forward-looking statements in corporate filings</w:t>
      </w:r>
      <w:r w:rsidR="006E6374">
        <w:rPr>
          <w:rFonts w:eastAsia="Times New Roman"/>
        </w:rPr>
        <w:t xml:space="preserve">: </w:t>
      </w:r>
      <w:r w:rsidRPr="005B0E9E">
        <w:rPr>
          <w:rFonts w:eastAsia="Times New Roman"/>
        </w:rPr>
        <w:t xml:space="preserve">A naïve </w:t>
      </w:r>
      <w:proofErr w:type="spellStart"/>
      <w:r w:rsidRPr="005B0E9E">
        <w:rPr>
          <w:rFonts w:eastAsia="Times New Roman"/>
        </w:rPr>
        <w:t>bayesian</w:t>
      </w:r>
      <w:proofErr w:type="spellEnd"/>
      <w:r w:rsidRPr="005B0E9E">
        <w:rPr>
          <w:rFonts w:eastAsia="Times New Roman"/>
        </w:rPr>
        <w:t xml:space="preserve"> machine learning approach. </w:t>
      </w:r>
      <w:r w:rsidR="004E136B" w:rsidRPr="005B0E9E">
        <w:rPr>
          <w:rFonts w:eastAsia="Times New Roman"/>
          <w:i/>
          <w:iCs/>
        </w:rPr>
        <w:t>Journal of Accounting Research</w:t>
      </w:r>
      <w:r w:rsidR="004E136B" w:rsidRPr="00E503A5">
        <w:rPr>
          <w:rFonts w:eastAsia="Times New Roman"/>
        </w:rPr>
        <w:t>,</w:t>
      </w:r>
      <w:r w:rsidRPr="00E503A5">
        <w:rPr>
          <w:rFonts w:eastAsia="Times New Roman"/>
        </w:rPr>
        <w:t xml:space="preserve"> </w:t>
      </w:r>
      <w:r w:rsidRPr="00F522FB">
        <w:rPr>
          <w:rFonts w:eastAsia="Times New Roman"/>
          <w:i/>
          <w:iCs/>
        </w:rPr>
        <w:t>48</w:t>
      </w:r>
      <w:r w:rsidRPr="005B0E9E">
        <w:rPr>
          <w:rFonts w:eastAsia="Times New Roman"/>
        </w:rPr>
        <w:t>(5), 1049–1102.</w:t>
      </w:r>
    </w:p>
    <w:p w14:paraId="0E293191" w14:textId="3A9DC877" w:rsidR="005E1BA3" w:rsidRPr="005B0E9E" w:rsidRDefault="005E1BA3" w:rsidP="00842A41">
      <w:pPr>
        <w:spacing w:after="200" w:line="276" w:lineRule="auto"/>
        <w:ind w:left="284" w:hanging="284"/>
        <w:jc w:val="both"/>
        <w:rPr>
          <w:rFonts w:eastAsia="Times New Roman"/>
        </w:rPr>
      </w:pPr>
      <w:r w:rsidRPr="005B0E9E">
        <w:rPr>
          <w:rFonts w:eastAsia="Times New Roman"/>
        </w:rPr>
        <w:lastRenderedPageBreak/>
        <w:t xml:space="preserve">Long, N., </w:t>
      </w:r>
      <w:proofErr w:type="spellStart"/>
      <w:r w:rsidRPr="005B0E9E">
        <w:rPr>
          <w:rFonts w:eastAsia="Times New Roman"/>
        </w:rPr>
        <w:t>Gianola</w:t>
      </w:r>
      <w:proofErr w:type="spellEnd"/>
      <w:r w:rsidRPr="005B0E9E">
        <w:rPr>
          <w:rFonts w:eastAsia="Times New Roman"/>
        </w:rPr>
        <w:t xml:space="preserve">, D., Rosa, G. J. M., Weigel, K. A., &amp; </w:t>
      </w:r>
      <w:proofErr w:type="spellStart"/>
      <w:r w:rsidRPr="005B0E9E">
        <w:rPr>
          <w:rFonts w:eastAsia="Times New Roman"/>
        </w:rPr>
        <w:t>Avendaño</w:t>
      </w:r>
      <w:proofErr w:type="spellEnd"/>
      <w:r w:rsidRPr="005B0E9E">
        <w:rPr>
          <w:rFonts w:eastAsia="Times New Roman"/>
        </w:rPr>
        <w:t>, S.</w:t>
      </w:r>
      <w:r w:rsidR="00DB1F66">
        <w:rPr>
          <w:rFonts w:eastAsia="Times New Roman"/>
        </w:rPr>
        <w:t xml:space="preserve"> (20</w:t>
      </w:r>
      <w:r w:rsidRPr="005B0E9E">
        <w:rPr>
          <w:rFonts w:eastAsia="Times New Roman"/>
        </w:rPr>
        <w:t>09</w:t>
      </w:r>
      <w:r w:rsidR="00DB1F66">
        <w:rPr>
          <w:rFonts w:eastAsia="Times New Roman"/>
        </w:rPr>
        <w:t>)</w:t>
      </w:r>
      <w:r w:rsidRPr="005B0E9E">
        <w:rPr>
          <w:rFonts w:eastAsia="Times New Roman"/>
        </w:rPr>
        <w:t xml:space="preserve">. Comparison of classification methods for detecting associations between SNPs and chick mortality. </w:t>
      </w:r>
      <w:r w:rsidR="00014DAE" w:rsidRPr="005B0E9E">
        <w:rPr>
          <w:rFonts w:eastAsia="Times New Roman"/>
          <w:i/>
          <w:iCs/>
        </w:rPr>
        <w:t>Genetics Selection Evolution</w:t>
      </w:r>
      <w:r w:rsidR="00014DAE" w:rsidRPr="00E503A5">
        <w:rPr>
          <w:rFonts w:eastAsia="Times New Roman"/>
        </w:rPr>
        <w:t>,</w:t>
      </w:r>
      <w:r w:rsidRPr="00E503A5">
        <w:rPr>
          <w:rFonts w:eastAsia="Times New Roman"/>
        </w:rPr>
        <w:t xml:space="preserve"> </w:t>
      </w:r>
      <w:r w:rsidRPr="00F522FB">
        <w:rPr>
          <w:rFonts w:eastAsia="Times New Roman"/>
          <w:i/>
          <w:iCs/>
        </w:rPr>
        <w:t>41</w:t>
      </w:r>
      <w:r w:rsidRPr="00E503A5">
        <w:rPr>
          <w:rFonts w:eastAsia="Times New Roman"/>
        </w:rPr>
        <w:t>(18),</w:t>
      </w:r>
      <w:r w:rsidRPr="005B0E9E">
        <w:rPr>
          <w:rFonts w:eastAsia="Times New Roman"/>
        </w:rPr>
        <w:t xml:space="preserve"> 1–14.</w:t>
      </w:r>
    </w:p>
    <w:p w14:paraId="2A5E8DFA" w14:textId="5220624F" w:rsidR="005E1BA3" w:rsidRPr="005B0E9E" w:rsidRDefault="005E1BA3" w:rsidP="00842A41">
      <w:pPr>
        <w:spacing w:after="200" w:line="276" w:lineRule="auto"/>
        <w:ind w:left="284" w:hanging="284"/>
        <w:jc w:val="both"/>
        <w:rPr>
          <w:rFonts w:eastAsia="Times New Roman"/>
        </w:rPr>
      </w:pPr>
      <w:r w:rsidRPr="005B0E9E">
        <w:rPr>
          <w:rFonts w:eastAsia="Times New Roman"/>
        </w:rPr>
        <w:t xml:space="preserve">Lowry, M., </w:t>
      </w:r>
      <w:proofErr w:type="spellStart"/>
      <w:r w:rsidRPr="005B0E9E">
        <w:rPr>
          <w:rFonts w:eastAsia="Times New Roman"/>
        </w:rPr>
        <w:t>Michaely</w:t>
      </w:r>
      <w:proofErr w:type="spellEnd"/>
      <w:r w:rsidRPr="005B0E9E">
        <w:rPr>
          <w:rFonts w:eastAsia="Times New Roman"/>
        </w:rPr>
        <w:t>, R., &amp; Volkova E.</w:t>
      </w:r>
      <w:r w:rsidR="00DB1F66">
        <w:rPr>
          <w:rFonts w:eastAsia="Times New Roman"/>
        </w:rPr>
        <w:t xml:space="preserve"> (20</w:t>
      </w:r>
      <w:r w:rsidRPr="005B0E9E">
        <w:rPr>
          <w:rFonts w:eastAsia="Times New Roman"/>
        </w:rPr>
        <w:t>20</w:t>
      </w:r>
      <w:r w:rsidR="00DB1F66">
        <w:rPr>
          <w:rFonts w:eastAsia="Times New Roman"/>
        </w:rPr>
        <w:t>)</w:t>
      </w:r>
      <w:r w:rsidRPr="005B0E9E">
        <w:rPr>
          <w:rFonts w:eastAsia="Times New Roman"/>
        </w:rPr>
        <w:t xml:space="preserve">. Information </w:t>
      </w:r>
      <w:r w:rsidR="00C37E61">
        <w:rPr>
          <w:rFonts w:eastAsia="Times New Roman"/>
        </w:rPr>
        <w:t>r</w:t>
      </w:r>
      <w:r w:rsidRPr="005B0E9E">
        <w:rPr>
          <w:rFonts w:eastAsia="Times New Roman"/>
        </w:rPr>
        <w:t xml:space="preserve">evealed through the </w:t>
      </w:r>
      <w:r w:rsidR="00C37E61">
        <w:rPr>
          <w:rFonts w:eastAsia="Times New Roman"/>
        </w:rPr>
        <w:t>r</w:t>
      </w:r>
      <w:r w:rsidRPr="005B0E9E">
        <w:rPr>
          <w:rFonts w:eastAsia="Times New Roman"/>
        </w:rPr>
        <w:t xml:space="preserve">egulatory </w:t>
      </w:r>
      <w:r w:rsidR="00C37E61">
        <w:rPr>
          <w:rFonts w:eastAsia="Times New Roman"/>
        </w:rPr>
        <w:t>p</w:t>
      </w:r>
      <w:r w:rsidRPr="005B0E9E">
        <w:rPr>
          <w:rFonts w:eastAsia="Times New Roman"/>
        </w:rPr>
        <w:t xml:space="preserve">rocess: Interactions between the SEC and </w:t>
      </w:r>
      <w:r w:rsidR="00C37E61">
        <w:rPr>
          <w:rFonts w:eastAsia="Times New Roman"/>
        </w:rPr>
        <w:t>c</w:t>
      </w:r>
      <w:r w:rsidRPr="005B0E9E">
        <w:rPr>
          <w:rFonts w:eastAsia="Times New Roman"/>
        </w:rPr>
        <w:t xml:space="preserve">ompanies ahead of </w:t>
      </w:r>
      <w:r w:rsidR="00C37E61">
        <w:rPr>
          <w:rFonts w:eastAsia="Times New Roman"/>
        </w:rPr>
        <w:t>t</w:t>
      </w:r>
      <w:r w:rsidRPr="005B0E9E">
        <w:rPr>
          <w:rFonts w:eastAsia="Times New Roman"/>
        </w:rPr>
        <w:t xml:space="preserve">heir IPO. </w:t>
      </w:r>
      <w:r w:rsidR="002E12B0" w:rsidRPr="005B0E9E">
        <w:rPr>
          <w:rFonts w:eastAsia="Times New Roman"/>
          <w:i/>
          <w:iCs/>
        </w:rPr>
        <w:t>Review of Financial Studies</w:t>
      </w:r>
      <w:r w:rsidRPr="00E503A5">
        <w:rPr>
          <w:rFonts w:eastAsia="Times New Roman"/>
        </w:rPr>
        <w:t xml:space="preserve">, </w:t>
      </w:r>
      <w:r w:rsidR="002E12B0" w:rsidRPr="00F522FB">
        <w:rPr>
          <w:rFonts w:eastAsia="Times New Roman"/>
          <w:i/>
          <w:iCs/>
        </w:rPr>
        <w:t>33</w:t>
      </w:r>
      <w:r w:rsidR="002E12B0" w:rsidRPr="005B0E9E">
        <w:rPr>
          <w:rFonts w:eastAsia="Times New Roman"/>
        </w:rPr>
        <w:t>(12), 5510-5554</w:t>
      </w:r>
      <w:r w:rsidRPr="005B0E9E">
        <w:rPr>
          <w:rFonts w:eastAsia="Times New Roman"/>
        </w:rPr>
        <w:t>.</w:t>
      </w:r>
    </w:p>
    <w:p w14:paraId="799AAB28" w14:textId="77777777" w:rsidR="004B2C1A" w:rsidRDefault="00D253DE" w:rsidP="004B2C1A">
      <w:pPr>
        <w:spacing w:after="200" w:line="276" w:lineRule="auto"/>
        <w:ind w:left="284" w:hanging="284"/>
        <w:jc w:val="both"/>
      </w:pPr>
      <w:r w:rsidRPr="005B0E9E">
        <w:t>Lowry, M., &amp; Shu, S.</w:t>
      </w:r>
      <w:r w:rsidR="00DB1F66">
        <w:t xml:space="preserve"> (20</w:t>
      </w:r>
      <w:r w:rsidRPr="005B0E9E">
        <w:t>02</w:t>
      </w:r>
      <w:r w:rsidR="00DB1F66">
        <w:t>)</w:t>
      </w:r>
      <w:r w:rsidRPr="005B0E9E">
        <w:t xml:space="preserve">. Litigation risk and IPO </w:t>
      </w:r>
      <w:proofErr w:type="spellStart"/>
      <w:r w:rsidRPr="005B0E9E">
        <w:t>underpricing</w:t>
      </w:r>
      <w:proofErr w:type="spellEnd"/>
      <w:r w:rsidRPr="005B0E9E">
        <w:t xml:space="preserve">. </w:t>
      </w:r>
      <w:r w:rsidRPr="005B0E9E">
        <w:rPr>
          <w:i/>
          <w:iCs/>
        </w:rPr>
        <w:t>Journal of Financial Economics</w:t>
      </w:r>
      <w:r w:rsidRPr="00E503A5">
        <w:t xml:space="preserve">, </w:t>
      </w:r>
      <w:r w:rsidRPr="00F522FB">
        <w:rPr>
          <w:i/>
          <w:iCs/>
        </w:rPr>
        <w:t>65</w:t>
      </w:r>
      <w:r w:rsidRPr="00E503A5">
        <w:t>,</w:t>
      </w:r>
      <w:r w:rsidRPr="005B0E9E">
        <w:t xml:space="preserve"> 309–335.</w:t>
      </w:r>
    </w:p>
    <w:p w14:paraId="1293469F" w14:textId="3AF4889C" w:rsidR="004B2C1A" w:rsidRDefault="004B2C1A" w:rsidP="004B2C1A">
      <w:pPr>
        <w:spacing w:after="200" w:line="276" w:lineRule="auto"/>
        <w:ind w:left="284" w:hanging="284"/>
        <w:jc w:val="both"/>
      </w:pPr>
      <w:proofErr w:type="spellStart"/>
      <w:r w:rsidRPr="004B2C1A">
        <w:t>Massel</w:t>
      </w:r>
      <w:proofErr w:type="spellEnd"/>
      <w:r w:rsidRPr="004B2C1A">
        <w:t xml:space="preserve">, N., Park, J. E. and </w:t>
      </w:r>
      <w:proofErr w:type="spellStart"/>
      <w:r w:rsidRPr="004B2C1A">
        <w:t>Reichelt</w:t>
      </w:r>
      <w:proofErr w:type="spellEnd"/>
      <w:r w:rsidRPr="004B2C1A">
        <w:t xml:space="preserve">, K. (2021). Do Revenues Matter More Than Earnings for Initial Public Offerings? </w:t>
      </w:r>
      <w:r w:rsidRPr="004B2C1A">
        <w:rPr>
          <w:i/>
          <w:iCs/>
        </w:rPr>
        <w:t>Journal of Accounting, Auditing and Finance</w:t>
      </w:r>
      <w:r w:rsidRPr="004B2C1A">
        <w:t xml:space="preserve">. </w:t>
      </w:r>
      <w:r w:rsidR="008C4B18">
        <w:t xml:space="preserve">Retrieved from </w:t>
      </w:r>
      <w:hyperlink r:id="rId13" w:history="1">
        <w:r w:rsidR="008C4B18" w:rsidRPr="00D95C28">
          <w:rPr>
            <w:rStyle w:val="Hyperlink"/>
          </w:rPr>
          <w:t>https://doi.org/10.1177/0148558X211046512</w:t>
        </w:r>
      </w:hyperlink>
      <w:r w:rsidR="008C4B18">
        <w:t>. Accessed 29 May 2022.</w:t>
      </w:r>
    </w:p>
    <w:p w14:paraId="450DAF51" w14:textId="790E1965" w:rsidR="006A6956" w:rsidRPr="005B0E9E" w:rsidRDefault="006A6956" w:rsidP="006A6956">
      <w:pPr>
        <w:spacing w:after="200" w:line="276" w:lineRule="auto"/>
        <w:ind w:left="284" w:hanging="284"/>
        <w:jc w:val="both"/>
      </w:pPr>
      <w:proofErr w:type="spellStart"/>
      <w:r w:rsidRPr="006A6956">
        <w:t>Pettinicchio</w:t>
      </w:r>
      <w:proofErr w:type="spellEnd"/>
      <w:r w:rsidRPr="006A6956">
        <w:t xml:space="preserve">, A. (2020). SEC Supervisory Activity in the Financial Industry. </w:t>
      </w:r>
      <w:r w:rsidRPr="006A6956">
        <w:rPr>
          <w:i/>
          <w:iCs/>
        </w:rPr>
        <w:t>Journal of Accounting, Auditing and Finance</w:t>
      </w:r>
      <w:r>
        <w:t xml:space="preserve">, </w:t>
      </w:r>
      <w:r w:rsidRPr="006A6956">
        <w:rPr>
          <w:i/>
          <w:iCs/>
        </w:rPr>
        <w:t>3</w:t>
      </w:r>
      <w:r w:rsidRPr="006A6956">
        <w:t>, 607–636.</w:t>
      </w:r>
    </w:p>
    <w:p w14:paraId="396F2C65" w14:textId="3F6862D1" w:rsidR="005E1BA3" w:rsidRPr="005B0E9E" w:rsidRDefault="005E1BA3" w:rsidP="00842A41">
      <w:pPr>
        <w:spacing w:after="200" w:line="276" w:lineRule="auto"/>
        <w:ind w:left="284" w:hanging="284"/>
        <w:jc w:val="both"/>
        <w:rPr>
          <w:sz w:val="20"/>
          <w:szCs w:val="20"/>
        </w:rPr>
      </w:pPr>
      <w:r w:rsidRPr="005B0E9E">
        <w:rPr>
          <w:rFonts w:eastAsia="Times New Roman"/>
        </w:rPr>
        <w:t xml:space="preserve">Robinson, J. R., </w:t>
      </w:r>
      <w:proofErr w:type="spellStart"/>
      <w:r w:rsidRPr="005B0E9E">
        <w:rPr>
          <w:rFonts w:eastAsia="Times New Roman"/>
        </w:rPr>
        <w:t>Xue</w:t>
      </w:r>
      <w:proofErr w:type="spellEnd"/>
      <w:r w:rsidRPr="005B0E9E">
        <w:rPr>
          <w:rFonts w:eastAsia="Times New Roman"/>
        </w:rPr>
        <w:t>, Y., &amp; Yu, Y.</w:t>
      </w:r>
      <w:r w:rsidR="00DB1F66">
        <w:rPr>
          <w:rFonts w:eastAsia="Times New Roman"/>
        </w:rPr>
        <w:t xml:space="preserve"> (20</w:t>
      </w:r>
      <w:r w:rsidRPr="005B0E9E">
        <w:rPr>
          <w:rFonts w:eastAsia="Times New Roman"/>
        </w:rPr>
        <w:t>11</w:t>
      </w:r>
      <w:r w:rsidR="00DB1F66">
        <w:rPr>
          <w:rFonts w:eastAsia="Times New Roman"/>
        </w:rPr>
        <w:t>)</w:t>
      </w:r>
      <w:r w:rsidRPr="005B0E9E">
        <w:rPr>
          <w:rFonts w:eastAsia="Times New Roman"/>
        </w:rPr>
        <w:t xml:space="preserve">. Determinants of disclosure noncompliance and the effect of the SEC review: Evidence from the 2006 mandated compensation disclosure regulations. </w:t>
      </w:r>
      <w:r w:rsidR="002E12B0" w:rsidRPr="005B0E9E">
        <w:rPr>
          <w:rFonts w:eastAsia="Times New Roman"/>
          <w:i/>
          <w:iCs/>
        </w:rPr>
        <w:t>The Accounting Review</w:t>
      </w:r>
      <w:r w:rsidR="002E12B0" w:rsidRPr="00E503A5">
        <w:rPr>
          <w:rFonts w:eastAsia="Times New Roman"/>
        </w:rPr>
        <w:t>,</w:t>
      </w:r>
      <w:r w:rsidRPr="00E503A5">
        <w:rPr>
          <w:rFonts w:eastAsia="Times New Roman"/>
        </w:rPr>
        <w:t xml:space="preserve"> </w:t>
      </w:r>
      <w:r w:rsidRPr="00F522FB">
        <w:rPr>
          <w:rFonts w:eastAsia="Times New Roman"/>
          <w:i/>
          <w:iCs/>
        </w:rPr>
        <w:t>86</w:t>
      </w:r>
      <w:r w:rsidRPr="005B0E9E">
        <w:rPr>
          <w:rFonts w:eastAsia="Times New Roman"/>
        </w:rPr>
        <w:t>(4), 1415–1444.</w:t>
      </w:r>
    </w:p>
    <w:p w14:paraId="59AB8DE3" w14:textId="22A3B7E8" w:rsidR="005E1BA3" w:rsidRPr="005B0E9E" w:rsidRDefault="005E1BA3" w:rsidP="00842A41">
      <w:pPr>
        <w:spacing w:after="200" w:line="276" w:lineRule="auto"/>
        <w:ind w:left="284" w:hanging="284"/>
        <w:jc w:val="both"/>
        <w:rPr>
          <w:sz w:val="20"/>
          <w:szCs w:val="20"/>
        </w:rPr>
      </w:pPr>
      <w:r w:rsidRPr="005B0E9E">
        <w:rPr>
          <w:rFonts w:eastAsia="Times New Roman"/>
        </w:rPr>
        <w:t xml:space="preserve">Rock, S., </w:t>
      </w:r>
      <w:proofErr w:type="spellStart"/>
      <w:r w:rsidRPr="005B0E9E">
        <w:rPr>
          <w:rFonts w:eastAsia="Times New Roman"/>
        </w:rPr>
        <w:t>Sedo</w:t>
      </w:r>
      <w:proofErr w:type="spellEnd"/>
      <w:r w:rsidRPr="005B0E9E">
        <w:rPr>
          <w:rFonts w:eastAsia="Times New Roman"/>
        </w:rPr>
        <w:t xml:space="preserve">, S., &amp; </w:t>
      </w:r>
      <w:proofErr w:type="spellStart"/>
      <w:r w:rsidRPr="005B0E9E">
        <w:rPr>
          <w:rFonts w:eastAsia="Times New Roman"/>
        </w:rPr>
        <w:t>Willenborg</w:t>
      </w:r>
      <w:proofErr w:type="spellEnd"/>
      <w:r w:rsidRPr="005B0E9E">
        <w:rPr>
          <w:rFonts w:eastAsia="Times New Roman"/>
        </w:rPr>
        <w:t>, M.</w:t>
      </w:r>
      <w:r w:rsidR="00DB1F66">
        <w:rPr>
          <w:rFonts w:eastAsia="Times New Roman"/>
        </w:rPr>
        <w:t xml:space="preserve"> (20</w:t>
      </w:r>
      <w:r w:rsidRPr="005B0E9E">
        <w:rPr>
          <w:rFonts w:eastAsia="Times New Roman"/>
        </w:rPr>
        <w:t>00</w:t>
      </w:r>
      <w:r w:rsidR="00DB1F66">
        <w:rPr>
          <w:rFonts w:eastAsia="Times New Roman"/>
        </w:rPr>
        <w:t>)</w:t>
      </w:r>
      <w:r w:rsidRPr="005B0E9E">
        <w:rPr>
          <w:rFonts w:eastAsia="Times New Roman"/>
        </w:rPr>
        <w:t>. Analyst following and count-data econometrics.</w:t>
      </w:r>
      <w:r w:rsidR="00BA79A4" w:rsidRPr="005B0E9E">
        <w:rPr>
          <w:sz w:val="20"/>
          <w:szCs w:val="20"/>
        </w:rPr>
        <w:t xml:space="preserve"> </w:t>
      </w:r>
      <w:r w:rsidR="002E12B0" w:rsidRPr="005B0E9E">
        <w:rPr>
          <w:rFonts w:eastAsia="Times New Roman"/>
          <w:i/>
          <w:iCs/>
        </w:rPr>
        <w:t>Journal of Accounting and Economics</w:t>
      </w:r>
      <w:r w:rsidR="002E12B0" w:rsidRPr="00E503A5">
        <w:rPr>
          <w:rFonts w:eastAsia="Times New Roman"/>
        </w:rPr>
        <w:t>,</w:t>
      </w:r>
      <w:r w:rsidRPr="00E503A5">
        <w:rPr>
          <w:rFonts w:eastAsia="Times New Roman"/>
        </w:rPr>
        <w:t xml:space="preserve"> </w:t>
      </w:r>
      <w:r w:rsidRPr="00F522FB">
        <w:rPr>
          <w:rFonts w:eastAsia="Times New Roman"/>
          <w:i/>
          <w:iCs/>
        </w:rPr>
        <w:t>30</w:t>
      </w:r>
      <w:r w:rsidRPr="00E503A5">
        <w:rPr>
          <w:rFonts w:eastAsia="Times New Roman"/>
        </w:rPr>
        <w:t>(3</w:t>
      </w:r>
      <w:r w:rsidRPr="005B0E9E">
        <w:rPr>
          <w:rFonts w:eastAsia="Times New Roman"/>
        </w:rPr>
        <w:t>), 351–373.</w:t>
      </w:r>
    </w:p>
    <w:p w14:paraId="3262170F" w14:textId="13FA0EC1" w:rsidR="005E1BA3" w:rsidRPr="005B0E9E" w:rsidRDefault="005E1BA3" w:rsidP="00842A41">
      <w:pPr>
        <w:spacing w:after="200" w:line="276" w:lineRule="auto"/>
        <w:ind w:left="284" w:hanging="284"/>
        <w:jc w:val="both"/>
        <w:rPr>
          <w:sz w:val="20"/>
          <w:szCs w:val="20"/>
        </w:rPr>
      </w:pPr>
      <w:proofErr w:type="spellStart"/>
      <w:r w:rsidRPr="005B0E9E">
        <w:rPr>
          <w:rFonts w:eastAsia="Times New Roman"/>
        </w:rPr>
        <w:t>Ryans</w:t>
      </w:r>
      <w:proofErr w:type="spellEnd"/>
      <w:r w:rsidRPr="005B0E9E">
        <w:rPr>
          <w:rFonts w:eastAsia="Times New Roman"/>
        </w:rPr>
        <w:t>, J.</w:t>
      </w:r>
      <w:r w:rsidR="00DB1F66">
        <w:rPr>
          <w:rFonts w:eastAsia="Times New Roman"/>
        </w:rPr>
        <w:t xml:space="preserve"> (20</w:t>
      </w:r>
      <w:r w:rsidR="00F85C8C" w:rsidRPr="005B0E9E">
        <w:rPr>
          <w:rFonts w:eastAsia="Times New Roman"/>
        </w:rPr>
        <w:t>2</w:t>
      </w:r>
      <w:r w:rsidRPr="005B0E9E">
        <w:rPr>
          <w:rFonts w:eastAsia="Times New Roman"/>
        </w:rPr>
        <w:t>1</w:t>
      </w:r>
      <w:r w:rsidR="00DB1F66">
        <w:rPr>
          <w:rFonts w:eastAsia="Times New Roman"/>
        </w:rPr>
        <w:t>)</w:t>
      </w:r>
      <w:r w:rsidRPr="005B0E9E">
        <w:rPr>
          <w:rFonts w:eastAsia="Times New Roman"/>
        </w:rPr>
        <w:t xml:space="preserve">. Textual </w:t>
      </w:r>
      <w:r w:rsidR="00085325">
        <w:rPr>
          <w:rFonts w:eastAsia="Times New Roman"/>
        </w:rPr>
        <w:t>c</w:t>
      </w:r>
      <w:r w:rsidRPr="005B0E9E">
        <w:rPr>
          <w:rFonts w:eastAsia="Times New Roman"/>
        </w:rPr>
        <w:t xml:space="preserve">lassification of SEC </w:t>
      </w:r>
      <w:r w:rsidR="00085325">
        <w:rPr>
          <w:rFonts w:eastAsia="Times New Roman"/>
        </w:rPr>
        <w:t>c</w:t>
      </w:r>
      <w:r w:rsidRPr="005B0E9E">
        <w:rPr>
          <w:rFonts w:eastAsia="Times New Roman"/>
        </w:rPr>
        <w:t xml:space="preserve">omment </w:t>
      </w:r>
      <w:r w:rsidR="00085325">
        <w:rPr>
          <w:rFonts w:eastAsia="Times New Roman"/>
        </w:rPr>
        <w:t>l</w:t>
      </w:r>
      <w:r w:rsidRPr="005B0E9E">
        <w:rPr>
          <w:rFonts w:eastAsia="Times New Roman"/>
        </w:rPr>
        <w:t xml:space="preserve">etters. </w:t>
      </w:r>
      <w:r w:rsidR="00F85C8C" w:rsidRPr="005B0E9E">
        <w:rPr>
          <w:rFonts w:eastAsia="Times New Roman"/>
          <w:i/>
          <w:iCs/>
        </w:rPr>
        <w:t>Review of Accounting Studies</w:t>
      </w:r>
      <w:r w:rsidRPr="00277A1E">
        <w:rPr>
          <w:rFonts w:eastAsia="Times New Roman"/>
        </w:rPr>
        <w:t xml:space="preserve">, </w:t>
      </w:r>
      <w:r w:rsidR="00277A1E" w:rsidRPr="00F522FB">
        <w:rPr>
          <w:rFonts w:eastAsia="Times New Roman"/>
          <w:i/>
          <w:iCs/>
        </w:rPr>
        <w:t>26</w:t>
      </w:r>
      <w:r w:rsidR="00277A1E">
        <w:rPr>
          <w:rFonts w:eastAsia="Times New Roman"/>
        </w:rPr>
        <w:t>, 37-80</w:t>
      </w:r>
      <w:r w:rsidRPr="005B0E9E">
        <w:rPr>
          <w:rFonts w:eastAsia="Times New Roman"/>
        </w:rPr>
        <w:t>.</w:t>
      </w:r>
    </w:p>
    <w:p w14:paraId="508E0973" w14:textId="7DD2F9CC" w:rsidR="005E1BA3" w:rsidRPr="005B0E9E" w:rsidRDefault="005E1BA3" w:rsidP="00842A41">
      <w:pPr>
        <w:spacing w:after="200" w:line="276" w:lineRule="auto"/>
        <w:ind w:left="284" w:hanging="284"/>
        <w:jc w:val="both"/>
        <w:rPr>
          <w:rFonts w:eastAsia="Times New Roman"/>
        </w:rPr>
      </w:pPr>
      <w:r w:rsidRPr="005B0E9E">
        <w:rPr>
          <w:rFonts w:eastAsia="Times New Roman"/>
        </w:rPr>
        <w:t>Schuldt, M., &amp; Vega, J.</w:t>
      </w:r>
      <w:r w:rsidR="00DB1F66">
        <w:rPr>
          <w:rFonts w:eastAsia="Times New Roman"/>
        </w:rPr>
        <w:t xml:space="preserve"> (20</w:t>
      </w:r>
      <w:r w:rsidRPr="005B0E9E">
        <w:rPr>
          <w:rFonts w:eastAsia="Times New Roman"/>
        </w:rPr>
        <w:t>18</w:t>
      </w:r>
      <w:r w:rsidR="00DB1F66">
        <w:rPr>
          <w:rFonts w:eastAsia="Times New Roman"/>
        </w:rPr>
        <w:t>)</w:t>
      </w:r>
      <w:r w:rsidRPr="005B0E9E">
        <w:rPr>
          <w:rFonts w:eastAsia="Times New Roman"/>
        </w:rPr>
        <w:t xml:space="preserve">. An examination of SEC revenue recognition comments and IPO earnings management. </w:t>
      </w:r>
      <w:r w:rsidR="00383689" w:rsidRPr="005B0E9E">
        <w:rPr>
          <w:rFonts w:eastAsia="Times New Roman"/>
          <w:i/>
          <w:iCs/>
        </w:rPr>
        <w:t>Accounting Research Journal</w:t>
      </w:r>
      <w:r w:rsidR="00383689" w:rsidRPr="00E503A5">
        <w:rPr>
          <w:rFonts w:eastAsia="Times New Roman"/>
        </w:rPr>
        <w:t>,</w:t>
      </w:r>
      <w:r w:rsidRPr="00E503A5">
        <w:rPr>
          <w:rFonts w:eastAsia="Times New Roman"/>
        </w:rPr>
        <w:t xml:space="preserve"> </w:t>
      </w:r>
      <w:r w:rsidRPr="00F522FB">
        <w:rPr>
          <w:rFonts w:eastAsia="Times New Roman"/>
          <w:i/>
          <w:iCs/>
        </w:rPr>
        <w:t>31</w:t>
      </w:r>
      <w:r w:rsidRPr="005B0E9E">
        <w:rPr>
          <w:rFonts w:eastAsia="Times New Roman"/>
        </w:rPr>
        <w:t>(1), 90–101.</w:t>
      </w:r>
    </w:p>
    <w:p w14:paraId="3550F4EE" w14:textId="7093B5DA" w:rsidR="0046008A" w:rsidRPr="005B0E9E" w:rsidRDefault="00C4133D" w:rsidP="00842A41">
      <w:pPr>
        <w:spacing w:after="200" w:line="276" w:lineRule="auto"/>
        <w:ind w:left="284" w:hanging="284"/>
        <w:jc w:val="both"/>
        <w:rPr>
          <w:rFonts w:eastAsia="Times New Roman"/>
        </w:rPr>
      </w:pPr>
      <w:r w:rsidRPr="005B0E9E">
        <w:rPr>
          <w:rFonts w:eastAsia="Times New Roman"/>
        </w:rPr>
        <w:t>Securities</w:t>
      </w:r>
      <w:r w:rsidRPr="005B0E9E">
        <w:rPr>
          <w:sz w:val="20"/>
          <w:szCs w:val="20"/>
        </w:rPr>
        <w:t xml:space="preserve"> </w:t>
      </w:r>
      <w:r w:rsidRPr="005B0E9E">
        <w:rPr>
          <w:rFonts w:eastAsia="Times New Roman"/>
        </w:rPr>
        <w:t>and Exchange Commission (SEC)</w:t>
      </w:r>
      <w:r>
        <w:rPr>
          <w:rFonts w:eastAsia="Times New Roman"/>
        </w:rPr>
        <w:t xml:space="preserve"> </w:t>
      </w:r>
      <w:r w:rsidR="00DB1F66">
        <w:rPr>
          <w:rFonts w:eastAsia="Times New Roman"/>
        </w:rPr>
        <w:t>(20</w:t>
      </w:r>
      <w:r w:rsidR="0046008A" w:rsidRPr="005B0E9E">
        <w:rPr>
          <w:rFonts w:eastAsia="Times New Roman"/>
        </w:rPr>
        <w:t>06</w:t>
      </w:r>
      <w:r w:rsidR="00DB1F66">
        <w:rPr>
          <w:rFonts w:eastAsia="Times New Roman"/>
        </w:rPr>
        <w:t>)</w:t>
      </w:r>
      <w:r w:rsidR="0046008A" w:rsidRPr="005B0E9E">
        <w:rPr>
          <w:rFonts w:eastAsia="Times New Roman"/>
        </w:rPr>
        <w:t xml:space="preserve">. Final report </w:t>
      </w:r>
      <w:r w:rsidR="003040EE">
        <w:rPr>
          <w:rFonts w:eastAsia="Times New Roman"/>
        </w:rPr>
        <w:t xml:space="preserve">of the </w:t>
      </w:r>
      <w:r w:rsidR="00B60F92">
        <w:rPr>
          <w:rFonts w:eastAsia="Times New Roman"/>
        </w:rPr>
        <w:t>A</w:t>
      </w:r>
      <w:r w:rsidR="003040EE">
        <w:rPr>
          <w:rFonts w:eastAsia="Times New Roman"/>
        </w:rPr>
        <w:t xml:space="preserve">dvisory </w:t>
      </w:r>
      <w:r w:rsidR="00B60F92">
        <w:rPr>
          <w:rFonts w:eastAsia="Times New Roman"/>
        </w:rPr>
        <w:t>C</w:t>
      </w:r>
      <w:r w:rsidR="003040EE">
        <w:rPr>
          <w:rFonts w:eastAsia="Times New Roman"/>
        </w:rPr>
        <w:t xml:space="preserve">ommittee on </w:t>
      </w:r>
      <w:r w:rsidR="00B60F92">
        <w:rPr>
          <w:rFonts w:eastAsia="Times New Roman"/>
        </w:rPr>
        <w:t>S</w:t>
      </w:r>
      <w:r w:rsidR="003040EE">
        <w:rPr>
          <w:rFonts w:eastAsia="Times New Roman"/>
        </w:rPr>
        <w:t xml:space="preserve">maller </w:t>
      </w:r>
      <w:r w:rsidR="00B60F92">
        <w:rPr>
          <w:rFonts w:eastAsia="Times New Roman"/>
        </w:rPr>
        <w:t>P</w:t>
      </w:r>
      <w:r w:rsidR="003040EE">
        <w:rPr>
          <w:rFonts w:eastAsia="Times New Roman"/>
        </w:rPr>
        <w:t xml:space="preserve">ublic </w:t>
      </w:r>
      <w:r w:rsidR="00B60F92">
        <w:rPr>
          <w:rFonts w:eastAsia="Times New Roman"/>
        </w:rPr>
        <w:t>C</w:t>
      </w:r>
      <w:r w:rsidR="003040EE">
        <w:rPr>
          <w:rFonts w:eastAsia="Times New Roman"/>
        </w:rPr>
        <w:t>ompanies to the United States Securities and Exchange Com</w:t>
      </w:r>
      <w:r w:rsidR="00B60F92">
        <w:rPr>
          <w:rFonts w:eastAsia="Times New Roman"/>
        </w:rPr>
        <w:t>m</w:t>
      </w:r>
      <w:r w:rsidR="003040EE">
        <w:rPr>
          <w:rFonts w:eastAsia="Times New Roman"/>
        </w:rPr>
        <w:t>ission</w:t>
      </w:r>
      <w:r w:rsidR="0046008A" w:rsidRPr="005B0E9E">
        <w:rPr>
          <w:rFonts w:eastAsia="Times New Roman"/>
          <w:i/>
          <w:iCs/>
        </w:rPr>
        <w:t>.</w:t>
      </w:r>
      <w:r w:rsidR="0046008A" w:rsidRPr="005B0E9E">
        <w:rPr>
          <w:rFonts w:eastAsia="Times New Roman"/>
        </w:rPr>
        <w:t xml:space="preserve"> </w:t>
      </w:r>
      <w:r w:rsidR="00F87B26">
        <w:rPr>
          <w:rFonts w:eastAsia="Times New Roman"/>
        </w:rPr>
        <w:t>Retrieved from</w:t>
      </w:r>
      <w:r w:rsidR="00E239B0" w:rsidRPr="005B0E9E">
        <w:rPr>
          <w:rFonts w:eastAsia="Times New Roman"/>
        </w:rPr>
        <w:t xml:space="preserve"> https://www.sec.gov/info/smallbus/acspc/acspc-finalreport.pdf. Accessed </w:t>
      </w:r>
      <w:r w:rsidR="00412F74" w:rsidRPr="005B0E9E">
        <w:rPr>
          <w:rFonts w:eastAsia="Times New Roman"/>
        </w:rPr>
        <w:t>23 November 2021</w:t>
      </w:r>
    </w:p>
    <w:p w14:paraId="61038F53" w14:textId="77777777" w:rsidR="00C4133D" w:rsidRPr="005B0E9E" w:rsidRDefault="00C4133D" w:rsidP="00842A41">
      <w:pPr>
        <w:spacing w:after="200" w:line="276" w:lineRule="auto"/>
        <w:ind w:left="284" w:hanging="284"/>
        <w:jc w:val="both"/>
        <w:rPr>
          <w:rFonts w:eastAsia="Times New Roman"/>
        </w:rPr>
      </w:pPr>
      <w:r w:rsidRPr="005B0E9E">
        <w:rPr>
          <w:rFonts w:eastAsia="Times New Roman"/>
        </w:rPr>
        <w:t>Securities</w:t>
      </w:r>
      <w:r w:rsidRPr="005B0E9E">
        <w:rPr>
          <w:sz w:val="20"/>
          <w:szCs w:val="20"/>
        </w:rPr>
        <w:t xml:space="preserve"> </w:t>
      </w:r>
      <w:r w:rsidRPr="005B0E9E">
        <w:rPr>
          <w:rFonts w:eastAsia="Times New Roman"/>
        </w:rPr>
        <w:t>and Exchange Commission (SEC)</w:t>
      </w:r>
      <w:r>
        <w:rPr>
          <w:rFonts w:eastAsia="Times New Roman"/>
        </w:rPr>
        <w:t xml:space="preserve"> (20</w:t>
      </w:r>
      <w:r w:rsidRPr="005B0E9E">
        <w:rPr>
          <w:rFonts w:eastAsia="Times New Roman"/>
        </w:rPr>
        <w:t>13</w:t>
      </w:r>
      <w:r>
        <w:rPr>
          <w:rFonts w:eastAsia="Times New Roman"/>
        </w:rPr>
        <w:t>)</w:t>
      </w:r>
      <w:r w:rsidRPr="005B0E9E">
        <w:rPr>
          <w:rFonts w:eastAsia="Times New Roman"/>
        </w:rPr>
        <w:t xml:space="preserve">. </w:t>
      </w:r>
      <w:r w:rsidRPr="0086506D">
        <w:rPr>
          <w:rFonts w:eastAsia="Times New Roman"/>
        </w:rPr>
        <w:t>What we do</w:t>
      </w:r>
      <w:r w:rsidRPr="005B0E9E">
        <w:rPr>
          <w:rFonts w:eastAsia="Times New Roman"/>
        </w:rPr>
        <w:t xml:space="preserve">. </w:t>
      </w:r>
      <w:r>
        <w:rPr>
          <w:rFonts w:eastAsia="Times New Roman"/>
        </w:rPr>
        <w:t>Retrieved from</w:t>
      </w:r>
      <w:r w:rsidRPr="005B0E9E">
        <w:rPr>
          <w:rFonts w:eastAsia="Times New Roman"/>
        </w:rPr>
        <w:t xml:space="preserve"> </w:t>
      </w:r>
      <w:r w:rsidRPr="00F87B26">
        <w:rPr>
          <w:rFonts w:eastAsia="Times New Roman"/>
        </w:rPr>
        <w:t>https://www.sec.gov/Article/whatwedo.html</w:t>
      </w:r>
      <w:r w:rsidRPr="005B0E9E">
        <w:rPr>
          <w:rFonts w:eastAsia="Times New Roman"/>
        </w:rPr>
        <w:t xml:space="preserve">. Accessed </w:t>
      </w:r>
      <w:r>
        <w:rPr>
          <w:rFonts w:eastAsia="Times New Roman"/>
        </w:rPr>
        <w:t>11</w:t>
      </w:r>
      <w:r w:rsidRPr="005B0E9E">
        <w:rPr>
          <w:rFonts w:eastAsia="Times New Roman"/>
        </w:rPr>
        <w:t xml:space="preserve"> </w:t>
      </w:r>
      <w:r>
        <w:rPr>
          <w:rFonts w:eastAsia="Times New Roman"/>
        </w:rPr>
        <w:t>March</w:t>
      </w:r>
      <w:r w:rsidRPr="005B0E9E">
        <w:rPr>
          <w:rFonts w:eastAsia="Times New Roman"/>
        </w:rPr>
        <w:t xml:space="preserve"> 202</w:t>
      </w:r>
      <w:r>
        <w:rPr>
          <w:rFonts w:eastAsia="Times New Roman"/>
        </w:rPr>
        <w:t>2</w:t>
      </w:r>
      <w:r w:rsidRPr="005B0E9E">
        <w:rPr>
          <w:rFonts w:eastAsia="Times New Roman"/>
        </w:rPr>
        <w:t>.</w:t>
      </w:r>
    </w:p>
    <w:p w14:paraId="02387435" w14:textId="357F71CF" w:rsidR="00F92881" w:rsidRPr="005B0E9E" w:rsidRDefault="00F92881" w:rsidP="00842A41">
      <w:pPr>
        <w:spacing w:after="200" w:line="276" w:lineRule="auto"/>
        <w:ind w:left="284" w:hanging="284"/>
        <w:jc w:val="both"/>
        <w:rPr>
          <w:rFonts w:eastAsia="Times New Roman"/>
          <w:i/>
          <w:iCs/>
        </w:rPr>
      </w:pPr>
      <w:r w:rsidRPr="005B0E9E">
        <w:rPr>
          <w:rFonts w:eastAsia="Times New Roman"/>
        </w:rPr>
        <w:t xml:space="preserve">Sletten, E., </w:t>
      </w:r>
      <w:proofErr w:type="spellStart"/>
      <w:r w:rsidRPr="005B0E9E">
        <w:rPr>
          <w:rFonts w:eastAsia="Times New Roman"/>
        </w:rPr>
        <w:t>Ertimur</w:t>
      </w:r>
      <w:proofErr w:type="spellEnd"/>
      <w:r w:rsidRPr="005B0E9E">
        <w:rPr>
          <w:rFonts w:eastAsia="Times New Roman"/>
        </w:rPr>
        <w:t>, Y., Sunder, J., &amp; Weber, J.</w:t>
      </w:r>
      <w:r w:rsidR="00DB1F66">
        <w:rPr>
          <w:rFonts w:eastAsia="Times New Roman"/>
        </w:rPr>
        <w:t xml:space="preserve"> (20</w:t>
      </w:r>
      <w:r w:rsidRPr="005B0E9E">
        <w:rPr>
          <w:rFonts w:eastAsia="Times New Roman"/>
        </w:rPr>
        <w:t>18</w:t>
      </w:r>
      <w:r w:rsidR="00DB1F66">
        <w:rPr>
          <w:rFonts w:eastAsia="Times New Roman"/>
        </w:rPr>
        <w:t>)</w:t>
      </w:r>
      <w:r w:rsidRPr="005B0E9E">
        <w:rPr>
          <w:rFonts w:eastAsia="Times New Roman"/>
        </w:rPr>
        <w:t xml:space="preserve">. When and why do IPO firms manage earnings? </w:t>
      </w:r>
      <w:r w:rsidRPr="005B0E9E">
        <w:rPr>
          <w:rFonts w:eastAsia="Times New Roman"/>
          <w:i/>
          <w:iCs/>
        </w:rPr>
        <w:t>Review of Accounting Studies</w:t>
      </w:r>
      <w:r w:rsidRPr="00E503A5">
        <w:rPr>
          <w:rFonts w:eastAsia="Times New Roman"/>
        </w:rPr>
        <w:t xml:space="preserve">, </w:t>
      </w:r>
      <w:r w:rsidRPr="00F522FB">
        <w:rPr>
          <w:rFonts w:eastAsia="Times New Roman"/>
          <w:i/>
          <w:iCs/>
        </w:rPr>
        <w:t>23</w:t>
      </w:r>
      <w:r w:rsidRPr="00E503A5">
        <w:rPr>
          <w:rFonts w:eastAsia="Times New Roman"/>
        </w:rPr>
        <w:t>, 872-906</w:t>
      </w:r>
      <w:r w:rsidRPr="005B0E9E">
        <w:rPr>
          <w:rFonts w:eastAsia="Times New Roman"/>
          <w:i/>
          <w:iCs/>
        </w:rPr>
        <w:t>.</w:t>
      </w:r>
    </w:p>
    <w:p w14:paraId="177E4030" w14:textId="21C601FE" w:rsidR="00B27EA5" w:rsidRPr="005B0E9E" w:rsidRDefault="00B27EA5" w:rsidP="00842A41">
      <w:pPr>
        <w:spacing w:after="200" w:line="276" w:lineRule="auto"/>
        <w:ind w:left="284" w:hanging="284"/>
        <w:jc w:val="both"/>
        <w:rPr>
          <w:rFonts w:eastAsia="Times New Roman"/>
        </w:rPr>
      </w:pPr>
      <w:r w:rsidRPr="005B0E9E">
        <w:rPr>
          <w:rFonts w:eastAsia="Times New Roman"/>
        </w:rPr>
        <w:t xml:space="preserve">Teoh, S. H., Welch, I., &amp; Wong, T. J. (1998a). Earnings management and the long-run market performance of Initial Public Offerings. </w:t>
      </w:r>
      <w:r w:rsidRPr="005B0E9E">
        <w:rPr>
          <w:rFonts w:eastAsia="Times New Roman"/>
          <w:i/>
          <w:iCs/>
        </w:rPr>
        <w:t>The Journal of Finance</w:t>
      </w:r>
      <w:r w:rsidRPr="006B79AC">
        <w:rPr>
          <w:rFonts w:eastAsia="Times New Roman"/>
        </w:rPr>
        <w:t xml:space="preserve">, </w:t>
      </w:r>
      <w:r w:rsidRPr="00F522FB">
        <w:rPr>
          <w:rFonts w:eastAsia="Times New Roman"/>
          <w:i/>
          <w:iCs/>
        </w:rPr>
        <w:t>53</w:t>
      </w:r>
      <w:r w:rsidRPr="006B79AC">
        <w:rPr>
          <w:rFonts w:eastAsia="Times New Roman"/>
        </w:rPr>
        <w:t>(6),</w:t>
      </w:r>
      <w:r w:rsidRPr="005B0E9E">
        <w:rPr>
          <w:rFonts w:eastAsia="Times New Roman"/>
        </w:rPr>
        <w:t xml:space="preserve"> 1935–1974.</w:t>
      </w:r>
    </w:p>
    <w:p w14:paraId="5CAD9B6A" w14:textId="444742EB" w:rsidR="005E1BA3" w:rsidRPr="005B0E9E" w:rsidRDefault="005E1BA3" w:rsidP="00842A41">
      <w:pPr>
        <w:spacing w:after="200" w:line="276" w:lineRule="auto"/>
        <w:ind w:left="284" w:hanging="284"/>
        <w:jc w:val="both"/>
        <w:rPr>
          <w:rFonts w:eastAsia="Times New Roman"/>
        </w:rPr>
      </w:pPr>
      <w:r w:rsidRPr="005B0E9E">
        <w:rPr>
          <w:rFonts w:eastAsia="Times New Roman"/>
        </w:rPr>
        <w:t>Wang, Q.</w:t>
      </w:r>
      <w:r w:rsidR="00DB1F66">
        <w:rPr>
          <w:rFonts w:eastAsia="Times New Roman"/>
        </w:rPr>
        <w:t xml:space="preserve"> (20</w:t>
      </w:r>
      <w:r w:rsidRPr="005B0E9E">
        <w:rPr>
          <w:rFonts w:eastAsia="Times New Roman"/>
        </w:rPr>
        <w:t>16</w:t>
      </w:r>
      <w:r w:rsidR="00DB1F66">
        <w:rPr>
          <w:rFonts w:eastAsia="Times New Roman"/>
        </w:rPr>
        <w:t>)</w:t>
      </w:r>
      <w:r w:rsidRPr="005B0E9E">
        <w:rPr>
          <w:rFonts w:eastAsia="Times New Roman"/>
        </w:rPr>
        <w:t xml:space="preserve">. Determinants of segment disclosure deficiencies and the effect of the SEC comment letter process. </w:t>
      </w:r>
      <w:r w:rsidRPr="005B0E9E">
        <w:rPr>
          <w:rFonts w:eastAsia="Times New Roman"/>
          <w:i/>
          <w:iCs/>
        </w:rPr>
        <w:t>Journal of Accounting and Public Policy</w:t>
      </w:r>
      <w:r w:rsidR="00E920D3" w:rsidRPr="006B79AC">
        <w:rPr>
          <w:rFonts w:eastAsia="Times New Roman"/>
        </w:rPr>
        <w:t>,</w:t>
      </w:r>
      <w:r w:rsidRPr="006B79AC">
        <w:rPr>
          <w:rFonts w:eastAsia="Times New Roman"/>
        </w:rPr>
        <w:t xml:space="preserve"> </w:t>
      </w:r>
      <w:r w:rsidRPr="00F522FB">
        <w:rPr>
          <w:rFonts w:eastAsia="Times New Roman"/>
          <w:i/>
          <w:iCs/>
        </w:rPr>
        <w:t>35</w:t>
      </w:r>
      <w:r w:rsidRPr="006B79AC">
        <w:rPr>
          <w:rFonts w:eastAsia="Times New Roman"/>
        </w:rPr>
        <w:t>(2</w:t>
      </w:r>
      <w:r w:rsidRPr="005B0E9E">
        <w:rPr>
          <w:rFonts w:eastAsia="Times New Roman"/>
        </w:rPr>
        <w:t>), 109–133.</w:t>
      </w:r>
    </w:p>
    <w:p w14:paraId="4792EF1F" w14:textId="19E4DAF8" w:rsidR="005E1BA3" w:rsidRPr="005B0E9E" w:rsidRDefault="005E1BA3" w:rsidP="00842A41">
      <w:pPr>
        <w:spacing w:after="200" w:line="276" w:lineRule="auto"/>
        <w:ind w:left="284" w:hanging="284"/>
        <w:jc w:val="both"/>
        <w:rPr>
          <w:rFonts w:eastAsia="Times New Roman"/>
        </w:rPr>
      </w:pPr>
      <w:bookmarkStart w:id="28" w:name="page32"/>
      <w:bookmarkEnd w:id="28"/>
      <w:proofErr w:type="spellStart"/>
      <w:r w:rsidRPr="00F87B26">
        <w:rPr>
          <w:rFonts w:eastAsia="Times New Roman"/>
        </w:rPr>
        <w:lastRenderedPageBreak/>
        <w:t>Zeidel</w:t>
      </w:r>
      <w:proofErr w:type="spellEnd"/>
      <w:r w:rsidRPr="00F87B26">
        <w:rPr>
          <w:rFonts w:eastAsia="Times New Roman"/>
        </w:rPr>
        <w:t>,</w:t>
      </w:r>
      <w:r w:rsidRPr="00F87B26">
        <w:rPr>
          <w:sz w:val="20"/>
          <w:szCs w:val="20"/>
        </w:rPr>
        <w:t xml:space="preserve"> </w:t>
      </w:r>
      <w:r w:rsidRPr="00F87B26">
        <w:rPr>
          <w:rFonts w:eastAsia="Times New Roman"/>
        </w:rPr>
        <w:t>M. J.</w:t>
      </w:r>
      <w:r w:rsidR="00DB1F66" w:rsidRPr="00F87B26">
        <w:rPr>
          <w:rFonts w:eastAsia="Times New Roman"/>
        </w:rPr>
        <w:t xml:space="preserve"> (20</w:t>
      </w:r>
      <w:r w:rsidRPr="00F87B26">
        <w:rPr>
          <w:rFonts w:eastAsia="Times New Roman"/>
        </w:rPr>
        <w:t>16</w:t>
      </w:r>
      <w:r w:rsidR="00DB1F66" w:rsidRPr="00F87B26">
        <w:rPr>
          <w:rFonts w:eastAsia="Times New Roman"/>
        </w:rPr>
        <w:t>)</w:t>
      </w:r>
      <w:r w:rsidRPr="00F87B26">
        <w:rPr>
          <w:rFonts w:eastAsia="Times New Roman"/>
        </w:rPr>
        <w:t xml:space="preserve">. </w:t>
      </w:r>
      <w:r w:rsidRPr="00DD4606">
        <w:rPr>
          <w:rFonts w:eastAsia="Times New Roman"/>
        </w:rPr>
        <w:t xml:space="preserve">The JOBS Act: Did </w:t>
      </w:r>
      <w:r w:rsidR="00D35662" w:rsidRPr="00DD4606">
        <w:rPr>
          <w:rFonts w:eastAsia="Times New Roman"/>
        </w:rPr>
        <w:t>i</w:t>
      </w:r>
      <w:r w:rsidRPr="00DD4606">
        <w:rPr>
          <w:rFonts w:eastAsia="Times New Roman"/>
        </w:rPr>
        <w:t xml:space="preserve">t </w:t>
      </w:r>
      <w:r w:rsidR="00D35662" w:rsidRPr="00DD4606">
        <w:rPr>
          <w:rFonts w:eastAsia="Times New Roman"/>
        </w:rPr>
        <w:t>a</w:t>
      </w:r>
      <w:r w:rsidRPr="00DD4606">
        <w:rPr>
          <w:rFonts w:eastAsia="Times New Roman"/>
        </w:rPr>
        <w:t xml:space="preserve">ccomplish </w:t>
      </w:r>
      <w:r w:rsidR="00D35662" w:rsidRPr="00DD4606">
        <w:rPr>
          <w:rFonts w:eastAsia="Times New Roman"/>
        </w:rPr>
        <w:t>i</w:t>
      </w:r>
      <w:r w:rsidRPr="00DD4606">
        <w:rPr>
          <w:rFonts w:eastAsia="Times New Roman"/>
        </w:rPr>
        <w:t xml:space="preserve">ts </w:t>
      </w:r>
      <w:proofErr w:type="gramStart"/>
      <w:r w:rsidR="00D35662" w:rsidRPr="00DD4606">
        <w:rPr>
          <w:rFonts w:eastAsia="Times New Roman"/>
        </w:rPr>
        <w:t>g</w:t>
      </w:r>
      <w:r w:rsidRPr="00DD4606">
        <w:rPr>
          <w:rFonts w:eastAsia="Times New Roman"/>
        </w:rPr>
        <w:t>oals?</w:t>
      </w:r>
      <w:r w:rsidR="00DD4606">
        <w:rPr>
          <w:rFonts w:eastAsia="Times New Roman"/>
        </w:rPr>
        <w:t>.</w:t>
      </w:r>
      <w:proofErr w:type="gramEnd"/>
      <w:r w:rsidR="00172D64" w:rsidRPr="00F87B26">
        <w:rPr>
          <w:rFonts w:eastAsia="Times New Roman"/>
        </w:rPr>
        <w:t xml:space="preserve"> </w:t>
      </w:r>
      <w:r w:rsidR="00F87B26" w:rsidRPr="00F87B26">
        <w:rPr>
          <w:rFonts w:eastAsia="Times New Roman"/>
        </w:rPr>
        <w:t>Retrieved from</w:t>
      </w:r>
      <w:r w:rsidRPr="00F87B26">
        <w:rPr>
          <w:rFonts w:eastAsia="Times New Roman"/>
        </w:rPr>
        <w:t xml:space="preserve"> </w:t>
      </w:r>
      <w:hyperlink r:id="rId14">
        <w:r w:rsidRPr="00F87B26">
          <w:rPr>
            <w:rFonts w:eastAsia="Times New Roman"/>
          </w:rPr>
          <w:t>https://corpgov.law.harvard.edu/2016/07/18/the-jobs-act-did-it-accomplish-its-</w:t>
        </w:r>
      </w:hyperlink>
      <w:r w:rsidRPr="00F87B26">
        <w:rPr>
          <w:rFonts w:eastAsia="Times New Roman"/>
        </w:rPr>
        <w:t>goals/?fbclid=IwAR0qRU_REbGM-J9vx8W9O6XqLZECP1imyEzSEeFRuN7k6lz-</w:t>
      </w:r>
      <w:hyperlink r:id="rId15">
        <w:r w:rsidRPr="00F87B26">
          <w:rPr>
            <w:rFonts w:eastAsia="Times New Roman"/>
          </w:rPr>
          <w:t>2cFPiq3d-xI</w:t>
        </w:r>
      </w:hyperlink>
      <w:r w:rsidR="009444B8" w:rsidRPr="00F87B26">
        <w:rPr>
          <w:rFonts w:eastAsia="Times New Roman"/>
        </w:rPr>
        <w:t>. A</w:t>
      </w:r>
      <w:r w:rsidRPr="00F87B26">
        <w:rPr>
          <w:rFonts w:eastAsia="Times New Roman"/>
        </w:rPr>
        <w:t xml:space="preserve">ccessed </w:t>
      </w:r>
      <w:r w:rsidR="00C2548D" w:rsidRPr="00F87B26">
        <w:rPr>
          <w:rFonts w:eastAsia="Times New Roman"/>
        </w:rPr>
        <w:t>3 November</w:t>
      </w:r>
      <w:r w:rsidR="00C2548D" w:rsidRPr="005B0E9E">
        <w:rPr>
          <w:rFonts w:eastAsia="Times New Roman"/>
        </w:rPr>
        <w:t xml:space="preserve"> </w:t>
      </w:r>
      <w:r w:rsidRPr="005B0E9E">
        <w:rPr>
          <w:rFonts w:eastAsia="Times New Roman"/>
        </w:rPr>
        <w:t>20</w:t>
      </w:r>
      <w:r w:rsidR="00C2548D" w:rsidRPr="005B0E9E">
        <w:rPr>
          <w:rFonts w:eastAsia="Times New Roman"/>
        </w:rPr>
        <w:t>21</w:t>
      </w:r>
      <w:r w:rsidR="004F4523" w:rsidRPr="005B0E9E">
        <w:rPr>
          <w:rFonts w:eastAsia="Times New Roman"/>
        </w:rPr>
        <w:t>.</w:t>
      </w:r>
    </w:p>
    <w:p w14:paraId="100E4AEB" w14:textId="77777777" w:rsidR="004F4523" w:rsidRDefault="004F4523" w:rsidP="003D1FBF">
      <w:pPr>
        <w:sectPr w:rsidR="004F4523">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12"/>
      </w:tblGrid>
      <w:tr w:rsidR="004F4523" w14:paraId="2002CAA6" w14:textId="77777777" w:rsidTr="00694248">
        <w:tc>
          <w:tcPr>
            <w:tcW w:w="9016" w:type="dxa"/>
            <w:gridSpan w:val="2"/>
            <w:tcBorders>
              <w:bottom w:val="single" w:sz="4" w:space="0" w:color="auto"/>
            </w:tcBorders>
          </w:tcPr>
          <w:p w14:paraId="3D9F0EE4" w14:textId="77777777" w:rsidR="004F4523" w:rsidRDefault="004F4523" w:rsidP="003D1FBF">
            <w:pPr>
              <w:jc w:val="center"/>
              <w:rPr>
                <w:b/>
                <w:bCs/>
              </w:rPr>
            </w:pPr>
            <w:r>
              <w:rPr>
                <w:b/>
                <w:bCs/>
              </w:rPr>
              <w:lastRenderedPageBreak/>
              <w:t>TABLE 1</w:t>
            </w:r>
          </w:p>
          <w:p w14:paraId="6A10C281" w14:textId="388CA7A3" w:rsidR="004F4523" w:rsidRPr="004F4523" w:rsidRDefault="004F4523" w:rsidP="003D1FBF">
            <w:pPr>
              <w:spacing w:after="120"/>
              <w:jc w:val="center"/>
              <w:rPr>
                <w:b/>
                <w:bCs/>
              </w:rPr>
            </w:pPr>
            <w:r>
              <w:rPr>
                <w:b/>
                <w:bCs/>
              </w:rPr>
              <w:t>Sample selection</w:t>
            </w:r>
          </w:p>
        </w:tc>
      </w:tr>
      <w:tr w:rsidR="004F4523" w14:paraId="61836A90" w14:textId="77777777" w:rsidTr="004C5735">
        <w:tc>
          <w:tcPr>
            <w:tcW w:w="6804" w:type="dxa"/>
            <w:tcBorders>
              <w:top w:val="single" w:sz="4" w:space="0" w:color="auto"/>
            </w:tcBorders>
          </w:tcPr>
          <w:p w14:paraId="2DABA7EF" w14:textId="77777777" w:rsidR="004F4523" w:rsidRDefault="004F4523" w:rsidP="003D1FBF"/>
        </w:tc>
        <w:tc>
          <w:tcPr>
            <w:tcW w:w="2212" w:type="dxa"/>
            <w:tcBorders>
              <w:top w:val="single" w:sz="4" w:space="0" w:color="auto"/>
              <w:bottom w:val="single" w:sz="4" w:space="0" w:color="auto"/>
            </w:tcBorders>
            <w:vAlign w:val="center"/>
          </w:tcPr>
          <w:p w14:paraId="2D564435" w14:textId="18B06B52" w:rsidR="004F4523" w:rsidRPr="00F86EC9" w:rsidRDefault="004F4523" w:rsidP="003D1FBF">
            <w:pPr>
              <w:spacing w:after="40"/>
              <w:jc w:val="center"/>
              <w:rPr>
                <w:b/>
                <w:bCs/>
                <w:sz w:val="22"/>
                <w:szCs w:val="22"/>
              </w:rPr>
            </w:pPr>
            <w:r w:rsidRPr="00F86EC9">
              <w:rPr>
                <w:b/>
                <w:bCs/>
                <w:sz w:val="22"/>
                <w:szCs w:val="22"/>
              </w:rPr>
              <w:t>Number of</w:t>
            </w:r>
            <w:r w:rsidR="004C5735" w:rsidRPr="00F86EC9">
              <w:rPr>
                <w:b/>
                <w:bCs/>
                <w:sz w:val="22"/>
                <w:szCs w:val="22"/>
              </w:rPr>
              <w:t xml:space="preserve"> </w:t>
            </w:r>
            <w:r w:rsidRPr="00F86EC9">
              <w:rPr>
                <w:b/>
                <w:bCs/>
                <w:sz w:val="22"/>
                <w:szCs w:val="22"/>
              </w:rPr>
              <w:t>IPOs</w:t>
            </w:r>
          </w:p>
        </w:tc>
      </w:tr>
      <w:tr w:rsidR="004F4523" w14:paraId="52239F83" w14:textId="77777777" w:rsidTr="00F33751">
        <w:tc>
          <w:tcPr>
            <w:tcW w:w="6804" w:type="dxa"/>
            <w:tcBorders>
              <w:bottom w:val="single" w:sz="4" w:space="0" w:color="auto"/>
            </w:tcBorders>
          </w:tcPr>
          <w:p w14:paraId="099BF0D4" w14:textId="20746330" w:rsidR="004F4523" w:rsidRPr="00BE6E1B" w:rsidRDefault="00694248" w:rsidP="003D1FBF">
            <w:pPr>
              <w:spacing w:after="40"/>
              <w:rPr>
                <w:sz w:val="22"/>
                <w:szCs w:val="22"/>
              </w:rPr>
            </w:pPr>
            <w:r w:rsidRPr="00BE6E1B">
              <w:rPr>
                <w:sz w:val="22"/>
                <w:szCs w:val="22"/>
              </w:rPr>
              <w:t xml:space="preserve">Initial sample of IPOs on NASDAQ, </w:t>
            </w:r>
            <w:proofErr w:type="gramStart"/>
            <w:r w:rsidRPr="00BE6E1B">
              <w:rPr>
                <w:sz w:val="22"/>
                <w:szCs w:val="22"/>
              </w:rPr>
              <w:t>NYSE</w:t>
            </w:r>
            <w:proofErr w:type="gramEnd"/>
            <w:r w:rsidRPr="00BE6E1B">
              <w:rPr>
                <w:sz w:val="22"/>
                <w:szCs w:val="22"/>
              </w:rPr>
              <w:t xml:space="preserve"> or AMEX with first registration statements filed between </w:t>
            </w:r>
            <w:r w:rsidR="00A44944" w:rsidRPr="00BE6E1B">
              <w:rPr>
                <w:sz w:val="22"/>
                <w:szCs w:val="22"/>
              </w:rPr>
              <w:t xml:space="preserve">May </w:t>
            </w:r>
            <w:r w:rsidRPr="00BE6E1B">
              <w:rPr>
                <w:sz w:val="22"/>
                <w:szCs w:val="22"/>
              </w:rPr>
              <w:t xml:space="preserve">2005 and </w:t>
            </w:r>
            <w:r w:rsidR="00A44944" w:rsidRPr="00BE6E1B">
              <w:rPr>
                <w:sz w:val="22"/>
                <w:szCs w:val="22"/>
              </w:rPr>
              <w:t xml:space="preserve">Dec </w:t>
            </w:r>
            <w:r w:rsidRPr="00BE6E1B">
              <w:rPr>
                <w:sz w:val="22"/>
                <w:szCs w:val="22"/>
              </w:rPr>
              <w:t>2017</w:t>
            </w:r>
          </w:p>
        </w:tc>
        <w:tc>
          <w:tcPr>
            <w:tcW w:w="2212" w:type="dxa"/>
            <w:tcBorders>
              <w:top w:val="single" w:sz="4" w:space="0" w:color="auto"/>
              <w:bottom w:val="single" w:sz="4" w:space="0" w:color="auto"/>
            </w:tcBorders>
            <w:vAlign w:val="bottom"/>
          </w:tcPr>
          <w:p w14:paraId="3E72B8AD" w14:textId="31D9D3FC" w:rsidR="004F4523" w:rsidRPr="00BE6E1B" w:rsidRDefault="00694248" w:rsidP="003D1FBF">
            <w:pPr>
              <w:spacing w:after="40"/>
              <w:jc w:val="center"/>
            </w:pPr>
            <w:r w:rsidRPr="00BE6E1B">
              <w:t>3,525</w:t>
            </w:r>
          </w:p>
        </w:tc>
      </w:tr>
      <w:tr w:rsidR="006C0857" w14:paraId="74304744" w14:textId="77777777" w:rsidTr="004C5735">
        <w:tc>
          <w:tcPr>
            <w:tcW w:w="6804" w:type="dxa"/>
            <w:tcBorders>
              <w:top w:val="single" w:sz="4" w:space="0" w:color="auto"/>
            </w:tcBorders>
            <w:vAlign w:val="bottom"/>
          </w:tcPr>
          <w:p w14:paraId="3BAB3630" w14:textId="0D0815EA" w:rsidR="006C0857" w:rsidRPr="00BE6E1B" w:rsidRDefault="006C0857" w:rsidP="003D1FBF">
            <w:pPr>
              <w:spacing w:before="40" w:after="40"/>
              <w:ind w:left="227"/>
              <w:rPr>
                <w:i/>
                <w:iCs/>
                <w:sz w:val="22"/>
                <w:szCs w:val="22"/>
              </w:rPr>
            </w:pPr>
            <w:r w:rsidRPr="00BE6E1B">
              <w:rPr>
                <w:rFonts w:eastAsia="Times New Roman"/>
                <w:i/>
                <w:iCs/>
                <w:sz w:val="22"/>
                <w:szCs w:val="22"/>
              </w:rPr>
              <w:t>Less: IPOs with offering price less than $5 per share</w:t>
            </w:r>
          </w:p>
        </w:tc>
        <w:tc>
          <w:tcPr>
            <w:tcW w:w="2212" w:type="dxa"/>
            <w:tcBorders>
              <w:top w:val="single" w:sz="4" w:space="0" w:color="auto"/>
            </w:tcBorders>
            <w:vAlign w:val="bottom"/>
          </w:tcPr>
          <w:p w14:paraId="324AA1DC" w14:textId="0A3D6064" w:rsidR="006C0857" w:rsidRPr="00BE6E1B" w:rsidRDefault="006C0857" w:rsidP="003D1FBF">
            <w:pPr>
              <w:spacing w:before="40" w:after="40"/>
              <w:jc w:val="center"/>
            </w:pPr>
            <w:r w:rsidRPr="00BE6E1B">
              <w:rPr>
                <w:rFonts w:eastAsia="Times New Roman"/>
                <w:w w:val="99"/>
              </w:rPr>
              <w:t>(1,202)</w:t>
            </w:r>
          </w:p>
        </w:tc>
      </w:tr>
      <w:tr w:rsidR="006C0857" w14:paraId="1D9688F3" w14:textId="77777777" w:rsidTr="004C5735">
        <w:tc>
          <w:tcPr>
            <w:tcW w:w="6804" w:type="dxa"/>
            <w:vAlign w:val="bottom"/>
          </w:tcPr>
          <w:p w14:paraId="7B2AED71" w14:textId="6FA7A083" w:rsidR="006C0857" w:rsidRPr="00BE6E1B" w:rsidRDefault="006C0857" w:rsidP="003D1FBF">
            <w:pPr>
              <w:spacing w:before="40" w:after="40"/>
              <w:ind w:left="227"/>
              <w:rPr>
                <w:i/>
                <w:iCs/>
                <w:sz w:val="22"/>
                <w:szCs w:val="22"/>
              </w:rPr>
            </w:pPr>
            <w:r w:rsidRPr="00BE6E1B">
              <w:rPr>
                <w:rFonts w:eastAsia="Times New Roman"/>
                <w:i/>
                <w:iCs/>
                <w:sz w:val="22"/>
                <w:szCs w:val="22"/>
              </w:rPr>
              <w:t>Less: Simultaneous offerings and unit offerings</w:t>
            </w:r>
          </w:p>
        </w:tc>
        <w:tc>
          <w:tcPr>
            <w:tcW w:w="2212" w:type="dxa"/>
            <w:vAlign w:val="bottom"/>
          </w:tcPr>
          <w:p w14:paraId="38E3FE10" w14:textId="0CC5A6AC" w:rsidR="006C0857" w:rsidRPr="00BE6E1B" w:rsidRDefault="006C0857" w:rsidP="003D1FBF">
            <w:pPr>
              <w:spacing w:before="40" w:after="40"/>
              <w:jc w:val="center"/>
            </w:pPr>
            <w:r w:rsidRPr="00BE6E1B">
              <w:rPr>
                <w:rFonts w:eastAsia="Times New Roman"/>
              </w:rPr>
              <w:t>(56)</w:t>
            </w:r>
          </w:p>
        </w:tc>
      </w:tr>
      <w:tr w:rsidR="006C0857" w14:paraId="104B18C9" w14:textId="77777777" w:rsidTr="004C5735">
        <w:tc>
          <w:tcPr>
            <w:tcW w:w="6804" w:type="dxa"/>
            <w:vAlign w:val="bottom"/>
          </w:tcPr>
          <w:p w14:paraId="3310A3A7" w14:textId="1597C950" w:rsidR="006C0857" w:rsidRPr="00BE6E1B" w:rsidRDefault="006C0857" w:rsidP="003D1FBF">
            <w:pPr>
              <w:spacing w:before="40" w:after="40"/>
              <w:ind w:left="227"/>
              <w:rPr>
                <w:i/>
                <w:iCs/>
                <w:sz w:val="22"/>
                <w:szCs w:val="22"/>
              </w:rPr>
            </w:pPr>
            <w:r w:rsidRPr="00BE6E1B">
              <w:rPr>
                <w:rFonts w:eastAsia="Times New Roman"/>
                <w:i/>
                <w:iCs/>
                <w:sz w:val="22"/>
                <w:szCs w:val="22"/>
              </w:rPr>
              <w:t>Less: American Depository Receipts and other financial firms</w:t>
            </w:r>
          </w:p>
        </w:tc>
        <w:tc>
          <w:tcPr>
            <w:tcW w:w="2212" w:type="dxa"/>
            <w:vAlign w:val="bottom"/>
          </w:tcPr>
          <w:p w14:paraId="2062FB30" w14:textId="7B12B7B5" w:rsidR="006C0857" w:rsidRPr="00BE6E1B" w:rsidRDefault="006C0857" w:rsidP="003D1FBF">
            <w:pPr>
              <w:spacing w:before="40" w:after="40"/>
              <w:jc w:val="center"/>
            </w:pPr>
            <w:r w:rsidRPr="00BE6E1B">
              <w:rPr>
                <w:rFonts w:eastAsia="Times New Roman"/>
                <w:w w:val="96"/>
              </w:rPr>
              <w:t>(733)</w:t>
            </w:r>
          </w:p>
        </w:tc>
      </w:tr>
      <w:tr w:rsidR="006C0857" w14:paraId="0771CC5B" w14:textId="77777777" w:rsidTr="004C5735">
        <w:tc>
          <w:tcPr>
            <w:tcW w:w="6804" w:type="dxa"/>
            <w:vAlign w:val="bottom"/>
          </w:tcPr>
          <w:p w14:paraId="2C02A146" w14:textId="181E9D0F" w:rsidR="006C0857" w:rsidRPr="00BE6E1B" w:rsidRDefault="006C0857" w:rsidP="003D1FBF">
            <w:pPr>
              <w:spacing w:before="40" w:after="40"/>
              <w:ind w:left="227"/>
              <w:rPr>
                <w:i/>
                <w:iCs/>
                <w:sz w:val="22"/>
                <w:szCs w:val="22"/>
              </w:rPr>
            </w:pPr>
            <w:r w:rsidRPr="00BE6E1B">
              <w:rPr>
                <w:rFonts w:eastAsia="Times New Roman"/>
                <w:i/>
                <w:iCs/>
                <w:sz w:val="22"/>
                <w:szCs w:val="22"/>
              </w:rPr>
              <w:t>Less: IPOs that do not offer common shares</w:t>
            </w:r>
          </w:p>
        </w:tc>
        <w:tc>
          <w:tcPr>
            <w:tcW w:w="2212" w:type="dxa"/>
            <w:vAlign w:val="bottom"/>
          </w:tcPr>
          <w:p w14:paraId="7BF1D47D" w14:textId="697BF721" w:rsidR="006C0857" w:rsidRPr="00BE6E1B" w:rsidRDefault="006C0857" w:rsidP="003D1FBF">
            <w:pPr>
              <w:spacing w:before="40" w:after="40"/>
              <w:jc w:val="center"/>
            </w:pPr>
            <w:r w:rsidRPr="00BE6E1B">
              <w:rPr>
                <w:rFonts w:eastAsia="Times New Roman"/>
                <w:w w:val="96"/>
              </w:rPr>
              <w:t>(532)</w:t>
            </w:r>
          </w:p>
        </w:tc>
      </w:tr>
      <w:tr w:rsidR="006C0857" w14:paraId="42734E07" w14:textId="77777777" w:rsidTr="002B09DD">
        <w:tc>
          <w:tcPr>
            <w:tcW w:w="6804" w:type="dxa"/>
            <w:vAlign w:val="bottom"/>
          </w:tcPr>
          <w:p w14:paraId="33B965CC" w14:textId="53C48D0C" w:rsidR="006C0857" w:rsidRPr="00BE6E1B" w:rsidRDefault="006C0857" w:rsidP="003D1FBF">
            <w:pPr>
              <w:spacing w:before="40" w:after="40"/>
              <w:ind w:left="227"/>
              <w:rPr>
                <w:i/>
                <w:iCs/>
                <w:sz w:val="22"/>
                <w:szCs w:val="22"/>
              </w:rPr>
            </w:pPr>
            <w:r w:rsidRPr="00BE6E1B">
              <w:rPr>
                <w:rFonts w:eastAsia="Times New Roman"/>
                <w:i/>
                <w:iCs/>
                <w:sz w:val="22"/>
                <w:szCs w:val="22"/>
              </w:rPr>
              <w:t>Less: IPO firms that do not file an S-1</w:t>
            </w:r>
          </w:p>
        </w:tc>
        <w:tc>
          <w:tcPr>
            <w:tcW w:w="2212" w:type="dxa"/>
            <w:vAlign w:val="bottom"/>
          </w:tcPr>
          <w:p w14:paraId="6A83196D" w14:textId="3663D9F4" w:rsidR="006C0857" w:rsidRPr="00BE6E1B" w:rsidRDefault="006C0857" w:rsidP="003D1FBF">
            <w:pPr>
              <w:spacing w:before="40" w:after="40"/>
              <w:jc w:val="center"/>
            </w:pPr>
            <w:r w:rsidRPr="00BE6E1B">
              <w:rPr>
                <w:rFonts w:eastAsia="Times New Roman"/>
              </w:rPr>
              <w:t>(93)</w:t>
            </w:r>
          </w:p>
        </w:tc>
      </w:tr>
      <w:tr w:rsidR="006C0857" w14:paraId="7E5D2BBD" w14:textId="77777777" w:rsidTr="002B09DD">
        <w:tc>
          <w:tcPr>
            <w:tcW w:w="6804" w:type="dxa"/>
            <w:vAlign w:val="bottom"/>
          </w:tcPr>
          <w:p w14:paraId="5C853DCE" w14:textId="2FAD4241" w:rsidR="006C0857" w:rsidRPr="00BE6E1B" w:rsidRDefault="006C0857" w:rsidP="003D1FBF">
            <w:pPr>
              <w:spacing w:before="40" w:after="40"/>
              <w:ind w:left="227"/>
              <w:rPr>
                <w:i/>
                <w:iCs/>
                <w:sz w:val="22"/>
                <w:szCs w:val="22"/>
              </w:rPr>
            </w:pPr>
            <w:r w:rsidRPr="00BE6E1B">
              <w:rPr>
                <w:rFonts w:eastAsia="Times New Roman"/>
                <w:i/>
                <w:iCs/>
                <w:sz w:val="22"/>
                <w:szCs w:val="22"/>
              </w:rPr>
              <w:t>Less: IPOs with missing accounting and/or corporate governance data</w:t>
            </w:r>
          </w:p>
        </w:tc>
        <w:tc>
          <w:tcPr>
            <w:tcW w:w="2212" w:type="dxa"/>
            <w:vAlign w:val="bottom"/>
          </w:tcPr>
          <w:p w14:paraId="7EA0EAD0" w14:textId="24D37E93" w:rsidR="006C0857" w:rsidRPr="00BE6E1B" w:rsidRDefault="006C0857" w:rsidP="003D1FBF">
            <w:pPr>
              <w:spacing w:before="40" w:after="40"/>
              <w:jc w:val="center"/>
            </w:pPr>
            <w:r w:rsidRPr="00BE6E1B">
              <w:rPr>
                <w:rFonts w:eastAsia="Times New Roman"/>
                <w:w w:val="96"/>
              </w:rPr>
              <w:t>(110)</w:t>
            </w:r>
          </w:p>
        </w:tc>
      </w:tr>
      <w:tr w:rsidR="002B09DD" w14:paraId="0FEDE09C" w14:textId="77777777" w:rsidTr="002B09DD">
        <w:tc>
          <w:tcPr>
            <w:tcW w:w="6804" w:type="dxa"/>
            <w:tcBorders>
              <w:bottom w:val="single" w:sz="4" w:space="0" w:color="auto"/>
            </w:tcBorders>
            <w:vAlign w:val="bottom"/>
          </w:tcPr>
          <w:p w14:paraId="7DB4B20D" w14:textId="1E30FA32" w:rsidR="002B09DD" w:rsidRPr="00BE6E1B" w:rsidRDefault="002B09DD" w:rsidP="003D1FBF">
            <w:pPr>
              <w:spacing w:before="40" w:after="40"/>
              <w:ind w:left="227"/>
              <w:rPr>
                <w:rFonts w:eastAsia="Times New Roman"/>
                <w:i/>
                <w:iCs/>
                <w:sz w:val="22"/>
                <w:szCs w:val="22"/>
              </w:rPr>
            </w:pPr>
            <w:r>
              <w:rPr>
                <w:rFonts w:eastAsia="Times New Roman"/>
                <w:i/>
                <w:iCs/>
                <w:sz w:val="22"/>
                <w:szCs w:val="22"/>
              </w:rPr>
              <w:t xml:space="preserve">Less: </w:t>
            </w:r>
            <w:r w:rsidRPr="002B09DD">
              <w:rPr>
                <w:rFonts w:eastAsia="Times New Roman"/>
                <w:i/>
                <w:iCs/>
                <w:sz w:val="22"/>
                <w:szCs w:val="22"/>
              </w:rPr>
              <w:t xml:space="preserve">IPO firm has total annual gross revenues that are </w:t>
            </w:r>
            <w:r>
              <w:rPr>
                <w:rFonts w:eastAsia="Times New Roman"/>
                <w:i/>
                <w:iCs/>
                <w:sz w:val="22"/>
                <w:szCs w:val="22"/>
              </w:rPr>
              <w:t>more</w:t>
            </w:r>
            <w:r w:rsidRPr="002B09DD">
              <w:rPr>
                <w:rFonts w:eastAsia="Times New Roman"/>
                <w:i/>
                <w:iCs/>
                <w:sz w:val="22"/>
                <w:szCs w:val="22"/>
              </w:rPr>
              <w:t xml:space="preserve"> than $1 billion in the most recent fiscal year</w:t>
            </w:r>
          </w:p>
        </w:tc>
        <w:tc>
          <w:tcPr>
            <w:tcW w:w="2212" w:type="dxa"/>
            <w:tcBorders>
              <w:bottom w:val="single" w:sz="4" w:space="0" w:color="auto"/>
            </w:tcBorders>
            <w:vAlign w:val="bottom"/>
          </w:tcPr>
          <w:p w14:paraId="181F9D9A" w14:textId="09543A16" w:rsidR="002B09DD" w:rsidRPr="00BE6E1B" w:rsidRDefault="002B09DD" w:rsidP="003D1FBF">
            <w:pPr>
              <w:spacing w:before="40" w:after="40"/>
              <w:jc w:val="center"/>
              <w:rPr>
                <w:rFonts w:eastAsia="Times New Roman"/>
                <w:w w:val="96"/>
              </w:rPr>
            </w:pPr>
            <w:r>
              <w:rPr>
                <w:rFonts w:eastAsia="Times New Roman"/>
                <w:w w:val="96"/>
              </w:rPr>
              <w:t>(77)</w:t>
            </w:r>
          </w:p>
        </w:tc>
      </w:tr>
      <w:tr w:rsidR="006C0857" w14:paraId="6038F10C" w14:textId="77777777" w:rsidTr="00727A33">
        <w:tc>
          <w:tcPr>
            <w:tcW w:w="6804" w:type="dxa"/>
            <w:tcBorders>
              <w:top w:val="single" w:sz="4" w:space="0" w:color="auto"/>
            </w:tcBorders>
            <w:vAlign w:val="bottom"/>
          </w:tcPr>
          <w:p w14:paraId="6B6EBFC4" w14:textId="7093B7CC" w:rsidR="006C0857" w:rsidRPr="005B7FE1" w:rsidRDefault="004536B7" w:rsidP="003D1FBF">
            <w:pPr>
              <w:rPr>
                <w:rFonts w:eastAsia="Times New Roman"/>
                <w:sz w:val="22"/>
                <w:szCs w:val="22"/>
                <w:highlight w:val="yellow"/>
              </w:rPr>
            </w:pPr>
            <w:r w:rsidRPr="005B7FE1">
              <w:rPr>
                <w:rFonts w:eastAsia="Times New Roman"/>
                <w:sz w:val="22"/>
                <w:szCs w:val="22"/>
                <w:highlight w:val="yellow"/>
              </w:rPr>
              <w:t>Final sample</w:t>
            </w:r>
          </w:p>
        </w:tc>
        <w:tc>
          <w:tcPr>
            <w:tcW w:w="2212" w:type="dxa"/>
            <w:tcBorders>
              <w:top w:val="single" w:sz="4" w:space="0" w:color="auto"/>
              <w:bottom w:val="single" w:sz="4" w:space="0" w:color="auto"/>
            </w:tcBorders>
            <w:vAlign w:val="bottom"/>
          </w:tcPr>
          <w:p w14:paraId="12BFB96B" w14:textId="4008EBD2" w:rsidR="006C0857" w:rsidRPr="005B7FE1" w:rsidRDefault="004536B7" w:rsidP="003D1FBF">
            <w:pPr>
              <w:jc w:val="center"/>
              <w:rPr>
                <w:rFonts w:eastAsia="Times New Roman"/>
                <w:w w:val="96"/>
                <w:highlight w:val="yellow"/>
              </w:rPr>
            </w:pPr>
            <w:r w:rsidRPr="005B7FE1">
              <w:rPr>
                <w:rFonts w:eastAsia="Times New Roman"/>
                <w:w w:val="96"/>
                <w:highlight w:val="yellow"/>
              </w:rPr>
              <w:t>7</w:t>
            </w:r>
            <w:r w:rsidR="0073543D">
              <w:rPr>
                <w:rFonts w:eastAsia="Times New Roman"/>
                <w:w w:val="96"/>
                <w:highlight w:val="yellow"/>
              </w:rPr>
              <w:t>22</w:t>
            </w:r>
          </w:p>
        </w:tc>
      </w:tr>
      <w:tr w:rsidR="006C0857" w14:paraId="368CCA3A" w14:textId="77777777" w:rsidTr="00727A33">
        <w:tc>
          <w:tcPr>
            <w:tcW w:w="6804" w:type="dxa"/>
            <w:vAlign w:val="bottom"/>
          </w:tcPr>
          <w:p w14:paraId="02E4C30B" w14:textId="5677765B" w:rsidR="006C0857" w:rsidRPr="005B7FE1" w:rsidRDefault="0073543D" w:rsidP="0073543D">
            <w:pPr>
              <w:rPr>
                <w:rFonts w:eastAsia="Times New Roman"/>
                <w:i/>
                <w:iCs/>
                <w:sz w:val="22"/>
                <w:szCs w:val="22"/>
                <w:highlight w:val="yellow"/>
              </w:rPr>
            </w:pPr>
            <w:r>
              <w:rPr>
                <w:rFonts w:eastAsia="Times New Roman"/>
                <w:i/>
                <w:iCs/>
                <w:sz w:val="22"/>
                <w:szCs w:val="22"/>
                <w:highlight w:val="yellow"/>
              </w:rPr>
              <w:t xml:space="preserve">Of which:     </w:t>
            </w:r>
            <w:r w:rsidR="00FF64EA" w:rsidRPr="005B7FE1">
              <w:rPr>
                <w:rFonts w:eastAsia="Times New Roman"/>
                <w:i/>
                <w:iCs/>
                <w:sz w:val="22"/>
                <w:szCs w:val="22"/>
                <w:highlight w:val="yellow"/>
              </w:rPr>
              <w:t>EGC IPOs (pre-JOBS Act period)</w:t>
            </w:r>
          </w:p>
        </w:tc>
        <w:tc>
          <w:tcPr>
            <w:tcW w:w="2212" w:type="dxa"/>
            <w:vAlign w:val="bottom"/>
          </w:tcPr>
          <w:p w14:paraId="1D1B2CA7" w14:textId="43A91ECC" w:rsidR="006C0857" w:rsidRPr="005B7FE1" w:rsidRDefault="00E2159B" w:rsidP="003D1FBF">
            <w:pPr>
              <w:jc w:val="center"/>
              <w:rPr>
                <w:rFonts w:eastAsia="Times New Roman"/>
                <w:w w:val="96"/>
                <w:highlight w:val="yellow"/>
              </w:rPr>
            </w:pPr>
            <w:r w:rsidRPr="005B7FE1">
              <w:rPr>
                <w:rFonts w:eastAsia="Times New Roman"/>
                <w:w w:val="96"/>
                <w:highlight w:val="yellow"/>
              </w:rPr>
              <w:t>351</w:t>
            </w:r>
          </w:p>
        </w:tc>
      </w:tr>
      <w:tr w:rsidR="006C0857" w14:paraId="237A1278" w14:textId="77777777" w:rsidTr="00727A33">
        <w:tc>
          <w:tcPr>
            <w:tcW w:w="6804" w:type="dxa"/>
            <w:tcBorders>
              <w:bottom w:val="single" w:sz="4" w:space="0" w:color="auto"/>
            </w:tcBorders>
            <w:vAlign w:val="bottom"/>
          </w:tcPr>
          <w:p w14:paraId="640DA519" w14:textId="6BEC2F7C" w:rsidR="006C0857" w:rsidRPr="005B7FE1" w:rsidRDefault="00FF64EA" w:rsidP="003D1FBF">
            <w:pPr>
              <w:spacing w:after="120"/>
              <w:ind w:left="1134"/>
              <w:rPr>
                <w:rFonts w:eastAsia="Times New Roman"/>
                <w:i/>
                <w:iCs/>
                <w:sz w:val="22"/>
                <w:szCs w:val="22"/>
                <w:highlight w:val="yellow"/>
              </w:rPr>
            </w:pPr>
            <w:r w:rsidRPr="005B7FE1">
              <w:rPr>
                <w:rFonts w:eastAsia="Times New Roman"/>
                <w:i/>
                <w:iCs/>
                <w:sz w:val="22"/>
                <w:szCs w:val="22"/>
                <w:highlight w:val="yellow"/>
              </w:rPr>
              <w:t>EGC IPOs (post-JOBS Act period)</w:t>
            </w:r>
          </w:p>
        </w:tc>
        <w:tc>
          <w:tcPr>
            <w:tcW w:w="2212" w:type="dxa"/>
            <w:tcBorders>
              <w:bottom w:val="single" w:sz="4" w:space="0" w:color="auto"/>
            </w:tcBorders>
            <w:vAlign w:val="bottom"/>
          </w:tcPr>
          <w:p w14:paraId="7A838B0B" w14:textId="14F6CDFC" w:rsidR="006C0857" w:rsidRPr="005B7FE1" w:rsidRDefault="00E2159B" w:rsidP="003D1FBF">
            <w:pPr>
              <w:spacing w:after="120"/>
              <w:jc w:val="center"/>
              <w:rPr>
                <w:rFonts w:eastAsia="Times New Roman"/>
                <w:w w:val="96"/>
                <w:highlight w:val="yellow"/>
              </w:rPr>
            </w:pPr>
            <w:r w:rsidRPr="005B7FE1">
              <w:rPr>
                <w:rFonts w:eastAsia="Times New Roman"/>
                <w:w w:val="96"/>
                <w:highlight w:val="yellow"/>
              </w:rPr>
              <w:t>371</w:t>
            </w:r>
          </w:p>
        </w:tc>
      </w:tr>
    </w:tbl>
    <w:p w14:paraId="76716611" w14:textId="4AF8FE0D" w:rsidR="004F4523" w:rsidRDefault="004F4523" w:rsidP="003D1FBF"/>
    <w:p w14:paraId="4D37218C" w14:textId="570ED61E" w:rsidR="00CB540A" w:rsidRDefault="00CB540A" w:rsidP="003D1FBF"/>
    <w:p w14:paraId="6F392A11" w14:textId="7F0FC0F6" w:rsidR="00CB540A" w:rsidRDefault="00CB540A" w:rsidP="003D1F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542"/>
        <w:gridCol w:w="1967"/>
        <w:gridCol w:w="1968"/>
      </w:tblGrid>
      <w:tr w:rsidR="00CB540A" w14:paraId="6A27E0C6" w14:textId="77777777" w:rsidTr="00CF51C1">
        <w:tc>
          <w:tcPr>
            <w:tcW w:w="9016" w:type="dxa"/>
            <w:gridSpan w:val="4"/>
            <w:tcBorders>
              <w:bottom w:val="single" w:sz="4" w:space="0" w:color="auto"/>
            </w:tcBorders>
          </w:tcPr>
          <w:p w14:paraId="7811778B" w14:textId="77777777" w:rsidR="00CB540A" w:rsidRPr="007422DC" w:rsidRDefault="00CB540A" w:rsidP="003D1FBF">
            <w:pPr>
              <w:jc w:val="center"/>
              <w:rPr>
                <w:b/>
                <w:bCs/>
              </w:rPr>
            </w:pPr>
            <w:r w:rsidRPr="007422DC">
              <w:rPr>
                <w:b/>
                <w:bCs/>
              </w:rPr>
              <w:t>TABLE 2</w:t>
            </w:r>
          </w:p>
          <w:p w14:paraId="702C2F84" w14:textId="236A2B86" w:rsidR="00CB540A" w:rsidRDefault="00CB540A" w:rsidP="003D1FBF">
            <w:pPr>
              <w:spacing w:after="120"/>
              <w:jc w:val="center"/>
            </w:pPr>
            <w:r w:rsidRPr="007422DC">
              <w:rPr>
                <w:b/>
                <w:bCs/>
              </w:rPr>
              <w:t>N-fold cross-validation test [N=10]</w:t>
            </w:r>
          </w:p>
        </w:tc>
      </w:tr>
      <w:tr w:rsidR="00CB540A" w14:paraId="35DBF0AC" w14:textId="77777777" w:rsidTr="00CF51C1">
        <w:tc>
          <w:tcPr>
            <w:tcW w:w="3539" w:type="dxa"/>
            <w:tcBorders>
              <w:top w:val="single" w:sz="4" w:space="0" w:color="auto"/>
              <w:bottom w:val="single" w:sz="4" w:space="0" w:color="auto"/>
            </w:tcBorders>
            <w:vAlign w:val="bottom"/>
          </w:tcPr>
          <w:p w14:paraId="16E70C96" w14:textId="13CF5CA5" w:rsidR="00CB540A" w:rsidRPr="00EC3E2B" w:rsidRDefault="00A31B52" w:rsidP="003D1FBF">
            <w:pPr>
              <w:spacing w:after="40"/>
              <w:rPr>
                <w:sz w:val="22"/>
                <w:szCs w:val="22"/>
              </w:rPr>
            </w:pPr>
            <w:r w:rsidRPr="00EC3E2B">
              <w:rPr>
                <w:sz w:val="22"/>
                <w:szCs w:val="22"/>
              </w:rPr>
              <w:t>Group</w:t>
            </w:r>
          </w:p>
        </w:tc>
        <w:tc>
          <w:tcPr>
            <w:tcW w:w="1542" w:type="dxa"/>
            <w:tcBorders>
              <w:top w:val="single" w:sz="4" w:space="0" w:color="auto"/>
              <w:bottom w:val="single" w:sz="4" w:space="0" w:color="auto"/>
            </w:tcBorders>
            <w:vAlign w:val="bottom"/>
          </w:tcPr>
          <w:p w14:paraId="38DA8540" w14:textId="533E814A" w:rsidR="00CB540A" w:rsidRPr="00EC3E2B" w:rsidRDefault="007422DC" w:rsidP="003D1FBF">
            <w:pPr>
              <w:spacing w:after="40"/>
              <w:jc w:val="center"/>
              <w:rPr>
                <w:sz w:val="22"/>
                <w:szCs w:val="22"/>
              </w:rPr>
            </w:pPr>
            <w:r w:rsidRPr="00EC3E2B">
              <w:rPr>
                <w:sz w:val="22"/>
                <w:szCs w:val="22"/>
              </w:rPr>
              <w:t>Number of themes</w:t>
            </w:r>
          </w:p>
        </w:tc>
        <w:tc>
          <w:tcPr>
            <w:tcW w:w="1967" w:type="dxa"/>
            <w:tcBorders>
              <w:top w:val="single" w:sz="4" w:space="0" w:color="auto"/>
              <w:bottom w:val="single" w:sz="4" w:space="0" w:color="auto"/>
            </w:tcBorders>
            <w:vAlign w:val="bottom"/>
          </w:tcPr>
          <w:p w14:paraId="3236A8EA" w14:textId="12A15CA1" w:rsidR="00CB540A" w:rsidRPr="00EC3E2B" w:rsidRDefault="007D20C7" w:rsidP="003D1FBF">
            <w:pPr>
              <w:spacing w:after="40"/>
              <w:jc w:val="center"/>
              <w:rPr>
                <w:sz w:val="22"/>
                <w:szCs w:val="22"/>
              </w:rPr>
            </w:pPr>
            <w:r w:rsidRPr="00EC3E2B">
              <w:rPr>
                <w:sz w:val="22"/>
                <w:szCs w:val="22"/>
              </w:rPr>
              <w:t>Number of comments</w:t>
            </w:r>
            <w:r w:rsidR="00F50DC3" w:rsidRPr="00EC3E2B">
              <w:rPr>
                <w:sz w:val="22"/>
                <w:szCs w:val="22"/>
              </w:rPr>
              <w:t xml:space="preserve"> coded</w:t>
            </w:r>
          </w:p>
        </w:tc>
        <w:tc>
          <w:tcPr>
            <w:tcW w:w="1968" w:type="dxa"/>
            <w:tcBorders>
              <w:top w:val="single" w:sz="4" w:space="0" w:color="auto"/>
              <w:bottom w:val="single" w:sz="4" w:space="0" w:color="auto"/>
            </w:tcBorders>
            <w:vAlign w:val="bottom"/>
          </w:tcPr>
          <w:p w14:paraId="75FAE97A" w14:textId="49CA37EE" w:rsidR="00CB540A" w:rsidRPr="00EC3E2B" w:rsidRDefault="00F50DC3" w:rsidP="003D1FBF">
            <w:pPr>
              <w:spacing w:after="40"/>
              <w:jc w:val="center"/>
              <w:rPr>
                <w:sz w:val="22"/>
                <w:szCs w:val="22"/>
              </w:rPr>
            </w:pPr>
            <w:r w:rsidRPr="00EC3E2B">
              <w:rPr>
                <w:sz w:val="22"/>
                <w:szCs w:val="22"/>
              </w:rPr>
              <w:t>Classifier accuracy</w:t>
            </w:r>
          </w:p>
        </w:tc>
      </w:tr>
      <w:tr w:rsidR="00F86EC9" w14:paraId="1AE11380" w14:textId="77777777" w:rsidTr="00CF51C1">
        <w:tc>
          <w:tcPr>
            <w:tcW w:w="3539" w:type="dxa"/>
            <w:tcBorders>
              <w:top w:val="single" w:sz="4" w:space="0" w:color="auto"/>
            </w:tcBorders>
          </w:tcPr>
          <w:p w14:paraId="51ACB9FE" w14:textId="3C227C24" w:rsidR="00F86EC9" w:rsidRPr="00A00174" w:rsidRDefault="00F86EC9" w:rsidP="003D1FBF">
            <w:pPr>
              <w:spacing w:before="40" w:after="40"/>
              <w:rPr>
                <w:sz w:val="22"/>
                <w:szCs w:val="22"/>
              </w:rPr>
            </w:pPr>
            <w:r w:rsidRPr="00A00174">
              <w:rPr>
                <w:sz w:val="22"/>
                <w:szCs w:val="22"/>
              </w:rPr>
              <w:t>1. Core accounting issues</w:t>
            </w:r>
          </w:p>
        </w:tc>
        <w:tc>
          <w:tcPr>
            <w:tcW w:w="1542" w:type="dxa"/>
            <w:tcBorders>
              <w:top w:val="single" w:sz="4" w:space="0" w:color="auto"/>
            </w:tcBorders>
            <w:vAlign w:val="bottom"/>
          </w:tcPr>
          <w:p w14:paraId="6A68385C" w14:textId="02B9BD9C" w:rsidR="00F86EC9" w:rsidRPr="00A00174" w:rsidRDefault="00F86EC9" w:rsidP="003D1FBF">
            <w:pPr>
              <w:spacing w:before="40" w:after="40"/>
              <w:jc w:val="center"/>
              <w:rPr>
                <w:sz w:val="22"/>
                <w:szCs w:val="22"/>
              </w:rPr>
            </w:pPr>
            <w:r w:rsidRPr="00A00174">
              <w:rPr>
                <w:sz w:val="22"/>
                <w:szCs w:val="22"/>
              </w:rPr>
              <w:t>8</w:t>
            </w:r>
          </w:p>
        </w:tc>
        <w:tc>
          <w:tcPr>
            <w:tcW w:w="1967" w:type="dxa"/>
            <w:tcBorders>
              <w:top w:val="single" w:sz="4" w:space="0" w:color="auto"/>
            </w:tcBorders>
            <w:vAlign w:val="bottom"/>
          </w:tcPr>
          <w:p w14:paraId="3B4721A0" w14:textId="4E1411F2" w:rsidR="00F86EC9" w:rsidRPr="00A00174" w:rsidRDefault="00F86EC9" w:rsidP="003D1FBF">
            <w:pPr>
              <w:spacing w:before="40" w:after="40"/>
              <w:jc w:val="center"/>
              <w:rPr>
                <w:sz w:val="22"/>
                <w:szCs w:val="22"/>
              </w:rPr>
            </w:pPr>
            <w:r w:rsidRPr="00A00174">
              <w:rPr>
                <w:sz w:val="22"/>
                <w:szCs w:val="22"/>
              </w:rPr>
              <w:t>853</w:t>
            </w:r>
          </w:p>
        </w:tc>
        <w:tc>
          <w:tcPr>
            <w:tcW w:w="1968" w:type="dxa"/>
            <w:tcBorders>
              <w:top w:val="single" w:sz="4" w:space="0" w:color="auto"/>
            </w:tcBorders>
            <w:vAlign w:val="bottom"/>
          </w:tcPr>
          <w:p w14:paraId="32E1C8CC" w14:textId="7B98C2A9" w:rsidR="00F86EC9" w:rsidRPr="00A00174" w:rsidRDefault="00F86EC9" w:rsidP="003D1FBF">
            <w:pPr>
              <w:spacing w:before="40" w:after="40"/>
              <w:jc w:val="center"/>
              <w:rPr>
                <w:sz w:val="22"/>
                <w:szCs w:val="22"/>
              </w:rPr>
            </w:pPr>
            <w:r w:rsidRPr="00A00174">
              <w:rPr>
                <w:rFonts w:eastAsia="Times New Roman"/>
                <w:sz w:val="22"/>
                <w:szCs w:val="22"/>
              </w:rPr>
              <w:t>53.93%</w:t>
            </w:r>
          </w:p>
        </w:tc>
      </w:tr>
      <w:tr w:rsidR="00F86EC9" w14:paraId="1A264F9C" w14:textId="77777777" w:rsidTr="00CF51C1">
        <w:tc>
          <w:tcPr>
            <w:tcW w:w="3539" w:type="dxa"/>
          </w:tcPr>
          <w:p w14:paraId="47B5E3BA" w14:textId="6922DD20" w:rsidR="00F86EC9" w:rsidRPr="00A00174" w:rsidRDefault="00F86EC9" w:rsidP="003D1FBF">
            <w:pPr>
              <w:spacing w:after="40"/>
              <w:rPr>
                <w:sz w:val="22"/>
                <w:szCs w:val="22"/>
              </w:rPr>
            </w:pPr>
            <w:r w:rsidRPr="00A00174">
              <w:rPr>
                <w:sz w:val="22"/>
                <w:szCs w:val="22"/>
              </w:rPr>
              <w:t xml:space="preserve">2. </w:t>
            </w:r>
            <w:proofErr w:type="gramStart"/>
            <w:r w:rsidRPr="00A00174">
              <w:rPr>
                <w:sz w:val="22"/>
                <w:szCs w:val="22"/>
              </w:rPr>
              <w:t>Non-core</w:t>
            </w:r>
            <w:proofErr w:type="gramEnd"/>
            <w:r w:rsidRPr="00A00174">
              <w:rPr>
                <w:sz w:val="22"/>
                <w:szCs w:val="22"/>
              </w:rPr>
              <w:t xml:space="preserve"> accounting issues</w:t>
            </w:r>
          </w:p>
        </w:tc>
        <w:tc>
          <w:tcPr>
            <w:tcW w:w="1542" w:type="dxa"/>
            <w:vAlign w:val="bottom"/>
          </w:tcPr>
          <w:p w14:paraId="27EE2253" w14:textId="2AABC218" w:rsidR="00F86EC9" w:rsidRPr="00A00174" w:rsidRDefault="00F86EC9" w:rsidP="003D1FBF">
            <w:pPr>
              <w:spacing w:after="40"/>
              <w:jc w:val="center"/>
              <w:rPr>
                <w:sz w:val="22"/>
                <w:szCs w:val="22"/>
              </w:rPr>
            </w:pPr>
            <w:r w:rsidRPr="00A00174">
              <w:rPr>
                <w:sz w:val="22"/>
                <w:szCs w:val="22"/>
              </w:rPr>
              <w:t>4</w:t>
            </w:r>
          </w:p>
        </w:tc>
        <w:tc>
          <w:tcPr>
            <w:tcW w:w="1967" w:type="dxa"/>
            <w:vAlign w:val="bottom"/>
          </w:tcPr>
          <w:p w14:paraId="75A79620" w14:textId="5925F06F" w:rsidR="00F86EC9" w:rsidRPr="00A00174" w:rsidRDefault="00F86EC9" w:rsidP="003D1FBF">
            <w:pPr>
              <w:spacing w:after="40"/>
              <w:jc w:val="center"/>
              <w:rPr>
                <w:sz w:val="22"/>
                <w:szCs w:val="22"/>
              </w:rPr>
            </w:pPr>
            <w:r w:rsidRPr="00A00174">
              <w:rPr>
                <w:sz w:val="22"/>
                <w:szCs w:val="22"/>
              </w:rPr>
              <w:t>205</w:t>
            </w:r>
          </w:p>
        </w:tc>
        <w:tc>
          <w:tcPr>
            <w:tcW w:w="1968" w:type="dxa"/>
            <w:vAlign w:val="bottom"/>
          </w:tcPr>
          <w:p w14:paraId="393750DF" w14:textId="2E70C6B4" w:rsidR="00F86EC9" w:rsidRPr="00A00174" w:rsidRDefault="00F86EC9" w:rsidP="003D1FBF">
            <w:pPr>
              <w:spacing w:after="40"/>
              <w:jc w:val="center"/>
              <w:rPr>
                <w:sz w:val="22"/>
                <w:szCs w:val="22"/>
              </w:rPr>
            </w:pPr>
            <w:r w:rsidRPr="00A00174">
              <w:rPr>
                <w:rFonts w:eastAsia="Times New Roman"/>
                <w:sz w:val="22"/>
                <w:szCs w:val="22"/>
              </w:rPr>
              <w:t>82.44%</w:t>
            </w:r>
          </w:p>
        </w:tc>
      </w:tr>
      <w:tr w:rsidR="00F86EC9" w14:paraId="735E4F5F" w14:textId="77777777" w:rsidTr="00CF51C1">
        <w:tc>
          <w:tcPr>
            <w:tcW w:w="3539" w:type="dxa"/>
          </w:tcPr>
          <w:p w14:paraId="4AC8C9EB" w14:textId="2B7B6FB0" w:rsidR="00F86EC9" w:rsidRPr="00A00174" w:rsidRDefault="00F86EC9" w:rsidP="003D1FBF">
            <w:pPr>
              <w:spacing w:after="40"/>
              <w:rPr>
                <w:sz w:val="22"/>
                <w:szCs w:val="22"/>
              </w:rPr>
            </w:pPr>
            <w:r w:rsidRPr="00A00174">
              <w:rPr>
                <w:sz w:val="22"/>
                <w:szCs w:val="22"/>
              </w:rPr>
              <w:t>3. Offering issues</w:t>
            </w:r>
          </w:p>
        </w:tc>
        <w:tc>
          <w:tcPr>
            <w:tcW w:w="1542" w:type="dxa"/>
            <w:vAlign w:val="bottom"/>
          </w:tcPr>
          <w:p w14:paraId="13F729B2" w14:textId="1A41E3F2" w:rsidR="00F86EC9" w:rsidRPr="00A00174" w:rsidRDefault="00F86EC9" w:rsidP="003D1FBF">
            <w:pPr>
              <w:spacing w:after="40"/>
              <w:jc w:val="center"/>
              <w:rPr>
                <w:sz w:val="22"/>
                <w:szCs w:val="22"/>
              </w:rPr>
            </w:pPr>
            <w:r w:rsidRPr="00A00174">
              <w:rPr>
                <w:sz w:val="22"/>
                <w:szCs w:val="22"/>
              </w:rPr>
              <w:t>6</w:t>
            </w:r>
          </w:p>
        </w:tc>
        <w:tc>
          <w:tcPr>
            <w:tcW w:w="1967" w:type="dxa"/>
            <w:vAlign w:val="bottom"/>
          </w:tcPr>
          <w:p w14:paraId="0C0745AB" w14:textId="4EDDD7B3" w:rsidR="00F86EC9" w:rsidRPr="00A00174" w:rsidRDefault="00F86EC9" w:rsidP="003D1FBF">
            <w:pPr>
              <w:spacing w:after="40"/>
              <w:jc w:val="center"/>
              <w:rPr>
                <w:sz w:val="22"/>
                <w:szCs w:val="22"/>
              </w:rPr>
            </w:pPr>
            <w:r w:rsidRPr="00A00174">
              <w:rPr>
                <w:sz w:val="22"/>
                <w:szCs w:val="22"/>
              </w:rPr>
              <w:t>514</w:t>
            </w:r>
          </w:p>
        </w:tc>
        <w:tc>
          <w:tcPr>
            <w:tcW w:w="1968" w:type="dxa"/>
            <w:vAlign w:val="bottom"/>
          </w:tcPr>
          <w:p w14:paraId="0E0866D9" w14:textId="3783C43A" w:rsidR="00F86EC9" w:rsidRPr="00A00174" w:rsidRDefault="00F86EC9" w:rsidP="003D1FBF">
            <w:pPr>
              <w:spacing w:after="40"/>
              <w:jc w:val="center"/>
              <w:rPr>
                <w:sz w:val="22"/>
                <w:szCs w:val="22"/>
              </w:rPr>
            </w:pPr>
            <w:r w:rsidRPr="00A00174">
              <w:rPr>
                <w:rFonts w:eastAsia="Times New Roman"/>
                <w:sz w:val="22"/>
                <w:szCs w:val="22"/>
              </w:rPr>
              <w:t>72.96%</w:t>
            </w:r>
          </w:p>
        </w:tc>
      </w:tr>
      <w:tr w:rsidR="00F86EC9" w14:paraId="7B990018" w14:textId="77777777" w:rsidTr="00CF51C1">
        <w:tc>
          <w:tcPr>
            <w:tcW w:w="3539" w:type="dxa"/>
          </w:tcPr>
          <w:p w14:paraId="0417E6BA" w14:textId="6B231709" w:rsidR="00F86EC9" w:rsidRPr="00A00174" w:rsidRDefault="00F86EC9" w:rsidP="003D1FBF">
            <w:pPr>
              <w:spacing w:after="40"/>
              <w:rPr>
                <w:sz w:val="22"/>
                <w:szCs w:val="22"/>
              </w:rPr>
            </w:pPr>
            <w:r w:rsidRPr="00A00174">
              <w:rPr>
                <w:sz w:val="22"/>
                <w:szCs w:val="22"/>
              </w:rPr>
              <w:t>4. Business issues</w:t>
            </w:r>
          </w:p>
        </w:tc>
        <w:tc>
          <w:tcPr>
            <w:tcW w:w="1542" w:type="dxa"/>
            <w:vAlign w:val="bottom"/>
          </w:tcPr>
          <w:p w14:paraId="23FB20C0" w14:textId="62BEC305" w:rsidR="00F86EC9" w:rsidRPr="00A00174" w:rsidRDefault="00F86EC9" w:rsidP="003D1FBF">
            <w:pPr>
              <w:spacing w:after="40"/>
              <w:jc w:val="center"/>
              <w:rPr>
                <w:sz w:val="22"/>
                <w:szCs w:val="22"/>
              </w:rPr>
            </w:pPr>
            <w:r w:rsidRPr="00A00174">
              <w:rPr>
                <w:sz w:val="22"/>
                <w:szCs w:val="22"/>
              </w:rPr>
              <w:t>10</w:t>
            </w:r>
          </w:p>
        </w:tc>
        <w:tc>
          <w:tcPr>
            <w:tcW w:w="1967" w:type="dxa"/>
            <w:vAlign w:val="bottom"/>
          </w:tcPr>
          <w:p w14:paraId="74241B8C" w14:textId="503F87DD" w:rsidR="00F86EC9" w:rsidRPr="00A00174" w:rsidRDefault="00F86EC9" w:rsidP="003D1FBF">
            <w:pPr>
              <w:spacing w:after="40"/>
              <w:jc w:val="center"/>
              <w:rPr>
                <w:sz w:val="22"/>
                <w:szCs w:val="22"/>
              </w:rPr>
            </w:pPr>
            <w:r w:rsidRPr="00A00174">
              <w:rPr>
                <w:sz w:val="22"/>
                <w:szCs w:val="22"/>
              </w:rPr>
              <w:t>1,532</w:t>
            </w:r>
          </w:p>
        </w:tc>
        <w:tc>
          <w:tcPr>
            <w:tcW w:w="1968" w:type="dxa"/>
            <w:vAlign w:val="bottom"/>
          </w:tcPr>
          <w:p w14:paraId="2841B3BC" w14:textId="550BC0EE" w:rsidR="00F86EC9" w:rsidRPr="00A00174" w:rsidRDefault="00F86EC9" w:rsidP="003D1FBF">
            <w:pPr>
              <w:spacing w:after="40"/>
              <w:jc w:val="center"/>
              <w:rPr>
                <w:sz w:val="22"/>
                <w:szCs w:val="22"/>
              </w:rPr>
            </w:pPr>
            <w:r w:rsidRPr="00A00174">
              <w:rPr>
                <w:rFonts w:eastAsia="Times New Roman"/>
                <w:sz w:val="22"/>
                <w:szCs w:val="22"/>
              </w:rPr>
              <w:t>54.90%</w:t>
            </w:r>
          </w:p>
        </w:tc>
      </w:tr>
      <w:tr w:rsidR="00F86EC9" w14:paraId="4AFB58B0" w14:textId="77777777" w:rsidTr="00CF51C1">
        <w:tc>
          <w:tcPr>
            <w:tcW w:w="3539" w:type="dxa"/>
          </w:tcPr>
          <w:p w14:paraId="37A59FE4" w14:textId="296D27C7" w:rsidR="00F86EC9" w:rsidRPr="00A00174" w:rsidRDefault="00F86EC9" w:rsidP="003D1FBF">
            <w:pPr>
              <w:spacing w:after="40"/>
              <w:rPr>
                <w:sz w:val="22"/>
                <w:szCs w:val="22"/>
              </w:rPr>
            </w:pPr>
            <w:r w:rsidRPr="00A00174">
              <w:rPr>
                <w:sz w:val="22"/>
                <w:szCs w:val="22"/>
              </w:rPr>
              <w:t>5. Corporate governance issues</w:t>
            </w:r>
          </w:p>
        </w:tc>
        <w:tc>
          <w:tcPr>
            <w:tcW w:w="1542" w:type="dxa"/>
            <w:vAlign w:val="bottom"/>
          </w:tcPr>
          <w:p w14:paraId="67F3BB60" w14:textId="4B4C8795" w:rsidR="00F86EC9" w:rsidRPr="00A00174" w:rsidRDefault="00F86EC9" w:rsidP="003D1FBF">
            <w:pPr>
              <w:spacing w:after="40"/>
              <w:jc w:val="center"/>
              <w:rPr>
                <w:sz w:val="22"/>
                <w:szCs w:val="22"/>
              </w:rPr>
            </w:pPr>
            <w:r w:rsidRPr="00A00174">
              <w:rPr>
                <w:sz w:val="22"/>
                <w:szCs w:val="22"/>
              </w:rPr>
              <w:t>5</w:t>
            </w:r>
          </w:p>
        </w:tc>
        <w:tc>
          <w:tcPr>
            <w:tcW w:w="1967" w:type="dxa"/>
            <w:vAlign w:val="bottom"/>
          </w:tcPr>
          <w:p w14:paraId="0C685201" w14:textId="16ADA00F" w:rsidR="00F86EC9" w:rsidRPr="00A00174" w:rsidRDefault="00F86EC9" w:rsidP="003D1FBF">
            <w:pPr>
              <w:spacing w:after="40"/>
              <w:jc w:val="center"/>
              <w:rPr>
                <w:sz w:val="22"/>
                <w:szCs w:val="22"/>
              </w:rPr>
            </w:pPr>
            <w:r w:rsidRPr="00A00174">
              <w:rPr>
                <w:sz w:val="22"/>
                <w:szCs w:val="22"/>
              </w:rPr>
              <w:t>331</w:t>
            </w:r>
          </w:p>
        </w:tc>
        <w:tc>
          <w:tcPr>
            <w:tcW w:w="1968" w:type="dxa"/>
            <w:vAlign w:val="bottom"/>
          </w:tcPr>
          <w:p w14:paraId="191EBB12" w14:textId="3EF55ED3" w:rsidR="00F86EC9" w:rsidRPr="00A00174" w:rsidRDefault="00F86EC9" w:rsidP="003D1FBF">
            <w:pPr>
              <w:spacing w:after="40"/>
              <w:jc w:val="center"/>
              <w:rPr>
                <w:sz w:val="22"/>
                <w:szCs w:val="22"/>
              </w:rPr>
            </w:pPr>
            <w:r w:rsidRPr="00A00174">
              <w:rPr>
                <w:rFonts w:eastAsia="Times New Roman"/>
                <w:sz w:val="22"/>
                <w:szCs w:val="22"/>
              </w:rPr>
              <w:t>75.23%</w:t>
            </w:r>
          </w:p>
        </w:tc>
      </w:tr>
      <w:tr w:rsidR="00F86EC9" w14:paraId="18CDD86B" w14:textId="77777777" w:rsidTr="00CF51C1">
        <w:tc>
          <w:tcPr>
            <w:tcW w:w="3539" w:type="dxa"/>
          </w:tcPr>
          <w:p w14:paraId="57D4AF9F" w14:textId="63EF040A" w:rsidR="00F86EC9" w:rsidRPr="00A00174" w:rsidRDefault="00F86EC9" w:rsidP="003D1FBF">
            <w:pPr>
              <w:spacing w:after="40"/>
              <w:rPr>
                <w:sz w:val="22"/>
                <w:szCs w:val="22"/>
              </w:rPr>
            </w:pPr>
            <w:r w:rsidRPr="00A00174">
              <w:rPr>
                <w:sz w:val="22"/>
                <w:szCs w:val="22"/>
              </w:rPr>
              <w:t>6. Disclosure issues</w:t>
            </w:r>
          </w:p>
        </w:tc>
        <w:tc>
          <w:tcPr>
            <w:tcW w:w="1542" w:type="dxa"/>
            <w:vAlign w:val="bottom"/>
          </w:tcPr>
          <w:p w14:paraId="15624433" w14:textId="09879B54" w:rsidR="00F86EC9" w:rsidRPr="00A00174" w:rsidRDefault="00F86EC9" w:rsidP="003D1FBF">
            <w:pPr>
              <w:spacing w:after="40"/>
              <w:jc w:val="center"/>
              <w:rPr>
                <w:sz w:val="22"/>
                <w:szCs w:val="22"/>
              </w:rPr>
            </w:pPr>
            <w:r w:rsidRPr="00A00174">
              <w:rPr>
                <w:sz w:val="22"/>
                <w:szCs w:val="22"/>
              </w:rPr>
              <w:t>11</w:t>
            </w:r>
          </w:p>
        </w:tc>
        <w:tc>
          <w:tcPr>
            <w:tcW w:w="1967" w:type="dxa"/>
            <w:vAlign w:val="bottom"/>
          </w:tcPr>
          <w:p w14:paraId="75DF1F68" w14:textId="03D4EDFB" w:rsidR="00F86EC9" w:rsidRPr="00A00174" w:rsidRDefault="00F86EC9" w:rsidP="003D1FBF">
            <w:pPr>
              <w:spacing w:after="40"/>
              <w:jc w:val="center"/>
              <w:rPr>
                <w:sz w:val="22"/>
                <w:szCs w:val="22"/>
              </w:rPr>
            </w:pPr>
            <w:r w:rsidRPr="00A00174">
              <w:rPr>
                <w:sz w:val="22"/>
                <w:szCs w:val="22"/>
              </w:rPr>
              <w:t>1,431</w:t>
            </w:r>
          </w:p>
        </w:tc>
        <w:tc>
          <w:tcPr>
            <w:tcW w:w="1968" w:type="dxa"/>
            <w:vAlign w:val="bottom"/>
          </w:tcPr>
          <w:p w14:paraId="0BC4D28B" w14:textId="6643A1DC" w:rsidR="00F86EC9" w:rsidRPr="00A00174" w:rsidRDefault="00F86EC9" w:rsidP="003D1FBF">
            <w:pPr>
              <w:spacing w:after="40"/>
              <w:jc w:val="center"/>
              <w:rPr>
                <w:sz w:val="22"/>
                <w:szCs w:val="22"/>
              </w:rPr>
            </w:pPr>
            <w:r w:rsidRPr="00A00174">
              <w:rPr>
                <w:rFonts w:eastAsia="Times New Roman"/>
                <w:sz w:val="22"/>
                <w:szCs w:val="22"/>
              </w:rPr>
              <w:t>52.20%</w:t>
            </w:r>
          </w:p>
        </w:tc>
      </w:tr>
      <w:tr w:rsidR="00F86EC9" w14:paraId="06808BB8" w14:textId="77777777" w:rsidTr="00CF51C1">
        <w:tc>
          <w:tcPr>
            <w:tcW w:w="3539" w:type="dxa"/>
          </w:tcPr>
          <w:p w14:paraId="3CB2AE8E" w14:textId="77B56389" w:rsidR="00F86EC9" w:rsidRPr="00A00174" w:rsidRDefault="00F86EC9" w:rsidP="003D1FBF">
            <w:pPr>
              <w:spacing w:after="40"/>
              <w:rPr>
                <w:sz w:val="22"/>
                <w:szCs w:val="22"/>
              </w:rPr>
            </w:pPr>
            <w:r w:rsidRPr="00A00174">
              <w:rPr>
                <w:sz w:val="22"/>
                <w:szCs w:val="22"/>
              </w:rPr>
              <w:t>7. Other</w:t>
            </w:r>
          </w:p>
        </w:tc>
        <w:tc>
          <w:tcPr>
            <w:tcW w:w="1542" w:type="dxa"/>
            <w:vAlign w:val="bottom"/>
          </w:tcPr>
          <w:p w14:paraId="2DDF46CB" w14:textId="325E8CEE" w:rsidR="00F86EC9" w:rsidRPr="00A00174" w:rsidRDefault="00F86EC9" w:rsidP="003D1FBF">
            <w:pPr>
              <w:spacing w:after="40"/>
              <w:jc w:val="center"/>
              <w:rPr>
                <w:sz w:val="22"/>
                <w:szCs w:val="22"/>
              </w:rPr>
            </w:pPr>
            <w:r w:rsidRPr="00A00174">
              <w:rPr>
                <w:sz w:val="22"/>
                <w:szCs w:val="22"/>
              </w:rPr>
              <w:t>1</w:t>
            </w:r>
          </w:p>
        </w:tc>
        <w:tc>
          <w:tcPr>
            <w:tcW w:w="1967" w:type="dxa"/>
            <w:vAlign w:val="bottom"/>
          </w:tcPr>
          <w:p w14:paraId="69AB9EFA" w14:textId="0D42EB2F" w:rsidR="00F86EC9" w:rsidRPr="00A00174" w:rsidRDefault="00F86EC9" w:rsidP="003D1FBF">
            <w:pPr>
              <w:spacing w:after="40"/>
              <w:jc w:val="center"/>
              <w:rPr>
                <w:sz w:val="22"/>
                <w:szCs w:val="22"/>
              </w:rPr>
            </w:pPr>
            <w:r w:rsidRPr="00A00174">
              <w:rPr>
                <w:sz w:val="22"/>
                <w:szCs w:val="22"/>
              </w:rPr>
              <w:t>115</w:t>
            </w:r>
          </w:p>
        </w:tc>
        <w:tc>
          <w:tcPr>
            <w:tcW w:w="1968" w:type="dxa"/>
            <w:vAlign w:val="bottom"/>
          </w:tcPr>
          <w:p w14:paraId="77FED6BA" w14:textId="4BA573A0" w:rsidR="00F86EC9" w:rsidRPr="00A00174" w:rsidRDefault="00F86EC9" w:rsidP="003D1FBF">
            <w:pPr>
              <w:spacing w:after="40"/>
              <w:jc w:val="center"/>
              <w:rPr>
                <w:sz w:val="22"/>
                <w:szCs w:val="22"/>
              </w:rPr>
            </w:pPr>
            <w:r w:rsidRPr="00A00174">
              <w:rPr>
                <w:rFonts w:eastAsia="Times New Roman"/>
                <w:sz w:val="22"/>
                <w:szCs w:val="22"/>
              </w:rPr>
              <w:t>97.39%</w:t>
            </w:r>
          </w:p>
        </w:tc>
      </w:tr>
      <w:tr w:rsidR="00F86EC9" w14:paraId="02C36821" w14:textId="77777777" w:rsidTr="00CF51C1">
        <w:tc>
          <w:tcPr>
            <w:tcW w:w="3539" w:type="dxa"/>
            <w:tcBorders>
              <w:bottom w:val="single" w:sz="4" w:space="0" w:color="auto"/>
            </w:tcBorders>
          </w:tcPr>
          <w:p w14:paraId="278625CA" w14:textId="2963DFB5" w:rsidR="00F86EC9" w:rsidRPr="00EC3E2B" w:rsidRDefault="00F86EC9" w:rsidP="003D1FBF">
            <w:pPr>
              <w:spacing w:after="40"/>
              <w:rPr>
                <w:sz w:val="22"/>
                <w:szCs w:val="22"/>
              </w:rPr>
            </w:pPr>
            <w:r w:rsidRPr="00EC3E2B">
              <w:rPr>
                <w:sz w:val="22"/>
                <w:szCs w:val="22"/>
              </w:rPr>
              <w:t>Total</w:t>
            </w:r>
          </w:p>
        </w:tc>
        <w:tc>
          <w:tcPr>
            <w:tcW w:w="1542" w:type="dxa"/>
            <w:tcBorders>
              <w:bottom w:val="single" w:sz="4" w:space="0" w:color="auto"/>
            </w:tcBorders>
            <w:vAlign w:val="bottom"/>
          </w:tcPr>
          <w:p w14:paraId="606485A8" w14:textId="7A4799E7" w:rsidR="00F86EC9" w:rsidRPr="00EC3E2B" w:rsidRDefault="00F86EC9" w:rsidP="003D1FBF">
            <w:pPr>
              <w:spacing w:after="40"/>
              <w:jc w:val="center"/>
              <w:rPr>
                <w:sz w:val="22"/>
                <w:szCs w:val="22"/>
              </w:rPr>
            </w:pPr>
            <w:r w:rsidRPr="00EC3E2B">
              <w:rPr>
                <w:sz w:val="22"/>
                <w:szCs w:val="22"/>
              </w:rPr>
              <w:t>45</w:t>
            </w:r>
          </w:p>
        </w:tc>
        <w:tc>
          <w:tcPr>
            <w:tcW w:w="1967" w:type="dxa"/>
            <w:tcBorders>
              <w:bottom w:val="single" w:sz="4" w:space="0" w:color="auto"/>
            </w:tcBorders>
            <w:vAlign w:val="bottom"/>
          </w:tcPr>
          <w:p w14:paraId="0B685E9E" w14:textId="2859ABD4" w:rsidR="00F86EC9" w:rsidRPr="00EC3E2B" w:rsidRDefault="00F86EC9" w:rsidP="003D1FBF">
            <w:pPr>
              <w:spacing w:after="40"/>
              <w:jc w:val="center"/>
              <w:rPr>
                <w:sz w:val="22"/>
                <w:szCs w:val="22"/>
              </w:rPr>
            </w:pPr>
            <w:r w:rsidRPr="00EC3E2B">
              <w:rPr>
                <w:sz w:val="22"/>
                <w:szCs w:val="22"/>
              </w:rPr>
              <w:t>4,087</w:t>
            </w:r>
          </w:p>
        </w:tc>
        <w:tc>
          <w:tcPr>
            <w:tcW w:w="1968" w:type="dxa"/>
            <w:tcBorders>
              <w:bottom w:val="single" w:sz="4" w:space="0" w:color="auto"/>
            </w:tcBorders>
            <w:vAlign w:val="bottom"/>
          </w:tcPr>
          <w:p w14:paraId="3E028C0B" w14:textId="2551A0E3" w:rsidR="00F86EC9" w:rsidRPr="00EC3E2B" w:rsidRDefault="00F86EC9" w:rsidP="003D1FBF">
            <w:pPr>
              <w:spacing w:after="40"/>
              <w:jc w:val="center"/>
              <w:rPr>
                <w:sz w:val="22"/>
                <w:szCs w:val="22"/>
              </w:rPr>
            </w:pPr>
            <w:r w:rsidRPr="00EC3E2B">
              <w:rPr>
                <w:rFonts w:eastAsia="Times New Roman"/>
                <w:sz w:val="22"/>
                <w:szCs w:val="22"/>
              </w:rPr>
              <w:t>65.15%</w:t>
            </w:r>
          </w:p>
        </w:tc>
      </w:tr>
      <w:tr w:rsidR="00F86EC9" w14:paraId="0E2AABFB" w14:textId="77777777" w:rsidTr="00CF51C1">
        <w:tc>
          <w:tcPr>
            <w:tcW w:w="9016" w:type="dxa"/>
            <w:gridSpan w:val="4"/>
            <w:tcBorders>
              <w:top w:val="single" w:sz="4" w:space="0" w:color="auto"/>
            </w:tcBorders>
          </w:tcPr>
          <w:p w14:paraId="7242F7D5" w14:textId="3E05E1F1" w:rsidR="00F86EC9" w:rsidRPr="00A00174" w:rsidRDefault="00F86EC9" w:rsidP="003D1FBF">
            <w:pPr>
              <w:spacing w:before="120" w:after="120" w:line="235" w:lineRule="auto"/>
              <w:jc w:val="both"/>
              <w:rPr>
                <w:sz w:val="20"/>
                <w:szCs w:val="20"/>
              </w:rPr>
            </w:pPr>
            <w:r w:rsidRPr="00A00174">
              <w:rPr>
                <w:rFonts w:eastAsia="Times New Roman"/>
                <w:sz w:val="20"/>
                <w:szCs w:val="20"/>
              </w:rPr>
              <w:t xml:space="preserve">This table reports N-fold cross-validation test results (N=10) for Naïve Bayesian machine learning algorithm applied on training data set. In the training data set, comments are manually classified into 45 </w:t>
            </w:r>
            <w:proofErr w:type="gramStart"/>
            <w:r w:rsidRPr="00A00174">
              <w:rPr>
                <w:rFonts w:eastAsia="Times New Roman"/>
                <w:sz w:val="20"/>
                <w:szCs w:val="20"/>
              </w:rPr>
              <w:t>issues</w:t>
            </w:r>
            <w:proofErr w:type="gramEnd"/>
            <w:r w:rsidRPr="00A00174">
              <w:rPr>
                <w:rFonts w:eastAsia="Times New Roman"/>
                <w:sz w:val="20"/>
                <w:szCs w:val="20"/>
              </w:rPr>
              <w:t xml:space="preserve"> types belonging to one of the seven themes shown in the table.</w:t>
            </w:r>
          </w:p>
        </w:tc>
      </w:tr>
    </w:tbl>
    <w:p w14:paraId="1A6AA810" w14:textId="18B4A5BB" w:rsidR="00CB540A" w:rsidRDefault="00CB540A" w:rsidP="003D1FBF"/>
    <w:p w14:paraId="0251D713" w14:textId="38C052C8" w:rsidR="00CB540A" w:rsidRDefault="00CB540A" w:rsidP="003D1FBF"/>
    <w:p w14:paraId="45349EAB" w14:textId="0EB7E210" w:rsidR="00D53F97" w:rsidRDefault="00D53F97" w:rsidP="003D1FBF"/>
    <w:p w14:paraId="3F682E6B" w14:textId="1AC997F7" w:rsidR="00D53F97" w:rsidRDefault="00D53F97" w:rsidP="003D1FBF"/>
    <w:p w14:paraId="42D79115" w14:textId="62E5AEDD" w:rsidR="00D53F97" w:rsidRDefault="00D53F97" w:rsidP="003D1FBF"/>
    <w:p w14:paraId="20724521" w14:textId="5AD2CB98" w:rsidR="00D53F97" w:rsidRDefault="00D53F97" w:rsidP="003D1FBF"/>
    <w:p w14:paraId="63D9606E" w14:textId="2555507A" w:rsidR="00D53F97" w:rsidRDefault="00D53F97" w:rsidP="003D1FBF"/>
    <w:p w14:paraId="54FD1D1B" w14:textId="0D5264E9" w:rsidR="00D53F97" w:rsidRDefault="00D53F97" w:rsidP="003D1FBF"/>
    <w:p w14:paraId="4D4C5A7B" w14:textId="77777777" w:rsidR="00D53F97" w:rsidRDefault="00D53F97" w:rsidP="003D1FBF">
      <w:pPr>
        <w:sectPr w:rsidR="00D53F97">
          <w:pgSz w:w="11906" w:h="16838"/>
          <w:pgMar w:top="1440" w:right="1440" w:bottom="1440" w:left="1440" w:header="708" w:footer="708" w:gutter="0"/>
          <w:cols w:space="708"/>
          <w:docGrid w:linePitch="360"/>
        </w:sectPr>
      </w:pPr>
    </w:p>
    <w:p w14:paraId="3E976E39" w14:textId="77777777" w:rsidR="00CA2294" w:rsidRDefault="00CA2294" w:rsidP="00CA2294">
      <w:pPr>
        <w:jc w:val="center"/>
        <w:rPr>
          <w:b/>
          <w:bCs/>
        </w:rPr>
      </w:pPr>
      <w:r>
        <w:rPr>
          <w:b/>
          <w:bCs/>
        </w:rPr>
        <w:lastRenderedPageBreak/>
        <w:t>TABLE 3</w:t>
      </w:r>
    </w:p>
    <w:p w14:paraId="2CF5F8CA" w14:textId="526C450A" w:rsidR="00D53F97" w:rsidRDefault="00CA2294" w:rsidP="00CA2294">
      <w:pPr>
        <w:jc w:val="center"/>
      </w:pPr>
      <w:r>
        <w:rPr>
          <w:b/>
          <w:bCs/>
        </w:rPr>
        <w:t>Descriptive statistics</w:t>
      </w:r>
    </w:p>
    <w:p w14:paraId="5C686D94" w14:textId="2D40B716" w:rsidR="0010463A" w:rsidRDefault="0010463A" w:rsidP="003D1FBF"/>
    <w:tbl>
      <w:tblPr>
        <w:tblW w:w="13608" w:type="dxa"/>
        <w:tblLook w:val="04A0" w:firstRow="1" w:lastRow="0" w:firstColumn="1" w:lastColumn="0" w:noHBand="0" w:noVBand="1"/>
      </w:tblPr>
      <w:tblGrid>
        <w:gridCol w:w="1985"/>
        <w:gridCol w:w="261"/>
        <w:gridCol w:w="942"/>
        <w:gridCol w:w="261"/>
        <w:gridCol w:w="787"/>
        <w:gridCol w:w="261"/>
        <w:gridCol w:w="861"/>
        <w:gridCol w:w="261"/>
        <w:gridCol w:w="828"/>
        <w:gridCol w:w="261"/>
        <w:gridCol w:w="782"/>
        <w:gridCol w:w="266"/>
        <w:gridCol w:w="711"/>
        <w:gridCol w:w="261"/>
        <w:gridCol w:w="628"/>
        <w:gridCol w:w="261"/>
        <w:gridCol w:w="731"/>
        <w:gridCol w:w="261"/>
        <w:gridCol w:w="807"/>
        <w:gridCol w:w="261"/>
        <w:gridCol w:w="621"/>
        <w:gridCol w:w="266"/>
        <w:gridCol w:w="1044"/>
      </w:tblGrid>
      <w:tr w:rsidR="00732928" w:rsidRPr="00732928" w14:paraId="73DF8A2E" w14:textId="77777777" w:rsidTr="00732928">
        <w:trPr>
          <w:trHeight w:val="290"/>
        </w:trPr>
        <w:tc>
          <w:tcPr>
            <w:tcW w:w="13608" w:type="dxa"/>
            <w:gridSpan w:val="23"/>
            <w:tcBorders>
              <w:top w:val="single" w:sz="4" w:space="0" w:color="auto"/>
              <w:left w:val="nil"/>
              <w:bottom w:val="nil"/>
              <w:right w:val="nil"/>
            </w:tcBorders>
            <w:shd w:val="clear" w:color="auto" w:fill="auto"/>
            <w:noWrap/>
            <w:vAlign w:val="bottom"/>
            <w:hideMark/>
          </w:tcPr>
          <w:p w14:paraId="4A63DB44" w14:textId="77777777" w:rsidR="00732928" w:rsidRPr="00732928" w:rsidRDefault="00732928" w:rsidP="00732928">
            <w:pPr>
              <w:rPr>
                <w:rFonts w:eastAsia="Times New Roman"/>
                <w:b/>
                <w:bCs/>
                <w:color w:val="000000"/>
                <w:sz w:val="20"/>
                <w:szCs w:val="20"/>
              </w:rPr>
            </w:pPr>
            <w:r w:rsidRPr="00732928">
              <w:rPr>
                <w:rFonts w:eastAsia="Times New Roman"/>
                <w:b/>
                <w:bCs/>
                <w:color w:val="000000"/>
                <w:sz w:val="20"/>
                <w:szCs w:val="20"/>
              </w:rPr>
              <w:t>Panel A. Descriptive statistics for EGC IPOs by SRC and non-SRC status</w:t>
            </w:r>
          </w:p>
        </w:tc>
      </w:tr>
      <w:tr w:rsidR="00732928" w:rsidRPr="00732928" w14:paraId="263B5872" w14:textId="77777777" w:rsidTr="00732928">
        <w:trPr>
          <w:trHeight w:val="290"/>
        </w:trPr>
        <w:tc>
          <w:tcPr>
            <w:tcW w:w="1985" w:type="dxa"/>
            <w:tcBorders>
              <w:top w:val="nil"/>
              <w:left w:val="nil"/>
              <w:bottom w:val="nil"/>
              <w:right w:val="nil"/>
            </w:tcBorders>
            <w:shd w:val="clear" w:color="000000" w:fill="FFFFFF"/>
            <w:noWrap/>
            <w:vAlign w:val="bottom"/>
            <w:hideMark/>
          </w:tcPr>
          <w:p w14:paraId="61C4F5AE" w14:textId="77777777" w:rsidR="00732928" w:rsidRPr="00732928" w:rsidRDefault="00732928" w:rsidP="00732928">
            <w:pPr>
              <w:rPr>
                <w:rFonts w:eastAsia="Times New Roman"/>
                <w:b/>
                <w:bCs/>
                <w:color w:val="000000"/>
                <w:sz w:val="18"/>
                <w:szCs w:val="18"/>
              </w:rPr>
            </w:pPr>
            <w:r w:rsidRPr="00732928">
              <w:rPr>
                <w:rFonts w:eastAsia="Times New Roman"/>
                <w:b/>
                <w:bCs/>
                <w:color w:val="000000"/>
                <w:sz w:val="18"/>
                <w:szCs w:val="18"/>
              </w:rPr>
              <w:t> </w:t>
            </w:r>
          </w:p>
        </w:tc>
        <w:tc>
          <w:tcPr>
            <w:tcW w:w="261" w:type="dxa"/>
            <w:tcBorders>
              <w:top w:val="nil"/>
              <w:left w:val="nil"/>
              <w:bottom w:val="nil"/>
              <w:right w:val="nil"/>
            </w:tcBorders>
            <w:shd w:val="clear" w:color="000000" w:fill="FFFFFF"/>
            <w:noWrap/>
            <w:vAlign w:val="bottom"/>
            <w:hideMark/>
          </w:tcPr>
          <w:p w14:paraId="5C11EE80" w14:textId="77777777" w:rsidR="00732928" w:rsidRPr="00732928" w:rsidRDefault="00732928" w:rsidP="00732928">
            <w:pPr>
              <w:rPr>
                <w:rFonts w:eastAsia="Times New Roman"/>
                <w:b/>
                <w:bCs/>
                <w:color w:val="000000"/>
                <w:sz w:val="18"/>
                <w:szCs w:val="18"/>
              </w:rPr>
            </w:pPr>
            <w:r w:rsidRPr="00732928">
              <w:rPr>
                <w:rFonts w:eastAsia="Times New Roman"/>
                <w:b/>
                <w:bCs/>
                <w:color w:val="000000"/>
                <w:sz w:val="18"/>
                <w:szCs w:val="18"/>
              </w:rPr>
              <w:t> </w:t>
            </w:r>
          </w:p>
        </w:tc>
        <w:tc>
          <w:tcPr>
            <w:tcW w:w="5244" w:type="dxa"/>
            <w:gridSpan w:val="9"/>
            <w:tcBorders>
              <w:top w:val="nil"/>
              <w:left w:val="nil"/>
              <w:bottom w:val="single" w:sz="4" w:space="0" w:color="auto"/>
              <w:right w:val="nil"/>
            </w:tcBorders>
            <w:shd w:val="clear" w:color="000000" w:fill="FFFFFF"/>
            <w:noWrap/>
            <w:vAlign w:val="bottom"/>
            <w:hideMark/>
          </w:tcPr>
          <w:p w14:paraId="36F7799F" w14:textId="77777777" w:rsidR="00732928" w:rsidRPr="00732928" w:rsidRDefault="00732928" w:rsidP="00732928">
            <w:pPr>
              <w:jc w:val="center"/>
              <w:rPr>
                <w:rFonts w:eastAsia="Times New Roman"/>
                <w:b/>
                <w:bCs/>
                <w:color w:val="000000"/>
                <w:sz w:val="18"/>
                <w:szCs w:val="18"/>
              </w:rPr>
            </w:pPr>
            <w:r w:rsidRPr="00732928">
              <w:rPr>
                <w:rFonts w:eastAsia="Times New Roman"/>
                <w:b/>
                <w:bCs/>
                <w:color w:val="000000"/>
                <w:sz w:val="18"/>
                <w:szCs w:val="18"/>
              </w:rPr>
              <w:t>SRC IPOs (N=194)</w:t>
            </w:r>
          </w:p>
        </w:tc>
        <w:tc>
          <w:tcPr>
            <w:tcW w:w="266" w:type="dxa"/>
            <w:tcBorders>
              <w:top w:val="nil"/>
              <w:left w:val="nil"/>
              <w:bottom w:val="nil"/>
              <w:right w:val="nil"/>
            </w:tcBorders>
            <w:shd w:val="clear" w:color="000000" w:fill="FFFFFF"/>
            <w:noWrap/>
            <w:vAlign w:val="bottom"/>
            <w:hideMark/>
          </w:tcPr>
          <w:p w14:paraId="4F01896D"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4542" w:type="dxa"/>
            <w:gridSpan w:val="9"/>
            <w:tcBorders>
              <w:top w:val="nil"/>
              <w:left w:val="nil"/>
              <w:bottom w:val="single" w:sz="4" w:space="0" w:color="auto"/>
              <w:right w:val="nil"/>
            </w:tcBorders>
            <w:shd w:val="clear" w:color="000000" w:fill="FFFFFF"/>
            <w:noWrap/>
            <w:vAlign w:val="bottom"/>
            <w:hideMark/>
          </w:tcPr>
          <w:p w14:paraId="0901EB13" w14:textId="77777777" w:rsidR="00732928" w:rsidRPr="00732928" w:rsidRDefault="00732928" w:rsidP="00732928">
            <w:pPr>
              <w:jc w:val="center"/>
              <w:rPr>
                <w:rFonts w:eastAsia="Times New Roman"/>
                <w:b/>
                <w:bCs/>
                <w:color w:val="000000"/>
                <w:sz w:val="18"/>
                <w:szCs w:val="18"/>
              </w:rPr>
            </w:pPr>
            <w:r w:rsidRPr="00732928">
              <w:rPr>
                <w:rFonts w:eastAsia="Times New Roman"/>
                <w:b/>
                <w:bCs/>
                <w:color w:val="000000"/>
                <w:sz w:val="18"/>
                <w:szCs w:val="18"/>
              </w:rPr>
              <w:t>Non-SRC IPOs (N=528)</w:t>
            </w:r>
          </w:p>
        </w:tc>
        <w:tc>
          <w:tcPr>
            <w:tcW w:w="266" w:type="dxa"/>
            <w:tcBorders>
              <w:top w:val="nil"/>
              <w:left w:val="nil"/>
              <w:bottom w:val="nil"/>
              <w:right w:val="nil"/>
            </w:tcBorders>
            <w:shd w:val="clear" w:color="000000" w:fill="FFFFFF"/>
            <w:noWrap/>
            <w:vAlign w:val="bottom"/>
            <w:hideMark/>
          </w:tcPr>
          <w:p w14:paraId="29A3EE87"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single" w:sz="4" w:space="0" w:color="000000"/>
              <w:right w:val="nil"/>
            </w:tcBorders>
            <w:shd w:val="clear" w:color="000000" w:fill="FFFFFF"/>
            <w:vAlign w:val="center"/>
            <w:hideMark/>
          </w:tcPr>
          <w:p w14:paraId="1102747B" w14:textId="77777777" w:rsidR="00732928" w:rsidRPr="00732928" w:rsidRDefault="00732928" w:rsidP="00732928">
            <w:pPr>
              <w:jc w:val="center"/>
              <w:rPr>
                <w:rFonts w:eastAsia="Times New Roman"/>
                <w:b/>
                <w:bCs/>
                <w:color w:val="000000"/>
                <w:sz w:val="18"/>
                <w:szCs w:val="18"/>
              </w:rPr>
            </w:pPr>
            <w:r w:rsidRPr="00732928">
              <w:rPr>
                <w:rFonts w:eastAsia="Times New Roman"/>
                <w:b/>
                <w:bCs/>
                <w:color w:val="000000"/>
                <w:sz w:val="18"/>
                <w:szCs w:val="18"/>
              </w:rPr>
              <w:t>Difference in mean</w:t>
            </w:r>
          </w:p>
        </w:tc>
      </w:tr>
      <w:tr w:rsidR="00732928" w:rsidRPr="00732928" w14:paraId="64E8A592" w14:textId="77777777" w:rsidTr="00732928">
        <w:trPr>
          <w:trHeight w:val="290"/>
        </w:trPr>
        <w:tc>
          <w:tcPr>
            <w:tcW w:w="2246" w:type="dxa"/>
            <w:gridSpan w:val="2"/>
            <w:tcBorders>
              <w:top w:val="nil"/>
              <w:left w:val="nil"/>
              <w:bottom w:val="nil"/>
              <w:right w:val="nil"/>
            </w:tcBorders>
            <w:shd w:val="clear" w:color="000000" w:fill="FFFFFF"/>
            <w:noWrap/>
            <w:vAlign w:val="bottom"/>
            <w:hideMark/>
          </w:tcPr>
          <w:p w14:paraId="4DBCC50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942" w:type="dxa"/>
            <w:tcBorders>
              <w:top w:val="nil"/>
              <w:left w:val="nil"/>
              <w:bottom w:val="single" w:sz="4" w:space="0" w:color="auto"/>
              <w:right w:val="nil"/>
            </w:tcBorders>
            <w:shd w:val="clear" w:color="000000" w:fill="FFFFFF"/>
            <w:noWrap/>
            <w:vAlign w:val="center"/>
            <w:hideMark/>
          </w:tcPr>
          <w:p w14:paraId="5DDED563" w14:textId="77777777" w:rsidR="00732928" w:rsidRPr="00732928" w:rsidRDefault="00732928" w:rsidP="00732928">
            <w:pPr>
              <w:jc w:val="center"/>
              <w:rPr>
                <w:rFonts w:eastAsia="Times New Roman"/>
                <w:b/>
                <w:bCs/>
                <w:color w:val="000000"/>
                <w:sz w:val="18"/>
                <w:szCs w:val="18"/>
              </w:rPr>
            </w:pPr>
            <w:r w:rsidRPr="00732928">
              <w:rPr>
                <w:rFonts w:eastAsia="Times New Roman"/>
                <w:b/>
                <w:bCs/>
                <w:color w:val="000000"/>
                <w:sz w:val="18"/>
                <w:szCs w:val="18"/>
              </w:rPr>
              <w:t>Mean</w:t>
            </w:r>
          </w:p>
        </w:tc>
        <w:tc>
          <w:tcPr>
            <w:tcW w:w="261" w:type="dxa"/>
            <w:tcBorders>
              <w:top w:val="nil"/>
              <w:left w:val="nil"/>
              <w:bottom w:val="nil"/>
              <w:right w:val="nil"/>
            </w:tcBorders>
            <w:shd w:val="clear" w:color="000000" w:fill="FFFFFF"/>
            <w:noWrap/>
            <w:vAlign w:val="bottom"/>
            <w:hideMark/>
          </w:tcPr>
          <w:p w14:paraId="48AD13E0"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single" w:sz="4" w:space="0" w:color="auto"/>
              <w:right w:val="nil"/>
            </w:tcBorders>
            <w:shd w:val="clear" w:color="000000" w:fill="FFFFFF"/>
            <w:noWrap/>
            <w:vAlign w:val="center"/>
            <w:hideMark/>
          </w:tcPr>
          <w:p w14:paraId="32E05B35" w14:textId="77777777" w:rsidR="00732928" w:rsidRPr="00732928" w:rsidRDefault="00732928" w:rsidP="00732928">
            <w:pPr>
              <w:jc w:val="center"/>
              <w:rPr>
                <w:rFonts w:eastAsia="Times New Roman"/>
                <w:b/>
                <w:bCs/>
                <w:color w:val="000000"/>
                <w:sz w:val="18"/>
                <w:szCs w:val="18"/>
              </w:rPr>
            </w:pPr>
            <w:r w:rsidRPr="00732928">
              <w:rPr>
                <w:rFonts w:eastAsia="Times New Roman"/>
                <w:b/>
                <w:bCs/>
                <w:color w:val="000000"/>
                <w:sz w:val="18"/>
                <w:szCs w:val="18"/>
              </w:rPr>
              <w:t>STD</w:t>
            </w:r>
          </w:p>
        </w:tc>
        <w:tc>
          <w:tcPr>
            <w:tcW w:w="261" w:type="dxa"/>
            <w:tcBorders>
              <w:top w:val="nil"/>
              <w:left w:val="nil"/>
              <w:bottom w:val="nil"/>
              <w:right w:val="nil"/>
            </w:tcBorders>
            <w:shd w:val="clear" w:color="000000" w:fill="FFFFFF"/>
            <w:noWrap/>
            <w:vAlign w:val="bottom"/>
            <w:hideMark/>
          </w:tcPr>
          <w:p w14:paraId="6417CA22"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single" w:sz="4" w:space="0" w:color="auto"/>
              <w:right w:val="nil"/>
            </w:tcBorders>
            <w:shd w:val="clear" w:color="000000" w:fill="FFFFFF"/>
            <w:noWrap/>
            <w:vAlign w:val="center"/>
            <w:hideMark/>
          </w:tcPr>
          <w:p w14:paraId="7FB257EF" w14:textId="77777777" w:rsidR="00732928" w:rsidRPr="00732928" w:rsidRDefault="00732928" w:rsidP="00732928">
            <w:pPr>
              <w:jc w:val="center"/>
              <w:rPr>
                <w:rFonts w:eastAsia="Times New Roman"/>
                <w:b/>
                <w:bCs/>
                <w:color w:val="000000"/>
                <w:sz w:val="18"/>
                <w:szCs w:val="18"/>
              </w:rPr>
            </w:pPr>
            <w:r w:rsidRPr="00732928">
              <w:rPr>
                <w:rFonts w:eastAsia="Times New Roman"/>
                <w:b/>
                <w:bCs/>
                <w:color w:val="000000"/>
                <w:sz w:val="18"/>
                <w:szCs w:val="18"/>
              </w:rPr>
              <w:t>p1</w:t>
            </w:r>
          </w:p>
        </w:tc>
        <w:tc>
          <w:tcPr>
            <w:tcW w:w="261" w:type="dxa"/>
            <w:tcBorders>
              <w:top w:val="nil"/>
              <w:left w:val="nil"/>
              <w:bottom w:val="nil"/>
              <w:right w:val="nil"/>
            </w:tcBorders>
            <w:shd w:val="clear" w:color="000000" w:fill="FFFFFF"/>
            <w:noWrap/>
            <w:vAlign w:val="bottom"/>
            <w:hideMark/>
          </w:tcPr>
          <w:p w14:paraId="77E4670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single" w:sz="4" w:space="0" w:color="auto"/>
              <w:right w:val="nil"/>
            </w:tcBorders>
            <w:shd w:val="clear" w:color="000000" w:fill="FFFFFF"/>
            <w:noWrap/>
            <w:vAlign w:val="center"/>
            <w:hideMark/>
          </w:tcPr>
          <w:p w14:paraId="105082E2" w14:textId="77777777" w:rsidR="00732928" w:rsidRPr="00732928" w:rsidRDefault="00732928" w:rsidP="00732928">
            <w:pPr>
              <w:jc w:val="center"/>
              <w:rPr>
                <w:rFonts w:eastAsia="Times New Roman"/>
                <w:b/>
                <w:bCs/>
                <w:color w:val="000000"/>
                <w:sz w:val="18"/>
                <w:szCs w:val="18"/>
              </w:rPr>
            </w:pPr>
            <w:r w:rsidRPr="00732928">
              <w:rPr>
                <w:rFonts w:eastAsia="Times New Roman"/>
                <w:b/>
                <w:bCs/>
                <w:color w:val="000000"/>
                <w:sz w:val="18"/>
                <w:szCs w:val="18"/>
              </w:rPr>
              <w:t>Median</w:t>
            </w:r>
          </w:p>
        </w:tc>
        <w:tc>
          <w:tcPr>
            <w:tcW w:w="261" w:type="dxa"/>
            <w:tcBorders>
              <w:top w:val="nil"/>
              <w:left w:val="nil"/>
              <w:bottom w:val="nil"/>
              <w:right w:val="nil"/>
            </w:tcBorders>
            <w:shd w:val="clear" w:color="000000" w:fill="FFFFFF"/>
            <w:noWrap/>
            <w:vAlign w:val="bottom"/>
            <w:hideMark/>
          </w:tcPr>
          <w:p w14:paraId="7BB9D2C4"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single" w:sz="4" w:space="0" w:color="auto"/>
              <w:right w:val="nil"/>
            </w:tcBorders>
            <w:shd w:val="clear" w:color="000000" w:fill="FFFFFF"/>
            <w:noWrap/>
            <w:vAlign w:val="center"/>
            <w:hideMark/>
          </w:tcPr>
          <w:p w14:paraId="22D7B206" w14:textId="77777777" w:rsidR="00732928" w:rsidRPr="00732928" w:rsidRDefault="00732928" w:rsidP="00732928">
            <w:pPr>
              <w:jc w:val="center"/>
              <w:rPr>
                <w:rFonts w:eastAsia="Times New Roman"/>
                <w:b/>
                <w:bCs/>
                <w:color w:val="000000"/>
                <w:sz w:val="18"/>
                <w:szCs w:val="18"/>
              </w:rPr>
            </w:pPr>
            <w:r w:rsidRPr="00732928">
              <w:rPr>
                <w:rFonts w:eastAsia="Times New Roman"/>
                <w:b/>
                <w:bCs/>
                <w:color w:val="000000"/>
                <w:sz w:val="18"/>
                <w:szCs w:val="18"/>
              </w:rPr>
              <w:t>p99</w:t>
            </w:r>
          </w:p>
        </w:tc>
        <w:tc>
          <w:tcPr>
            <w:tcW w:w="266" w:type="dxa"/>
            <w:tcBorders>
              <w:top w:val="nil"/>
              <w:left w:val="nil"/>
              <w:bottom w:val="nil"/>
              <w:right w:val="nil"/>
            </w:tcBorders>
            <w:shd w:val="clear" w:color="000000" w:fill="FFFFFF"/>
            <w:noWrap/>
            <w:vAlign w:val="bottom"/>
            <w:hideMark/>
          </w:tcPr>
          <w:p w14:paraId="47D55DB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single" w:sz="4" w:space="0" w:color="auto"/>
              <w:right w:val="nil"/>
            </w:tcBorders>
            <w:shd w:val="clear" w:color="000000" w:fill="FFFFFF"/>
            <w:noWrap/>
            <w:vAlign w:val="center"/>
            <w:hideMark/>
          </w:tcPr>
          <w:p w14:paraId="5F79A8B2" w14:textId="77777777" w:rsidR="00732928" w:rsidRPr="00732928" w:rsidRDefault="00732928" w:rsidP="00732928">
            <w:pPr>
              <w:jc w:val="center"/>
              <w:rPr>
                <w:rFonts w:eastAsia="Times New Roman"/>
                <w:b/>
                <w:bCs/>
                <w:color w:val="000000"/>
                <w:sz w:val="18"/>
                <w:szCs w:val="18"/>
              </w:rPr>
            </w:pPr>
            <w:r w:rsidRPr="00732928">
              <w:rPr>
                <w:rFonts w:eastAsia="Times New Roman"/>
                <w:b/>
                <w:bCs/>
                <w:color w:val="000000"/>
                <w:sz w:val="18"/>
                <w:szCs w:val="18"/>
              </w:rPr>
              <w:t>Mean</w:t>
            </w:r>
          </w:p>
        </w:tc>
        <w:tc>
          <w:tcPr>
            <w:tcW w:w="261" w:type="dxa"/>
            <w:tcBorders>
              <w:top w:val="nil"/>
              <w:left w:val="nil"/>
              <w:bottom w:val="nil"/>
              <w:right w:val="nil"/>
            </w:tcBorders>
            <w:shd w:val="clear" w:color="000000" w:fill="FFFFFF"/>
            <w:noWrap/>
            <w:vAlign w:val="bottom"/>
            <w:hideMark/>
          </w:tcPr>
          <w:p w14:paraId="5949A5BB"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single" w:sz="4" w:space="0" w:color="auto"/>
              <w:right w:val="nil"/>
            </w:tcBorders>
            <w:shd w:val="clear" w:color="000000" w:fill="FFFFFF"/>
            <w:noWrap/>
            <w:vAlign w:val="center"/>
            <w:hideMark/>
          </w:tcPr>
          <w:p w14:paraId="7967D471" w14:textId="77777777" w:rsidR="00732928" w:rsidRPr="00732928" w:rsidRDefault="00732928" w:rsidP="00732928">
            <w:pPr>
              <w:jc w:val="center"/>
              <w:rPr>
                <w:rFonts w:eastAsia="Times New Roman"/>
                <w:b/>
                <w:bCs/>
                <w:color w:val="000000"/>
                <w:sz w:val="18"/>
                <w:szCs w:val="18"/>
              </w:rPr>
            </w:pPr>
            <w:r w:rsidRPr="00732928">
              <w:rPr>
                <w:rFonts w:eastAsia="Times New Roman"/>
                <w:b/>
                <w:bCs/>
                <w:color w:val="000000"/>
                <w:sz w:val="18"/>
                <w:szCs w:val="18"/>
              </w:rPr>
              <w:t>STD</w:t>
            </w:r>
          </w:p>
        </w:tc>
        <w:tc>
          <w:tcPr>
            <w:tcW w:w="261" w:type="dxa"/>
            <w:tcBorders>
              <w:top w:val="nil"/>
              <w:left w:val="nil"/>
              <w:bottom w:val="nil"/>
              <w:right w:val="nil"/>
            </w:tcBorders>
            <w:shd w:val="clear" w:color="000000" w:fill="FFFFFF"/>
            <w:noWrap/>
            <w:vAlign w:val="bottom"/>
            <w:hideMark/>
          </w:tcPr>
          <w:p w14:paraId="1F4DE744"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single" w:sz="4" w:space="0" w:color="auto"/>
              <w:right w:val="nil"/>
            </w:tcBorders>
            <w:shd w:val="clear" w:color="000000" w:fill="FFFFFF"/>
            <w:noWrap/>
            <w:vAlign w:val="center"/>
            <w:hideMark/>
          </w:tcPr>
          <w:p w14:paraId="0AADEB0E" w14:textId="77777777" w:rsidR="00732928" w:rsidRPr="00732928" w:rsidRDefault="00732928" w:rsidP="00732928">
            <w:pPr>
              <w:jc w:val="center"/>
              <w:rPr>
                <w:rFonts w:eastAsia="Times New Roman"/>
                <w:b/>
                <w:bCs/>
                <w:color w:val="000000"/>
                <w:sz w:val="18"/>
                <w:szCs w:val="18"/>
              </w:rPr>
            </w:pPr>
            <w:r w:rsidRPr="00732928">
              <w:rPr>
                <w:rFonts w:eastAsia="Times New Roman"/>
                <w:b/>
                <w:bCs/>
                <w:color w:val="000000"/>
                <w:sz w:val="18"/>
                <w:szCs w:val="18"/>
              </w:rPr>
              <w:t>p1</w:t>
            </w:r>
          </w:p>
        </w:tc>
        <w:tc>
          <w:tcPr>
            <w:tcW w:w="261" w:type="dxa"/>
            <w:tcBorders>
              <w:top w:val="nil"/>
              <w:left w:val="nil"/>
              <w:bottom w:val="nil"/>
              <w:right w:val="nil"/>
            </w:tcBorders>
            <w:shd w:val="clear" w:color="000000" w:fill="FFFFFF"/>
            <w:noWrap/>
            <w:vAlign w:val="bottom"/>
            <w:hideMark/>
          </w:tcPr>
          <w:p w14:paraId="4D1F3946"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single" w:sz="4" w:space="0" w:color="auto"/>
              <w:right w:val="nil"/>
            </w:tcBorders>
            <w:shd w:val="clear" w:color="000000" w:fill="FFFFFF"/>
            <w:noWrap/>
            <w:vAlign w:val="center"/>
            <w:hideMark/>
          </w:tcPr>
          <w:p w14:paraId="41E50D51" w14:textId="77777777" w:rsidR="00732928" w:rsidRPr="00732928" w:rsidRDefault="00732928" w:rsidP="00732928">
            <w:pPr>
              <w:jc w:val="center"/>
              <w:rPr>
                <w:rFonts w:eastAsia="Times New Roman"/>
                <w:b/>
                <w:bCs/>
                <w:color w:val="000000"/>
                <w:sz w:val="18"/>
                <w:szCs w:val="18"/>
              </w:rPr>
            </w:pPr>
            <w:r w:rsidRPr="00732928">
              <w:rPr>
                <w:rFonts w:eastAsia="Times New Roman"/>
                <w:b/>
                <w:bCs/>
                <w:color w:val="000000"/>
                <w:sz w:val="18"/>
                <w:szCs w:val="18"/>
              </w:rPr>
              <w:t>Median</w:t>
            </w:r>
          </w:p>
        </w:tc>
        <w:tc>
          <w:tcPr>
            <w:tcW w:w="261" w:type="dxa"/>
            <w:tcBorders>
              <w:top w:val="nil"/>
              <w:left w:val="nil"/>
              <w:bottom w:val="nil"/>
              <w:right w:val="nil"/>
            </w:tcBorders>
            <w:shd w:val="clear" w:color="000000" w:fill="FFFFFF"/>
            <w:noWrap/>
            <w:vAlign w:val="bottom"/>
            <w:hideMark/>
          </w:tcPr>
          <w:p w14:paraId="0B3CC2EE"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single" w:sz="4" w:space="0" w:color="auto"/>
              <w:right w:val="nil"/>
            </w:tcBorders>
            <w:shd w:val="clear" w:color="000000" w:fill="FFFFFF"/>
            <w:noWrap/>
            <w:vAlign w:val="center"/>
            <w:hideMark/>
          </w:tcPr>
          <w:p w14:paraId="350EEA85" w14:textId="77777777" w:rsidR="00732928" w:rsidRPr="00732928" w:rsidRDefault="00732928" w:rsidP="00732928">
            <w:pPr>
              <w:jc w:val="center"/>
              <w:rPr>
                <w:rFonts w:eastAsia="Times New Roman"/>
                <w:b/>
                <w:bCs/>
                <w:color w:val="000000"/>
                <w:sz w:val="18"/>
                <w:szCs w:val="18"/>
              </w:rPr>
            </w:pPr>
            <w:r w:rsidRPr="00732928">
              <w:rPr>
                <w:rFonts w:eastAsia="Times New Roman"/>
                <w:b/>
                <w:bCs/>
                <w:color w:val="000000"/>
                <w:sz w:val="18"/>
                <w:szCs w:val="18"/>
              </w:rPr>
              <w:t>p99</w:t>
            </w:r>
          </w:p>
        </w:tc>
        <w:tc>
          <w:tcPr>
            <w:tcW w:w="266" w:type="dxa"/>
            <w:tcBorders>
              <w:top w:val="nil"/>
              <w:left w:val="nil"/>
              <w:bottom w:val="nil"/>
              <w:right w:val="nil"/>
            </w:tcBorders>
            <w:shd w:val="clear" w:color="000000" w:fill="FFFFFF"/>
            <w:noWrap/>
            <w:vAlign w:val="bottom"/>
            <w:hideMark/>
          </w:tcPr>
          <w:p w14:paraId="1847C3CA"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single" w:sz="4" w:space="0" w:color="000000"/>
              <w:right w:val="nil"/>
            </w:tcBorders>
            <w:vAlign w:val="center"/>
            <w:hideMark/>
          </w:tcPr>
          <w:p w14:paraId="142EDD33" w14:textId="77777777" w:rsidR="00732928" w:rsidRPr="00732928" w:rsidRDefault="00732928" w:rsidP="00732928">
            <w:pPr>
              <w:rPr>
                <w:rFonts w:eastAsia="Times New Roman"/>
                <w:b/>
                <w:bCs/>
                <w:color w:val="000000"/>
                <w:sz w:val="18"/>
                <w:szCs w:val="18"/>
              </w:rPr>
            </w:pPr>
          </w:p>
        </w:tc>
      </w:tr>
      <w:tr w:rsidR="00732928" w:rsidRPr="00732928" w14:paraId="16025105" w14:textId="77777777" w:rsidTr="00732928">
        <w:trPr>
          <w:trHeight w:val="290"/>
        </w:trPr>
        <w:tc>
          <w:tcPr>
            <w:tcW w:w="1985" w:type="dxa"/>
            <w:tcBorders>
              <w:top w:val="nil"/>
              <w:left w:val="nil"/>
              <w:bottom w:val="nil"/>
              <w:right w:val="nil"/>
            </w:tcBorders>
            <w:shd w:val="clear" w:color="000000" w:fill="FFFFFF"/>
            <w:noWrap/>
            <w:vAlign w:val="bottom"/>
            <w:hideMark/>
          </w:tcPr>
          <w:p w14:paraId="4C24CD25"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Duration</w:t>
            </w:r>
          </w:p>
        </w:tc>
        <w:tc>
          <w:tcPr>
            <w:tcW w:w="261" w:type="dxa"/>
            <w:tcBorders>
              <w:top w:val="nil"/>
              <w:left w:val="nil"/>
              <w:bottom w:val="nil"/>
              <w:right w:val="nil"/>
            </w:tcBorders>
            <w:shd w:val="clear" w:color="000000" w:fill="FFFFFF"/>
            <w:noWrap/>
            <w:vAlign w:val="bottom"/>
            <w:hideMark/>
          </w:tcPr>
          <w:p w14:paraId="3ADEEEFD"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942" w:type="dxa"/>
            <w:tcBorders>
              <w:top w:val="nil"/>
              <w:left w:val="nil"/>
              <w:bottom w:val="nil"/>
              <w:right w:val="nil"/>
            </w:tcBorders>
            <w:shd w:val="clear" w:color="000000" w:fill="FFFFFF"/>
            <w:noWrap/>
            <w:vAlign w:val="center"/>
            <w:hideMark/>
          </w:tcPr>
          <w:p w14:paraId="158344F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102.98</w:t>
            </w:r>
          </w:p>
        </w:tc>
        <w:tc>
          <w:tcPr>
            <w:tcW w:w="261" w:type="dxa"/>
            <w:tcBorders>
              <w:top w:val="nil"/>
              <w:left w:val="nil"/>
              <w:bottom w:val="nil"/>
              <w:right w:val="nil"/>
            </w:tcBorders>
            <w:shd w:val="clear" w:color="000000" w:fill="FFFFFF"/>
            <w:noWrap/>
            <w:vAlign w:val="bottom"/>
            <w:hideMark/>
          </w:tcPr>
          <w:p w14:paraId="67FA7905"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0F01B03A"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100.23</w:t>
            </w:r>
          </w:p>
        </w:tc>
        <w:tc>
          <w:tcPr>
            <w:tcW w:w="261" w:type="dxa"/>
            <w:tcBorders>
              <w:top w:val="nil"/>
              <w:left w:val="nil"/>
              <w:bottom w:val="nil"/>
              <w:right w:val="nil"/>
            </w:tcBorders>
            <w:shd w:val="clear" w:color="000000" w:fill="FFFFFF"/>
            <w:noWrap/>
            <w:vAlign w:val="bottom"/>
            <w:hideMark/>
          </w:tcPr>
          <w:p w14:paraId="4ED25AC4"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76F0E5C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23</w:t>
            </w:r>
          </w:p>
        </w:tc>
        <w:tc>
          <w:tcPr>
            <w:tcW w:w="261" w:type="dxa"/>
            <w:tcBorders>
              <w:top w:val="nil"/>
              <w:left w:val="nil"/>
              <w:bottom w:val="nil"/>
              <w:right w:val="nil"/>
            </w:tcBorders>
            <w:shd w:val="clear" w:color="000000" w:fill="FFFFFF"/>
            <w:noWrap/>
            <w:vAlign w:val="bottom"/>
            <w:hideMark/>
          </w:tcPr>
          <w:p w14:paraId="12AC9FB9"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0378432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75</w:t>
            </w:r>
          </w:p>
        </w:tc>
        <w:tc>
          <w:tcPr>
            <w:tcW w:w="261" w:type="dxa"/>
            <w:tcBorders>
              <w:top w:val="nil"/>
              <w:left w:val="nil"/>
              <w:bottom w:val="nil"/>
              <w:right w:val="nil"/>
            </w:tcBorders>
            <w:shd w:val="clear" w:color="000000" w:fill="FFFFFF"/>
            <w:noWrap/>
            <w:vAlign w:val="bottom"/>
            <w:hideMark/>
          </w:tcPr>
          <w:p w14:paraId="37B57C9F"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487ABBD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581</w:t>
            </w:r>
          </w:p>
        </w:tc>
        <w:tc>
          <w:tcPr>
            <w:tcW w:w="266" w:type="dxa"/>
            <w:tcBorders>
              <w:top w:val="nil"/>
              <w:left w:val="nil"/>
              <w:bottom w:val="nil"/>
              <w:right w:val="nil"/>
            </w:tcBorders>
            <w:shd w:val="clear" w:color="000000" w:fill="FFFFFF"/>
            <w:noWrap/>
            <w:vAlign w:val="bottom"/>
            <w:hideMark/>
          </w:tcPr>
          <w:p w14:paraId="278556BD"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415D618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103.45</w:t>
            </w:r>
          </w:p>
        </w:tc>
        <w:tc>
          <w:tcPr>
            <w:tcW w:w="261" w:type="dxa"/>
            <w:tcBorders>
              <w:top w:val="nil"/>
              <w:left w:val="nil"/>
              <w:bottom w:val="nil"/>
              <w:right w:val="nil"/>
            </w:tcBorders>
            <w:shd w:val="clear" w:color="000000" w:fill="FFFFFF"/>
            <w:noWrap/>
            <w:vAlign w:val="bottom"/>
            <w:hideMark/>
          </w:tcPr>
          <w:p w14:paraId="367291B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644C087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93.24</w:t>
            </w:r>
          </w:p>
        </w:tc>
        <w:tc>
          <w:tcPr>
            <w:tcW w:w="261" w:type="dxa"/>
            <w:tcBorders>
              <w:top w:val="nil"/>
              <w:left w:val="nil"/>
              <w:bottom w:val="nil"/>
              <w:right w:val="nil"/>
            </w:tcBorders>
            <w:shd w:val="clear" w:color="000000" w:fill="FFFFFF"/>
            <w:noWrap/>
            <w:vAlign w:val="bottom"/>
            <w:hideMark/>
          </w:tcPr>
          <w:p w14:paraId="53EEB7C4"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080CCCE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25</w:t>
            </w:r>
          </w:p>
        </w:tc>
        <w:tc>
          <w:tcPr>
            <w:tcW w:w="261" w:type="dxa"/>
            <w:tcBorders>
              <w:top w:val="nil"/>
              <w:left w:val="nil"/>
              <w:bottom w:val="nil"/>
              <w:right w:val="nil"/>
            </w:tcBorders>
            <w:shd w:val="clear" w:color="000000" w:fill="FFFFFF"/>
            <w:noWrap/>
            <w:vAlign w:val="bottom"/>
            <w:hideMark/>
          </w:tcPr>
          <w:p w14:paraId="6E1E30BB"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17405C3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88</w:t>
            </w:r>
          </w:p>
        </w:tc>
        <w:tc>
          <w:tcPr>
            <w:tcW w:w="261" w:type="dxa"/>
            <w:tcBorders>
              <w:top w:val="nil"/>
              <w:left w:val="nil"/>
              <w:bottom w:val="nil"/>
              <w:right w:val="nil"/>
            </w:tcBorders>
            <w:shd w:val="clear" w:color="000000" w:fill="FFFFFF"/>
            <w:noWrap/>
            <w:vAlign w:val="bottom"/>
            <w:hideMark/>
          </w:tcPr>
          <w:p w14:paraId="1B1E5B36"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769DE70D"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504</w:t>
            </w:r>
          </w:p>
        </w:tc>
        <w:tc>
          <w:tcPr>
            <w:tcW w:w="266" w:type="dxa"/>
            <w:tcBorders>
              <w:top w:val="nil"/>
              <w:left w:val="nil"/>
              <w:bottom w:val="nil"/>
              <w:right w:val="nil"/>
            </w:tcBorders>
            <w:shd w:val="clear" w:color="000000" w:fill="FFFFFF"/>
            <w:noWrap/>
            <w:vAlign w:val="bottom"/>
            <w:hideMark/>
          </w:tcPr>
          <w:p w14:paraId="22B5E605"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vAlign w:val="center"/>
            <w:hideMark/>
          </w:tcPr>
          <w:p w14:paraId="374610E1"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-0.47</w:t>
            </w:r>
          </w:p>
        </w:tc>
      </w:tr>
      <w:tr w:rsidR="00732928" w:rsidRPr="00732928" w14:paraId="24FB8F59" w14:textId="77777777" w:rsidTr="00732928">
        <w:trPr>
          <w:trHeight w:val="290"/>
        </w:trPr>
        <w:tc>
          <w:tcPr>
            <w:tcW w:w="1985" w:type="dxa"/>
            <w:tcBorders>
              <w:top w:val="nil"/>
              <w:left w:val="nil"/>
              <w:bottom w:val="nil"/>
              <w:right w:val="nil"/>
            </w:tcBorders>
            <w:shd w:val="clear" w:color="000000" w:fill="FFFFFF"/>
            <w:noWrap/>
            <w:vAlign w:val="bottom"/>
            <w:hideMark/>
          </w:tcPr>
          <w:p w14:paraId="71EAF904"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#Letters</w:t>
            </w:r>
          </w:p>
        </w:tc>
        <w:tc>
          <w:tcPr>
            <w:tcW w:w="261" w:type="dxa"/>
            <w:tcBorders>
              <w:top w:val="nil"/>
              <w:left w:val="nil"/>
              <w:bottom w:val="nil"/>
              <w:right w:val="nil"/>
            </w:tcBorders>
            <w:shd w:val="clear" w:color="000000" w:fill="FFFFFF"/>
            <w:noWrap/>
            <w:vAlign w:val="bottom"/>
            <w:hideMark/>
          </w:tcPr>
          <w:p w14:paraId="5E60043D"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942" w:type="dxa"/>
            <w:tcBorders>
              <w:top w:val="nil"/>
              <w:left w:val="nil"/>
              <w:bottom w:val="nil"/>
              <w:right w:val="nil"/>
            </w:tcBorders>
            <w:shd w:val="clear" w:color="000000" w:fill="FFFFFF"/>
            <w:noWrap/>
            <w:vAlign w:val="center"/>
            <w:hideMark/>
          </w:tcPr>
          <w:p w14:paraId="248F86A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2.23</w:t>
            </w:r>
          </w:p>
        </w:tc>
        <w:tc>
          <w:tcPr>
            <w:tcW w:w="261" w:type="dxa"/>
            <w:tcBorders>
              <w:top w:val="nil"/>
              <w:left w:val="nil"/>
              <w:bottom w:val="nil"/>
              <w:right w:val="nil"/>
            </w:tcBorders>
            <w:shd w:val="clear" w:color="000000" w:fill="FFFFFF"/>
            <w:noWrap/>
            <w:vAlign w:val="bottom"/>
            <w:hideMark/>
          </w:tcPr>
          <w:p w14:paraId="312E97FB"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638938B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1.95</w:t>
            </w:r>
          </w:p>
        </w:tc>
        <w:tc>
          <w:tcPr>
            <w:tcW w:w="261" w:type="dxa"/>
            <w:tcBorders>
              <w:top w:val="nil"/>
              <w:left w:val="nil"/>
              <w:bottom w:val="nil"/>
              <w:right w:val="nil"/>
            </w:tcBorders>
            <w:shd w:val="clear" w:color="000000" w:fill="FFFFFF"/>
            <w:noWrap/>
            <w:vAlign w:val="bottom"/>
            <w:hideMark/>
          </w:tcPr>
          <w:p w14:paraId="2250ED9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15B6928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1820A12F"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36D454E0"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w:t>
            </w:r>
          </w:p>
        </w:tc>
        <w:tc>
          <w:tcPr>
            <w:tcW w:w="261" w:type="dxa"/>
            <w:tcBorders>
              <w:top w:val="nil"/>
              <w:left w:val="nil"/>
              <w:bottom w:val="nil"/>
              <w:right w:val="nil"/>
            </w:tcBorders>
            <w:shd w:val="clear" w:color="000000" w:fill="FFFFFF"/>
            <w:noWrap/>
            <w:vAlign w:val="bottom"/>
            <w:hideMark/>
          </w:tcPr>
          <w:p w14:paraId="0AC8F630"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5A9936A0"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9</w:t>
            </w:r>
          </w:p>
        </w:tc>
        <w:tc>
          <w:tcPr>
            <w:tcW w:w="266" w:type="dxa"/>
            <w:tcBorders>
              <w:top w:val="nil"/>
              <w:left w:val="nil"/>
              <w:bottom w:val="nil"/>
              <w:right w:val="nil"/>
            </w:tcBorders>
            <w:shd w:val="clear" w:color="000000" w:fill="FFFFFF"/>
            <w:noWrap/>
            <w:vAlign w:val="bottom"/>
            <w:hideMark/>
          </w:tcPr>
          <w:p w14:paraId="42D171E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780B028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2.68</w:t>
            </w:r>
          </w:p>
        </w:tc>
        <w:tc>
          <w:tcPr>
            <w:tcW w:w="261" w:type="dxa"/>
            <w:tcBorders>
              <w:top w:val="nil"/>
              <w:left w:val="nil"/>
              <w:bottom w:val="nil"/>
              <w:right w:val="nil"/>
            </w:tcBorders>
            <w:shd w:val="clear" w:color="000000" w:fill="FFFFFF"/>
            <w:noWrap/>
            <w:vAlign w:val="bottom"/>
            <w:hideMark/>
          </w:tcPr>
          <w:p w14:paraId="596CF8EA"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44961D3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1.93</w:t>
            </w:r>
          </w:p>
        </w:tc>
        <w:tc>
          <w:tcPr>
            <w:tcW w:w="261" w:type="dxa"/>
            <w:tcBorders>
              <w:top w:val="nil"/>
              <w:left w:val="nil"/>
              <w:bottom w:val="nil"/>
              <w:right w:val="nil"/>
            </w:tcBorders>
            <w:shd w:val="clear" w:color="000000" w:fill="FFFFFF"/>
            <w:noWrap/>
            <w:vAlign w:val="bottom"/>
            <w:hideMark/>
          </w:tcPr>
          <w:p w14:paraId="4DEBE2FB"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6D6F97C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6D1E1936"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36BA12BF"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3</w:t>
            </w:r>
          </w:p>
        </w:tc>
        <w:tc>
          <w:tcPr>
            <w:tcW w:w="261" w:type="dxa"/>
            <w:tcBorders>
              <w:top w:val="nil"/>
              <w:left w:val="nil"/>
              <w:bottom w:val="nil"/>
              <w:right w:val="nil"/>
            </w:tcBorders>
            <w:shd w:val="clear" w:color="000000" w:fill="FFFFFF"/>
            <w:noWrap/>
            <w:vAlign w:val="bottom"/>
            <w:hideMark/>
          </w:tcPr>
          <w:p w14:paraId="1B6DF30B"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6411B5AD"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8</w:t>
            </w:r>
          </w:p>
        </w:tc>
        <w:tc>
          <w:tcPr>
            <w:tcW w:w="266" w:type="dxa"/>
            <w:tcBorders>
              <w:top w:val="nil"/>
              <w:left w:val="nil"/>
              <w:bottom w:val="nil"/>
              <w:right w:val="nil"/>
            </w:tcBorders>
            <w:shd w:val="clear" w:color="000000" w:fill="FFFFFF"/>
            <w:noWrap/>
            <w:vAlign w:val="bottom"/>
            <w:hideMark/>
          </w:tcPr>
          <w:p w14:paraId="16738F08"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vAlign w:val="center"/>
            <w:hideMark/>
          </w:tcPr>
          <w:p w14:paraId="6A42EFEF"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-0.45***</w:t>
            </w:r>
          </w:p>
        </w:tc>
      </w:tr>
      <w:tr w:rsidR="00732928" w:rsidRPr="00732928" w14:paraId="26796B5C" w14:textId="77777777" w:rsidTr="00732928">
        <w:trPr>
          <w:trHeight w:val="290"/>
        </w:trPr>
        <w:tc>
          <w:tcPr>
            <w:tcW w:w="1985" w:type="dxa"/>
            <w:tcBorders>
              <w:top w:val="nil"/>
              <w:left w:val="nil"/>
              <w:bottom w:val="nil"/>
              <w:right w:val="nil"/>
            </w:tcBorders>
            <w:shd w:val="clear" w:color="000000" w:fill="FFFFFF"/>
            <w:noWrap/>
            <w:vAlign w:val="bottom"/>
            <w:hideMark/>
          </w:tcPr>
          <w:p w14:paraId="61B715E8"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#Comments</w:t>
            </w:r>
          </w:p>
        </w:tc>
        <w:tc>
          <w:tcPr>
            <w:tcW w:w="261" w:type="dxa"/>
            <w:tcBorders>
              <w:top w:val="nil"/>
              <w:left w:val="nil"/>
              <w:bottom w:val="nil"/>
              <w:right w:val="nil"/>
            </w:tcBorders>
            <w:shd w:val="clear" w:color="000000" w:fill="FFFFFF"/>
            <w:noWrap/>
            <w:vAlign w:val="bottom"/>
            <w:hideMark/>
          </w:tcPr>
          <w:p w14:paraId="47D0578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942" w:type="dxa"/>
            <w:tcBorders>
              <w:top w:val="nil"/>
              <w:left w:val="nil"/>
              <w:bottom w:val="nil"/>
              <w:right w:val="nil"/>
            </w:tcBorders>
            <w:shd w:val="clear" w:color="000000" w:fill="FFFFFF"/>
            <w:noWrap/>
            <w:vAlign w:val="center"/>
            <w:hideMark/>
          </w:tcPr>
          <w:p w14:paraId="1EBB6FC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16.14</w:t>
            </w:r>
          </w:p>
        </w:tc>
        <w:tc>
          <w:tcPr>
            <w:tcW w:w="261" w:type="dxa"/>
            <w:tcBorders>
              <w:top w:val="nil"/>
              <w:left w:val="nil"/>
              <w:bottom w:val="nil"/>
              <w:right w:val="nil"/>
            </w:tcBorders>
            <w:shd w:val="clear" w:color="000000" w:fill="FFFFFF"/>
            <w:noWrap/>
            <w:vAlign w:val="bottom"/>
            <w:hideMark/>
          </w:tcPr>
          <w:p w14:paraId="17BBD793"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1C49D14F"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23.28</w:t>
            </w:r>
          </w:p>
        </w:tc>
        <w:tc>
          <w:tcPr>
            <w:tcW w:w="261" w:type="dxa"/>
            <w:tcBorders>
              <w:top w:val="nil"/>
              <w:left w:val="nil"/>
              <w:bottom w:val="nil"/>
              <w:right w:val="nil"/>
            </w:tcBorders>
            <w:shd w:val="clear" w:color="000000" w:fill="FFFFFF"/>
            <w:noWrap/>
            <w:vAlign w:val="bottom"/>
            <w:hideMark/>
          </w:tcPr>
          <w:p w14:paraId="56EF924C"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3FCC5C3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1DFA14A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1DF620E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3</w:t>
            </w:r>
          </w:p>
        </w:tc>
        <w:tc>
          <w:tcPr>
            <w:tcW w:w="261" w:type="dxa"/>
            <w:tcBorders>
              <w:top w:val="nil"/>
              <w:left w:val="nil"/>
              <w:bottom w:val="nil"/>
              <w:right w:val="nil"/>
            </w:tcBorders>
            <w:shd w:val="clear" w:color="000000" w:fill="FFFFFF"/>
            <w:noWrap/>
            <w:vAlign w:val="bottom"/>
            <w:hideMark/>
          </w:tcPr>
          <w:p w14:paraId="06584104"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02C2F1CD"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88</w:t>
            </w:r>
          </w:p>
        </w:tc>
        <w:tc>
          <w:tcPr>
            <w:tcW w:w="266" w:type="dxa"/>
            <w:tcBorders>
              <w:top w:val="nil"/>
              <w:left w:val="nil"/>
              <w:bottom w:val="nil"/>
              <w:right w:val="nil"/>
            </w:tcBorders>
            <w:shd w:val="clear" w:color="000000" w:fill="FFFFFF"/>
            <w:noWrap/>
            <w:vAlign w:val="bottom"/>
            <w:hideMark/>
          </w:tcPr>
          <w:p w14:paraId="0BC2F38F"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51065D4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27.59</w:t>
            </w:r>
          </w:p>
        </w:tc>
        <w:tc>
          <w:tcPr>
            <w:tcW w:w="261" w:type="dxa"/>
            <w:tcBorders>
              <w:top w:val="nil"/>
              <w:left w:val="nil"/>
              <w:bottom w:val="nil"/>
              <w:right w:val="nil"/>
            </w:tcBorders>
            <w:shd w:val="clear" w:color="000000" w:fill="FFFFFF"/>
            <w:noWrap/>
            <w:vAlign w:val="bottom"/>
            <w:hideMark/>
          </w:tcPr>
          <w:p w14:paraId="7C34B988"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0DBE7E0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26.12</w:t>
            </w:r>
          </w:p>
        </w:tc>
        <w:tc>
          <w:tcPr>
            <w:tcW w:w="261" w:type="dxa"/>
            <w:tcBorders>
              <w:top w:val="nil"/>
              <w:left w:val="nil"/>
              <w:bottom w:val="nil"/>
              <w:right w:val="nil"/>
            </w:tcBorders>
            <w:shd w:val="clear" w:color="000000" w:fill="FFFFFF"/>
            <w:noWrap/>
            <w:vAlign w:val="bottom"/>
            <w:hideMark/>
          </w:tcPr>
          <w:p w14:paraId="5FF5DAD6"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75D92D1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27A3B408"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4E3E674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27</w:t>
            </w:r>
          </w:p>
        </w:tc>
        <w:tc>
          <w:tcPr>
            <w:tcW w:w="261" w:type="dxa"/>
            <w:tcBorders>
              <w:top w:val="nil"/>
              <w:left w:val="nil"/>
              <w:bottom w:val="nil"/>
              <w:right w:val="nil"/>
            </w:tcBorders>
            <w:shd w:val="clear" w:color="000000" w:fill="FFFFFF"/>
            <w:noWrap/>
            <w:vAlign w:val="bottom"/>
            <w:hideMark/>
          </w:tcPr>
          <w:p w14:paraId="4B0DF15A"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70F0F79D"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88</w:t>
            </w:r>
          </w:p>
        </w:tc>
        <w:tc>
          <w:tcPr>
            <w:tcW w:w="266" w:type="dxa"/>
            <w:tcBorders>
              <w:top w:val="nil"/>
              <w:left w:val="nil"/>
              <w:bottom w:val="nil"/>
              <w:right w:val="nil"/>
            </w:tcBorders>
            <w:shd w:val="clear" w:color="000000" w:fill="FFFFFF"/>
            <w:noWrap/>
            <w:vAlign w:val="bottom"/>
            <w:hideMark/>
          </w:tcPr>
          <w:p w14:paraId="67582DC8"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vAlign w:val="center"/>
            <w:hideMark/>
          </w:tcPr>
          <w:p w14:paraId="3CE1334A"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-11.45***</w:t>
            </w:r>
          </w:p>
        </w:tc>
      </w:tr>
      <w:tr w:rsidR="00732928" w:rsidRPr="00732928" w14:paraId="52DD592D" w14:textId="77777777" w:rsidTr="00732928">
        <w:trPr>
          <w:trHeight w:val="290"/>
        </w:trPr>
        <w:tc>
          <w:tcPr>
            <w:tcW w:w="1985" w:type="dxa"/>
            <w:tcBorders>
              <w:top w:val="nil"/>
              <w:left w:val="nil"/>
              <w:bottom w:val="nil"/>
              <w:right w:val="nil"/>
            </w:tcBorders>
            <w:shd w:val="clear" w:color="000000" w:fill="FFFFFF"/>
            <w:noWrap/>
            <w:vAlign w:val="bottom"/>
            <w:hideMark/>
          </w:tcPr>
          <w:p w14:paraId="1B187B38"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#Themes</w:t>
            </w:r>
          </w:p>
        </w:tc>
        <w:tc>
          <w:tcPr>
            <w:tcW w:w="261" w:type="dxa"/>
            <w:tcBorders>
              <w:top w:val="nil"/>
              <w:left w:val="nil"/>
              <w:bottom w:val="nil"/>
              <w:right w:val="nil"/>
            </w:tcBorders>
            <w:shd w:val="clear" w:color="000000" w:fill="FFFFFF"/>
            <w:noWrap/>
            <w:vAlign w:val="bottom"/>
            <w:hideMark/>
          </w:tcPr>
          <w:p w14:paraId="153BE22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942" w:type="dxa"/>
            <w:tcBorders>
              <w:top w:val="nil"/>
              <w:left w:val="nil"/>
              <w:bottom w:val="nil"/>
              <w:right w:val="nil"/>
            </w:tcBorders>
            <w:shd w:val="clear" w:color="000000" w:fill="FFFFFF"/>
            <w:noWrap/>
            <w:vAlign w:val="center"/>
            <w:hideMark/>
          </w:tcPr>
          <w:p w14:paraId="356068C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2.65</w:t>
            </w:r>
          </w:p>
        </w:tc>
        <w:tc>
          <w:tcPr>
            <w:tcW w:w="261" w:type="dxa"/>
            <w:tcBorders>
              <w:top w:val="nil"/>
              <w:left w:val="nil"/>
              <w:bottom w:val="nil"/>
              <w:right w:val="nil"/>
            </w:tcBorders>
            <w:shd w:val="clear" w:color="000000" w:fill="FFFFFF"/>
            <w:noWrap/>
            <w:vAlign w:val="bottom"/>
            <w:hideMark/>
          </w:tcPr>
          <w:p w14:paraId="4E9FABD9"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5E9087B6"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2.37</w:t>
            </w:r>
          </w:p>
        </w:tc>
        <w:tc>
          <w:tcPr>
            <w:tcW w:w="261" w:type="dxa"/>
            <w:tcBorders>
              <w:top w:val="nil"/>
              <w:left w:val="nil"/>
              <w:bottom w:val="nil"/>
              <w:right w:val="nil"/>
            </w:tcBorders>
            <w:shd w:val="clear" w:color="000000" w:fill="FFFFFF"/>
            <w:noWrap/>
            <w:vAlign w:val="bottom"/>
            <w:hideMark/>
          </w:tcPr>
          <w:p w14:paraId="69B32FD3"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1A3EA246"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6FE40B2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1A8BD791"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w:t>
            </w:r>
          </w:p>
        </w:tc>
        <w:tc>
          <w:tcPr>
            <w:tcW w:w="261" w:type="dxa"/>
            <w:tcBorders>
              <w:top w:val="nil"/>
              <w:left w:val="nil"/>
              <w:bottom w:val="nil"/>
              <w:right w:val="nil"/>
            </w:tcBorders>
            <w:shd w:val="clear" w:color="000000" w:fill="FFFFFF"/>
            <w:noWrap/>
            <w:vAlign w:val="bottom"/>
            <w:hideMark/>
          </w:tcPr>
          <w:p w14:paraId="01D9A2C8"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1546829D"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7</w:t>
            </w:r>
          </w:p>
        </w:tc>
        <w:tc>
          <w:tcPr>
            <w:tcW w:w="266" w:type="dxa"/>
            <w:tcBorders>
              <w:top w:val="nil"/>
              <w:left w:val="nil"/>
              <w:bottom w:val="nil"/>
              <w:right w:val="nil"/>
            </w:tcBorders>
            <w:shd w:val="clear" w:color="000000" w:fill="FFFFFF"/>
            <w:noWrap/>
            <w:vAlign w:val="bottom"/>
            <w:hideMark/>
          </w:tcPr>
          <w:p w14:paraId="4D0D7E1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19AB9DB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3.50</w:t>
            </w:r>
          </w:p>
        </w:tc>
        <w:tc>
          <w:tcPr>
            <w:tcW w:w="261" w:type="dxa"/>
            <w:tcBorders>
              <w:top w:val="nil"/>
              <w:left w:val="nil"/>
              <w:bottom w:val="nil"/>
              <w:right w:val="nil"/>
            </w:tcBorders>
            <w:shd w:val="clear" w:color="000000" w:fill="FFFFFF"/>
            <w:noWrap/>
            <w:vAlign w:val="bottom"/>
            <w:hideMark/>
          </w:tcPr>
          <w:p w14:paraId="67CE2907"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6B08F08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2.44</w:t>
            </w:r>
          </w:p>
        </w:tc>
        <w:tc>
          <w:tcPr>
            <w:tcW w:w="261" w:type="dxa"/>
            <w:tcBorders>
              <w:top w:val="nil"/>
              <w:left w:val="nil"/>
              <w:bottom w:val="nil"/>
              <w:right w:val="nil"/>
            </w:tcBorders>
            <w:shd w:val="clear" w:color="000000" w:fill="FFFFFF"/>
            <w:noWrap/>
            <w:vAlign w:val="bottom"/>
            <w:hideMark/>
          </w:tcPr>
          <w:p w14:paraId="5101002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2E6EC0BD"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69E4E8D3"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0DC4E28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4</w:t>
            </w:r>
          </w:p>
        </w:tc>
        <w:tc>
          <w:tcPr>
            <w:tcW w:w="261" w:type="dxa"/>
            <w:tcBorders>
              <w:top w:val="nil"/>
              <w:left w:val="nil"/>
              <w:bottom w:val="nil"/>
              <w:right w:val="nil"/>
            </w:tcBorders>
            <w:shd w:val="clear" w:color="000000" w:fill="FFFFFF"/>
            <w:noWrap/>
            <w:vAlign w:val="bottom"/>
            <w:hideMark/>
          </w:tcPr>
          <w:p w14:paraId="553278BB"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0C4E802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7</w:t>
            </w:r>
          </w:p>
        </w:tc>
        <w:tc>
          <w:tcPr>
            <w:tcW w:w="266" w:type="dxa"/>
            <w:tcBorders>
              <w:top w:val="nil"/>
              <w:left w:val="nil"/>
              <w:bottom w:val="nil"/>
              <w:right w:val="nil"/>
            </w:tcBorders>
            <w:shd w:val="clear" w:color="000000" w:fill="FFFFFF"/>
            <w:noWrap/>
            <w:vAlign w:val="bottom"/>
            <w:hideMark/>
          </w:tcPr>
          <w:p w14:paraId="3A97AA1E"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vAlign w:val="center"/>
            <w:hideMark/>
          </w:tcPr>
          <w:p w14:paraId="67661916"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-0.85***</w:t>
            </w:r>
          </w:p>
        </w:tc>
      </w:tr>
      <w:tr w:rsidR="00732928" w:rsidRPr="00732928" w14:paraId="17F950D7" w14:textId="77777777" w:rsidTr="00732928">
        <w:trPr>
          <w:trHeight w:val="290"/>
        </w:trPr>
        <w:tc>
          <w:tcPr>
            <w:tcW w:w="2246" w:type="dxa"/>
            <w:gridSpan w:val="2"/>
            <w:tcBorders>
              <w:top w:val="nil"/>
              <w:left w:val="nil"/>
              <w:bottom w:val="nil"/>
              <w:right w:val="nil"/>
            </w:tcBorders>
            <w:shd w:val="clear" w:color="000000" w:fill="FFFFFF"/>
            <w:noWrap/>
            <w:vAlign w:val="bottom"/>
            <w:hideMark/>
          </w:tcPr>
          <w:p w14:paraId="10B2FAAD"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Size</w:t>
            </w:r>
          </w:p>
        </w:tc>
        <w:tc>
          <w:tcPr>
            <w:tcW w:w="942" w:type="dxa"/>
            <w:tcBorders>
              <w:top w:val="nil"/>
              <w:left w:val="nil"/>
              <w:bottom w:val="nil"/>
              <w:right w:val="nil"/>
            </w:tcBorders>
            <w:shd w:val="clear" w:color="000000" w:fill="FFFFFF"/>
            <w:noWrap/>
            <w:vAlign w:val="center"/>
            <w:hideMark/>
          </w:tcPr>
          <w:p w14:paraId="3D4784D5"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2.77</w:t>
            </w:r>
          </w:p>
        </w:tc>
        <w:tc>
          <w:tcPr>
            <w:tcW w:w="261" w:type="dxa"/>
            <w:tcBorders>
              <w:top w:val="nil"/>
              <w:left w:val="nil"/>
              <w:bottom w:val="nil"/>
              <w:right w:val="nil"/>
            </w:tcBorders>
            <w:shd w:val="clear" w:color="000000" w:fill="FFFFFF"/>
            <w:noWrap/>
            <w:vAlign w:val="bottom"/>
            <w:hideMark/>
          </w:tcPr>
          <w:p w14:paraId="7BBFABE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0331C20A"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1.53</w:t>
            </w:r>
          </w:p>
        </w:tc>
        <w:tc>
          <w:tcPr>
            <w:tcW w:w="261" w:type="dxa"/>
            <w:tcBorders>
              <w:top w:val="nil"/>
              <w:left w:val="nil"/>
              <w:bottom w:val="nil"/>
              <w:right w:val="nil"/>
            </w:tcBorders>
            <w:shd w:val="clear" w:color="000000" w:fill="FFFFFF"/>
            <w:noWrap/>
            <w:vAlign w:val="bottom"/>
            <w:hideMark/>
          </w:tcPr>
          <w:p w14:paraId="26EDB14E"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07B7D59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-1.91</w:t>
            </w:r>
          </w:p>
        </w:tc>
        <w:tc>
          <w:tcPr>
            <w:tcW w:w="261" w:type="dxa"/>
            <w:tcBorders>
              <w:top w:val="nil"/>
              <w:left w:val="nil"/>
              <w:bottom w:val="nil"/>
              <w:right w:val="nil"/>
            </w:tcBorders>
            <w:shd w:val="clear" w:color="000000" w:fill="FFFFFF"/>
            <w:noWrap/>
            <w:vAlign w:val="bottom"/>
            <w:hideMark/>
          </w:tcPr>
          <w:p w14:paraId="328A64BD"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024780C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2.98</w:t>
            </w:r>
          </w:p>
        </w:tc>
        <w:tc>
          <w:tcPr>
            <w:tcW w:w="261" w:type="dxa"/>
            <w:tcBorders>
              <w:top w:val="nil"/>
              <w:left w:val="nil"/>
              <w:bottom w:val="nil"/>
              <w:right w:val="nil"/>
            </w:tcBorders>
            <w:shd w:val="clear" w:color="000000" w:fill="FFFFFF"/>
            <w:noWrap/>
            <w:vAlign w:val="bottom"/>
            <w:hideMark/>
          </w:tcPr>
          <w:p w14:paraId="0C24FFA8"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027098F1"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5.83</w:t>
            </w:r>
          </w:p>
        </w:tc>
        <w:tc>
          <w:tcPr>
            <w:tcW w:w="266" w:type="dxa"/>
            <w:tcBorders>
              <w:top w:val="nil"/>
              <w:left w:val="nil"/>
              <w:bottom w:val="nil"/>
              <w:right w:val="nil"/>
            </w:tcBorders>
            <w:shd w:val="clear" w:color="000000" w:fill="FFFFFF"/>
            <w:noWrap/>
            <w:vAlign w:val="bottom"/>
            <w:hideMark/>
          </w:tcPr>
          <w:p w14:paraId="34A815E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2F5D30F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4.39</w:t>
            </w:r>
          </w:p>
        </w:tc>
        <w:tc>
          <w:tcPr>
            <w:tcW w:w="261" w:type="dxa"/>
            <w:tcBorders>
              <w:top w:val="nil"/>
              <w:left w:val="nil"/>
              <w:bottom w:val="nil"/>
              <w:right w:val="nil"/>
            </w:tcBorders>
            <w:shd w:val="clear" w:color="000000" w:fill="FFFFFF"/>
            <w:noWrap/>
            <w:vAlign w:val="bottom"/>
            <w:hideMark/>
          </w:tcPr>
          <w:p w14:paraId="252D3D58"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53970DD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1.39</w:t>
            </w:r>
          </w:p>
        </w:tc>
        <w:tc>
          <w:tcPr>
            <w:tcW w:w="261" w:type="dxa"/>
            <w:tcBorders>
              <w:top w:val="nil"/>
              <w:left w:val="nil"/>
              <w:bottom w:val="nil"/>
              <w:right w:val="nil"/>
            </w:tcBorders>
            <w:shd w:val="clear" w:color="000000" w:fill="FFFFFF"/>
            <w:noWrap/>
            <w:vAlign w:val="bottom"/>
            <w:hideMark/>
          </w:tcPr>
          <w:p w14:paraId="64FBE0A0"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2DE5584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1.06</w:t>
            </w:r>
          </w:p>
        </w:tc>
        <w:tc>
          <w:tcPr>
            <w:tcW w:w="261" w:type="dxa"/>
            <w:tcBorders>
              <w:top w:val="nil"/>
              <w:left w:val="nil"/>
              <w:bottom w:val="nil"/>
              <w:right w:val="nil"/>
            </w:tcBorders>
            <w:shd w:val="clear" w:color="000000" w:fill="FFFFFF"/>
            <w:noWrap/>
            <w:vAlign w:val="bottom"/>
            <w:hideMark/>
          </w:tcPr>
          <w:p w14:paraId="52797DAE"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19D751C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4.24</w:t>
            </w:r>
          </w:p>
        </w:tc>
        <w:tc>
          <w:tcPr>
            <w:tcW w:w="261" w:type="dxa"/>
            <w:tcBorders>
              <w:top w:val="nil"/>
              <w:left w:val="nil"/>
              <w:bottom w:val="nil"/>
              <w:right w:val="nil"/>
            </w:tcBorders>
            <w:shd w:val="clear" w:color="000000" w:fill="FFFFFF"/>
            <w:noWrap/>
            <w:vAlign w:val="bottom"/>
            <w:hideMark/>
          </w:tcPr>
          <w:p w14:paraId="746929C3"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01742251"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7.57</w:t>
            </w:r>
          </w:p>
        </w:tc>
        <w:tc>
          <w:tcPr>
            <w:tcW w:w="266" w:type="dxa"/>
            <w:tcBorders>
              <w:top w:val="nil"/>
              <w:left w:val="nil"/>
              <w:bottom w:val="nil"/>
              <w:right w:val="nil"/>
            </w:tcBorders>
            <w:shd w:val="clear" w:color="000000" w:fill="FFFFFF"/>
            <w:noWrap/>
            <w:vAlign w:val="bottom"/>
            <w:hideMark/>
          </w:tcPr>
          <w:p w14:paraId="5F55364B"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vAlign w:val="center"/>
            <w:hideMark/>
          </w:tcPr>
          <w:p w14:paraId="6310D64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-1.62***</w:t>
            </w:r>
          </w:p>
        </w:tc>
      </w:tr>
      <w:tr w:rsidR="00732928" w:rsidRPr="00732928" w14:paraId="44687C9C" w14:textId="77777777" w:rsidTr="00732928">
        <w:trPr>
          <w:trHeight w:val="290"/>
        </w:trPr>
        <w:tc>
          <w:tcPr>
            <w:tcW w:w="2246" w:type="dxa"/>
            <w:gridSpan w:val="2"/>
            <w:tcBorders>
              <w:top w:val="nil"/>
              <w:left w:val="nil"/>
              <w:bottom w:val="nil"/>
              <w:right w:val="nil"/>
            </w:tcBorders>
            <w:shd w:val="clear" w:color="000000" w:fill="FFFFFF"/>
            <w:noWrap/>
            <w:vAlign w:val="center"/>
            <w:hideMark/>
          </w:tcPr>
          <w:p w14:paraId="529F02EC"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Leverage</w:t>
            </w:r>
          </w:p>
        </w:tc>
        <w:tc>
          <w:tcPr>
            <w:tcW w:w="942" w:type="dxa"/>
            <w:tcBorders>
              <w:top w:val="nil"/>
              <w:left w:val="nil"/>
              <w:bottom w:val="nil"/>
              <w:right w:val="nil"/>
            </w:tcBorders>
            <w:shd w:val="clear" w:color="000000" w:fill="FFFFFF"/>
            <w:noWrap/>
            <w:vAlign w:val="center"/>
            <w:hideMark/>
          </w:tcPr>
          <w:p w14:paraId="39400821"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-0.50</w:t>
            </w:r>
          </w:p>
        </w:tc>
        <w:tc>
          <w:tcPr>
            <w:tcW w:w="261" w:type="dxa"/>
            <w:tcBorders>
              <w:top w:val="nil"/>
              <w:left w:val="nil"/>
              <w:bottom w:val="nil"/>
              <w:right w:val="nil"/>
            </w:tcBorders>
            <w:shd w:val="clear" w:color="000000" w:fill="FFFFFF"/>
            <w:noWrap/>
            <w:vAlign w:val="bottom"/>
            <w:hideMark/>
          </w:tcPr>
          <w:p w14:paraId="68849F25"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42DA416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5.03</w:t>
            </w:r>
          </w:p>
        </w:tc>
        <w:tc>
          <w:tcPr>
            <w:tcW w:w="261" w:type="dxa"/>
            <w:tcBorders>
              <w:top w:val="nil"/>
              <w:left w:val="nil"/>
              <w:bottom w:val="nil"/>
              <w:right w:val="nil"/>
            </w:tcBorders>
            <w:shd w:val="clear" w:color="000000" w:fill="FFFFFF"/>
            <w:noWrap/>
            <w:vAlign w:val="bottom"/>
            <w:hideMark/>
          </w:tcPr>
          <w:p w14:paraId="4A0B188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26B7E6C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-31.87</w:t>
            </w:r>
          </w:p>
        </w:tc>
        <w:tc>
          <w:tcPr>
            <w:tcW w:w="261" w:type="dxa"/>
            <w:tcBorders>
              <w:top w:val="nil"/>
              <w:left w:val="nil"/>
              <w:bottom w:val="nil"/>
              <w:right w:val="nil"/>
            </w:tcBorders>
            <w:shd w:val="clear" w:color="000000" w:fill="FFFFFF"/>
            <w:noWrap/>
            <w:vAlign w:val="bottom"/>
            <w:hideMark/>
          </w:tcPr>
          <w:p w14:paraId="781D38EE"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141DFE1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-0.21</w:t>
            </w:r>
          </w:p>
        </w:tc>
        <w:tc>
          <w:tcPr>
            <w:tcW w:w="261" w:type="dxa"/>
            <w:tcBorders>
              <w:top w:val="nil"/>
              <w:left w:val="nil"/>
              <w:bottom w:val="nil"/>
              <w:right w:val="nil"/>
            </w:tcBorders>
            <w:shd w:val="clear" w:color="000000" w:fill="FFFFFF"/>
            <w:noWrap/>
            <w:vAlign w:val="bottom"/>
            <w:hideMark/>
          </w:tcPr>
          <w:p w14:paraId="5DA9AD78"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5170AAC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7.58</w:t>
            </w:r>
          </w:p>
        </w:tc>
        <w:tc>
          <w:tcPr>
            <w:tcW w:w="266" w:type="dxa"/>
            <w:tcBorders>
              <w:top w:val="nil"/>
              <w:left w:val="nil"/>
              <w:bottom w:val="nil"/>
              <w:right w:val="nil"/>
            </w:tcBorders>
            <w:shd w:val="clear" w:color="000000" w:fill="FFFFFF"/>
            <w:noWrap/>
            <w:vAlign w:val="bottom"/>
            <w:hideMark/>
          </w:tcPr>
          <w:p w14:paraId="6A53D055"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2C6C306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-2.16</w:t>
            </w:r>
          </w:p>
        </w:tc>
        <w:tc>
          <w:tcPr>
            <w:tcW w:w="261" w:type="dxa"/>
            <w:tcBorders>
              <w:top w:val="nil"/>
              <w:left w:val="nil"/>
              <w:bottom w:val="nil"/>
              <w:right w:val="nil"/>
            </w:tcBorders>
            <w:shd w:val="clear" w:color="000000" w:fill="FFFFFF"/>
            <w:noWrap/>
            <w:vAlign w:val="bottom"/>
            <w:hideMark/>
          </w:tcPr>
          <w:p w14:paraId="4D8901D5"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1C18273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48.01</w:t>
            </w:r>
          </w:p>
        </w:tc>
        <w:tc>
          <w:tcPr>
            <w:tcW w:w="261" w:type="dxa"/>
            <w:tcBorders>
              <w:top w:val="nil"/>
              <w:left w:val="nil"/>
              <w:bottom w:val="nil"/>
              <w:right w:val="nil"/>
            </w:tcBorders>
            <w:shd w:val="clear" w:color="000000" w:fill="FFFFFF"/>
            <w:noWrap/>
            <w:vAlign w:val="bottom"/>
            <w:hideMark/>
          </w:tcPr>
          <w:p w14:paraId="65A62759"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32407985"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-40.16</w:t>
            </w:r>
          </w:p>
        </w:tc>
        <w:tc>
          <w:tcPr>
            <w:tcW w:w="261" w:type="dxa"/>
            <w:tcBorders>
              <w:top w:val="nil"/>
              <w:left w:val="nil"/>
              <w:bottom w:val="nil"/>
              <w:right w:val="nil"/>
            </w:tcBorders>
            <w:shd w:val="clear" w:color="000000" w:fill="FFFFFF"/>
            <w:noWrap/>
            <w:vAlign w:val="bottom"/>
            <w:hideMark/>
          </w:tcPr>
          <w:p w14:paraId="6E82A447"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24E5242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0.23</w:t>
            </w:r>
          </w:p>
        </w:tc>
        <w:tc>
          <w:tcPr>
            <w:tcW w:w="261" w:type="dxa"/>
            <w:tcBorders>
              <w:top w:val="nil"/>
              <w:left w:val="nil"/>
              <w:bottom w:val="nil"/>
              <w:right w:val="nil"/>
            </w:tcBorders>
            <w:shd w:val="clear" w:color="000000" w:fill="FFFFFF"/>
            <w:noWrap/>
            <w:vAlign w:val="bottom"/>
            <w:hideMark/>
          </w:tcPr>
          <w:p w14:paraId="05A845BC"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2387E9C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34.68</w:t>
            </w:r>
          </w:p>
        </w:tc>
        <w:tc>
          <w:tcPr>
            <w:tcW w:w="266" w:type="dxa"/>
            <w:tcBorders>
              <w:top w:val="nil"/>
              <w:left w:val="nil"/>
              <w:bottom w:val="nil"/>
              <w:right w:val="nil"/>
            </w:tcBorders>
            <w:shd w:val="clear" w:color="000000" w:fill="FFFFFF"/>
            <w:noWrap/>
            <w:vAlign w:val="bottom"/>
            <w:hideMark/>
          </w:tcPr>
          <w:p w14:paraId="302159A1"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vAlign w:val="center"/>
            <w:hideMark/>
          </w:tcPr>
          <w:p w14:paraId="0A784E8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1.66</w:t>
            </w:r>
          </w:p>
        </w:tc>
      </w:tr>
      <w:tr w:rsidR="00732928" w:rsidRPr="00732928" w14:paraId="7EF6E465" w14:textId="77777777" w:rsidTr="00732928">
        <w:trPr>
          <w:trHeight w:val="290"/>
        </w:trPr>
        <w:tc>
          <w:tcPr>
            <w:tcW w:w="2246" w:type="dxa"/>
            <w:gridSpan w:val="2"/>
            <w:tcBorders>
              <w:top w:val="nil"/>
              <w:left w:val="nil"/>
              <w:bottom w:val="nil"/>
              <w:right w:val="nil"/>
            </w:tcBorders>
            <w:shd w:val="clear" w:color="000000" w:fill="FFFFFF"/>
            <w:noWrap/>
            <w:vAlign w:val="center"/>
            <w:hideMark/>
          </w:tcPr>
          <w:p w14:paraId="77814D07"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Firm age</w:t>
            </w:r>
          </w:p>
        </w:tc>
        <w:tc>
          <w:tcPr>
            <w:tcW w:w="942" w:type="dxa"/>
            <w:tcBorders>
              <w:top w:val="nil"/>
              <w:left w:val="nil"/>
              <w:bottom w:val="nil"/>
              <w:right w:val="nil"/>
            </w:tcBorders>
            <w:shd w:val="clear" w:color="000000" w:fill="FFFFFF"/>
            <w:noWrap/>
            <w:vAlign w:val="center"/>
            <w:hideMark/>
          </w:tcPr>
          <w:p w14:paraId="3674F60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10.75</w:t>
            </w:r>
          </w:p>
        </w:tc>
        <w:tc>
          <w:tcPr>
            <w:tcW w:w="261" w:type="dxa"/>
            <w:tcBorders>
              <w:top w:val="nil"/>
              <w:left w:val="nil"/>
              <w:bottom w:val="nil"/>
              <w:right w:val="nil"/>
            </w:tcBorders>
            <w:shd w:val="clear" w:color="000000" w:fill="FFFFFF"/>
            <w:noWrap/>
            <w:vAlign w:val="bottom"/>
            <w:hideMark/>
          </w:tcPr>
          <w:p w14:paraId="400E9D4B"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0BB515A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10.80</w:t>
            </w:r>
          </w:p>
        </w:tc>
        <w:tc>
          <w:tcPr>
            <w:tcW w:w="261" w:type="dxa"/>
            <w:tcBorders>
              <w:top w:val="nil"/>
              <w:left w:val="nil"/>
              <w:bottom w:val="nil"/>
              <w:right w:val="nil"/>
            </w:tcBorders>
            <w:shd w:val="clear" w:color="000000" w:fill="FFFFFF"/>
            <w:noWrap/>
            <w:vAlign w:val="bottom"/>
            <w:hideMark/>
          </w:tcPr>
          <w:p w14:paraId="3D0D2FA4"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3DE97D5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1" w:type="dxa"/>
            <w:tcBorders>
              <w:top w:val="nil"/>
              <w:left w:val="nil"/>
              <w:bottom w:val="nil"/>
              <w:right w:val="nil"/>
            </w:tcBorders>
            <w:shd w:val="clear" w:color="000000" w:fill="FFFFFF"/>
            <w:noWrap/>
            <w:vAlign w:val="bottom"/>
            <w:hideMark/>
          </w:tcPr>
          <w:p w14:paraId="417A7FD8"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13876A5F"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8</w:t>
            </w:r>
          </w:p>
        </w:tc>
        <w:tc>
          <w:tcPr>
            <w:tcW w:w="261" w:type="dxa"/>
            <w:tcBorders>
              <w:top w:val="nil"/>
              <w:left w:val="nil"/>
              <w:bottom w:val="nil"/>
              <w:right w:val="nil"/>
            </w:tcBorders>
            <w:shd w:val="clear" w:color="000000" w:fill="FFFFFF"/>
            <w:noWrap/>
            <w:vAlign w:val="bottom"/>
            <w:hideMark/>
          </w:tcPr>
          <w:p w14:paraId="4D087D60"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59BEB4E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75</w:t>
            </w:r>
          </w:p>
        </w:tc>
        <w:tc>
          <w:tcPr>
            <w:tcW w:w="266" w:type="dxa"/>
            <w:tcBorders>
              <w:top w:val="nil"/>
              <w:left w:val="nil"/>
              <w:bottom w:val="nil"/>
              <w:right w:val="nil"/>
            </w:tcBorders>
            <w:shd w:val="clear" w:color="000000" w:fill="FFFFFF"/>
            <w:noWrap/>
            <w:vAlign w:val="bottom"/>
            <w:hideMark/>
          </w:tcPr>
          <w:p w14:paraId="042FB4E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353BBC5D"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14.17</w:t>
            </w:r>
          </w:p>
        </w:tc>
        <w:tc>
          <w:tcPr>
            <w:tcW w:w="261" w:type="dxa"/>
            <w:tcBorders>
              <w:top w:val="nil"/>
              <w:left w:val="nil"/>
              <w:bottom w:val="nil"/>
              <w:right w:val="nil"/>
            </w:tcBorders>
            <w:shd w:val="clear" w:color="000000" w:fill="FFFFFF"/>
            <w:noWrap/>
            <w:vAlign w:val="bottom"/>
            <w:hideMark/>
          </w:tcPr>
          <w:p w14:paraId="4FB60956"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1591020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17.69</w:t>
            </w:r>
          </w:p>
        </w:tc>
        <w:tc>
          <w:tcPr>
            <w:tcW w:w="261" w:type="dxa"/>
            <w:tcBorders>
              <w:top w:val="nil"/>
              <w:left w:val="nil"/>
              <w:bottom w:val="nil"/>
              <w:right w:val="nil"/>
            </w:tcBorders>
            <w:shd w:val="clear" w:color="000000" w:fill="FFFFFF"/>
            <w:noWrap/>
            <w:vAlign w:val="bottom"/>
            <w:hideMark/>
          </w:tcPr>
          <w:p w14:paraId="7706D16D"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5B9D467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1" w:type="dxa"/>
            <w:tcBorders>
              <w:top w:val="nil"/>
              <w:left w:val="nil"/>
              <w:bottom w:val="nil"/>
              <w:right w:val="nil"/>
            </w:tcBorders>
            <w:shd w:val="clear" w:color="000000" w:fill="FFFFFF"/>
            <w:noWrap/>
            <w:vAlign w:val="bottom"/>
            <w:hideMark/>
          </w:tcPr>
          <w:p w14:paraId="3BA55DCF"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520C9D7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9</w:t>
            </w:r>
          </w:p>
        </w:tc>
        <w:tc>
          <w:tcPr>
            <w:tcW w:w="261" w:type="dxa"/>
            <w:tcBorders>
              <w:top w:val="nil"/>
              <w:left w:val="nil"/>
              <w:bottom w:val="nil"/>
              <w:right w:val="nil"/>
            </w:tcBorders>
            <w:shd w:val="clear" w:color="000000" w:fill="FFFFFF"/>
            <w:noWrap/>
            <w:vAlign w:val="bottom"/>
            <w:hideMark/>
          </w:tcPr>
          <w:p w14:paraId="49020B8A"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6E818C2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108</w:t>
            </w:r>
          </w:p>
        </w:tc>
        <w:tc>
          <w:tcPr>
            <w:tcW w:w="266" w:type="dxa"/>
            <w:tcBorders>
              <w:top w:val="nil"/>
              <w:left w:val="nil"/>
              <w:bottom w:val="nil"/>
              <w:right w:val="nil"/>
            </w:tcBorders>
            <w:shd w:val="clear" w:color="000000" w:fill="FFFFFF"/>
            <w:noWrap/>
            <w:vAlign w:val="bottom"/>
            <w:hideMark/>
          </w:tcPr>
          <w:p w14:paraId="7AEA2734"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vAlign w:val="center"/>
            <w:hideMark/>
          </w:tcPr>
          <w:p w14:paraId="03EEE5EA"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-3.42**</w:t>
            </w:r>
          </w:p>
        </w:tc>
      </w:tr>
      <w:tr w:rsidR="00732928" w:rsidRPr="00732928" w14:paraId="0E09C13E" w14:textId="77777777" w:rsidTr="00732928">
        <w:trPr>
          <w:trHeight w:val="290"/>
        </w:trPr>
        <w:tc>
          <w:tcPr>
            <w:tcW w:w="2246" w:type="dxa"/>
            <w:gridSpan w:val="2"/>
            <w:tcBorders>
              <w:top w:val="nil"/>
              <w:left w:val="nil"/>
              <w:bottom w:val="nil"/>
              <w:right w:val="nil"/>
            </w:tcBorders>
            <w:shd w:val="clear" w:color="000000" w:fill="FFFFFF"/>
            <w:noWrap/>
            <w:vAlign w:val="center"/>
            <w:hideMark/>
          </w:tcPr>
          <w:p w14:paraId="60A50534"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Segments</w:t>
            </w:r>
          </w:p>
        </w:tc>
        <w:tc>
          <w:tcPr>
            <w:tcW w:w="942" w:type="dxa"/>
            <w:tcBorders>
              <w:top w:val="nil"/>
              <w:left w:val="nil"/>
              <w:bottom w:val="nil"/>
              <w:right w:val="nil"/>
            </w:tcBorders>
            <w:shd w:val="clear" w:color="000000" w:fill="FFFFFF"/>
            <w:noWrap/>
            <w:vAlign w:val="center"/>
            <w:hideMark/>
          </w:tcPr>
          <w:p w14:paraId="35C58850"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1.17</w:t>
            </w:r>
          </w:p>
        </w:tc>
        <w:tc>
          <w:tcPr>
            <w:tcW w:w="261" w:type="dxa"/>
            <w:tcBorders>
              <w:top w:val="nil"/>
              <w:left w:val="nil"/>
              <w:bottom w:val="nil"/>
              <w:right w:val="nil"/>
            </w:tcBorders>
            <w:shd w:val="clear" w:color="000000" w:fill="FFFFFF"/>
            <w:noWrap/>
            <w:vAlign w:val="bottom"/>
            <w:hideMark/>
          </w:tcPr>
          <w:p w14:paraId="760B3888"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2784A096"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0.71</w:t>
            </w:r>
          </w:p>
        </w:tc>
        <w:tc>
          <w:tcPr>
            <w:tcW w:w="261" w:type="dxa"/>
            <w:tcBorders>
              <w:top w:val="nil"/>
              <w:left w:val="nil"/>
              <w:bottom w:val="nil"/>
              <w:right w:val="nil"/>
            </w:tcBorders>
            <w:shd w:val="clear" w:color="000000" w:fill="FFFFFF"/>
            <w:noWrap/>
            <w:vAlign w:val="bottom"/>
            <w:hideMark/>
          </w:tcPr>
          <w:p w14:paraId="2611529E"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019B2CC0"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1" w:type="dxa"/>
            <w:tcBorders>
              <w:top w:val="nil"/>
              <w:left w:val="nil"/>
              <w:bottom w:val="nil"/>
              <w:right w:val="nil"/>
            </w:tcBorders>
            <w:shd w:val="clear" w:color="000000" w:fill="FFFFFF"/>
            <w:noWrap/>
            <w:vAlign w:val="bottom"/>
            <w:hideMark/>
          </w:tcPr>
          <w:p w14:paraId="391081D0"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4950EE0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1" w:type="dxa"/>
            <w:tcBorders>
              <w:top w:val="nil"/>
              <w:left w:val="nil"/>
              <w:bottom w:val="nil"/>
              <w:right w:val="nil"/>
            </w:tcBorders>
            <w:shd w:val="clear" w:color="000000" w:fill="FFFFFF"/>
            <w:noWrap/>
            <w:vAlign w:val="bottom"/>
            <w:hideMark/>
          </w:tcPr>
          <w:p w14:paraId="40C7F282"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51AF440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5</w:t>
            </w:r>
          </w:p>
        </w:tc>
        <w:tc>
          <w:tcPr>
            <w:tcW w:w="266" w:type="dxa"/>
            <w:tcBorders>
              <w:top w:val="nil"/>
              <w:left w:val="nil"/>
              <w:bottom w:val="nil"/>
              <w:right w:val="nil"/>
            </w:tcBorders>
            <w:shd w:val="clear" w:color="000000" w:fill="FFFFFF"/>
            <w:noWrap/>
            <w:vAlign w:val="bottom"/>
            <w:hideMark/>
          </w:tcPr>
          <w:p w14:paraId="4BD0F850"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2AD2EB0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1.32</w:t>
            </w:r>
          </w:p>
        </w:tc>
        <w:tc>
          <w:tcPr>
            <w:tcW w:w="261" w:type="dxa"/>
            <w:tcBorders>
              <w:top w:val="nil"/>
              <w:left w:val="nil"/>
              <w:bottom w:val="nil"/>
              <w:right w:val="nil"/>
            </w:tcBorders>
            <w:shd w:val="clear" w:color="000000" w:fill="FFFFFF"/>
            <w:noWrap/>
            <w:vAlign w:val="bottom"/>
            <w:hideMark/>
          </w:tcPr>
          <w:p w14:paraId="788E6C50"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0ADE28EF"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0.92</w:t>
            </w:r>
          </w:p>
        </w:tc>
        <w:tc>
          <w:tcPr>
            <w:tcW w:w="261" w:type="dxa"/>
            <w:tcBorders>
              <w:top w:val="nil"/>
              <w:left w:val="nil"/>
              <w:bottom w:val="nil"/>
              <w:right w:val="nil"/>
            </w:tcBorders>
            <w:shd w:val="clear" w:color="000000" w:fill="FFFFFF"/>
            <w:noWrap/>
            <w:vAlign w:val="bottom"/>
            <w:hideMark/>
          </w:tcPr>
          <w:p w14:paraId="07D513A6"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145F6AF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1" w:type="dxa"/>
            <w:tcBorders>
              <w:top w:val="nil"/>
              <w:left w:val="nil"/>
              <w:bottom w:val="nil"/>
              <w:right w:val="nil"/>
            </w:tcBorders>
            <w:shd w:val="clear" w:color="000000" w:fill="FFFFFF"/>
            <w:noWrap/>
            <w:vAlign w:val="bottom"/>
            <w:hideMark/>
          </w:tcPr>
          <w:p w14:paraId="2B97979E"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71A054F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1" w:type="dxa"/>
            <w:tcBorders>
              <w:top w:val="nil"/>
              <w:left w:val="nil"/>
              <w:bottom w:val="nil"/>
              <w:right w:val="nil"/>
            </w:tcBorders>
            <w:shd w:val="clear" w:color="000000" w:fill="FFFFFF"/>
            <w:noWrap/>
            <w:vAlign w:val="bottom"/>
            <w:hideMark/>
          </w:tcPr>
          <w:p w14:paraId="2EE8C6B9"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331C813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5</w:t>
            </w:r>
          </w:p>
        </w:tc>
        <w:tc>
          <w:tcPr>
            <w:tcW w:w="266" w:type="dxa"/>
            <w:tcBorders>
              <w:top w:val="nil"/>
              <w:left w:val="nil"/>
              <w:bottom w:val="nil"/>
              <w:right w:val="nil"/>
            </w:tcBorders>
            <w:shd w:val="clear" w:color="000000" w:fill="FFFFFF"/>
            <w:noWrap/>
            <w:vAlign w:val="bottom"/>
            <w:hideMark/>
          </w:tcPr>
          <w:p w14:paraId="67953AC5"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vAlign w:val="center"/>
            <w:hideMark/>
          </w:tcPr>
          <w:p w14:paraId="62FC8F1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-0.15**</w:t>
            </w:r>
          </w:p>
        </w:tc>
      </w:tr>
      <w:tr w:rsidR="00732928" w:rsidRPr="00732928" w14:paraId="0C11CE56" w14:textId="77777777" w:rsidTr="00732928">
        <w:trPr>
          <w:trHeight w:val="290"/>
        </w:trPr>
        <w:tc>
          <w:tcPr>
            <w:tcW w:w="2246" w:type="dxa"/>
            <w:gridSpan w:val="2"/>
            <w:tcBorders>
              <w:top w:val="nil"/>
              <w:left w:val="nil"/>
              <w:bottom w:val="nil"/>
              <w:right w:val="nil"/>
            </w:tcBorders>
            <w:shd w:val="clear" w:color="000000" w:fill="FFFFFF"/>
            <w:noWrap/>
            <w:vAlign w:val="center"/>
            <w:hideMark/>
          </w:tcPr>
          <w:p w14:paraId="27472C3C"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Z-score</w:t>
            </w:r>
          </w:p>
        </w:tc>
        <w:tc>
          <w:tcPr>
            <w:tcW w:w="942" w:type="dxa"/>
            <w:tcBorders>
              <w:top w:val="nil"/>
              <w:left w:val="nil"/>
              <w:bottom w:val="nil"/>
              <w:right w:val="nil"/>
            </w:tcBorders>
            <w:shd w:val="clear" w:color="000000" w:fill="FFFFFF"/>
            <w:noWrap/>
            <w:vAlign w:val="center"/>
            <w:hideMark/>
          </w:tcPr>
          <w:p w14:paraId="7078C2ED"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-44.91</w:t>
            </w:r>
          </w:p>
        </w:tc>
        <w:tc>
          <w:tcPr>
            <w:tcW w:w="261" w:type="dxa"/>
            <w:tcBorders>
              <w:top w:val="nil"/>
              <w:left w:val="nil"/>
              <w:bottom w:val="nil"/>
              <w:right w:val="nil"/>
            </w:tcBorders>
            <w:shd w:val="clear" w:color="000000" w:fill="FFFFFF"/>
            <w:noWrap/>
            <w:vAlign w:val="bottom"/>
            <w:hideMark/>
          </w:tcPr>
          <w:p w14:paraId="63DAE2B9"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5F38D14F"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128.34</w:t>
            </w:r>
          </w:p>
        </w:tc>
        <w:tc>
          <w:tcPr>
            <w:tcW w:w="261" w:type="dxa"/>
            <w:tcBorders>
              <w:top w:val="nil"/>
              <w:left w:val="nil"/>
              <w:bottom w:val="nil"/>
              <w:right w:val="nil"/>
            </w:tcBorders>
            <w:shd w:val="clear" w:color="000000" w:fill="FFFFFF"/>
            <w:noWrap/>
            <w:vAlign w:val="bottom"/>
            <w:hideMark/>
          </w:tcPr>
          <w:p w14:paraId="21C2B87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462A7A60"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-797.47</w:t>
            </w:r>
          </w:p>
        </w:tc>
        <w:tc>
          <w:tcPr>
            <w:tcW w:w="261" w:type="dxa"/>
            <w:tcBorders>
              <w:top w:val="nil"/>
              <w:left w:val="nil"/>
              <w:bottom w:val="nil"/>
              <w:right w:val="nil"/>
            </w:tcBorders>
            <w:shd w:val="clear" w:color="000000" w:fill="FFFFFF"/>
            <w:noWrap/>
            <w:vAlign w:val="bottom"/>
            <w:hideMark/>
          </w:tcPr>
          <w:p w14:paraId="66A59EF9"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7AD09816"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-12.11</w:t>
            </w:r>
          </w:p>
        </w:tc>
        <w:tc>
          <w:tcPr>
            <w:tcW w:w="261" w:type="dxa"/>
            <w:tcBorders>
              <w:top w:val="nil"/>
              <w:left w:val="nil"/>
              <w:bottom w:val="nil"/>
              <w:right w:val="nil"/>
            </w:tcBorders>
            <w:shd w:val="clear" w:color="000000" w:fill="FFFFFF"/>
            <w:noWrap/>
            <w:vAlign w:val="bottom"/>
            <w:hideMark/>
          </w:tcPr>
          <w:p w14:paraId="2F6777D5"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2F6CF95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18.07</w:t>
            </w:r>
          </w:p>
        </w:tc>
        <w:tc>
          <w:tcPr>
            <w:tcW w:w="266" w:type="dxa"/>
            <w:tcBorders>
              <w:top w:val="nil"/>
              <w:left w:val="nil"/>
              <w:bottom w:val="nil"/>
              <w:right w:val="nil"/>
            </w:tcBorders>
            <w:shd w:val="clear" w:color="000000" w:fill="FFFFFF"/>
            <w:noWrap/>
            <w:vAlign w:val="bottom"/>
            <w:hideMark/>
          </w:tcPr>
          <w:p w14:paraId="02A5C1E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2C0D02E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-4.76</w:t>
            </w:r>
          </w:p>
        </w:tc>
        <w:tc>
          <w:tcPr>
            <w:tcW w:w="261" w:type="dxa"/>
            <w:tcBorders>
              <w:top w:val="nil"/>
              <w:left w:val="nil"/>
              <w:bottom w:val="nil"/>
              <w:right w:val="nil"/>
            </w:tcBorders>
            <w:shd w:val="clear" w:color="000000" w:fill="FFFFFF"/>
            <w:noWrap/>
            <w:vAlign w:val="bottom"/>
            <w:hideMark/>
          </w:tcPr>
          <w:p w14:paraId="0A352A0C"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349AB57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18.97</w:t>
            </w:r>
          </w:p>
        </w:tc>
        <w:tc>
          <w:tcPr>
            <w:tcW w:w="261" w:type="dxa"/>
            <w:tcBorders>
              <w:top w:val="nil"/>
              <w:left w:val="nil"/>
              <w:bottom w:val="nil"/>
              <w:right w:val="nil"/>
            </w:tcBorders>
            <w:shd w:val="clear" w:color="000000" w:fill="FFFFFF"/>
            <w:noWrap/>
            <w:vAlign w:val="bottom"/>
            <w:hideMark/>
          </w:tcPr>
          <w:p w14:paraId="2E30B5C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1DB97BF1"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-103.6</w:t>
            </w:r>
          </w:p>
        </w:tc>
        <w:tc>
          <w:tcPr>
            <w:tcW w:w="261" w:type="dxa"/>
            <w:tcBorders>
              <w:top w:val="nil"/>
              <w:left w:val="nil"/>
              <w:bottom w:val="nil"/>
              <w:right w:val="nil"/>
            </w:tcBorders>
            <w:shd w:val="clear" w:color="000000" w:fill="FFFFFF"/>
            <w:noWrap/>
            <w:vAlign w:val="bottom"/>
            <w:hideMark/>
          </w:tcPr>
          <w:p w14:paraId="6FD48352"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46BED886"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0.42</w:t>
            </w:r>
          </w:p>
        </w:tc>
        <w:tc>
          <w:tcPr>
            <w:tcW w:w="261" w:type="dxa"/>
            <w:tcBorders>
              <w:top w:val="nil"/>
              <w:left w:val="nil"/>
              <w:bottom w:val="nil"/>
              <w:right w:val="nil"/>
            </w:tcBorders>
            <w:shd w:val="clear" w:color="000000" w:fill="FFFFFF"/>
            <w:noWrap/>
            <w:vAlign w:val="bottom"/>
            <w:hideMark/>
          </w:tcPr>
          <w:p w14:paraId="228570B6"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7441BC66"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17.25</w:t>
            </w:r>
          </w:p>
        </w:tc>
        <w:tc>
          <w:tcPr>
            <w:tcW w:w="266" w:type="dxa"/>
            <w:tcBorders>
              <w:top w:val="nil"/>
              <w:left w:val="nil"/>
              <w:bottom w:val="nil"/>
              <w:right w:val="nil"/>
            </w:tcBorders>
            <w:shd w:val="clear" w:color="000000" w:fill="FFFFFF"/>
            <w:noWrap/>
            <w:vAlign w:val="bottom"/>
            <w:hideMark/>
          </w:tcPr>
          <w:p w14:paraId="18E57D6F"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vAlign w:val="center"/>
            <w:hideMark/>
          </w:tcPr>
          <w:p w14:paraId="3709BFDA"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-40.15***</w:t>
            </w:r>
          </w:p>
        </w:tc>
      </w:tr>
      <w:tr w:rsidR="00732928" w:rsidRPr="00732928" w14:paraId="19718503" w14:textId="77777777" w:rsidTr="00732928">
        <w:trPr>
          <w:trHeight w:val="290"/>
        </w:trPr>
        <w:tc>
          <w:tcPr>
            <w:tcW w:w="2246" w:type="dxa"/>
            <w:gridSpan w:val="2"/>
            <w:tcBorders>
              <w:top w:val="nil"/>
              <w:left w:val="nil"/>
              <w:bottom w:val="nil"/>
              <w:right w:val="nil"/>
            </w:tcBorders>
            <w:shd w:val="clear" w:color="000000" w:fill="FFFFFF"/>
            <w:noWrap/>
            <w:vAlign w:val="center"/>
            <w:hideMark/>
          </w:tcPr>
          <w:p w14:paraId="22257F4D"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Big 4</w:t>
            </w:r>
          </w:p>
        </w:tc>
        <w:tc>
          <w:tcPr>
            <w:tcW w:w="942" w:type="dxa"/>
            <w:tcBorders>
              <w:top w:val="nil"/>
              <w:left w:val="nil"/>
              <w:bottom w:val="nil"/>
              <w:right w:val="nil"/>
            </w:tcBorders>
            <w:shd w:val="clear" w:color="000000" w:fill="FFFFFF"/>
            <w:noWrap/>
            <w:vAlign w:val="center"/>
            <w:hideMark/>
          </w:tcPr>
          <w:p w14:paraId="1391807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0.67</w:t>
            </w:r>
          </w:p>
        </w:tc>
        <w:tc>
          <w:tcPr>
            <w:tcW w:w="261" w:type="dxa"/>
            <w:tcBorders>
              <w:top w:val="nil"/>
              <w:left w:val="nil"/>
              <w:bottom w:val="nil"/>
              <w:right w:val="nil"/>
            </w:tcBorders>
            <w:shd w:val="clear" w:color="000000" w:fill="FFFFFF"/>
            <w:noWrap/>
            <w:vAlign w:val="bottom"/>
            <w:hideMark/>
          </w:tcPr>
          <w:p w14:paraId="4FF9563A"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2B6DCD7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0.47</w:t>
            </w:r>
          </w:p>
        </w:tc>
        <w:tc>
          <w:tcPr>
            <w:tcW w:w="261" w:type="dxa"/>
            <w:tcBorders>
              <w:top w:val="nil"/>
              <w:left w:val="nil"/>
              <w:bottom w:val="nil"/>
              <w:right w:val="nil"/>
            </w:tcBorders>
            <w:shd w:val="clear" w:color="000000" w:fill="FFFFFF"/>
            <w:noWrap/>
            <w:vAlign w:val="bottom"/>
            <w:hideMark/>
          </w:tcPr>
          <w:p w14:paraId="2E70BC6E"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35F98C26"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41824C85"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3EBE656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1" w:type="dxa"/>
            <w:tcBorders>
              <w:top w:val="nil"/>
              <w:left w:val="nil"/>
              <w:bottom w:val="nil"/>
              <w:right w:val="nil"/>
            </w:tcBorders>
            <w:shd w:val="clear" w:color="000000" w:fill="FFFFFF"/>
            <w:noWrap/>
            <w:vAlign w:val="bottom"/>
            <w:hideMark/>
          </w:tcPr>
          <w:p w14:paraId="29460202"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7DC7C06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6" w:type="dxa"/>
            <w:tcBorders>
              <w:top w:val="nil"/>
              <w:left w:val="nil"/>
              <w:bottom w:val="nil"/>
              <w:right w:val="nil"/>
            </w:tcBorders>
            <w:shd w:val="clear" w:color="000000" w:fill="FFFFFF"/>
            <w:noWrap/>
            <w:vAlign w:val="bottom"/>
            <w:hideMark/>
          </w:tcPr>
          <w:p w14:paraId="732DC3D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3DBE78B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0.86</w:t>
            </w:r>
          </w:p>
        </w:tc>
        <w:tc>
          <w:tcPr>
            <w:tcW w:w="261" w:type="dxa"/>
            <w:tcBorders>
              <w:top w:val="nil"/>
              <w:left w:val="nil"/>
              <w:bottom w:val="nil"/>
              <w:right w:val="nil"/>
            </w:tcBorders>
            <w:shd w:val="clear" w:color="000000" w:fill="FFFFFF"/>
            <w:noWrap/>
            <w:vAlign w:val="bottom"/>
            <w:hideMark/>
          </w:tcPr>
          <w:p w14:paraId="4F295F64"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013D5C8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0.35</w:t>
            </w:r>
          </w:p>
        </w:tc>
        <w:tc>
          <w:tcPr>
            <w:tcW w:w="261" w:type="dxa"/>
            <w:tcBorders>
              <w:top w:val="nil"/>
              <w:left w:val="nil"/>
              <w:bottom w:val="nil"/>
              <w:right w:val="nil"/>
            </w:tcBorders>
            <w:shd w:val="clear" w:color="000000" w:fill="FFFFFF"/>
            <w:noWrap/>
            <w:vAlign w:val="bottom"/>
            <w:hideMark/>
          </w:tcPr>
          <w:p w14:paraId="2A13F27A"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5A49EBB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60E4B610"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41297F9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1" w:type="dxa"/>
            <w:tcBorders>
              <w:top w:val="nil"/>
              <w:left w:val="nil"/>
              <w:bottom w:val="nil"/>
              <w:right w:val="nil"/>
            </w:tcBorders>
            <w:shd w:val="clear" w:color="000000" w:fill="FFFFFF"/>
            <w:noWrap/>
            <w:vAlign w:val="bottom"/>
            <w:hideMark/>
          </w:tcPr>
          <w:p w14:paraId="7010C6C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4EA5C07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6" w:type="dxa"/>
            <w:tcBorders>
              <w:top w:val="nil"/>
              <w:left w:val="nil"/>
              <w:bottom w:val="nil"/>
              <w:right w:val="nil"/>
            </w:tcBorders>
            <w:shd w:val="clear" w:color="000000" w:fill="FFFFFF"/>
            <w:noWrap/>
            <w:vAlign w:val="bottom"/>
            <w:hideMark/>
          </w:tcPr>
          <w:p w14:paraId="47D573DD"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vAlign w:val="center"/>
            <w:hideMark/>
          </w:tcPr>
          <w:p w14:paraId="62CACEEF"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-0.19***</w:t>
            </w:r>
          </w:p>
        </w:tc>
      </w:tr>
      <w:tr w:rsidR="00732928" w:rsidRPr="00732928" w14:paraId="16BBAC73" w14:textId="77777777" w:rsidTr="00732928">
        <w:trPr>
          <w:trHeight w:val="290"/>
        </w:trPr>
        <w:tc>
          <w:tcPr>
            <w:tcW w:w="2246" w:type="dxa"/>
            <w:gridSpan w:val="2"/>
            <w:tcBorders>
              <w:top w:val="nil"/>
              <w:left w:val="nil"/>
              <w:bottom w:val="nil"/>
              <w:right w:val="nil"/>
            </w:tcBorders>
            <w:shd w:val="clear" w:color="000000" w:fill="FFFFFF"/>
            <w:noWrap/>
            <w:vAlign w:val="center"/>
            <w:hideMark/>
          </w:tcPr>
          <w:p w14:paraId="330883EE"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Restructuring</w:t>
            </w:r>
          </w:p>
        </w:tc>
        <w:tc>
          <w:tcPr>
            <w:tcW w:w="942" w:type="dxa"/>
            <w:tcBorders>
              <w:top w:val="nil"/>
              <w:left w:val="nil"/>
              <w:bottom w:val="nil"/>
              <w:right w:val="nil"/>
            </w:tcBorders>
            <w:shd w:val="clear" w:color="000000" w:fill="FFFFFF"/>
            <w:noWrap/>
            <w:vAlign w:val="center"/>
            <w:hideMark/>
          </w:tcPr>
          <w:p w14:paraId="68BA120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0.02</w:t>
            </w:r>
          </w:p>
        </w:tc>
        <w:tc>
          <w:tcPr>
            <w:tcW w:w="261" w:type="dxa"/>
            <w:tcBorders>
              <w:top w:val="nil"/>
              <w:left w:val="nil"/>
              <w:bottom w:val="nil"/>
              <w:right w:val="nil"/>
            </w:tcBorders>
            <w:shd w:val="clear" w:color="000000" w:fill="FFFFFF"/>
            <w:noWrap/>
            <w:vAlign w:val="bottom"/>
            <w:hideMark/>
          </w:tcPr>
          <w:p w14:paraId="4551BAAE"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6B738AE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0.14</w:t>
            </w:r>
          </w:p>
        </w:tc>
        <w:tc>
          <w:tcPr>
            <w:tcW w:w="261" w:type="dxa"/>
            <w:tcBorders>
              <w:top w:val="nil"/>
              <w:left w:val="nil"/>
              <w:bottom w:val="nil"/>
              <w:right w:val="nil"/>
            </w:tcBorders>
            <w:shd w:val="clear" w:color="000000" w:fill="FFFFFF"/>
            <w:noWrap/>
            <w:vAlign w:val="bottom"/>
            <w:hideMark/>
          </w:tcPr>
          <w:p w14:paraId="4AA412F6"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137841CF"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07815EE5"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09222F9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7F896B4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55E498E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6" w:type="dxa"/>
            <w:tcBorders>
              <w:top w:val="nil"/>
              <w:left w:val="nil"/>
              <w:bottom w:val="nil"/>
              <w:right w:val="nil"/>
            </w:tcBorders>
            <w:shd w:val="clear" w:color="000000" w:fill="FFFFFF"/>
            <w:noWrap/>
            <w:vAlign w:val="bottom"/>
            <w:hideMark/>
          </w:tcPr>
          <w:p w14:paraId="3DCB5666"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3CBE578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0.08</w:t>
            </w:r>
          </w:p>
        </w:tc>
        <w:tc>
          <w:tcPr>
            <w:tcW w:w="261" w:type="dxa"/>
            <w:tcBorders>
              <w:top w:val="nil"/>
              <w:left w:val="nil"/>
              <w:bottom w:val="nil"/>
              <w:right w:val="nil"/>
            </w:tcBorders>
            <w:shd w:val="clear" w:color="000000" w:fill="FFFFFF"/>
            <w:noWrap/>
            <w:vAlign w:val="bottom"/>
            <w:hideMark/>
          </w:tcPr>
          <w:p w14:paraId="6D30B307"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0050FD5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0.27</w:t>
            </w:r>
          </w:p>
        </w:tc>
        <w:tc>
          <w:tcPr>
            <w:tcW w:w="261" w:type="dxa"/>
            <w:tcBorders>
              <w:top w:val="nil"/>
              <w:left w:val="nil"/>
              <w:bottom w:val="nil"/>
              <w:right w:val="nil"/>
            </w:tcBorders>
            <w:shd w:val="clear" w:color="000000" w:fill="FFFFFF"/>
            <w:noWrap/>
            <w:vAlign w:val="bottom"/>
            <w:hideMark/>
          </w:tcPr>
          <w:p w14:paraId="3E13DEBA"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1B54638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0F7B3818"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0523A27A"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431CC6CF"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4203DEA6"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6" w:type="dxa"/>
            <w:tcBorders>
              <w:top w:val="nil"/>
              <w:left w:val="nil"/>
              <w:bottom w:val="nil"/>
              <w:right w:val="nil"/>
            </w:tcBorders>
            <w:shd w:val="clear" w:color="000000" w:fill="FFFFFF"/>
            <w:noWrap/>
            <w:vAlign w:val="bottom"/>
            <w:hideMark/>
          </w:tcPr>
          <w:p w14:paraId="29814BEA"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vAlign w:val="center"/>
            <w:hideMark/>
          </w:tcPr>
          <w:p w14:paraId="604A200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-0.06***</w:t>
            </w:r>
          </w:p>
        </w:tc>
      </w:tr>
      <w:tr w:rsidR="00732928" w:rsidRPr="00732928" w14:paraId="6DC5A3C4" w14:textId="77777777" w:rsidTr="00732928">
        <w:trPr>
          <w:trHeight w:val="290"/>
        </w:trPr>
        <w:tc>
          <w:tcPr>
            <w:tcW w:w="2246" w:type="dxa"/>
            <w:gridSpan w:val="2"/>
            <w:tcBorders>
              <w:top w:val="nil"/>
              <w:left w:val="nil"/>
              <w:bottom w:val="nil"/>
              <w:right w:val="nil"/>
            </w:tcBorders>
            <w:shd w:val="clear" w:color="000000" w:fill="FFFFFF"/>
            <w:noWrap/>
            <w:vAlign w:val="center"/>
            <w:hideMark/>
          </w:tcPr>
          <w:p w14:paraId="38D36D94"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M&amp;A</w:t>
            </w:r>
          </w:p>
        </w:tc>
        <w:tc>
          <w:tcPr>
            <w:tcW w:w="942" w:type="dxa"/>
            <w:tcBorders>
              <w:top w:val="nil"/>
              <w:left w:val="nil"/>
              <w:bottom w:val="nil"/>
              <w:right w:val="nil"/>
            </w:tcBorders>
            <w:shd w:val="clear" w:color="000000" w:fill="FFFFFF"/>
            <w:noWrap/>
            <w:vAlign w:val="center"/>
            <w:hideMark/>
          </w:tcPr>
          <w:p w14:paraId="221F8A4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0.04</w:t>
            </w:r>
          </w:p>
        </w:tc>
        <w:tc>
          <w:tcPr>
            <w:tcW w:w="261" w:type="dxa"/>
            <w:tcBorders>
              <w:top w:val="nil"/>
              <w:left w:val="nil"/>
              <w:bottom w:val="nil"/>
              <w:right w:val="nil"/>
            </w:tcBorders>
            <w:shd w:val="clear" w:color="000000" w:fill="FFFFFF"/>
            <w:noWrap/>
            <w:vAlign w:val="bottom"/>
            <w:hideMark/>
          </w:tcPr>
          <w:p w14:paraId="2F089285"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76E9D22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0.20</w:t>
            </w:r>
          </w:p>
        </w:tc>
        <w:tc>
          <w:tcPr>
            <w:tcW w:w="261" w:type="dxa"/>
            <w:tcBorders>
              <w:top w:val="nil"/>
              <w:left w:val="nil"/>
              <w:bottom w:val="nil"/>
              <w:right w:val="nil"/>
            </w:tcBorders>
            <w:shd w:val="clear" w:color="000000" w:fill="FFFFFF"/>
            <w:noWrap/>
            <w:vAlign w:val="bottom"/>
            <w:hideMark/>
          </w:tcPr>
          <w:p w14:paraId="03301A35"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676A166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6BEB561F"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3E53E42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3363FCBD"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1DE3B95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6" w:type="dxa"/>
            <w:tcBorders>
              <w:top w:val="nil"/>
              <w:left w:val="nil"/>
              <w:bottom w:val="nil"/>
              <w:right w:val="nil"/>
            </w:tcBorders>
            <w:shd w:val="clear" w:color="000000" w:fill="FFFFFF"/>
            <w:noWrap/>
            <w:vAlign w:val="bottom"/>
            <w:hideMark/>
          </w:tcPr>
          <w:p w14:paraId="444976C0"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515D762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0.13</w:t>
            </w:r>
          </w:p>
        </w:tc>
        <w:tc>
          <w:tcPr>
            <w:tcW w:w="261" w:type="dxa"/>
            <w:tcBorders>
              <w:top w:val="nil"/>
              <w:left w:val="nil"/>
              <w:bottom w:val="nil"/>
              <w:right w:val="nil"/>
            </w:tcBorders>
            <w:shd w:val="clear" w:color="000000" w:fill="FFFFFF"/>
            <w:noWrap/>
            <w:vAlign w:val="bottom"/>
            <w:hideMark/>
          </w:tcPr>
          <w:p w14:paraId="098B4856"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3F62B04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0.33</w:t>
            </w:r>
          </w:p>
        </w:tc>
        <w:tc>
          <w:tcPr>
            <w:tcW w:w="261" w:type="dxa"/>
            <w:tcBorders>
              <w:top w:val="nil"/>
              <w:left w:val="nil"/>
              <w:bottom w:val="nil"/>
              <w:right w:val="nil"/>
            </w:tcBorders>
            <w:shd w:val="clear" w:color="000000" w:fill="FFFFFF"/>
            <w:noWrap/>
            <w:vAlign w:val="bottom"/>
            <w:hideMark/>
          </w:tcPr>
          <w:p w14:paraId="4810A37A"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415C4E7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0D3A3E10"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0E6BACB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53CD3468"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02604A6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6" w:type="dxa"/>
            <w:tcBorders>
              <w:top w:val="nil"/>
              <w:left w:val="nil"/>
              <w:bottom w:val="nil"/>
              <w:right w:val="nil"/>
            </w:tcBorders>
            <w:shd w:val="clear" w:color="000000" w:fill="FFFFFF"/>
            <w:noWrap/>
            <w:vAlign w:val="bottom"/>
            <w:hideMark/>
          </w:tcPr>
          <w:p w14:paraId="43133C57"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vAlign w:val="center"/>
            <w:hideMark/>
          </w:tcPr>
          <w:p w14:paraId="53FEB72A"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-0.09***</w:t>
            </w:r>
          </w:p>
        </w:tc>
      </w:tr>
      <w:tr w:rsidR="00732928" w:rsidRPr="00732928" w14:paraId="59B1181B" w14:textId="77777777" w:rsidTr="00732928">
        <w:trPr>
          <w:trHeight w:val="290"/>
        </w:trPr>
        <w:tc>
          <w:tcPr>
            <w:tcW w:w="2246" w:type="dxa"/>
            <w:gridSpan w:val="2"/>
            <w:tcBorders>
              <w:top w:val="nil"/>
              <w:left w:val="nil"/>
              <w:bottom w:val="nil"/>
              <w:right w:val="nil"/>
            </w:tcBorders>
            <w:shd w:val="clear" w:color="000000" w:fill="FFFFFF"/>
            <w:noWrap/>
            <w:vAlign w:val="center"/>
            <w:hideMark/>
          </w:tcPr>
          <w:p w14:paraId="52288A6B"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Positive earnings</w:t>
            </w:r>
          </w:p>
        </w:tc>
        <w:tc>
          <w:tcPr>
            <w:tcW w:w="942" w:type="dxa"/>
            <w:tcBorders>
              <w:top w:val="nil"/>
              <w:left w:val="nil"/>
              <w:bottom w:val="nil"/>
              <w:right w:val="nil"/>
            </w:tcBorders>
            <w:shd w:val="clear" w:color="000000" w:fill="FFFFFF"/>
            <w:noWrap/>
            <w:vAlign w:val="center"/>
            <w:hideMark/>
          </w:tcPr>
          <w:p w14:paraId="7852FA3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0.20</w:t>
            </w:r>
          </w:p>
        </w:tc>
        <w:tc>
          <w:tcPr>
            <w:tcW w:w="261" w:type="dxa"/>
            <w:tcBorders>
              <w:top w:val="nil"/>
              <w:left w:val="nil"/>
              <w:bottom w:val="nil"/>
              <w:right w:val="nil"/>
            </w:tcBorders>
            <w:shd w:val="clear" w:color="000000" w:fill="FFFFFF"/>
            <w:noWrap/>
            <w:vAlign w:val="bottom"/>
            <w:hideMark/>
          </w:tcPr>
          <w:p w14:paraId="22561DE6"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5CC5B53A"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0.40</w:t>
            </w:r>
          </w:p>
        </w:tc>
        <w:tc>
          <w:tcPr>
            <w:tcW w:w="261" w:type="dxa"/>
            <w:tcBorders>
              <w:top w:val="nil"/>
              <w:left w:val="nil"/>
              <w:bottom w:val="nil"/>
              <w:right w:val="nil"/>
            </w:tcBorders>
            <w:shd w:val="clear" w:color="000000" w:fill="FFFFFF"/>
            <w:noWrap/>
            <w:vAlign w:val="bottom"/>
            <w:hideMark/>
          </w:tcPr>
          <w:p w14:paraId="27C66683"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01576D6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120D030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1838F72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5C6DBA6A"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78955BA5"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6" w:type="dxa"/>
            <w:tcBorders>
              <w:top w:val="nil"/>
              <w:left w:val="nil"/>
              <w:bottom w:val="nil"/>
              <w:right w:val="nil"/>
            </w:tcBorders>
            <w:shd w:val="clear" w:color="000000" w:fill="FFFFFF"/>
            <w:noWrap/>
            <w:vAlign w:val="bottom"/>
            <w:hideMark/>
          </w:tcPr>
          <w:p w14:paraId="14E9B71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6521A16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0.41</w:t>
            </w:r>
          </w:p>
        </w:tc>
        <w:tc>
          <w:tcPr>
            <w:tcW w:w="261" w:type="dxa"/>
            <w:tcBorders>
              <w:top w:val="nil"/>
              <w:left w:val="nil"/>
              <w:bottom w:val="nil"/>
              <w:right w:val="nil"/>
            </w:tcBorders>
            <w:shd w:val="clear" w:color="000000" w:fill="FFFFFF"/>
            <w:noWrap/>
            <w:vAlign w:val="bottom"/>
            <w:hideMark/>
          </w:tcPr>
          <w:p w14:paraId="563ADC04"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2B17643D"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0.49</w:t>
            </w:r>
          </w:p>
        </w:tc>
        <w:tc>
          <w:tcPr>
            <w:tcW w:w="261" w:type="dxa"/>
            <w:tcBorders>
              <w:top w:val="nil"/>
              <w:left w:val="nil"/>
              <w:bottom w:val="nil"/>
              <w:right w:val="nil"/>
            </w:tcBorders>
            <w:shd w:val="clear" w:color="000000" w:fill="FFFFFF"/>
            <w:noWrap/>
            <w:vAlign w:val="bottom"/>
            <w:hideMark/>
          </w:tcPr>
          <w:p w14:paraId="3B6D4962"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6AA50A8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58925D72"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0217CE4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66518143"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5FD8D0C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6" w:type="dxa"/>
            <w:tcBorders>
              <w:top w:val="nil"/>
              <w:left w:val="nil"/>
              <w:bottom w:val="nil"/>
              <w:right w:val="nil"/>
            </w:tcBorders>
            <w:shd w:val="clear" w:color="000000" w:fill="FFFFFF"/>
            <w:noWrap/>
            <w:vAlign w:val="bottom"/>
            <w:hideMark/>
          </w:tcPr>
          <w:p w14:paraId="1BCDCF7D"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vAlign w:val="center"/>
            <w:hideMark/>
          </w:tcPr>
          <w:p w14:paraId="419DB18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-0.21***</w:t>
            </w:r>
          </w:p>
        </w:tc>
      </w:tr>
      <w:tr w:rsidR="00732928" w:rsidRPr="00732928" w14:paraId="26396CB7" w14:textId="77777777" w:rsidTr="00732928">
        <w:trPr>
          <w:trHeight w:val="290"/>
        </w:trPr>
        <w:tc>
          <w:tcPr>
            <w:tcW w:w="2246" w:type="dxa"/>
            <w:gridSpan w:val="2"/>
            <w:tcBorders>
              <w:top w:val="nil"/>
              <w:left w:val="nil"/>
              <w:bottom w:val="nil"/>
              <w:right w:val="nil"/>
            </w:tcBorders>
            <w:shd w:val="clear" w:color="000000" w:fill="FFFFFF"/>
            <w:noWrap/>
            <w:vAlign w:val="center"/>
            <w:hideMark/>
          </w:tcPr>
          <w:p w14:paraId="79F6B240"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CEO-chairman</w:t>
            </w:r>
          </w:p>
        </w:tc>
        <w:tc>
          <w:tcPr>
            <w:tcW w:w="942" w:type="dxa"/>
            <w:tcBorders>
              <w:top w:val="nil"/>
              <w:left w:val="nil"/>
              <w:bottom w:val="nil"/>
              <w:right w:val="nil"/>
            </w:tcBorders>
            <w:shd w:val="clear" w:color="000000" w:fill="FFFFFF"/>
            <w:noWrap/>
            <w:vAlign w:val="center"/>
            <w:hideMark/>
          </w:tcPr>
          <w:p w14:paraId="0821376A"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0.13</w:t>
            </w:r>
          </w:p>
        </w:tc>
        <w:tc>
          <w:tcPr>
            <w:tcW w:w="261" w:type="dxa"/>
            <w:tcBorders>
              <w:top w:val="nil"/>
              <w:left w:val="nil"/>
              <w:bottom w:val="nil"/>
              <w:right w:val="nil"/>
            </w:tcBorders>
            <w:shd w:val="clear" w:color="000000" w:fill="FFFFFF"/>
            <w:noWrap/>
            <w:vAlign w:val="bottom"/>
            <w:hideMark/>
          </w:tcPr>
          <w:p w14:paraId="7D57A237"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25F7077A"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0.34</w:t>
            </w:r>
          </w:p>
        </w:tc>
        <w:tc>
          <w:tcPr>
            <w:tcW w:w="261" w:type="dxa"/>
            <w:tcBorders>
              <w:top w:val="nil"/>
              <w:left w:val="nil"/>
              <w:bottom w:val="nil"/>
              <w:right w:val="nil"/>
            </w:tcBorders>
            <w:shd w:val="clear" w:color="000000" w:fill="FFFFFF"/>
            <w:noWrap/>
            <w:vAlign w:val="bottom"/>
            <w:hideMark/>
          </w:tcPr>
          <w:p w14:paraId="10E69197"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786BFF2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62288F4D"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490E5AD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46C07440"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60389C4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6" w:type="dxa"/>
            <w:tcBorders>
              <w:top w:val="nil"/>
              <w:left w:val="nil"/>
              <w:bottom w:val="nil"/>
              <w:right w:val="nil"/>
            </w:tcBorders>
            <w:shd w:val="clear" w:color="000000" w:fill="FFFFFF"/>
            <w:noWrap/>
            <w:vAlign w:val="bottom"/>
            <w:hideMark/>
          </w:tcPr>
          <w:p w14:paraId="76D0589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31E44C70"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0.23</w:t>
            </w:r>
          </w:p>
        </w:tc>
        <w:tc>
          <w:tcPr>
            <w:tcW w:w="261" w:type="dxa"/>
            <w:tcBorders>
              <w:top w:val="nil"/>
              <w:left w:val="nil"/>
              <w:bottom w:val="nil"/>
              <w:right w:val="nil"/>
            </w:tcBorders>
            <w:shd w:val="clear" w:color="000000" w:fill="FFFFFF"/>
            <w:noWrap/>
            <w:vAlign w:val="bottom"/>
            <w:hideMark/>
          </w:tcPr>
          <w:p w14:paraId="1E553098"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4535EAC5"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0.42</w:t>
            </w:r>
          </w:p>
        </w:tc>
        <w:tc>
          <w:tcPr>
            <w:tcW w:w="261" w:type="dxa"/>
            <w:tcBorders>
              <w:top w:val="nil"/>
              <w:left w:val="nil"/>
              <w:bottom w:val="nil"/>
              <w:right w:val="nil"/>
            </w:tcBorders>
            <w:shd w:val="clear" w:color="000000" w:fill="FFFFFF"/>
            <w:noWrap/>
            <w:vAlign w:val="bottom"/>
            <w:hideMark/>
          </w:tcPr>
          <w:p w14:paraId="407C6035"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7E83A685"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1B983148"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38A75F76"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08061693"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6C9CBDA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6" w:type="dxa"/>
            <w:tcBorders>
              <w:top w:val="nil"/>
              <w:left w:val="nil"/>
              <w:bottom w:val="nil"/>
              <w:right w:val="nil"/>
            </w:tcBorders>
            <w:shd w:val="clear" w:color="000000" w:fill="FFFFFF"/>
            <w:noWrap/>
            <w:vAlign w:val="bottom"/>
            <w:hideMark/>
          </w:tcPr>
          <w:p w14:paraId="54255922"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vAlign w:val="center"/>
            <w:hideMark/>
          </w:tcPr>
          <w:p w14:paraId="37D94BB0"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-0.10***</w:t>
            </w:r>
          </w:p>
        </w:tc>
      </w:tr>
      <w:tr w:rsidR="00732928" w:rsidRPr="00732928" w14:paraId="45BC64EC" w14:textId="77777777" w:rsidTr="00732928">
        <w:trPr>
          <w:trHeight w:val="290"/>
        </w:trPr>
        <w:tc>
          <w:tcPr>
            <w:tcW w:w="2246" w:type="dxa"/>
            <w:gridSpan w:val="2"/>
            <w:tcBorders>
              <w:top w:val="nil"/>
              <w:left w:val="nil"/>
              <w:bottom w:val="nil"/>
              <w:right w:val="nil"/>
            </w:tcBorders>
            <w:shd w:val="clear" w:color="000000" w:fill="FFFFFF"/>
            <w:noWrap/>
            <w:vAlign w:val="center"/>
            <w:hideMark/>
          </w:tcPr>
          <w:p w14:paraId="040C70CA"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Draft</w:t>
            </w:r>
          </w:p>
        </w:tc>
        <w:tc>
          <w:tcPr>
            <w:tcW w:w="942" w:type="dxa"/>
            <w:tcBorders>
              <w:top w:val="nil"/>
              <w:left w:val="nil"/>
              <w:bottom w:val="nil"/>
              <w:right w:val="nil"/>
            </w:tcBorders>
            <w:shd w:val="clear" w:color="000000" w:fill="FFFFFF"/>
            <w:noWrap/>
            <w:vAlign w:val="center"/>
            <w:hideMark/>
          </w:tcPr>
          <w:p w14:paraId="6C4FB3B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0.61</w:t>
            </w:r>
          </w:p>
        </w:tc>
        <w:tc>
          <w:tcPr>
            <w:tcW w:w="261" w:type="dxa"/>
            <w:tcBorders>
              <w:top w:val="nil"/>
              <w:left w:val="nil"/>
              <w:bottom w:val="nil"/>
              <w:right w:val="nil"/>
            </w:tcBorders>
            <w:shd w:val="clear" w:color="000000" w:fill="FFFFFF"/>
            <w:noWrap/>
            <w:vAlign w:val="bottom"/>
            <w:hideMark/>
          </w:tcPr>
          <w:p w14:paraId="48AE9ED7"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6E1087D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0.49</w:t>
            </w:r>
          </w:p>
        </w:tc>
        <w:tc>
          <w:tcPr>
            <w:tcW w:w="261" w:type="dxa"/>
            <w:tcBorders>
              <w:top w:val="nil"/>
              <w:left w:val="nil"/>
              <w:bottom w:val="nil"/>
              <w:right w:val="nil"/>
            </w:tcBorders>
            <w:shd w:val="clear" w:color="000000" w:fill="FFFFFF"/>
            <w:noWrap/>
            <w:vAlign w:val="bottom"/>
            <w:hideMark/>
          </w:tcPr>
          <w:p w14:paraId="0B37B52C"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732E14D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49E2CE0E"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1D07C76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1" w:type="dxa"/>
            <w:tcBorders>
              <w:top w:val="nil"/>
              <w:left w:val="nil"/>
              <w:bottom w:val="nil"/>
              <w:right w:val="nil"/>
            </w:tcBorders>
            <w:shd w:val="clear" w:color="000000" w:fill="FFFFFF"/>
            <w:noWrap/>
            <w:vAlign w:val="bottom"/>
            <w:hideMark/>
          </w:tcPr>
          <w:p w14:paraId="4E7A805B"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4C9B022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6" w:type="dxa"/>
            <w:tcBorders>
              <w:top w:val="nil"/>
              <w:left w:val="nil"/>
              <w:bottom w:val="nil"/>
              <w:right w:val="nil"/>
            </w:tcBorders>
            <w:shd w:val="clear" w:color="000000" w:fill="FFFFFF"/>
            <w:noWrap/>
            <w:vAlign w:val="bottom"/>
            <w:hideMark/>
          </w:tcPr>
          <w:p w14:paraId="71AE0C2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3D15DFCF"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0.36</w:t>
            </w:r>
          </w:p>
        </w:tc>
        <w:tc>
          <w:tcPr>
            <w:tcW w:w="261" w:type="dxa"/>
            <w:tcBorders>
              <w:top w:val="nil"/>
              <w:left w:val="nil"/>
              <w:bottom w:val="nil"/>
              <w:right w:val="nil"/>
            </w:tcBorders>
            <w:shd w:val="clear" w:color="000000" w:fill="FFFFFF"/>
            <w:noWrap/>
            <w:vAlign w:val="bottom"/>
            <w:hideMark/>
          </w:tcPr>
          <w:p w14:paraId="0B37CA5D"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765B142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0.48</w:t>
            </w:r>
          </w:p>
        </w:tc>
        <w:tc>
          <w:tcPr>
            <w:tcW w:w="261" w:type="dxa"/>
            <w:tcBorders>
              <w:top w:val="nil"/>
              <w:left w:val="nil"/>
              <w:bottom w:val="nil"/>
              <w:right w:val="nil"/>
            </w:tcBorders>
            <w:shd w:val="clear" w:color="000000" w:fill="FFFFFF"/>
            <w:noWrap/>
            <w:vAlign w:val="bottom"/>
            <w:hideMark/>
          </w:tcPr>
          <w:p w14:paraId="1F21B347"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6AE775C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4C9EE62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06EF63B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w:t>
            </w:r>
          </w:p>
        </w:tc>
        <w:tc>
          <w:tcPr>
            <w:tcW w:w="261" w:type="dxa"/>
            <w:tcBorders>
              <w:top w:val="nil"/>
              <w:left w:val="nil"/>
              <w:bottom w:val="nil"/>
              <w:right w:val="nil"/>
            </w:tcBorders>
            <w:shd w:val="clear" w:color="000000" w:fill="FFFFFF"/>
            <w:noWrap/>
            <w:vAlign w:val="bottom"/>
            <w:hideMark/>
          </w:tcPr>
          <w:p w14:paraId="28D15A9E"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028E31E6"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6" w:type="dxa"/>
            <w:tcBorders>
              <w:top w:val="nil"/>
              <w:left w:val="nil"/>
              <w:bottom w:val="nil"/>
              <w:right w:val="nil"/>
            </w:tcBorders>
            <w:shd w:val="clear" w:color="000000" w:fill="FFFFFF"/>
            <w:noWrap/>
            <w:vAlign w:val="bottom"/>
            <w:hideMark/>
          </w:tcPr>
          <w:p w14:paraId="241CF782"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noWrap/>
            <w:vAlign w:val="center"/>
            <w:hideMark/>
          </w:tcPr>
          <w:p w14:paraId="064FFD7D"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0.25***</w:t>
            </w:r>
          </w:p>
        </w:tc>
      </w:tr>
      <w:tr w:rsidR="00732928" w:rsidRPr="00732928" w14:paraId="11AF8312" w14:textId="77777777" w:rsidTr="00732928">
        <w:trPr>
          <w:trHeight w:val="290"/>
        </w:trPr>
        <w:tc>
          <w:tcPr>
            <w:tcW w:w="2246" w:type="dxa"/>
            <w:gridSpan w:val="2"/>
            <w:tcBorders>
              <w:top w:val="nil"/>
              <w:left w:val="nil"/>
              <w:bottom w:val="nil"/>
              <w:right w:val="nil"/>
            </w:tcBorders>
            <w:shd w:val="clear" w:color="000000" w:fill="FFFFFF"/>
            <w:noWrap/>
            <w:vAlign w:val="center"/>
            <w:hideMark/>
          </w:tcPr>
          <w:p w14:paraId="67789AA2"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S-1 size</w:t>
            </w:r>
          </w:p>
        </w:tc>
        <w:tc>
          <w:tcPr>
            <w:tcW w:w="942" w:type="dxa"/>
            <w:tcBorders>
              <w:top w:val="nil"/>
              <w:left w:val="nil"/>
              <w:bottom w:val="nil"/>
              <w:right w:val="nil"/>
            </w:tcBorders>
            <w:shd w:val="clear" w:color="000000" w:fill="FFFFFF"/>
            <w:noWrap/>
            <w:vAlign w:val="center"/>
            <w:hideMark/>
          </w:tcPr>
          <w:p w14:paraId="18D11E15"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7.24</w:t>
            </w:r>
          </w:p>
        </w:tc>
        <w:tc>
          <w:tcPr>
            <w:tcW w:w="261" w:type="dxa"/>
            <w:tcBorders>
              <w:top w:val="nil"/>
              <w:left w:val="nil"/>
              <w:bottom w:val="nil"/>
              <w:right w:val="nil"/>
            </w:tcBorders>
            <w:shd w:val="clear" w:color="000000" w:fill="FFFFFF"/>
            <w:noWrap/>
            <w:vAlign w:val="bottom"/>
            <w:hideMark/>
          </w:tcPr>
          <w:p w14:paraId="297BCE5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0DA6C63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4.79</w:t>
            </w:r>
          </w:p>
        </w:tc>
        <w:tc>
          <w:tcPr>
            <w:tcW w:w="261" w:type="dxa"/>
            <w:tcBorders>
              <w:top w:val="nil"/>
              <w:left w:val="nil"/>
              <w:bottom w:val="nil"/>
              <w:right w:val="nil"/>
            </w:tcBorders>
            <w:shd w:val="clear" w:color="000000" w:fill="FFFFFF"/>
            <w:noWrap/>
            <w:vAlign w:val="bottom"/>
            <w:hideMark/>
          </w:tcPr>
          <w:p w14:paraId="520F7FE0"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37A9A84A"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1.32</w:t>
            </w:r>
          </w:p>
        </w:tc>
        <w:tc>
          <w:tcPr>
            <w:tcW w:w="261" w:type="dxa"/>
            <w:tcBorders>
              <w:top w:val="nil"/>
              <w:left w:val="nil"/>
              <w:bottom w:val="nil"/>
              <w:right w:val="nil"/>
            </w:tcBorders>
            <w:shd w:val="clear" w:color="000000" w:fill="FFFFFF"/>
            <w:noWrap/>
            <w:vAlign w:val="bottom"/>
            <w:hideMark/>
          </w:tcPr>
          <w:p w14:paraId="02A9F8A7"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4DB4C30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6.40</w:t>
            </w:r>
          </w:p>
        </w:tc>
        <w:tc>
          <w:tcPr>
            <w:tcW w:w="261" w:type="dxa"/>
            <w:tcBorders>
              <w:top w:val="nil"/>
              <w:left w:val="nil"/>
              <w:bottom w:val="nil"/>
              <w:right w:val="nil"/>
            </w:tcBorders>
            <w:shd w:val="clear" w:color="000000" w:fill="FFFFFF"/>
            <w:noWrap/>
            <w:vAlign w:val="bottom"/>
            <w:hideMark/>
          </w:tcPr>
          <w:p w14:paraId="2AAA013E"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56FE660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30.87</w:t>
            </w:r>
          </w:p>
        </w:tc>
        <w:tc>
          <w:tcPr>
            <w:tcW w:w="266" w:type="dxa"/>
            <w:tcBorders>
              <w:top w:val="nil"/>
              <w:left w:val="nil"/>
              <w:bottom w:val="nil"/>
              <w:right w:val="nil"/>
            </w:tcBorders>
            <w:shd w:val="clear" w:color="000000" w:fill="FFFFFF"/>
            <w:noWrap/>
            <w:vAlign w:val="bottom"/>
            <w:hideMark/>
          </w:tcPr>
          <w:p w14:paraId="789C6DA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2427CDC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6.73</w:t>
            </w:r>
          </w:p>
        </w:tc>
        <w:tc>
          <w:tcPr>
            <w:tcW w:w="261" w:type="dxa"/>
            <w:tcBorders>
              <w:top w:val="nil"/>
              <w:left w:val="nil"/>
              <w:bottom w:val="nil"/>
              <w:right w:val="nil"/>
            </w:tcBorders>
            <w:shd w:val="clear" w:color="000000" w:fill="FFFFFF"/>
            <w:noWrap/>
            <w:vAlign w:val="bottom"/>
            <w:hideMark/>
          </w:tcPr>
          <w:p w14:paraId="260F1069"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2AF544F1"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6.15</w:t>
            </w:r>
          </w:p>
        </w:tc>
        <w:tc>
          <w:tcPr>
            <w:tcW w:w="261" w:type="dxa"/>
            <w:tcBorders>
              <w:top w:val="nil"/>
              <w:left w:val="nil"/>
              <w:bottom w:val="nil"/>
              <w:right w:val="nil"/>
            </w:tcBorders>
            <w:shd w:val="clear" w:color="000000" w:fill="FFFFFF"/>
            <w:noWrap/>
            <w:vAlign w:val="bottom"/>
            <w:hideMark/>
          </w:tcPr>
          <w:p w14:paraId="1E629F41"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488441F3"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1.37</w:t>
            </w:r>
          </w:p>
        </w:tc>
        <w:tc>
          <w:tcPr>
            <w:tcW w:w="261" w:type="dxa"/>
            <w:tcBorders>
              <w:top w:val="nil"/>
              <w:left w:val="nil"/>
              <w:bottom w:val="nil"/>
              <w:right w:val="nil"/>
            </w:tcBorders>
            <w:shd w:val="clear" w:color="000000" w:fill="FFFFFF"/>
            <w:noWrap/>
            <w:vAlign w:val="bottom"/>
            <w:hideMark/>
          </w:tcPr>
          <w:p w14:paraId="14E2F01B"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6121F3B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5.33</w:t>
            </w:r>
          </w:p>
        </w:tc>
        <w:tc>
          <w:tcPr>
            <w:tcW w:w="261" w:type="dxa"/>
            <w:tcBorders>
              <w:top w:val="nil"/>
              <w:left w:val="nil"/>
              <w:bottom w:val="nil"/>
              <w:right w:val="nil"/>
            </w:tcBorders>
            <w:shd w:val="clear" w:color="000000" w:fill="FFFFFF"/>
            <w:noWrap/>
            <w:vAlign w:val="bottom"/>
            <w:hideMark/>
          </w:tcPr>
          <w:p w14:paraId="6E8F2D8F"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05D3B9B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23.80</w:t>
            </w:r>
          </w:p>
        </w:tc>
        <w:tc>
          <w:tcPr>
            <w:tcW w:w="266" w:type="dxa"/>
            <w:tcBorders>
              <w:top w:val="nil"/>
              <w:left w:val="nil"/>
              <w:bottom w:val="nil"/>
              <w:right w:val="nil"/>
            </w:tcBorders>
            <w:shd w:val="clear" w:color="000000" w:fill="FFFFFF"/>
            <w:noWrap/>
            <w:vAlign w:val="bottom"/>
            <w:hideMark/>
          </w:tcPr>
          <w:p w14:paraId="26896BFE"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noWrap/>
            <w:vAlign w:val="center"/>
            <w:hideMark/>
          </w:tcPr>
          <w:p w14:paraId="0100AB1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0.51</w:t>
            </w:r>
          </w:p>
        </w:tc>
      </w:tr>
      <w:tr w:rsidR="00732928" w:rsidRPr="00732928" w14:paraId="0B7501FB" w14:textId="77777777" w:rsidTr="00732928">
        <w:trPr>
          <w:trHeight w:val="290"/>
        </w:trPr>
        <w:tc>
          <w:tcPr>
            <w:tcW w:w="2246" w:type="dxa"/>
            <w:gridSpan w:val="2"/>
            <w:tcBorders>
              <w:top w:val="nil"/>
              <w:left w:val="nil"/>
              <w:bottom w:val="nil"/>
              <w:right w:val="nil"/>
            </w:tcBorders>
            <w:shd w:val="clear" w:color="000000" w:fill="FFFFFF"/>
            <w:noWrap/>
            <w:vAlign w:val="center"/>
            <w:hideMark/>
          </w:tcPr>
          <w:p w14:paraId="1543FF7E"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No. IPOs (decile rank)</w:t>
            </w:r>
          </w:p>
        </w:tc>
        <w:tc>
          <w:tcPr>
            <w:tcW w:w="942" w:type="dxa"/>
            <w:tcBorders>
              <w:top w:val="nil"/>
              <w:left w:val="nil"/>
              <w:bottom w:val="nil"/>
              <w:right w:val="nil"/>
            </w:tcBorders>
            <w:shd w:val="clear" w:color="000000" w:fill="FFFFFF"/>
            <w:noWrap/>
            <w:vAlign w:val="center"/>
            <w:hideMark/>
          </w:tcPr>
          <w:p w14:paraId="6CAD3B5B"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4.91</w:t>
            </w:r>
          </w:p>
        </w:tc>
        <w:tc>
          <w:tcPr>
            <w:tcW w:w="261" w:type="dxa"/>
            <w:tcBorders>
              <w:top w:val="nil"/>
              <w:left w:val="nil"/>
              <w:bottom w:val="nil"/>
              <w:right w:val="nil"/>
            </w:tcBorders>
            <w:shd w:val="clear" w:color="000000" w:fill="FFFFFF"/>
            <w:noWrap/>
            <w:vAlign w:val="bottom"/>
            <w:hideMark/>
          </w:tcPr>
          <w:p w14:paraId="4CCB0B8E"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248721A0"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1.76</w:t>
            </w:r>
          </w:p>
        </w:tc>
        <w:tc>
          <w:tcPr>
            <w:tcW w:w="261" w:type="dxa"/>
            <w:tcBorders>
              <w:top w:val="nil"/>
              <w:left w:val="nil"/>
              <w:bottom w:val="nil"/>
              <w:right w:val="nil"/>
            </w:tcBorders>
            <w:shd w:val="clear" w:color="000000" w:fill="FFFFFF"/>
            <w:noWrap/>
            <w:vAlign w:val="bottom"/>
            <w:hideMark/>
          </w:tcPr>
          <w:p w14:paraId="6F21C533"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7D9719B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1" w:type="dxa"/>
            <w:tcBorders>
              <w:top w:val="nil"/>
              <w:left w:val="nil"/>
              <w:bottom w:val="nil"/>
              <w:right w:val="nil"/>
            </w:tcBorders>
            <w:shd w:val="clear" w:color="000000" w:fill="FFFFFF"/>
            <w:noWrap/>
            <w:vAlign w:val="bottom"/>
            <w:hideMark/>
          </w:tcPr>
          <w:p w14:paraId="28C2090D"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36E1F88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6</w:t>
            </w:r>
          </w:p>
        </w:tc>
        <w:tc>
          <w:tcPr>
            <w:tcW w:w="261" w:type="dxa"/>
            <w:tcBorders>
              <w:top w:val="nil"/>
              <w:left w:val="nil"/>
              <w:bottom w:val="nil"/>
              <w:right w:val="nil"/>
            </w:tcBorders>
            <w:shd w:val="clear" w:color="000000" w:fill="FFFFFF"/>
            <w:noWrap/>
            <w:vAlign w:val="bottom"/>
            <w:hideMark/>
          </w:tcPr>
          <w:p w14:paraId="16087E2F"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5EDD7F7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8</w:t>
            </w:r>
          </w:p>
        </w:tc>
        <w:tc>
          <w:tcPr>
            <w:tcW w:w="266" w:type="dxa"/>
            <w:tcBorders>
              <w:top w:val="nil"/>
              <w:left w:val="nil"/>
              <w:bottom w:val="nil"/>
              <w:right w:val="nil"/>
            </w:tcBorders>
            <w:shd w:val="clear" w:color="000000" w:fill="FFFFFF"/>
            <w:noWrap/>
            <w:vAlign w:val="bottom"/>
            <w:hideMark/>
          </w:tcPr>
          <w:p w14:paraId="726F6FB0"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381C980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4.48</w:t>
            </w:r>
          </w:p>
        </w:tc>
        <w:tc>
          <w:tcPr>
            <w:tcW w:w="261" w:type="dxa"/>
            <w:tcBorders>
              <w:top w:val="nil"/>
              <w:left w:val="nil"/>
              <w:bottom w:val="nil"/>
              <w:right w:val="nil"/>
            </w:tcBorders>
            <w:shd w:val="clear" w:color="000000" w:fill="FFFFFF"/>
            <w:noWrap/>
            <w:vAlign w:val="bottom"/>
            <w:hideMark/>
          </w:tcPr>
          <w:p w14:paraId="3C00ACA4"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00EBEB9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2.23</w:t>
            </w:r>
          </w:p>
        </w:tc>
        <w:tc>
          <w:tcPr>
            <w:tcW w:w="261" w:type="dxa"/>
            <w:tcBorders>
              <w:top w:val="nil"/>
              <w:left w:val="nil"/>
              <w:bottom w:val="nil"/>
              <w:right w:val="nil"/>
            </w:tcBorders>
            <w:shd w:val="clear" w:color="000000" w:fill="FFFFFF"/>
            <w:noWrap/>
            <w:vAlign w:val="bottom"/>
            <w:hideMark/>
          </w:tcPr>
          <w:p w14:paraId="75B9DBCA"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7631CFB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1</w:t>
            </w:r>
          </w:p>
        </w:tc>
        <w:tc>
          <w:tcPr>
            <w:tcW w:w="261" w:type="dxa"/>
            <w:tcBorders>
              <w:top w:val="nil"/>
              <w:left w:val="nil"/>
              <w:bottom w:val="nil"/>
              <w:right w:val="nil"/>
            </w:tcBorders>
            <w:shd w:val="clear" w:color="000000" w:fill="FFFFFF"/>
            <w:noWrap/>
            <w:vAlign w:val="bottom"/>
            <w:hideMark/>
          </w:tcPr>
          <w:p w14:paraId="6FFA841B"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78AAFDE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5</w:t>
            </w:r>
          </w:p>
        </w:tc>
        <w:tc>
          <w:tcPr>
            <w:tcW w:w="261" w:type="dxa"/>
            <w:tcBorders>
              <w:top w:val="nil"/>
              <w:left w:val="nil"/>
              <w:bottom w:val="nil"/>
              <w:right w:val="nil"/>
            </w:tcBorders>
            <w:shd w:val="clear" w:color="000000" w:fill="FFFFFF"/>
            <w:noWrap/>
            <w:vAlign w:val="bottom"/>
            <w:hideMark/>
          </w:tcPr>
          <w:p w14:paraId="52DBC875"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54A6113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9</w:t>
            </w:r>
          </w:p>
        </w:tc>
        <w:tc>
          <w:tcPr>
            <w:tcW w:w="266" w:type="dxa"/>
            <w:tcBorders>
              <w:top w:val="nil"/>
              <w:left w:val="nil"/>
              <w:bottom w:val="nil"/>
              <w:right w:val="nil"/>
            </w:tcBorders>
            <w:shd w:val="clear" w:color="000000" w:fill="FFFFFF"/>
            <w:noWrap/>
            <w:vAlign w:val="bottom"/>
            <w:hideMark/>
          </w:tcPr>
          <w:p w14:paraId="01F017BF" w14:textId="77777777" w:rsidR="00732928" w:rsidRPr="00732928" w:rsidRDefault="00732928" w:rsidP="00732928">
            <w:pPr>
              <w:rPr>
                <w:rFonts w:ascii="Calibri" w:eastAsia="Times New Roman" w:hAnsi="Calibri" w:cs="Calibri"/>
                <w:color w:val="000000"/>
                <w:sz w:val="22"/>
                <w:szCs w:val="22"/>
              </w:rPr>
            </w:pPr>
            <w:r w:rsidRPr="00732928">
              <w:rPr>
                <w:rFonts w:ascii="Calibri" w:eastAsia="Times New Roman" w:hAnsi="Calibri" w:cs="Calibri"/>
                <w:color w:val="000000"/>
                <w:sz w:val="22"/>
                <w:szCs w:val="22"/>
              </w:rPr>
              <w:t> </w:t>
            </w:r>
          </w:p>
        </w:tc>
        <w:tc>
          <w:tcPr>
            <w:tcW w:w="1044" w:type="dxa"/>
            <w:tcBorders>
              <w:top w:val="nil"/>
              <w:left w:val="nil"/>
              <w:bottom w:val="nil"/>
              <w:right w:val="nil"/>
            </w:tcBorders>
            <w:shd w:val="clear" w:color="000000" w:fill="FFFFFF"/>
            <w:noWrap/>
            <w:vAlign w:val="center"/>
            <w:hideMark/>
          </w:tcPr>
          <w:p w14:paraId="72CBB1E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0.43**</w:t>
            </w:r>
          </w:p>
        </w:tc>
      </w:tr>
      <w:tr w:rsidR="00732928" w:rsidRPr="00732928" w14:paraId="1493AC1B" w14:textId="77777777" w:rsidTr="00732928">
        <w:trPr>
          <w:trHeight w:val="290"/>
        </w:trPr>
        <w:tc>
          <w:tcPr>
            <w:tcW w:w="1985" w:type="dxa"/>
            <w:tcBorders>
              <w:top w:val="nil"/>
              <w:left w:val="nil"/>
              <w:bottom w:val="nil"/>
              <w:right w:val="nil"/>
            </w:tcBorders>
            <w:shd w:val="clear" w:color="000000" w:fill="FFFFFF"/>
            <w:noWrap/>
            <w:vAlign w:val="center"/>
            <w:hideMark/>
          </w:tcPr>
          <w:p w14:paraId="22D9A592"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Underwriter rank</w:t>
            </w:r>
          </w:p>
        </w:tc>
        <w:tc>
          <w:tcPr>
            <w:tcW w:w="261" w:type="dxa"/>
            <w:tcBorders>
              <w:top w:val="nil"/>
              <w:left w:val="nil"/>
              <w:bottom w:val="nil"/>
              <w:right w:val="nil"/>
            </w:tcBorders>
            <w:shd w:val="clear" w:color="000000" w:fill="FFFFFF"/>
            <w:noWrap/>
            <w:vAlign w:val="center"/>
            <w:hideMark/>
          </w:tcPr>
          <w:p w14:paraId="12B18C09" w14:textId="77777777" w:rsidR="00732928" w:rsidRPr="00732928" w:rsidRDefault="00732928" w:rsidP="00732928">
            <w:pPr>
              <w:rPr>
                <w:rFonts w:eastAsia="Times New Roman"/>
                <w:color w:val="000000"/>
                <w:sz w:val="18"/>
                <w:szCs w:val="18"/>
              </w:rPr>
            </w:pPr>
            <w:r w:rsidRPr="00732928">
              <w:rPr>
                <w:rFonts w:eastAsia="Times New Roman"/>
                <w:color w:val="000000"/>
                <w:sz w:val="18"/>
                <w:szCs w:val="18"/>
              </w:rPr>
              <w:t> </w:t>
            </w:r>
          </w:p>
        </w:tc>
        <w:tc>
          <w:tcPr>
            <w:tcW w:w="942" w:type="dxa"/>
            <w:tcBorders>
              <w:top w:val="nil"/>
              <w:left w:val="nil"/>
              <w:bottom w:val="nil"/>
              <w:right w:val="nil"/>
            </w:tcBorders>
            <w:shd w:val="clear" w:color="000000" w:fill="FFFFFF"/>
            <w:noWrap/>
            <w:vAlign w:val="center"/>
            <w:hideMark/>
          </w:tcPr>
          <w:p w14:paraId="4055FF60"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4.63</w:t>
            </w:r>
          </w:p>
        </w:tc>
        <w:tc>
          <w:tcPr>
            <w:tcW w:w="261" w:type="dxa"/>
            <w:tcBorders>
              <w:top w:val="nil"/>
              <w:left w:val="nil"/>
              <w:bottom w:val="nil"/>
              <w:right w:val="nil"/>
            </w:tcBorders>
            <w:shd w:val="clear" w:color="000000" w:fill="FFFFFF"/>
            <w:noWrap/>
            <w:vAlign w:val="center"/>
            <w:hideMark/>
          </w:tcPr>
          <w:p w14:paraId="3E32D201"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87" w:type="dxa"/>
            <w:tcBorders>
              <w:top w:val="nil"/>
              <w:left w:val="nil"/>
              <w:bottom w:val="nil"/>
              <w:right w:val="nil"/>
            </w:tcBorders>
            <w:shd w:val="clear" w:color="000000" w:fill="FFFFFF"/>
            <w:noWrap/>
            <w:vAlign w:val="center"/>
            <w:hideMark/>
          </w:tcPr>
          <w:p w14:paraId="3EAF38D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5.40</w:t>
            </w:r>
          </w:p>
        </w:tc>
        <w:tc>
          <w:tcPr>
            <w:tcW w:w="261" w:type="dxa"/>
            <w:tcBorders>
              <w:top w:val="nil"/>
              <w:left w:val="nil"/>
              <w:bottom w:val="nil"/>
              <w:right w:val="nil"/>
            </w:tcBorders>
            <w:shd w:val="clear" w:color="000000" w:fill="FFFFFF"/>
            <w:noWrap/>
            <w:vAlign w:val="center"/>
            <w:hideMark/>
          </w:tcPr>
          <w:p w14:paraId="63239C90"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861" w:type="dxa"/>
            <w:tcBorders>
              <w:top w:val="nil"/>
              <w:left w:val="nil"/>
              <w:bottom w:val="nil"/>
              <w:right w:val="nil"/>
            </w:tcBorders>
            <w:shd w:val="clear" w:color="000000" w:fill="FFFFFF"/>
            <w:noWrap/>
            <w:vAlign w:val="center"/>
            <w:hideMark/>
          </w:tcPr>
          <w:p w14:paraId="683A3D11"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-9.00</w:t>
            </w:r>
          </w:p>
        </w:tc>
        <w:tc>
          <w:tcPr>
            <w:tcW w:w="261" w:type="dxa"/>
            <w:tcBorders>
              <w:top w:val="nil"/>
              <w:left w:val="nil"/>
              <w:bottom w:val="nil"/>
              <w:right w:val="nil"/>
            </w:tcBorders>
            <w:shd w:val="clear" w:color="000000" w:fill="FFFFFF"/>
            <w:noWrap/>
            <w:vAlign w:val="center"/>
            <w:hideMark/>
          </w:tcPr>
          <w:p w14:paraId="1D459F94"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828" w:type="dxa"/>
            <w:tcBorders>
              <w:top w:val="nil"/>
              <w:left w:val="nil"/>
              <w:bottom w:val="nil"/>
              <w:right w:val="nil"/>
            </w:tcBorders>
            <w:shd w:val="clear" w:color="000000" w:fill="FFFFFF"/>
            <w:noWrap/>
            <w:vAlign w:val="center"/>
            <w:hideMark/>
          </w:tcPr>
          <w:p w14:paraId="1307A18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7.00</w:t>
            </w:r>
          </w:p>
        </w:tc>
        <w:tc>
          <w:tcPr>
            <w:tcW w:w="261" w:type="dxa"/>
            <w:tcBorders>
              <w:top w:val="nil"/>
              <w:left w:val="nil"/>
              <w:bottom w:val="nil"/>
              <w:right w:val="nil"/>
            </w:tcBorders>
            <w:shd w:val="clear" w:color="000000" w:fill="FFFFFF"/>
            <w:noWrap/>
            <w:vAlign w:val="center"/>
            <w:hideMark/>
          </w:tcPr>
          <w:p w14:paraId="26CD34DA"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82" w:type="dxa"/>
            <w:tcBorders>
              <w:top w:val="nil"/>
              <w:left w:val="nil"/>
              <w:bottom w:val="nil"/>
              <w:right w:val="nil"/>
            </w:tcBorders>
            <w:shd w:val="clear" w:color="000000" w:fill="FFFFFF"/>
            <w:noWrap/>
            <w:vAlign w:val="center"/>
            <w:hideMark/>
          </w:tcPr>
          <w:p w14:paraId="2971637E"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9.00</w:t>
            </w:r>
          </w:p>
        </w:tc>
        <w:tc>
          <w:tcPr>
            <w:tcW w:w="266" w:type="dxa"/>
            <w:tcBorders>
              <w:top w:val="nil"/>
              <w:left w:val="nil"/>
              <w:bottom w:val="nil"/>
              <w:right w:val="nil"/>
            </w:tcBorders>
            <w:shd w:val="clear" w:color="000000" w:fill="FFFFFF"/>
            <w:noWrap/>
            <w:vAlign w:val="center"/>
            <w:hideMark/>
          </w:tcPr>
          <w:p w14:paraId="7E029982"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11" w:type="dxa"/>
            <w:tcBorders>
              <w:top w:val="nil"/>
              <w:left w:val="nil"/>
              <w:bottom w:val="nil"/>
              <w:right w:val="nil"/>
            </w:tcBorders>
            <w:shd w:val="clear" w:color="000000" w:fill="FFFFFF"/>
            <w:noWrap/>
            <w:vAlign w:val="center"/>
            <w:hideMark/>
          </w:tcPr>
          <w:p w14:paraId="44C80E08"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5.05</w:t>
            </w:r>
          </w:p>
        </w:tc>
        <w:tc>
          <w:tcPr>
            <w:tcW w:w="261" w:type="dxa"/>
            <w:tcBorders>
              <w:top w:val="nil"/>
              <w:left w:val="nil"/>
              <w:bottom w:val="nil"/>
              <w:right w:val="nil"/>
            </w:tcBorders>
            <w:shd w:val="clear" w:color="000000" w:fill="FFFFFF"/>
            <w:noWrap/>
            <w:vAlign w:val="center"/>
            <w:hideMark/>
          </w:tcPr>
          <w:p w14:paraId="49CF21D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628" w:type="dxa"/>
            <w:tcBorders>
              <w:top w:val="nil"/>
              <w:left w:val="nil"/>
              <w:bottom w:val="nil"/>
              <w:right w:val="nil"/>
            </w:tcBorders>
            <w:shd w:val="clear" w:color="000000" w:fill="FFFFFF"/>
            <w:noWrap/>
            <w:vAlign w:val="center"/>
            <w:hideMark/>
          </w:tcPr>
          <w:p w14:paraId="2A524C9D"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6.74</w:t>
            </w:r>
          </w:p>
        </w:tc>
        <w:tc>
          <w:tcPr>
            <w:tcW w:w="261" w:type="dxa"/>
            <w:tcBorders>
              <w:top w:val="nil"/>
              <w:left w:val="nil"/>
              <w:bottom w:val="nil"/>
              <w:right w:val="nil"/>
            </w:tcBorders>
            <w:shd w:val="clear" w:color="000000" w:fill="FFFFFF"/>
            <w:noWrap/>
            <w:vAlign w:val="center"/>
            <w:hideMark/>
          </w:tcPr>
          <w:p w14:paraId="3251E12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731" w:type="dxa"/>
            <w:tcBorders>
              <w:top w:val="nil"/>
              <w:left w:val="nil"/>
              <w:bottom w:val="nil"/>
              <w:right w:val="nil"/>
            </w:tcBorders>
            <w:shd w:val="clear" w:color="000000" w:fill="FFFFFF"/>
            <w:noWrap/>
            <w:vAlign w:val="center"/>
            <w:hideMark/>
          </w:tcPr>
          <w:p w14:paraId="0A375EE7"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-9.00</w:t>
            </w:r>
          </w:p>
        </w:tc>
        <w:tc>
          <w:tcPr>
            <w:tcW w:w="261" w:type="dxa"/>
            <w:tcBorders>
              <w:top w:val="nil"/>
              <w:left w:val="nil"/>
              <w:bottom w:val="nil"/>
              <w:right w:val="nil"/>
            </w:tcBorders>
            <w:shd w:val="clear" w:color="000000" w:fill="FFFFFF"/>
            <w:noWrap/>
            <w:vAlign w:val="center"/>
            <w:hideMark/>
          </w:tcPr>
          <w:p w14:paraId="09406D35"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807" w:type="dxa"/>
            <w:tcBorders>
              <w:top w:val="nil"/>
              <w:left w:val="nil"/>
              <w:bottom w:val="nil"/>
              <w:right w:val="nil"/>
            </w:tcBorders>
            <w:shd w:val="clear" w:color="000000" w:fill="FFFFFF"/>
            <w:noWrap/>
            <w:vAlign w:val="center"/>
            <w:hideMark/>
          </w:tcPr>
          <w:p w14:paraId="07AA40F5"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8.00</w:t>
            </w:r>
          </w:p>
        </w:tc>
        <w:tc>
          <w:tcPr>
            <w:tcW w:w="261" w:type="dxa"/>
            <w:tcBorders>
              <w:top w:val="nil"/>
              <w:left w:val="nil"/>
              <w:bottom w:val="nil"/>
              <w:right w:val="nil"/>
            </w:tcBorders>
            <w:shd w:val="clear" w:color="000000" w:fill="FFFFFF"/>
            <w:noWrap/>
            <w:vAlign w:val="center"/>
            <w:hideMark/>
          </w:tcPr>
          <w:p w14:paraId="298A9B0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621" w:type="dxa"/>
            <w:tcBorders>
              <w:top w:val="nil"/>
              <w:left w:val="nil"/>
              <w:bottom w:val="nil"/>
              <w:right w:val="nil"/>
            </w:tcBorders>
            <w:shd w:val="clear" w:color="000000" w:fill="FFFFFF"/>
            <w:noWrap/>
            <w:vAlign w:val="center"/>
            <w:hideMark/>
          </w:tcPr>
          <w:p w14:paraId="456ADCFF"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9.00</w:t>
            </w:r>
          </w:p>
        </w:tc>
        <w:tc>
          <w:tcPr>
            <w:tcW w:w="266" w:type="dxa"/>
            <w:tcBorders>
              <w:top w:val="nil"/>
              <w:left w:val="nil"/>
              <w:bottom w:val="nil"/>
              <w:right w:val="nil"/>
            </w:tcBorders>
            <w:shd w:val="clear" w:color="000000" w:fill="FFFFFF"/>
            <w:noWrap/>
            <w:vAlign w:val="center"/>
            <w:hideMark/>
          </w:tcPr>
          <w:p w14:paraId="2FAD00F9"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 </w:t>
            </w:r>
          </w:p>
        </w:tc>
        <w:tc>
          <w:tcPr>
            <w:tcW w:w="1044" w:type="dxa"/>
            <w:tcBorders>
              <w:top w:val="nil"/>
              <w:left w:val="nil"/>
              <w:bottom w:val="nil"/>
              <w:right w:val="nil"/>
            </w:tcBorders>
            <w:shd w:val="clear" w:color="000000" w:fill="FFFFFF"/>
            <w:noWrap/>
            <w:vAlign w:val="center"/>
            <w:hideMark/>
          </w:tcPr>
          <w:p w14:paraId="1B0B1E3C" w14:textId="77777777" w:rsidR="00732928" w:rsidRPr="00732928" w:rsidRDefault="00732928" w:rsidP="00732928">
            <w:pPr>
              <w:jc w:val="center"/>
              <w:rPr>
                <w:rFonts w:eastAsia="Times New Roman"/>
                <w:color w:val="000000"/>
                <w:sz w:val="18"/>
                <w:szCs w:val="18"/>
              </w:rPr>
            </w:pPr>
            <w:r w:rsidRPr="00732928">
              <w:rPr>
                <w:rFonts w:eastAsia="Times New Roman"/>
                <w:color w:val="000000"/>
                <w:sz w:val="18"/>
                <w:szCs w:val="18"/>
              </w:rPr>
              <w:t>-0.42</w:t>
            </w:r>
          </w:p>
        </w:tc>
      </w:tr>
      <w:tr w:rsidR="00732928" w:rsidRPr="00732928" w14:paraId="0D3E32D6" w14:textId="77777777" w:rsidTr="00732928">
        <w:trPr>
          <w:trHeight w:val="290"/>
        </w:trPr>
        <w:tc>
          <w:tcPr>
            <w:tcW w:w="1985" w:type="dxa"/>
            <w:tcBorders>
              <w:top w:val="nil"/>
              <w:left w:val="nil"/>
              <w:bottom w:val="nil"/>
              <w:right w:val="nil"/>
            </w:tcBorders>
            <w:shd w:val="clear" w:color="auto" w:fill="auto"/>
            <w:noWrap/>
            <w:vAlign w:val="bottom"/>
            <w:hideMark/>
          </w:tcPr>
          <w:p w14:paraId="003E4627" w14:textId="77777777" w:rsidR="00732928" w:rsidRPr="00732928" w:rsidRDefault="00732928" w:rsidP="00732928">
            <w:pPr>
              <w:jc w:val="center"/>
              <w:rPr>
                <w:rFonts w:eastAsia="Times New Roman"/>
                <w:color w:val="000000"/>
                <w:sz w:val="18"/>
                <w:szCs w:val="18"/>
              </w:rPr>
            </w:pPr>
          </w:p>
        </w:tc>
        <w:tc>
          <w:tcPr>
            <w:tcW w:w="261" w:type="dxa"/>
            <w:tcBorders>
              <w:top w:val="nil"/>
              <w:left w:val="nil"/>
              <w:bottom w:val="nil"/>
              <w:right w:val="nil"/>
            </w:tcBorders>
            <w:shd w:val="clear" w:color="auto" w:fill="auto"/>
            <w:noWrap/>
            <w:vAlign w:val="bottom"/>
            <w:hideMark/>
          </w:tcPr>
          <w:p w14:paraId="7015FE70" w14:textId="77777777" w:rsidR="00732928" w:rsidRPr="00732928" w:rsidRDefault="00732928" w:rsidP="00732928">
            <w:pPr>
              <w:rPr>
                <w:rFonts w:eastAsia="Times New Roman"/>
                <w:sz w:val="20"/>
                <w:szCs w:val="20"/>
              </w:rPr>
            </w:pPr>
          </w:p>
        </w:tc>
        <w:tc>
          <w:tcPr>
            <w:tcW w:w="942" w:type="dxa"/>
            <w:tcBorders>
              <w:top w:val="nil"/>
              <w:left w:val="nil"/>
              <w:bottom w:val="nil"/>
              <w:right w:val="nil"/>
            </w:tcBorders>
            <w:shd w:val="clear" w:color="auto" w:fill="auto"/>
            <w:noWrap/>
            <w:vAlign w:val="bottom"/>
            <w:hideMark/>
          </w:tcPr>
          <w:p w14:paraId="16CEF857" w14:textId="77777777" w:rsidR="00732928" w:rsidRPr="00732928" w:rsidRDefault="00732928" w:rsidP="00732928">
            <w:pPr>
              <w:rPr>
                <w:rFonts w:eastAsia="Times New Roman"/>
                <w:sz w:val="20"/>
                <w:szCs w:val="20"/>
              </w:rPr>
            </w:pPr>
          </w:p>
        </w:tc>
        <w:tc>
          <w:tcPr>
            <w:tcW w:w="261" w:type="dxa"/>
            <w:tcBorders>
              <w:top w:val="nil"/>
              <w:left w:val="nil"/>
              <w:bottom w:val="nil"/>
              <w:right w:val="nil"/>
            </w:tcBorders>
            <w:shd w:val="clear" w:color="auto" w:fill="auto"/>
            <w:noWrap/>
            <w:vAlign w:val="bottom"/>
            <w:hideMark/>
          </w:tcPr>
          <w:p w14:paraId="1D19E7D1" w14:textId="77777777" w:rsidR="00732928" w:rsidRPr="00732928" w:rsidRDefault="00732928" w:rsidP="00732928">
            <w:pPr>
              <w:rPr>
                <w:rFonts w:eastAsia="Times New Roman"/>
                <w:sz w:val="20"/>
                <w:szCs w:val="20"/>
              </w:rPr>
            </w:pPr>
          </w:p>
        </w:tc>
        <w:tc>
          <w:tcPr>
            <w:tcW w:w="787" w:type="dxa"/>
            <w:tcBorders>
              <w:top w:val="nil"/>
              <w:left w:val="nil"/>
              <w:bottom w:val="nil"/>
              <w:right w:val="nil"/>
            </w:tcBorders>
            <w:shd w:val="clear" w:color="auto" w:fill="auto"/>
            <w:noWrap/>
            <w:vAlign w:val="bottom"/>
            <w:hideMark/>
          </w:tcPr>
          <w:p w14:paraId="05DEF7F9" w14:textId="77777777" w:rsidR="00732928" w:rsidRPr="00732928" w:rsidRDefault="00732928" w:rsidP="00732928">
            <w:pPr>
              <w:rPr>
                <w:rFonts w:eastAsia="Times New Roman"/>
                <w:sz w:val="20"/>
                <w:szCs w:val="20"/>
              </w:rPr>
            </w:pPr>
          </w:p>
        </w:tc>
        <w:tc>
          <w:tcPr>
            <w:tcW w:w="261" w:type="dxa"/>
            <w:tcBorders>
              <w:top w:val="nil"/>
              <w:left w:val="nil"/>
              <w:bottom w:val="nil"/>
              <w:right w:val="nil"/>
            </w:tcBorders>
            <w:shd w:val="clear" w:color="auto" w:fill="auto"/>
            <w:noWrap/>
            <w:vAlign w:val="bottom"/>
            <w:hideMark/>
          </w:tcPr>
          <w:p w14:paraId="55DBC407" w14:textId="77777777" w:rsidR="00732928" w:rsidRPr="00732928" w:rsidRDefault="00732928" w:rsidP="00732928">
            <w:pPr>
              <w:rPr>
                <w:rFonts w:eastAsia="Times New Roman"/>
                <w:sz w:val="20"/>
                <w:szCs w:val="20"/>
              </w:rPr>
            </w:pPr>
          </w:p>
        </w:tc>
        <w:tc>
          <w:tcPr>
            <w:tcW w:w="861" w:type="dxa"/>
            <w:tcBorders>
              <w:top w:val="nil"/>
              <w:left w:val="nil"/>
              <w:bottom w:val="nil"/>
              <w:right w:val="nil"/>
            </w:tcBorders>
            <w:shd w:val="clear" w:color="auto" w:fill="auto"/>
            <w:noWrap/>
            <w:vAlign w:val="bottom"/>
            <w:hideMark/>
          </w:tcPr>
          <w:p w14:paraId="6AFC1FB3" w14:textId="77777777" w:rsidR="00732928" w:rsidRPr="00732928" w:rsidRDefault="00732928" w:rsidP="00732928">
            <w:pPr>
              <w:rPr>
                <w:rFonts w:eastAsia="Times New Roman"/>
                <w:sz w:val="20"/>
                <w:szCs w:val="20"/>
              </w:rPr>
            </w:pPr>
          </w:p>
        </w:tc>
        <w:tc>
          <w:tcPr>
            <w:tcW w:w="261" w:type="dxa"/>
            <w:tcBorders>
              <w:top w:val="nil"/>
              <w:left w:val="nil"/>
              <w:bottom w:val="nil"/>
              <w:right w:val="nil"/>
            </w:tcBorders>
            <w:shd w:val="clear" w:color="auto" w:fill="auto"/>
            <w:noWrap/>
            <w:vAlign w:val="bottom"/>
            <w:hideMark/>
          </w:tcPr>
          <w:p w14:paraId="65590A17" w14:textId="77777777" w:rsidR="00732928" w:rsidRPr="00732928" w:rsidRDefault="00732928" w:rsidP="00732928">
            <w:pPr>
              <w:rPr>
                <w:rFonts w:eastAsia="Times New Roman"/>
                <w:sz w:val="20"/>
                <w:szCs w:val="20"/>
              </w:rPr>
            </w:pPr>
          </w:p>
        </w:tc>
        <w:tc>
          <w:tcPr>
            <w:tcW w:w="828" w:type="dxa"/>
            <w:tcBorders>
              <w:top w:val="nil"/>
              <w:left w:val="nil"/>
              <w:bottom w:val="nil"/>
              <w:right w:val="nil"/>
            </w:tcBorders>
            <w:shd w:val="clear" w:color="auto" w:fill="auto"/>
            <w:noWrap/>
            <w:vAlign w:val="bottom"/>
            <w:hideMark/>
          </w:tcPr>
          <w:p w14:paraId="23E4FC22" w14:textId="77777777" w:rsidR="00732928" w:rsidRPr="00732928" w:rsidRDefault="00732928" w:rsidP="00732928">
            <w:pPr>
              <w:rPr>
                <w:rFonts w:eastAsia="Times New Roman"/>
                <w:sz w:val="20"/>
                <w:szCs w:val="20"/>
              </w:rPr>
            </w:pPr>
          </w:p>
        </w:tc>
        <w:tc>
          <w:tcPr>
            <w:tcW w:w="261" w:type="dxa"/>
            <w:tcBorders>
              <w:top w:val="nil"/>
              <w:left w:val="nil"/>
              <w:bottom w:val="nil"/>
              <w:right w:val="nil"/>
            </w:tcBorders>
            <w:shd w:val="clear" w:color="auto" w:fill="auto"/>
            <w:noWrap/>
            <w:vAlign w:val="bottom"/>
            <w:hideMark/>
          </w:tcPr>
          <w:p w14:paraId="22A96DC9" w14:textId="77777777" w:rsidR="00732928" w:rsidRPr="00732928" w:rsidRDefault="00732928" w:rsidP="00732928">
            <w:pPr>
              <w:rPr>
                <w:rFonts w:eastAsia="Times New Roman"/>
                <w:sz w:val="20"/>
                <w:szCs w:val="20"/>
              </w:rPr>
            </w:pPr>
          </w:p>
        </w:tc>
        <w:tc>
          <w:tcPr>
            <w:tcW w:w="782" w:type="dxa"/>
            <w:tcBorders>
              <w:top w:val="nil"/>
              <w:left w:val="nil"/>
              <w:bottom w:val="nil"/>
              <w:right w:val="nil"/>
            </w:tcBorders>
            <w:shd w:val="clear" w:color="auto" w:fill="auto"/>
            <w:noWrap/>
            <w:vAlign w:val="bottom"/>
            <w:hideMark/>
          </w:tcPr>
          <w:p w14:paraId="58E56BCB" w14:textId="77777777" w:rsidR="00732928" w:rsidRPr="00732928" w:rsidRDefault="00732928" w:rsidP="00732928">
            <w:pP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7465384A" w14:textId="77777777" w:rsidR="00732928" w:rsidRPr="00732928" w:rsidRDefault="00732928" w:rsidP="00732928">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6A2D5E26" w14:textId="77777777" w:rsidR="00732928" w:rsidRPr="00732928" w:rsidRDefault="00732928" w:rsidP="00732928">
            <w:pPr>
              <w:rPr>
                <w:rFonts w:eastAsia="Times New Roman"/>
                <w:sz w:val="20"/>
                <w:szCs w:val="20"/>
              </w:rPr>
            </w:pPr>
          </w:p>
        </w:tc>
        <w:tc>
          <w:tcPr>
            <w:tcW w:w="261" w:type="dxa"/>
            <w:tcBorders>
              <w:top w:val="nil"/>
              <w:left w:val="nil"/>
              <w:bottom w:val="nil"/>
              <w:right w:val="nil"/>
            </w:tcBorders>
            <w:shd w:val="clear" w:color="auto" w:fill="auto"/>
            <w:noWrap/>
            <w:vAlign w:val="bottom"/>
            <w:hideMark/>
          </w:tcPr>
          <w:p w14:paraId="6981CDF7" w14:textId="77777777" w:rsidR="00732928" w:rsidRPr="00732928" w:rsidRDefault="00732928" w:rsidP="00732928">
            <w:pPr>
              <w:rPr>
                <w:rFonts w:eastAsia="Times New Roman"/>
                <w:sz w:val="20"/>
                <w:szCs w:val="20"/>
              </w:rPr>
            </w:pPr>
          </w:p>
        </w:tc>
        <w:tc>
          <w:tcPr>
            <w:tcW w:w="628" w:type="dxa"/>
            <w:tcBorders>
              <w:top w:val="nil"/>
              <w:left w:val="nil"/>
              <w:bottom w:val="nil"/>
              <w:right w:val="nil"/>
            </w:tcBorders>
            <w:shd w:val="clear" w:color="auto" w:fill="auto"/>
            <w:noWrap/>
            <w:vAlign w:val="bottom"/>
            <w:hideMark/>
          </w:tcPr>
          <w:p w14:paraId="33C767BB" w14:textId="77777777" w:rsidR="00732928" w:rsidRPr="00732928" w:rsidRDefault="00732928" w:rsidP="00732928">
            <w:pPr>
              <w:rPr>
                <w:rFonts w:eastAsia="Times New Roman"/>
                <w:sz w:val="20"/>
                <w:szCs w:val="20"/>
              </w:rPr>
            </w:pPr>
          </w:p>
        </w:tc>
        <w:tc>
          <w:tcPr>
            <w:tcW w:w="261" w:type="dxa"/>
            <w:tcBorders>
              <w:top w:val="nil"/>
              <w:left w:val="nil"/>
              <w:bottom w:val="nil"/>
              <w:right w:val="nil"/>
            </w:tcBorders>
            <w:shd w:val="clear" w:color="auto" w:fill="auto"/>
            <w:noWrap/>
            <w:vAlign w:val="bottom"/>
            <w:hideMark/>
          </w:tcPr>
          <w:p w14:paraId="03E33319" w14:textId="77777777" w:rsidR="00732928" w:rsidRPr="00732928" w:rsidRDefault="00732928" w:rsidP="00732928">
            <w:pPr>
              <w:rPr>
                <w:rFonts w:eastAsia="Times New Roman"/>
                <w:sz w:val="20"/>
                <w:szCs w:val="20"/>
              </w:rPr>
            </w:pPr>
          </w:p>
        </w:tc>
        <w:tc>
          <w:tcPr>
            <w:tcW w:w="731" w:type="dxa"/>
            <w:tcBorders>
              <w:top w:val="nil"/>
              <w:left w:val="nil"/>
              <w:bottom w:val="nil"/>
              <w:right w:val="nil"/>
            </w:tcBorders>
            <w:shd w:val="clear" w:color="auto" w:fill="auto"/>
            <w:noWrap/>
            <w:vAlign w:val="bottom"/>
            <w:hideMark/>
          </w:tcPr>
          <w:p w14:paraId="3E2C0878" w14:textId="77777777" w:rsidR="00732928" w:rsidRPr="00732928" w:rsidRDefault="00732928" w:rsidP="00732928">
            <w:pPr>
              <w:rPr>
                <w:rFonts w:eastAsia="Times New Roman"/>
                <w:sz w:val="20"/>
                <w:szCs w:val="20"/>
              </w:rPr>
            </w:pPr>
          </w:p>
        </w:tc>
        <w:tc>
          <w:tcPr>
            <w:tcW w:w="261" w:type="dxa"/>
            <w:tcBorders>
              <w:top w:val="nil"/>
              <w:left w:val="nil"/>
              <w:bottom w:val="nil"/>
              <w:right w:val="nil"/>
            </w:tcBorders>
            <w:shd w:val="clear" w:color="auto" w:fill="auto"/>
            <w:noWrap/>
            <w:vAlign w:val="bottom"/>
            <w:hideMark/>
          </w:tcPr>
          <w:p w14:paraId="3A4DBAE3" w14:textId="77777777" w:rsidR="00732928" w:rsidRPr="00732928" w:rsidRDefault="00732928" w:rsidP="00732928">
            <w:pPr>
              <w:rPr>
                <w:rFonts w:eastAsia="Times New Roman"/>
                <w:sz w:val="20"/>
                <w:szCs w:val="20"/>
              </w:rPr>
            </w:pPr>
          </w:p>
        </w:tc>
        <w:tc>
          <w:tcPr>
            <w:tcW w:w="807" w:type="dxa"/>
            <w:tcBorders>
              <w:top w:val="nil"/>
              <w:left w:val="nil"/>
              <w:bottom w:val="nil"/>
              <w:right w:val="nil"/>
            </w:tcBorders>
            <w:shd w:val="clear" w:color="auto" w:fill="auto"/>
            <w:noWrap/>
            <w:vAlign w:val="bottom"/>
            <w:hideMark/>
          </w:tcPr>
          <w:p w14:paraId="53076164" w14:textId="77777777" w:rsidR="00732928" w:rsidRPr="00732928" w:rsidRDefault="00732928" w:rsidP="00732928">
            <w:pPr>
              <w:rPr>
                <w:rFonts w:eastAsia="Times New Roman"/>
                <w:sz w:val="20"/>
                <w:szCs w:val="20"/>
              </w:rPr>
            </w:pPr>
          </w:p>
        </w:tc>
        <w:tc>
          <w:tcPr>
            <w:tcW w:w="261" w:type="dxa"/>
            <w:tcBorders>
              <w:top w:val="nil"/>
              <w:left w:val="nil"/>
              <w:bottom w:val="nil"/>
              <w:right w:val="nil"/>
            </w:tcBorders>
            <w:shd w:val="clear" w:color="auto" w:fill="auto"/>
            <w:noWrap/>
            <w:vAlign w:val="bottom"/>
            <w:hideMark/>
          </w:tcPr>
          <w:p w14:paraId="5D302BBE" w14:textId="77777777" w:rsidR="00732928" w:rsidRPr="00732928" w:rsidRDefault="00732928" w:rsidP="00732928">
            <w:pPr>
              <w:rPr>
                <w:rFonts w:eastAsia="Times New Roman"/>
                <w:sz w:val="20"/>
                <w:szCs w:val="20"/>
              </w:rPr>
            </w:pPr>
          </w:p>
        </w:tc>
        <w:tc>
          <w:tcPr>
            <w:tcW w:w="621" w:type="dxa"/>
            <w:tcBorders>
              <w:top w:val="nil"/>
              <w:left w:val="nil"/>
              <w:bottom w:val="nil"/>
              <w:right w:val="nil"/>
            </w:tcBorders>
            <w:shd w:val="clear" w:color="auto" w:fill="auto"/>
            <w:noWrap/>
            <w:vAlign w:val="bottom"/>
            <w:hideMark/>
          </w:tcPr>
          <w:p w14:paraId="1C0AFFE0" w14:textId="77777777" w:rsidR="00732928" w:rsidRPr="00732928" w:rsidRDefault="00732928" w:rsidP="00732928">
            <w:pP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6D0704C5" w14:textId="77777777" w:rsidR="00732928" w:rsidRPr="00732928" w:rsidRDefault="00732928" w:rsidP="00732928">
            <w:pPr>
              <w:rPr>
                <w:rFonts w:eastAsia="Times New Roman"/>
                <w:sz w:val="20"/>
                <w:szCs w:val="20"/>
              </w:rPr>
            </w:pPr>
          </w:p>
        </w:tc>
        <w:tc>
          <w:tcPr>
            <w:tcW w:w="1044" w:type="dxa"/>
            <w:tcBorders>
              <w:top w:val="nil"/>
              <w:left w:val="nil"/>
              <w:bottom w:val="nil"/>
              <w:right w:val="nil"/>
            </w:tcBorders>
            <w:shd w:val="clear" w:color="auto" w:fill="auto"/>
            <w:noWrap/>
            <w:vAlign w:val="bottom"/>
            <w:hideMark/>
          </w:tcPr>
          <w:p w14:paraId="414EF5F3" w14:textId="77777777" w:rsidR="00732928" w:rsidRPr="00732928" w:rsidRDefault="00732928" w:rsidP="00732928">
            <w:pPr>
              <w:rPr>
                <w:rFonts w:eastAsia="Times New Roman"/>
                <w:sz w:val="20"/>
                <w:szCs w:val="20"/>
              </w:rPr>
            </w:pPr>
          </w:p>
        </w:tc>
      </w:tr>
    </w:tbl>
    <w:p w14:paraId="26BC852F" w14:textId="34CB1C72" w:rsidR="0010463A" w:rsidRDefault="0010463A" w:rsidP="003D1FBF"/>
    <w:p w14:paraId="6F0F212C" w14:textId="32787F92" w:rsidR="006E32C6" w:rsidRDefault="006E32C6" w:rsidP="003D1FBF"/>
    <w:p w14:paraId="53C2D988" w14:textId="752019E8" w:rsidR="006E32C6" w:rsidRDefault="006E32C6" w:rsidP="003D1FBF"/>
    <w:p w14:paraId="6B8EE1E0" w14:textId="637C2D4F" w:rsidR="006E32C6" w:rsidRDefault="006E32C6" w:rsidP="003D1FBF"/>
    <w:p w14:paraId="2DE30EEF" w14:textId="77777777" w:rsidR="006E32C6" w:rsidRDefault="006E32C6" w:rsidP="003D1FBF"/>
    <w:p w14:paraId="605A2C2A" w14:textId="77777777" w:rsidR="00675656" w:rsidRDefault="00675656" w:rsidP="003D1FBF">
      <w:pPr>
        <w:sectPr w:rsidR="00675656" w:rsidSect="00D53F97">
          <w:pgSz w:w="16838" w:h="11906" w:orient="landscape"/>
          <w:pgMar w:top="1440" w:right="1440" w:bottom="1440" w:left="1440" w:header="708" w:footer="708" w:gutter="0"/>
          <w:cols w:space="708"/>
          <w:docGrid w:linePitch="360"/>
        </w:sectPr>
      </w:pPr>
    </w:p>
    <w:p w14:paraId="37187375" w14:textId="40122CF1" w:rsidR="0010463A" w:rsidRDefault="0010463A" w:rsidP="003D1FBF"/>
    <w:p w14:paraId="1452E070" w14:textId="4A78D5B8" w:rsidR="0010463A" w:rsidRDefault="0010463A" w:rsidP="003D1FBF"/>
    <w:p w14:paraId="18ABD40E" w14:textId="12F2D942" w:rsidR="0010463A" w:rsidRDefault="0010463A" w:rsidP="003D1FB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63"/>
        <w:gridCol w:w="963"/>
        <w:gridCol w:w="963"/>
        <w:gridCol w:w="963"/>
        <w:gridCol w:w="969"/>
        <w:gridCol w:w="237"/>
        <w:gridCol w:w="1002"/>
        <w:gridCol w:w="1002"/>
        <w:gridCol w:w="1002"/>
        <w:gridCol w:w="1002"/>
        <w:gridCol w:w="1002"/>
        <w:gridCol w:w="1480"/>
      </w:tblGrid>
      <w:tr w:rsidR="0010463A" w14:paraId="2F35783A" w14:textId="77777777" w:rsidTr="00ED0C10">
        <w:tc>
          <w:tcPr>
            <w:tcW w:w="5000" w:type="pct"/>
            <w:gridSpan w:val="13"/>
            <w:tcBorders>
              <w:top w:val="single" w:sz="4" w:space="0" w:color="auto"/>
            </w:tcBorders>
            <w:vAlign w:val="bottom"/>
          </w:tcPr>
          <w:p w14:paraId="59871B77" w14:textId="5F54E30B" w:rsidR="0010463A" w:rsidRPr="00286C2B" w:rsidRDefault="0010463A" w:rsidP="003D1FBF">
            <w:pPr>
              <w:spacing w:before="120" w:after="40"/>
              <w:rPr>
                <w:b/>
                <w:bCs/>
              </w:rPr>
            </w:pPr>
            <w:r>
              <w:rPr>
                <w:b/>
                <w:bCs/>
              </w:rPr>
              <w:t xml:space="preserve">Panel B. </w:t>
            </w:r>
            <w:r w:rsidR="00903276">
              <w:rPr>
                <w:b/>
                <w:bCs/>
              </w:rPr>
              <w:t>D</w:t>
            </w:r>
            <w:r>
              <w:rPr>
                <w:b/>
                <w:bCs/>
              </w:rPr>
              <w:t xml:space="preserve">escriptive statistics </w:t>
            </w:r>
            <w:r w:rsidR="006D22D7">
              <w:rPr>
                <w:b/>
                <w:bCs/>
              </w:rPr>
              <w:t>for</w:t>
            </w:r>
            <w:r>
              <w:rPr>
                <w:b/>
                <w:bCs/>
              </w:rPr>
              <w:t xml:space="preserve"> EGC </w:t>
            </w:r>
            <w:r w:rsidR="00F10D3D">
              <w:rPr>
                <w:b/>
                <w:bCs/>
              </w:rPr>
              <w:t>IPOs in pre and post JOBS Act period</w:t>
            </w:r>
          </w:p>
        </w:tc>
      </w:tr>
      <w:tr w:rsidR="00ED0C10" w14:paraId="15826BF5" w14:textId="77777777" w:rsidTr="00BB2603">
        <w:tc>
          <w:tcPr>
            <w:tcW w:w="863" w:type="pct"/>
          </w:tcPr>
          <w:p w14:paraId="3152144D" w14:textId="77777777" w:rsidR="0010463A" w:rsidRPr="006E32C6" w:rsidRDefault="0010463A" w:rsidP="003D1FBF">
            <w:pPr>
              <w:rPr>
                <w:sz w:val="20"/>
                <w:szCs w:val="20"/>
              </w:rPr>
            </w:pPr>
          </w:p>
        </w:tc>
        <w:tc>
          <w:tcPr>
            <w:tcW w:w="1727" w:type="pct"/>
            <w:gridSpan w:val="5"/>
            <w:tcBorders>
              <w:bottom w:val="single" w:sz="4" w:space="0" w:color="auto"/>
            </w:tcBorders>
            <w:vAlign w:val="bottom"/>
          </w:tcPr>
          <w:p w14:paraId="34E18F89" w14:textId="4655801F" w:rsidR="0010463A" w:rsidRPr="006E32C6" w:rsidRDefault="000E62C4" w:rsidP="003D1FBF">
            <w:pPr>
              <w:spacing w:after="40"/>
              <w:jc w:val="center"/>
              <w:rPr>
                <w:sz w:val="22"/>
                <w:szCs w:val="22"/>
              </w:rPr>
            </w:pPr>
            <w:r w:rsidRPr="006E32C6">
              <w:rPr>
                <w:sz w:val="22"/>
                <w:szCs w:val="22"/>
              </w:rPr>
              <w:t>Pre-JOBS Act period</w:t>
            </w:r>
            <w:r w:rsidR="0010463A" w:rsidRPr="006E32C6">
              <w:rPr>
                <w:sz w:val="22"/>
                <w:szCs w:val="22"/>
              </w:rPr>
              <w:t xml:space="preserve"> [n=</w:t>
            </w:r>
            <w:r w:rsidRPr="006E32C6">
              <w:rPr>
                <w:sz w:val="22"/>
                <w:szCs w:val="22"/>
              </w:rPr>
              <w:t>351</w:t>
            </w:r>
            <w:r w:rsidR="0010463A" w:rsidRPr="006E32C6">
              <w:rPr>
                <w:sz w:val="22"/>
                <w:szCs w:val="22"/>
              </w:rPr>
              <w:t>]</w:t>
            </w:r>
          </w:p>
        </w:tc>
        <w:tc>
          <w:tcPr>
            <w:tcW w:w="85" w:type="pct"/>
            <w:vAlign w:val="bottom"/>
          </w:tcPr>
          <w:p w14:paraId="4C4C5223" w14:textId="77777777" w:rsidR="0010463A" w:rsidRPr="006E32C6" w:rsidRDefault="0010463A" w:rsidP="003D1FBF">
            <w:pPr>
              <w:spacing w:after="40"/>
              <w:jc w:val="center"/>
              <w:rPr>
                <w:sz w:val="22"/>
                <w:szCs w:val="22"/>
              </w:rPr>
            </w:pPr>
          </w:p>
        </w:tc>
        <w:tc>
          <w:tcPr>
            <w:tcW w:w="1795" w:type="pct"/>
            <w:gridSpan w:val="5"/>
            <w:tcBorders>
              <w:bottom w:val="single" w:sz="4" w:space="0" w:color="auto"/>
            </w:tcBorders>
            <w:vAlign w:val="bottom"/>
          </w:tcPr>
          <w:p w14:paraId="26F7DA9D" w14:textId="57475109" w:rsidR="0010463A" w:rsidRPr="006E32C6" w:rsidRDefault="000E62C4" w:rsidP="003D1FBF">
            <w:pPr>
              <w:spacing w:after="40"/>
              <w:jc w:val="center"/>
              <w:rPr>
                <w:sz w:val="22"/>
                <w:szCs w:val="22"/>
              </w:rPr>
            </w:pPr>
            <w:r w:rsidRPr="006E32C6">
              <w:rPr>
                <w:sz w:val="22"/>
                <w:szCs w:val="22"/>
              </w:rPr>
              <w:t>Post-JOBS Act period</w:t>
            </w:r>
            <w:r w:rsidR="0010463A" w:rsidRPr="006E32C6">
              <w:rPr>
                <w:sz w:val="22"/>
                <w:szCs w:val="22"/>
              </w:rPr>
              <w:t xml:space="preserve"> [N=</w:t>
            </w:r>
            <w:r w:rsidRPr="006E32C6">
              <w:rPr>
                <w:sz w:val="22"/>
                <w:szCs w:val="22"/>
              </w:rPr>
              <w:t>37</w:t>
            </w:r>
            <w:r w:rsidR="00C51DDA" w:rsidRPr="006E32C6">
              <w:rPr>
                <w:sz w:val="22"/>
                <w:szCs w:val="22"/>
              </w:rPr>
              <w:t>1</w:t>
            </w:r>
            <w:r w:rsidR="0010463A" w:rsidRPr="006E32C6">
              <w:rPr>
                <w:sz w:val="22"/>
                <w:szCs w:val="22"/>
              </w:rPr>
              <w:t>]</w:t>
            </w:r>
          </w:p>
        </w:tc>
        <w:tc>
          <w:tcPr>
            <w:tcW w:w="530" w:type="pct"/>
            <w:vMerge w:val="restart"/>
            <w:vAlign w:val="bottom"/>
          </w:tcPr>
          <w:p w14:paraId="0D8A80F8" w14:textId="77777777" w:rsidR="0010463A" w:rsidRPr="006E32C6" w:rsidRDefault="0010463A" w:rsidP="003D1FBF">
            <w:pPr>
              <w:spacing w:after="40"/>
              <w:jc w:val="center"/>
              <w:rPr>
                <w:sz w:val="22"/>
                <w:szCs w:val="22"/>
              </w:rPr>
            </w:pPr>
            <w:r w:rsidRPr="006E32C6">
              <w:rPr>
                <w:sz w:val="22"/>
                <w:szCs w:val="22"/>
              </w:rPr>
              <w:t>Difference in means</w:t>
            </w:r>
          </w:p>
        </w:tc>
      </w:tr>
      <w:tr w:rsidR="00ED0C10" w14:paraId="64E3DC49" w14:textId="77777777" w:rsidTr="00BB2603">
        <w:tc>
          <w:tcPr>
            <w:tcW w:w="863" w:type="pct"/>
          </w:tcPr>
          <w:p w14:paraId="477462E1" w14:textId="77777777" w:rsidR="0010463A" w:rsidRPr="006E32C6" w:rsidRDefault="0010463A" w:rsidP="003D1FBF">
            <w:pPr>
              <w:rPr>
                <w:sz w:val="20"/>
                <w:szCs w:val="20"/>
              </w:rPr>
            </w:pPr>
          </w:p>
        </w:tc>
        <w:tc>
          <w:tcPr>
            <w:tcW w:w="345" w:type="pct"/>
            <w:tcBorders>
              <w:top w:val="single" w:sz="4" w:space="0" w:color="auto"/>
              <w:bottom w:val="single" w:sz="4" w:space="0" w:color="auto"/>
            </w:tcBorders>
          </w:tcPr>
          <w:p w14:paraId="57023983" w14:textId="77777777" w:rsidR="0010463A" w:rsidRPr="006E32C6" w:rsidRDefault="0010463A" w:rsidP="003D1FBF">
            <w:pPr>
              <w:rPr>
                <w:sz w:val="22"/>
                <w:szCs w:val="22"/>
              </w:rPr>
            </w:pPr>
            <w:r w:rsidRPr="006E32C6">
              <w:rPr>
                <w:sz w:val="22"/>
                <w:szCs w:val="22"/>
              </w:rPr>
              <w:t>Mean</w:t>
            </w:r>
          </w:p>
        </w:tc>
        <w:tc>
          <w:tcPr>
            <w:tcW w:w="345" w:type="pct"/>
            <w:tcBorders>
              <w:top w:val="single" w:sz="4" w:space="0" w:color="auto"/>
              <w:bottom w:val="single" w:sz="4" w:space="0" w:color="auto"/>
            </w:tcBorders>
          </w:tcPr>
          <w:p w14:paraId="0B654663" w14:textId="77777777" w:rsidR="0010463A" w:rsidRPr="006E32C6" w:rsidRDefault="0010463A" w:rsidP="003D1FBF">
            <w:pPr>
              <w:rPr>
                <w:sz w:val="22"/>
                <w:szCs w:val="22"/>
              </w:rPr>
            </w:pPr>
            <w:r w:rsidRPr="006E32C6">
              <w:rPr>
                <w:sz w:val="22"/>
                <w:szCs w:val="22"/>
              </w:rPr>
              <w:t>STD</w:t>
            </w:r>
          </w:p>
        </w:tc>
        <w:tc>
          <w:tcPr>
            <w:tcW w:w="345" w:type="pct"/>
            <w:tcBorders>
              <w:top w:val="single" w:sz="4" w:space="0" w:color="auto"/>
              <w:bottom w:val="single" w:sz="4" w:space="0" w:color="auto"/>
            </w:tcBorders>
          </w:tcPr>
          <w:p w14:paraId="4749F7BD" w14:textId="77777777" w:rsidR="0010463A" w:rsidRPr="006E32C6" w:rsidRDefault="0010463A" w:rsidP="003D1FBF">
            <w:pPr>
              <w:rPr>
                <w:sz w:val="22"/>
                <w:szCs w:val="22"/>
              </w:rPr>
            </w:pPr>
            <w:r w:rsidRPr="006E32C6">
              <w:rPr>
                <w:sz w:val="22"/>
                <w:szCs w:val="22"/>
              </w:rPr>
              <w:t>1st</w:t>
            </w:r>
          </w:p>
        </w:tc>
        <w:tc>
          <w:tcPr>
            <w:tcW w:w="345" w:type="pct"/>
            <w:tcBorders>
              <w:top w:val="single" w:sz="4" w:space="0" w:color="auto"/>
              <w:bottom w:val="single" w:sz="4" w:space="0" w:color="auto"/>
            </w:tcBorders>
          </w:tcPr>
          <w:p w14:paraId="7BB1FB34" w14:textId="77777777" w:rsidR="0010463A" w:rsidRPr="006E32C6" w:rsidRDefault="0010463A" w:rsidP="003D1FBF">
            <w:pPr>
              <w:rPr>
                <w:sz w:val="22"/>
                <w:szCs w:val="22"/>
              </w:rPr>
            </w:pPr>
            <w:r w:rsidRPr="006E32C6">
              <w:rPr>
                <w:sz w:val="22"/>
                <w:szCs w:val="22"/>
              </w:rPr>
              <w:t>Median</w:t>
            </w:r>
          </w:p>
        </w:tc>
        <w:tc>
          <w:tcPr>
            <w:tcW w:w="347" w:type="pct"/>
            <w:tcBorders>
              <w:top w:val="single" w:sz="4" w:space="0" w:color="auto"/>
              <w:bottom w:val="single" w:sz="4" w:space="0" w:color="auto"/>
            </w:tcBorders>
          </w:tcPr>
          <w:p w14:paraId="75FEE928" w14:textId="77777777" w:rsidR="0010463A" w:rsidRPr="006E32C6" w:rsidRDefault="0010463A" w:rsidP="003D1FBF">
            <w:pPr>
              <w:rPr>
                <w:sz w:val="22"/>
                <w:szCs w:val="22"/>
              </w:rPr>
            </w:pPr>
            <w:r w:rsidRPr="006E32C6">
              <w:rPr>
                <w:sz w:val="22"/>
                <w:szCs w:val="22"/>
              </w:rPr>
              <w:t>99th</w:t>
            </w:r>
          </w:p>
        </w:tc>
        <w:tc>
          <w:tcPr>
            <w:tcW w:w="85" w:type="pct"/>
            <w:tcBorders>
              <w:bottom w:val="single" w:sz="4" w:space="0" w:color="auto"/>
            </w:tcBorders>
          </w:tcPr>
          <w:p w14:paraId="4F4399B1" w14:textId="77777777" w:rsidR="0010463A" w:rsidRPr="006E32C6" w:rsidRDefault="0010463A" w:rsidP="003D1FBF">
            <w:pPr>
              <w:rPr>
                <w:sz w:val="22"/>
                <w:szCs w:val="22"/>
              </w:rPr>
            </w:pPr>
          </w:p>
        </w:tc>
        <w:tc>
          <w:tcPr>
            <w:tcW w:w="359" w:type="pct"/>
            <w:tcBorders>
              <w:top w:val="single" w:sz="4" w:space="0" w:color="auto"/>
              <w:bottom w:val="single" w:sz="4" w:space="0" w:color="auto"/>
            </w:tcBorders>
          </w:tcPr>
          <w:p w14:paraId="6F6C065F" w14:textId="77777777" w:rsidR="0010463A" w:rsidRPr="006E32C6" w:rsidRDefault="0010463A" w:rsidP="003D1FBF">
            <w:pPr>
              <w:rPr>
                <w:sz w:val="22"/>
                <w:szCs w:val="22"/>
              </w:rPr>
            </w:pPr>
            <w:r w:rsidRPr="006E32C6">
              <w:rPr>
                <w:sz w:val="22"/>
                <w:szCs w:val="22"/>
              </w:rPr>
              <w:t>Mean</w:t>
            </w:r>
          </w:p>
        </w:tc>
        <w:tc>
          <w:tcPr>
            <w:tcW w:w="359" w:type="pct"/>
            <w:tcBorders>
              <w:top w:val="single" w:sz="4" w:space="0" w:color="auto"/>
              <w:bottom w:val="single" w:sz="4" w:space="0" w:color="auto"/>
            </w:tcBorders>
          </w:tcPr>
          <w:p w14:paraId="1E3D5A02" w14:textId="77777777" w:rsidR="0010463A" w:rsidRPr="006E32C6" w:rsidRDefault="0010463A" w:rsidP="003D1FBF">
            <w:pPr>
              <w:rPr>
                <w:sz w:val="22"/>
                <w:szCs w:val="22"/>
              </w:rPr>
            </w:pPr>
            <w:r w:rsidRPr="006E32C6">
              <w:rPr>
                <w:sz w:val="22"/>
                <w:szCs w:val="22"/>
              </w:rPr>
              <w:t>STD</w:t>
            </w:r>
          </w:p>
        </w:tc>
        <w:tc>
          <w:tcPr>
            <w:tcW w:w="359" w:type="pct"/>
            <w:tcBorders>
              <w:top w:val="single" w:sz="4" w:space="0" w:color="auto"/>
              <w:bottom w:val="single" w:sz="4" w:space="0" w:color="auto"/>
            </w:tcBorders>
          </w:tcPr>
          <w:p w14:paraId="32B2BCFE" w14:textId="77777777" w:rsidR="0010463A" w:rsidRPr="006E32C6" w:rsidRDefault="0010463A" w:rsidP="003D1FBF">
            <w:pPr>
              <w:rPr>
                <w:sz w:val="22"/>
                <w:szCs w:val="22"/>
              </w:rPr>
            </w:pPr>
            <w:r w:rsidRPr="006E32C6">
              <w:rPr>
                <w:sz w:val="22"/>
                <w:szCs w:val="22"/>
              </w:rPr>
              <w:t>1st</w:t>
            </w:r>
          </w:p>
        </w:tc>
        <w:tc>
          <w:tcPr>
            <w:tcW w:w="359" w:type="pct"/>
            <w:tcBorders>
              <w:top w:val="single" w:sz="4" w:space="0" w:color="auto"/>
              <w:bottom w:val="single" w:sz="4" w:space="0" w:color="auto"/>
            </w:tcBorders>
          </w:tcPr>
          <w:p w14:paraId="0E0933F1" w14:textId="77777777" w:rsidR="0010463A" w:rsidRPr="006E32C6" w:rsidRDefault="0010463A" w:rsidP="003D1FBF">
            <w:pPr>
              <w:rPr>
                <w:sz w:val="22"/>
                <w:szCs w:val="22"/>
              </w:rPr>
            </w:pPr>
            <w:r w:rsidRPr="006E32C6">
              <w:rPr>
                <w:sz w:val="22"/>
                <w:szCs w:val="22"/>
              </w:rPr>
              <w:t>Median</w:t>
            </w:r>
          </w:p>
        </w:tc>
        <w:tc>
          <w:tcPr>
            <w:tcW w:w="359" w:type="pct"/>
            <w:tcBorders>
              <w:top w:val="single" w:sz="4" w:space="0" w:color="auto"/>
              <w:bottom w:val="single" w:sz="4" w:space="0" w:color="auto"/>
            </w:tcBorders>
          </w:tcPr>
          <w:p w14:paraId="121A6BF6" w14:textId="77777777" w:rsidR="0010463A" w:rsidRPr="006E32C6" w:rsidRDefault="0010463A" w:rsidP="003D1FBF">
            <w:pPr>
              <w:rPr>
                <w:sz w:val="22"/>
                <w:szCs w:val="22"/>
              </w:rPr>
            </w:pPr>
            <w:r w:rsidRPr="006E32C6">
              <w:rPr>
                <w:sz w:val="22"/>
                <w:szCs w:val="22"/>
              </w:rPr>
              <w:t>99th</w:t>
            </w:r>
          </w:p>
        </w:tc>
        <w:tc>
          <w:tcPr>
            <w:tcW w:w="530" w:type="pct"/>
            <w:vMerge/>
            <w:tcBorders>
              <w:bottom w:val="single" w:sz="4" w:space="0" w:color="auto"/>
            </w:tcBorders>
          </w:tcPr>
          <w:p w14:paraId="1AAC73D1" w14:textId="77777777" w:rsidR="0010463A" w:rsidRPr="006E32C6" w:rsidRDefault="0010463A" w:rsidP="003D1FBF">
            <w:pPr>
              <w:rPr>
                <w:sz w:val="22"/>
                <w:szCs w:val="22"/>
              </w:rPr>
            </w:pPr>
          </w:p>
        </w:tc>
      </w:tr>
      <w:tr w:rsidR="00BB2603" w14:paraId="0FC23EAD" w14:textId="77777777" w:rsidTr="00481980">
        <w:tc>
          <w:tcPr>
            <w:tcW w:w="863" w:type="pct"/>
            <w:vAlign w:val="bottom"/>
          </w:tcPr>
          <w:p w14:paraId="1486C1AD" w14:textId="78C22E13" w:rsidR="00BB2603" w:rsidRPr="006E32C6" w:rsidRDefault="00BB2603" w:rsidP="003D1FBF">
            <w:pPr>
              <w:spacing w:before="40" w:after="40"/>
              <w:rPr>
                <w:sz w:val="20"/>
                <w:szCs w:val="20"/>
              </w:rPr>
            </w:pPr>
            <w:r w:rsidRPr="006E32C6">
              <w:rPr>
                <w:rFonts w:eastAsia="Times New Roman"/>
                <w:color w:val="000000"/>
                <w:sz w:val="20"/>
                <w:szCs w:val="20"/>
                <w:lang w:val="en-US" w:eastAsia="en-US"/>
              </w:rPr>
              <w:t>Duration</w:t>
            </w:r>
          </w:p>
        </w:tc>
        <w:tc>
          <w:tcPr>
            <w:tcW w:w="345" w:type="pct"/>
            <w:tcBorders>
              <w:top w:val="single" w:sz="4" w:space="0" w:color="auto"/>
            </w:tcBorders>
            <w:vAlign w:val="center"/>
          </w:tcPr>
          <w:p w14:paraId="10C0C592" w14:textId="7D87DCD1" w:rsidR="00BB2603" w:rsidRPr="006E32C6" w:rsidRDefault="00BB2603" w:rsidP="003D1FBF">
            <w:pPr>
              <w:spacing w:before="40" w:after="40"/>
              <w:jc w:val="center"/>
              <w:rPr>
                <w:sz w:val="20"/>
                <w:szCs w:val="20"/>
              </w:rPr>
            </w:pPr>
            <w:r w:rsidRPr="006E32C6">
              <w:rPr>
                <w:rFonts w:eastAsia="Times New Roman"/>
                <w:color w:val="000000"/>
                <w:sz w:val="20"/>
                <w:szCs w:val="20"/>
                <w:lang w:val="en-US" w:eastAsia="en-US"/>
              </w:rPr>
              <w:t>147.84</w:t>
            </w:r>
          </w:p>
        </w:tc>
        <w:tc>
          <w:tcPr>
            <w:tcW w:w="345" w:type="pct"/>
            <w:tcBorders>
              <w:top w:val="single" w:sz="4" w:space="0" w:color="auto"/>
            </w:tcBorders>
            <w:vAlign w:val="center"/>
          </w:tcPr>
          <w:p w14:paraId="4E681C99" w14:textId="39DB8D59" w:rsidR="00BB2603" w:rsidRPr="006E32C6" w:rsidRDefault="00BB2603" w:rsidP="003D1FBF">
            <w:pPr>
              <w:spacing w:before="40" w:after="40"/>
              <w:jc w:val="center"/>
              <w:rPr>
                <w:sz w:val="20"/>
                <w:szCs w:val="20"/>
              </w:rPr>
            </w:pPr>
            <w:r w:rsidRPr="006E32C6">
              <w:rPr>
                <w:rFonts w:eastAsia="Times New Roman"/>
                <w:color w:val="000000"/>
                <w:sz w:val="20"/>
                <w:szCs w:val="20"/>
                <w:lang w:val="en-US" w:eastAsia="en-US"/>
              </w:rPr>
              <w:t>103.18</w:t>
            </w:r>
          </w:p>
        </w:tc>
        <w:tc>
          <w:tcPr>
            <w:tcW w:w="345" w:type="pct"/>
            <w:tcBorders>
              <w:top w:val="single" w:sz="4" w:space="0" w:color="auto"/>
            </w:tcBorders>
            <w:vAlign w:val="center"/>
          </w:tcPr>
          <w:p w14:paraId="0B1DFA05" w14:textId="1BFA8C16" w:rsidR="00BB2603" w:rsidRPr="006E32C6" w:rsidRDefault="00BB2603" w:rsidP="003D1FBF">
            <w:pPr>
              <w:spacing w:before="40" w:after="40"/>
              <w:jc w:val="center"/>
              <w:rPr>
                <w:sz w:val="20"/>
                <w:szCs w:val="20"/>
              </w:rPr>
            </w:pPr>
            <w:r w:rsidRPr="006E32C6">
              <w:rPr>
                <w:rFonts w:eastAsia="Times New Roman"/>
                <w:color w:val="000000"/>
                <w:sz w:val="20"/>
                <w:szCs w:val="20"/>
                <w:lang w:val="en-US" w:eastAsia="en-US"/>
              </w:rPr>
              <w:t>53</w:t>
            </w:r>
          </w:p>
        </w:tc>
        <w:tc>
          <w:tcPr>
            <w:tcW w:w="345" w:type="pct"/>
            <w:tcBorders>
              <w:top w:val="single" w:sz="4" w:space="0" w:color="auto"/>
            </w:tcBorders>
            <w:vAlign w:val="center"/>
          </w:tcPr>
          <w:p w14:paraId="180D3C87" w14:textId="14C02314" w:rsidR="00BB2603" w:rsidRPr="006E32C6" w:rsidRDefault="00BB2603" w:rsidP="003D1FBF">
            <w:pPr>
              <w:spacing w:before="40" w:after="40"/>
              <w:jc w:val="center"/>
              <w:rPr>
                <w:sz w:val="20"/>
                <w:szCs w:val="20"/>
              </w:rPr>
            </w:pPr>
            <w:r w:rsidRPr="006E32C6">
              <w:rPr>
                <w:rFonts w:eastAsia="Times New Roman"/>
                <w:color w:val="000000"/>
                <w:sz w:val="20"/>
                <w:szCs w:val="20"/>
                <w:lang w:val="en-US" w:eastAsia="en-US"/>
              </w:rPr>
              <w:t>111</w:t>
            </w:r>
          </w:p>
        </w:tc>
        <w:tc>
          <w:tcPr>
            <w:tcW w:w="347" w:type="pct"/>
            <w:tcBorders>
              <w:top w:val="single" w:sz="4" w:space="0" w:color="auto"/>
            </w:tcBorders>
            <w:vAlign w:val="center"/>
          </w:tcPr>
          <w:p w14:paraId="4ED7CF0C" w14:textId="5F0BF10A" w:rsidR="00BB2603" w:rsidRPr="006E32C6" w:rsidRDefault="00BB2603" w:rsidP="003D1FBF">
            <w:pPr>
              <w:spacing w:before="40" w:after="40"/>
              <w:jc w:val="center"/>
              <w:rPr>
                <w:sz w:val="20"/>
                <w:szCs w:val="20"/>
              </w:rPr>
            </w:pPr>
            <w:r w:rsidRPr="006E32C6">
              <w:rPr>
                <w:rFonts w:eastAsia="Times New Roman"/>
                <w:color w:val="000000"/>
                <w:sz w:val="20"/>
                <w:szCs w:val="20"/>
                <w:lang w:val="en-US" w:eastAsia="en-US"/>
              </w:rPr>
              <w:t>627</w:t>
            </w:r>
          </w:p>
        </w:tc>
        <w:tc>
          <w:tcPr>
            <w:tcW w:w="85" w:type="pct"/>
            <w:tcBorders>
              <w:top w:val="single" w:sz="4" w:space="0" w:color="auto"/>
            </w:tcBorders>
          </w:tcPr>
          <w:p w14:paraId="482EEE8E" w14:textId="77777777" w:rsidR="00BB2603" w:rsidRPr="006E32C6" w:rsidRDefault="00BB2603" w:rsidP="003D1FBF">
            <w:pPr>
              <w:spacing w:before="40" w:after="40"/>
              <w:jc w:val="center"/>
              <w:rPr>
                <w:sz w:val="20"/>
                <w:szCs w:val="20"/>
              </w:rPr>
            </w:pPr>
          </w:p>
        </w:tc>
        <w:tc>
          <w:tcPr>
            <w:tcW w:w="359" w:type="pct"/>
            <w:tcBorders>
              <w:top w:val="single" w:sz="4" w:space="0" w:color="auto"/>
            </w:tcBorders>
            <w:vAlign w:val="center"/>
          </w:tcPr>
          <w:p w14:paraId="4B828657" w14:textId="294DC3F0" w:rsidR="00BB2603" w:rsidRPr="006E32C6" w:rsidRDefault="00BB2603" w:rsidP="003D1FBF">
            <w:pPr>
              <w:spacing w:before="40" w:after="40"/>
              <w:jc w:val="center"/>
              <w:rPr>
                <w:sz w:val="20"/>
                <w:szCs w:val="20"/>
              </w:rPr>
            </w:pPr>
            <w:r w:rsidRPr="006E32C6">
              <w:rPr>
                <w:rFonts w:eastAsia="Times New Roman"/>
                <w:color w:val="000000"/>
                <w:sz w:val="20"/>
                <w:szCs w:val="20"/>
                <w:lang w:val="en-US" w:eastAsia="en-US"/>
              </w:rPr>
              <w:t>61.20</w:t>
            </w:r>
          </w:p>
        </w:tc>
        <w:tc>
          <w:tcPr>
            <w:tcW w:w="359" w:type="pct"/>
            <w:tcBorders>
              <w:top w:val="single" w:sz="4" w:space="0" w:color="auto"/>
            </w:tcBorders>
            <w:vAlign w:val="center"/>
          </w:tcPr>
          <w:p w14:paraId="69689FC1" w14:textId="069F9836" w:rsidR="00BB2603" w:rsidRPr="006E32C6" w:rsidRDefault="00BB2603" w:rsidP="003D1FBF">
            <w:pPr>
              <w:spacing w:before="40" w:after="40"/>
              <w:jc w:val="center"/>
              <w:rPr>
                <w:sz w:val="20"/>
                <w:szCs w:val="20"/>
              </w:rPr>
            </w:pPr>
            <w:r w:rsidRPr="006E32C6">
              <w:rPr>
                <w:rFonts w:eastAsia="Times New Roman"/>
                <w:color w:val="000000"/>
                <w:sz w:val="20"/>
                <w:szCs w:val="20"/>
                <w:lang w:val="en-US" w:eastAsia="en-US"/>
              </w:rPr>
              <w:t>62.40</w:t>
            </w:r>
          </w:p>
        </w:tc>
        <w:tc>
          <w:tcPr>
            <w:tcW w:w="359" w:type="pct"/>
            <w:tcBorders>
              <w:top w:val="single" w:sz="4" w:space="0" w:color="auto"/>
            </w:tcBorders>
            <w:vAlign w:val="center"/>
          </w:tcPr>
          <w:p w14:paraId="6DC59B62" w14:textId="5D3DA8D2" w:rsidR="00BB2603" w:rsidRPr="006E32C6" w:rsidRDefault="00BB2603" w:rsidP="003D1FBF">
            <w:pPr>
              <w:spacing w:before="40" w:after="40"/>
              <w:jc w:val="center"/>
              <w:rPr>
                <w:sz w:val="20"/>
                <w:szCs w:val="20"/>
              </w:rPr>
            </w:pPr>
            <w:r w:rsidRPr="006E32C6">
              <w:rPr>
                <w:rFonts w:eastAsia="Times New Roman"/>
                <w:color w:val="000000"/>
                <w:sz w:val="20"/>
                <w:szCs w:val="20"/>
                <w:lang w:val="en-US" w:eastAsia="en-US"/>
              </w:rPr>
              <w:t>24.00</w:t>
            </w:r>
          </w:p>
        </w:tc>
        <w:tc>
          <w:tcPr>
            <w:tcW w:w="359" w:type="pct"/>
            <w:tcBorders>
              <w:top w:val="single" w:sz="4" w:space="0" w:color="auto"/>
            </w:tcBorders>
            <w:vAlign w:val="center"/>
          </w:tcPr>
          <w:p w14:paraId="50E6EA7F" w14:textId="3F5D9359" w:rsidR="00BB2603" w:rsidRPr="006E32C6" w:rsidRDefault="00BB2603" w:rsidP="003D1FBF">
            <w:pPr>
              <w:spacing w:before="40" w:after="40"/>
              <w:jc w:val="center"/>
              <w:rPr>
                <w:sz w:val="20"/>
                <w:szCs w:val="20"/>
              </w:rPr>
            </w:pPr>
            <w:r w:rsidRPr="006E32C6">
              <w:rPr>
                <w:rFonts w:eastAsia="Times New Roman"/>
                <w:color w:val="000000"/>
                <w:sz w:val="20"/>
                <w:szCs w:val="20"/>
                <w:lang w:val="en-US" w:eastAsia="en-US"/>
              </w:rPr>
              <w:t>37.00</w:t>
            </w:r>
          </w:p>
        </w:tc>
        <w:tc>
          <w:tcPr>
            <w:tcW w:w="359" w:type="pct"/>
            <w:tcBorders>
              <w:top w:val="single" w:sz="4" w:space="0" w:color="auto"/>
            </w:tcBorders>
            <w:vAlign w:val="center"/>
          </w:tcPr>
          <w:p w14:paraId="45BEF98E" w14:textId="758C24E1" w:rsidR="00BB2603" w:rsidRPr="006E32C6" w:rsidRDefault="00BB2603" w:rsidP="003D1FBF">
            <w:pPr>
              <w:spacing w:before="40" w:after="40"/>
              <w:jc w:val="center"/>
              <w:rPr>
                <w:sz w:val="20"/>
                <w:szCs w:val="20"/>
              </w:rPr>
            </w:pPr>
            <w:r w:rsidRPr="006E32C6">
              <w:rPr>
                <w:rFonts w:eastAsia="Times New Roman"/>
                <w:color w:val="000000"/>
                <w:sz w:val="20"/>
                <w:szCs w:val="20"/>
                <w:lang w:val="en-US" w:eastAsia="en-US"/>
              </w:rPr>
              <w:t>365.00</w:t>
            </w:r>
          </w:p>
        </w:tc>
        <w:tc>
          <w:tcPr>
            <w:tcW w:w="530" w:type="pct"/>
            <w:tcBorders>
              <w:top w:val="single" w:sz="4" w:space="0" w:color="auto"/>
            </w:tcBorders>
            <w:vAlign w:val="center"/>
          </w:tcPr>
          <w:p w14:paraId="4A789A3F" w14:textId="1B276F37" w:rsidR="00BB2603" w:rsidRPr="006E32C6" w:rsidRDefault="00BB2603" w:rsidP="003D1FBF">
            <w:pPr>
              <w:spacing w:before="40" w:after="40"/>
              <w:ind w:left="113"/>
              <w:rPr>
                <w:sz w:val="20"/>
                <w:szCs w:val="20"/>
              </w:rPr>
            </w:pPr>
            <w:r w:rsidRPr="006E32C6">
              <w:rPr>
                <w:rFonts w:eastAsia="Times New Roman"/>
                <w:color w:val="000000"/>
                <w:sz w:val="20"/>
                <w:szCs w:val="20"/>
                <w:lang w:val="en-US" w:eastAsia="en-US"/>
              </w:rPr>
              <w:t>-58.6%***</w:t>
            </w:r>
          </w:p>
        </w:tc>
      </w:tr>
      <w:tr w:rsidR="00BB2603" w14:paraId="6166B3CE" w14:textId="77777777" w:rsidTr="00481980">
        <w:tc>
          <w:tcPr>
            <w:tcW w:w="863" w:type="pct"/>
            <w:vAlign w:val="bottom"/>
          </w:tcPr>
          <w:p w14:paraId="29EB39E2" w14:textId="4580D27E" w:rsidR="00BB2603" w:rsidRPr="006E32C6" w:rsidRDefault="00BB2603" w:rsidP="003D1FBF">
            <w:pPr>
              <w:spacing w:after="40"/>
              <w:rPr>
                <w:sz w:val="20"/>
                <w:szCs w:val="20"/>
              </w:rPr>
            </w:pPr>
            <w:r w:rsidRPr="006E32C6">
              <w:rPr>
                <w:rFonts w:eastAsia="Times New Roman"/>
                <w:color w:val="000000"/>
                <w:sz w:val="20"/>
                <w:szCs w:val="20"/>
                <w:lang w:val="en-US" w:eastAsia="en-US"/>
              </w:rPr>
              <w:t>#Letters</w:t>
            </w:r>
          </w:p>
        </w:tc>
        <w:tc>
          <w:tcPr>
            <w:tcW w:w="345" w:type="pct"/>
            <w:vAlign w:val="center"/>
          </w:tcPr>
          <w:p w14:paraId="40184E12" w14:textId="1035A0BD"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3.69</w:t>
            </w:r>
          </w:p>
        </w:tc>
        <w:tc>
          <w:tcPr>
            <w:tcW w:w="345" w:type="pct"/>
            <w:vAlign w:val="center"/>
          </w:tcPr>
          <w:p w14:paraId="7F77E080" w14:textId="36CA54DE"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1.80</w:t>
            </w:r>
          </w:p>
        </w:tc>
        <w:tc>
          <w:tcPr>
            <w:tcW w:w="345" w:type="pct"/>
            <w:vAlign w:val="center"/>
          </w:tcPr>
          <w:p w14:paraId="34EC9825" w14:textId="75DCF188"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5" w:type="pct"/>
            <w:vAlign w:val="center"/>
          </w:tcPr>
          <w:p w14:paraId="739590D7" w14:textId="2A0E7428"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4.00</w:t>
            </w:r>
          </w:p>
        </w:tc>
        <w:tc>
          <w:tcPr>
            <w:tcW w:w="347" w:type="pct"/>
            <w:vAlign w:val="center"/>
          </w:tcPr>
          <w:p w14:paraId="4BE27A4C" w14:textId="682B0351"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9.00</w:t>
            </w:r>
          </w:p>
        </w:tc>
        <w:tc>
          <w:tcPr>
            <w:tcW w:w="85" w:type="pct"/>
          </w:tcPr>
          <w:p w14:paraId="4A7A888E" w14:textId="77777777" w:rsidR="00BB2603" w:rsidRPr="006E32C6" w:rsidRDefault="00BB2603" w:rsidP="003D1FBF">
            <w:pPr>
              <w:spacing w:after="40"/>
              <w:jc w:val="center"/>
              <w:rPr>
                <w:sz w:val="20"/>
                <w:szCs w:val="20"/>
              </w:rPr>
            </w:pPr>
          </w:p>
        </w:tc>
        <w:tc>
          <w:tcPr>
            <w:tcW w:w="359" w:type="pct"/>
            <w:vAlign w:val="center"/>
          </w:tcPr>
          <w:p w14:paraId="59D58C59" w14:textId="27628470"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1.49</w:t>
            </w:r>
          </w:p>
        </w:tc>
        <w:tc>
          <w:tcPr>
            <w:tcW w:w="359" w:type="pct"/>
            <w:vAlign w:val="center"/>
          </w:tcPr>
          <w:p w14:paraId="70760739" w14:textId="339EFC33"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1.39</w:t>
            </w:r>
          </w:p>
        </w:tc>
        <w:tc>
          <w:tcPr>
            <w:tcW w:w="359" w:type="pct"/>
            <w:vAlign w:val="center"/>
          </w:tcPr>
          <w:p w14:paraId="7B000E30" w14:textId="21826538"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59" w:type="pct"/>
            <w:vAlign w:val="center"/>
          </w:tcPr>
          <w:p w14:paraId="4C2D4AA3" w14:textId="03EA9F31"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359" w:type="pct"/>
            <w:vAlign w:val="center"/>
          </w:tcPr>
          <w:p w14:paraId="00952B28" w14:textId="1C6FD05D"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6.00</w:t>
            </w:r>
          </w:p>
        </w:tc>
        <w:tc>
          <w:tcPr>
            <w:tcW w:w="530" w:type="pct"/>
            <w:vAlign w:val="center"/>
          </w:tcPr>
          <w:p w14:paraId="75A54C22" w14:textId="52E263DA"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-59.6%***</w:t>
            </w:r>
          </w:p>
        </w:tc>
      </w:tr>
      <w:tr w:rsidR="00BB2603" w14:paraId="2588CDD0" w14:textId="77777777" w:rsidTr="00481980">
        <w:tc>
          <w:tcPr>
            <w:tcW w:w="863" w:type="pct"/>
            <w:vAlign w:val="bottom"/>
          </w:tcPr>
          <w:p w14:paraId="3C0CCA2A" w14:textId="07FDB9CE" w:rsidR="00BB2603" w:rsidRPr="006E32C6" w:rsidRDefault="00BB2603" w:rsidP="003D1FBF">
            <w:pPr>
              <w:spacing w:after="40"/>
              <w:rPr>
                <w:sz w:val="20"/>
                <w:szCs w:val="20"/>
              </w:rPr>
            </w:pPr>
            <w:r w:rsidRPr="006E32C6">
              <w:rPr>
                <w:rFonts w:eastAsia="Times New Roman"/>
                <w:color w:val="000000"/>
                <w:sz w:val="20"/>
                <w:szCs w:val="20"/>
                <w:lang w:val="en-US" w:eastAsia="en-US"/>
              </w:rPr>
              <w:t>#Comments</w:t>
            </w:r>
          </w:p>
        </w:tc>
        <w:tc>
          <w:tcPr>
            <w:tcW w:w="345" w:type="pct"/>
            <w:vAlign w:val="center"/>
          </w:tcPr>
          <w:p w14:paraId="51B48F6A" w14:textId="4467D83C"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44.05</w:t>
            </w:r>
          </w:p>
        </w:tc>
        <w:tc>
          <w:tcPr>
            <w:tcW w:w="345" w:type="pct"/>
            <w:vAlign w:val="center"/>
          </w:tcPr>
          <w:p w14:paraId="16EEAD67" w14:textId="0B2691B5"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21.85</w:t>
            </w:r>
          </w:p>
        </w:tc>
        <w:tc>
          <w:tcPr>
            <w:tcW w:w="345" w:type="pct"/>
            <w:vAlign w:val="center"/>
          </w:tcPr>
          <w:p w14:paraId="5D7EFE5D" w14:textId="382AE62E"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5" w:type="pct"/>
            <w:vAlign w:val="center"/>
          </w:tcPr>
          <w:p w14:paraId="6BF12D98" w14:textId="078AFDB9"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46.00</w:t>
            </w:r>
          </w:p>
        </w:tc>
        <w:tc>
          <w:tcPr>
            <w:tcW w:w="347" w:type="pct"/>
            <w:vAlign w:val="center"/>
          </w:tcPr>
          <w:p w14:paraId="1E6F0B12" w14:textId="552B2FD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95.00</w:t>
            </w:r>
          </w:p>
        </w:tc>
        <w:tc>
          <w:tcPr>
            <w:tcW w:w="85" w:type="pct"/>
          </w:tcPr>
          <w:p w14:paraId="250865EA" w14:textId="77777777" w:rsidR="00BB2603" w:rsidRPr="006E32C6" w:rsidRDefault="00BB2603" w:rsidP="003D1FBF">
            <w:pPr>
              <w:spacing w:after="40"/>
              <w:jc w:val="center"/>
              <w:rPr>
                <w:sz w:val="20"/>
                <w:szCs w:val="20"/>
              </w:rPr>
            </w:pPr>
          </w:p>
        </w:tc>
        <w:tc>
          <w:tcPr>
            <w:tcW w:w="359" w:type="pct"/>
            <w:vAlign w:val="center"/>
          </w:tcPr>
          <w:p w14:paraId="4E3A9A93" w14:textId="097F83A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6.03</w:t>
            </w:r>
          </w:p>
        </w:tc>
        <w:tc>
          <w:tcPr>
            <w:tcW w:w="359" w:type="pct"/>
            <w:vAlign w:val="center"/>
          </w:tcPr>
          <w:p w14:paraId="3948C7B4" w14:textId="753E0D49"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12.17</w:t>
            </w:r>
          </w:p>
        </w:tc>
        <w:tc>
          <w:tcPr>
            <w:tcW w:w="359" w:type="pct"/>
            <w:vAlign w:val="center"/>
          </w:tcPr>
          <w:p w14:paraId="3822171D" w14:textId="2271E28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59" w:type="pct"/>
            <w:vAlign w:val="center"/>
          </w:tcPr>
          <w:p w14:paraId="0EDD7B65" w14:textId="5AE9D6D1"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359" w:type="pct"/>
            <w:vAlign w:val="center"/>
          </w:tcPr>
          <w:p w14:paraId="61D38C95" w14:textId="089946BF"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62.00</w:t>
            </w:r>
          </w:p>
        </w:tc>
        <w:tc>
          <w:tcPr>
            <w:tcW w:w="530" w:type="pct"/>
            <w:vAlign w:val="center"/>
          </w:tcPr>
          <w:p w14:paraId="0BC5277E" w14:textId="521D77FD"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-86.3%***</w:t>
            </w:r>
          </w:p>
        </w:tc>
      </w:tr>
      <w:tr w:rsidR="00BB2603" w14:paraId="4A2C8376" w14:textId="77777777" w:rsidTr="00481980">
        <w:tc>
          <w:tcPr>
            <w:tcW w:w="863" w:type="pct"/>
            <w:vAlign w:val="bottom"/>
          </w:tcPr>
          <w:p w14:paraId="0C4C7184" w14:textId="0F1C687B" w:rsidR="00BB2603" w:rsidRPr="006E32C6" w:rsidRDefault="00BB2603" w:rsidP="003D1FBF">
            <w:pPr>
              <w:spacing w:after="40"/>
              <w:rPr>
                <w:sz w:val="20"/>
                <w:szCs w:val="20"/>
              </w:rPr>
            </w:pPr>
            <w:r w:rsidRPr="006E32C6">
              <w:rPr>
                <w:rFonts w:eastAsia="Times New Roman"/>
                <w:color w:val="000000"/>
                <w:sz w:val="20"/>
                <w:szCs w:val="20"/>
                <w:lang w:val="en-US" w:eastAsia="en-US"/>
              </w:rPr>
              <w:t>#Themes</w:t>
            </w:r>
          </w:p>
        </w:tc>
        <w:tc>
          <w:tcPr>
            <w:tcW w:w="345" w:type="pct"/>
            <w:vAlign w:val="center"/>
          </w:tcPr>
          <w:p w14:paraId="6BAB9D55" w14:textId="39B99DF9"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4.95</w:t>
            </w:r>
          </w:p>
        </w:tc>
        <w:tc>
          <w:tcPr>
            <w:tcW w:w="345" w:type="pct"/>
            <w:vAlign w:val="center"/>
          </w:tcPr>
          <w:p w14:paraId="31BFB18D" w14:textId="61B0840D"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1.82</w:t>
            </w:r>
          </w:p>
        </w:tc>
        <w:tc>
          <w:tcPr>
            <w:tcW w:w="345" w:type="pct"/>
            <w:vAlign w:val="center"/>
          </w:tcPr>
          <w:p w14:paraId="220B48D0" w14:textId="60CD4701"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5" w:type="pct"/>
            <w:vAlign w:val="center"/>
          </w:tcPr>
          <w:p w14:paraId="25F51E31" w14:textId="7A3457DA"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5.00</w:t>
            </w:r>
          </w:p>
        </w:tc>
        <w:tc>
          <w:tcPr>
            <w:tcW w:w="347" w:type="pct"/>
            <w:vAlign w:val="center"/>
          </w:tcPr>
          <w:p w14:paraId="47941458" w14:textId="74D716C8"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7.00</w:t>
            </w:r>
          </w:p>
        </w:tc>
        <w:tc>
          <w:tcPr>
            <w:tcW w:w="85" w:type="pct"/>
          </w:tcPr>
          <w:p w14:paraId="16DD45F1" w14:textId="77777777" w:rsidR="00BB2603" w:rsidRPr="006E32C6" w:rsidRDefault="00BB2603" w:rsidP="003D1FBF">
            <w:pPr>
              <w:spacing w:after="40"/>
              <w:jc w:val="center"/>
              <w:rPr>
                <w:sz w:val="20"/>
                <w:szCs w:val="20"/>
              </w:rPr>
            </w:pPr>
          </w:p>
        </w:tc>
        <w:tc>
          <w:tcPr>
            <w:tcW w:w="359" w:type="pct"/>
            <w:vAlign w:val="center"/>
          </w:tcPr>
          <w:p w14:paraId="41D0FD73" w14:textId="7BEA2B4D"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1.68</w:t>
            </w:r>
          </w:p>
        </w:tc>
        <w:tc>
          <w:tcPr>
            <w:tcW w:w="359" w:type="pct"/>
            <w:vAlign w:val="center"/>
          </w:tcPr>
          <w:p w14:paraId="099808E3" w14:textId="6890A4C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1.82</w:t>
            </w:r>
          </w:p>
        </w:tc>
        <w:tc>
          <w:tcPr>
            <w:tcW w:w="359" w:type="pct"/>
            <w:vAlign w:val="center"/>
          </w:tcPr>
          <w:p w14:paraId="2899935B" w14:textId="060BE59B"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59" w:type="pct"/>
            <w:vAlign w:val="center"/>
          </w:tcPr>
          <w:p w14:paraId="26B6C7F4" w14:textId="57E2FCB8"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359" w:type="pct"/>
            <w:vAlign w:val="center"/>
          </w:tcPr>
          <w:p w14:paraId="4D219077" w14:textId="7B3BC162"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7.00</w:t>
            </w:r>
          </w:p>
        </w:tc>
        <w:tc>
          <w:tcPr>
            <w:tcW w:w="530" w:type="pct"/>
            <w:vAlign w:val="center"/>
          </w:tcPr>
          <w:p w14:paraId="1BB0013F" w14:textId="6EF9C4D3"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-66.</w:t>
            </w:r>
            <w:r w:rsidR="00F5743A">
              <w:rPr>
                <w:rFonts w:eastAsia="Times New Roman"/>
                <w:color w:val="000000"/>
                <w:sz w:val="20"/>
                <w:szCs w:val="20"/>
                <w:lang w:val="en-US" w:eastAsia="en-US"/>
              </w:rPr>
              <w:t>1</w:t>
            </w:r>
            <w:r w:rsidRPr="006E32C6">
              <w:rPr>
                <w:rFonts w:eastAsia="Times New Roman"/>
                <w:color w:val="000000"/>
                <w:sz w:val="20"/>
                <w:szCs w:val="20"/>
                <w:lang w:val="en-US" w:eastAsia="en-US"/>
              </w:rPr>
              <w:t>%***</w:t>
            </w:r>
          </w:p>
        </w:tc>
      </w:tr>
      <w:tr w:rsidR="00BB2603" w14:paraId="767C5797" w14:textId="77777777" w:rsidTr="00481980">
        <w:tc>
          <w:tcPr>
            <w:tcW w:w="863" w:type="pct"/>
            <w:vAlign w:val="bottom"/>
          </w:tcPr>
          <w:p w14:paraId="28BC1AD6" w14:textId="03DCE90D" w:rsidR="00BB2603" w:rsidRPr="006E32C6" w:rsidRDefault="00BB2603" w:rsidP="003D1FBF">
            <w:pPr>
              <w:spacing w:after="40"/>
              <w:rPr>
                <w:sz w:val="20"/>
                <w:szCs w:val="20"/>
              </w:rPr>
            </w:pPr>
            <w:r w:rsidRPr="006E32C6">
              <w:rPr>
                <w:rFonts w:eastAsia="Times New Roman"/>
                <w:color w:val="000000"/>
                <w:sz w:val="20"/>
                <w:szCs w:val="20"/>
                <w:lang w:val="en-US" w:eastAsia="en-US"/>
              </w:rPr>
              <w:t>Size</w:t>
            </w:r>
          </w:p>
        </w:tc>
        <w:tc>
          <w:tcPr>
            <w:tcW w:w="345" w:type="pct"/>
            <w:vAlign w:val="center"/>
          </w:tcPr>
          <w:p w14:paraId="535E5CD5" w14:textId="6A026102"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4.18</w:t>
            </w:r>
          </w:p>
        </w:tc>
        <w:tc>
          <w:tcPr>
            <w:tcW w:w="345" w:type="pct"/>
            <w:vAlign w:val="center"/>
          </w:tcPr>
          <w:p w14:paraId="661C3018" w14:textId="4BC6C282"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1.41</w:t>
            </w:r>
          </w:p>
        </w:tc>
        <w:tc>
          <w:tcPr>
            <w:tcW w:w="345" w:type="pct"/>
            <w:vAlign w:val="center"/>
          </w:tcPr>
          <w:p w14:paraId="626DE4F4" w14:textId="666224AB"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0.35</w:t>
            </w:r>
          </w:p>
        </w:tc>
        <w:tc>
          <w:tcPr>
            <w:tcW w:w="345" w:type="pct"/>
            <w:vAlign w:val="center"/>
          </w:tcPr>
          <w:p w14:paraId="2CF5557C" w14:textId="451B487F"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4.06</w:t>
            </w:r>
          </w:p>
        </w:tc>
        <w:tc>
          <w:tcPr>
            <w:tcW w:w="347" w:type="pct"/>
            <w:vAlign w:val="center"/>
          </w:tcPr>
          <w:p w14:paraId="5ADD3EA7" w14:textId="7A91E20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7.30</w:t>
            </w:r>
          </w:p>
        </w:tc>
        <w:tc>
          <w:tcPr>
            <w:tcW w:w="85" w:type="pct"/>
          </w:tcPr>
          <w:p w14:paraId="74B966E1" w14:textId="77777777" w:rsidR="00BB2603" w:rsidRPr="006E32C6" w:rsidRDefault="00BB2603" w:rsidP="003D1FBF">
            <w:pPr>
              <w:spacing w:after="40"/>
              <w:jc w:val="center"/>
              <w:rPr>
                <w:sz w:val="20"/>
                <w:szCs w:val="20"/>
              </w:rPr>
            </w:pPr>
          </w:p>
        </w:tc>
        <w:tc>
          <w:tcPr>
            <w:tcW w:w="359" w:type="pct"/>
            <w:vAlign w:val="center"/>
          </w:tcPr>
          <w:p w14:paraId="07ACBA41" w14:textId="618C2B6C"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3.74</w:t>
            </w:r>
          </w:p>
        </w:tc>
        <w:tc>
          <w:tcPr>
            <w:tcW w:w="359" w:type="pct"/>
            <w:vAlign w:val="center"/>
          </w:tcPr>
          <w:p w14:paraId="0872147A" w14:textId="100E387E"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1.73</w:t>
            </w:r>
          </w:p>
        </w:tc>
        <w:tc>
          <w:tcPr>
            <w:tcW w:w="359" w:type="pct"/>
            <w:vAlign w:val="center"/>
          </w:tcPr>
          <w:p w14:paraId="1B883D07" w14:textId="11742442"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-1.71</w:t>
            </w:r>
          </w:p>
        </w:tc>
        <w:tc>
          <w:tcPr>
            <w:tcW w:w="359" w:type="pct"/>
            <w:vAlign w:val="center"/>
          </w:tcPr>
          <w:p w14:paraId="5499EB91" w14:textId="3A061528"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3.84</w:t>
            </w:r>
          </w:p>
        </w:tc>
        <w:tc>
          <w:tcPr>
            <w:tcW w:w="359" w:type="pct"/>
            <w:vAlign w:val="center"/>
          </w:tcPr>
          <w:p w14:paraId="2FEEF218" w14:textId="3E76CF0D"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7.67</w:t>
            </w:r>
          </w:p>
        </w:tc>
        <w:tc>
          <w:tcPr>
            <w:tcW w:w="530" w:type="pct"/>
            <w:vAlign w:val="center"/>
          </w:tcPr>
          <w:p w14:paraId="7CCA4314" w14:textId="7F00C31E"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-10.5%***</w:t>
            </w:r>
          </w:p>
        </w:tc>
      </w:tr>
      <w:tr w:rsidR="00BB2603" w14:paraId="3E707ABA" w14:textId="77777777" w:rsidTr="00481980">
        <w:tc>
          <w:tcPr>
            <w:tcW w:w="863" w:type="pct"/>
            <w:vAlign w:val="center"/>
          </w:tcPr>
          <w:p w14:paraId="1B39297A" w14:textId="14126EBC" w:rsidR="00BB2603" w:rsidRPr="006E32C6" w:rsidRDefault="00BB2603" w:rsidP="003D1FBF">
            <w:pPr>
              <w:spacing w:after="40"/>
              <w:rPr>
                <w:sz w:val="20"/>
                <w:szCs w:val="20"/>
              </w:rPr>
            </w:pPr>
            <w:r w:rsidRPr="006E32C6">
              <w:rPr>
                <w:rFonts w:eastAsia="Times New Roman"/>
                <w:color w:val="000000"/>
                <w:sz w:val="20"/>
                <w:szCs w:val="20"/>
                <w:lang w:val="en-US" w:eastAsia="en-US"/>
              </w:rPr>
              <w:t>Leverage</w:t>
            </w:r>
          </w:p>
        </w:tc>
        <w:tc>
          <w:tcPr>
            <w:tcW w:w="345" w:type="pct"/>
            <w:vAlign w:val="center"/>
          </w:tcPr>
          <w:p w14:paraId="7AF8FD44" w14:textId="41E2A280"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-3.49</w:t>
            </w:r>
          </w:p>
        </w:tc>
        <w:tc>
          <w:tcPr>
            <w:tcW w:w="345" w:type="pct"/>
            <w:vAlign w:val="center"/>
          </w:tcPr>
          <w:p w14:paraId="3D1912A3" w14:textId="3FA2CF18"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58.53</w:t>
            </w:r>
          </w:p>
        </w:tc>
        <w:tc>
          <w:tcPr>
            <w:tcW w:w="345" w:type="pct"/>
            <w:vAlign w:val="center"/>
          </w:tcPr>
          <w:p w14:paraId="05ECD7A7" w14:textId="675E4781"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-56.06</w:t>
            </w:r>
          </w:p>
        </w:tc>
        <w:tc>
          <w:tcPr>
            <w:tcW w:w="345" w:type="pct"/>
            <w:vAlign w:val="center"/>
          </w:tcPr>
          <w:p w14:paraId="6A19CC60" w14:textId="42B9052E"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-0.21</w:t>
            </w:r>
          </w:p>
        </w:tc>
        <w:tc>
          <w:tcPr>
            <w:tcW w:w="347" w:type="pct"/>
            <w:vAlign w:val="center"/>
          </w:tcPr>
          <w:p w14:paraId="7AC26D3E" w14:textId="49990B9F"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26.89</w:t>
            </w:r>
          </w:p>
        </w:tc>
        <w:tc>
          <w:tcPr>
            <w:tcW w:w="85" w:type="pct"/>
          </w:tcPr>
          <w:p w14:paraId="0FE5D2B8" w14:textId="77777777" w:rsidR="00BB2603" w:rsidRPr="006E32C6" w:rsidRDefault="00BB2603" w:rsidP="003D1FBF">
            <w:pPr>
              <w:spacing w:after="40"/>
              <w:jc w:val="center"/>
              <w:rPr>
                <w:sz w:val="20"/>
                <w:szCs w:val="20"/>
              </w:rPr>
            </w:pPr>
          </w:p>
        </w:tc>
        <w:tc>
          <w:tcPr>
            <w:tcW w:w="359" w:type="pct"/>
            <w:vAlign w:val="center"/>
          </w:tcPr>
          <w:p w14:paraId="7ED1A598" w14:textId="596AB137"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-0.03</w:t>
            </w:r>
          </w:p>
        </w:tc>
        <w:tc>
          <w:tcPr>
            <w:tcW w:w="359" w:type="pct"/>
            <w:vAlign w:val="center"/>
          </w:tcPr>
          <w:p w14:paraId="4BCAC6BB" w14:textId="0C99F738"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7.13</w:t>
            </w:r>
          </w:p>
        </w:tc>
        <w:tc>
          <w:tcPr>
            <w:tcW w:w="359" w:type="pct"/>
            <w:vAlign w:val="center"/>
          </w:tcPr>
          <w:p w14:paraId="3D36E05B" w14:textId="2F9FAD40"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-21.44</w:t>
            </w:r>
          </w:p>
        </w:tc>
        <w:tc>
          <w:tcPr>
            <w:tcW w:w="359" w:type="pct"/>
            <w:vAlign w:val="center"/>
          </w:tcPr>
          <w:p w14:paraId="7D49D686" w14:textId="1666721B"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-0.23</w:t>
            </w:r>
          </w:p>
        </w:tc>
        <w:tc>
          <w:tcPr>
            <w:tcW w:w="359" w:type="pct"/>
            <w:vAlign w:val="center"/>
          </w:tcPr>
          <w:p w14:paraId="14B7E039" w14:textId="6EF208B3"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34.68</w:t>
            </w:r>
          </w:p>
        </w:tc>
        <w:tc>
          <w:tcPr>
            <w:tcW w:w="530" w:type="pct"/>
            <w:vAlign w:val="center"/>
          </w:tcPr>
          <w:p w14:paraId="6D21A2D3" w14:textId="5B4A4876"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-99.1%</w:t>
            </w:r>
          </w:p>
        </w:tc>
      </w:tr>
      <w:tr w:rsidR="00BB2603" w14:paraId="5C2B8CAC" w14:textId="77777777" w:rsidTr="00481980">
        <w:tc>
          <w:tcPr>
            <w:tcW w:w="863" w:type="pct"/>
            <w:vAlign w:val="center"/>
          </w:tcPr>
          <w:p w14:paraId="7C2117FE" w14:textId="7D5835BB" w:rsidR="00BB2603" w:rsidRPr="006E32C6" w:rsidRDefault="00BB2603" w:rsidP="003D1FBF">
            <w:pPr>
              <w:spacing w:after="40"/>
              <w:rPr>
                <w:sz w:val="20"/>
                <w:szCs w:val="20"/>
              </w:rPr>
            </w:pPr>
            <w:r w:rsidRPr="006E32C6">
              <w:rPr>
                <w:rFonts w:eastAsia="Times New Roman"/>
                <w:color w:val="000000"/>
                <w:sz w:val="20"/>
                <w:szCs w:val="20"/>
                <w:lang w:val="en-US" w:eastAsia="en-US"/>
              </w:rPr>
              <w:t>Firm age</w:t>
            </w:r>
          </w:p>
        </w:tc>
        <w:tc>
          <w:tcPr>
            <w:tcW w:w="345" w:type="pct"/>
            <w:vAlign w:val="center"/>
          </w:tcPr>
          <w:p w14:paraId="1CA27718" w14:textId="1FC308F0"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15.21</w:t>
            </w:r>
          </w:p>
        </w:tc>
        <w:tc>
          <w:tcPr>
            <w:tcW w:w="345" w:type="pct"/>
            <w:vAlign w:val="center"/>
          </w:tcPr>
          <w:p w14:paraId="1FBF8519" w14:textId="7B6753DA"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20.91</w:t>
            </w:r>
          </w:p>
        </w:tc>
        <w:tc>
          <w:tcPr>
            <w:tcW w:w="345" w:type="pct"/>
            <w:vAlign w:val="center"/>
          </w:tcPr>
          <w:p w14:paraId="1161DE76" w14:textId="7B538695"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5" w:type="pct"/>
            <w:vAlign w:val="center"/>
          </w:tcPr>
          <w:p w14:paraId="72A00831" w14:textId="4F0895C5"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9.00</w:t>
            </w:r>
          </w:p>
        </w:tc>
        <w:tc>
          <w:tcPr>
            <w:tcW w:w="347" w:type="pct"/>
            <w:vAlign w:val="center"/>
          </w:tcPr>
          <w:p w14:paraId="006729E7" w14:textId="0F5FADF4"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129.00</w:t>
            </w:r>
          </w:p>
        </w:tc>
        <w:tc>
          <w:tcPr>
            <w:tcW w:w="85" w:type="pct"/>
          </w:tcPr>
          <w:p w14:paraId="10BF3E31" w14:textId="77777777" w:rsidR="00BB2603" w:rsidRPr="006E32C6" w:rsidRDefault="00BB2603" w:rsidP="003D1FBF">
            <w:pPr>
              <w:spacing w:after="40"/>
              <w:jc w:val="center"/>
              <w:rPr>
                <w:sz w:val="20"/>
                <w:szCs w:val="20"/>
              </w:rPr>
            </w:pPr>
          </w:p>
        </w:tc>
        <w:tc>
          <w:tcPr>
            <w:tcW w:w="359" w:type="pct"/>
            <w:vAlign w:val="center"/>
          </w:tcPr>
          <w:p w14:paraId="13C184EB" w14:textId="6D1D62CB"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11.40</w:t>
            </w:r>
          </w:p>
        </w:tc>
        <w:tc>
          <w:tcPr>
            <w:tcW w:w="359" w:type="pct"/>
            <w:vAlign w:val="center"/>
          </w:tcPr>
          <w:p w14:paraId="0214E62D" w14:textId="09ADD0BA"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9.51</w:t>
            </w:r>
          </w:p>
        </w:tc>
        <w:tc>
          <w:tcPr>
            <w:tcW w:w="359" w:type="pct"/>
            <w:vAlign w:val="center"/>
          </w:tcPr>
          <w:p w14:paraId="76CEF7DC" w14:textId="1BC64FB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359" w:type="pct"/>
            <w:vAlign w:val="center"/>
          </w:tcPr>
          <w:p w14:paraId="7D07A910" w14:textId="73342FBA"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9.00</w:t>
            </w:r>
          </w:p>
        </w:tc>
        <w:tc>
          <w:tcPr>
            <w:tcW w:w="359" w:type="pct"/>
            <w:vAlign w:val="center"/>
          </w:tcPr>
          <w:p w14:paraId="29EDD4C2" w14:textId="5644B935"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56.00</w:t>
            </w:r>
          </w:p>
        </w:tc>
        <w:tc>
          <w:tcPr>
            <w:tcW w:w="530" w:type="pct"/>
            <w:vAlign w:val="center"/>
          </w:tcPr>
          <w:p w14:paraId="2407D964" w14:textId="77589F18"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-25.</w:t>
            </w:r>
            <w:r w:rsidR="00F5743A">
              <w:rPr>
                <w:rFonts w:eastAsia="Times New Roman"/>
                <w:color w:val="000000"/>
                <w:sz w:val="20"/>
                <w:szCs w:val="20"/>
                <w:lang w:val="en-US" w:eastAsia="en-US"/>
              </w:rPr>
              <w:t>1</w:t>
            </w:r>
            <w:r w:rsidRPr="006E32C6">
              <w:rPr>
                <w:rFonts w:eastAsia="Times New Roman"/>
                <w:color w:val="000000"/>
                <w:sz w:val="20"/>
                <w:szCs w:val="20"/>
                <w:lang w:val="en-US" w:eastAsia="en-US"/>
              </w:rPr>
              <w:t>%***</w:t>
            </w:r>
          </w:p>
        </w:tc>
      </w:tr>
      <w:tr w:rsidR="00BB2603" w14:paraId="4B07688B" w14:textId="77777777" w:rsidTr="00481980">
        <w:tc>
          <w:tcPr>
            <w:tcW w:w="863" w:type="pct"/>
            <w:vAlign w:val="center"/>
          </w:tcPr>
          <w:p w14:paraId="0DC076EF" w14:textId="247F189E" w:rsidR="00BB2603" w:rsidRPr="006E32C6" w:rsidRDefault="00BB2603" w:rsidP="003D1FBF">
            <w:pPr>
              <w:spacing w:after="40"/>
              <w:rPr>
                <w:sz w:val="20"/>
                <w:szCs w:val="20"/>
              </w:rPr>
            </w:pPr>
            <w:r w:rsidRPr="006E32C6">
              <w:rPr>
                <w:rFonts w:eastAsia="Times New Roman"/>
                <w:color w:val="000000"/>
                <w:sz w:val="20"/>
                <w:szCs w:val="20"/>
                <w:lang w:val="en-US" w:eastAsia="en-US"/>
              </w:rPr>
              <w:t>Segments</w:t>
            </w:r>
          </w:p>
        </w:tc>
        <w:tc>
          <w:tcPr>
            <w:tcW w:w="345" w:type="pct"/>
            <w:vAlign w:val="center"/>
          </w:tcPr>
          <w:p w14:paraId="2B9F5723" w14:textId="1BEB007B"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1.42</w:t>
            </w:r>
          </w:p>
        </w:tc>
        <w:tc>
          <w:tcPr>
            <w:tcW w:w="345" w:type="pct"/>
            <w:vAlign w:val="center"/>
          </w:tcPr>
          <w:p w14:paraId="1ADEA8EB" w14:textId="599C5A53"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1.07</w:t>
            </w:r>
          </w:p>
        </w:tc>
        <w:tc>
          <w:tcPr>
            <w:tcW w:w="345" w:type="pct"/>
            <w:vAlign w:val="center"/>
          </w:tcPr>
          <w:p w14:paraId="6B02F29F" w14:textId="2CE9743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345" w:type="pct"/>
            <w:vAlign w:val="center"/>
          </w:tcPr>
          <w:p w14:paraId="6B22A0E4" w14:textId="17667B2A"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347" w:type="pct"/>
            <w:vAlign w:val="center"/>
          </w:tcPr>
          <w:p w14:paraId="2A8330A8" w14:textId="64A11F4A"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6.00</w:t>
            </w:r>
          </w:p>
        </w:tc>
        <w:tc>
          <w:tcPr>
            <w:tcW w:w="85" w:type="pct"/>
          </w:tcPr>
          <w:p w14:paraId="05EE712E" w14:textId="77777777" w:rsidR="00BB2603" w:rsidRPr="006E32C6" w:rsidRDefault="00BB2603" w:rsidP="003D1FBF">
            <w:pPr>
              <w:spacing w:after="40"/>
              <w:jc w:val="center"/>
              <w:rPr>
                <w:sz w:val="20"/>
                <w:szCs w:val="20"/>
              </w:rPr>
            </w:pPr>
          </w:p>
        </w:tc>
        <w:tc>
          <w:tcPr>
            <w:tcW w:w="359" w:type="pct"/>
            <w:vAlign w:val="center"/>
          </w:tcPr>
          <w:p w14:paraId="2778A484" w14:textId="1B640175"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1.15</w:t>
            </w:r>
          </w:p>
        </w:tc>
        <w:tc>
          <w:tcPr>
            <w:tcW w:w="359" w:type="pct"/>
            <w:vAlign w:val="center"/>
          </w:tcPr>
          <w:p w14:paraId="5A4C1546" w14:textId="6C2D1794"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0.59</w:t>
            </w:r>
          </w:p>
        </w:tc>
        <w:tc>
          <w:tcPr>
            <w:tcW w:w="359" w:type="pct"/>
            <w:vAlign w:val="center"/>
          </w:tcPr>
          <w:p w14:paraId="33D8F68C" w14:textId="21ECBC54"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359" w:type="pct"/>
            <w:vAlign w:val="center"/>
          </w:tcPr>
          <w:p w14:paraId="257723B7" w14:textId="3417DC12"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359" w:type="pct"/>
            <w:vAlign w:val="center"/>
          </w:tcPr>
          <w:p w14:paraId="66A1E890" w14:textId="2581FB99"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4.00</w:t>
            </w:r>
          </w:p>
        </w:tc>
        <w:tc>
          <w:tcPr>
            <w:tcW w:w="530" w:type="pct"/>
            <w:vAlign w:val="center"/>
          </w:tcPr>
          <w:p w14:paraId="6C63C848" w14:textId="1DDC42F9"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-19.0%***</w:t>
            </w:r>
          </w:p>
        </w:tc>
      </w:tr>
      <w:tr w:rsidR="00BB2603" w14:paraId="38686368" w14:textId="77777777" w:rsidTr="00481980">
        <w:tc>
          <w:tcPr>
            <w:tcW w:w="863" w:type="pct"/>
            <w:vAlign w:val="center"/>
          </w:tcPr>
          <w:p w14:paraId="76427608" w14:textId="46CA45A3" w:rsidR="00BB2603" w:rsidRPr="006E32C6" w:rsidRDefault="00BB2603" w:rsidP="003D1FBF">
            <w:pPr>
              <w:spacing w:after="40"/>
              <w:rPr>
                <w:sz w:val="20"/>
                <w:szCs w:val="20"/>
              </w:rPr>
            </w:pPr>
            <w:r w:rsidRPr="006E32C6">
              <w:rPr>
                <w:rFonts w:eastAsia="Times New Roman"/>
                <w:color w:val="000000"/>
                <w:sz w:val="20"/>
                <w:szCs w:val="20"/>
                <w:lang w:val="en-US" w:eastAsia="en-US"/>
              </w:rPr>
              <w:t>Z-score</w:t>
            </w:r>
          </w:p>
        </w:tc>
        <w:tc>
          <w:tcPr>
            <w:tcW w:w="345" w:type="pct"/>
            <w:vAlign w:val="center"/>
          </w:tcPr>
          <w:p w14:paraId="6EB7136E" w14:textId="024FA9C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-6.36</w:t>
            </w:r>
          </w:p>
        </w:tc>
        <w:tc>
          <w:tcPr>
            <w:tcW w:w="345" w:type="pct"/>
            <w:vAlign w:val="center"/>
          </w:tcPr>
          <w:p w14:paraId="00714CFD" w14:textId="2402B5BB"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54.93</w:t>
            </w:r>
          </w:p>
        </w:tc>
        <w:tc>
          <w:tcPr>
            <w:tcW w:w="345" w:type="pct"/>
            <w:vAlign w:val="center"/>
          </w:tcPr>
          <w:p w14:paraId="15A33A4A" w14:textId="36EEA0FF"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-130.29</w:t>
            </w:r>
          </w:p>
        </w:tc>
        <w:tc>
          <w:tcPr>
            <w:tcW w:w="345" w:type="pct"/>
            <w:vAlign w:val="center"/>
          </w:tcPr>
          <w:p w14:paraId="31FFDB16" w14:textId="518FB081"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1.15</w:t>
            </w:r>
          </w:p>
        </w:tc>
        <w:tc>
          <w:tcPr>
            <w:tcW w:w="347" w:type="pct"/>
            <w:vAlign w:val="center"/>
          </w:tcPr>
          <w:p w14:paraId="3F84B4CB" w14:textId="143A35D3"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16.48</w:t>
            </w:r>
          </w:p>
        </w:tc>
        <w:tc>
          <w:tcPr>
            <w:tcW w:w="85" w:type="pct"/>
          </w:tcPr>
          <w:p w14:paraId="6118B11D" w14:textId="77777777" w:rsidR="00BB2603" w:rsidRPr="006E32C6" w:rsidRDefault="00BB2603" w:rsidP="003D1FBF">
            <w:pPr>
              <w:spacing w:after="40"/>
              <w:jc w:val="center"/>
              <w:rPr>
                <w:sz w:val="20"/>
                <w:szCs w:val="20"/>
              </w:rPr>
            </w:pPr>
          </w:p>
        </w:tc>
        <w:tc>
          <w:tcPr>
            <w:tcW w:w="359" w:type="pct"/>
            <w:vAlign w:val="center"/>
          </w:tcPr>
          <w:p w14:paraId="0B4F9422" w14:textId="669894C8"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-24.25</w:t>
            </w:r>
          </w:p>
        </w:tc>
        <w:tc>
          <w:tcPr>
            <w:tcW w:w="359" w:type="pct"/>
            <w:vAlign w:val="center"/>
          </w:tcPr>
          <w:p w14:paraId="06F293BA" w14:textId="18EE88D2"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81.92</w:t>
            </w:r>
          </w:p>
        </w:tc>
        <w:tc>
          <w:tcPr>
            <w:tcW w:w="359" w:type="pct"/>
            <w:vAlign w:val="center"/>
          </w:tcPr>
          <w:p w14:paraId="231A02F7" w14:textId="1201B9BC"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-502.27</w:t>
            </w:r>
          </w:p>
        </w:tc>
        <w:tc>
          <w:tcPr>
            <w:tcW w:w="359" w:type="pct"/>
            <w:vAlign w:val="center"/>
          </w:tcPr>
          <w:p w14:paraId="37F080A4" w14:textId="12626ECA"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-5.94</w:t>
            </w:r>
          </w:p>
        </w:tc>
        <w:tc>
          <w:tcPr>
            <w:tcW w:w="359" w:type="pct"/>
            <w:vAlign w:val="center"/>
          </w:tcPr>
          <w:p w14:paraId="2083F549" w14:textId="069DF227"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21.40</w:t>
            </w:r>
          </w:p>
        </w:tc>
        <w:tc>
          <w:tcPr>
            <w:tcW w:w="530" w:type="pct"/>
            <w:vAlign w:val="center"/>
          </w:tcPr>
          <w:p w14:paraId="0165C5F8" w14:textId="7917E777"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-281.</w:t>
            </w:r>
            <w:r w:rsidR="00F5743A">
              <w:rPr>
                <w:rFonts w:eastAsia="Times New Roman"/>
                <w:color w:val="000000"/>
                <w:sz w:val="20"/>
                <w:szCs w:val="20"/>
                <w:lang w:val="en-US" w:eastAsia="en-US"/>
              </w:rPr>
              <w:t>3</w:t>
            </w:r>
            <w:r w:rsidRPr="006E32C6">
              <w:rPr>
                <w:rFonts w:eastAsia="Times New Roman"/>
                <w:color w:val="000000"/>
                <w:sz w:val="20"/>
                <w:szCs w:val="20"/>
                <w:lang w:val="en-US" w:eastAsia="en-US"/>
              </w:rPr>
              <w:t>%***</w:t>
            </w:r>
          </w:p>
        </w:tc>
      </w:tr>
      <w:tr w:rsidR="00BB2603" w14:paraId="4A08424D" w14:textId="77777777" w:rsidTr="00481980">
        <w:tc>
          <w:tcPr>
            <w:tcW w:w="863" w:type="pct"/>
            <w:vAlign w:val="center"/>
          </w:tcPr>
          <w:p w14:paraId="17BA5BFC" w14:textId="62BA1BB7" w:rsidR="00BB2603" w:rsidRPr="006E32C6" w:rsidRDefault="00BB2603" w:rsidP="003D1FBF">
            <w:pPr>
              <w:spacing w:after="40"/>
              <w:rPr>
                <w:sz w:val="20"/>
                <w:szCs w:val="20"/>
              </w:rPr>
            </w:pPr>
            <w:r w:rsidRPr="006E32C6">
              <w:rPr>
                <w:rFonts w:eastAsia="Times New Roman"/>
                <w:color w:val="000000"/>
                <w:sz w:val="20"/>
                <w:szCs w:val="20"/>
                <w:lang w:val="en-US" w:eastAsia="en-US"/>
              </w:rPr>
              <w:t>Big 4</w:t>
            </w:r>
          </w:p>
        </w:tc>
        <w:tc>
          <w:tcPr>
            <w:tcW w:w="345" w:type="pct"/>
            <w:vAlign w:val="center"/>
          </w:tcPr>
          <w:p w14:paraId="63679143" w14:textId="798CEB3B"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0.81</w:t>
            </w:r>
          </w:p>
        </w:tc>
        <w:tc>
          <w:tcPr>
            <w:tcW w:w="345" w:type="pct"/>
            <w:vAlign w:val="center"/>
          </w:tcPr>
          <w:p w14:paraId="173C9275" w14:textId="5AA8000F"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0.39</w:t>
            </w:r>
          </w:p>
        </w:tc>
        <w:tc>
          <w:tcPr>
            <w:tcW w:w="345" w:type="pct"/>
            <w:vAlign w:val="center"/>
          </w:tcPr>
          <w:p w14:paraId="09CB4130" w14:textId="3D81F5C3"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5" w:type="pct"/>
            <w:vAlign w:val="center"/>
          </w:tcPr>
          <w:p w14:paraId="55908822" w14:textId="10733230"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347" w:type="pct"/>
            <w:vAlign w:val="center"/>
          </w:tcPr>
          <w:p w14:paraId="24C354F3" w14:textId="182F8E43"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85" w:type="pct"/>
          </w:tcPr>
          <w:p w14:paraId="749EA486" w14:textId="77777777" w:rsidR="00BB2603" w:rsidRPr="006E32C6" w:rsidRDefault="00BB2603" w:rsidP="003D1FBF">
            <w:pPr>
              <w:spacing w:after="40"/>
              <w:jc w:val="center"/>
              <w:rPr>
                <w:sz w:val="20"/>
                <w:szCs w:val="20"/>
              </w:rPr>
            </w:pPr>
          </w:p>
        </w:tc>
        <w:tc>
          <w:tcPr>
            <w:tcW w:w="359" w:type="pct"/>
            <w:vAlign w:val="center"/>
          </w:tcPr>
          <w:p w14:paraId="051A9601" w14:textId="0690AE1A"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0.80</w:t>
            </w:r>
          </w:p>
        </w:tc>
        <w:tc>
          <w:tcPr>
            <w:tcW w:w="359" w:type="pct"/>
            <w:vAlign w:val="center"/>
          </w:tcPr>
          <w:p w14:paraId="67F95870" w14:textId="1203A41A"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0.39</w:t>
            </w:r>
          </w:p>
        </w:tc>
        <w:tc>
          <w:tcPr>
            <w:tcW w:w="359" w:type="pct"/>
            <w:vAlign w:val="center"/>
          </w:tcPr>
          <w:p w14:paraId="63C2A3BE" w14:textId="673F2541"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59" w:type="pct"/>
            <w:vAlign w:val="center"/>
          </w:tcPr>
          <w:p w14:paraId="3D108ECF" w14:textId="6541037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359" w:type="pct"/>
            <w:vAlign w:val="center"/>
          </w:tcPr>
          <w:p w14:paraId="3F436C6C" w14:textId="745F864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530" w:type="pct"/>
            <w:vAlign w:val="center"/>
          </w:tcPr>
          <w:p w14:paraId="18A3412E" w14:textId="2517C8E7"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-1.2%</w:t>
            </w:r>
          </w:p>
        </w:tc>
      </w:tr>
      <w:tr w:rsidR="00BB2603" w14:paraId="62E71287" w14:textId="77777777" w:rsidTr="00481980">
        <w:tc>
          <w:tcPr>
            <w:tcW w:w="863" w:type="pct"/>
            <w:vAlign w:val="center"/>
          </w:tcPr>
          <w:p w14:paraId="39E44D7A" w14:textId="06516CBE" w:rsidR="00BB2603" w:rsidRPr="006E32C6" w:rsidRDefault="00BB2603" w:rsidP="003D1FBF">
            <w:pPr>
              <w:spacing w:after="40"/>
              <w:rPr>
                <w:sz w:val="20"/>
                <w:szCs w:val="20"/>
              </w:rPr>
            </w:pPr>
            <w:r w:rsidRPr="006E32C6">
              <w:rPr>
                <w:rFonts w:eastAsia="Times New Roman"/>
                <w:color w:val="000000"/>
                <w:sz w:val="20"/>
                <w:szCs w:val="20"/>
                <w:lang w:val="en-US" w:eastAsia="en-US"/>
              </w:rPr>
              <w:t>Restructuring</w:t>
            </w:r>
          </w:p>
        </w:tc>
        <w:tc>
          <w:tcPr>
            <w:tcW w:w="345" w:type="pct"/>
            <w:vAlign w:val="center"/>
          </w:tcPr>
          <w:p w14:paraId="067D226E" w14:textId="7C5E915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0.07</w:t>
            </w:r>
          </w:p>
        </w:tc>
        <w:tc>
          <w:tcPr>
            <w:tcW w:w="345" w:type="pct"/>
            <w:vAlign w:val="center"/>
          </w:tcPr>
          <w:p w14:paraId="099E9907" w14:textId="635D1B9D"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0.26</w:t>
            </w:r>
          </w:p>
        </w:tc>
        <w:tc>
          <w:tcPr>
            <w:tcW w:w="345" w:type="pct"/>
            <w:vAlign w:val="center"/>
          </w:tcPr>
          <w:p w14:paraId="24614476" w14:textId="3EACDB67"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5" w:type="pct"/>
            <w:vAlign w:val="center"/>
          </w:tcPr>
          <w:p w14:paraId="428C2F12" w14:textId="2E590F70"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7" w:type="pct"/>
            <w:vAlign w:val="center"/>
          </w:tcPr>
          <w:p w14:paraId="16F694F7" w14:textId="73715310"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85" w:type="pct"/>
          </w:tcPr>
          <w:p w14:paraId="0CBD8FE4" w14:textId="77777777" w:rsidR="00BB2603" w:rsidRPr="006E32C6" w:rsidRDefault="00BB2603" w:rsidP="003D1FBF">
            <w:pPr>
              <w:spacing w:after="40"/>
              <w:jc w:val="center"/>
              <w:rPr>
                <w:sz w:val="20"/>
                <w:szCs w:val="20"/>
              </w:rPr>
            </w:pPr>
          </w:p>
        </w:tc>
        <w:tc>
          <w:tcPr>
            <w:tcW w:w="359" w:type="pct"/>
            <w:vAlign w:val="center"/>
          </w:tcPr>
          <w:p w14:paraId="5F45CE3B" w14:textId="7773CF11"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0.05</w:t>
            </w:r>
          </w:p>
        </w:tc>
        <w:tc>
          <w:tcPr>
            <w:tcW w:w="359" w:type="pct"/>
            <w:vAlign w:val="center"/>
          </w:tcPr>
          <w:p w14:paraId="14059450" w14:textId="30BB3BAF"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0.23</w:t>
            </w:r>
          </w:p>
        </w:tc>
        <w:tc>
          <w:tcPr>
            <w:tcW w:w="359" w:type="pct"/>
            <w:vAlign w:val="center"/>
          </w:tcPr>
          <w:p w14:paraId="3517839A" w14:textId="7C852525"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59" w:type="pct"/>
            <w:vAlign w:val="center"/>
          </w:tcPr>
          <w:p w14:paraId="622069CF" w14:textId="0A2EBC08"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59" w:type="pct"/>
            <w:vAlign w:val="center"/>
          </w:tcPr>
          <w:p w14:paraId="10881340" w14:textId="0FAF2FE8"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530" w:type="pct"/>
            <w:vAlign w:val="center"/>
          </w:tcPr>
          <w:p w14:paraId="4F574B0D" w14:textId="62271CAE"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-28.</w:t>
            </w:r>
            <w:r w:rsidR="00F5743A">
              <w:rPr>
                <w:rFonts w:eastAsia="Times New Roman"/>
                <w:color w:val="000000"/>
                <w:sz w:val="20"/>
                <w:szCs w:val="20"/>
                <w:lang w:val="en-US" w:eastAsia="en-US"/>
              </w:rPr>
              <w:t>6</w:t>
            </w:r>
            <w:r w:rsidRPr="006E32C6">
              <w:rPr>
                <w:rFonts w:eastAsia="Times New Roman"/>
                <w:color w:val="000000"/>
                <w:sz w:val="20"/>
                <w:szCs w:val="20"/>
                <w:lang w:val="en-US" w:eastAsia="en-US"/>
              </w:rPr>
              <w:t>%</w:t>
            </w:r>
          </w:p>
        </w:tc>
      </w:tr>
      <w:tr w:rsidR="00BB2603" w14:paraId="560B0909" w14:textId="77777777" w:rsidTr="00481980">
        <w:tc>
          <w:tcPr>
            <w:tcW w:w="863" w:type="pct"/>
            <w:vAlign w:val="center"/>
          </w:tcPr>
          <w:p w14:paraId="55BEB8F5" w14:textId="3E495106" w:rsidR="00BB2603" w:rsidRPr="006E32C6" w:rsidRDefault="00BB2603" w:rsidP="003D1FBF">
            <w:pPr>
              <w:spacing w:after="40"/>
              <w:rPr>
                <w:sz w:val="20"/>
                <w:szCs w:val="20"/>
              </w:rPr>
            </w:pPr>
            <w:r w:rsidRPr="006E32C6">
              <w:rPr>
                <w:rFonts w:eastAsia="Times New Roman"/>
                <w:color w:val="000000"/>
                <w:sz w:val="20"/>
                <w:szCs w:val="20"/>
                <w:lang w:val="en-US" w:eastAsia="en-US"/>
              </w:rPr>
              <w:t>M&amp;A</w:t>
            </w:r>
          </w:p>
        </w:tc>
        <w:tc>
          <w:tcPr>
            <w:tcW w:w="345" w:type="pct"/>
            <w:vAlign w:val="center"/>
          </w:tcPr>
          <w:p w14:paraId="10CA68C5" w14:textId="72C348E1"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0.06</w:t>
            </w:r>
          </w:p>
        </w:tc>
        <w:tc>
          <w:tcPr>
            <w:tcW w:w="345" w:type="pct"/>
            <w:vAlign w:val="center"/>
          </w:tcPr>
          <w:p w14:paraId="40221845" w14:textId="45DC1CF5"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0.24</w:t>
            </w:r>
          </w:p>
        </w:tc>
        <w:tc>
          <w:tcPr>
            <w:tcW w:w="345" w:type="pct"/>
            <w:vAlign w:val="center"/>
          </w:tcPr>
          <w:p w14:paraId="7709EC93" w14:textId="5EE7F5AA"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5" w:type="pct"/>
            <w:vAlign w:val="center"/>
          </w:tcPr>
          <w:p w14:paraId="52C5B79E" w14:textId="29B217C7"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7" w:type="pct"/>
            <w:vAlign w:val="center"/>
          </w:tcPr>
          <w:p w14:paraId="0621F7C0" w14:textId="5D8C8BE4"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85" w:type="pct"/>
          </w:tcPr>
          <w:p w14:paraId="602A41F0" w14:textId="77777777" w:rsidR="00BB2603" w:rsidRPr="006E32C6" w:rsidRDefault="00BB2603" w:rsidP="003D1FBF">
            <w:pPr>
              <w:spacing w:after="40"/>
              <w:jc w:val="center"/>
              <w:rPr>
                <w:sz w:val="20"/>
                <w:szCs w:val="20"/>
              </w:rPr>
            </w:pPr>
          </w:p>
        </w:tc>
        <w:tc>
          <w:tcPr>
            <w:tcW w:w="359" w:type="pct"/>
            <w:vAlign w:val="center"/>
          </w:tcPr>
          <w:p w14:paraId="50306F13" w14:textId="30DBC52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0.14</w:t>
            </w:r>
          </w:p>
        </w:tc>
        <w:tc>
          <w:tcPr>
            <w:tcW w:w="359" w:type="pct"/>
            <w:vAlign w:val="center"/>
          </w:tcPr>
          <w:p w14:paraId="6D221267" w14:textId="19ED71EF"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0.35</w:t>
            </w:r>
          </w:p>
        </w:tc>
        <w:tc>
          <w:tcPr>
            <w:tcW w:w="359" w:type="pct"/>
            <w:vAlign w:val="center"/>
          </w:tcPr>
          <w:p w14:paraId="4F28E5D7" w14:textId="1AEF0A49"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59" w:type="pct"/>
            <w:vAlign w:val="center"/>
          </w:tcPr>
          <w:p w14:paraId="6F063CA6" w14:textId="3DF0438B"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59" w:type="pct"/>
            <w:vAlign w:val="center"/>
          </w:tcPr>
          <w:p w14:paraId="5D519A73" w14:textId="4ECD9027"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530" w:type="pct"/>
            <w:vAlign w:val="center"/>
          </w:tcPr>
          <w:p w14:paraId="1E9F0838" w14:textId="11842305"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133.3%***</w:t>
            </w:r>
          </w:p>
        </w:tc>
      </w:tr>
      <w:tr w:rsidR="00BB2603" w14:paraId="00C92DFD" w14:textId="77777777" w:rsidTr="00481980">
        <w:tc>
          <w:tcPr>
            <w:tcW w:w="863" w:type="pct"/>
            <w:vAlign w:val="center"/>
          </w:tcPr>
          <w:p w14:paraId="00667D0F" w14:textId="6F8B3A43" w:rsidR="00BB2603" w:rsidRPr="006E32C6" w:rsidRDefault="00BB2603" w:rsidP="003D1FBF">
            <w:pPr>
              <w:spacing w:after="40"/>
              <w:rPr>
                <w:sz w:val="20"/>
                <w:szCs w:val="20"/>
              </w:rPr>
            </w:pPr>
            <w:r w:rsidRPr="006E32C6">
              <w:rPr>
                <w:rFonts w:eastAsia="Times New Roman"/>
                <w:color w:val="000000"/>
                <w:sz w:val="20"/>
                <w:szCs w:val="20"/>
                <w:lang w:val="en-US" w:eastAsia="en-US"/>
              </w:rPr>
              <w:t>Positive earnings</w:t>
            </w:r>
          </w:p>
        </w:tc>
        <w:tc>
          <w:tcPr>
            <w:tcW w:w="345" w:type="pct"/>
            <w:vAlign w:val="center"/>
          </w:tcPr>
          <w:p w14:paraId="76D8534E" w14:textId="6684B843"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0.49</w:t>
            </w:r>
          </w:p>
        </w:tc>
        <w:tc>
          <w:tcPr>
            <w:tcW w:w="345" w:type="pct"/>
            <w:vAlign w:val="center"/>
          </w:tcPr>
          <w:p w14:paraId="6400D3A4" w14:textId="16E6F251"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0.50</w:t>
            </w:r>
          </w:p>
        </w:tc>
        <w:tc>
          <w:tcPr>
            <w:tcW w:w="345" w:type="pct"/>
            <w:vAlign w:val="center"/>
          </w:tcPr>
          <w:p w14:paraId="0EC42FFE" w14:textId="3B1C9851"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5" w:type="pct"/>
            <w:vAlign w:val="center"/>
          </w:tcPr>
          <w:p w14:paraId="1771EEF4" w14:textId="3046E9D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7" w:type="pct"/>
            <w:vAlign w:val="center"/>
          </w:tcPr>
          <w:p w14:paraId="08E8CBA7" w14:textId="73DF8610"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85" w:type="pct"/>
          </w:tcPr>
          <w:p w14:paraId="65D9844E" w14:textId="77777777" w:rsidR="00BB2603" w:rsidRPr="006E32C6" w:rsidRDefault="00BB2603" w:rsidP="003D1FBF">
            <w:pPr>
              <w:spacing w:after="40"/>
              <w:jc w:val="center"/>
              <w:rPr>
                <w:sz w:val="20"/>
                <w:szCs w:val="20"/>
              </w:rPr>
            </w:pPr>
          </w:p>
        </w:tc>
        <w:tc>
          <w:tcPr>
            <w:tcW w:w="359" w:type="pct"/>
            <w:vAlign w:val="center"/>
          </w:tcPr>
          <w:p w14:paraId="64B59ED7" w14:textId="7A2713F3"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0.23</w:t>
            </w:r>
          </w:p>
        </w:tc>
        <w:tc>
          <w:tcPr>
            <w:tcW w:w="359" w:type="pct"/>
            <w:vAlign w:val="center"/>
          </w:tcPr>
          <w:p w14:paraId="269B9DA3" w14:textId="45388AA2"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0.42</w:t>
            </w:r>
          </w:p>
        </w:tc>
        <w:tc>
          <w:tcPr>
            <w:tcW w:w="359" w:type="pct"/>
            <w:vAlign w:val="center"/>
          </w:tcPr>
          <w:p w14:paraId="3AFB2F89" w14:textId="5F6A402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59" w:type="pct"/>
            <w:vAlign w:val="center"/>
          </w:tcPr>
          <w:p w14:paraId="515B72E2" w14:textId="455BEDA8"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59" w:type="pct"/>
            <w:vAlign w:val="center"/>
          </w:tcPr>
          <w:p w14:paraId="3C533952" w14:textId="3F1FFCD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530" w:type="pct"/>
            <w:vAlign w:val="center"/>
          </w:tcPr>
          <w:p w14:paraId="5FCAC3DF" w14:textId="59B08BD2"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-53.</w:t>
            </w:r>
            <w:r w:rsidR="00F5743A">
              <w:rPr>
                <w:rFonts w:eastAsia="Times New Roman"/>
                <w:color w:val="000000"/>
                <w:sz w:val="20"/>
                <w:szCs w:val="20"/>
                <w:lang w:val="en-US" w:eastAsia="en-US"/>
              </w:rPr>
              <w:t>1</w:t>
            </w:r>
            <w:r w:rsidRPr="006E32C6">
              <w:rPr>
                <w:rFonts w:eastAsia="Times New Roman"/>
                <w:color w:val="000000"/>
                <w:sz w:val="20"/>
                <w:szCs w:val="20"/>
                <w:lang w:val="en-US" w:eastAsia="en-US"/>
              </w:rPr>
              <w:t>%***</w:t>
            </w:r>
          </w:p>
        </w:tc>
      </w:tr>
      <w:tr w:rsidR="00BB2603" w14:paraId="5D1A1D7F" w14:textId="77777777" w:rsidTr="00481980">
        <w:tc>
          <w:tcPr>
            <w:tcW w:w="863" w:type="pct"/>
            <w:vAlign w:val="center"/>
          </w:tcPr>
          <w:p w14:paraId="40F5EC92" w14:textId="02A8CC0A" w:rsidR="00BB2603" w:rsidRPr="006E32C6" w:rsidRDefault="00BB2603" w:rsidP="003D1FBF">
            <w:pPr>
              <w:spacing w:after="40"/>
              <w:rPr>
                <w:sz w:val="20"/>
                <w:szCs w:val="20"/>
              </w:rPr>
            </w:pPr>
            <w:r w:rsidRPr="006E32C6">
              <w:rPr>
                <w:rFonts w:eastAsia="Times New Roman"/>
                <w:color w:val="000000"/>
                <w:sz w:val="20"/>
                <w:szCs w:val="20"/>
                <w:lang w:val="en-US" w:eastAsia="en-US"/>
              </w:rPr>
              <w:t>CEO-chairman</w:t>
            </w:r>
          </w:p>
        </w:tc>
        <w:tc>
          <w:tcPr>
            <w:tcW w:w="345" w:type="pct"/>
            <w:vAlign w:val="center"/>
          </w:tcPr>
          <w:p w14:paraId="35817695" w14:textId="1F08EBAE"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0.20</w:t>
            </w:r>
          </w:p>
        </w:tc>
        <w:tc>
          <w:tcPr>
            <w:tcW w:w="345" w:type="pct"/>
            <w:vAlign w:val="center"/>
          </w:tcPr>
          <w:p w14:paraId="42AEF364" w14:textId="2BF47B3B"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0.40</w:t>
            </w:r>
          </w:p>
        </w:tc>
        <w:tc>
          <w:tcPr>
            <w:tcW w:w="345" w:type="pct"/>
            <w:vAlign w:val="center"/>
          </w:tcPr>
          <w:p w14:paraId="4CBC252F" w14:textId="18416DE9"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5" w:type="pct"/>
            <w:vAlign w:val="center"/>
          </w:tcPr>
          <w:p w14:paraId="68EB5E74" w14:textId="2B858797"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7" w:type="pct"/>
            <w:vAlign w:val="center"/>
          </w:tcPr>
          <w:p w14:paraId="289374F0" w14:textId="612704A7"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85" w:type="pct"/>
          </w:tcPr>
          <w:p w14:paraId="3BF9EB23" w14:textId="77777777" w:rsidR="00BB2603" w:rsidRPr="006E32C6" w:rsidRDefault="00BB2603" w:rsidP="003D1FBF">
            <w:pPr>
              <w:spacing w:after="40"/>
              <w:jc w:val="center"/>
              <w:rPr>
                <w:sz w:val="20"/>
                <w:szCs w:val="20"/>
              </w:rPr>
            </w:pPr>
          </w:p>
        </w:tc>
        <w:tc>
          <w:tcPr>
            <w:tcW w:w="359" w:type="pct"/>
            <w:vAlign w:val="center"/>
          </w:tcPr>
          <w:p w14:paraId="7DBE7048" w14:textId="4835469D"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0.21</w:t>
            </w:r>
          </w:p>
        </w:tc>
        <w:tc>
          <w:tcPr>
            <w:tcW w:w="359" w:type="pct"/>
            <w:vAlign w:val="center"/>
          </w:tcPr>
          <w:p w14:paraId="0DE680CE" w14:textId="252B3428"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0.41</w:t>
            </w:r>
          </w:p>
        </w:tc>
        <w:tc>
          <w:tcPr>
            <w:tcW w:w="359" w:type="pct"/>
            <w:vAlign w:val="center"/>
          </w:tcPr>
          <w:p w14:paraId="5EE8220C" w14:textId="0A2BE36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59" w:type="pct"/>
            <w:vAlign w:val="center"/>
          </w:tcPr>
          <w:p w14:paraId="0A6EFD94" w14:textId="72B92EC7"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59" w:type="pct"/>
            <w:vAlign w:val="center"/>
          </w:tcPr>
          <w:p w14:paraId="5F02DAB9" w14:textId="49338152"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530" w:type="pct"/>
            <w:vAlign w:val="center"/>
          </w:tcPr>
          <w:p w14:paraId="0B8DE1BF" w14:textId="56D06ABF"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5.0</w:t>
            </w:r>
            <w:r w:rsidR="00014164">
              <w:rPr>
                <w:rFonts w:eastAsia="Times New Roman"/>
                <w:color w:val="000000"/>
                <w:sz w:val="20"/>
                <w:szCs w:val="20"/>
                <w:lang w:val="en-US" w:eastAsia="en-US"/>
              </w:rPr>
              <w:t>%</w:t>
            </w:r>
          </w:p>
        </w:tc>
      </w:tr>
      <w:tr w:rsidR="00BB2603" w14:paraId="38580A24" w14:textId="77777777" w:rsidTr="00481980">
        <w:tc>
          <w:tcPr>
            <w:tcW w:w="863" w:type="pct"/>
            <w:vAlign w:val="center"/>
          </w:tcPr>
          <w:p w14:paraId="4DEA8B6B" w14:textId="7403D5F0" w:rsidR="00BB2603" w:rsidRPr="006E32C6" w:rsidRDefault="00BB2603" w:rsidP="003D1FBF">
            <w:pPr>
              <w:spacing w:after="40"/>
              <w:rPr>
                <w:sz w:val="20"/>
                <w:szCs w:val="20"/>
              </w:rPr>
            </w:pPr>
            <w:r w:rsidRPr="006E32C6">
              <w:rPr>
                <w:rFonts w:eastAsia="Times New Roman"/>
                <w:color w:val="000000"/>
                <w:sz w:val="20"/>
                <w:szCs w:val="20"/>
                <w:lang w:val="en-US" w:eastAsia="en-US"/>
              </w:rPr>
              <w:t>Draft</w:t>
            </w:r>
          </w:p>
        </w:tc>
        <w:tc>
          <w:tcPr>
            <w:tcW w:w="345" w:type="pct"/>
            <w:vAlign w:val="center"/>
          </w:tcPr>
          <w:p w14:paraId="39F3727F" w14:textId="05485E4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5" w:type="pct"/>
            <w:vAlign w:val="center"/>
          </w:tcPr>
          <w:p w14:paraId="4B7C37D2" w14:textId="6F0845DC"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5" w:type="pct"/>
            <w:vAlign w:val="center"/>
          </w:tcPr>
          <w:p w14:paraId="77764A47" w14:textId="398F6797"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5" w:type="pct"/>
            <w:vAlign w:val="center"/>
          </w:tcPr>
          <w:p w14:paraId="100C8194" w14:textId="3CAF8552"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47" w:type="pct"/>
            <w:vAlign w:val="center"/>
          </w:tcPr>
          <w:p w14:paraId="4AD3C0F0" w14:textId="30EA69CA"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85" w:type="pct"/>
          </w:tcPr>
          <w:p w14:paraId="389D9D8A" w14:textId="77777777" w:rsidR="00BB2603" w:rsidRPr="006E32C6" w:rsidRDefault="00BB2603" w:rsidP="003D1FBF">
            <w:pPr>
              <w:spacing w:after="40"/>
              <w:jc w:val="center"/>
              <w:rPr>
                <w:sz w:val="20"/>
                <w:szCs w:val="20"/>
              </w:rPr>
            </w:pPr>
          </w:p>
        </w:tc>
        <w:tc>
          <w:tcPr>
            <w:tcW w:w="359" w:type="pct"/>
            <w:vAlign w:val="center"/>
          </w:tcPr>
          <w:p w14:paraId="11B1959F" w14:textId="3EE2E042"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0.84</w:t>
            </w:r>
          </w:p>
        </w:tc>
        <w:tc>
          <w:tcPr>
            <w:tcW w:w="359" w:type="pct"/>
            <w:vAlign w:val="center"/>
          </w:tcPr>
          <w:p w14:paraId="64C5AA1C" w14:textId="057CAB11"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3.67</w:t>
            </w:r>
          </w:p>
        </w:tc>
        <w:tc>
          <w:tcPr>
            <w:tcW w:w="359" w:type="pct"/>
            <w:vAlign w:val="center"/>
          </w:tcPr>
          <w:p w14:paraId="0E1BDA9A" w14:textId="50BF819E"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0.00</w:t>
            </w:r>
          </w:p>
        </w:tc>
        <w:tc>
          <w:tcPr>
            <w:tcW w:w="359" w:type="pct"/>
            <w:vAlign w:val="center"/>
          </w:tcPr>
          <w:p w14:paraId="5D9E0509" w14:textId="454485F3"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359" w:type="pct"/>
            <w:vAlign w:val="center"/>
          </w:tcPr>
          <w:p w14:paraId="123401DD" w14:textId="57F50FFD"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530" w:type="pct"/>
            <w:vAlign w:val="center"/>
          </w:tcPr>
          <w:p w14:paraId="70383BB9" w14:textId="523DFF34" w:rsidR="000034EA" w:rsidRPr="006E32C6" w:rsidRDefault="000034EA" w:rsidP="000034EA">
            <w:pPr>
              <w:spacing w:after="40"/>
              <w:ind w:left="113"/>
              <w:rPr>
                <w:sz w:val="20"/>
                <w:szCs w:val="20"/>
              </w:rPr>
            </w:pPr>
            <w:r>
              <w:rPr>
                <w:sz w:val="20"/>
                <w:szCs w:val="20"/>
              </w:rPr>
              <w:t>-</w:t>
            </w:r>
          </w:p>
        </w:tc>
      </w:tr>
      <w:tr w:rsidR="00BB2603" w14:paraId="24E97F97" w14:textId="77777777" w:rsidTr="00481980">
        <w:tc>
          <w:tcPr>
            <w:tcW w:w="863" w:type="pct"/>
            <w:vAlign w:val="center"/>
          </w:tcPr>
          <w:p w14:paraId="2489CA24" w14:textId="15E150F1" w:rsidR="00BB2603" w:rsidRPr="006E32C6" w:rsidRDefault="00BB2603" w:rsidP="003D1FBF">
            <w:pPr>
              <w:spacing w:after="40"/>
              <w:rPr>
                <w:sz w:val="20"/>
                <w:szCs w:val="20"/>
              </w:rPr>
            </w:pPr>
            <w:r w:rsidRPr="006E32C6">
              <w:rPr>
                <w:rFonts w:eastAsia="Times New Roman"/>
                <w:color w:val="000000"/>
                <w:sz w:val="20"/>
                <w:szCs w:val="20"/>
                <w:lang w:val="en-US" w:eastAsia="en-US"/>
              </w:rPr>
              <w:t>S-1 size</w:t>
            </w:r>
          </w:p>
        </w:tc>
        <w:tc>
          <w:tcPr>
            <w:tcW w:w="345" w:type="pct"/>
            <w:vAlign w:val="center"/>
          </w:tcPr>
          <w:p w14:paraId="551C905B" w14:textId="17D18105"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4.76</w:t>
            </w:r>
          </w:p>
        </w:tc>
        <w:tc>
          <w:tcPr>
            <w:tcW w:w="345" w:type="pct"/>
            <w:vAlign w:val="center"/>
          </w:tcPr>
          <w:p w14:paraId="43DAE5A0" w14:textId="1068A95C"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3.31</w:t>
            </w:r>
          </w:p>
        </w:tc>
        <w:tc>
          <w:tcPr>
            <w:tcW w:w="345" w:type="pct"/>
            <w:vAlign w:val="center"/>
          </w:tcPr>
          <w:p w14:paraId="3FA7FA8D" w14:textId="214E976E"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1.26</w:t>
            </w:r>
          </w:p>
        </w:tc>
        <w:tc>
          <w:tcPr>
            <w:tcW w:w="345" w:type="pct"/>
            <w:vAlign w:val="center"/>
          </w:tcPr>
          <w:p w14:paraId="2A43BB61" w14:textId="349A6FFC"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3.86</w:t>
            </w:r>
          </w:p>
        </w:tc>
        <w:tc>
          <w:tcPr>
            <w:tcW w:w="347" w:type="pct"/>
            <w:vAlign w:val="center"/>
          </w:tcPr>
          <w:p w14:paraId="03784F02" w14:textId="2BE92C2C"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19.16</w:t>
            </w:r>
          </w:p>
        </w:tc>
        <w:tc>
          <w:tcPr>
            <w:tcW w:w="85" w:type="pct"/>
          </w:tcPr>
          <w:p w14:paraId="397BC03E" w14:textId="77777777" w:rsidR="00BB2603" w:rsidRPr="006E32C6" w:rsidRDefault="00BB2603" w:rsidP="003D1FBF">
            <w:pPr>
              <w:spacing w:after="40"/>
              <w:jc w:val="center"/>
              <w:rPr>
                <w:sz w:val="20"/>
                <w:szCs w:val="20"/>
              </w:rPr>
            </w:pPr>
          </w:p>
        </w:tc>
        <w:tc>
          <w:tcPr>
            <w:tcW w:w="359" w:type="pct"/>
            <w:vAlign w:val="center"/>
          </w:tcPr>
          <w:p w14:paraId="5B8ACD0F" w14:textId="20C21B0C"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8.86</w:t>
            </w:r>
          </w:p>
        </w:tc>
        <w:tc>
          <w:tcPr>
            <w:tcW w:w="359" w:type="pct"/>
            <w:vAlign w:val="center"/>
          </w:tcPr>
          <w:p w14:paraId="76E99DAD" w14:textId="1ABB580F"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6.89</w:t>
            </w:r>
          </w:p>
        </w:tc>
        <w:tc>
          <w:tcPr>
            <w:tcW w:w="359" w:type="pct"/>
            <w:vAlign w:val="center"/>
          </w:tcPr>
          <w:p w14:paraId="7B52DEE5" w14:textId="5DDC61C3"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1.98</w:t>
            </w:r>
          </w:p>
        </w:tc>
        <w:tc>
          <w:tcPr>
            <w:tcW w:w="359" w:type="pct"/>
            <w:vAlign w:val="center"/>
          </w:tcPr>
          <w:p w14:paraId="353DEA82" w14:textId="70D38647"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7.41</w:t>
            </w:r>
          </w:p>
        </w:tc>
        <w:tc>
          <w:tcPr>
            <w:tcW w:w="359" w:type="pct"/>
            <w:vAlign w:val="center"/>
          </w:tcPr>
          <w:p w14:paraId="235A45AF" w14:textId="6F7337A5"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27.55</w:t>
            </w:r>
          </w:p>
        </w:tc>
        <w:tc>
          <w:tcPr>
            <w:tcW w:w="530" w:type="pct"/>
            <w:vAlign w:val="center"/>
          </w:tcPr>
          <w:p w14:paraId="593016DA" w14:textId="2074640E"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86.1%***</w:t>
            </w:r>
          </w:p>
        </w:tc>
      </w:tr>
      <w:tr w:rsidR="00BB2603" w14:paraId="43D19530" w14:textId="77777777" w:rsidTr="00C123A9">
        <w:tc>
          <w:tcPr>
            <w:tcW w:w="863" w:type="pct"/>
            <w:vAlign w:val="center"/>
          </w:tcPr>
          <w:p w14:paraId="2CD087E4" w14:textId="71E42E69" w:rsidR="00BB2603" w:rsidRPr="006E32C6" w:rsidRDefault="00BB2603" w:rsidP="003D1FBF">
            <w:pPr>
              <w:spacing w:after="40"/>
              <w:rPr>
                <w:sz w:val="20"/>
                <w:szCs w:val="20"/>
              </w:rPr>
            </w:pPr>
            <w:r w:rsidRPr="006E32C6">
              <w:rPr>
                <w:rFonts w:eastAsia="Times New Roman"/>
                <w:color w:val="000000"/>
                <w:sz w:val="20"/>
                <w:szCs w:val="20"/>
                <w:lang w:val="en-US" w:eastAsia="en-US"/>
              </w:rPr>
              <w:t>No. IPOs (decile rank)</w:t>
            </w:r>
          </w:p>
        </w:tc>
        <w:tc>
          <w:tcPr>
            <w:tcW w:w="345" w:type="pct"/>
            <w:vAlign w:val="center"/>
          </w:tcPr>
          <w:p w14:paraId="56FA0CF8" w14:textId="0BD989A8"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4.76</w:t>
            </w:r>
          </w:p>
        </w:tc>
        <w:tc>
          <w:tcPr>
            <w:tcW w:w="345" w:type="pct"/>
            <w:vAlign w:val="center"/>
          </w:tcPr>
          <w:p w14:paraId="51D06973" w14:textId="1FFCE82B"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2.46</w:t>
            </w:r>
          </w:p>
        </w:tc>
        <w:tc>
          <w:tcPr>
            <w:tcW w:w="345" w:type="pct"/>
            <w:vAlign w:val="center"/>
          </w:tcPr>
          <w:p w14:paraId="436A3512" w14:textId="5F141586"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345" w:type="pct"/>
            <w:vAlign w:val="center"/>
          </w:tcPr>
          <w:p w14:paraId="5C82DAA4" w14:textId="23C6DE2E"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5.00</w:t>
            </w:r>
          </w:p>
        </w:tc>
        <w:tc>
          <w:tcPr>
            <w:tcW w:w="347" w:type="pct"/>
            <w:vAlign w:val="center"/>
          </w:tcPr>
          <w:p w14:paraId="230A9D06" w14:textId="2B5059E5"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9.00</w:t>
            </w:r>
          </w:p>
        </w:tc>
        <w:tc>
          <w:tcPr>
            <w:tcW w:w="85" w:type="pct"/>
          </w:tcPr>
          <w:p w14:paraId="6936A1AE" w14:textId="77777777" w:rsidR="00BB2603" w:rsidRPr="006E32C6" w:rsidRDefault="00BB2603" w:rsidP="003D1FBF">
            <w:pPr>
              <w:spacing w:after="40"/>
              <w:jc w:val="center"/>
              <w:rPr>
                <w:sz w:val="20"/>
                <w:szCs w:val="20"/>
              </w:rPr>
            </w:pPr>
          </w:p>
        </w:tc>
        <w:tc>
          <w:tcPr>
            <w:tcW w:w="359" w:type="pct"/>
            <w:vAlign w:val="center"/>
          </w:tcPr>
          <w:p w14:paraId="6FE57A62" w14:textId="51945162"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4.43</w:t>
            </w:r>
          </w:p>
        </w:tc>
        <w:tc>
          <w:tcPr>
            <w:tcW w:w="359" w:type="pct"/>
            <w:vAlign w:val="center"/>
          </w:tcPr>
          <w:p w14:paraId="5194EA33" w14:textId="202E09B9"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1.74</w:t>
            </w:r>
          </w:p>
        </w:tc>
        <w:tc>
          <w:tcPr>
            <w:tcW w:w="359" w:type="pct"/>
            <w:vAlign w:val="center"/>
          </w:tcPr>
          <w:p w14:paraId="58E9963F" w14:textId="6A9F6E19"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1.00</w:t>
            </w:r>
          </w:p>
        </w:tc>
        <w:tc>
          <w:tcPr>
            <w:tcW w:w="359" w:type="pct"/>
            <w:vAlign w:val="center"/>
          </w:tcPr>
          <w:p w14:paraId="1435C20F" w14:textId="7DD34B2C"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5.00</w:t>
            </w:r>
          </w:p>
        </w:tc>
        <w:tc>
          <w:tcPr>
            <w:tcW w:w="359" w:type="pct"/>
            <w:vAlign w:val="center"/>
          </w:tcPr>
          <w:p w14:paraId="6D6284C0" w14:textId="322AB3DF" w:rsidR="00BB2603" w:rsidRPr="006E32C6" w:rsidRDefault="00BB2603" w:rsidP="003D1FBF">
            <w:pPr>
              <w:spacing w:after="40"/>
              <w:jc w:val="center"/>
              <w:rPr>
                <w:sz w:val="20"/>
                <w:szCs w:val="20"/>
              </w:rPr>
            </w:pPr>
            <w:r w:rsidRPr="006E32C6">
              <w:rPr>
                <w:rFonts w:eastAsia="Times New Roman"/>
                <w:color w:val="000000"/>
                <w:sz w:val="20"/>
                <w:szCs w:val="20"/>
                <w:lang w:val="en-US" w:eastAsia="en-US"/>
              </w:rPr>
              <w:t>7.00</w:t>
            </w:r>
          </w:p>
        </w:tc>
        <w:tc>
          <w:tcPr>
            <w:tcW w:w="530" w:type="pct"/>
            <w:vAlign w:val="center"/>
          </w:tcPr>
          <w:p w14:paraId="778BA8A4" w14:textId="2C2F3133" w:rsidR="00BB2603" w:rsidRPr="006E32C6" w:rsidRDefault="00BB2603" w:rsidP="003D1FBF">
            <w:pPr>
              <w:spacing w:after="40"/>
              <w:ind w:left="113"/>
              <w:rPr>
                <w:sz w:val="20"/>
                <w:szCs w:val="20"/>
              </w:rPr>
            </w:pPr>
            <w:r w:rsidRPr="006E32C6">
              <w:rPr>
                <w:rFonts w:eastAsia="Times New Roman"/>
                <w:color w:val="000000"/>
                <w:sz w:val="20"/>
                <w:szCs w:val="20"/>
                <w:lang w:val="en-US" w:eastAsia="en-US"/>
              </w:rPr>
              <w:t>-6.9%**</w:t>
            </w:r>
          </w:p>
        </w:tc>
      </w:tr>
      <w:tr w:rsidR="00BB2603" w14:paraId="3E5A55AA" w14:textId="77777777" w:rsidTr="00C123A9">
        <w:tc>
          <w:tcPr>
            <w:tcW w:w="863" w:type="pct"/>
            <w:tcBorders>
              <w:bottom w:val="single" w:sz="4" w:space="0" w:color="auto"/>
            </w:tcBorders>
            <w:vAlign w:val="center"/>
          </w:tcPr>
          <w:p w14:paraId="5A5524C8" w14:textId="68DBFCC1" w:rsidR="00BB2603" w:rsidRPr="006E32C6" w:rsidRDefault="00BB2603" w:rsidP="003D1FBF">
            <w:pPr>
              <w:spacing w:after="120"/>
              <w:rPr>
                <w:sz w:val="20"/>
                <w:szCs w:val="20"/>
              </w:rPr>
            </w:pPr>
            <w:r w:rsidRPr="006E32C6">
              <w:rPr>
                <w:rFonts w:eastAsia="Times New Roman"/>
                <w:color w:val="000000"/>
                <w:sz w:val="20"/>
                <w:szCs w:val="20"/>
                <w:lang w:val="en-US" w:eastAsia="en-US"/>
              </w:rPr>
              <w:t>Underwriter rank</w:t>
            </w:r>
          </w:p>
        </w:tc>
        <w:tc>
          <w:tcPr>
            <w:tcW w:w="345" w:type="pct"/>
            <w:tcBorders>
              <w:bottom w:val="single" w:sz="4" w:space="0" w:color="auto"/>
            </w:tcBorders>
            <w:vAlign w:val="center"/>
          </w:tcPr>
          <w:p w14:paraId="0F70FE67" w14:textId="3587643D" w:rsidR="00BB2603" w:rsidRPr="006E32C6" w:rsidRDefault="00BB2603" w:rsidP="003D1FBF">
            <w:pPr>
              <w:spacing w:after="120"/>
              <w:jc w:val="center"/>
              <w:rPr>
                <w:sz w:val="20"/>
                <w:szCs w:val="20"/>
              </w:rPr>
            </w:pPr>
            <w:r w:rsidRPr="006E32C6">
              <w:rPr>
                <w:rFonts w:eastAsia="Times New Roman"/>
                <w:color w:val="000000"/>
                <w:sz w:val="20"/>
                <w:szCs w:val="20"/>
                <w:lang w:val="en-US" w:eastAsia="en-US"/>
              </w:rPr>
              <w:t>5.28</w:t>
            </w:r>
          </w:p>
        </w:tc>
        <w:tc>
          <w:tcPr>
            <w:tcW w:w="345" w:type="pct"/>
            <w:tcBorders>
              <w:bottom w:val="single" w:sz="4" w:space="0" w:color="auto"/>
            </w:tcBorders>
            <w:vAlign w:val="center"/>
          </w:tcPr>
          <w:p w14:paraId="7CDC5E8D" w14:textId="4463841A" w:rsidR="00BB2603" w:rsidRPr="006E32C6" w:rsidRDefault="00BB2603" w:rsidP="003D1FBF">
            <w:pPr>
              <w:spacing w:after="120"/>
              <w:jc w:val="center"/>
              <w:rPr>
                <w:sz w:val="20"/>
                <w:szCs w:val="20"/>
              </w:rPr>
            </w:pPr>
            <w:r w:rsidRPr="006E32C6">
              <w:rPr>
                <w:rFonts w:eastAsia="Times New Roman"/>
                <w:color w:val="000000"/>
                <w:sz w:val="20"/>
                <w:szCs w:val="20"/>
                <w:lang w:val="en-US" w:eastAsia="en-US"/>
              </w:rPr>
              <w:t>6.34</w:t>
            </w:r>
          </w:p>
        </w:tc>
        <w:tc>
          <w:tcPr>
            <w:tcW w:w="345" w:type="pct"/>
            <w:tcBorders>
              <w:bottom w:val="single" w:sz="4" w:space="0" w:color="auto"/>
            </w:tcBorders>
            <w:vAlign w:val="center"/>
          </w:tcPr>
          <w:p w14:paraId="2D243CB6" w14:textId="208AA939" w:rsidR="00BB2603" w:rsidRPr="006E32C6" w:rsidRDefault="00BB2603" w:rsidP="003D1FBF">
            <w:pPr>
              <w:spacing w:after="120"/>
              <w:jc w:val="center"/>
              <w:rPr>
                <w:sz w:val="20"/>
                <w:szCs w:val="20"/>
              </w:rPr>
            </w:pPr>
            <w:r w:rsidRPr="006E32C6">
              <w:rPr>
                <w:rFonts w:eastAsia="Times New Roman"/>
                <w:color w:val="000000"/>
                <w:sz w:val="20"/>
                <w:szCs w:val="20"/>
                <w:lang w:val="en-US" w:eastAsia="en-US"/>
              </w:rPr>
              <w:t>-9.00</w:t>
            </w:r>
          </w:p>
        </w:tc>
        <w:tc>
          <w:tcPr>
            <w:tcW w:w="345" w:type="pct"/>
            <w:tcBorders>
              <w:bottom w:val="single" w:sz="4" w:space="0" w:color="auto"/>
            </w:tcBorders>
            <w:vAlign w:val="center"/>
          </w:tcPr>
          <w:p w14:paraId="6239E4C3" w14:textId="1F465711" w:rsidR="00BB2603" w:rsidRPr="006E32C6" w:rsidRDefault="00BB2603" w:rsidP="003D1FBF">
            <w:pPr>
              <w:spacing w:after="120"/>
              <w:jc w:val="center"/>
              <w:rPr>
                <w:sz w:val="20"/>
                <w:szCs w:val="20"/>
              </w:rPr>
            </w:pPr>
            <w:r w:rsidRPr="006E32C6">
              <w:rPr>
                <w:rFonts w:eastAsia="Times New Roman"/>
                <w:color w:val="000000"/>
                <w:sz w:val="20"/>
                <w:szCs w:val="20"/>
                <w:lang w:val="en-US" w:eastAsia="en-US"/>
              </w:rPr>
              <w:t>8.00</w:t>
            </w:r>
          </w:p>
        </w:tc>
        <w:tc>
          <w:tcPr>
            <w:tcW w:w="347" w:type="pct"/>
            <w:tcBorders>
              <w:bottom w:val="single" w:sz="4" w:space="0" w:color="auto"/>
            </w:tcBorders>
            <w:vAlign w:val="center"/>
          </w:tcPr>
          <w:p w14:paraId="6209F417" w14:textId="44956BBA" w:rsidR="00BB2603" w:rsidRPr="006E32C6" w:rsidRDefault="00BB2603" w:rsidP="003D1FBF">
            <w:pPr>
              <w:spacing w:after="120"/>
              <w:jc w:val="center"/>
              <w:rPr>
                <w:sz w:val="20"/>
                <w:szCs w:val="20"/>
              </w:rPr>
            </w:pPr>
            <w:r w:rsidRPr="006E32C6">
              <w:rPr>
                <w:rFonts w:eastAsia="Times New Roman"/>
                <w:color w:val="000000"/>
                <w:sz w:val="20"/>
                <w:szCs w:val="20"/>
                <w:lang w:val="en-US" w:eastAsia="en-US"/>
              </w:rPr>
              <w:t>9.00</w:t>
            </w:r>
          </w:p>
        </w:tc>
        <w:tc>
          <w:tcPr>
            <w:tcW w:w="85" w:type="pct"/>
            <w:tcBorders>
              <w:bottom w:val="single" w:sz="4" w:space="0" w:color="auto"/>
            </w:tcBorders>
          </w:tcPr>
          <w:p w14:paraId="32E5FBBC" w14:textId="77777777" w:rsidR="00BB2603" w:rsidRPr="006E32C6" w:rsidRDefault="00BB2603" w:rsidP="003D1FBF">
            <w:pPr>
              <w:spacing w:after="120"/>
              <w:jc w:val="center"/>
              <w:rPr>
                <w:sz w:val="20"/>
                <w:szCs w:val="20"/>
              </w:rPr>
            </w:pPr>
          </w:p>
        </w:tc>
        <w:tc>
          <w:tcPr>
            <w:tcW w:w="359" w:type="pct"/>
            <w:tcBorders>
              <w:bottom w:val="single" w:sz="4" w:space="0" w:color="auto"/>
            </w:tcBorders>
            <w:vAlign w:val="center"/>
          </w:tcPr>
          <w:p w14:paraId="3BF72BEC" w14:textId="4202F504" w:rsidR="00BB2603" w:rsidRPr="006E32C6" w:rsidRDefault="00BB2603" w:rsidP="003D1FBF">
            <w:pPr>
              <w:spacing w:after="120"/>
              <w:jc w:val="center"/>
              <w:rPr>
                <w:sz w:val="20"/>
                <w:szCs w:val="20"/>
              </w:rPr>
            </w:pPr>
            <w:r w:rsidRPr="006E32C6">
              <w:rPr>
                <w:rFonts w:eastAsia="Times New Roman"/>
                <w:color w:val="000000"/>
                <w:sz w:val="20"/>
                <w:szCs w:val="20"/>
                <w:lang w:val="en-US" w:eastAsia="en-US"/>
              </w:rPr>
              <w:t>4.61</w:t>
            </w:r>
          </w:p>
        </w:tc>
        <w:tc>
          <w:tcPr>
            <w:tcW w:w="359" w:type="pct"/>
            <w:tcBorders>
              <w:bottom w:val="single" w:sz="4" w:space="0" w:color="auto"/>
            </w:tcBorders>
            <w:vAlign w:val="center"/>
          </w:tcPr>
          <w:p w14:paraId="145CC14C" w14:textId="2137C29E" w:rsidR="00BB2603" w:rsidRPr="006E32C6" w:rsidRDefault="00BB2603" w:rsidP="003D1FBF">
            <w:pPr>
              <w:spacing w:after="120"/>
              <w:jc w:val="center"/>
              <w:rPr>
                <w:sz w:val="20"/>
                <w:szCs w:val="20"/>
              </w:rPr>
            </w:pPr>
            <w:r w:rsidRPr="006E32C6">
              <w:rPr>
                <w:rFonts w:eastAsia="Times New Roman"/>
                <w:color w:val="000000"/>
                <w:sz w:val="20"/>
                <w:szCs w:val="20"/>
                <w:lang w:val="en-US" w:eastAsia="en-US"/>
              </w:rPr>
              <w:t>6.46</w:t>
            </w:r>
          </w:p>
        </w:tc>
        <w:tc>
          <w:tcPr>
            <w:tcW w:w="359" w:type="pct"/>
            <w:tcBorders>
              <w:bottom w:val="single" w:sz="4" w:space="0" w:color="auto"/>
            </w:tcBorders>
            <w:vAlign w:val="center"/>
          </w:tcPr>
          <w:p w14:paraId="45703BCD" w14:textId="014FA361" w:rsidR="00BB2603" w:rsidRPr="006E32C6" w:rsidRDefault="00BB2603" w:rsidP="003D1FBF">
            <w:pPr>
              <w:spacing w:after="120"/>
              <w:jc w:val="center"/>
              <w:rPr>
                <w:sz w:val="20"/>
                <w:szCs w:val="20"/>
              </w:rPr>
            </w:pPr>
            <w:r w:rsidRPr="006E32C6">
              <w:rPr>
                <w:rFonts w:eastAsia="Times New Roman"/>
                <w:color w:val="000000"/>
                <w:sz w:val="20"/>
                <w:szCs w:val="20"/>
                <w:lang w:val="en-US" w:eastAsia="en-US"/>
              </w:rPr>
              <w:t>-9.00</w:t>
            </w:r>
          </w:p>
        </w:tc>
        <w:tc>
          <w:tcPr>
            <w:tcW w:w="359" w:type="pct"/>
            <w:tcBorders>
              <w:bottom w:val="single" w:sz="4" w:space="0" w:color="auto"/>
            </w:tcBorders>
            <w:vAlign w:val="center"/>
          </w:tcPr>
          <w:p w14:paraId="7DB31457" w14:textId="2DF7E114" w:rsidR="00BB2603" w:rsidRPr="006E32C6" w:rsidRDefault="00BB2603" w:rsidP="003D1FBF">
            <w:pPr>
              <w:spacing w:after="120"/>
              <w:jc w:val="center"/>
              <w:rPr>
                <w:sz w:val="20"/>
                <w:szCs w:val="20"/>
              </w:rPr>
            </w:pPr>
            <w:r w:rsidRPr="006E32C6">
              <w:rPr>
                <w:rFonts w:eastAsia="Times New Roman"/>
                <w:color w:val="000000"/>
                <w:sz w:val="20"/>
                <w:szCs w:val="20"/>
                <w:lang w:val="en-US" w:eastAsia="en-US"/>
              </w:rPr>
              <w:t>7.00</w:t>
            </w:r>
          </w:p>
        </w:tc>
        <w:tc>
          <w:tcPr>
            <w:tcW w:w="359" w:type="pct"/>
            <w:tcBorders>
              <w:bottom w:val="single" w:sz="4" w:space="0" w:color="auto"/>
            </w:tcBorders>
            <w:vAlign w:val="center"/>
          </w:tcPr>
          <w:p w14:paraId="5A204AE2" w14:textId="2B434077" w:rsidR="00BB2603" w:rsidRPr="006E32C6" w:rsidRDefault="00BB2603" w:rsidP="003D1FBF">
            <w:pPr>
              <w:spacing w:after="120"/>
              <w:jc w:val="center"/>
              <w:rPr>
                <w:sz w:val="20"/>
                <w:szCs w:val="20"/>
              </w:rPr>
            </w:pPr>
            <w:r w:rsidRPr="006E32C6">
              <w:rPr>
                <w:rFonts w:eastAsia="Times New Roman"/>
                <w:color w:val="000000"/>
                <w:sz w:val="20"/>
                <w:szCs w:val="20"/>
                <w:lang w:val="en-US" w:eastAsia="en-US"/>
              </w:rPr>
              <w:t>9.00</w:t>
            </w:r>
          </w:p>
        </w:tc>
        <w:tc>
          <w:tcPr>
            <w:tcW w:w="530" w:type="pct"/>
            <w:tcBorders>
              <w:bottom w:val="single" w:sz="4" w:space="0" w:color="auto"/>
            </w:tcBorders>
            <w:vAlign w:val="center"/>
          </w:tcPr>
          <w:p w14:paraId="23E5B4EB" w14:textId="169F69A5" w:rsidR="00BB2603" w:rsidRPr="006E32C6" w:rsidRDefault="00BB2603" w:rsidP="003D1FBF">
            <w:pPr>
              <w:spacing w:after="120"/>
              <w:ind w:left="113"/>
              <w:rPr>
                <w:sz w:val="20"/>
                <w:szCs w:val="20"/>
              </w:rPr>
            </w:pPr>
            <w:r w:rsidRPr="006E32C6">
              <w:rPr>
                <w:rFonts w:eastAsia="Times New Roman"/>
                <w:color w:val="000000"/>
                <w:sz w:val="20"/>
                <w:szCs w:val="20"/>
                <w:lang w:val="en-US" w:eastAsia="en-US"/>
              </w:rPr>
              <w:t>-12.</w:t>
            </w:r>
            <w:r w:rsidR="00F5743A">
              <w:rPr>
                <w:rFonts w:eastAsia="Times New Roman"/>
                <w:color w:val="000000"/>
                <w:sz w:val="20"/>
                <w:szCs w:val="20"/>
                <w:lang w:val="en-US" w:eastAsia="en-US"/>
              </w:rPr>
              <w:t>7</w:t>
            </w:r>
            <w:r w:rsidRPr="006E32C6">
              <w:rPr>
                <w:rFonts w:eastAsia="Times New Roman"/>
                <w:color w:val="000000"/>
                <w:sz w:val="20"/>
                <w:szCs w:val="20"/>
                <w:lang w:val="en-US" w:eastAsia="en-US"/>
              </w:rPr>
              <w:t>%</w:t>
            </w:r>
          </w:p>
        </w:tc>
      </w:tr>
      <w:tr w:rsidR="001E6E89" w14:paraId="4BB66D57" w14:textId="77777777" w:rsidTr="00C123A9">
        <w:tc>
          <w:tcPr>
            <w:tcW w:w="5000" w:type="pct"/>
            <w:gridSpan w:val="13"/>
            <w:tcBorders>
              <w:top w:val="single" w:sz="4" w:space="0" w:color="auto"/>
              <w:bottom w:val="single" w:sz="4" w:space="0" w:color="auto"/>
            </w:tcBorders>
            <w:vAlign w:val="center"/>
          </w:tcPr>
          <w:p w14:paraId="7143A8FA" w14:textId="2FADFBF1" w:rsidR="001E6E89" w:rsidRPr="00ED0C10" w:rsidRDefault="001E6E89" w:rsidP="003D1FBF">
            <w:pPr>
              <w:spacing w:before="120" w:after="120"/>
              <w:jc w:val="both"/>
              <w:rPr>
                <w:rFonts w:eastAsia="Times New Roman"/>
                <w:color w:val="000000"/>
                <w:sz w:val="20"/>
                <w:szCs w:val="20"/>
                <w:lang w:val="en-US" w:eastAsia="en-US"/>
              </w:rPr>
            </w:pPr>
            <w:r w:rsidRPr="00EE687E">
              <w:rPr>
                <w:rFonts w:eastAsia="Times New Roman"/>
                <w:color w:val="000000"/>
                <w:sz w:val="20"/>
                <w:szCs w:val="20"/>
                <w:lang w:val="en-US" w:eastAsia="en-US"/>
              </w:rPr>
              <w:t xml:space="preserve">This table presents descriptive statistics of our sample of </w:t>
            </w:r>
            <w:r w:rsidR="002142DA">
              <w:rPr>
                <w:rFonts w:eastAsia="Times New Roman"/>
                <w:color w:val="000000"/>
                <w:sz w:val="20"/>
                <w:szCs w:val="20"/>
                <w:lang w:val="en-US" w:eastAsia="en-US"/>
              </w:rPr>
              <w:t xml:space="preserve">EGC </w:t>
            </w:r>
            <w:r w:rsidRPr="00EE687E">
              <w:rPr>
                <w:rFonts w:eastAsia="Times New Roman"/>
                <w:color w:val="000000"/>
                <w:sz w:val="20"/>
                <w:szCs w:val="20"/>
                <w:lang w:val="en-US" w:eastAsia="en-US"/>
              </w:rPr>
              <w:t>IPOs going public between May 2005 and December 2017. Panel A presents summary descriptive statistics for the variables employed in empirical tests</w:t>
            </w:r>
            <w:r w:rsidR="000F3FD8">
              <w:rPr>
                <w:rFonts w:eastAsia="Times New Roman"/>
                <w:color w:val="000000"/>
                <w:sz w:val="20"/>
                <w:szCs w:val="20"/>
                <w:lang w:val="en-US" w:eastAsia="en-US"/>
              </w:rPr>
              <w:t xml:space="preserve"> </w:t>
            </w:r>
            <w:r w:rsidR="002142DA" w:rsidRPr="002142DA">
              <w:rPr>
                <w:rFonts w:eastAsia="Times New Roman"/>
                <w:color w:val="000000"/>
                <w:sz w:val="20"/>
                <w:szCs w:val="20"/>
                <w:lang w:val="en-US" w:eastAsia="en-US"/>
              </w:rPr>
              <w:t xml:space="preserve">and compares differences in mean values of these variables between samples of </w:t>
            </w:r>
            <w:r w:rsidR="002142DA">
              <w:rPr>
                <w:rFonts w:eastAsia="Times New Roman"/>
                <w:color w:val="000000"/>
                <w:sz w:val="20"/>
                <w:szCs w:val="20"/>
                <w:lang w:val="en-US" w:eastAsia="en-US"/>
              </w:rPr>
              <w:t>194 SRC</w:t>
            </w:r>
            <w:r w:rsidR="002142DA" w:rsidRPr="002142DA">
              <w:rPr>
                <w:rFonts w:eastAsia="Times New Roman"/>
                <w:color w:val="000000"/>
                <w:sz w:val="20"/>
                <w:szCs w:val="20"/>
                <w:lang w:val="en-US" w:eastAsia="en-US"/>
              </w:rPr>
              <w:t xml:space="preserve"> IPOs </w:t>
            </w:r>
            <w:proofErr w:type="gramStart"/>
            <w:r w:rsidR="002142DA" w:rsidRPr="002142DA">
              <w:rPr>
                <w:rFonts w:eastAsia="Times New Roman"/>
                <w:color w:val="000000"/>
                <w:sz w:val="20"/>
                <w:szCs w:val="20"/>
                <w:lang w:val="en-US" w:eastAsia="en-US"/>
              </w:rPr>
              <w:t xml:space="preserve">and </w:t>
            </w:r>
            <w:r w:rsidR="002142DA">
              <w:rPr>
                <w:rFonts w:eastAsia="Times New Roman"/>
                <w:color w:val="000000"/>
                <w:sz w:val="20"/>
                <w:szCs w:val="20"/>
                <w:lang w:val="en-US" w:eastAsia="en-US"/>
              </w:rPr>
              <w:t xml:space="preserve"> 528</w:t>
            </w:r>
            <w:proofErr w:type="gramEnd"/>
            <w:r w:rsidR="002142DA" w:rsidRPr="002142DA">
              <w:rPr>
                <w:rFonts w:eastAsia="Times New Roman"/>
                <w:color w:val="000000"/>
                <w:sz w:val="20"/>
                <w:szCs w:val="20"/>
                <w:lang w:val="en-US" w:eastAsia="en-US"/>
              </w:rPr>
              <w:t xml:space="preserve"> Non-EGC IPOs</w:t>
            </w:r>
            <w:r w:rsidRPr="00EE687E">
              <w:rPr>
                <w:rFonts w:eastAsia="Times New Roman"/>
                <w:color w:val="000000"/>
                <w:sz w:val="20"/>
                <w:szCs w:val="20"/>
                <w:lang w:val="en-US" w:eastAsia="en-US"/>
              </w:rPr>
              <w:t xml:space="preserve">. Panel B presents analyses of differences in the variables employed in empirical tests between the pre- and post-JOBS Act period for a sample of 722 EGC IPOs. All variables are defined in Appendix A. Analyses of differences are performed using two-sample t-tests </w:t>
            </w:r>
            <w:r w:rsidR="00616B0A">
              <w:rPr>
                <w:rFonts w:eastAsia="Times New Roman"/>
                <w:color w:val="000000"/>
                <w:sz w:val="20"/>
                <w:szCs w:val="20"/>
                <w:lang w:val="en-US" w:eastAsia="en-US"/>
              </w:rPr>
              <w:t xml:space="preserve">of </w:t>
            </w:r>
            <w:r w:rsidRPr="00EE687E">
              <w:rPr>
                <w:rFonts w:eastAsia="Times New Roman"/>
                <w:color w:val="000000"/>
                <w:sz w:val="20"/>
                <w:szCs w:val="20"/>
                <w:lang w:val="en-US" w:eastAsia="en-US"/>
              </w:rPr>
              <w:t>significant differences in mean values. *, **, *** indicate statistical significance at the 10%, 5%, and 1% level, respectively.</w:t>
            </w:r>
          </w:p>
        </w:tc>
      </w:tr>
    </w:tbl>
    <w:p w14:paraId="098566FC" w14:textId="1F0996F1" w:rsidR="0010463A" w:rsidRDefault="0010463A" w:rsidP="003D1FBF"/>
    <w:p w14:paraId="125428AC" w14:textId="77777777" w:rsidR="005D4628" w:rsidRDefault="005D4628" w:rsidP="003D1FBF">
      <w:pPr>
        <w:sectPr w:rsidR="005D4628" w:rsidSect="00D53F97">
          <w:pgSz w:w="16838" w:h="11906" w:orient="landscape"/>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581"/>
        <w:gridCol w:w="1582"/>
        <w:gridCol w:w="1582"/>
        <w:gridCol w:w="1582"/>
      </w:tblGrid>
      <w:tr w:rsidR="005D4628" w14:paraId="2DA217BB" w14:textId="77777777" w:rsidTr="00CD6F8F">
        <w:tc>
          <w:tcPr>
            <w:tcW w:w="9016" w:type="dxa"/>
            <w:gridSpan w:val="5"/>
            <w:tcBorders>
              <w:bottom w:val="single" w:sz="4" w:space="0" w:color="auto"/>
            </w:tcBorders>
          </w:tcPr>
          <w:p w14:paraId="23980901" w14:textId="77777777" w:rsidR="005D4628" w:rsidRPr="00AE15A3" w:rsidRDefault="005D4628" w:rsidP="003D1FBF">
            <w:pPr>
              <w:jc w:val="center"/>
              <w:rPr>
                <w:b/>
                <w:bCs/>
              </w:rPr>
            </w:pPr>
            <w:r w:rsidRPr="00AE15A3">
              <w:rPr>
                <w:b/>
                <w:bCs/>
              </w:rPr>
              <w:lastRenderedPageBreak/>
              <w:t>TABLE 4</w:t>
            </w:r>
          </w:p>
          <w:p w14:paraId="13D00024" w14:textId="63E942D2" w:rsidR="005D4628" w:rsidRDefault="005F2486" w:rsidP="003D1FBF">
            <w:pPr>
              <w:spacing w:after="120"/>
              <w:jc w:val="center"/>
            </w:pPr>
            <w:r>
              <w:rPr>
                <w:b/>
                <w:bCs/>
              </w:rPr>
              <w:t>Regressions</w:t>
            </w:r>
            <w:r w:rsidR="005D4628" w:rsidRPr="00AE15A3">
              <w:rPr>
                <w:b/>
                <w:bCs/>
              </w:rPr>
              <w:t xml:space="preserve"> of SEC review attributes</w:t>
            </w:r>
            <w:r>
              <w:rPr>
                <w:b/>
                <w:bCs/>
              </w:rPr>
              <w:t xml:space="preserve"> on </w:t>
            </w:r>
            <w:r w:rsidR="00B33348">
              <w:rPr>
                <w:b/>
                <w:bCs/>
              </w:rPr>
              <w:t xml:space="preserve">the </w:t>
            </w:r>
            <w:r w:rsidR="003A74C0">
              <w:rPr>
                <w:b/>
                <w:bCs/>
              </w:rPr>
              <w:t xml:space="preserve">enactment of </w:t>
            </w:r>
            <w:r>
              <w:rPr>
                <w:b/>
                <w:bCs/>
              </w:rPr>
              <w:t>JOBS Act</w:t>
            </w:r>
          </w:p>
        </w:tc>
      </w:tr>
      <w:tr w:rsidR="00CD6F8F" w14:paraId="747C8C7C" w14:textId="77777777" w:rsidTr="00CD6F8F">
        <w:tc>
          <w:tcPr>
            <w:tcW w:w="2689" w:type="dxa"/>
            <w:tcBorders>
              <w:top w:val="single" w:sz="4" w:space="0" w:color="auto"/>
            </w:tcBorders>
          </w:tcPr>
          <w:p w14:paraId="3E7532AE" w14:textId="34792E9D" w:rsidR="00CD6F8F" w:rsidRPr="0012664E" w:rsidRDefault="00CD6F8F" w:rsidP="003D1FBF">
            <w:pPr>
              <w:spacing w:before="120"/>
              <w:rPr>
                <w:sz w:val="22"/>
                <w:szCs w:val="22"/>
              </w:rPr>
            </w:pPr>
            <w:r w:rsidRPr="0012664E">
              <w:rPr>
                <w:sz w:val="22"/>
                <w:szCs w:val="22"/>
              </w:rPr>
              <w:t>Dependent variable:</w:t>
            </w:r>
          </w:p>
        </w:tc>
        <w:tc>
          <w:tcPr>
            <w:tcW w:w="1581" w:type="dxa"/>
            <w:tcBorders>
              <w:top w:val="single" w:sz="4" w:space="0" w:color="auto"/>
            </w:tcBorders>
            <w:vAlign w:val="center"/>
          </w:tcPr>
          <w:p w14:paraId="31261D92" w14:textId="5EDB7BEC" w:rsidR="00CD6F8F" w:rsidRPr="0012664E" w:rsidRDefault="00CD6F8F" w:rsidP="003D1FBF">
            <w:pPr>
              <w:spacing w:before="120"/>
              <w:jc w:val="center"/>
              <w:rPr>
                <w:sz w:val="22"/>
                <w:szCs w:val="22"/>
              </w:rPr>
            </w:pPr>
            <w:r w:rsidRPr="0012664E">
              <w:rPr>
                <w:sz w:val="22"/>
                <w:szCs w:val="22"/>
              </w:rPr>
              <w:t>Duration</w:t>
            </w:r>
          </w:p>
        </w:tc>
        <w:tc>
          <w:tcPr>
            <w:tcW w:w="1582" w:type="dxa"/>
            <w:tcBorders>
              <w:top w:val="single" w:sz="4" w:space="0" w:color="auto"/>
            </w:tcBorders>
            <w:vAlign w:val="center"/>
          </w:tcPr>
          <w:p w14:paraId="1E493425" w14:textId="252DF02B" w:rsidR="00CD6F8F" w:rsidRPr="0012664E" w:rsidRDefault="00CD6F8F" w:rsidP="003D1FBF">
            <w:pPr>
              <w:spacing w:before="120"/>
              <w:jc w:val="center"/>
              <w:rPr>
                <w:sz w:val="22"/>
                <w:szCs w:val="22"/>
              </w:rPr>
            </w:pPr>
            <w:r w:rsidRPr="0012664E">
              <w:rPr>
                <w:sz w:val="22"/>
                <w:szCs w:val="22"/>
              </w:rPr>
              <w:t>#Letters</w:t>
            </w:r>
          </w:p>
        </w:tc>
        <w:tc>
          <w:tcPr>
            <w:tcW w:w="1582" w:type="dxa"/>
            <w:tcBorders>
              <w:top w:val="single" w:sz="4" w:space="0" w:color="auto"/>
            </w:tcBorders>
            <w:vAlign w:val="center"/>
          </w:tcPr>
          <w:p w14:paraId="79623B91" w14:textId="6E635685" w:rsidR="00CD6F8F" w:rsidRPr="0012664E" w:rsidRDefault="00CD6F8F" w:rsidP="003D1FBF">
            <w:pPr>
              <w:spacing w:before="120"/>
              <w:jc w:val="center"/>
              <w:rPr>
                <w:sz w:val="22"/>
                <w:szCs w:val="22"/>
              </w:rPr>
            </w:pPr>
            <w:r w:rsidRPr="0012664E">
              <w:rPr>
                <w:sz w:val="22"/>
                <w:szCs w:val="22"/>
              </w:rPr>
              <w:t>#Comments</w:t>
            </w:r>
          </w:p>
        </w:tc>
        <w:tc>
          <w:tcPr>
            <w:tcW w:w="1582" w:type="dxa"/>
            <w:tcBorders>
              <w:top w:val="single" w:sz="4" w:space="0" w:color="auto"/>
            </w:tcBorders>
            <w:vAlign w:val="center"/>
          </w:tcPr>
          <w:p w14:paraId="4894187F" w14:textId="73FB0F4B" w:rsidR="00CD6F8F" w:rsidRPr="0012664E" w:rsidRDefault="00CD6F8F" w:rsidP="003D1FBF">
            <w:pPr>
              <w:spacing w:before="120"/>
              <w:jc w:val="center"/>
              <w:rPr>
                <w:sz w:val="22"/>
                <w:szCs w:val="22"/>
              </w:rPr>
            </w:pPr>
            <w:r w:rsidRPr="0012664E">
              <w:rPr>
                <w:sz w:val="22"/>
                <w:szCs w:val="22"/>
              </w:rPr>
              <w:t>#Themes</w:t>
            </w:r>
          </w:p>
        </w:tc>
      </w:tr>
      <w:tr w:rsidR="00CD6F8F" w14:paraId="02A5C499" w14:textId="77777777" w:rsidTr="00CD6F8F">
        <w:trPr>
          <w:trHeight w:val="200"/>
        </w:trPr>
        <w:tc>
          <w:tcPr>
            <w:tcW w:w="2689" w:type="dxa"/>
          </w:tcPr>
          <w:p w14:paraId="692674C5" w14:textId="39BFA8E3" w:rsidR="00CD6F8F" w:rsidRPr="0012664E" w:rsidRDefault="00CD6F8F" w:rsidP="003D1FBF">
            <w:pPr>
              <w:rPr>
                <w:sz w:val="22"/>
                <w:szCs w:val="22"/>
              </w:rPr>
            </w:pPr>
          </w:p>
        </w:tc>
        <w:tc>
          <w:tcPr>
            <w:tcW w:w="1581" w:type="dxa"/>
            <w:tcBorders>
              <w:bottom w:val="single" w:sz="4" w:space="0" w:color="auto"/>
            </w:tcBorders>
            <w:vAlign w:val="center"/>
          </w:tcPr>
          <w:p w14:paraId="035A8FFF" w14:textId="0186AE81" w:rsidR="00CD6F8F" w:rsidRPr="0012664E" w:rsidRDefault="00CD6F8F" w:rsidP="003D1FBF">
            <w:pPr>
              <w:spacing w:after="40"/>
              <w:jc w:val="center"/>
              <w:rPr>
                <w:sz w:val="22"/>
                <w:szCs w:val="22"/>
              </w:rPr>
            </w:pPr>
            <w:r w:rsidRPr="0012664E">
              <w:rPr>
                <w:sz w:val="22"/>
                <w:szCs w:val="22"/>
              </w:rPr>
              <w:t>(1)</w:t>
            </w:r>
          </w:p>
        </w:tc>
        <w:tc>
          <w:tcPr>
            <w:tcW w:w="1582" w:type="dxa"/>
            <w:tcBorders>
              <w:bottom w:val="single" w:sz="4" w:space="0" w:color="auto"/>
            </w:tcBorders>
            <w:vAlign w:val="center"/>
          </w:tcPr>
          <w:p w14:paraId="4452E8BA" w14:textId="26E140E3" w:rsidR="00CD6F8F" w:rsidRPr="0012664E" w:rsidRDefault="00CD6F8F" w:rsidP="003D1FBF">
            <w:pPr>
              <w:spacing w:after="40"/>
              <w:jc w:val="center"/>
              <w:rPr>
                <w:sz w:val="22"/>
                <w:szCs w:val="22"/>
              </w:rPr>
            </w:pPr>
            <w:r w:rsidRPr="0012664E">
              <w:rPr>
                <w:sz w:val="22"/>
                <w:szCs w:val="22"/>
              </w:rPr>
              <w:t>(2)</w:t>
            </w:r>
          </w:p>
        </w:tc>
        <w:tc>
          <w:tcPr>
            <w:tcW w:w="1582" w:type="dxa"/>
            <w:tcBorders>
              <w:bottom w:val="single" w:sz="4" w:space="0" w:color="auto"/>
            </w:tcBorders>
            <w:vAlign w:val="center"/>
          </w:tcPr>
          <w:p w14:paraId="3BB6FF29" w14:textId="2A831CE2" w:rsidR="00CD6F8F" w:rsidRPr="0012664E" w:rsidRDefault="00CD6F8F" w:rsidP="003D1FBF">
            <w:pPr>
              <w:spacing w:after="40"/>
              <w:jc w:val="center"/>
              <w:rPr>
                <w:sz w:val="22"/>
                <w:szCs w:val="22"/>
              </w:rPr>
            </w:pPr>
            <w:r w:rsidRPr="0012664E">
              <w:rPr>
                <w:sz w:val="22"/>
                <w:szCs w:val="22"/>
              </w:rPr>
              <w:t>(3)</w:t>
            </w:r>
          </w:p>
        </w:tc>
        <w:tc>
          <w:tcPr>
            <w:tcW w:w="1582" w:type="dxa"/>
            <w:tcBorders>
              <w:bottom w:val="single" w:sz="4" w:space="0" w:color="auto"/>
            </w:tcBorders>
            <w:vAlign w:val="center"/>
          </w:tcPr>
          <w:p w14:paraId="7667AEB1" w14:textId="02F7D5F8" w:rsidR="00CD6F8F" w:rsidRPr="0012664E" w:rsidRDefault="00CD6F8F" w:rsidP="003D1FBF">
            <w:pPr>
              <w:spacing w:after="40"/>
              <w:jc w:val="center"/>
              <w:rPr>
                <w:sz w:val="22"/>
                <w:szCs w:val="22"/>
              </w:rPr>
            </w:pPr>
            <w:r w:rsidRPr="0012664E">
              <w:rPr>
                <w:sz w:val="22"/>
                <w:szCs w:val="22"/>
              </w:rPr>
              <w:t>(4)</w:t>
            </w:r>
          </w:p>
        </w:tc>
      </w:tr>
      <w:tr w:rsidR="00CD6F8F" w14:paraId="7BDBC2AD" w14:textId="77777777" w:rsidTr="00CD6F8F">
        <w:tc>
          <w:tcPr>
            <w:tcW w:w="2689" w:type="dxa"/>
          </w:tcPr>
          <w:p w14:paraId="2C73E4A5" w14:textId="6DAF16C0" w:rsidR="00CD6F8F" w:rsidRPr="0012664E" w:rsidRDefault="00CD6F8F" w:rsidP="003D1FBF">
            <w:pPr>
              <w:rPr>
                <w:sz w:val="22"/>
                <w:szCs w:val="22"/>
              </w:rPr>
            </w:pPr>
            <w:r w:rsidRPr="0012664E">
              <w:rPr>
                <w:sz w:val="22"/>
                <w:szCs w:val="22"/>
              </w:rPr>
              <w:t>JOBs Act</w:t>
            </w:r>
          </w:p>
        </w:tc>
        <w:tc>
          <w:tcPr>
            <w:tcW w:w="1581" w:type="dxa"/>
            <w:tcBorders>
              <w:top w:val="single" w:sz="4" w:space="0" w:color="auto"/>
            </w:tcBorders>
            <w:vAlign w:val="center"/>
          </w:tcPr>
          <w:p w14:paraId="75175739" w14:textId="56E41AD6" w:rsidR="00CD6F8F" w:rsidRPr="0012664E" w:rsidRDefault="00CD6F8F" w:rsidP="003D1FBF">
            <w:pPr>
              <w:jc w:val="center"/>
              <w:rPr>
                <w:sz w:val="22"/>
                <w:szCs w:val="22"/>
              </w:rPr>
            </w:pPr>
            <w:r w:rsidRPr="0012664E">
              <w:rPr>
                <w:sz w:val="22"/>
                <w:szCs w:val="22"/>
              </w:rPr>
              <w:t>-0.395***</w:t>
            </w:r>
          </w:p>
        </w:tc>
        <w:tc>
          <w:tcPr>
            <w:tcW w:w="1582" w:type="dxa"/>
            <w:tcBorders>
              <w:top w:val="single" w:sz="4" w:space="0" w:color="auto"/>
            </w:tcBorders>
            <w:vAlign w:val="center"/>
          </w:tcPr>
          <w:p w14:paraId="1B7A08EA" w14:textId="165A719A" w:rsidR="00CD6F8F" w:rsidRPr="0012664E" w:rsidRDefault="00CD6F8F" w:rsidP="003D1FBF">
            <w:pPr>
              <w:jc w:val="center"/>
              <w:rPr>
                <w:sz w:val="22"/>
                <w:szCs w:val="22"/>
              </w:rPr>
            </w:pPr>
            <w:r w:rsidRPr="0012664E">
              <w:rPr>
                <w:sz w:val="22"/>
                <w:szCs w:val="22"/>
              </w:rPr>
              <w:t>-0.297**</w:t>
            </w:r>
          </w:p>
        </w:tc>
        <w:tc>
          <w:tcPr>
            <w:tcW w:w="1582" w:type="dxa"/>
            <w:tcBorders>
              <w:top w:val="single" w:sz="4" w:space="0" w:color="auto"/>
            </w:tcBorders>
            <w:vAlign w:val="center"/>
          </w:tcPr>
          <w:p w14:paraId="33B4BF5E" w14:textId="28101843" w:rsidR="00CD6F8F" w:rsidRPr="0012664E" w:rsidRDefault="00CD6F8F" w:rsidP="003D1FBF">
            <w:pPr>
              <w:jc w:val="center"/>
              <w:rPr>
                <w:sz w:val="22"/>
                <w:szCs w:val="22"/>
              </w:rPr>
            </w:pPr>
            <w:r w:rsidRPr="0012664E">
              <w:rPr>
                <w:sz w:val="22"/>
                <w:szCs w:val="22"/>
              </w:rPr>
              <w:t>-0.749***</w:t>
            </w:r>
          </w:p>
        </w:tc>
        <w:tc>
          <w:tcPr>
            <w:tcW w:w="1582" w:type="dxa"/>
            <w:tcBorders>
              <w:top w:val="single" w:sz="4" w:space="0" w:color="auto"/>
            </w:tcBorders>
            <w:vAlign w:val="center"/>
          </w:tcPr>
          <w:p w14:paraId="381E4221" w14:textId="21A65C27" w:rsidR="00CD6F8F" w:rsidRPr="0012664E" w:rsidRDefault="00CD6F8F" w:rsidP="003D1FBF">
            <w:pPr>
              <w:jc w:val="center"/>
              <w:rPr>
                <w:sz w:val="22"/>
                <w:szCs w:val="22"/>
              </w:rPr>
            </w:pPr>
            <w:r w:rsidRPr="0012664E">
              <w:rPr>
                <w:sz w:val="22"/>
                <w:szCs w:val="22"/>
              </w:rPr>
              <w:t>-0.399***</w:t>
            </w:r>
          </w:p>
        </w:tc>
      </w:tr>
      <w:tr w:rsidR="00CD6F8F" w14:paraId="46A8BCB4" w14:textId="77777777" w:rsidTr="00CD6F8F">
        <w:tc>
          <w:tcPr>
            <w:tcW w:w="2689" w:type="dxa"/>
          </w:tcPr>
          <w:p w14:paraId="0815C7B0" w14:textId="77777777" w:rsidR="00CD6F8F" w:rsidRPr="0012664E" w:rsidRDefault="00CD6F8F" w:rsidP="003D1FBF">
            <w:pPr>
              <w:rPr>
                <w:sz w:val="22"/>
                <w:szCs w:val="22"/>
              </w:rPr>
            </w:pPr>
          </w:p>
        </w:tc>
        <w:tc>
          <w:tcPr>
            <w:tcW w:w="1581" w:type="dxa"/>
            <w:vAlign w:val="center"/>
          </w:tcPr>
          <w:p w14:paraId="469A6B4D" w14:textId="07E6720A" w:rsidR="00CD6F8F" w:rsidRPr="0012664E" w:rsidRDefault="00CD6F8F" w:rsidP="003D1FBF">
            <w:pPr>
              <w:jc w:val="center"/>
              <w:rPr>
                <w:sz w:val="22"/>
                <w:szCs w:val="22"/>
              </w:rPr>
            </w:pPr>
            <w:r w:rsidRPr="0012664E">
              <w:rPr>
                <w:sz w:val="22"/>
                <w:szCs w:val="22"/>
              </w:rPr>
              <w:t>(-8.68)</w:t>
            </w:r>
          </w:p>
        </w:tc>
        <w:tc>
          <w:tcPr>
            <w:tcW w:w="1582" w:type="dxa"/>
            <w:vAlign w:val="center"/>
          </w:tcPr>
          <w:p w14:paraId="2D1343F0" w14:textId="26C4EDAC" w:rsidR="00CD6F8F" w:rsidRPr="0012664E" w:rsidRDefault="00CD6F8F" w:rsidP="003D1FBF">
            <w:pPr>
              <w:jc w:val="center"/>
              <w:rPr>
                <w:sz w:val="22"/>
                <w:szCs w:val="22"/>
              </w:rPr>
            </w:pPr>
            <w:r w:rsidRPr="0012664E">
              <w:rPr>
                <w:sz w:val="22"/>
                <w:szCs w:val="22"/>
              </w:rPr>
              <w:t>(-2.47)</w:t>
            </w:r>
          </w:p>
        </w:tc>
        <w:tc>
          <w:tcPr>
            <w:tcW w:w="1582" w:type="dxa"/>
            <w:vAlign w:val="center"/>
          </w:tcPr>
          <w:p w14:paraId="5722154B" w14:textId="336D95DB" w:rsidR="00CD6F8F" w:rsidRPr="0012664E" w:rsidRDefault="00CD6F8F" w:rsidP="003D1FBF">
            <w:pPr>
              <w:jc w:val="center"/>
              <w:rPr>
                <w:sz w:val="22"/>
                <w:szCs w:val="22"/>
              </w:rPr>
            </w:pPr>
            <w:r w:rsidRPr="0012664E">
              <w:rPr>
                <w:sz w:val="22"/>
                <w:szCs w:val="22"/>
              </w:rPr>
              <w:t>(-6.7</w:t>
            </w:r>
            <w:r w:rsidR="00F5743A">
              <w:rPr>
                <w:sz w:val="22"/>
                <w:szCs w:val="22"/>
              </w:rPr>
              <w:t>0</w:t>
            </w:r>
            <w:r w:rsidRPr="0012664E">
              <w:rPr>
                <w:sz w:val="22"/>
                <w:szCs w:val="22"/>
              </w:rPr>
              <w:t>)</w:t>
            </w:r>
          </w:p>
        </w:tc>
        <w:tc>
          <w:tcPr>
            <w:tcW w:w="1582" w:type="dxa"/>
            <w:vAlign w:val="center"/>
          </w:tcPr>
          <w:p w14:paraId="5197C68C" w14:textId="0629FFE4" w:rsidR="00CD6F8F" w:rsidRPr="0012664E" w:rsidRDefault="00CD6F8F" w:rsidP="003D1FBF">
            <w:pPr>
              <w:jc w:val="center"/>
              <w:rPr>
                <w:sz w:val="22"/>
                <w:szCs w:val="22"/>
              </w:rPr>
            </w:pPr>
            <w:r w:rsidRPr="0012664E">
              <w:rPr>
                <w:sz w:val="22"/>
                <w:szCs w:val="22"/>
              </w:rPr>
              <w:t>(-3.54)</w:t>
            </w:r>
          </w:p>
        </w:tc>
      </w:tr>
      <w:tr w:rsidR="00CD6F8F" w14:paraId="5D5FBDD8" w14:textId="77777777" w:rsidTr="00CD6F8F">
        <w:tc>
          <w:tcPr>
            <w:tcW w:w="2689" w:type="dxa"/>
          </w:tcPr>
          <w:p w14:paraId="05026F60" w14:textId="7108A9E0" w:rsidR="00CD6F8F" w:rsidRPr="0012664E" w:rsidRDefault="00CD6F8F" w:rsidP="003D1FBF">
            <w:pPr>
              <w:rPr>
                <w:sz w:val="22"/>
                <w:szCs w:val="22"/>
              </w:rPr>
            </w:pPr>
            <w:proofErr w:type="spellStart"/>
            <w:r w:rsidRPr="0012664E">
              <w:rPr>
                <w:sz w:val="22"/>
                <w:szCs w:val="22"/>
              </w:rPr>
              <w:t>LnSize</w:t>
            </w:r>
            <w:proofErr w:type="spellEnd"/>
          </w:p>
        </w:tc>
        <w:tc>
          <w:tcPr>
            <w:tcW w:w="1581" w:type="dxa"/>
            <w:vAlign w:val="center"/>
          </w:tcPr>
          <w:p w14:paraId="4977593E" w14:textId="2EB1AB7F" w:rsidR="00CD6F8F" w:rsidRPr="0012664E" w:rsidRDefault="00CD6F8F" w:rsidP="003D1FBF">
            <w:pPr>
              <w:jc w:val="center"/>
              <w:rPr>
                <w:sz w:val="22"/>
                <w:szCs w:val="22"/>
              </w:rPr>
            </w:pPr>
            <w:r w:rsidRPr="0012664E">
              <w:rPr>
                <w:sz w:val="22"/>
                <w:szCs w:val="22"/>
              </w:rPr>
              <w:t>-0.092**</w:t>
            </w:r>
          </w:p>
        </w:tc>
        <w:tc>
          <w:tcPr>
            <w:tcW w:w="1582" w:type="dxa"/>
            <w:vAlign w:val="center"/>
          </w:tcPr>
          <w:p w14:paraId="02A76F2D" w14:textId="6BDEB952" w:rsidR="00CD6F8F" w:rsidRPr="0012664E" w:rsidRDefault="00CD6F8F" w:rsidP="003D1FBF">
            <w:pPr>
              <w:jc w:val="center"/>
              <w:rPr>
                <w:sz w:val="22"/>
                <w:szCs w:val="22"/>
              </w:rPr>
            </w:pPr>
            <w:r w:rsidRPr="0012664E">
              <w:rPr>
                <w:sz w:val="22"/>
                <w:szCs w:val="22"/>
              </w:rPr>
              <w:t>-0.009</w:t>
            </w:r>
          </w:p>
        </w:tc>
        <w:tc>
          <w:tcPr>
            <w:tcW w:w="1582" w:type="dxa"/>
            <w:vAlign w:val="center"/>
          </w:tcPr>
          <w:p w14:paraId="6C60C80B" w14:textId="15C86BB2" w:rsidR="00CD6F8F" w:rsidRPr="0012664E" w:rsidRDefault="00CD6F8F" w:rsidP="003D1FBF">
            <w:pPr>
              <w:jc w:val="center"/>
              <w:rPr>
                <w:sz w:val="22"/>
                <w:szCs w:val="22"/>
              </w:rPr>
            </w:pPr>
            <w:r w:rsidRPr="0012664E">
              <w:rPr>
                <w:sz w:val="22"/>
                <w:szCs w:val="22"/>
              </w:rPr>
              <w:t>0.015</w:t>
            </w:r>
          </w:p>
        </w:tc>
        <w:tc>
          <w:tcPr>
            <w:tcW w:w="1582" w:type="dxa"/>
            <w:vAlign w:val="center"/>
          </w:tcPr>
          <w:p w14:paraId="57E73EC4" w14:textId="144A7864" w:rsidR="00CD6F8F" w:rsidRPr="0012664E" w:rsidRDefault="00CD6F8F" w:rsidP="003D1FBF">
            <w:pPr>
              <w:jc w:val="center"/>
              <w:rPr>
                <w:sz w:val="22"/>
                <w:szCs w:val="22"/>
              </w:rPr>
            </w:pPr>
            <w:r w:rsidRPr="0012664E">
              <w:rPr>
                <w:sz w:val="22"/>
                <w:szCs w:val="22"/>
              </w:rPr>
              <w:t>-0.011</w:t>
            </w:r>
          </w:p>
        </w:tc>
      </w:tr>
      <w:tr w:rsidR="00CD6F8F" w14:paraId="075B7BDE" w14:textId="77777777" w:rsidTr="00CD6F8F">
        <w:tc>
          <w:tcPr>
            <w:tcW w:w="2689" w:type="dxa"/>
          </w:tcPr>
          <w:p w14:paraId="68D09DD9" w14:textId="77777777" w:rsidR="00CD6F8F" w:rsidRPr="0012664E" w:rsidRDefault="00CD6F8F" w:rsidP="003D1FBF">
            <w:pPr>
              <w:rPr>
                <w:sz w:val="22"/>
                <w:szCs w:val="22"/>
              </w:rPr>
            </w:pPr>
          </w:p>
        </w:tc>
        <w:tc>
          <w:tcPr>
            <w:tcW w:w="1581" w:type="dxa"/>
            <w:vAlign w:val="center"/>
          </w:tcPr>
          <w:p w14:paraId="26446F8A" w14:textId="710CF403" w:rsidR="00CD6F8F" w:rsidRPr="0012664E" w:rsidRDefault="00CD6F8F" w:rsidP="003D1FBF">
            <w:pPr>
              <w:jc w:val="center"/>
              <w:rPr>
                <w:sz w:val="22"/>
                <w:szCs w:val="22"/>
              </w:rPr>
            </w:pPr>
            <w:r w:rsidRPr="0012664E">
              <w:rPr>
                <w:sz w:val="22"/>
                <w:szCs w:val="22"/>
              </w:rPr>
              <w:t>(-2.14)</w:t>
            </w:r>
          </w:p>
        </w:tc>
        <w:tc>
          <w:tcPr>
            <w:tcW w:w="1582" w:type="dxa"/>
            <w:vAlign w:val="center"/>
          </w:tcPr>
          <w:p w14:paraId="2A77D594" w14:textId="5A7876D3" w:rsidR="00CD6F8F" w:rsidRPr="0012664E" w:rsidRDefault="00CD6F8F" w:rsidP="003D1FBF">
            <w:pPr>
              <w:jc w:val="center"/>
              <w:rPr>
                <w:sz w:val="22"/>
                <w:szCs w:val="22"/>
              </w:rPr>
            </w:pPr>
            <w:r w:rsidRPr="0012664E">
              <w:rPr>
                <w:sz w:val="22"/>
                <w:szCs w:val="22"/>
              </w:rPr>
              <w:t>(-0.34)</w:t>
            </w:r>
          </w:p>
        </w:tc>
        <w:tc>
          <w:tcPr>
            <w:tcW w:w="1582" w:type="dxa"/>
            <w:vAlign w:val="center"/>
          </w:tcPr>
          <w:p w14:paraId="52495D71" w14:textId="2605467B" w:rsidR="00CD6F8F" w:rsidRPr="0012664E" w:rsidRDefault="00CD6F8F" w:rsidP="003D1FBF">
            <w:pPr>
              <w:jc w:val="center"/>
              <w:rPr>
                <w:sz w:val="22"/>
                <w:szCs w:val="22"/>
              </w:rPr>
            </w:pPr>
            <w:r w:rsidRPr="0012664E">
              <w:rPr>
                <w:sz w:val="22"/>
                <w:szCs w:val="22"/>
              </w:rPr>
              <w:t>(0.7</w:t>
            </w:r>
            <w:r w:rsidR="00F5743A">
              <w:rPr>
                <w:sz w:val="22"/>
                <w:szCs w:val="22"/>
              </w:rPr>
              <w:t>0</w:t>
            </w:r>
            <w:r w:rsidRPr="0012664E">
              <w:rPr>
                <w:sz w:val="22"/>
                <w:szCs w:val="22"/>
              </w:rPr>
              <w:t>)</w:t>
            </w:r>
          </w:p>
        </w:tc>
        <w:tc>
          <w:tcPr>
            <w:tcW w:w="1582" w:type="dxa"/>
            <w:vAlign w:val="center"/>
          </w:tcPr>
          <w:p w14:paraId="63928740" w14:textId="07F94E67" w:rsidR="00CD6F8F" w:rsidRPr="0012664E" w:rsidRDefault="00CD6F8F" w:rsidP="003D1FBF">
            <w:pPr>
              <w:jc w:val="center"/>
              <w:rPr>
                <w:sz w:val="22"/>
                <w:szCs w:val="22"/>
              </w:rPr>
            </w:pPr>
            <w:r w:rsidRPr="0012664E">
              <w:rPr>
                <w:sz w:val="22"/>
                <w:szCs w:val="22"/>
              </w:rPr>
              <w:t>(-0.68)</w:t>
            </w:r>
          </w:p>
        </w:tc>
      </w:tr>
      <w:tr w:rsidR="00CD6F8F" w14:paraId="7D8D53B8" w14:textId="77777777" w:rsidTr="00CD6F8F">
        <w:tc>
          <w:tcPr>
            <w:tcW w:w="2689" w:type="dxa"/>
          </w:tcPr>
          <w:p w14:paraId="13499608" w14:textId="7469E664" w:rsidR="00CD6F8F" w:rsidRPr="0012664E" w:rsidRDefault="00CD6F8F" w:rsidP="003D1FBF">
            <w:pPr>
              <w:rPr>
                <w:sz w:val="22"/>
                <w:szCs w:val="22"/>
              </w:rPr>
            </w:pPr>
            <w:r w:rsidRPr="0012664E">
              <w:rPr>
                <w:sz w:val="22"/>
                <w:szCs w:val="22"/>
              </w:rPr>
              <w:t>Leverage</w:t>
            </w:r>
          </w:p>
        </w:tc>
        <w:tc>
          <w:tcPr>
            <w:tcW w:w="1581" w:type="dxa"/>
            <w:vAlign w:val="center"/>
          </w:tcPr>
          <w:p w14:paraId="090D6D87" w14:textId="18F9FEDE" w:rsidR="00CD6F8F" w:rsidRPr="0012664E" w:rsidRDefault="00CD6F8F" w:rsidP="003D1FBF">
            <w:pPr>
              <w:jc w:val="center"/>
              <w:rPr>
                <w:sz w:val="22"/>
                <w:szCs w:val="22"/>
              </w:rPr>
            </w:pPr>
            <w:r w:rsidRPr="0012664E">
              <w:rPr>
                <w:sz w:val="22"/>
                <w:szCs w:val="22"/>
              </w:rPr>
              <w:t>0.001***</w:t>
            </w:r>
          </w:p>
        </w:tc>
        <w:tc>
          <w:tcPr>
            <w:tcW w:w="1582" w:type="dxa"/>
            <w:vAlign w:val="center"/>
          </w:tcPr>
          <w:p w14:paraId="632F857E" w14:textId="5A735631" w:rsidR="00CD6F8F" w:rsidRPr="0012664E" w:rsidRDefault="00CD6F8F" w:rsidP="003D1FBF">
            <w:pPr>
              <w:jc w:val="center"/>
              <w:rPr>
                <w:sz w:val="22"/>
                <w:szCs w:val="22"/>
              </w:rPr>
            </w:pPr>
            <w:r w:rsidRPr="0012664E">
              <w:rPr>
                <w:sz w:val="22"/>
                <w:szCs w:val="22"/>
              </w:rPr>
              <w:t>0.001*</w:t>
            </w:r>
          </w:p>
        </w:tc>
        <w:tc>
          <w:tcPr>
            <w:tcW w:w="1582" w:type="dxa"/>
            <w:vAlign w:val="center"/>
          </w:tcPr>
          <w:p w14:paraId="31212E7B" w14:textId="3B22A9E6" w:rsidR="00CD6F8F" w:rsidRPr="0012664E" w:rsidRDefault="00CD6F8F" w:rsidP="003D1FBF">
            <w:pPr>
              <w:jc w:val="center"/>
              <w:rPr>
                <w:sz w:val="22"/>
                <w:szCs w:val="22"/>
              </w:rPr>
            </w:pPr>
            <w:r w:rsidRPr="0012664E">
              <w:rPr>
                <w:sz w:val="22"/>
                <w:szCs w:val="22"/>
              </w:rPr>
              <w:t>-0.001</w:t>
            </w:r>
          </w:p>
        </w:tc>
        <w:tc>
          <w:tcPr>
            <w:tcW w:w="1582" w:type="dxa"/>
            <w:vAlign w:val="center"/>
          </w:tcPr>
          <w:p w14:paraId="6100FA40" w14:textId="02417022" w:rsidR="00CD6F8F" w:rsidRPr="0012664E" w:rsidRDefault="00CD6F8F" w:rsidP="003D1FBF">
            <w:pPr>
              <w:jc w:val="center"/>
              <w:rPr>
                <w:sz w:val="22"/>
                <w:szCs w:val="22"/>
              </w:rPr>
            </w:pPr>
            <w:r w:rsidRPr="0012664E">
              <w:rPr>
                <w:sz w:val="22"/>
                <w:szCs w:val="22"/>
              </w:rPr>
              <w:t>-0.001</w:t>
            </w:r>
          </w:p>
        </w:tc>
      </w:tr>
      <w:tr w:rsidR="00CD6F8F" w14:paraId="24D0CF1C" w14:textId="77777777" w:rsidTr="00CD6F8F">
        <w:tc>
          <w:tcPr>
            <w:tcW w:w="2689" w:type="dxa"/>
          </w:tcPr>
          <w:p w14:paraId="2012E7C9" w14:textId="77777777" w:rsidR="00CD6F8F" w:rsidRPr="0012664E" w:rsidRDefault="00CD6F8F" w:rsidP="003D1FBF">
            <w:pPr>
              <w:rPr>
                <w:sz w:val="22"/>
                <w:szCs w:val="22"/>
              </w:rPr>
            </w:pPr>
          </w:p>
        </w:tc>
        <w:tc>
          <w:tcPr>
            <w:tcW w:w="1581" w:type="dxa"/>
            <w:vAlign w:val="center"/>
          </w:tcPr>
          <w:p w14:paraId="1052BC3A" w14:textId="49B35427" w:rsidR="00CD6F8F" w:rsidRPr="0012664E" w:rsidRDefault="00CD6F8F" w:rsidP="003D1FBF">
            <w:pPr>
              <w:jc w:val="center"/>
              <w:rPr>
                <w:sz w:val="22"/>
                <w:szCs w:val="22"/>
              </w:rPr>
            </w:pPr>
            <w:r w:rsidRPr="0012664E">
              <w:rPr>
                <w:sz w:val="22"/>
                <w:szCs w:val="22"/>
              </w:rPr>
              <w:t>(2.83)</w:t>
            </w:r>
          </w:p>
        </w:tc>
        <w:tc>
          <w:tcPr>
            <w:tcW w:w="1582" w:type="dxa"/>
            <w:vAlign w:val="center"/>
          </w:tcPr>
          <w:p w14:paraId="510BA502" w14:textId="15BE71F7" w:rsidR="00CD6F8F" w:rsidRPr="0012664E" w:rsidRDefault="00CD6F8F" w:rsidP="003D1FBF">
            <w:pPr>
              <w:jc w:val="center"/>
              <w:rPr>
                <w:sz w:val="22"/>
                <w:szCs w:val="22"/>
              </w:rPr>
            </w:pPr>
            <w:r w:rsidRPr="0012664E">
              <w:rPr>
                <w:sz w:val="22"/>
                <w:szCs w:val="22"/>
              </w:rPr>
              <w:t>(1.81)</w:t>
            </w:r>
          </w:p>
        </w:tc>
        <w:tc>
          <w:tcPr>
            <w:tcW w:w="1582" w:type="dxa"/>
            <w:vAlign w:val="center"/>
          </w:tcPr>
          <w:p w14:paraId="46C61073" w14:textId="32D33C8E" w:rsidR="00CD6F8F" w:rsidRPr="0012664E" w:rsidRDefault="00CD6F8F" w:rsidP="003D1FBF">
            <w:pPr>
              <w:jc w:val="center"/>
              <w:rPr>
                <w:sz w:val="22"/>
                <w:szCs w:val="22"/>
              </w:rPr>
            </w:pPr>
            <w:r w:rsidRPr="0012664E">
              <w:rPr>
                <w:sz w:val="22"/>
                <w:szCs w:val="22"/>
              </w:rPr>
              <w:t>(-0.8</w:t>
            </w:r>
            <w:r w:rsidR="00F5743A">
              <w:rPr>
                <w:sz w:val="22"/>
                <w:szCs w:val="22"/>
              </w:rPr>
              <w:t>0</w:t>
            </w:r>
            <w:r w:rsidRPr="0012664E">
              <w:rPr>
                <w:sz w:val="22"/>
                <w:szCs w:val="22"/>
              </w:rPr>
              <w:t>)</w:t>
            </w:r>
          </w:p>
        </w:tc>
        <w:tc>
          <w:tcPr>
            <w:tcW w:w="1582" w:type="dxa"/>
            <w:vAlign w:val="center"/>
          </w:tcPr>
          <w:p w14:paraId="3771D3A2" w14:textId="6CC6E9D3" w:rsidR="00CD6F8F" w:rsidRPr="0012664E" w:rsidRDefault="00CD6F8F" w:rsidP="003D1FBF">
            <w:pPr>
              <w:jc w:val="center"/>
              <w:rPr>
                <w:sz w:val="22"/>
                <w:szCs w:val="22"/>
              </w:rPr>
            </w:pPr>
            <w:r w:rsidRPr="0012664E">
              <w:rPr>
                <w:sz w:val="22"/>
                <w:szCs w:val="22"/>
              </w:rPr>
              <w:t>(-0.1</w:t>
            </w:r>
            <w:r w:rsidR="00F5743A">
              <w:rPr>
                <w:sz w:val="22"/>
                <w:szCs w:val="22"/>
              </w:rPr>
              <w:t>0</w:t>
            </w:r>
            <w:r w:rsidRPr="0012664E">
              <w:rPr>
                <w:sz w:val="22"/>
                <w:szCs w:val="22"/>
              </w:rPr>
              <w:t>)</w:t>
            </w:r>
          </w:p>
        </w:tc>
      </w:tr>
      <w:tr w:rsidR="00CD6F8F" w14:paraId="5E7079C8" w14:textId="77777777" w:rsidTr="00CD6F8F">
        <w:tc>
          <w:tcPr>
            <w:tcW w:w="2689" w:type="dxa"/>
          </w:tcPr>
          <w:p w14:paraId="38B811B7" w14:textId="1DB87973" w:rsidR="00CD6F8F" w:rsidRPr="0012664E" w:rsidRDefault="00CD6F8F" w:rsidP="003D1FBF">
            <w:pPr>
              <w:rPr>
                <w:sz w:val="22"/>
                <w:szCs w:val="22"/>
              </w:rPr>
            </w:pPr>
            <w:r w:rsidRPr="0012664E">
              <w:rPr>
                <w:sz w:val="22"/>
                <w:szCs w:val="22"/>
              </w:rPr>
              <w:t>Firm age</w:t>
            </w:r>
          </w:p>
        </w:tc>
        <w:tc>
          <w:tcPr>
            <w:tcW w:w="1581" w:type="dxa"/>
            <w:vAlign w:val="center"/>
          </w:tcPr>
          <w:p w14:paraId="088C5D98" w14:textId="7FB03D45" w:rsidR="00CD6F8F" w:rsidRPr="0012664E" w:rsidRDefault="00CD6F8F" w:rsidP="003D1FBF">
            <w:pPr>
              <w:jc w:val="center"/>
              <w:rPr>
                <w:sz w:val="22"/>
                <w:szCs w:val="22"/>
              </w:rPr>
            </w:pPr>
            <w:r w:rsidRPr="0012664E">
              <w:rPr>
                <w:sz w:val="22"/>
                <w:szCs w:val="22"/>
              </w:rPr>
              <w:t>-0.001</w:t>
            </w:r>
          </w:p>
        </w:tc>
        <w:tc>
          <w:tcPr>
            <w:tcW w:w="1582" w:type="dxa"/>
            <w:vAlign w:val="center"/>
          </w:tcPr>
          <w:p w14:paraId="0BEF47F8" w14:textId="4626D43E" w:rsidR="00CD6F8F" w:rsidRPr="0012664E" w:rsidRDefault="00CD6F8F" w:rsidP="003D1FBF">
            <w:pPr>
              <w:jc w:val="center"/>
              <w:rPr>
                <w:sz w:val="22"/>
                <w:szCs w:val="22"/>
              </w:rPr>
            </w:pPr>
            <w:r w:rsidRPr="0012664E">
              <w:rPr>
                <w:sz w:val="22"/>
                <w:szCs w:val="22"/>
              </w:rPr>
              <w:t>-0.004**</w:t>
            </w:r>
          </w:p>
        </w:tc>
        <w:tc>
          <w:tcPr>
            <w:tcW w:w="1582" w:type="dxa"/>
            <w:vAlign w:val="center"/>
          </w:tcPr>
          <w:p w14:paraId="75A8ADF6" w14:textId="1EB28254" w:rsidR="00CD6F8F" w:rsidRPr="0012664E" w:rsidRDefault="00CD6F8F" w:rsidP="003D1FBF">
            <w:pPr>
              <w:jc w:val="center"/>
              <w:rPr>
                <w:sz w:val="22"/>
                <w:szCs w:val="22"/>
              </w:rPr>
            </w:pPr>
            <w:r w:rsidRPr="0012664E">
              <w:rPr>
                <w:sz w:val="22"/>
                <w:szCs w:val="22"/>
              </w:rPr>
              <w:t>-0.006***</w:t>
            </w:r>
          </w:p>
        </w:tc>
        <w:tc>
          <w:tcPr>
            <w:tcW w:w="1582" w:type="dxa"/>
            <w:vAlign w:val="center"/>
          </w:tcPr>
          <w:p w14:paraId="6326B166" w14:textId="372A2478" w:rsidR="00CD6F8F" w:rsidRPr="0012664E" w:rsidRDefault="00CD6F8F" w:rsidP="003D1FBF">
            <w:pPr>
              <w:jc w:val="center"/>
              <w:rPr>
                <w:sz w:val="22"/>
                <w:szCs w:val="22"/>
              </w:rPr>
            </w:pPr>
            <w:r w:rsidRPr="0012664E">
              <w:rPr>
                <w:sz w:val="22"/>
                <w:szCs w:val="22"/>
              </w:rPr>
              <w:t>-0.003**</w:t>
            </w:r>
          </w:p>
        </w:tc>
      </w:tr>
      <w:tr w:rsidR="00CD6F8F" w14:paraId="64839C53" w14:textId="77777777" w:rsidTr="00CD6F8F">
        <w:tc>
          <w:tcPr>
            <w:tcW w:w="2689" w:type="dxa"/>
          </w:tcPr>
          <w:p w14:paraId="546419FF" w14:textId="77777777" w:rsidR="00CD6F8F" w:rsidRPr="0012664E" w:rsidRDefault="00CD6F8F" w:rsidP="003D1FBF">
            <w:pPr>
              <w:rPr>
                <w:sz w:val="22"/>
                <w:szCs w:val="22"/>
              </w:rPr>
            </w:pPr>
          </w:p>
        </w:tc>
        <w:tc>
          <w:tcPr>
            <w:tcW w:w="1581" w:type="dxa"/>
            <w:vAlign w:val="center"/>
          </w:tcPr>
          <w:p w14:paraId="1F46300B" w14:textId="272B8FDB" w:rsidR="00CD6F8F" w:rsidRPr="0012664E" w:rsidRDefault="00CD6F8F" w:rsidP="003D1FBF">
            <w:pPr>
              <w:jc w:val="center"/>
              <w:rPr>
                <w:sz w:val="22"/>
                <w:szCs w:val="22"/>
              </w:rPr>
            </w:pPr>
            <w:r w:rsidRPr="0012664E">
              <w:rPr>
                <w:sz w:val="22"/>
                <w:szCs w:val="22"/>
              </w:rPr>
              <w:t>(-0.64)</w:t>
            </w:r>
          </w:p>
        </w:tc>
        <w:tc>
          <w:tcPr>
            <w:tcW w:w="1582" w:type="dxa"/>
            <w:vAlign w:val="center"/>
          </w:tcPr>
          <w:p w14:paraId="62ADD8C1" w14:textId="5AA91B40" w:rsidR="00CD6F8F" w:rsidRPr="0012664E" w:rsidRDefault="00CD6F8F" w:rsidP="003D1FBF">
            <w:pPr>
              <w:jc w:val="center"/>
              <w:rPr>
                <w:sz w:val="22"/>
                <w:szCs w:val="22"/>
              </w:rPr>
            </w:pPr>
            <w:r w:rsidRPr="0012664E">
              <w:rPr>
                <w:sz w:val="22"/>
                <w:szCs w:val="22"/>
              </w:rPr>
              <w:t>(-2.09)</w:t>
            </w:r>
          </w:p>
        </w:tc>
        <w:tc>
          <w:tcPr>
            <w:tcW w:w="1582" w:type="dxa"/>
            <w:vAlign w:val="center"/>
          </w:tcPr>
          <w:p w14:paraId="42615E3F" w14:textId="413E9D9E" w:rsidR="00CD6F8F" w:rsidRPr="0012664E" w:rsidRDefault="00CD6F8F" w:rsidP="003D1FBF">
            <w:pPr>
              <w:jc w:val="center"/>
              <w:rPr>
                <w:sz w:val="22"/>
                <w:szCs w:val="22"/>
              </w:rPr>
            </w:pPr>
            <w:r w:rsidRPr="0012664E">
              <w:rPr>
                <w:sz w:val="22"/>
                <w:szCs w:val="22"/>
              </w:rPr>
              <w:t>(-2.86)</w:t>
            </w:r>
          </w:p>
        </w:tc>
        <w:tc>
          <w:tcPr>
            <w:tcW w:w="1582" w:type="dxa"/>
            <w:vAlign w:val="center"/>
          </w:tcPr>
          <w:p w14:paraId="2C697393" w14:textId="66C5EF5A" w:rsidR="00CD6F8F" w:rsidRPr="0012664E" w:rsidRDefault="00CD6F8F" w:rsidP="003D1FBF">
            <w:pPr>
              <w:jc w:val="center"/>
              <w:rPr>
                <w:sz w:val="22"/>
                <w:szCs w:val="22"/>
              </w:rPr>
            </w:pPr>
            <w:r w:rsidRPr="0012664E">
              <w:rPr>
                <w:sz w:val="22"/>
                <w:szCs w:val="22"/>
              </w:rPr>
              <w:t>(-2.44)</w:t>
            </w:r>
          </w:p>
        </w:tc>
      </w:tr>
      <w:tr w:rsidR="00CD6F8F" w14:paraId="091A5453" w14:textId="77777777" w:rsidTr="00CD6F8F">
        <w:tc>
          <w:tcPr>
            <w:tcW w:w="2689" w:type="dxa"/>
          </w:tcPr>
          <w:p w14:paraId="53B37DBE" w14:textId="4917F2A4" w:rsidR="00CD6F8F" w:rsidRPr="0012664E" w:rsidRDefault="00CD6F8F" w:rsidP="003D1FBF">
            <w:pPr>
              <w:rPr>
                <w:sz w:val="22"/>
                <w:szCs w:val="22"/>
              </w:rPr>
            </w:pPr>
            <w:r w:rsidRPr="0012664E">
              <w:rPr>
                <w:sz w:val="22"/>
                <w:szCs w:val="22"/>
              </w:rPr>
              <w:t>Segments</w:t>
            </w:r>
          </w:p>
        </w:tc>
        <w:tc>
          <w:tcPr>
            <w:tcW w:w="1581" w:type="dxa"/>
            <w:vAlign w:val="center"/>
          </w:tcPr>
          <w:p w14:paraId="27EBC12F" w14:textId="4D3A8DEA" w:rsidR="00CD6F8F" w:rsidRPr="0012664E" w:rsidRDefault="00CD6F8F" w:rsidP="003D1FBF">
            <w:pPr>
              <w:jc w:val="center"/>
              <w:rPr>
                <w:sz w:val="22"/>
                <w:szCs w:val="22"/>
              </w:rPr>
            </w:pPr>
            <w:r w:rsidRPr="0012664E">
              <w:rPr>
                <w:sz w:val="22"/>
                <w:szCs w:val="22"/>
              </w:rPr>
              <w:t>-0.026</w:t>
            </w:r>
          </w:p>
        </w:tc>
        <w:tc>
          <w:tcPr>
            <w:tcW w:w="1582" w:type="dxa"/>
            <w:vAlign w:val="center"/>
          </w:tcPr>
          <w:p w14:paraId="1A5EF5C7" w14:textId="24874017" w:rsidR="00CD6F8F" w:rsidRPr="0012664E" w:rsidRDefault="00CD6F8F" w:rsidP="003D1FBF">
            <w:pPr>
              <w:jc w:val="center"/>
              <w:rPr>
                <w:sz w:val="22"/>
                <w:szCs w:val="22"/>
              </w:rPr>
            </w:pPr>
            <w:r w:rsidRPr="0012664E">
              <w:rPr>
                <w:sz w:val="22"/>
                <w:szCs w:val="22"/>
              </w:rPr>
              <w:t>-0.007</w:t>
            </w:r>
          </w:p>
        </w:tc>
        <w:tc>
          <w:tcPr>
            <w:tcW w:w="1582" w:type="dxa"/>
            <w:vAlign w:val="center"/>
          </w:tcPr>
          <w:p w14:paraId="480794A1" w14:textId="0E1ABCBE" w:rsidR="00CD6F8F" w:rsidRPr="0012664E" w:rsidRDefault="00CD6F8F" w:rsidP="003D1FBF">
            <w:pPr>
              <w:jc w:val="center"/>
              <w:rPr>
                <w:sz w:val="22"/>
                <w:szCs w:val="22"/>
              </w:rPr>
            </w:pPr>
            <w:r w:rsidRPr="0012664E">
              <w:rPr>
                <w:sz w:val="22"/>
                <w:szCs w:val="22"/>
              </w:rPr>
              <w:t>0.06</w:t>
            </w:r>
            <w:r w:rsidR="00F5743A">
              <w:rPr>
                <w:sz w:val="22"/>
                <w:szCs w:val="22"/>
              </w:rPr>
              <w:t>0</w:t>
            </w:r>
          </w:p>
        </w:tc>
        <w:tc>
          <w:tcPr>
            <w:tcW w:w="1582" w:type="dxa"/>
            <w:vAlign w:val="center"/>
          </w:tcPr>
          <w:p w14:paraId="65DDCD50" w14:textId="527C2EC7" w:rsidR="00CD6F8F" w:rsidRPr="0012664E" w:rsidRDefault="00CD6F8F" w:rsidP="003D1FBF">
            <w:pPr>
              <w:jc w:val="center"/>
              <w:rPr>
                <w:sz w:val="22"/>
                <w:szCs w:val="22"/>
              </w:rPr>
            </w:pPr>
            <w:r w:rsidRPr="0012664E">
              <w:rPr>
                <w:sz w:val="22"/>
                <w:szCs w:val="22"/>
              </w:rPr>
              <w:t>0.012</w:t>
            </w:r>
          </w:p>
        </w:tc>
      </w:tr>
      <w:tr w:rsidR="00CD6F8F" w14:paraId="583CA945" w14:textId="77777777" w:rsidTr="00CD6F8F">
        <w:tc>
          <w:tcPr>
            <w:tcW w:w="2689" w:type="dxa"/>
          </w:tcPr>
          <w:p w14:paraId="536238CF" w14:textId="77777777" w:rsidR="00CD6F8F" w:rsidRPr="0012664E" w:rsidRDefault="00CD6F8F" w:rsidP="003D1FBF">
            <w:pPr>
              <w:rPr>
                <w:sz w:val="22"/>
                <w:szCs w:val="22"/>
              </w:rPr>
            </w:pPr>
          </w:p>
        </w:tc>
        <w:tc>
          <w:tcPr>
            <w:tcW w:w="1581" w:type="dxa"/>
            <w:vAlign w:val="center"/>
          </w:tcPr>
          <w:p w14:paraId="7A2A2F05" w14:textId="5A631D2D" w:rsidR="00CD6F8F" w:rsidRPr="0012664E" w:rsidRDefault="00CD6F8F" w:rsidP="003D1FBF">
            <w:pPr>
              <w:jc w:val="center"/>
              <w:rPr>
                <w:sz w:val="22"/>
                <w:szCs w:val="22"/>
              </w:rPr>
            </w:pPr>
            <w:r w:rsidRPr="0012664E">
              <w:rPr>
                <w:sz w:val="22"/>
                <w:szCs w:val="22"/>
              </w:rPr>
              <w:t>(-0.69)</w:t>
            </w:r>
          </w:p>
        </w:tc>
        <w:tc>
          <w:tcPr>
            <w:tcW w:w="1582" w:type="dxa"/>
            <w:vAlign w:val="center"/>
          </w:tcPr>
          <w:p w14:paraId="3F5ABA25" w14:textId="73B28406" w:rsidR="00CD6F8F" w:rsidRPr="0012664E" w:rsidRDefault="00CD6F8F" w:rsidP="003D1FBF">
            <w:pPr>
              <w:jc w:val="center"/>
              <w:rPr>
                <w:sz w:val="22"/>
                <w:szCs w:val="22"/>
              </w:rPr>
            </w:pPr>
            <w:r w:rsidRPr="0012664E">
              <w:rPr>
                <w:sz w:val="22"/>
                <w:szCs w:val="22"/>
              </w:rPr>
              <w:t>(-0.27)</w:t>
            </w:r>
          </w:p>
        </w:tc>
        <w:tc>
          <w:tcPr>
            <w:tcW w:w="1582" w:type="dxa"/>
            <w:vAlign w:val="center"/>
          </w:tcPr>
          <w:p w14:paraId="16A3E381" w14:textId="79F02BE8" w:rsidR="00CD6F8F" w:rsidRPr="0012664E" w:rsidRDefault="00CD6F8F" w:rsidP="003D1FBF">
            <w:pPr>
              <w:jc w:val="center"/>
              <w:rPr>
                <w:sz w:val="22"/>
                <w:szCs w:val="22"/>
              </w:rPr>
            </w:pPr>
            <w:r w:rsidRPr="0012664E">
              <w:rPr>
                <w:sz w:val="22"/>
                <w:szCs w:val="22"/>
              </w:rPr>
              <w:t>(1.36)</w:t>
            </w:r>
          </w:p>
        </w:tc>
        <w:tc>
          <w:tcPr>
            <w:tcW w:w="1582" w:type="dxa"/>
            <w:vAlign w:val="center"/>
          </w:tcPr>
          <w:p w14:paraId="285B78F9" w14:textId="011B7565" w:rsidR="00CD6F8F" w:rsidRPr="0012664E" w:rsidRDefault="00CD6F8F" w:rsidP="003D1FBF">
            <w:pPr>
              <w:jc w:val="center"/>
              <w:rPr>
                <w:sz w:val="22"/>
                <w:szCs w:val="22"/>
              </w:rPr>
            </w:pPr>
            <w:r w:rsidRPr="0012664E">
              <w:rPr>
                <w:sz w:val="22"/>
                <w:szCs w:val="22"/>
              </w:rPr>
              <w:t>(0.88)</w:t>
            </w:r>
          </w:p>
        </w:tc>
      </w:tr>
      <w:tr w:rsidR="00CD6F8F" w14:paraId="2962F486" w14:textId="77777777" w:rsidTr="00CD6F8F">
        <w:tc>
          <w:tcPr>
            <w:tcW w:w="2689" w:type="dxa"/>
          </w:tcPr>
          <w:p w14:paraId="140BEDF4" w14:textId="36C44A75" w:rsidR="00CD6F8F" w:rsidRPr="0012664E" w:rsidRDefault="00CD6F8F" w:rsidP="003D1FBF">
            <w:pPr>
              <w:rPr>
                <w:sz w:val="22"/>
                <w:szCs w:val="22"/>
              </w:rPr>
            </w:pPr>
            <w:r w:rsidRPr="0012664E">
              <w:rPr>
                <w:sz w:val="22"/>
                <w:szCs w:val="22"/>
              </w:rPr>
              <w:t>Z-score</w:t>
            </w:r>
          </w:p>
        </w:tc>
        <w:tc>
          <w:tcPr>
            <w:tcW w:w="1581" w:type="dxa"/>
            <w:vAlign w:val="center"/>
          </w:tcPr>
          <w:p w14:paraId="28B45F37" w14:textId="27633904" w:rsidR="00CD6F8F" w:rsidRPr="0012664E" w:rsidRDefault="00CD6F8F" w:rsidP="003D1FBF">
            <w:pPr>
              <w:jc w:val="center"/>
              <w:rPr>
                <w:sz w:val="22"/>
                <w:szCs w:val="22"/>
              </w:rPr>
            </w:pPr>
            <w:r w:rsidRPr="0012664E">
              <w:rPr>
                <w:sz w:val="22"/>
                <w:szCs w:val="22"/>
              </w:rPr>
              <w:t>0.001</w:t>
            </w:r>
          </w:p>
        </w:tc>
        <w:tc>
          <w:tcPr>
            <w:tcW w:w="1582" w:type="dxa"/>
            <w:vAlign w:val="center"/>
          </w:tcPr>
          <w:p w14:paraId="2AB595F3" w14:textId="227FD9EF" w:rsidR="00CD6F8F" w:rsidRPr="0012664E" w:rsidRDefault="00CD6F8F" w:rsidP="003D1FBF">
            <w:pPr>
              <w:jc w:val="center"/>
              <w:rPr>
                <w:sz w:val="22"/>
                <w:szCs w:val="22"/>
              </w:rPr>
            </w:pPr>
            <w:r w:rsidRPr="0012664E">
              <w:rPr>
                <w:sz w:val="22"/>
                <w:szCs w:val="22"/>
              </w:rPr>
              <w:t>-0.001***</w:t>
            </w:r>
          </w:p>
        </w:tc>
        <w:tc>
          <w:tcPr>
            <w:tcW w:w="1582" w:type="dxa"/>
            <w:vAlign w:val="center"/>
          </w:tcPr>
          <w:p w14:paraId="1346645F" w14:textId="0DD164E9" w:rsidR="00CD6F8F" w:rsidRPr="0012664E" w:rsidRDefault="00CD6F8F" w:rsidP="003D1FBF">
            <w:pPr>
              <w:jc w:val="center"/>
              <w:rPr>
                <w:sz w:val="22"/>
                <w:szCs w:val="22"/>
              </w:rPr>
            </w:pPr>
            <w:r w:rsidRPr="0012664E">
              <w:rPr>
                <w:sz w:val="22"/>
                <w:szCs w:val="22"/>
              </w:rPr>
              <w:t>-0.002***</w:t>
            </w:r>
          </w:p>
        </w:tc>
        <w:tc>
          <w:tcPr>
            <w:tcW w:w="1582" w:type="dxa"/>
            <w:vAlign w:val="center"/>
          </w:tcPr>
          <w:p w14:paraId="0E8542DE" w14:textId="157342CA" w:rsidR="00CD6F8F" w:rsidRPr="0012664E" w:rsidRDefault="00CD6F8F" w:rsidP="003D1FBF">
            <w:pPr>
              <w:jc w:val="center"/>
              <w:rPr>
                <w:sz w:val="22"/>
                <w:szCs w:val="22"/>
              </w:rPr>
            </w:pPr>
            <w:r w:rsidRPr="0012664E">
              <w:rPr>
                <w:sz w:val="22"/>
                <w:szCs w:val="22"/>
              </w:rPr>
              <w:t>-0.001***</w:t>
            </w:r>
          </w:p>
        </w:tc>
      </w:tr>
      <w:tr w:rsidR="00CD6F8F" w14:paraId="374EE73E" w14:textId="77777777" w:rsidTr="00CD6F8F">
        <w:tc>
          <w:tcPr>
            <w:tcW w:w="2689" w:type="dxa"/>
          </w:tcPr>
          <w:p w14:paraId="38C86D1F" w14:textId="77777777" w:rsidR="00CD6F8F" w:rsidRPr="0012664E" w:rsidRDefault="00CD6F8F" w:rsidP="003D1FBF">
            <w:pPr>
              <w:rPr>
                <w:sz w:val="22"/>
                <w:szCs w:val="22"/>
              </w:rPr>
            </w:pPr>
          </w:p>
        </w:tc>
        <w:tc>
          <w:tcPr>
            <w:tcW w:w="1581" w:type="dxa"/>
            <w:vAlign w:val="center"/>
          </w:tcPr>
          <w:p w14:paraId="7C0F04EA" w14:textId="248F16FC" w:rsidR="00CD6F8F" w:rsidRPr="0012664E" w:rsidRDefault="00CD6F8F" w:rsidP="003D1FBF">
            <w:pPr>
              <w:jc w:val="center"/>
              <w:rPr>
                <w:sz w:val="22"/>
                <w:szCs w:val="22"/>
              </w:rPr>
            </w:pPr>
            <w:r w:rsidRPr="0012664E">
              <w:rPr>
                <w:sz w:val="22"/>
                <w:szCs w:val="22"/>
              </w:rPr>
              <w:t>(1.05)</w:t>
            </w:r>
          </w:p>
        </w:tc>
        <w:tc>
          <w:tcPr>
            <w:tcW w:w="1582" w:type="dxa"/>
            <w:vAlign w:val="center"/>
          </w:tcPr>
          <w:p w14:paraId="673C9039" w14:textId="1DD87420" w:rsidR="00CD6F8F" w:rsidRPr="0012664E" w:rsidRDefault="00CD6F8F" w:rsidP="003D1FBF">
            <w:pPr>
              <w:jc w:val="center"/>
              <w:rPr>
                <w:sz w:val="22"/>
                <w:szCs w:val="22"/>
              </w:rPr>
            </w:pPr>
            <w:r w:rsidRPr="0012664E">
              <w:rPr>
                <w:sz w:val="22"/>
                <w:szCs w:val="22"/>
              </w:rPr>
              <w:t>(-2.73)</w:t>
            </w:r>
          </w:p>
        </w:tc>
        <w:tc>
          <w:tcPr>
            <w:tcW w:w="1582" w:type="dxa"/>
            <w:vAlign w:val="center"/>
          </w:tcPr>
          <w:p w14:paraId="1975C76E" w14:textId="3518FB6A" w:rsidR="00CD6F8F" w:rsidRPr="0012664E" w:rsidRDefault="00CD6F8F" w:rsidP="003D1FBF">
            <w:pPr>
              <w:jc w:val="center"/>
              <w:rPr>
                <w:sz w:val="22"/>
                <w:szCs w:val="22"/>
              </w:rPr>
            </w:pPr>
            <w:r w:rsidRPr="0012664E">
              <w:rPr>
                <w:sz w:val="22"/>
                <w:szCs w:val="22"/>
              </w:rPr>
              <w:t>(-5.14)</w:t>
            </w:r>
          </w:p>
        </w:tc>
        <w:tc>
          <w:tcPr>
            <w:tcW w:w="1582" w:type="dxa"/>
            <w:vAlign w:val="center"/>
          </w:tcPr>
          <w:p w14:paraId="56708FF1" w14:textId="01D6017A" w:rsidR="00CD6F8F" w:rsidRPr="0012664E" w:rsidRDefault="00CD6F8F" w:rsidP="003D1FBF">
            <w:pPr>
              <w:jc w:val="center"/>
              <w:rPr>
                <w:sz w:val="22"/>
                <w:szCs w:val="22"/>
              </w:rPr>
            </w:pPr>
            <w:r w:rsidRPr="0012664E">
              <w:rPr>
                <w:sz w:val="22"/>
                <w:szCs w:val="22"/>
              </w:rPr>
              <w:t>(-7.95)</w:t>
            </w:r>
          </w:p>
        </w:tc>
      </w:tr>
      <w:tr w:rsidR="00CD6F8F" w14:paraId="7A87FAB6" w14:textId="77777777" w:rsidTr="00CD6F8F">
        <w:tc>
          <w:tcPr>
            <w:tcW w:w="2689" w:type="dxa"/>
          </w:tcPr>
          <w:p w14:paraId="13DE5D11" w14:textId="23692BEB" w:rsidR="00CD6F8F" w:rsidRPr="0012664E" w:rsidRDefault="00CD6F8F" w:rsidP="003D1FBF">
            <w:pPr>
              <w:rPr>
                <w:sz w:val="22"/>
                <w:szCs w:val="22"/>
              </w:rPr>
            </w:pPr>
            <w:r w:rsidRPr="0012664E">
              <w:rPr>
                <w:sz w:val="22"/>
                <w:szCs w:val="22"/>
              </w:rPr>
              <w:t>Big 4</w:t>
            </w:r>
          </w:p>
        </w:tc>
        <w:tc>
          <w:tcPr>
            <w:tcW w:w="1581" w:type="dxa"/>
            <w:vAlign w:val="center"/>
          </w:tcPr>
          <w:p w14:paraId="54A51C48" w14:textId="207194CB" w:rsidR="00CD6F8F" w:rsidRPr="0012664E" w:rsidRDefault="00CD6F8F" w:rsidP="003D1FBF">
            <w:pPr>
              <w:jc w:val="center"/>
              <w:rPr>
                <w:sz w:val="22"/>
                <w:szCs w:val="22"/>
              </w:rPr>
            </w:pPr>
            <w:r w:rsidRPr="0012664E">
              <w:rPr>
                <w:sz w:val="22"/>
                <w:szCs w:val="22"/>
              </w:rPr>
              <w:t>-0.049</w:t>
            </w:r>
          </w:p>
        </w:tc>
        <w:tc>
          <w:tcPr>
            <w:tcW w:w="1582" w:type="dxa"/>
            <w:vAlign w:val="center"/>
          </w:tcPr>
          <w:p w14:paraId="5D3ADE74" w14:textId="13EBC259" w:rsidR="00CD6F8F" w:rsidRPr="0012664E" w:rsidRDefault="00CD6F8F" w:rsidP="003D1FBF">
            <w:pPr>
              <w:jc w:val="center"/>
              <w:rPr>
                <w:sz w:val="22"/>
                <w:szCs w:val="22"/>
              </w:rPr>
            </w:pPr>
            <w:r w:rsidRPr="0012664E">
              <w:rPr>
                <w:sz w:val="22"/>
                <w:szCs w:val="22"/>
              </w:rPr>
              <w:t>-0.059</w:t>
            </w:r>
          </w:p>
        </w:tc>
        <w:tc>
          <w:tcPr>
            <w:tcW w:w="1582" w:type="dxa"/>
            <w:vAlign w:val="center"/>
          </w:tcPr>
          <w:p w14:paraId="36750259" w14:textId="1A71D0E6" w:rsidR="00CD6F8F" w:rsidRPr="0012664E" w:rsidRDefault="00CD6F8F" w:rsidP="003D1FBF">
            <w:pPr>
              <w:jc w:val="center"/>
              <w:rPr>
                <w:sz w:val="22"/>
                <w:szCs w:val="22"/>
              </w:rPr>
            </w:pPr>
            <w:r w:rsidRPr="0012664E">
              <w:rPr>
                <w:sz w:val="22"/>
                <w:szCs w:val="22"/>
              </w:rPr>
              <w:t>-0.146</w:t>
            </w:r>
          </w:p>
        </w:tc>
        <w:tc>
          <w:tcPr>
            <w:tcW w:w="1582" w:type="dxa"/>
            <w:vAlign w:val="center"/>
          </w:tcPr>
          <w:p w14:paraId="41E7F3FD" w14:textId="0A0345E1" w:rsidR="00CD6F8F" w:rsidRPr="0012664E" w:rsidRDefault="00CD6F8F" w:rsidP="003D1FBF">
            <w:pPr>
              <w:jc w:val="center"/>
              <w:rPr>
                <w:sz w:val="22"/>
                <w:szCs w:val="22"/>
              </w:rPr>
            </w:pPr>
            <w:r w:rsidRPr="0012664E">
              <w:rPr>
                <w:sz w:val="22"/>
                <w:szCs w:val="22"/>
              </w:rPr>
              <w:t>0.011</w:t>
            </w:r>
          </w:p>
        </w:tc>
      </w:tr>
      <w:tr w:rsidR="00CD6F8F" w14:paraId="258D2735" w14:textId="77777777" w:rsidTr="00CD6F8F">
        <w:tc>
          <w:tcPr>
            <w:tcW w:w="2689" w:type="dxa"/>
          </w:tcPr>
          <w:p w14:paraId="5E3F73F1" w14:textId="77777777" w:rsidR="00CD6F8F" w:rsidRPr="0012664E" w:rsidRDefault="00CD6F8F" w:rsidP="003D1FBF">
            <w:pPr>
              <w:rPr>
                <w:sz w:val="22"/>
                <w:szCs w:val="22"/>
              </w:rPr>
            </w:pPr>
          </w:p>
        </w:tc>
        <w:tc>
          <w:tcPr>
            <w:tcW w:w="1581" w:type="dxa"/>
            <w:vAlign w:val="center"/>
          </w:tcPr>
          <w:p w14:paraId="434FC19D" w14:textId="40660205" w:rsidR="00CD6F8F" w:rsidRPr="0012664E" w:rsidRDefault="00CD6F8F" w:rsidP="003D1FBF">
            <w:pPr>
              <w:jc w:val="center"/>
              <w:rPr>
                <w:sz w:val="22"/>
                <w:szCs w:val="22"/>
              </w:rPr>
            </w:pPr>
            <w:r w:rsidRPr="0012664E">
              <w:rPr>
                <w:sz w:val="22"/>
                <w:szCs w:val="22"/>
              </w:rPr>
              <w:t>(-0.71)</w:t>
            </w:r>
          </w:p>
        </w:tc>
        <w:tc>
          <w:tcPr>
            <w:tcW w:w="1582" w:type="dxa"/>
            <w:vAlign w:val="center"/>
          </w:tcPr>
          <w:p w14:paraId="65C36E70" w14:textId="568B9830" w:rsidR="00CD6F8F" w:rsidRPr="0012664E" w:rsidRDefault="00CD6F8F" w:rsidP="003D1FBF">
            <w:pPr>
              <w:jc w:val="center"/>
              <w:rPr>
                <w:sz w:val="22"/>
                <w:szCs w:val="22"/>
              </w:rPr>
            </w:pPr>
            <w:r w:rsidRPr="0012664E">
              <w:rPr>
                <w:sz w:val="22"/>
                <w:szCs w:val="22"/>
              </w:rPr>
              <w:t>(-1.12)</w:t>
            </w:r>
          </w:p>
        </w:tc>
        <w:tc>
          <w:tcPr>
            <w:tcW w:w="1582" w:type="dxa"/>
            <w:vAlign w:val="center"/>
          </w:tcPr>
          <w:p w14:paraId="1570A6B1" w14:textId="1B67D4A9" w:rsidR="00CD6F8F" w:rsidRPr="0012664E" w:rsidRDefault="00CD6F8F" w:rsidP="003D1FBF">
            <w:pPr>
              <w:jc w:val="center"/>
              <w:rPr>
                <w:sz w:val="22"/>
                <w:szCs w:val="22"/>
              </w:rPr>
            </w:pPr>
            <w:r w:rsidRPr="0012664E">
              <w:rPr>
                <w:sz w:val="22"/>
                <w:szCs w:val="22"/>
              </w:rPr>
              <w:t>(-1.49)</w:t>
            </w:r>
          </w:p>
        </w:tc>
        <w:tc>
          <w:tcPr>
            <w:tcW w:w="1582" w:type="dxa"/>
            <w:vAlign w:val="center"/>
          </w:tcPr>
          <w:p w14:paraId="1DB78C46" w14:textId="3A9C8C70" w:rsidR="00CD6F8F" w:rsidRPr="0012664E" w:rsidRDefault="00CD6F8F" w:rsidP="003D1FBF">
            <w:pPr>
              <w:jc w:val="center"/>
              <w:rPr>
                <w:sz w:val="22"/>
                <w:szCs w:val="22"/>
              </w:rPr>
            </w:pPr>
            <w:r w:rsidRPr="0012664E">
              <w:rPr>
                <w:sz w:val="22"/>
                <w:szCs w:val="22"/>
              </w:rPr>
              <w:t>(0.19)</w:t>
            </w:r>
          </w:p>
        </w:tc>
      </w:tr>
      <w:tr w:rsidR="00CD6F8F" w14:paraId="07CE33EA" w14:textId="77777777" w:rsidTr="00CD6F8F">
        <w:tc>
          <w:tcPr>
            <w:tcW w:w="2689" w:type="dxa"/>
          </w:tcPr>
          <w:p w14:paraId="47114131" w14:textId="14C69FCE" w:rsidR="00CD6F8F" w:rsidRPr="0012664E" w:rsidRDefault="00CD6F8F" w:rsidP="003D1FBF">
            <w:pPr>
              <w:rPr>
                <w:sz w:val="22"/>
                <w:szCs w:val="22"/>
              </w:rPr>
            </w:pPr>
            <w:r w:rsidRPr="0012664E">
              <w:rPr>
                <w:sz w:val="22"/>
                <w:szCs w:val="22"/>
              </w:rPr>
              <w:t>Restructuring</w:t>
            </w:r>
          </w:p>
        </w:tc>
        <w:tc>
          <w:tcPr>
            <w:tcW w:w="1581" w:type="dxa"/>
            <w:vAlign w:val="center"/>
          </w:tcPr>
          <w:p w14:paraId="7BFECC50" w14:textId="24683E3A" w:rsidR="00CD6F8F" w:rsidRPr="0012664E" w:rsidRDefault="00CD6F8F" w:rsidP="003D1FBF">
            <w:pPr>
              <w:jc w:val="center"/>
              <w:rPr>
                <w:sz w:val="22"/>
                <w:szCs w:val="22"/>
              </w:rPr>
            </w:pPr>
            <w:r w:rsidRPr="0012664E">
              <w:rPr>
                <w:sz w:val="22"/>
                <w:szCs w:val="22"/>
              </w:rPr>
              <w:t>0.096</w:t>
            </w:r>
          </w:p>
        </w:tc>
        <w:tc>
          <w:tcPr>
            <w:tcW w:w="1582" w:type="dxa"/>
            <w:vAlign w:val="center"/>
          </w:tcPr>
          <w:p w14:paraId="78F11F42" w14:textId="445A4AB2" w:rsidR="00CD6F8F" w:rsidRPr="0012664E" w:rsidRDefault="00CD6F8F" w:rsidP="003D1FBF">
            <w:pPr>
              <w:jc w:val="center"/>
              <w:rPr>
                <w:sz w:val="22"/>
                <w:szCs w:val="22"/>
              </w:rPr>
            </w:pPr>
            <w:r w:rsidRPr="0012664E">
              <w:rPr>
                <w:sz w:val="22"/>
                <w:szCs w:val="22"/>
              </w:rPr>
              <w:t>0.102</w:t>
            </w:r>
          </w:p>
        </w:tc>
        <w:tc>
          <w:tcPr>
            <w:tcW w:w="1582" w:type="dxa"/>
            <w:vAlign w:val="center"/>
          </w:tcPr>
          <w:p w14:paraId="55490D1A" w14:textId="79560758" w:rsidR="00CD6F8F" w:rsidRPr="0012664E" w:rsidRDefault="00CD6F8F" w:rsidP="003D1FBF">
            <w:pPr>
              <w:jc w:val="center"/>
              <w:rPr>
                <w:sz w:val="22"/>
                <w:szCs w:val="22"/>
              </w:rPr>
            </w:pPr>
            <w:r w:rsidRPr="0012664E">
              <w:rPr>
                <w:sz w:val="22"/>
                <w:szCs w:val="22"/>
              </w:rPr>
              <w:t>-0.064</w:t>
            </w:r>
          </w:p>
        </w:tc>
        <w:tc>
          <w:tcPr>
            <w:tcW w:w="1582" w:type="dxa"/>
            <w:vAlign w:val="center"/>
          </w:tcPr>
          <w:p w14:paraId="6E888E76" w14:textId="22C486A6" w:rsidR="00CD6F8F" w:rsidRPr="0012664E" w:rsidRDefault="00CD6F8F" w:rsidP="003D1FBF">
            <w:pPr>
              <w:jc w:val="center"/>
              <w:rPr>
                <w:sz w:val="22"/>
                <w:szCs w:val="22"/>
              </w:rPr>
            </w:pPr>
            <w:r w:rsidRPr="0012664E">
              <w:rPr>
                <w:sz w:val="22"/>
                <w:szCs w:val="22"/>
              </w:rPr>
              <w:t>-0.035</w:t>
            </w:r>
          </w:p>
        </w:tc>
      </w:tr>
      <w:tr w:rsidR="00CD6F8F" w14:paraId="44E1663C" w14:textId="77777777" w:rsidTr="00CD6F8F">
        <w:tc>
          <w:tcPr>
            <w:tcW w:w="2689" w:type="dxa"/>
          </w:tcPr>
          <w:p w14:paraId="26F37357" w14:textId="77777777" w:rsidR="00CD6F8F" w:rsidRPr="0012664E" w:rsidRDefault="00CD6F8F" w:rsidP="003D1FBF">
            <w:pPr>
              <w:rPr>
                <w:sz w:val="22"/>
                <w:szCs w:val="22"/>
              </w:rPr>
            </w:pPr>
          </w:p>
        </w:tc>
        <w:tc>
          <w:tcPr>
            <w:tcW w:w="1581" w:type="dxa"/>
            <w:vAlign w:val="center"/>
          </w:tcPr>
          <w:p w14:paraId="649C8700" w14:textId="4E280AB1" w:rsidR="00CD6F8F" w:rsidRPr="0012664E" w:rsidRDefault="00CD6F8F" w:rsidP="003D1FBF">
            <w:pPr>
              <w:jc w:val="center"/>
              <w:rPr>
                <w:sz w:val="22"/>
                <w:szCs w:val="22"/>
              </w:rPr>
            </w:pPr>
            <w:r w:rsidRPr="0012664E">
              <w:rPr>
                <w:sz w:val="22"/>
                <w:szCs w:val="22"/>
              </w:rPr>
              <w:t>(0.85)</w:t>
            </w:r>
          </w:p>
        </w:tc>
        <w:tc>
          <w:tcPr>
            <w:tcW w:w="1582" w:type="dxa"/>
            <w:vAlign w:val="center"/>
          </w:tcPr>
          <w:p w14:paraId="63F40641" w14:textId="56F05FA9" w:rsidR="00CD6F8F" w:rsidRPr="0012664E" w:rsidRDefault="00CD6F8F" w:rsidP="003D1FBF">
            <w:pPr>
              <w:jc w:val="center"/>
              <w:rPr>
                <w:sz w:val="22"/>
                <w:szCs w:val="22"/>
              </w:rPr>
            </w:pPr>
            <w:r w:rsidRPr="0012664E">
              <w:rPr>
                <w:sz w:val="22"/>
                <w:szCs w:val="22"/>
              </w:rPr>
              <w:t>(1.48)</w:t>
            </w:r>
          </w:p>
        </w:tc>
        <w:tc>
          <w:tcPr>
            <w:tcW w:w="1582" w:type="dxa"/>
            <w:vAlign w:val="center"/>
          </w:tcPr>
          <w:p w14:paraId="23A0E41A" w14:textId="7464C4C2" w:rsidR="00CD6F8F" w:rsidRPr="0012664E" w:rsidRDefault="00CD6F8F" w:rsidP="003D1FBF">
            <w:pPr>
              <w:jc w:val="center"/>
              <w:rPr>
                <w:sz w:val="22"/>
                <w:szCs w:val="22"/>
              </w:rPr>
            </w:pPr>
            <w:r w:rsidRPr="0012664E">
              <w:rPr>
                <w:sz w:val="22"/>
                <w:szCs w:val="22"/>
              </w:rPr>
              <w:t>(-0.34)</w:t>
            </w:r>
          </w:p>
        </w:tc>
        <w:tc>
          <w:tcPr>
            <w:tcW w:w="1582" w:type="dxa"/>
            <w:vAlign w:val="center"/>
          </w:tcPr>
          <w:p w14:paraId="6E5B6FEA" w14:textId="686E58B5" w:rsidR="00CD6F8F" w:rsidRPr="0012664E" w:rsidRDefault="00CD6F8F" w:rsidP="003D1FBF">
            <w:pPr>
              <w:jc w:val="center"/>
              <w:rPr>
                <w:sz w:val="22"/>
                <w:szCs w:val="22"/>
              </w:rPr>
            </w:pPr>
            <w:r w:rsidRPr="0012664E">
              <w:rPr>
                <w:sz w:val="22"/>
                <w:szCs w:val="22"/>
              </w:rPr>
              <w:t>(-0.47)</w:t>
            </w:r>
          </w:p>
        </w:tc>
      </w:tr>
      <w:tr w:rsidR="00CD6F8F" w14:paraId="7585A585" w14:textId="77777777" w:rsidTr="00CD6F8F">
        <w:tc>
          <w:tcPr>
            <w:tcW w:w="2689" w:type="dxa"/>
          </w:tcPr>
          <w:p w14:paraId="690A156E" w14:textId="22ED559D" w:rsidR="00CD6F8F" w:rsidRPr="0012664E" w:rsidRDefault="00CD6F8F" w:rsidP="003D1FBF">
            <w:pPr>
              <w:rPr>
                <w:sz w:val="22"/>
                <w:szCs w:val="22"/>
              </w:rPr>
            </w:pPr>
            <w:r w:rsidRPr="0012664E">
              <w:rPr>
                <w:sz w:val="22"/>
                <w:szCs w:val="22"/>
              </w:rPr>
              <w:t>M&amp;A</w:t>
            </w:r>
          </w:p>
        </w:tc>
        <w:tc>
          <w:tcPr>
            <w:tcW w:w="1581" w:type="dxa"/>
            <w:vAlign w:val="center"/>
          </w:tcPr>
          <w:p w14:paraId="42E509FB" w14:textId="712EF70C" w:rsidR="00CD6F8F" w:rsidRPr="0012664E" w:rsidRDefault="00CD6F8F" w:rsidP="003D1FBF">
            <w:pPr>
              <w:jc w:val="center"/>
              <w:rPr>
                <w:sz w:val="22"/>
                <w:szCs w:val="22"/>
              </w:rPr>
            </w:pPr>
            <w:r w:rsidRPr="0012664E">
              <w:rPr>
                <w:sz w:val="22"/>
                <w:szCs w:val="22"/>
              </w:rPr>
              <w:t>0.077</w:t>
            </w:r>
          </w:p>
        </w:tc>
        <w:tc>
          <w:tcPr>
            <w:tcW w:w="1582" w:type="dxa"/>
            <w:vAlign w:val="center"/>
          </w:tcPr>
          <w:p w14:paraId="67BCC709" w14:textId="5E92BDCB" w:rsidR="00CD6F8F" w:rsidRPr="0012664E" w:rsidRDefault="00CD6F8F" w:rsidP="003D1FBF">
            <w:pPr>
              <w:jc w:val="center"/>
              <w:rPr>
                <w:sz w:val="22"/>
                <w:szCs w:val="22"/>
              </w:rPr>
            </w:pPr>
            <w:r w:rsidRPr="0012664E">
              <w:rPr>
                <w:sz w:val="22"/>
                <w:szCs w:val="22"/>
              </w:rPr>
              <w:t>0.046</w:t>
            </w:r>
          </w:p>
        </w:tc>
        <w:tc>
          <w:tcPr>
            <w:tcW w:w="1582" w:type="dxa"/>
            <w:vAlign w:val="center"/>
          </w:tcPr>
          <w:p w14:paraId="502C90D7" w14:textId="58DD482D" w:rsidR="00CD6F8F" w:rsidRPr="0012664E" w:rsidRDefault="00CD6F8F" w:rsidP="003D1FBF">
            <w:pPr>
              <w:jc w:val="center"/>
              <w:rPr>
                <w:sz w:val="22"/>
                <w:szCs w:val="22"/>
              </w:rPr>
            </w:pPr>
            <w:r w:rsidRPr="0012664E">
              <w:rPr>
                <w:sz w:val="22"/>
                <w:szCs w:val="22"/>
              </w:rPr>
              <w:t>0.307***</w:t>
            </w:r>
          </w:p>
        </w:tc>
        <w:tc>
          <w:tcPr>
            <w:tcW w:w="1582" w:type="dxa"/>
            <w:vAlign w:val="center"/>
          </w:tcPr>
          <w:p w14:paraId="58BD6983" w14:textId="6C4DFFC1" w:rsidR="00CD6F8F" w:rsidRPr="0012664E" w:rsidRDefault="00CD6F8F" w:rsidP="003D1FBF">
            <w:pPr>
              <w:jc w:val="center"/>
              <w:rPr>
                <w:sz w:val="22"/>
                <w:szCs w:val="22"/>
              </w:rPr>
            </w:pPr>
            <w:r w:rsidRPr="0012664E">
              <w:rPr>
                <w:sz w:val="22"/>
                <w:szCs w:val="22"/>
              </w:rPr>
              <w:t>0.228***</w:t>
            </w:r>
          </w:p>
        </w:tc>
      </w:tr>
      <w:tr w:rsidR="00CD6F8F" w14:paraId="7823CC3A" w14:textId="77777777" w:rsidTr="00CD6F8F">
        <w:tc>
          <w:tcPr>
            <w:tcW w:w="2689" w:type="dxa"/>
          </w:tcPr>
          <w:p w14:paraId="232BE4D7" w14:textId="77777777" w:rsidR="00CD6F8F" w:rsidRPr="0012664E" w:rsidRDefault="00CD6F8F" w:rsidP="003D1FBF">
            <w:pPr>
              <w:rPr>
                <w:sz w:val="22"/>
                <w:szCs w:val="22"/>
              </w:rPr>
            </w:pPr>
          </w:p>
        </w:tc>
        <w:tc>
          <w:tcPr>
            <w:tcW w:w="1581" w:type="dxa"/>
            <w:vAlign w:val="center"/>
          </w:tcPr>
          <w:p w14:paraId="65F6D9F4" w14:textId="31C883E4" w:rsidR="00CD6F8F" w:rsidRPr="0012664E" w:rsidRDefault="00CD6F8F" w:rsidP="003D1FBF">
            <w:pPr>
              <w:jc w:val="center"/>
              <w:rPr>
                <w:sz w:val="22"/>
                <w:szCs w:val="22"/>
              </w:rPr>
            </w:pPr>
            <w:r w:rsidRPr="0012664E">
              <w:rPr>
                <w:sz w:val="22"/>
                <w:szCs w:val="22"/>
              </w:rPr>
              <w:t>(1.39)</w:t>
            </w:r>
          </w:p>
        </w:tc>
        <w:tc>
          <w:tcPr>
            <w:tcW w:w="1582" w:type="dxa"/>
            <w:vAlign w:val="center"/>
          </w:tcPr>
          <w:p w14:paraId="4A145B47" w14:textId="7CE9DD14" w:rsidR="00CD6F8F" w:rsidRPr="0012664E" w:rsidRDefault="00CD6F8F" w:rsidP="003D1FBF">
            <w:pPr>
              <w:jc w:val="center"/>
              <w:rPr>
                <w:sz w:val="22"/>
                <w:szCs w:val="22"/>
              </w:rPr>
            </w:pPr>
            <w:r w:rsidRPr="0012664E">
              <w:rPr>
                <w:sz w:val="22"/>
                <w:szCs w:val="22"/>
              </w:rPr>
              <w:t>(0.7</w:t>
            </w:r>
            <w:r w:rsidR="00F5743A">
              <w:rPr>
                <w:sz w:val="22"/>
                <w:szCs w:val="22"/>
              </w:rPr>
              <w:t>0</w:t>
            </w:r>
            <w:r w:rsidRPr="0012664E">
              <w:rPr>
                <w:sz w:val="22"/>
                <w:szCs w:val="22"/>
              </w:rPr>
              <w:t>)</w:t>
            </w:r>
          </w:p>
        </w:tc>
        <w:tc>
          <w:tcPr>
            <w:tcW w:w="1582" w:type="dxa"/>
            <w:vAlign w:val="center"/>
          </w:tcPr>
          <w:p w14:paraId="09FE9361" w14:textId="3C26D05F" w:rsidR="00CD6F8F" w:rsidRPr="0012664E" w:rsidRDefault="00CD6F8F" w:rsidP="003D1FBF">
            <w:pPr>
              <w:jc w:val="center"/>
              <w:rPr>
                <w:sz w:val="22"/>
                <w:szCs w:val="22"/>
              </w:rPr>
            </w:pPr>
            <w:r w:rsidRPr="0012664E">
              <w:rPr>
                <w:sz w:val="22"/>
                <w:szCs w:val="22"/>
              </w:rPr>
              <w:t>(3.05)</w:t>
            </w:r>
          </w:p>
        </w:tc>
        <w:tc>
          <w:tcPr>
            <w:tcW w:w="1582" w:type="dxa"/>
            <w:vAlign w:val="center"/>
          </w:tcPr>
          <w:p w14:paraId="0668A8E3" w14:textId="07596D74" w:rsidR="00CD6F8F" w:rsidRPr="0012664E" w:rsidRDefault="00CD6F8F" w:rsidP="003D1FBF">
            <w:pPr>
              <w:jc w:val="center"/>
              <w:rPr>
                <w:sz w:val="22"/>
                <w:szCs w:val="22"/>
              </w:rPr>
            </w:pPr>
            <w:r w:rsidRPr="0012664E">
              <w:rPr>
                <w:sz w:val="22"/>
                <w:szCs w:val="22"/>
              </w:rPr>
              <w:t>(3.35)</w:t>
            </w:r>
          </w:p>
        </w:tc>
      </w:tr>
      <w:tr w:rsidR="00CD6F8F" w14:paraId="1E065EDA" w14:textId="77777777" w:rsidTr="00CD6F8F">
        <w:tc>
          <w:tcPr>
            <w:tcW w:w="2689" w:type="dxa"/>
          </w:tcPr>
          <w:p w14:paraId="105EBD04" w14:textId="05FA2F39" w:rsidR="00CD6F8F" w:rsidRPr="0012664E" w:rsidRDefault="00CD6F8F" w:rsidP="003D1FBF">
            <w:pPr>
              <w:rPr>
                <w:sz w:val="22"/>
                <w:szCs w:val="22"/>
              </w:rPr>
            </w:pPr>
            <w:r w:rsidRPr="0012664E">
              <w:rPr>
                <w:sz w:val="22"/>
                <w:szCs w:val="22"/>
              </w:rPr>
              <w:t>Positive earnings</w:t>
            </w:r>
          </w:p>
        </w:tc>
        <w:tc>
          <w:tcPr>
            <w:tcW w:w="1581" w:type="dxa"/>
            <w:vAlign w:val="center"/>
          </w:tcPr>
          <w:p w14:paraId="1D860451" w14:textId="74789778" w:rsidR="00CD6F8F" w:rsidRPr="0012664E" w:rsidRDefault="00CD6F8F" w:rsidP="003D1FBF">
            <w:pPr>
              <w:jc w:val="center"/>
              <w:rPr>
                <w:sz w:val="22"/>
                <w:szCs w:val="22"/>
              </w:rPr>
            </w:pPr>
            <w:r w:rsidRPr="0012664E">
              <w:rPr>
                <w:sz w:val="22"/>
                <w:szCs w:val="22"/>
              </w:rPr>
              <w:t>0.287***</w:t>
            </w:r>
          </w:p>
        </w:tc>
        <w:tc>
          <w:tcPr>
            <w:tcW w:w="1582" w:type="dxa"/>
            <w:vAlign w:val="center"/>
          </w:tcPr>
          <w:p w14:paraId="3960644E" w14:textId="03AA1632" w:rsidR="00CD6F8F" w:rsidRPr="0012664E" w:rsidRDefault="00CD6F8F" w:rsidP="003D1FBF">
            <w:pPr>
              <w:jc w:val="center"/>
              <w:rPr>
                <w:sz w:val="22"/>
                <w:szCs w:val="22"/>
              </w:rPr>
            </w:pPr>
            <w:r w:rsidRPr="0012664E">
              <w:rPr>
                <w:sz w:val="22"/>
                <w:szCs w:val="22"/>
              </w:rPr>
              <w:t>0.136*</w:t>
            </w:r>
          </w:p>
        </w:tc>
        <w:tc>
          <w:tcPr>
            <w:tcW w:w="1582" w:type="dxa"/>
            <w:vAlign w:val="center"/>
          </w:tcPr>
          <w:p w14:paraId="41F4C5C0" w14:textId="2863E3D0" w:rsidR="00CD6F8F" w:rsidRPr="0012664E" w:rsidRDefault="00CD6F8F" w:rsidP="003D1FBF">
            <w:pPr>
              <w:jc w:val="center"/>
              <w:rPr>
                <w:sz w:val="22"/>
                <w:szCs w:val="22"/>
              </w:rPr>
            </w:pPr>
            <w:r w:rsidRPr="0012664E">
              <w:rPr>
                <w:sz w:val="22"/>
                <w:szCs w:val="22"/>
              </w:rPr>
              <w:t>0.26</w:t>
            </w:r>
            <w:r w:rsidR="00F5743A">
              <w:rPr>
                <w:sz w:val="22"/>
                <w:szCs w:val="22"/>
              </w:rPr>
              <w:t>0</w:t>
            </w:r>
            <w:r w:rsidRPr="0012664E">
              <w:rPr>
                <w:sz w:val="22"/>
                <w:szCs w:val="22"/>
              </w:rPr>
              <w:t>**</w:t>
            </w:r>
          </w:p>
        </w:tc>
        <w:tc>
          <w:tcPr>
            <w:tcW w:w="1582" w:type="dxa"/>
            <w:vAlign w:val="center"/>
          </w:tcPr>
          <w:p w14:paraId="6653202D" w14:textId="32C771C2" w:rsidR="00CD6F8F" w:rsidRPr="0012664E" w:rsidRDefault="00CD6F8F" w:rsidP="003D1FBF">
            <w:pPr>
              <w:jc w:val="center"/>
              <w:rPr>
                <w:sz w:val="22"/>
                <w:szCs w:val="22"/>
              </w:rPr>
            </w:pPr>
            <w:r w:rsidRPr="0012664E">
              <w:rPr>
                <w:sz w:val="22"/>
                <w:szCs w:val="22"/>
              </w:rPr>
              <w:t>0.07</w:t>
            </w:r>
            <w:r w:rsidR="00F5743A">
              <w:rPr>
                <w:sz w:val="22"/>
                <w:szCs w:val="22"/>
              </w:rPr>
              <w:t>0</w:t>
            </w:r>
          </w:p>
        </w:tc>
      </w:tr>
      <w:tr w:rsidR="00CD6F8F" w14:paraId="293841C8" w14:textId="77777777" w:rsidTr="00CD6F8F">
        <w:tc>
          <w:tcPr>
            <w:tcW w:w="2689" w:type="dxa"/>
          </w:tcPr>
          <w:p w14:paraId="7751F845" w14:textId="77777777" w:rsidR="00CD6F8F" w:rsidRPr="0012664E" w:rsidRDefault="00CD6F8F" w:rsidP="003D1FBF">
            <w:pPr>
              <w:rPr>
                <w:sz w:val="22"/>
                <w:szCs w:val="22"/>
              </w:rPr>
            </w:pPr>
          </w:p>
        </w:tc>
        <w:tc>
          <w:tcPr>
            <w:tcW w:w="1581" w:type="dxa"/>
            <w:vAlign w:val="center"/>
          </w:tcPr>
          <w:p w14:paraId="1EAE75DD" w14:textId="5157C809" w:rsidR="00CD6F8F" w:rsidRPr="0012664E" w:rsidRDefault="00CD6F8F" w:rsidP="003D1FBF">
            <w:pPr>
              <w:jc w:val="center"/>
              <w:rPr>
                <w:sz w:val="22"/>
                <w:szCs w:val="22"/>
              </w:rPr>
            </w:pPr>
            <w:r w:rsidRPr="0012664E">
              <w:rPr>
                <w:sz w:val="22"/>
                <w:szCs w:val="22"/>
              </w:rPr>
              <w:t>(2.76)</w:t>
            </w:r>
          </w:p>
        </w:tc>
        <w:tc>
          <w:tcPr>
            <w:tcW w:w="1582" w:type="dxa"/>
            <w:vAlign w:val="center"/>
          </w:tcPr>
          <w:p w14:paraId="25EC706F" w14:textId="2F224179" w:rsidR="00CD6F8F" w:rsidRPr="0012664E" w:rsidRDefault="00CD6F8F" w:rsidP="003D1FBF">
            <w:pPr>
              <w:jc w:val="center"/>
              <w:rPr>
                <w:sz w:val="22"/>
                <w:szCs w:val="22"/>
              </w:rPr>
            </w:pPr>
            <w:r w:rsidRPr="0012664E">
              <w:rPr>
                <w:sz w:val="22"/>
                <w:szCs w:val="22"/>
              </w:rPr>
              <w:t>(1.71)</w:t>
            </w:r>
          </w:p>
        </w:tc>
        <w:tc>
          <w:tcPr>
            <w:tcW w:w="1582" w:type="dxa"/>
            <w:vAlign w:val="center"/>
          </w:tcPr>
          <w:p w14:paraId="7AA2214C" w14:textId="0B5E3AF3" w:rsidR="00CD6F8F" w:rsidRPr="0012664E" w:rsidRDefault="00CD6F8F" w:rsidP="003D1FBF">
            <w:pPr>
              <w:jc w:val="center"/>
              <w:rPr>
                <w:sz w:val="22"/>
                <w:szCs w:val="22"/>
              </w:rPr>
            </w:pPr>
            <w:r w:rsidRPr="0012664E">
              <w:rPr>
                <w:sz w:val="22"/>
                <w:szCs w:val="22"/>
              </w:rPr>
              <w:t>(2.49)</w:t>
            </w:r>
          </w:p>
        </w:tc>
        <w:tc>
          <w:tcPr>
            <w:tcW w:w="1582" w:type="dxa"/>
            <w:vAlign w:val="center"/>
          </w:tcPr>
          <w:p w14:paraId="38E44BAF" w14:textId="0813C9C4" w:rsidR="00CD6F8F" w:rsidRPr="0012664E" w:rsidRDefault="00CD6F8F" w:rsidP="003D1FBF">
            <w:pPr>
              <w:jc w:val="center"/>
              <w:rPr>
                <w:sz w:val="22"/>
                <w:szCs w:val="22"/>
              </w:rPr>
            </w:pPr>
            <w:r w:rsidRPr="0012664E">
              <w:rPr>
                <w:sz w:val="22"/>
                <w:szCs w:val="22"/>
              </w:rPr>
              <w:t>(1.39)</w:t>
            </w:r>
          </w:p>
        </w:tc>
      </w:tr>
      <w:tr w:rsidR="00CD6F8F" w14:paraId="3782DC09" w14:textId="77777777" w:rsidTr="00CD6F8F">
        <w:tc>
          <w:tcPr>
            <w:tcW w:w="2689" w:type="dxa"/>
          </w:tcPr>
          <w:p w14:paraId="05A8E284" w14:textId="69F2403F" w:rsidR="00CD6F8F" w:rsidRPr="0012664E" w:rsidRDefault="00CD6F8F" w:rsidP="003D1FBF">
            <w:pPr>
              <w:rPr>
                <w:sz w:val="22"/>
                <w:szCs w:val="22"/>
              </w:rPr>
            </w:pPr>
            <w:proofErr w:type="spellStart"/>
            <w:r w:rsidRPr="0012664E">
              <w:rPr>
                <w:sz w:val="22"/>
                <w:szCs w:val="22"/>
              </w:rPr>
              <w:t>CEOchairperson</w:t>
            </w:r>
            <w:proofErr w:type="spellEnd"/>
          </w:p>
        </w:tc>
        <w:tc>
          <w:tcPr>
            <w:tcW w:w="1581" w:type="dxa"/>
            <w:vAlign w:val="center"/>
          </w:tcPr>
          <w:p w14:paraId="3B06888B" w14:textId="2FA1DB69" w:rsidR="00CD6F8F" w:rsidRPr="0012664E" w:rsidRDefault="00CD6F8F" w:rsidP="003D1FBF">
            <w:pPr>
              <w:jc w:val="center"/>
              <w:rPr>
                <w:sz w:val="22"/>
                <w:szCs w:val="22"/>
              </w:rPr>
            </w:pPr>
            <w:r w:rsidRPr="0012664E">
              <w:rPr>
                <w:sz w:val="22"/>
                <w:szCs w:val="22"/>
              </w:rPr>
              <w:t>-0.037</w:t>
            </w:r>
          </w:p>
        </w:tc>
        <w:tc>
          <w:tcPr>
            <w:tcW w:w="1582" w:type="dxa"/>
            <w:vAlign w:val="center"/>
          </w:tcPr>
          <w:p w14:paraId="04B104E1" w14:textId="50369978" w:rsidR="00CD6F8F" w:rsidRPr="0012664E" w:rsidRDefault="00CD6F8F" w:rsidP="003D1FBF">
            <w:pPr>
              <w:jc w:val="center"/>
              <w:rPr>
                <w:sz w:val="22"/>
                <w:szCs w:val="22"/>
              </w:rPr>
            </w:pPr>
            <w:r w:rsidRPr="0012664E">
              <w:rPr>
                <w:sz w:val="22"/>
                <w:szCs w:val="22"/>
              </w:rPr>
              <w:t>0.048</w:t>
            </w:r>
          </w:p>
        </w:tc>
        <w:tc>
          <w:tcPr>
            <w:tcW w:w="1582" w:type="dxa"/>
            <w:vAlign w:val="center"/>
          </w:tcPr>
          <w:p w14:paraId="1614F10D" w14:textId="39082856" w:rsidR="00CD6F8F" w:rsidRPr="0012664E" w:rsidRDefault="00CD6F8F" w:rsidP="003D1FBF">
            <w:pPr>
              <w:jc w:val="center"/>
              <w:rPr>
                <w:sz w:val="22"/>
                <w:szCs w:val="22"/>
              </w:rPr>
            </w:pPr>
            <w:r w:rsidRPr="0012664E">
              <w:rPr>
                <w:sz w:val="22"/>
                <w:szCs w:val="22"/>
              </w:rPr>
              <w:t>0.067</w:t>
            </w:r>
          </w:p>
        </w:tc>
        <w:tc>
          <w:tcPr>
            <w:tcW w:w="1582" w:type="dxa"/>
            <w:vAlign w:val="center"/>
          </w:tcPr>
          <w:p w14:paraId="3C7033E0" w14:textId="7A301E6B" w:rsidR="00CD6F8F" w:rsidRPr="0012664E" w:rsidRDefault="00CD6F8F" w:rsidP="003D1FBF">
            <w:pPr>
              <w:jc w:val="center"/>
              <w:rPr>
                <w:sz w:val="22"/>
                <w:szCs w:val="22"/>
              </w:rPr>
            </w:pPr>
            <w:r w:rsidRPr="0012664E">
              <w:rPr>
                <w:sz w:val="22"/>
                <w:szCs w:val="22"/>
              </w:rPr>
              <w:t>0.024</w:t>
            </w:r>
          </w:p>
        </w:tc>
      </w:tr>
      <w:tr w:rsidR="00CD6F8F" w14:paraId="51BB8E73" w14:textId="77777777" w:rsidTr="00CD6F8F">
        <w:tc>
          <w:tcPr>
            <w:tcW w:w="2689" w:type="dxa"/>
          </w:tcPr>
          <w:p w14:paraId="56FE31E6" w14:textId="77777777" w:rsidR="00CD6F8F" w:rsidRPr="0012664E" w:rsidRDefault="00CD6F8F" w:rsidP="003D1FBF">
            <w:pPr>
              <w:rPr>
                <w:sz w:val="22"/>
                <w:szCs w:val="22"/>
              </w:rPr>
            </w:pPr>
          </w:p>
        </w:tc>
        <w:tc>
          <w:tcPr>
            <w:tcW w:w="1581" w:type="dxa"/>
            <w:vAlign w:val="center"/>
          </w:tcPr>
          <w:p w14:paraId="70CD2AAE" w14:textId="6F6B1253" w:rsidR="00CD6F8F" w:rsidRPr="0012664E" w:rsidRDefault="00CD6F8F" w:rsidP="003D1FBF">
            <w:pPr>
              <w:jc w:val="center"/>
              <w:rPr>
                <w:sz w:val="22"/>
                <w:szCs w:val="22"/>
              </w:rPr>
            </w:pPr>
            <w:r w:rsidRPr="0012664E">
              <w:rPr>
                <w:sz w:val="22"/>
                <w:szCs w:val="22"/>
              </w:rPr>
              <w:t>(-0.48)</w:t>
            </w:r>
          </w:p>
        </w:tc>
        <w:tc>
          <w:tcPr>
            <w:tcW w:w="1582" w:type="dxa"/>
            <w:vAlign w:val="center"/>
          </w:tcPr>
          <w:p w14:paraId="09EB4528" w14:textId="59AA7A9E" w:rsidR="00CD6F8F" w:rsidRPr="0012664E" w:rsidRDefault="00CD6F8F" w:rsidP="003D1FBF">
            <w:pPr>
              <w:jc w:val="center"/>
              <w:rPr>
                <w:sz w:val="22"/>
                <w:szCs w:val="22"/>
              </w:rPr>
            </w:pPr>
            <w:r w:rsidRPr="0012664E">
              <w:rPr>
                <w:sz w:val="22"/>
                <w:szCs w:val="22"/>
              </w:rPr>
              <w:t>(0.94)</w:t>
            </w:r>
          </w:p>
        </w:tc>
        <w:tc>
          <w:tcPr>
            <w:tcW w:w="1582" w:type="dxa"/>
            <w:vAlign w:val="center"/>
          </w:tcPr>
          <w:p w14:paraId="21C8D165" w14:textId="09003D98" w:rsidR="00CD6F8F" w:rsidRPr="0012664E" w:rsidRDefault="00CD6F8F" w:rsidP="003D1FBF">
            <w:pPr>
              <w:jc w:val="center"/>
              <w:rPr>
                <w:sz w:val="22"/>
                <w:szCs w:val="22"/>
              </w:rPr>
            </w:pPr>
            <w:r w:rsidRPr="0012664E">
              <w:rPr>
                <w:sz w:val="22"/>
                <w:szCs w:val="22"/>
              </w:rPr>
              <w:t>(0.97)</w:t>
            </w:r>
          </w:p>
        </w:tc>
        <w:tc>
          <w:tcPr>
            <w:tcW w:w="1582" w:type="dxa"/>
            <w:vAlign w:val="center"/>
          </w:tcPr>
          <w:p w14:paraId="3015DC92" w14:textId="099D91AA" w:rsidR="00CD6F8F" w:rsidRPr="0012664E" w:rsidRDefault="00CD6F8F" w:rsidP="003D1FBF">
            <w:pPr>
              <w:jc w:val="center"/>
              <w:rPr>
                <w:sz w:val="22"/>
                <w:szCs w:val="22"/>
              </w:rPr>
            </w:pPr>
            <w:r w:rsidRPr="0012664E">
              <w:rPr>
                <w:sz w:val="22"/>
                <w:szCs w:val="22"/>
              </w:rPr>
              <w:t>(0.5</w:t>
            </w:r>
            <w:r w:rsidR="00F5743A">
              <w:rPr>
                <w:sz w:val="22"/>
                <w:szCs w:val="22"/>
              </w:rPr>
              <w:t>0</w:t>
            </w:r>
            <w:r w:rsidRPr="0012664E">
              <w:rPr>
                <w:sz w:val="22"/>
                <w:szCs w:val="22"/>
              </w:rPr>
              <w:t>)</w:t>
            </w:r>
          </w:p>
        </w:tc>
      </w:tr>
      <w:tr w:rsidR="00CD6F8F" w14:paraId="69EE4798" w14:textId="77777777" w:rsidTr="00CD6F8F">
        <w:tc>
          <w:tcPr>
            <w:tcW w:w="2689" w:type="dxa"/>
          </w:tcPr>
          <w:p w14:paraId="613851BC" w14:textId="0D97A6FA" w:rsidR="00CD6F8F" w:rsidRPr="0012664E" w:rsidRDefault="00CD6F8F" w:rsidP="003D1FBF">
            <w:pPr>
              <w:rPr>
                <w:sz w:val="22"/>
                <w:szCs w:val="22"/>
              </w:rPr>
            </w:pPr>
            <w:r w:rsidRPr="0012664E">
              <w:rPr>
                <w:sz w:val="22"/>
                <w:szCs w:val="22"/>
              </w:rPr>
              <w:t>Draft</w:t>
            </w:r>
          </w:p>
        </w:tc>
        <w:tc>
          <w:tcPr>
            <w:tcW w:w="1581" w:type="dxa"/>
            <w:vAlign w:val="center"/>
          </w:tcPr>
          <w:p w14:paraId="48A481D2" w14:textId="79AAE96B" w:rsidR="00CD6F8F" w:rsidRPr="0012664E" w:rsidRDefault="00CD6F8F" w:rsidP="003D1FBF">
            <w:pPr>
              <w:jc w:val="center"/>
              <w:rPr>
                <w:sz w:val="22"/>
                <w:szCs w:val="22"/>
              </w:rPr>
            </w:pPr>
            <w:r w:rsidRPr="0012664E">
              <w:rPr>
                <w:sz w:val="22"/>
                <w:szCs w:val="22"/>
              </w:rPr>
              <w:t>-0.702***</w:t>
            </w:r>
          </w:p>
        </w:tc>
        <w:tc>
          <w:tcPr>
            <w:tcW w:w="1582" w:type="dxa"/>
            <w:vAlign w:val="center"/>
          </w:tcPr>
          <w:p w14:paraId="6A153E09" w14:textId="7C2EDA0F" w:rsidR="00CD6F8F" w:rsidRPr="0012664E" w:rsidRDefault="00CD6F8F" w:rsidP="003D1FBF">
            <w:pPr>
              <w:jc w:val="center"/>
              <w:rPr>
                <w:sz w:val="22"/>
                <w:szCs w:val="22"/>
              </w:rPr>
            </w:pPr>
            <w:r w:rsidRPr="0012664E">
              <w:rPr>
                <w:sz w:val="22"/>
                <w:szCs w:val="22"/>
              </w:rPr>
              <w:t>-0.788***</w:t>
            </w:r>
          </w:p>
        </w:tc>
        <w:tc>
          <w:tcPr>
            <w:tcW w:w="1582" w:type="dxa"/>
            <w:vAlign w:val="center"/>
          </w:tcPr>
          <w:p w14:paraId="4BF9DCED" w14:textId="6947953B" w:rsidR="00CD6F8F" w:rsidRPr="0012664E" w:rsidRDefault="00CD6F8F" w:rsidP="003D1FBF">
            <w:pPr>
              <w:jc w:val="center"/>
              <w:rPr>
                <w:sz w:val="22"/>
                <w:szCs w:val="22"/>
              </w:rPr>
            </w:pPr>
            <w:r w:rsidRPr="0012664E">
              <w:rPr>
                <w:sz w:val="22"/>
                <w:szCs w:val="22"/>
              </w:rPr>
              <w:t>-2.023***</w:t>
            </w:r>
          </w:p>
        </w:tc>
        <w:tc>
          <w:tcPr>
            <w:tcW w:w="1582" w:type="dxa"/>
            <w:vAlign w:val="center"/>
          </w:tcPr>
          <w:p w14:paraId="4B9D3B07" w14:textId="1CA5D4A7" w:rsidR="00CD6F8F" w:rsidRPr="0012664E" w:rsidRDefault="00CD6F8F" w:rsidP="003D1FBF">
            <w:pPr>
              <w:jc w:val="center"/>
              <w:rPr>
                <w:sz w:val="22"/>
                <w:szCs w:val="22"/>
              </w:rPr>
            </w:pPr>
            <w:r w:rsidRPr="0012664E">
              <w:rPr>
                <w:sz w:val="22"/>
                <w:szCs w:val="22"/>
              </w:rPr>
              <w:t>-0.911***</w:t>
            </w:r>
          </w:p>
        </w:tc>
      </w:tr>
      <w:tr w:rsidR="00CD6F8F" w14:paraId="5D30A3CE" w14:textId="77777777" w:rsidTr="00CD6F8F">
        <w:tc>
          <w:tcPr>
            <w:tcW w:w="2689" w:type="dxa"/>
          </w:tcPr>
          <w:p w14:paraId="29C5329A" w14:textId="77777777" w:rsidR="00CD6F8F" w:rsidRPr="0012664E" w:rsidRDefault="00CD6F8F" w:rsidP="003D1FBF">
            <w:pPr>
              <w:rPr>
                <w:sz w:val="22"/>
                <w:szCs w:val="22"/>
              </w:rPr>
            </w:pPr>
          </w:p>
        </w:tc>
        <w:tc>
          <w:tcPr>
            <w:tcW w:w="1581" w:type="dxa"/>
            <w:vAlign w:val="center"/>
          </w:tcPr>
          <w:p w14:paraId="0D32F9F7" w14:textId="2CC9A409" w:rsidR="00CD6F8F" w:rsidRPr="0012664E" w:rsidRDefault="00CD6F8F" w:rsidP="003D1FBF">
            <w:pPr>
              <w:jc w:val="center"/>
              <w:rPr>
                <w:sz w:val="22"/>
                <w:szCs w:val="22"/>
              </w:rPr>
            </w:pPr>
            <w:r w:rsidRPr="0012664E">
              <w:rPr>
                <w:sz w:val="22"/>
                <w:szCs w:val="22"/>
              </w:rPr>
              <w:t>(-14.11)</w:t>
            </w:r>
          </w:p>
        </w:tc>
        <w:tc>
          <w:tcPr>
            <w:tcW w:w="1582" w:type="dxa"/>
            <w:vAlign w:val="center"/>
          </w:tcPr>
          <w:p w14:paraId="77AC3F29" w14:textId="2C706969" w:rsidR="00CD6F8F" w:rsidRPr="0012664E" w:rsidRDefault="00CD6F8F" w:rsidP="003D1FBF">
            <w:pPr>
              <w:jc w:val="center"/>
              <w:rPr>
                <w:sz w:val="22"/>
                <w:szCs w:val="22"/>
              </w:rPr>
            </w:pPr>
            <w:r w:rsidRPr="0012664E">
              <w:rPr>
                <w:sz w:val="22"/>
                <w:szCs w:val="22"/>
              </w:rPr>
              <w:t>(-7.46)</w:t>
            </w:r>
          </w:p>
        </w:tc>
        <w:tc>
          <w:tcPr>
            <w:tcW w:w="1582" w:type="dxa"/>
            <w:vAlign w:val="center"/>
          </w:tcPr>
          <w:p w14:paraId="25FFFE35" w14:textId="7A34EE4B" w:rsidR="00CD6F8F" w:rsidRPr="0012664E" w:rsidRDefault="00CD6F8F" w:rsidP="003D1FBF">
            <w:pPr>
              <w:jc w:val="center"/>
              <w:rPr>
                <w:sz w:val="22"/>
                <w:szCs w:val="22"/>
              </w:rPr>
            </w:pPr>
            <w:r w:rsidRPr="0012664E">
              <w:rPr>
                <w:sz w:val="22"/>
                <w:szCs w:val="22"/>
              </w:rPr>
              <w:t>(-14.94)</w:t>
            </w:r>
          </w:p>
        </w:tc>
        <w:tc>
          <w:tcPr>
            <w:tcW w:w="1582" w:type="dxa"/>
            <w:vAlign w:val="center"/>
          </w:tcPr>
          <w:p w14:paraId="68C809E6" w14:textId="20DBD440" w:rsidR="00CD6F8F" w:rsidRPr="0012664E" w:rsidRDefault="00CD6F8F" w:rsidP="003D1FBF">
            <w:pPr>
              <w:jc w:val="center"/>
              <w:rPr>
                <w:sz w:val="22"/>
                <w:szCs w:val="22"/>
              </w:rPr>
            </w:pPr>
            <w:r w:rsidRPr="0012664E">
              <w:rPr>
                <w:sz w:val="22"/>
                <w:szCs w:val="22"/>
              </w:rPr>
              <w:t>(-9.26)</w:t>
            </w:r>
          </w:p>
        </w:tc>
      </w:tr>
      <w:tr w:rsidR="00CD6F8F" w14:paraId="4BB6AAF1" w14:textId="77777777" w:rsidTr="00CD6F8F">
        <w:tc>
          <w:tcPr>
            <w:tcW w:w="2689" w:type="dxa"/>
          </w:tcPr>
          <w:p w14:paraId="6DBF23C1" w14:textId="0DED827D" w:rsidR="00CD6F8F" w:rsidRPr="0012664E" w:rsidRDefault="00CD6F8F" w:rsidP="003D1FBF">
            <w:pPr>
              <w:rPr>
                <w:sz w:val="22"/>
                <w:szCs w:val="22"/>
              </w:rPr>
            </w:pPr>
            <w:r w:rsidRPr="0012664E">
              <w:rPr>
                <w:sz w:val="22"/>
                <w:szCs w:val="22"/>
              </w:rPr>
              <w:t>S1 size</w:t>
            </w:r>
          </w:p>
        </w:tc>
        <w:tc>
          <w:tcPr>
            <w:tcW w:w="1581" w:type="dxa"/>
            <w:vAlign w:val="center"/>
          </w:tcPr>
          <w:p w14:paraId="58CB97ED" w14:textId="4EA6B1FA" w:rsidR="00CD6F8F" w:rsidRPr="0012664E" w:rsidRDefault="00CD6F8F" w:rsidP="003D1FBF">
            <w:pPr>
              <w:jc w:val="center"/>
              <w:rPr>
                <w:sz w:val="22"/>
                <w:szCs w:val="22"/>
              </w:rPr>
            </w:pPr>
            <w:r w:rsidRPr="0012664E">
              <w:rPr>
                <w:sz w:val="22"/>
                <w:szCs w:val="22"/>
              </w:rPr>
              <w:t>-0.001**</w:t>
            </w:r>
          </w:p>
        </w:tc>
        <w:tc>
          <w:tcPr>
            <w:tcW w:w="1582" w:type="dxa"/>
            <w:vAlign w:val="center"/>
          </w:tcPr>
          <w:p w14:paraId="15903FD5" w14:textId="6F88B3A3" w:rsidR="00CD6F8F" w:rsidRPr="0012664E" w:rsidRDefault="00CD6F8F" w:rsidP="003D1FBF">
            <w:pPr>
              <w:jc w:val="center"/>
              <w:rPr>
                <w:sz w:val="22"/>
                <w:szCs w:val="22"/>
              </w:rPr>
            </w:pPr>
            <w:r w:rsidRPr="0012664E">
              <w:rPr>
                <w:sz w:val="22"/>
                <w:szCs w:val="22"/>
              </w:rPr>
              <w:t>-0.001</w:t>
            </w:r>
          </w:p>
        </w:tc>
        <w:tc>
          <w:tcPr>
            <w:tcW w:w="1582" w:type="dxa"/>
            <w:vAlign w:val="center"/>
          </w:tcPr>
          <w:p w14:paraId="59ED94F6" w14:textId="5BA6A8BB" w:rsidR="00CD6F8F" w:rsidRPr="0012664E" w:rsidRDefault="00CD6F8F" w:rsidP="003D1FBF">
            <w:pPr>
              <w:jc w:val="center"/>
              <w:rPr>
                <w:sz w:val="22"/>
                <w:szCs w:val="22"/>
              </w:rPr>
            </w:pPr>
            <w:r w:rsidRPr="0012664E">
              <w:rPr>
                <w:sz w:val="22"/>
                <w:szCs w:val="22"/>
              </w:rPr>
              <w:t>-0.001</w:t>
            </w:r>
          </w:p>
        </w:tc>
        <w:tc>
          <w:tcPr>
            <w:tcW w:w="1582" w:type="dxa"/>
            <w:vAlign w:val="center"/>
          </w:tcPr>
          <w:p w14:paraId="0A787F42" w14:textId="2C6A5CF7" w:rsidR="00CD6F8F" w:rsidRPr="0012664E" w:rsidRDefault="00CD6F8F" w:rsidP="003D1FBF">
            <w:pPr>
              <w:jc w:val="center"/>
              <w:rPr>
                <w:sz w:val="22"/>
                <w:szCs w:val="22"/>
              </w:rPr>
            </w:pPr>
            <w:r w:rsidRPr="0012664E">
              <w:rPr>
                <w:sz w:val="22"/>
                <w:szCs w:val="22"/>
              </w:rPr>
              <w:t>-0.001</w:t>
            </w:r>
          </w:p>
        </w:tc>
      </w:tr>
      <w:tr w:rsidR="00CD6F8F" w14:paraId="4D74E7B9" w14:textId="77777777" w:rsidTr="00CD6F8F">
        <w:tc>
          <w:tcPr>
            <w:tcW w:w="2689" w:type="dxa"/>
          </w:tcPr>
          <w:p w14:paraId="50A61D9A" w14:textId="77777777" w:rsidR="00CD6F8F" w:rsidRPr="0012664E" w:rsidRDefault="00CD6F8F" w:rsidP="003D1FBF">
            <w:pPr>
              <w:rPr>
                <w:sz w:val="22"/>
                <w:szCs w:val="22"/>
              </w:rPr>
            </w:pPr>
          </w:p>
        </w:tc>
        <w:tc>
          <w:tcPr>
            <w:tcW w:w="1581" w:type="dxa"/>
            <w:vAlign w:val="center"/>
          </w:tcPr>
          <w:p w14:paraId="0FCA88D8" w14:textId="6C06B350" w:rsidR="00CD6F8F" w:rsidRPr="0012664E" w:rsidRDefault="00CD6F8F" w:rsidP="003D1FBF">
            <w:pPr>
              <w:jc w:val="center"/>
              <w:rPr>
                <w:sz w:val="22"/>
                <w:szCs w:val="22"/>
              </w:rPr>
            </w:pPr>
            <w:r w:rsidRPr="0012664E">
              <w:rPr>
                <w:sz w:val="22"/>
                <w:szCs w:val="22"/>
              </w:rPr>
              <w:t>(-1.99)</w:t>
            </w:r>
          </w:p>
        </w:tc>
        <w:tc>
          <w:tcPr>
            <w:tcW w:w="1582" w:type="dxa"/>
            <w:vAlign w:val="center"/>
          </w:tcPr>
          <w:p w14:paraId="67F08F86" w14:textId="6A6073E4" w:rsidR="00CD6F8F" w:rsidRPr="0012664E" w:rsidRDefault="00CD6F8F" w:rsidP="003D1FBF">
            <w:pPr>
              <w:jc w:val="center"/>
              <w:rPr>
                <w:sz w:val="22"/>
                <w:szCs w:val="22"/>
              </w:rPr>
            </w:pPr>
            <w:r w:rsidRPr="0012664E">
              <w:rPr>
                <w:sz w:val="22"/>
                <w:szCs w:val="22"/>
              </w:rPr>
              <w:t>(-1.03)</w:t>
            </w:r>
          </w:p>
        </w:tc>
        <w:tc>
          <w:tcPr>
            <w:tcW w:w="1582" w:type="dxa"/>
            <w:vAlign w:val="center"/>
          </w:tcPr>
          <w:p w14:paraId="12BEE558" w14:textId="23A406F2" w:rsidR="00CD6F8F" w:rsidRPr="0012664E" w:rsidRDefault="00CD6F8F" w:rsidP="003D1FBF">
            <w:pPr>
              <w:jc w:val="center"/>
              <w:rPr>
                <w:sz w:val="22"/>
                <w:szCs w:val="22"/>
              </w:rPr>
            </w:pPr>
            <w:r w:rsidRPr="0012664E">
              <w:rPr>
                <w:sz w:val="22"/>
                <w:szCs w:val="22"/>
              </w:rPr>
              <w:t>(-0.35)</w:t>
            </w:r>
          </w:p>
        </w:tc>
        <w:tc>
          <w:tcPr>
            <w:tcW w:w="1582" w:type="dxa"/>
            <w:vAlign w:val="center"/>
          </w:tcPr>
          <w:p w14:paraId="40711665" w14:textId="077D2EAD" w:rsidR="00CD6F8F" w:rsidRPr="0012664E" w:rsidRDefault="00CD6F8F" w:rsidP="003D1FBF">
            <w:pPr>
              <w:jc w:val="center"/>
              <w:rPr>
                <w:sz w:val="22"/>
                <w:szCs w:val="22"/>
              </w:rPr>
            </w:pPr>
            <w:r w:rsidRPr="0012664E">
              <w:rPr>
                <w:sz w:val="22"/>
                <w:szCs w:val="22"/>
              </w:rPr>
              <w:t>(-0.27)</w:t>
            </w:r>
          </w:p>
        </w:tc>
      </w:tr>
      <w:tr w:rsidR="00CD6F8F" w14:paraId="30B4D34C" w14:textId="77777777" w:rsidTr="00CD6F8F">
        <w:tc>
          <w:tcPr>
            <w:tcW w:w="2689" w:type="dxa"/>
          </w:tcPr>
          <w:p w14:paraId="116402A7" w14:textId="6BB3BBB1" w:rsidR="00CD6F8F" w:rsidRPr="0012664E" w:rsidRDefault="00CD6F8F" w:rsidP="003D1FBF">
            <w:pPr>
              <w:rPr>
                <w:sz w:val="22"/>
                <w:szCs w:val="22"/>
              </w:rPr>
            </w:pPr>
            <w:proofErr w:type="spellStart"/>
            <w:proofErr w:type="gramStart"/>
            <w:r w:rsidRPr="0012664E">
              <w:rPr>
                <w:sz w:val="22"/>
                <w:szCs w:val="22"/>
              </w:rPr>
              <w:t>No.IPOs</w:t>
            </w:r>
            <w:proofErr w:type="spellEnd"/>
            <w:proofErr w:type="gramEnd"/>
            <w:r w:rsidRPr="0012664E">
              <w:rPr>
                <w:sz w:val="22"/>
                <w:szCs w:val="22"/>
              </w:rPr>
              <w:t xml:space="preserve"> (decile rank)</w:t>
            </w:r>
          </w:p>
        </w:tc>
        <w:tc>
          <w:tcPr>
            <w:tcW w:w="1581" w:type="dxa"/>
            <w:vAlign w:val="center"/>
          </w:tcPr>
          <w:p w14:paraId="44C67711" w14:textId="5819E8B1" w:rsidR="00CD6F8F" w:rsidRPr="0012664E" w:rsidRDefault="00CD6F8F" w:rsidP="003D1FBF">
            <w:pPr>
              <w:jc w:val="center"/>
              <w:rPr>
                <w:sz w:val="22"/>
                <w:szCs w:val="22"/>
              </w:rPr>
            </w:pPr>
            <w:r w:rsidRPr="0012664E">
              <w:rPr>
                <w:sz w:val="22"/>
                <w:szCs w:val="22"/>
              </w:rPr>
              <w:t>-0.046**</w:t>
            </w:r>
          </w:p>
        </w:tc>
        <w:tc>
          <w:tcPr>
            <w:tcW w:w="1582" w:type="dxa"/>
            <w:vAlign w:val="center"/>
          </w:tcPr>
          <w:p w14:paraId="0CD29C13" w14:textId="114ADF74" w:rsidR="00CD6F8F" w:rsidRPr="0012664E" w:rsidRDefault="00CD6F8F" w:rsidP="003D1FBF">
            <w:pPr>
              <w:jc w:val="center"/>
              <w:rPr>
                <w:sz w:val="22"/>
                <w:szCs w:val="22"/>
              </w:rPr>
            </w:pPr>
            <w:r w:rsidRPr="0012664E">
              <w:rPr>
                <w:sz w:val="22"/>
                <w:szCs w:val="22"/>
              </w:rPr>
              <w:t>-0.018</w:t>
            </w:r>
          </w:p>
        </w:tc>
        <w:tc>
          <w:tcPr>
            <w:tcW w:w="1582" w:type="dxa"/>
            <w:vAlign w:val="center"/>
          </w:tcPr>
          <w:p w14:paraId="06BA30AA" w14:textId="66AB32CD" w:rsidR="00CD6F8F" w:rsidRPr="0012664E" w:rsidRDefault="00CD6F8F" w:rsidP="003D1FBF">
            <w:pPr>
              <w:jc w:val="center"/>
              <w:rPr>
                <w:sz w:val="22"/>
                <w:szCs w:val="22"/>
              </w:rPr>
            </w:pPr>
            <w:r w:rsidRPr="0012664E">
              <w:rPr>
                <w:sz w:val="22"/>
                <w:szCs w:val="22"/>
              </w:rPr>
              <w:t>-0.035</w:t>
            </w:r>
          </w:p>
        </w:tc>
        <w:tc>
          <w:tcPr>
            <w:tcW w:w="1582" w:type="dxa"/>
            <w:vAlign w:val="center"/>
          </w:tcPr>
          <w:p w14:paraId="2FE9A03B" w14:textId="68744623" w:rsidR="00CD6F8F" w:rsidRPr="0012664E" w:rsidRDefault="00CD6F8F" w:rsidP="003D1FBF">
            <w:pPr>
              <w:jc w:val="center"/>
              <w:rPr>
                <w:sz w:val="22"/>
                <w:szCs w:val="22"/>
              </w:rPr>
            </w:pPr>
            <w:r w:rsidRPr="0012664E">
              <w:rPr>
                <w:sz w:val="22"/>
                <w:szCs w:val="22"/>
              </w:rPr>
              <w:t>-0.007</w:t>
            </w:r>
          </w:p>
        </w:tc>
      </w:tr>
      <w:tr w:rsidR="00CD6F8F" w14:paraId="5A1E17E7" w14:textId="77777777" w:rsidTr="00CD6F8F">
        <w:tc>
          <w:tcPr>
            <w:tcW w:w="2689" w:type="dxa"/>
          </w:tcPr>
          <w:p w14:paraId="54129C40" w14:textId="77777777" w:rsidR="00CD6F8F" w:rsidRPr="0012664E" w:rsidRDefault="00CD6F8F" w:rsidP="003D1FBF">
            <w:pPr>
              <w:rPr>
                <w:sz w:val="22"/>
                <w:szCs w:val="22"/>
              </w:rPr>
            </w:pPr>
          </w:p>
        </w:tc>
        <w:tc>
          <w:tcPr>
            <w:tcW w:w="1581" w:type="dxa"/>
            <w:vAlign w:val="center"/>
          </w:tcPr>
          <w:p w14:paraId="69012F12" w14:textId="7500A60A" w:rsidR="00CD6F8F" w:rsidRPr="0012664E" w:rsidRDefault="00CD6F8F" w:rsidP="003D1FBF">
            <w:pPr>
              <w:jc w:val="center"/>
              <w:rPr>
                <w:sz w:val="22"/>
                <w:szCs w:val="22"/>
              </w:rPr>
            </w:pPr>
            <w:r w:rsidRPr="0012664E">
              <w:rPr>
                <w:sz w:val="22"/>
                <w:szCs w:val="22"/>
              </w:rPr>
              <w:t>(-2.02)</w:t>
            </w:r>
          </w:p>
        </w:tc>
        <w:tc>
          <w:tcPr>
            <w:tcW w:w="1582" w:type="dxa"/>
            <w:vAlign w:val="center"/>
          </w:tcPr>
          <w:p w14:paraId="6D77ADFD" w14:textId="006B0EA8" w:rsidR="00CD6F8F" w:rsidRPr="0012664E" w:rsidRDefault="00CD6F8F" w:rsidP="003D1FBF">
            <w:pPr>
              <w:jc w:val="center"/>
              <w:rPr>
                <w:sz w:val="22"/>
                <w:szCs w:val="22"/>
              </w:rPr>
            </w:pPr>
            <w:r w:rsidRPr="0012664E">
              <w:rPr>
                <w:sz w:val="22"/>
                <w:szCs w:val="22"/>
              </w:rPr>
              <w:t>(-0.48)</w:t>
            </w:r>
          </w:p>
        </w:tc>
        <w:tc>
          <w:tcPr>
            <w:tcW w:w="1582" w:type="dxa"/>
            <w:vAlign w:val="center"/>
          </w:tcPr>
          <w:p w14:paraId="235AA4B2" w14:textId="50C8C7DA" w:rsidR="00CD6F8F" w:rsidRPr="0012664E" w:rsidRDefault="00CD6F8F" w:rsidP="003D1FBF">
            <w:pPr>
              <w:jc w:val="center"/>
              <w:rPr>
                <w:sz w:val="22"/>
                <w:szCs w:val="22"/>
              </w:rPr>
            </w:pPr>
            <w:r w:rsidRPr="0012664E">
              <w:rPr>
                <w:sz w:val="22"/>
                <w:szCs w:val="22"/>
              </w:rPr>
              <w:t>(-1.03)</w:t>
            </w:r>
          </w:p>
        </w:tc>
        <w:tc>
          <w:tcPr>
            <w:tcW w:w="1582" w:type="dxa"/>
            <w:vAlign w:val="center"/>
          </w:tcPr>
          <w:p w14:paraId="676CF5C9" w14:textId="4FB39BC2" w:rsidR="00CD6F8F" w:rsidRPr="0012664E" w:rsidRDefault="00CD6F8F" w:rsidP="003D1FBF">
            <w:pPr>
              <w:jc w:val="center"/>
              <w:rPr>
                <w:sz w:val="22"/>
                <w:szCs w:val="22"/>
              </w:rPr>
            </w:pPr>
            <w:r w:rsidRPr="0012664E">
              <w:rPr>
                <w:sz w:val="22"/>
                <w:szCs w:val="22"/>
              </w:rPr>
              <w:t>(-0.38)</w:t>
            </w:r>
          </w:p>
        </w:tc>
      </w:tr>
      <w:tr w:rsidR="00CD6F8F" w14:paraId="022C6748" w14:textId="77777777" w:rsidTr="00CD6F8F">
        <w:tc>
          <w:tcPr>
            <w:tcW w:w="2689" w:type="dxa"/>
          </w:tcPr>
          <w:p w14:paraId="3E902CBE" w14:textId="69345DAC" w:rsidR="00CD6F8F" w:rsidRPr="0012664E" w:rsidRDefault="00CD6F8F" w:rsidP="003D1FBF">
            <w:pPr>
              <w:rPr>
                <w:sz w:val="22"/>
                <w:szCs w:val="22"/>
              </w:rPr>
            </w:pPr>
            <w:r w:rsidRPr="0012664E">
              <w:rPr>
                <w:sz w:val="22"/>
                <w:szCs w:val="22"/>
              </w:rPr>
              <w:t>Underwriter rank</w:t>
            </w:r>
          </w:p>
        </w:tc>
        <w:tc>
          <w:tcPr>
            <w:tcW w:w="1581" w:type="dxa"/>
            <w:vAlign w:val="center"/>
          </w:tcPr>
          <w:p w14:paraId="3C114E7D" w14:textId="34EEC25F" w:rsidR="00CD6F8F" w:rsidRPr="0012664E" w:rsidRDefault="00CD6F8F" w:rsidP="003D1FBF">
            <w:pPr>
              <w:jc w:val="center"/>
              <w:rPr>
                <w:sz w:val="22"/>
                <w:szCs w:val="22"/>
              </w:rPr>
            </w:pPr>
            <w:r w:rsidRPr="0012664E">
              <w:rPr>
                <w:sz w:val="22"/>
                <w:szCs w:val="22"/>
              </w:rPr>
              <w:t>0.008***</w:t>
            </w:r>
          </w:p>
        </w:tc>
        <w:tc>
          <w:tcPr>
            <w:tcW w:w="1582" w:type="dxa"/>
            <w:vAlign w:val="center"/>
          </w:tcPr>
          <w:p w14:paraId="7EFCE69A" w14:textId="261DE846" w:rsidR="00CD6F8F" w:rsidRPr="0012664E" w:rsidRDefault="00CD6F8F" w:rsidP="003D1FBF">
            <w:pPr>
              <w:jc w:val="center"/>
              <w:rPr>
                <w:sz w:val="22"/>
                <w:szCs w:val="22"/>
              </w:rPr>
            </w:pPr>
            <w:r w:rsidRPr="0012664E">
              <w:rPr>
                <w:sz w:val="22"/>
                <w:szCs w:val="22"/>
              </w:rPr>
              <w:t>-0.004</w:t>
            </w:r>
          </w:p>
        </w:tc>
        <w:tc>
          <w:tcPr>
            <w:tcW w:w="1582" w:type="dxa"/>
            <w:vAlign w:val="center"/>
          </w:tcPr>
          <w:p w14:paraId="47278FF1" w14:textId="41A7C6D2" w:rsidR="00CD6F8F" w:rsidRPr="0012664E" w:rsidRDefault="00CD6F8F" w:rsidP="003D1FBF">
            <w:pPr>
              <w:jc w:val="center"/>
              <w:rPr>
                <w:sz w:val="22"/>
                <w:szCs w:val="22"/>
              </w:rPr>
            </w:pPr>
            <w:r w:rsidRPr="0012664E">
              <w:rPr>
                <w:sz w:val="22"/>
                <w:szCs w:val="22"/>
              </w:rPr>
              <w:t>-0.003</w:t>
            </w:r>
          </w:p>
        </w:tc>
        <w:tc>
          <w:tcPr>
            <w:tcW w:w="1582" w:type="dxa"/>
            <w:vAlign w:val="center"/>
          </w:tcPr>
          <w:p w14:paraId="53C9DCE7" w14:textId="386B42A9" w:rsidR="00CD6F8F" w:rsidRPr="0012664E" w:rsidRDefault="00CD6F8F" w:rsidP="003D1FBF">
            <w:pPr>
              <w:jc w:val="center"/>
              <w:rPr>
                <w:sz w:val="22"/>
                <w:szCs w:val="22"/>
              </w:rPr>
            </w:pPr>
            <w:r w:rsidRPr="0012664E">
              <w:rPr>
                <w:sz w:val="22"/>
                <w:szCs w:val="22"/>
              </w:rPr>
              <w:t>-0.002</w:t>
            </w:r>
          </w:p>
        </w:tc>
      </w:tr>
      <w:tr w:rsidR="00CD6F8F" w14:paraId="4FC4BBC5" w14:textId="77777777" w:rsidTr="00CD6F8F">
        <w:tc>
          <w:tcPr>
            <w:tcW w:w="2689" w:type="dxa"/>
          </w:tcPr>
          <w:p w14:paraId="6FA5EBA4" w14:textId="77777777" w:rsidR="00CD6F8F" w:rsidRPr="0012664E" w:rsidRDefault="00CD6F8F" w:rsidP="003D1FBF">
            <w:pPr>
              <w:rPr>
                <w:sz w:val="22"/>
                <w:szCs w:val="22"/>
              </w:rPr>
            </w:pPr>
          </w:p>
        </w:tc>
        <w:tc>
          <w:tcPr>
            <w:tcW w:w="1581" w:type="dxa"/>
            <w:vAlign w:val="center"/>
          </w:tcPr>
          <w:p w14:paraId="4B4DEB23" w14:textId="46A3905A" w:rsidR="00CD6F8F" w:rsidRPr="0012664E" w:rsidRDefault="00CD6F8F" w:rsidP="003D1FBF">
            <w:pPr>
              <w:jc w:val="center"/>
              <w:rPr>
                <w:sz w:val="22"/>
                <w:szCs w:val="22"/>
              </w:rPr>
            </w:pPr>
            <w:r w:rsidRPr="0012664E">
              <w:rPr>
                <w:sz w:val="22"/>
                <w:szCs w:val="22"/>
              </w:rPr>
              <w:t>(4.14)</w:t>
            </w:r>
          </w:p>
        </w:tc>
        <w:tc>
          <w:tcPr>
            <w:tcW w:w="1582" w:type="dxa"/>
            <w:vAlign w:val="center"/>
          </w:tcPr>
          <w:p w14:paraId="07428D23" w14:textId="72AD9E44" w:rsidR="00CD6F8F" w:rsidRPr="0012664E" w:rsidRDefault="00CD6F8F" w:rsidP="003D1FBF">
            <w:pPr>
              <w:jc w:val="center"/>
              <w:rPr>
                <w:sz w:val="22"/>
                <w:szCs w:val="22"/>
              </w:rPr>
            </w:pPr>
            <w:r w:rsidRPr="0012664E">
              <w:rPr>
                <w:sz w:val="22"/>
                <w:szCs w:val="22"/>
              </w:rPr>
              <w:t>(-1.3</w:t>
            </w:r>
            <w:r w:rsidR="00F5743A">
              <w:rPr>
                <w:sz w:val="22"/>
                <w:szCs w:val="22"/>
              </w:rPr>
              <w:t>0</w:t>
            </w:r>
            <w:r w:rsidRPr="0012664E">
              <w:rPr>
                <w:sz w:val="22"/>
                <w:szCs w:val="22"/>
              </w:rPr>
              <w:t>)</w:t>
            </w:r>
          </w:p>
        </w:tc>
        <w:tc>
          <w:tcPr>
            <w:tcW w:w="1582" w:type="dxa"/>
            <w:vAlign w:val="center"/>
          </w:tcPr>
          <w:p w14:paraId="1F2D2F04" w14:textId="5080A7AE" w:rsidR="00CD6F8F" w:rsidRPr="0012664E" w:rsidRDefault="00CD6F8F" w:rsidP="003D1FBF">
            <w:pPr>
              <w:jc w:val="center"/>
              <w:rPr>
                <w:sz w:val="22"/>
                <w:szCs w:val="22"/>
              </w:rPr>
            </w:pPr>
            <w:r w:rsidRPr="0012664E">
              <w:rPr>
                <w:sz w:val="22"/>
                <w:szCs w:val="22"/>
              </w:rPr>
              <w:t>(-0.4</w:t>
            </w:r>
            <w:r w:rsidR="00F5743A">
              <w:rPr>
                <w:sz w:val="22"/>
                <w:szCs w:val="22"/>
              </w:rPr>
              <w:t>0</w:t>
            </w:r>
            <w:r w:rsidRPr="0012664E">
              <w:rPr>
                <w:sz w:val="22"/>
                <w:szCs w:val="22"/>
              </w:rPr>
              <w:t>)</w:t>
            </w:r>
          </w:p>
        </w:tc>
        <w:tc>
          <w:tcPr>
            <w:tcW w:w="1582" w:type="dxa"/>
            <w:vAlign w:val="center"/>
          </w:tcPr>
          <w:p w14:paraId="237161E1" w14:textId="05E9176D" w:rsidR="00CD6F8F" w:rsidRPr="0012664E" w:rsidRDefault="00CD6F8F" w:rsidP="003D1FBF">
            <w:pPr>
              <w:jc w:val="center"/>
              <w:rPr>
                <w:sz w:val="22"/>
                <w:szCs w:val="22"/>
              </w:rPr>
            </w:pPr>
            <w:r w:rsidRPr="0012664E">
              <w:rPr>
                <w:sz w:val="22"/>
                <w:szCs w:val="22"/>
              </w:rPr>
              <w:t>(-0.48)</w:t>
            </w:r>
          </w:p>
        </w:tc>
      </w:tr>
      <w:tr w:rsidR="00CD6F8F" w14:paraId="7ECD1CB6" w14:textId="77777777" w:rsidTr="00CD6F8F">
        <w:tc>
          <w:tcPr>
            <w:tcW w:w="2689" w:type="dxa"/>
          </w:tcPr>
          <w:p w14:paraId="50B88EC2" w14:textId="77777777" w:rsidR="00CD6F8F" w:rsidRPr="0012664E" w:rsidRDefault="00CD6F8F" w:rsidP="003D1FBF">
            <w:pPr>
              <w:rPr>
                <w:sz w:val="22"/>
                <w:szCs w:val="22"/>
              </w:rPr>
            </w:pPr>
          </w:p>
        </w:tc>
        <w:tc>
          <w:tcPr>
            <w:tcW w:w="1581" w:type="dxa"/>
            <w:vAlign w:val="center"/>
          </w:tcPr>
          <w:p w14:paraId="53497A5F" w14:textId="77777777" w:rsidR="00CD6F8F" w:rsidRPr="0012664E" w:rsidRDefault="00CD6F8F" w:rsidP="003D1FBF">
            <w:pPr>
              <w:jc w:val="center"/>
              <w:rPr>
                <w:sz w:val="22"/>
                <w:szCs w:val="22"/>
              </w:rPr>
            </w:pPr>
          </w:p>
        </w:tc>
        <w:tc>
          <w:tcPr>
            <w:tcW w:w="1582" w:type="dxa"/>
            <w:vAlign w:val="center"/>
          </w:tcPr>
          <w:p w14:paraId="44E87CCE" w14:textId="77777777" w:rsidR="00CD6F8F" w:rsidRPr="0012664E" w:rsidRDefault="00CD6F8F" w:rsidP="003D1FBF">
            <w:pPr>
              <w:jc w:val="center"/>
              <w:rPr>
                <w:sz w:val="22"/>
                <w:szCs w:val="22"/>
              </w:rPr>
            </w:pPr>
          </w:p>
        </w:tc>
        <w:tc>
          <w:tcPr>
            <w:tcW w:w="1582" w:type="dxa"/>
            <w:vAlign w:val="center"/>
          </w:tcPr>
          <w:p w14:paraId="2608D310" w14:textId="77777777" w:rsidR="00CD6F8F" w:rsidRPr="0012664E" w:rsidRDefault="00CD6F8F" w:rsidP="003D1FBF">
            <w:pPr>
              <w:jc w:val="center"/>
              <w:rPr>
                <w:sz w:val="22"/>
                <w:szCs w:val="22"/>
              </w:rPr>
            </w:pPr>
          </w:p>
        </w:tc>
        <w:tc>
          <w:tcPr>
            <w:tcW w:w="1582" w:type="dxa"/>
            <w:vAlign w:val="center"/>
          </w:tcPr>
          <w:p w14:paraId="3B95D9B1" w14:textId="77777777" w:rsidR="00CD6F8F" w:rsidRPr="0012664E" w:rsidRDefault="00CD6F8F" w:rsidP="003D1FBF">
            <w:pPr>
              <w:jc w:val="center"/>
              <w:rPr>
                <w:sz w:val="22"/>
                <w:szCs w:val="22"/>
              </w:rPr>
            </w:pPr>
          </w:p>
        </w:tc>
      </w:tr>
      <w:tr w:rsidR="00CD6F8F" w14:paraId="3EB8A047" w14:textId="77777777" w:rsidTr="00CD6F8F">
        <w:tc>
          <w:tcPr>
            <w:tcW w:w="2689" w:type="dxa"/>
          </w:tcPr>
          <w:p w14:paraId="5854A647" w14:textId="4301AD4C" w:rsidR="00CD6F8F" w:rsidRPr="0012664E" w:rsidRDefault="00CD6F8F" w:rsidP="003D1FBF">
            <w:pPr>
              <w:rPr>
                <w:sz w:val="22"/>
                <w:szCs w:val="22"/>
              </w:rPr>
            </w:pPr>
            <w:r w:rsidRPr="0012664E">
              <w:rPr>
                <w:sz w:val="22"/>
                <w:szCs w:val="22"/>
              </w:rPr>
              <w:t>Industry FE</w:t>
            </w:r>
          </w:p>
        </w:tc>
        <w:tc>
          <w:tcPr>
            <w:tcW w:w="1581" w:type="dxa"/>
            <w:vAlign w:val="center"/>
          </w:tcPr>
          <w:p w14:paraId="427BDA51" w14:textId="30F99E37" w:rsidR="00CD6F8F" w:rsidRPr="0012664E" w:rsidRDefault="00CD6F8F" w:rsidP="003D1FBF">
            <w:pPr>
              <w:jc w:val="center"/>
              <w:rPr>
                <w:sz w:val="22"/>
                <w:szCs w:val="22"/>
              </w:rPr>
            </w:pPr>
            <w:r w:rsidRPr="0012664E">
              <w:rPr>
                <w:rFonts w:eastAsia="Times New Roman"/>
                <w:color w:val="000000"/>
                <w:sz w:val="22"/>
                <w:szCs w:val="22"/>
                <w:lang w:val="en-US" w:eastAsia="en-US"/>
              </w:rPr>
              <w:t>Included</w:t>
            </w:r>
          </w:p>
        </w:tc>
        <w:tc>
          <w:tcPr>
            <w:tcW w:w="1582" w:type="dxa"/>
            <w:vAlign w:val="center"/>
          </w:tcPr>
          <w:p w14:paraId="24733E2D" w14:textId="5F9A9E20" w:rsidR="00CD6F8F" w:rsidRPr="0012664E" w:rsidRDefault="00CD6F8F" w:rsidP="003D1FBF">
            <w:pPr>
              <w:jc w:val="center"/>
              <w:rPr>
                <w:sz w:val="22"/>
                <w:szCs w:val="22"/>
              </w:rPr>
            </w:pPr>
            <w:r w:rsidRPr="0012664E">
              <w:rPr>
                <w:rFonts w:eastAsia="Times New Roman"/>
                <w:color w:val="000000"/>
                <w:sz w:val="22"/>
                <w:szCs w:val="22"/>
                <w:lang w:val="en-US" w:eastAsia="en-US"/>
              </w:rPr>
              <w:t>Included</w:t>
            </w:r>
          </w:p>
        </w:tc>
        <w:tc>
          <w:tcPr>
            <w:tcW w:w="1582" w:type="dxa"/>
            <w:vAlign w:val="center"/>
          </w:tcPr>
          <w:p w14:paraId="74251BA3" w14:textId="62A5C1A7" w:rsidR="00CD6F8F" w:rsidRPr="0012664E" w:rsidRDefault="00CD6F8F" w:rsidP="003D1FBF">
            <w:pPr>
              <w:jc w:val="center"/>
              <w:rPr>
                <w:sz w:val="22"/>
                <w:szCs w:val="22"/>
              </w:rPr>
            </w:pPr>
            <w:r w:rsidRPr="0012664E">
              <w:rPr>
                <w:rFonts w:eastAsia="Times New Roman"/>
                <w:color w:val="000000"/>
                <w:sz w:val="22"/>
                <w:szCs w:val="22"/>
                <w:lang w:val="en-US" w:eastAsia="en-US"/>
              </w:rPr>
              <w:t>Included</w:t>
            </w:r>
          </w:p>
        </w:tc>
        <w:tc>
          <w:tcPr>
            <w:tcW w:w="1582" w:type="dxa"/>
            <w:vAlign w:val="center"/>
          </w:tcPr>
          <w:p w14:paraId="4EA22D81" w14:textId="65634E03" w:rsidR="00CD6F8F" w:rsidRPr="0012664E" w:rsidRDefault="00CD6F8F" w:rsidP="003D1FBF">
            <w:pPr>
              <w:jc w:val="center"/>
              <w:rPr>
                <w:sz w:val="22"/>
                <w:szCs w:val="22"/>
              </w:rPr>
            </w:pPr>
            <w:r w:rsidRPr="0012664E">
              <w:rPr>
                <w:rFonts w:eastAsia="Times New Roman"/>
                <w:color w:val="000000"/>
                <w:sz w:val="22"/>
                <w:szCs w:val="22"/>
                <w:lang w:val="en-US" w:eastAsia="en-US"/>
              </w:rPr>
              <w:t>Included</w:t>
            </w:r>
          </w:p>
        </w:tc>
      </w:tr>
      <w:tr w:rsidR="00CD6F8F" w14:paraId="48C7BC6E" w14:textId="77777777" w:rsidTr="007A1160">
        <w:tc>
          <w:tcPr>
            <w:tcW w:w="2689" w:type="dxa"/>
          </w:tcPr>
          <w:p w14:paraId="5D34BB7C" w14:textId="1AE58930" w:rsidR="00CD6F8F" w:rsidRPr="0012664E" w:rsidRDefault="00CD6F8F" w:rsidP="003D1FBF">
            <w:pPr>
              <w:rPr>
                <w:sz w:val="22"/>
                <w:szCs w:val="22"/>
              </w:rPr>
            </w:pPr>
            <w:r w:rsidRPr="0012664E">
              <w:rPr>
                <w:sz w:val="22"/>
                <w:szCs w:val="22"/>
              </w:rPr>
              <w:t>N</w:t>
            </w:r>
          </w:p>
        </w:tc>
        <w:tc>
          <w:tcPr>
            <w:tcW w:w="1581" w:type="dxa"/>
            <w:vAlign w:val="center"/>
          </w:tcPr>
          <w:p w14:paraId="4B0969F3" w14:textId="733766AA" w:rsidR="00CD6F8F" w:rsidRPr="0012664E" w:rsidRDefault="00CD6F8F" w:rsidP="003D1FBF">
            <w:pPr>
              <w:jc w:val="center"/>
              <w:rPr>
                <w:sz w:val="22"/>
                <w:szCs w:val="22"/>
              </w:rPr>
            </w:pPr>
            <w:r w:rsidRPr="0012664E">
              <w:rPr>
                <w:rFonts w:eastAsia="Times New Roman"/>
                <w:color w:val="000000"/>
                <w:sz w:val="22"/>
                <w:szCs w:val="22"/>
                <w:lang w:val="en-US" w:eastAsia="en-US"/>
              </w:rPr>
              <w:t>722</w:t>
            </w:r>
          </w:p>
        </w:tc>
        <w:tc>
          <w:tcPr>
            <w:tcW w:w="1582" w:type="dxa"/>
            <w:vAlign w:val="center"/>
          </w:tcPr>
          <w:p w14:paraId="43326A51" w14:textId="49B116A1" w:rsidR="00CD6F8F" w:rsidRPr="0012664E" w:rsidRDefault="00CD6F8F" w:rsidP="003D1FBF">
            <w:pPr>
              <w:jc w:val="center"/>
              <w:rPr>
                <w:sz w:val="22"/>
                <w:szCs w:val="22"/>
              </w:rPr>
            </w:pPr>
            <w:r w:rsidRPr="0012664E">
              <w:rPr>
                <w:rFonts w:eastAsia="Times New Roman"/>
                <w:color w:val="000000"/>
                <w:sz w:val="22"/>
                <w:szCs w:val="22"/>
                <w:lang w:val="en-US" w:eastAsia="en-US"/>
              </w:rPr>
              <w:t>722</w:t>
            </w:r>
          </w:p>
        </w:tc>
        <w:tc>
          <w:tcPr>
            <w:tcW w:w="1582" w:type="dxa"/>
            <w:vAlign w:val="center"/>
          </w:tcPr>
          <w:p w14:paraId="00257381" w14:textId="0C031CFB" w:rsidR="00CD6F8F" w:rsidRPr="0012664E" w:rsidRDefault="00CD6F8F" w:rsidP="003D1FBF">
            <w:pPr>
              <w:jc w:val="center"/>
              <w:rPr>
                <w:sz w:val="22"/>
                <w:szCs w:val="22"/>
              </w:rPr>
            </w:pPr>
            <w:r w:rsidRPr="0012664E">
              <w:rPr>
                <w:rFonts w:eastAsia="Times New Roman"/>
                <w:color w:val="000000"/>
                <w:sz w:val="22"/>
                <w:szCs w:val="22"/>
                <w:lang w:val="en-US" w:eastAsia="en-US"/>
              </w:rPr>
              <w:t>722</w:t>
            </w:r>
          </w:p>
        </w:tc>
        <w:tc>
          <w:tcPr>
            <w:tcW w:w="1582" w:type="dxa"/>
            <w:vAlign w:val="center"/>
          </w:tcPr>
          <w:p w14:paraId="37CCD9AE" w14:textId="2DB4C58C" w:rsidR="00CD6F8F" w:rsidRPr="0012664E" w:rsidRDefault="00CD6F8F" w:rsidP="003D1FBF">
            <w:pPr>
              <w:jc w:val="center"/>
              <w:rPr>
                <w:sz w:val="22"/>
                <w:szCs w:val="22"/>
              </w:rPr>
            </w:pPr>
            <w:r w:rsidRPr="0012664E">
              <w:rPr>
                <w:rFonts w:eastAsia="Times New Roman"/>
                <w:color w:val="000000"/>
                <w:sz w:val="22"/>
                <w:szCs w:val="22"/>
                <w:lang w:val="en-US" w:eastAsia="en-US"/>
              </w:rPr>
              <w:t>722</w:t>
            </w:r>
          </w:p>
        </w:tc>
      </w:tr>
      <w:tr w:rsidR="00CD6F8F" w14:paraId="60CC5BAB" w14:textId="77777777" w:rsidTr="007A1160">
        <w:tc>
          <w:tcPr>
            <w:tcW w:w="2689" w:type="dxa"/>
            <w:tcBorders>
              <w:bottom w:val="single" w:sz="4" w:space="0" w:color="auto"/>
            </w:tcBorders>
          </w:tcPr>
          <w:p w14:paraId="207D2CF3" w14:textId="662C8A17" w:rsidR="00CD6F8F" w:rsidRPr="0012664E" w:rsidRDefault="00CD6F8F" w:rsidP="003D1FBF">
            <w:pPr>
              <w:rPr>
                <w:sz w:val="22"/>
                <w:szCs w:val="22"/>
              </w:rPr>
            </w:pPr>
            <w:r w:rsidRPr="0012664E">
              <w:rPr>
                <w:sz w:val="22"/>
                <w:szCs w:val="22"/>
              </w:rPr>
              <w:t>Pseudo R</w:t>
            </w:r>
            <w:r w:rsidRPr="0012664E">
              <w:rPr>
                <w:sz w:val="22"/>
                <w:szCs w:val="22"/>
                <w:vertAlign w:val="superscript"/>
              </w:rPr>
              <w:t>2</w:t>
            </w:r>
          </w:p>
        </w:tc>
        <w:tc>
          <w:tcPr>
            <w:tcW w:w="1581" w:type="dxa"/>
            <w:tcBorders>
              <w:bottom w:val="single" w:sz="4" w:space="0" w:color="auto"/>
            </w:tcBorders>
            <w:vAlign w:val="center"/>
          </w:tcPr>
          <w:p w14:paraId="7D323A58" w14:textId="5D1D2F8A" w:rsidR="00CD6F8F" w:rsidRPr="0012664E" w:rsidRDefault="00CD6F8F" w:rsidP="003D1FBF">
            <w:pPr>
              <w:jc w:val="center"/>
              <w:rPr>
                <w:sz w:val="22"/>
                <w:szCs w:val="22"/>
              </w:rPr>
            </w:pPr>
            <w:r w:rsidRPr="0012664E">
              <w:rPr>
                <w:rFonts w:eastAsia="Times New Roman"/>
                <w:color w:val="000000"/>
                <w:sz w:val="22"/>
                <w:szCs w:val="22"/>
                <w:lang w:val="en-US" w:eastAsia="en-US"/>
              </w:rPr>
              <w:t>0.062</w:t>
            </w:r>
          </w:p>
        </w:tc>
        <w:tc>
          <w:tcPr>
            <w:tcW w:w="1582" w:type="dxa"/>
            <w:tcBorders>
              <w:bottom w:val="single" w:sz="4" w:space="0" w:color="auto"/>
            </w:tcBorders>
            <w:vAlign w:val="center"/>
          </w:tcPr>
          <w:p w14:paraId="0AF53A88" w14:textId="43B5ABAE" w:rsidR="00CD6F8F" w:rsidRPr="0012664E" w:rsidRDefault="00CD6F8F" w:rsidP="003D1FBF">
            <w:pPr>
              <w:jc w:val="center"/>
              <w:rPr>
                <w:sz w:val="22"/>
                <w:szCs w:val="22"/>
              </w:rPr>
            </w:pPr>
            <w:r w:rsidRPr="0012664E">
              <w:rPr>
                <w:rFonts w:eastAsia="Times New Roman"/>
                <w:color w:val="000000"/>
                <w:sz w:val="22"/>
                <w:szCs w:val="22"/>
                <w:lang w:val="en-US" w:eastAsia="en-US"/>
              </w:rPr>
              <w:t>0.144</w:t>
            </w:r>
          </w:p>
        </w:tc>
        <w:tc>
          <w:tcPr>
            <w:tcW w:w="1582" w:type="dxa"/>
            <w:tcBorders>
              <w:bottom w:val="single" w:sz="4" w:space="0" w:color="auto"/>
            </w:tcBorders>
            <w:vAlign w:val="center"/>
          </w:tcPr>
          <w:p w14:paraId="7CD330EB" w14:textId="2B88174A" w:rsidR="00CD6F8F" w:rsidRPr="0012664E" w:rsidRDefault="00CD6F8F" w:rsidP="003D1FBF">
            <w:pPr>
              <w:jc w:val="center"/>
              <w:rPr>
                <w:sz w:val="22"/>
                <w:szCs w:val="22"/>
              </w:rPr>
            </w:pPr>
            <w:r w:rsidRPr="0012664E">
              <w:rPr>
                <w:rFonts w:eastAsia="Times New Roman"/>
                <w:color w:val="000000"/>
                <w:sz w:val="22"/>
                <w:szCs w:val="22"/>
                <w:lang w:val="en-US" w:eastAsia="en-US"/>
              </w:rPr>
              <w:t>0.096</w:t>
            </w:r>
          </w:p>
        </w:tc>
        <w:tc>
          <w:tcPr>
            <w:tcW w:w="1582" w:type="dxa"/>
            <w:tcBorders>
              <w:bottom w:val="single" w:sz="4" w:space="0" w:color="auto"/>
            </w:tcBorders>
            <w:vAlign w:val="center"/>
          </w:tcPr>
          <w:p w14:paraId="4D08AC71" w14:textId="1EF24CFF" w:rsidR="00CD6F8F" w:rsidRPr="0012664E" w:rsidRDefault="00CD6F8F" w:rsidP="003D1FBF">
            <w:pPr>
              <w:jc w:val="center"/>
              <w:rPr>
                <w:sz w:val="22"/>
                <w:szCs w:val="22"/>
              </w:rPr>
            </w:pPr>
            <w:r w:rsidRPr="0012664E">
              <w:rPr>
                <w:rFonts w:eastAsia="Times New Roman"/>
                <w:color w:val="000000"/>
                <w:sz w:val="22"/>
                <w:szCs w:val="22"/>
                <w:lang w:val="en-US" w:eastAsia="en-US"/>
              </w:rPr>
              <w:t>0.162</w:t>
            </w:r>
          </w:p>
        </w:tc>
      </w:tr>
      <w:tr w:rsidR="00CD6F8F" w14:paraId="7C16E850" w14:textId="77777777" w:rsidTr="007A1160">
        <w:tc>
          <w:tcPr>
            <w:tcW w:w="9016" w:type="dxa"/>
            <w:gridSpan w:val="5"/>
            <w:tcBorders>
              <w:top w:val="single" w:sz="4" w:space="0" w:color="auto"/>
              <w:bottom w:val="single" w:sz="4" w:space="0" w:color="auto"/>
            </w:tcBorders>
          </w:tcPr>
          <w:p w14:paraId="6DD76A53" w14:textId="6CB6EC10" w:rsidR="00CD6F8F" w:rsidRPr="00D45590" w:rsidRDefault="00CD6F8F" w:rsidP="003D1FBF">
            <w:pPr>
              <w:spacing w:before="120" w:after="120"/>
              <w:jc w:val="both"/>
              <w:rPr>
                <w:rFonts w:eastAsia="Times New Roman"/>
                <w:color w:val="000000"/>
                <w:sz w:val="22"/>
                <w:szCs w:val="22"/>
                <w:lang w:val="en-US" w:eastAsia="en-US"/>
              </w:rPr>
            </w:pPr>
            <w:r w:rsidRPr="00D45590">
              <w:rPr>
                <w:rFonts w:eastAsia="Times New Roman"/>
                <w:color w:val="000000"/>
                <w:sz w:val="20"/>
                <w:szCs w:val="20"/>
                <w:lang w:val="en-US" w:eastAsia="en-US"/>
              </w:rPr>
              <w:t xml:space="preserve">This table presents the results of the multivariate analysis of effect of JOBS Act 2012 on SEC review attributes for the sample of 722 EGC-eligible IPOs between 2005 and 2017. </w:t>
            </w:r>
            <w:r w:rsidR="00616B0A">
              <w:rPr>
                <w:rFonts w:eastAsia="Times New Roman"/>
                <w:color w:val="000000"/>
                <w:sz w:val="20"/>
                <w:szCs w:val="20"/>
                <w:lang w:val="en-US" w:eastAsia="en-US"/>
              </w:rPr>
              <w:t>The n</w:t>
            </w:r>
            <w:r w:rsidRPr="00D45590">
              <w:rPr>
                <w:rFonts w:eastAsia="Times New Roman"/>
                <w:color w:val="000000"/>
                <w:sz w:val="20"/>
                <w:szCs w:val="20"/>
                <w:lang w:val="en-US" w:eastAsia="en-US"/>
              </w:rPr>
              <w:t xml:space="preserve">egative binomial regression </w:t>
            </w:r>
            <w:r w:rsidR="00616B0A">
              <w:rPr>
                <w:rFonts w:eastAsia="Times New Roman"/>
                <w:color w:val="000000"/>
                <w:sz w:val="20"/>
                <w:szCs w:val="20"/>
                <w:lang w:val="en-US" w:eastAsia="en-US"/>
              </w:rPr>
              <w:t xml:space="preserve">method </w:t>
            </w:r>
            <w:r w:rsidRPr="00D45590">
              <w:rPr>
                <w:rFonts w:eastAsia="Times New Roman"/>
                <w:color w:val="000000"/>
                <w:sz w:val="20"/>
                <w:szCs w:val="20"/>
                <w:lang w:val="en-US" w:eastAsia="en-US"/>
              </w:rPr>
              <w:t>is employed. Dependent variables are SEC review attributes including Duration, #Letters, #Comments and #Themes. Independent variable of interest is JOBS Act. All variables are defined in Appendix A. The regressions include industry fixed effects using two-digit SIC code. Results from Z-statistics are presented in parentheses below coefficient estimates and are based on robust standard errors clustered at the two-digit SIC industry level. *, **, and *** denote significance at the 10%, 5%, and 1% levels, respectively, based on a two-tailed test.</w:t>
            </w:r>
          </w:p>
        </w:tc>
      </w:tr>
    </w:tbl>
    <w:p w14:paraId="6F4E0D89" w14:textId="77777777" w:rsidR="0012664E" w:rsidRDefault="0012664E" w:rsidP="003D1FBF">
      <w:pPr>
        <w:sectPr w:rsidR="0012664E" w:rsidSect="005D4628">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435"/>
        <w:gridCol w:w="1582"/>
        <w:gridCol w:w="1582"/>
        <w:gridCol w:w="1582"/>
      </w:tblGrid>
      <w:tr w:rsidR="002D4060" w14:paraId="5EE66FA3" w14:textId="77777777" w:rsidTr="00281C7E">
        <w:tc>
          <w:tcPr>
            <w:tcW w:w="9016" w:type="dxa"/>
            <w:gridSpan w:val="5"/>
            <w:tcBorders>
              <w:bottom w:val="single" w:sz="4" w:space="0" w:color="auto"/>
            </w:tcBorders>
          </w:tcPr>
          <w:p w14:paraId="6013FB5C" w14:textId="3BFD1CE1" w:rsidR="002D4060" w:rsidRPr="00AE15A3" w:rsidRDefault="002D4060" w:rsidP="00281C7E">
            <w:pPr>
              <w:jc w:val="center"/>
              <w:rPr>
                <w:b/>
                <w:bCs/>
              </w:rPr>
            </w:pPr>
            <w:r w:rsidRPr="00AE15A3">
              <w:rPr>
                <w:b/>
                <w:bCs/>
              </w:rPr>
              <w:lastRenderedPageBreak/>
              <w:t xml:space="preserve">TABLE </w:t>
            </w:r>
            <w:r w:rsidR="0003367F">
              <w:rPr>
                <w:b/>
                <w:bCs/>
              </w:rPr>
              <w:t>5</w:t>
            </w:r>
          </w:p>
          <w:p w14:paraId="799EDF38" w14:textId="77777777" w:rsidR="002D4060" w:rsidRDefault="002D4060" w:rsidP="00281C7E">
            <w:pPr>
              <w:spacing w:after="120"/>
              <w:jc w:val="center"/>
            </w:pPr>
            <w:r>
              <w:rPr>
                <w:b/>
                <w:bCs/>
              </w:rPr>
              <w:t>Regressions</w:t>
            </w:r>
            <w:r w:rsidRPr="00AE15A3">
              <w:rPr>
                <w:b/>
                <w:bCs/>
              </w:rPr>
              <w:t xml:space="preserve"> of SEC review attributes</w:t>
            </w:r>
            <w:r>
              <w:rPr>
                <w:b/>
                <w:bCs/>
              </w:rPr>
              <w:t xml:space="preserve"> on JOBS Act by EGC status</w:t>
            </w:r>
          </w:p>
        </w:tc>
      </w:tr>
      <w:tr w:rsidR="002D4060" w14:paraId="23A18258" w14:textId="77777777" w:rsidTr="00281C7E">
        <w:tc>
          <w:tcPr>
            <w:tcW w:w="2835" w:type="dxa"/>
            <w:tcBorders>
              <w:top w:val="single" w:sz="4" w:space="0" w:color="auto"/>
            </w:tcBorders>
          </w:tcPr>
          <w:p w14:paraId="4955A9A4" w14:textId="77777777" w:rsidR="002D4060" w:rsidRPr="0012664E" w:rsidRDefault="002D4060" w:rsidP="00281C7E">
            <w:pPr>
              <w:spacing w:before="120"/>
              <w:rPr>
                <w:sz w:val="22"/>
                <w:szCs w:val="22"/>
              </w:rPr>
            </w:pPr>
            <w:r w:rsidRPr="0012664E">
              <w:rPr>
                <w:sz w:val="22"/>
                <w:szCs w:val="22"/>
              </w:rPr>
              <w:t>Dependent variable:</w:t>
            </w:r>
          </w:p>
        </w:tc>
        <w:tc>
          <w:tcPr>
            <w:tcW w:w="1435" w:type="dxa"/>
            <w:tcBorders>
              <w:top w:val="single" w:sz="4" w:space="0" w:color="auto"/>
            </w:tcBorders>
            <w:vAlign w:val="center"/>
          </w:tcPr>
          <w:p w14:paraId="7659C1DB" w14:textId="77777777" w:rsidR="002D4060" w:rsidRPr="0012664E" w:rsidRDefault="002D4060" w:rsidP="00281C7E">
            <w:pPr>
              <w:spacing w:before="120"/>
              <w:jc w:val="center"/>
              <w:rPr>
                <w:sz w:val="22"/>
                <w:szCs w:val="22"/>
              </w:rPr>
            </w:pPr>
            <w:r w:rsidRPr="0012664E">
              <w:rPr>
                <w:sz w:val="22"/>
                <w:szCs w:val="22"/>
              </w:rPr>
              <w:t>Duration</w:t>
            </w:r>
          </w:p>
        </w:tc>
        <w:tc>
          <w:tcPr>
            <w:tcW w:w="1582" w:type="dxa"/>
            <w:tcBorders>
              <w:top w:val="single" w:sz="4" w:space="0" w:color="auto"/>
            </w:tcBorders>
            <w:vAlign w:val="center"/>
          </w:tcPr>
          <w:p w14:paraId="6C6EE11F" w14:textId="77777777" w:rsidR="002D4060" w:rsidRPr="0012664E" w:rsidRDefault="002D4060" w:rsidP="00281C7E">
            <w:pPr>
              <w:spacing w:before="120"/>
              <w:jc w:val="center"/>
              <w:rPr>
                <w:sz w:val="22"/>
                <w:szCs w:val="22"/>
              </w:rPr>
            </w:pPr>
            <w:r w:rsidRPr="0012664E">
              <w:rPr>
                <w:sz w:val="22"/>
                <w:szCs w:val="22"/>
              </w:rPr>
              <w:t>#Letters</w:t>
            </w:r>
          </w:p>
        </w:tc>
        <w:tc>
          <w:tcPr>
            <w:tcW w:w="1582" w:type="dxa"/>
            <w:tcBorders>
              <w:top w:val="single" w:sz="4" w:space="0" w:color="auto"/>
            </w:tcBorders>
            <w:vAlign w:val="center"/>
          </w:tcPr>
          <w:p w14:paraId="74BF581F" w14:textId="77777777" w:rsidR="002D4060" w:rsidRPr="0012664E" w:rsidRDefault="002D4060" w:rsidP="00281C7E">
            <w:pPr>
              <w:spacing w:before="120"/>
              <w:jc w:val="center"/>
              <w:rPr>
                <w:sz w:val="22"/>
                <w:szCs w:val="22"/>
              </w:rPr>
            </w:pPr>
            <w:r w:rsidRPr="0012664E">
              <w:rPr>
                <w:sz w:val="22"/>
                <w:szCs w:val="22"/>
              </w:rPr>
              <w:t>#Comments</w:t>
            </w:r>
          </w:p>
        </w:tc>
        <w:tc>
          <w:tcPr>
            <w:tcW w:w="1582" w:type="dxa"/>
            <w:tcBorders>
              <w:top w:val="single" w:sz="4" w:space="0" w:color="auto"/>
            </w:tcBorders>
            <w:vAlign w:val="center"/>
          </w:tcPr>
          <w:p w14:paraId="6BA492D2" w14:textId="77777777" w:rsidR="002D4060" w:rsidRPr="0012664E" w:rsidRDefault="002D4060" w:rsidP="00281C7E">
            <w:pPr>
              <w:spacing w:before="120"/>
              <w:jc w:val="center"/>
              <w:rPr>
                <w:sz w:val="22"/>
                <w:szCs w:val="22"/>
              </w:rPr>
            </w:pPr>
            <w:r w:rsidRPr="0012664E">
              <w:rPr>
                <w:sz w:val="22"/>
                <w:szCs w:val="22"/>
              </w:rPr>
              <w:t>#Themes</w:t>
            </w:r>
          </w:p>
        </w:tc>
      </w:tr>
      <w:tr w:rsidR="002D4060" w14:paraId="69C46171" w14:textId="77777777" w:rsidTr="00281C7E">
        <w:trPr>
          <w:trHeight w:val="200"/>
        </w:trPr>
        <w:tc>
          <w:tcPr>
            <w:tcW w:w="2835" w:type="dxa"/>
          </w:tcPr>
          <w:p w14:paraId="06122DC8" w14:textId="77777777" w:rsidR="002D4060" w:rsidRPr="0012664E" w:rsidRDefault="002D4060" w:rsidP="00281C7E">
            <w:pPr>
              <w:rPr>
                <w:sz w:val="22"/>
                <w:szCs w:val="22"/>
              </w:rPr>
            </w:pPr>
          </w:p>
        </w:tc>
        <w:tc>
          <w:tcPr>
            <w:tcW w:w="1435" w:type="dxa"/>
            <w:tcBorders>
              <w:bottom w:val="single" w:sz="4" w:space="0" w:color="auto"/>
            </w:tcBorders>
            <w:vAlign w:val="center"/>
          </w:tcPr>
          <w:p w14:paraId="027313E6" w14:textId="77777777" w:rsidR="002D4060" w:rsidRPr="0012664E" w:rsidRDefault="002D4060" w:rsidP="00281C7E">
            <w:pPr>
              <w:spacing w:after="40"/>
              <w:jc w:val="center"/>
              <w:rPr>
                <w:sz w:val="22"/>
                <w:szCs w:val="22"/>
              </w:rPr>
            </w:pPr>
            <w:r w:rsidRPr="0012664E">
              <w:rPr>
                <w:sz w:val="22"/>
                <w:szCs w:val="22"/>
              </w:rPr>
              <w:t>(1)</w:t>
            </w:r>
          </w:p>
        </w:tc>
        <w:tc>
          <w:tcPr>
            <w:tcW w:w="1582" w:type="dxa"/>
            <w:tcBorders>
              <w:bottom w:val="single" w:sz="4" w:space="0" w:color="auto"/>
            </w:tcBorders>
            <w:vAlign w:val="center"/>
          </w:tcPr>
          <w:p w14:paraId="13CF018D" w14:textId="77777777" w:rsidR="002D4060" w:rsidRPr="0012664E" w:rsidRDefault="002D4060" w:rsidP="00281C7E">
            <w:pPr>
              <w:spacing w:after="40"/>
              <w:jc w:val="center"/>
              <w:rPr>
                <w:sz w:val="22"/>
                <w:szCs w:val="22"/>
              </w:rPr>
            </w:pPr>
            <w:r w:rsidRPr="0012664E">
              <w:rPr>
                <w:sz w:val="22"/>
                <w:szCs w:val="22"/>
              </w:rPr>
              <w:t>(2)</w:t>
            </w:r>
          </w:p>
        </w:tc>
        <w:tc>
          <w:tcPr>
            <w:tcW w:w="1582" w:type="dxa"/>
            <w:tcBorders>
              <w:bottom w:val="single" w:sz="4" w:space="0" w:color="auto"/>
            </w:tcBorders>
            <w:vAlign w:val="center"/>
          </w:tcPr>
          <w:p w14:paraId="077B2B09" w14:textId="77777777" w:rsidR="002D4060" w:rsidRPr="0012664E" w:rsidRDefault="002D4060" w:rsidP="00281C7E">
            <w:pPr>
              <w:spacing w:after="40"/>
              <w:jc w:val="center"/>
              <w:rPr>
                <w:sz w:val="22"/>
                <w:szCs w:val="22"/>
              </w:rPr>
            </w:pPr>
            <w:r w:rsidRPr="0012664E">
              <w:rPr>
                <w:sz w:val="22"/>
                <w:szCs w:val="22"/>
              </w:rPr>
              <w:t>(3)</w:t>
            </w:r>
          </w:p>
        </w:tc>
        <w:tc>
          <w:tcPr>
            <w:tcW w:w="1582" w:type="dxa"/>
            <w:tcBorders>
              <w:bottom w:val="single" w:sz="4" w:space="0" w:color="auto"/>
            </w:tcBorders>
            <w:vAlign w:val="center"/>
          </w:tcPr>
          <w:p w14:paraId="1B2EB437" w14:textId="77777777" w:rsidR="002D4060" w:rsidRPr="0012664E" w:rsidRDefault="002D4060" w:rsidP="00281C7E">
            <w:pPr>
              <w:spacing w:after="40"/>
              <w:jc w:val="center"/>
              <w:rPr>
                <w:sz w:val="22"/>
                <w:szCs w:val="22"/>
              </w:rPr>
            </w:pPr>
            <w:r w:rsidRPr="0012664E">
              <w:rPr>
                <w:sz w:val="22"/>
                <w:szCs w:val="22"/>
              </w:rPr>
              <w:t>(4)</w:t>
            </w:r>
          </w:p>
        </w:tc>
      </w:tr>
      <w:tr w:rsidR="002D4060" w14:paraId="142F898A" w14:textId="77777777" w:rsidTr="00281C7E">
        <w:tc>
          <w:tcPr>
            <w:tcW w:w="2835" w:type="dxa"/>
          </w:tcPr>
          <w:p w14:paraId="2DDB267C" w14:textId="77777777" w:rsidR="002D4060" w:rsidRPr="0012664E" w:rsidRDefault="002D4060" w:rsidP="00281C7E">
            <w:pPr>
              <w:rPr>
                <w:sz w:val="22"/>
                <w:szCs w:val="22"/>
              </w:rPr>
            </w:pPr>
            <w:r w:rsidRPr="0012664E">
              <w:rPr>
                <w:sz w:val="22"/>
                <w:szCs w:val="22"/>
              </w:rPr>
              <w:t>JOBS Act</w:t>
            </w:r>
          </w:p>
        </w:tc>
        <w:tc>
          <w:tcPr>
            <w:tcW w:w="1435" w:type="dxa"/>
            <w:tcBorders>
              <w:top w:val="single" w:sz="4" w:space="0" w:color="auto"/>
            </w:tcBorders>
          </w:tcPr>
          <w:p w14:paraId="4B60353E" w14:textId="77777777" w:rsidR="002D4060" w:rsidRPr="0012664E" w:rsidRDefault="002D4060" w:rsidP="00281C7E">
            <w:pPr>
              <w:jc w:val="center"/>
              <w:rPr>
                <w:sz w:val="22"/>
                <w:szCs w:val="22"/>
              </w:rPr>
            </w:pPr>
            <w:r>
              <w:rPr>
                <w:sz w:val="22"/>
                <w:szCs w:val="22"/>
              </w:rPr>
              <w:t>-0.412***</w:t>
            </w:r>
          </w:p>
        </w:tc>
        <w:tc>
          <w:tcPr>
            <w:tcW w:w="1582" w:type="dxa"/>
            <w:tcBorders>
              <w:top w:val="single" w:sz="4" w:space="0" w:color="auto"/>
            </w:tcBorders>
          </w:tcPr>
          <w:p w14:paraId="44E76F54" w14:textId="77777777" w:rsidR="002D4060" w:rsidRPr="0012664E" w:rsidRDefault="002D4060" w:rsidP="00281C7E">
            <w:pPr>
              <w:jc w:val="center"/>
              <w:rPr>
                <w:sz w:val="22"/>
                <w:szCs w:val="22"/>
              </w:rPr>
            </w:pPr>
            <w:r>
              <w:rPr>
                <w:sz w:val="22"/>
                <w:szCs w:val="22"/>
              </w:rPr>
              <w:t>-0.397***</w:t>
            </w:r>
          </w:p>
        </w:tc>
        <w:tc>
          <w:tcPr>
            <w:tcW w:w="1582" w:type="dxa"/>
            <w:tcBorders>
              <w:top w:val="single" w:sz="4" w:space="0" w:color="auto"/>
            </w:tcBorders>
          </w:tcPr>
          <w:p w14:paraId="7DA6C141" w14:textId="77777777" w:rsidR="002D4060" w:rsidRPr="0012664E" w:rsidRDefault="002D4060" w:rsidP="00281C7E">
            <w:pPr>
              <w:jc w:val="center"/>
              <w:rPr>
                <w:sz w:val="22"/>
                <w:szCs w:val="22"/>
              </w:rPr>
            </w:pPr>
            <w:r>
              <w:rPr>
                <w:sz w:val="22"/>
                <w:szCs w:val="22"/>
              </w:rPr>
              <w:t>-0.831***</w:t>
            </w:r>
          </w:p>
        </w:tc>
        <w:tc>
          <w:tcPr>
            <w:tcW w:w="1582" w:type="dxa"/>
            <w:tcBorders>
              <w:top w:val="single" w:sz="4" w:space="0" w:color="auto"/>
            </w:tcBorders>
          </w:tcPr>
          <w:p w14:paraId="0150CF5B" w14:textId="77777777" w:rsidR="002D4060" w:rsidRPr="0012664E" w:rsidRDefault="002D4060" w:rsidP="00281C7E">
            <w:pPr>
              <w:jc w:val="center"/>
              <w:rPr>
                <w:sz w:val="22"/>
                <w:szCs w:val="22"/>
              </w:rPr>
            </w:pPr>
            <w:r>
              <w:rPr>
                <w:sz w:val="22"/>
                <w:szCs w:val="22"/>
              </w:rPr>
              <w:t>-0.456***</w:t>
            </w:r>
          </w:p>
        </w:tc>
      </w:tr>
      <w:tr w:rsidR="002D4060" w14:paraId="22C76212" w14:textId="77777777" w:rsidTr="00281C7E">
        <w:tc>
          <w:tcPr>
            <w:tcW w:w="2835" w:type="dxa"/>
          </w:tcPr>
          <w:p w14:paraId="7EBC1E70" w14:textId="77777777" w:rsidR="002D4060" w:rsidRPr="0012664E" w:rsidRDefault="002D4060" w:rsidP="00281C7E">
            <w:pPr>
              <w:rPr>
                <w:sz w:val="22"/>
                <w:szCs w:val="22"/>
              </w:rPr>
            </w:pPr>
          </w:p>
        </w:tc>
        <w:tc>
          <w:tcPr>
            <w:tcW w:w="1435" w:type="dxa"/>
          </w:tcPr>
          <w:p w14:paraId="11E8B9F2" w14:textId="77777777" w:rsidR="002D4060" w:rsidRPr="0012664E" w:rsidRDefault="002D4060" w:rsidP="00281C7E">
            <w:pPr>
              <w:jc w:val="center"/>
              <w:rPr>
                <w:sz w:val="22"/>
                <w:szCs w:val="22"/>
              </w:rPr>
            </w:pPr>
            <w:r>
              <w:rPr>
                <w:sz w:val="22"/>
                <w:szCs w:val="22"/>
              </w:rPr>
              <w:t>(-3.46)</w:t>
            </w:r>
          </w:p>
        </w:tc>
        <w:tc>
          <w:tcPr>
            <w:tcW w:w="1582" w:type="dxa"/>
          </w:tcPr>
          <w:p w14:paraId="28322F8A" w14:textId="77777777" w:rsidR="002D4060" w:rsidRPr="0012664E" w:rsidRDefault="002D4060" w:rsidP="00281C7E">
            <w:pPr>
              <w:jc w:val="center"/>
              <w:rPr>
                <w:sz w:val="22"/>
                <w:szCs w:val="22"/>
              </w:rPr>
            </w:pPr>
            <w:r>
              <w:rPr>
                <w:sz w:val="22"/>
                <w:szCs w:val="22"/>
              </w:rPr>
              <w:t>(-4.00)</w:t>
            </w:r>
          </w:p>
        </w:tc>
        <w:tc>
          <w:tcPr>
            <w:tcW w:w="1582" w:type="dxa"/>
          </w:tcPr>
          <w:p w14:paraId="28568492" w14:textId="77777777" w:rsidR="002D4060" w:rsidRPr="0012664E" w:rsidRDefault="002D4060" w:rsidP="00281C7E">
            <w:pPr>
              <w:jc w:val="center"/>
              <w:rPr>
                <w:sz w:val="22"/>
                <w:szCs w:val="22"/>
              </w:rPr>
            </w:pPr>
            <w:r>
              <w:rPr>
                <w:sz w:val="22"/>
                <w:szCs w:val="22"/>
              </w:rPr>
              <w:t>(-6.31)</w:t>
            </w:r>
          </w:p>
        </w:tc>
        <w:tc>
          <w:tcPr>
            <w:tcW w:w="1582" w:type="dxa"/>
          </w:tcPr>
          <w:p w14:paraId="1A289ACD" w14:textId="77777777" w:rsidR="002D4060" w:rsidRPr="0012664E" w:rsidRDefault="002D4060" w:rsidP="00281C7E">
            <w:pPr>
              <w:jc w:val="center"/>
              <w:rPr>
                <w:sz w:val="22"/>
                <w:szCs w:val="22"/>
              </w:rPr>
            </w:pPr>
            <w:r>
              <w:rPr>
                <w:sz w:val="22"/>
                <w:szCs w:val="22"/>
              </w:rPr>
              <w:t>(-4.89)</w:t>
            </w:r>
          </w:p>
        </w:tc>
      </w:tr>
      <w:tr w:rsidR="002D4060" w14:paraId="7254ED78" w14:textId="77777777" w:rsidTr="00281C7E">
        <w:tc>
          <w:tcPr>
            <w:tcW w:w="2835" w:type="dxa"/>
          </w:tcPr>
          <w:p w14:paraId="560A1DD6" w14:textId="77777777" w:rsidR="002D4060" w:rsidRPr="0012664E" w:rsidRDefault="002D4060" w:rsidP="00281C7E">
            <w:pPr>
              <w:rPr>
                <w:sz w:val="22"/>
                <w:szCs w:val="22"/>
              </w:rPr>
            </w:pPr>
            <w:r>
              <w:rPr>
                <w:sz w:val="22"/>
                <w:szCs w:val="22"/>
              </w:rPr>
              <w:t>non-SRC</w:t>
            </w:r>
          </w:p>
        </w:tc>
        <w:tc>
          <w:tcPr>
            <w:tcW w:w="1435" w:type="dxa"/>
          </w:tcPr>
          <w:p w14:paraId="5D2777A7" w14:textId="77777777" w:rsidR="002D4060" w:rsidRPr="0012664E" w:rsidRDefault="002D4060" w:rsidP="00281C7E">
            <w:pPr>
              <w:jc w:val="center"/>
              <w:rPr>
                <w:sz w:val="22"/>
                <w:szCs w:val="22"/>
              </w:rPr>
            </w:pPr>
            <w:r>
              <w:rPr>
                <w:sz w:val="22"/>
                <w:szCs w:val="22"/>
              </w:rPr>
              <w:t>-0.238**</w:t>
            </w:r>
          </w:p>
        </w:tc>
        <w:tc>
          <w:tcPr>
            <w:tcW w:w="1582" w:type="dxa"/>
          </w:tcPr>
          <w:p w14:paraId="4E26247F" w14:textId="77777777" w:rsidR="002D4060" w:rsidRPr="0012664E" w:rsidRDefault="002D4060" w:rsidP="00281C7E">
            <w:pPr>
              <w:jc w:val="center"/>
              <w:rPr>
                <w:sz w:val="22"/>
                <w:szCs w:val="22"/>
              </w:rPr>
            </w:pPr>
            <w:r>
              <w:rPr>
                <w:sz w:val="22"/>
                <w:szCs w:val="22"/>
              </w:rPr>
              <w:t>-0.178***</w:t>
            </w:r>
          </w:p>
        </w:tc>
        <w:tc>
          <w:tcPr>
            <w:tcW w:w="1582" w:type="dxa"/>
          </w:tcPr>
          <w:p w14:paraId="28530C62" w14:textId="77777777" w:rsidR="002D4060" w:rsidRPr="0012664E" w:rsidRDefault="002D4060" w:rsidP="00281C7E">
            <w:pPr>
              <w:jc w:val="center"/>
              <w:rPr>
                <w:sz w:val="22"/>
                <w:szCs w:val="22"/>
              </w:rPr>
            </w:pPr>
            <w:r>
              <w:rPr>
                <w:sz w:val="22"/>
                <w:szCs w:val="22"/>
              </w:rPr>
              <w:t>-0.111**</w:t>
            </w:r>
          </w:p>
        </w:tc>
        <w:tc>
          <w:tcPr>
            <w:tcW w:w="1582" w:type="dxa"/>
          </w:tcPr>
          <w:p w14:paraId="150EC2D4" w14:textId="77777777" w:rsidR="002D4060" w:rsidRPr="0012664E" w:rsidRDefault="002D4060" w:rsidP="00281C7E">
            <w:pPr>
              <w:jc w:val="center"/>
              <w:rPr>
                <w:sz w:val="22"/>
                <w:szCs w:val="22"/>
              </w:rPr>
            </w:pPr>
            <w:r>
              <w:rPr>
                <w:sz w:val="22"/>
                <w:szCs w:val="22"/>
              </w:rPr>
              <w:t>-0.145***</w:t>
            </w:r>
          </w:p>
        </w:tc>
      </w:tr>
      <w:tr w:rsidR="002D4060" w14:paraId="0ECDA393" w14:textId="77777777" w:rsidTr="00281C7E">
        <w:tc>
          <w:tcPr>
            <w:tcW w:w="2835" w:type="dxa"/>
          </w:tcPr>
          <w:p w14:paraId="3F27061C" w14:textId="77777777" w:rsidR="002D4060" w:rsidRPr="0012664E" w:rsidRDefault="002D4060" w:rsidP="00281C7E">
            <w:pPr>
              <w:rPr>
                <w:sz w:val="22"/>
                <w:szCs w:val="22"/>
              </w:rPr>
            </w:pPr>
          </w:p>
        </w:tc>
        <w:tc>
          <w:tcPr>
            <w:tcW w:w="1435" w:type="dxa"/>
          </w:tcPr>
          <w:p w14:paraId="57224134" w14:textId="77777777" w:rsidR="002D4060" w:rsidRPr="0012664E" w:rsidRDefault="002D4060" w:rsidP="00281C7E">
            <w:pPr>
              <w:jc w:val="center"/>
              <w:rPr>
                <w:sz w:val="22"/>
                <w:szCs w:val="22"/>
              </w:rPr>
            </w:pPr>
            <w:r>
              <w:rPr>
                <w:sz w:val="22"/>
                <w:szCs w:val="22"/>
              </w:rPr>
              <w:t>(-1.97)</w:t>
            </w:r>
          </w:p>
        </w:tc>
        <w:tc>
          <w:tcPr>
            <w:tcW w:w="1582" w:type="dxa"/>
          </w:tcPr>
          <w:p w14:paraId="582C4A58" w14:textId="77777777" w:rsidR="002D4060" w:rsidRPr="0012664E" w:rsidRDefault="002D4060" w:rsidP="00281C7E">
            <w:pPr>
              <w:jc w:val="center"/>
              <w:rPr>
                <w:sz w:val="22"/>
                <w:szCs w:val="22"/>
              </w:rPr>
            </w:pPr>
            <w:r>
              <w:rPr>
                <w:sz w:val="22"/>
                <w:szCs w:val="22"/>
              </w:rPr>
              <w:t>(-3.59)</w:t>
            </w:r>
          </w:p>
        </w:tc>
        <w:tc>
          <w:tcPr>
            <w:tcW w:w="1582" w:type="dxa"/>
          </w:tcPr>
          <w:p w14:paraId="362D05BC" w14:textId="77777777" w:rsidR="002D4060" w:rsidRPr="0012664E" w:rsidRDefault="002D4060" w:rsidP="00281C7E">
            <w:pPr>
              <w:jc w:val="center"/>
              <w:rPr>
                <w:sz w:val="22"/>
                <w:szCs w:val="22"/>
              </w:rPr>
            </w:pPr>
            <w:r>
              <w:rPr>
                <w:sz w:val="22"/>
                <w:szCs w:val="22"/>
              </w:rPr>
              <w:t>(-2.11)</w:t>
            </w:r>
          </w:p>
        </w:tc>
        <w:tc>
          <w:tcPr>
            <w:tcW w:w="1582" w:type="dxa"/>
          </w:tcPr>
          <w:p w14:paraId="7841C91F" w14:textId="77777777" w:rsidR="002D4060" w:rsidRPr="0012664E" w:rsidRDefault="002D4060" w:rsidP="00281C7E">
            <w:pPr>
              <w:jc w:val="center"/>
              <w:rPr>
                <w:sz w:val="22"/>
                <w:szCs w:val="22"/>
              </w:rPr>
            </w:pPr>
            <w:r>
              <w:rPr>
                <w:sz w:val="22"/>
                <w:szCs w:val="22"/>
              </w:rPr>
              <w:t>(-3.87)</w:t>
            </w:r>
          </w:p>
        </w:tc>
      </w:tr>
      <w:tr w:rsidR="002D4060" w14:paraId="679E8EFF" w14:textId="77777777" w:rsidTr="00281C7E">
        <w:tc>
          <w:tcPr>
            <w:tcW w:w="2835" w:type="dxa"/>
          </w:tcPr>
          <w:p w14:paraId="0208F4E1" w14:textId="77777777" w:rsidR="002D4060" w:rsidRPr="0012664E" w:rsidRDefault="002D4060" w:rsidP="00281C7E">
            <w:pPr>
              <w:rPr>
                <w:sz w:val="22"/>
                <w:szCs w:val="22"/>
              </w:rPr>
            </w:pPr>
            <w:r w:rsidRPr="0012664E">
              <w:rPr>
                <w:sz w:val="22"/>
                <w:szCs w:val="22"/>
              </w:rPr>
              <w:t xml:space="preserve">JOBS Act * </w:t>
            </w:r>
            <w:r>
              <w:rPr>
                <w:sz w:val="22"/>
                <w:szCs w:val="22"/>
              </w:rPr>
              <w:t>non-SRC</w:t>
            </w:r>
          </w:p>
        </w:tc>
        <w:tc>
          <w:tcPr>
            <w:tcW w:w="1435" w:type="dxa"/>
          </w:tcPr>
          <w:p w14:paraId="2CA7113D" w14:textId="77777777" w:rsidR="002D4060" w:rsidRPr="0012664E" w:rsidRDefault="002D4060" w:rsidP="00281C7E">
            <w:pPr>
              <w:jc w:val="center"/>
              <w:rPr>
                <w:sz w:val="22"/>
                <w:szCs w:val="22"/>
              </w:rPr>
            </w:pPr>
            <w:r>
              <w:rPr>
                <w:sz w:val="22"/>
                <w:szCs w:val="22"/>
              </w:rPr>
              <w:t>-0.042</w:t>
            </w:r>
          </w:p>
        </w:tc>
        <w:tc>
          <w:tcPr>
            <w:tcW w:w="1582" w:type="dxa"/>
          </w:tcPr>
          <w:p w14:paraId="204D1F2A" w14:textId="77777777" w:rsidR="002D4060" w:rsidRPr="0012664E" w:rsidRDefault="002D4060" w:rsidP="00281C7E">
            <w:pPr>
              <w:jc w:val="center"/>
              <w:rPr>
                <w:sz w:val="22"/>
                <w:szCs w:val="22"/>
              </w:rPr>
            </w:pPr>
            <w:r>
              <w:rPr>
                <w:sz w:val="22"/>
                <w:szCs w:val="22"/>
              </w:rPr>
              <w:t>0.114</w:t>
            </w:r>
          </w:p>
        </w:tc>
        <w:tc>
          <w:tcPr>
            <w:tcW w:w="1582" w:type="dxa"/>
          </w:tcPr>
          <w:p w14:paraId="49B15C1C" w14:textId="77777777" w:rsidR="002D4060" w:rsidRPr="0012664E" w:rsidRDefault="002D4060" w:rsidP="00281C7E">
            <w:pPr>
              <w:jc w:val="center"/>
              <w:rPr>
                <w:sz w:val="22"/>
                <w:szCs w:val="22"/>
              </w:rPr>
            </w:pPr>
            <w:r>
              <w:rPr>
                <w:sz w:val="22"/>
                <w:szCs w:val="22"/>
              </w:rPr>
              <w:t>0.101</w:t>
            </w:r>
          </w:p>
        </w:tc>
        <w:tc>
          <w:tcPr>
            <w:tcW w:w="1582" w:type="dxa"/>
          </w:tcPr>
          <w:p w14:paraId="34276D72" w14:textId="77777777" w:rsidR="002D4060" w:rsidRPr="0012664E" w:rsidRDefault="002D4060" w:rsidP="00281C7E">
            <w:pPr>
              <w:jc w:val="center"/>
              <w:rPr>
                <w:sz w:val="22"/>
                <w:szCs w:val="22"/>
              </w:rPr>
            </w:pPr>
            <w:r>
              <w:rPr>
                <w:sz w:val="22"/>
                <w:szCs w:val="22"/>
              </w:rPr>
              <w:t>0.045</w:t>
            </w:r>
          </w:p>
        </w:tc>
      </w:tr>
      <w:tr w:rsidR="002D4060" w14:paraId="50A08846" w14:textId="77777777" w:rsidTr="00281C7E">
        <w:tc>
          <w:tcPr>
            <w:tcW w:w="2835" w:type="dxa"/>
          </w:tcPr>
          <w:p w14:paraId="48E0ABA5" w14:textId="77777777" w:rsidR="002D4060" w:rsidRPr="0012664E" w:rsidRDefault="002D4060" w:rsidP="00281C7E">
            <w:pPr>
              <w:rPr>
                <w:sz w:val="22"/>
                <w:szCs w:val="22"/>
              </w:rPr>
            </w:pPr>
          </w:p>
        </w:tc>
        <w:tc>
          <w:tcPr>
            <w:tcW w:w="1435" w:type="dxa"/>
          </w:tcPr>
          <w:p w14:paraId="6E25BF11" w14:textId="77777777" w:rsidR="002D4060" w:rsidRPr="0012664E" w:rsidRDefault="002D4060" w:rsidP="00281C7E">
            <w:pPr>
              <w:jc w:val="center"/>
              <w:rPr>
                <w:sz w:val="22"/>
                <w:szCs w:val="22"/>
              </w:rPr>
            </w:pPr>
            <w:r>
              <w:rPr>
                <w:sz w:val="22"/>
                <w:szCs w:val="22"/>
              </w:rPr>
              <w:t>(-0.32)</w:t>
            </w:r>
          </w:p>
        </w:tc>
        <w:tc>
          <w:tcPr>
            <w:tcW w:w="1582" w:type="dxa"/>
          </w:tcPr>
          <w:p w14:paraId="391FDF1F" w14:textId="77777777" w:rsidR="002D4060" w:rsidRPr="0012664E" w:rsidRDefault="002D4060" w:rsidP="00281C7E">
            <w:pPr>
              <w:jc w:val="center"/>
              <w:rPr>
                <w:sz w:val="22"/>
                <w:szCs w:val="22"/>
              </w:rPr>
            </w:pPr>
            <w:r>
              <w:rPr>
                <w:sz w:val="22"/>
                <w:szCs w:val="22"/>
              </w:rPr>
              <w:t>(0.94)</w:t>
            </w:r>
          </w:p>
        </w:tc>
        <w:tc>
          <w:tcPr>
            <w:tcW w:w="1582" w:type="dxa"/>
          </w:tcPr>
          <w:p w14:paraId="16BF6A20" w14:textId="77777777" w:rsidR="002D4060" w:rsidRPr="0012664E" w:rsidRDefault="002D4060" w:rsidP="00281C7E">
            <w:pPr>
              <w:jc w:val="center"/>
              <w:rPr>
                <w:sz w:val="22"/>
                <w:szCs w:val="22"/>
              </w:rPr>
            </w:pPr>
            <w:r>
              <w:rPr>
                <w:sz w:val="22"/>
                <w:szCs w:val="22"/>
              </w:rPr>
              <w:t>(1.24)</w:t>
            </w:r>
          </w:p>
        </w:tc>
        <w:tc>
          <w:tcPr>
            <w:tcW w:w="1582" w:type="dxa"/>
          </w:tcPr>
          <w:p w14:paraId="48571A80" w14:textId="77777777" w:rsidR="002D4060" w:rsidRPr="0012664E" w:rsidRDefault="002D4060" w:rsidP="00281C7E">
            <w:pPr>
              <w:jc w:val="center"/>
              <w:rPr>
                <w:sz w:val="22"/>
                <w:szCs w:val="22"/>
              </w:rPr>
            </w:pPr>
            <w:r>
              <w:rPr>
                <w:sz w:val="22"/>
                <w:szCs w:val="22"/>
              </w:rPr>
              <w:t>(0.41)</w:t>
            </w:r>
          </w:p>
        </w:tc>
      </w:tr>
      <w:tr w:rsidR="002D4060" w14:paraId="3F2C4779" w14:textId="77777777" w:rsidTr="00281C7E">
        <w:tc>
          <w:tcPr>
            <w:tcW w:w="2835" w:type="dxa"/>
          </w:tcPr>
          <w:p w14:paraId="3998D539" w14:textId="77777777" w:rsidR="002D4060" w:rsidRPr="0012664E" w:rsidRDefault="002D4060" w:rsidP="00281C7E">
            <w:pPr>
              <w:rPr>
                <w:sz w:val="22"/>
                <w:szCs w:val="22"/>
              </w:rPr>
            </w:pPr>
          </w:p>
        </w:tc>
        <w:tc>
          <w:tcPr>
            <w:tcW w:w="1435" w:type="dxa"/>
            <w:vAlign w:val="center"/>
          </w:tcPr>
          <w:p w14:paraId="3738C5D9" w14:textId="77777777" w:rsidR="002D4060" w:rsidRPr="0012664E" w:rsidRDefault="002D4060" w:rsidP="00281C7E">
            <w:pPr>
              <w:jc w:val="center"/>
              <w:rPr>
                <w:sz w:val="22"/>
                <w:szCs w:val="22"/>
              </w:rPr>
            </w:pPr>
          </w:p>
        </w:tc>
        <w:tc>
          <w:tcPr>
            <w:tcW w:w="1582" w:type="dxa"/>
            <w:vAlign w:val="center"/>
          </w:tcPr>
          <w:p w14:paraId="180ADD04" w14:textId="77777777" w:rsidR="002D4060" w:rsidRPr="0012664E" w:rsidRDefault="002D4060" w:rsidP="00281C7E">
            <w:pPr>
              <w:jc w:val="center"/>
              <w:rPr>
                <w:sz w:val="22"/>
                <w:szCs w:val="22"/>
              </w:rPr>
            </w:pPr>
          </w:p>
        </w:tc>
        <w:tc>
          <w:tcPr>
            <w:tcW w:w="1582" w:type="dxa"/>
            <w:vAlign w:val="center"/>
          </w:tcPr>
          <w:p w14:paraId="73CDAB5B" w14:textId="77777777" w:rsidR="002D4060" w:rsidRPr="0012664E" w:rsidRDefault="002D4060" w:rsidP="00281C7E">
            <w:pPr>
              <w:jc w:val="center"/>
              <w:rPr>
                <w:sz w:val="22"/>
                <w:szCs w:val="22"/>
              </w:rPr>
            </w:pPr>
          </w:p>
        </w:tc>
        <w:tc>
          <w:tcPr>
            <w:tcW w:w="1582" w:type="dxa"/>
            <w:vAlign w:val="center"/>
          </w:tcPr>
          <w:p w14:paraId="3433B826" w14:textId="77777777" w:rsidR="002D4060" w:rsidRPr="0012664E" w:rsidRDefault="002D4060" w:rsidP="00281C7E">
            <w:pPr>
              <w:jc w:val="center"/>
              <w:rPr>
                <w:sz w:val="22"/>
                <w:szCs w:val="22"/>
              </w:rPr>
            </w:pPr>
          </w:p>
        </w:tc>
      </w:tr>
      <w:tr w:rsidR="002D4060" w14:paraId="625D9948" w14:textId="77777777" w:rsidTr="00281C7E">
        <w:tc>
          <w:tcPr>
            <w:tcW w:w="2835" w:type="dxa"/>
          </w:tcPr>
          <w:p w14:paraId="20BEB33E" w14:textId="77777777" w:rsidR="002D4060" w:rsidRPr="0012664E" w:rsidRDefault="002D4060" w:rsidP="00281C7E">
            <w:pPr>
              <w:rPr>
                <w:sz w:val="22"/>
                <w:szCs w:val="22"/>
              </w:rPr>
            </w:pPr>
            <w:r>
              <w:rPr>
                <w:sz w:val="22"/>
                <w:szCs w:val="22"/>
              </w:rPr>
              <w:t>Controls</w:t>
            </w:r>
          </w:p>
        </w:tc>
        <w:tc>
          <w:tcPr>
            <w:tcW w:w="1435" w:type="dxa"/>
            <w:vAlign w:val="center"/>
          </w:tcPr>
          <w:p w14:paraId="4EEF1389" w14:textId="77777777" w:rsidR="002D4060" w:rsidRPr="0012664E" w:rsidRDefault="002D4060" w:rsidP="00281C7E">
            <w:pPr>
              <w:jc w:val="center"/>
              <w:rPr>
                <w:rFonts w:eastAsia="Times New Roman"/>
                <w:color w:val="000000"/>
                <w:sz w:val="22"/>
                <w:szCs w:val="22"/>
                <w:lang w:val="en-US" w:eastAsia="en-US"/>
              </w:rPr>
            </w:pPr>
            <w:r w:rsidRPr="0012664E">
              <w:rPr>
                <w:rFonts w:eastAsia="Times New Roman"/>
                <w:color w:val="000000"/>
                <w:sz w:val="22"/>
                <w:szCs w:val="22"/>
                <w:lang w:val="en-US" w:eastAsia="en-US"/>
              </w:rPr>
              <w:t>Included</w:t>
            </w:r>
          </w:p>
        </w:tc>
        <w:tc>
          <w:tcPr>
            <w:tcW w:w="1582" w:type="dxa"/>
            <w:vAlign w:val="center"/>
          </w:tcPr>
          <w:p w14:paraId="44CD4995" w14:textId="77777777" w:rsidR="002D4060" w:rsidRPr="0012664E" w:rsidRDefault="002D4060" w:rsidP="00281C7E">
            <w:pPr>
              <w:jc w:val="center"/>
              <w:rPr>
                <w:rFonts w:eastAsia="Times New Roman"/>
                <w:color w:val="000000"/>
                <w:sz w:val="22"/>
                <w:szCs w:val="22"/>
                <w:lang w:val="en-US" w:eastAsia="en-US"/>
              </w:rPr>
            </w:pPr>
            <w:r w:rsidRPr="0012664E">
              <w:rPr>
                <w:rFonts w:eastAsia="Times New Roman"/>
                <w:color w:val="000000"/>
                <w:sz w:val="22"/>
                <w:szCs w:val="22"/>
                <w:lang w:val="en-US" w:eastAsia="en-US"/>
              </w:rPr>
              <w:t>Included</w:t>
            </w:r>
          </w:p>
        </w:tc>
        <w:tc>
          <w:tcPr>
            <w:tcW w:w="1582" w:type="dxa"/>
            <w:vAlign w:val="center"/>
          </w:tcPr>
          <w:p w14:paraId="128CB8AA" w14:textId="77777777" w:rsidR="002D4060" w:rsidRPr="0012664E" w:rsidRDefault="002D4060" w:rsidP="00281C7E">
            <w:pPr>
              <w:jc w:val="center"/>
              <w:rPr>
                <w:rFonts w:eastAsia="Times New Roman"/>
                <w:color w:val="000000"/>
                <w:sz w:val="22"/>
                <w:szCs w:val="22"/>
                <w:lang w:val="en-US" w:eastAsia="en-US"/>
              </w:rPr>
            </w:pPr>
            <w:r w:rsidRPr="0012664E">
              <w:rPr>
                <w:rFonts w:eastAsia="Times New Roman"/>
                <w:color w:val="000000"/>
                <w:sz w:val="22"/>
                <w:szCs w:val="22"/>
                <w:lang w:val="en-US" w:eastAsia="en-US"/>
              </w:rPr>
              <w:t>Included</w:t>
            </w:r>
          </w:p>
        </w:tc>
        <w:tc>
          <w:tcPr>
            <w:tcW w:w="1582" w:type="dxa"/>
            <w:vAlign w:val="center"/>
          </w:tcPr>
          <w:p w14:paraId="3B951BF0" w14:textId="77777777" w:rsidR="002D4060" w:rsidRPr="0012664E" w:rsidRDefault="002D4060" w:rsidP="00281C7E">
            <w:pPr>
              <w:jc w:val="center"/>
              <w:rPr>
                <w:rFonts w:eastAsia="Times New Roman"/>
                <w:color w:val="000000"/>
                <w:sz w:val="22"/>
                <w:szCs w:val="22"/>
                <w:lang w:val="en-US" w:eastAsia="en-US"/>
              </w:rPr>
            </w:pPr>
            <w:r w:rsidRPr="0012664E">
              <w:rPr>
                <w:rFonts w:eastAsia="Times New Roman"/>
                <w:color w:val="000000"/>
                <w:sz w:val="22"/>
                <w:szCs w:val="22"/>
                <w:lang w:val="en-US" w:eastAsia="en-US"/>
              </w:rPr>
              <w:t>Included</w:t>
            </w:r>
          </w:p>
        </w:tc>
      </w:tr>
      <w:tr w:rsidR="002D4060" w14:paraId="27E47EC2" w14:textId="77777777" w:rsidTr="00281C7E">
        <w:tc>
          <w:tcPr>
            <w:tcW w:w="2835" w:type="dxa"/>
          </w:tcPr>
          <w:p w14:paraId="3BCE49DB" w14:textId="77777777" w:rsidR="002D4060" w:rsidRPr="0012664E" w:rsidRDefault="002D4060" w:rsidP="00281C7E">
            <w:pPr>
              <w:rPr>
                <w:sz w:val="22"/>
                <w:szCs w:val="22"/>
              </w:rPr>
            </w:pPr>
            <w:r w:rsidRPr="0012664E">
              <w:rPr>
                <w:sz w:val="22"/>
                <w:szCs w:val="22"/>
              </w:rPr>
              <w:t>Industry FE</w:t>
            </w:r>
          </w:p>
        </w:tc>
        <w:tc>
          <w:tcPr>
            <w:tcW w:w="1435" w:type="dxa"/>
            <w:vAlign w:val="center"/>
          </w:tcPr>
          <w:p w14:paraId="73F42335" w14:textId="77777777" w:rsidR="002D4060" w:rsidRPr="0012664E" w:rsidRDefault="002D4060" w:rsidP="00281C7E">
            <w:pPr>
              <w:jc w:val="center"/>
              <w:rPr>
                <w:sz w:val="22"/>
                <w:szCs w:val="22"/>
              </w:rPr>
            </w:pPr>
            <w:r w:rsidRPr="0012664E">
              <w:rPr>
                <w:rFonts w:eastAsia="Times New Roman"/>
                <w:color w:val="000000"/>
                <w:sz w:val="22"/>
                <w:szCs w:val="22"/>
                <w:lang w:val="en-US" w:eastAsia="en-US"/>
              </w:rPr>
              <w:t>Included</w:t>
            </w:r>
          </w:p>
        </w:tc>
        <w:tc>
          <w:tcPr>
            <w:tcW w:w="1582" w:type="dxa"/>
            <w:vAlign w:val="center"/>
          </w:tcPr>
          <w:p w14:paraId="77F7A17C" w14:textId="77777777" w:rsidR="002D4060" w:rsidRPr="0012664E" w:rsidRDefault="002D4060" w:rsidP="00281C7E">
            <w:pPr>
              <w:jc w:val="center"/>
              <w:rPr>
                <w:sz w:val="22"/>
                <w:szCs w:val="22"/>
              </w:rPr>
            </w:pPr>
            <w:r w:rsidRPr="0012664E">
              <w:rPr>
                <w:rFonts w:eastAsia="Times New Roman"/>
                <w:color w:val="000000"/>
                <w:sz w:val="22"/>
                <w:szCs w:val="22"/>
                <w:lang w:val="en-US" w:eastAsia="en-US"/>
              </w:rPr>
              <w:t>Included</w:t>
            </w:r>
          </w:p>
        </w:tc>
        <w:tc>
          <w:tcPr>
            <w:tcW w:w="1582" w:type="dxa"/>
            <w:vAlign w:val="center"/>
          </w:tcPr>
          <w:p w14:paraId="71FB0E5A" w14:textId="77777777" w:rsidR="002D4060" w:rsidRPr="0012664E" w:rsidRDefault="002D4060" w:rsidP="00281C7E">
            <w:pPr>
              <w:jc w:val="center"/>
              <w:rPr>
                <w:sz w:val="22"/>
                <w:szCs w:val="22"/>
              </w:rPr>
            </w:pPr>
            <w:r w:rsidRPr="0012664E">
              <w:rPr>
                <w:rFonts w:eastAsia="Times New Roman"/>
                <w:color w:val="000000"/>
                <w:sz w:val="22"/>
                <w:szCs w:val="22"/>
                <w:lang w:val="en-US" w:eastAsia="en-US"/>
              </w:rPr>
              <w:t>Included</w:t>
            </w:r>
          </w:p>
        </w:tc>
        <w:tc>
          <w:tcPr>
            <w:tcW w:w="1582" w:type="dxa"/>
            <w:vAlign w:val="center"/>
          </w:tcPr>
          <w:p w14:paraId="476279B9" w14:textId="77777777" w:rsidR="002D4060" w:rsidRPr="0012664E" w:rsidRDefault="002D4060" w:rsidP="00281C7E">
            <w:pPr>
              <w:jc w:val="center"/>
              <w:rPr>
                <w:sz w:val="22"/>
                <w:szCs w:val="22"/>
              </w:rPr>
            </w:pPr>
            <w:r w:rsidRPr="0012664E">
              <w:rPr>
                <w:rFonts w:eastAsia="Times New Roman"/>
                <w:color w:val="000000"/>
                <w:sz w:val="22"/>
                <w:szCs w:val="22"/>
                <w:lang w:val="en-US" w:eastAsia="en-US"/>
              </w:rPr>
              <w:t>Included</w:t>
            </w:r>
          </w:p>
        </w:tc>
      </w:tr>
      <w:tr w:rsidR="002D4060" w14:paraId="5FDCFE43" w14:textId="77777777" w:rsidTr="00281C7E">
        <w:tc>
          <w:tcPr>
            <w:tcW w:w="2835" w:type="dxa"/>
          </w:tcPr>
          <w:p w14:paraId="03DF9612" w14:textId="77777777" w:rsidR="002D4060" w:rsidRPr="0012664E" w:rsidRDefault="002D4060" w:rsidP="00281C7E">
            <w:pPr>
              <w:rPr>
                <w:sz w:val="22"/>
                <w:szCs w:val="22"/>
              </w:rPr>
            </w:pPr>
            <w:r w:rsidRPr="0012664E">
              <w:rPr>
                <w:sz w:val="22"/>
                <w:szCs w:val="22"/>
              </w:rPr>
              <w:t>N</w:t>
            </w:r>
          </w:p>
        </w:tc>
        <w:tc>
          <w:tcPr>
            <w:tcW w:w="1435" w:type="dxa"/>
            <w:vAlign w:val="center"/>
          </w:tcPr>
          <w:p w14:paraId="338CEFDB" w14:textId="77777777" w:rsidR="002D4060" w:rsidRPr="0012664E" w:rsidRDefault="002D4060" w:rsidP="00281C7E">
            <w:pPr>
              <w:jc w:val="center"/>
              <w:rPr>
                <w:sz w:val="22"/>
                <w:szCs w:val="22"/>
              </w:rPr>
            </w:pPr>
            <w:r w:rsidRPr="0012664E">
              <w:rPr>
                <w:rFonts w:eastAsia="Times New Roman"/>
                <w:color w:val="000000"/>
                <w:sz w:val="22"/>
                <w:szCs w:val="22"/>
                <w:lang w:val="en-US" w:eastAsia="en-US"/>
              </w:rPr>
              <w:t>7</w:t>
            </w:r>
            <w:r>
              <w:rPr>
                <w:rFonts w:eastAsia="Times New Roman"/>
                <w:color w:val="000000"/>
                <w:sz w:val="22"/>
                <w:szCs w:val="22"/>
                <w:lang w:val="en-US" w:eastAsia="en-US"/>
              </w:rPr>
              <w:t>22</w:t>
            </w:r>
          </w:p>
        </w:tc>
        <w:tc>
          <w:tcPr>
            <w:tcW w:w="1582" w:type="dxa"/>
            <w:vAlign w:val="center"/>
          </w:tcPr>
          <w:p w14:paraId="40DA6AB1" w14:textId="77777777" w:rsidR="002D4060" w:rsidRPr="0012664E" w:rsidRDefault="002D4060" w:rsidP="00281C7E">
            <w:pPr>
              <w:jc w:val="center"/>
              <w:rPr>
                <w:sz w:val="22"/>
                <w:szCs w:val="22"/>
              </w:rPr>
            </w:pPr>
            <w:r w:rsidRPr="0012664E">
              <w:rPr>
                <w:rFonts w:eastAsia="Times New Roman"/>
                <w:color w:val="000000"/>
                <w:sz w:val="22"/>
                <w:szCs w:val="22"/>
                <w:lang w:val="en-US" w:eastAsia="en-US"/>
              </w:rPr>
              <w:t>7</w:t>
            </w:r>
            <w:r>
              <w:rPr>
                <w:rFonts w:eastAsia="Times New Roman"/>
                <w:color w:val="000000"/>
                <w:sz w:val="22"/>
                <w:szCs w:val="22"/>
                <w:lang w:val="en-US" w:eastAsia="en-US"/>
              </w:rPr>
              <w:t>22</w:t>
            </w:r>
          </w:p>
        </w:tc>
        <w:tc>
          <w:tcPr>
            <w:tcW w:w="1582" w:type="dxa"/>
            <w:vAlign w:val="center"/>
          </w:tcPr>
          <w:p w14:paraId="163BE2BE" w14:textId="77777777" w:rsidR="002D4060" w:rsidRPr="0012664E" w:rsidRDefault="002D4060" w:rsidP="00281C7E">
            <w:pPr>
              <w:jc w:val="center"/>
              <w:rPr>
                <w:sz w:val="22"/>
                <w:szCs w:val="22"/>
              </w:rPr>
            </w:pPr>
            <w:r w:rsidRPr="0012664E">
              <w:rPr>
                <w:rFonts w:eastAsia="Times New Roman"/>
                <w:color w:val="000000"/>
                <w:sz w:val="22"/>
                <w:szCs w:val="22"/>
                <w:lang w:val="en-US" w:eastAsia="en-US"/>
              </w:rPr>
              <w:t>7</w:t>
            </w:r>
            <w:r>
              <w:rPr>
                <w:rFonts w:eastAsia="Times New Roman"/>
                <w:color w:val="000000"/>
                <w:sz w:val="22"/>
                <w:szCs w:val="22"/>
                <w:lang w:val="en-US" w:eastAsia="en-US"/>
              </w:rPr>
              <w:t>22</w:t>
            </w:r>
          </w:p>
        </w:tc>
        <w:tc>
          <w:tcPr>
            <w:tcW w:w="1582" w:type="dxa"/>
            <w:vAlign w:val="center"/>
          </w:tcPr>
          <w:p w14:paraId="12764FB8" w14:textId="77777777" w:rsidR="002D4060" w:rsidRPr="0012664E" w:rsidRDefault="002D4060" w:rsidP="00281C7E">
            <w:pPr>
              <w:jc w:val="center"/>
              <w:rPr>
                <w:sz w:val="22"/>
                <w:szCs w:val="22"/>
              </w:rPr>
            </w:pPr>
            <w:r w:rsidRPr="0012664E">
              <w:rPr>
                <w:rFonts w:eastAsia="Times New Roman"/>
                <w:color w:val="000000"/>
                <w:sz w:val="22"/>
                <w:szCs w:val="22"/>
                <w:lang w:val="en-US" w:eastAsia="en-US"/>
              </w:rPr>
              <w:t>7</w:t>
            </w:r>
            <w:r>
              <w:rPr>
                <w:rFonts w:eastAsia="Times New Roman"/>
                <w:color w:val="000000"/>
                <w:sz w:val="22"/>
                <w:szCs w:val="22"/>
                <w:lang w:val="en-US" w:eastAsia="en-US"/>
              </w:rPr>
              <w:t>22</w:t>
            </w:r>
          </w:p>
        </w:tc>
      </w:tr>
      <w:tr w:rsidR="002D4060" w14:paraId="2DED8B73" w14:textId="77777777" w:rsidTr="00281C7E">
        <w:tc>
          <w:tcPr>
            <w:tcW w:w="2835" w:type="dxa"/>
            <w:tcBorders>
              <w:bottom w:val="single" w:sz="4" w:space="0" w:color="auto"/>
            </w:tcBorders>
          </w:tcPr>
          <w:p w14:paraId="3C1347ED" w14:textId="77777777" w:rsidR="002D4060" w:rsidRPr="0012664E" w:rsidRDefault="002D4060" w:rsidP="00281C7E">
            <w:pPr>
              <w:rPr>
                <w:sz w:val="22"/>
                <w:szCs w:val="22"/>
              </w:rPr>
            </w:pPr>
            <w:r w:rsidRPr="0012664E">
              <w:rPr>
                <w:sz w:val="22"/>
                <w:szCs w:val="22"/>
              </w:rPr>
              <w:t>Pseudo R</w:t>
            </w:r>
            <w:r w:rsidRPr="0012664E">
              <w:rPr>
                <w:sz w:val="22"/>
                <w:szCs w:val="22"/>
                <w:vertAlign w:val="superscript"/>
              </w:rPr>
              <w:t>2</w:t>
            </w:r>
          </w:p>
        </w:tc>
        <w:tc>
          <w:tcPr>
            <w:tcW w:w="1435" w:type="dxa"/>
            <w:tcBorders>
              <w:bottom w:val="single" w:sz="4" w:space="0" w:color="auto"/>
            </w:tcBorders>
            <w:vAlign w:val="center"/>
          </w:tcPr>
          <w:p w14:paraId="4ABB250A" w14:textId="77777777" w:rsidR="002D4060" w:rsidRPr="0012664E" w:rsidRDefault="002D4060" w:rsidP="00281C7E">
            <w:pPr>
              <w:jc w:val="center"/>
              <w:rPr>
                <w:sz w:val="22"/>
                <w:szCs w:val="22"/>
              </w:rPr>
            </w:pPr>
            <w:r w:rsidRPr="0012664E">
              <w:rPr>
                <w:rFonts w:eastAsia="Times New Roman"/>
                <w:color w:val="000000"/>
                <w:sz w:val="22"/>
                <w:szCs w:val="22"/>
                <w:lang w:val="en-US" w:eastAsia="en-US"/>
              </w:rPr>
              <w:t>0.06</w:t>
            </w:r>
            <w:r>
              <w:rPr>
                <w:rFonts w:eastAsia="Times New Roman"/>
                <w:color w:val="000000"/>
                <w:sz w:val="22"/>
                <w:szCs w:val="22"/>
                <w:lang w:val="en-US" w:eastAsia="en-US"/>
              </w:rPr>
              <w:t>5</w:t>
            </w:r>
          </w:p>
        </w:tc>
        <w:tc>
          <w:tcPr>
            <w:tcW w:w="1582" w:type="dxa"/>
            <w:tcBorders>
              <w:bottom w:val="single" w:sz="4" w:space="0" w:color="auto"/>
            </w:tcBorders>
            <w:vAlign w:val="center"/>
          </w:tcPr>
          <w:p w14:paraId="0888D797" w14:textId="77777777" w:rsidR="002D4060" w:rsidRPr="0012664E" w:rsidRDefault="002D4060" w:rsidP="00281C7E">
            <w:pPr>
              <w:jc w:val="center"/>
              <w:rPr>
                <w:sz w:val="22"/>
                <w:szCs w:val="22"/>
              </w:rPr>
            </w:pPr>
            <w:r w:rsidRPr="0012664E">
              <w:rPr>
                <w:rFonts w:eastAsia="Times New Roman"/>
                <w:color w:val="000000"/>
                <w:sz w:val="22"/>
                <w:szCs w:val="22"/>
                <w:lang w:val="en-US" w:eastAsia="en-US"/>
              </w:rPr>
              <w:t>0.1</w:t>
            </w:r>
            <w:r>
              <w:rPr>
                <w:rFonts w:eastAsia="Times New Roman"/>
                <w:color w:val="000000"/>
                <w:sz w:val="22"/>
                <w:szCs w:val="22"/>
                <w:lang w:val="en-US" w:eastAsia="en-US"/>
              </w:rPr>
              <w:t>46</w:t>
            </w:r>
          </w:p>
        </w:tc>
        <w:tc>
          <w:tcPr>
            <w:tcW w:w="1582" w:type="dxa"/>
            <w:tcBorders>
              <w:bottom w:val="single" w:sz="4" w:space="0" w:color="auto"/>
            </w:tcBorders>
            <w:vAlign w:val="center"/>
          </w:tcPr>
          <w:p w14:paraId="04C35F00" w14:textId="77777777" w:rsidR="002D4060" w:rsidRPr="0012664E" w:rsidRDefault="002D4060" w:rsidP="00281C7E">
            <w:pPr>
              <w:jc w:val="center"/>
              <w:rPr>
                <w:sz w:val="22"/>
                <w:szCs w:val="22"/>
              </w:rPr>
            </w:pPr>
            <w:r w:rsidRPr="0012664E">
              <w:rPr>
                <w:rFonts w:eastAsia="Times New Roman"/>
                <w:color w:val="000000"/>
                <w:sz w:val="22"/>
                <w:szCs w:val="22"/>
                <w:lang w:val="en-US" w:eastAsia="en-US"/>
              </w:rPr>
              <w:t>0.09</w:t>
            </w:r>
            <w:r>
              <w:rPr>
                <w:rFonts w:eastAsia="Times New Roman"/>
                <w:color w:val="000000"/>
                <w:sz w:val="22"/>
                <w:szCs w:val="22"/>
                <w:lang w:val="en-US" w:eastAsia="en-US"/>
              </w:rPr>
              <w:t>6</w:t>
            </w:r>
          </w:p>
        </w:tc>
        <w:tc>
          <w:tcPr>
            <w:tcW w:w="1582" w:type="dxa"/>
            <w:tcBorders>
              <w:bottom w:val="single" w:sz="4" w:space="0" w:color="auto"/>
            </w:tcBorders>
            <w:vAlign w:val="center"/>
          </w:tcPr>
          <w:p w14:paraId="56203DBE" w14:textId="77777777" w:rsidR="002D4060" w:rsidRPr="0012664E" w:rsidRDefault="002D4060" w:rsidP="00281C7E">
            <w:pPr>
              <w:jc w:val="center"/>
              <w:rPr>
                <w:sz w:val="22"/>
                <w:szCs w:val="22"/>
              </w:rPr>
            </w:pPr>
            <w:r w:rsidRPr="0012664E">
              <w:rPr>
                <w:rFonts w:eastAsia="Times New Roman"/>
                <w:color w:val="000000"/>
                <w:sz w:val="22"/>
                <w:szCs w:val="22"/>
                <w:lang w:val="en-US" w:eastAsia="en-US"/>
              </w:rPr>
              <w:t>0.16</w:t>
            </w:r>
            <w:r>
              <w:rPr>
                <w:rFonts w:eastAsia="Times New Roman"/>
                <w:color w:val="000000"/>
                <w:sz w:val="22"/>
                <w:szCs w:val="22"/>
                <w:lang w:val="en-US" w:eastAsia="en-US"/>
              </w:rPr>
              <w:t>3</w:t>
            </w:r>
          </w:p>
        </w:tc>
      </w:tr>
      <w:tr w:rsidR="002D4060" w14:paraId="0DD5FFA8" w14:textId="77777777" w:rsidTr="00281C7E">
        <w:tc>
          <w:tcPr>
            <w:tcW w:w="9016" w:type="dxa"/>
            <w:gridSpan w:val="5"/>
            <w:tcBorders>
              <w:top w:val="single" w:sz="4" w:space="0" w:color="auto"/>
              <w:bottom w:val="single" w:sz="4" w:space="0" w:color="auto"/>
            </w:tcBorders>
            <w:vAlign w:val="center"/>
          </w:tcPr>
          <w:p w14:paraId="0D0B8410" w14:textId="128CE2C7" w:rsidR="002D4060" w:rsidRPr="00AF64DF" w:rsidRDefault="002D4060" w:rsidP="00281C7E">
            <w:pPr>
              <w:spacing w:before="120" w:after="120"/>
              <w:jc w:val="both"/>
              <w:rPr>
                <w:rFonts w:eastAsia="Times New Roman"/>
                <w:color w:val="000000"/>
                <w:sz w:val="20"/>
                <w:szCs w:val="20"/>
                <w:lang w:val="en-US" w:eastAsia="en-US"/>
              </w:rPr>
            </w:pPr>
            <w:r w:rsidRPr="00AF64DF">
              <w:rPr>
                <w:rFonts w:eastAsia="Times New Roman"/>
                <w:color w:val="000000"/>
                <w:sz w:val="20"/>
                <w:szCs w:val="20"/>
                <w:lang w:val="en-US" w:eastAsia="en-US"/>
              </w:rPr>
              <w:t xml:space="preserve">This table presents the results of </w:t>
            </w:r>
            <w:r>
              <w:rPr>
                <w:rFonts w:eastAsia="Times New Roman"/>
                <w:color w:val="000000"/>
                <w:sz w:val="20"/>
                <w:szCs w:val="20"/>
                <w:lang w:val="en-US" w:eastAsia="en-US"/>
              </w:rPr>
              <w:t>regressions</w:t>
            </w:r>
            <w:r w:rsidRPr="00AF64DF">
              <w:rPr>
                <w:rFonts w:eastAsia="Times New Roman"/>
                <w:color w:val="000000"/>
                <w:sz w:val="20"/>
                <w:szCs w:val="20"/>
                <w:lang w:val="en-US" w:eastAsia="en-US"/>
              </w:rPr>
              <w:t xml:space="preserve"> examin</w:t>
            </w:r>
            <w:r>
              <w:rPr>
                <w:rFonts w:eastAsia="Times New Roman"/>
                <w:color w:val="000000"/>
                <w:sz w:val="20"/>
                <w:szCs w:val="20"/>
                <w:lang w:val="en-US" w:eastAsia="en-US"/>
              </w:rPr>
              <w:t>ing</w:t>
            </w:r>
            <w:r w:rsidRPr="00AF64DF">
              <w:rPr>
                <w:rFonts w:eastAsia="Times New Roman"/>
                <w:color w:val="000000"/>
                <w:sz w:val="20"/>
                <w:szCs w:val="20"/>
                <w:lang w:val="en-US" w:eastAsia="en-US"/>
              </w:rPr>
              <w:t xml:space="preserve"> the effects of the JOBS Act on SEC review</w:t>
            </w:r>
            <w:r>
              <w:rPr>
                <w:rFonts w:eastAsia="Times New Roman"/>
                <w:color w:val="000000"/>
                <w:sz w:val="20"/>
                <w:szCs w:val="20"/>
                <w:lang w:val="en-US" w:eastAsia="en-US"/>
              </w:rPr>
              <w:t>s</w:t>
            </w:r>
            <w:r w:rsidRPr="00AF64DF">
              <w:rPr>
                <w:rFonts w:eastAsia="Times New Roman"/>
                <w:color w:val="000000"/>
                <w:sz w:val="20"/>
                <w:szCs w:val="20"/>
                <w:lang w:val="en-US" w:eastAsia="en-US"/>
              </w:rPr>
              <w:t xml:space="preserve"> </w:t>
            </w:r>
            <w:r>
              <w:rPr>
                <w:rFonts w:eastAsia="Times New Roman"/>
                <w:color w:val="000000"/>
                <w:sz w:val="20"/>
                <w:szCs w:val="20"/>
                <w:lang w:val="en-US" w:eastAsia="en-US"/>
              </w:rPr>
              <w:t>of</w:t>
            </w:r>
            <w:r w:rsidRPr="00AF64DF">
              <w:rPr>
                <w:rFonts w:eastAsia="Times New Roman"/>
                <w:color w:val="000000"/>
                <w:sz w:val="20"/>
                <w:szCs w:val="20"/>
                <w:lang w:val="en-US" w:eastAsia="en-US"/>
              </w:rPr>
              <w:t xml:space="preserve"> </w:t>
            </w:r>
            <w:r>
              <w:rPr>
                <w:rFonts w:eastAsia="Times New Roman"/>
                <w:color w:val="000000"/>
                <w:sz w:val="20"/>
                <w:szCs w:val="20"/>
                <w:lang w:val="en-US" w:eastAsia="en-US"/>
              </w:rPr>
              <w:t xml:space="preserve">smaller reporting company (SRC) eligible </w:t>
            </w:r>
            <w:r w:rsidRPr="00AF64DF">
              <w:rPr>
                <w:rFonts w:eastAsia="Times New Roman"/>
                <w:color w:val="000000"/>
                <w:sz w:val="20"/>
                <w:szCs w:val="20"/>
                <w:lang w:val="en-US" w:eastAsia="en-US"/>
              </w:rPr>
              <w:t xml:space="preserve">IPOs </w:t>
            </w:r>
            <w:r>
              <w:rPr>
                <w:rFonts w:eastAsia="Times New Roman"/>
                <w:color w:val="000000"/>
                <w:sz w:val="20"/>
                <w:szCs w:val="20"/>
                <w:lang w:val="en-US" w:eastAsia="en-US"/>
              </w:rPr>
              <w:t>compared with non-SRC eligible EGC IPOs using a</w:t>
            </w:r>
            <w:r w:rsidRPr="00AF64DF">
              <w:rPr>
                <w:rFonts w:eastAsia="Times New Roman"/>
                <w:color w:val="000000"/>
                <w:sz w:val="20"/>
                <w:szCs w:val="20"/>
                <w:lang w:val="en-US" w:eastAsia="en-US"/>
              </w:rPr>
              <w:t xml:space="preserve"> sample of 7</w:t>
            </w:r>
            <w:r w:rsidR="0003722B">
              <w:rPr>
                <w:rFonts w:eastAsia="Times New Roman"/>
                <w:color w:val="000000"/>
                <w:sz w:val="20"/>
                <w:szCs w:val="20"/>
                <w:lang w:val="en-US" w:eastAsia="en-US"/>
              </w:rPr>
              <w:t>22</w:t>
            </w:r>
            <w:r w:rsidRPr="00AF64DF">
              <w:rPr>
                <w:rFonts w:eastAsia="Times New Roman"/>
                <w:color w:val="000000"/>
                <w:sz w:val="20"/>
                <w:szCs w:val="20"/>
                <w:lang w:val="en-US" w:eastAsia="en-US"/>
              </w:rPr>
              <w:t xml:space="preserve"> IPOs between 2005 and 2017. </w:t>
            </w:r>
            <w:r>
              <w:rPr>
                <w:rFonts w:eastAsia="Times New Roman"/>
                <w:color w:val="000000"/>
                <w:sz w:val="20"/>
                <w:szCs w:val="20"/>
                <w:lang w:val="en-US" w:eastAsia="en-US"/>
              </w:rPr>
              <w:t>The n</w:t>
            </w:r>
            <w:r w:rsidRPr="00AF64DF">
              <w:rPr>
                <w:rFonts w:eastAsia="Times New Roman"/>
                <w:color w:val="000000"/>
                <w:sz w:val="20"/>
                <w:szCs w:val="20"/>
                <w:lang w:val="en-US" w:eastAsia="en-US"/>
              </w:rPr>
              <w:t xml:space="preserve">egative binomial regression </w:t>
            </w:r>
            <w:r>
              <w:rPr>
                <w:rFonts w:eastAsia="Times New Roman"/>
                <w:color w:val="000000"/>
                <w:sz w:val="20"/>
                <w:szCs w:val="20"/>
                <w:lang w:val="en-US" w:eastAsia="en-US"/>
              </w:rPr>
              <w:t xml:space="preserve">method </w:t>
            </w:r>
            <w:r w:rsidRPr="00AF64DF">
              <w:rPr>
                <w:rFonts w:eastAsia="Times New Roman"/>
                <w:color w:val="000000"/>
                <w:sz w:val="20"/>
                <w:szCs w:val="20"/>
                <w:lang w:val="en-US" w:eastAsia="en-US"/>
              </w:rPr>
              <w:t xml:space="preserve">is employed. Dependent variables are SEC review including Duration, #Letters, #Comments and #Themes. Independent variable of interest </w:t>
            </w:r>
            <w:proofErr w:type="gramStart"/>
            <w:r w:rsidRPr="00AF64DF">
              <w:rPr>
                <w:rFonts w:eastAsia="Times New Roman"/>
                <w:color w:val="000000"/>
                <w:sz w:val="20"/>
                <w:szCs w:val="20"/>
                <w:lang w:val="en-US" w:eastAsia="en-US"/>
              </w:rPr>
              <w:t>are</w:t>
            </w:r>
            <w:proofErr w:type="gramEnd"/>
            <w:r w:rsidRPr="00AF64DF">
              <w:rPr>
                <w:rFonts w:eastAsia="Times New Roman"/>
                <w:color w:val="000000"/>
                <w:sz w:val="20"/>
                <w:szCs w:val="20"/>
                <w:lang w:val="en-US" w:eastAsia="en-US"/>
              </w:rPr>
              <w:t xml:space="preserve"> JOBS Act, EGC and interaction term between JOBS Act and EGC. All variables are defined in Appendix </w:t>
            </w:r>
            <w:r>
              <w:rPr>
                <w:rFonts w:eastAsia="Times New Roman"/>
                <w:color w:val="000000"/>
                <w:sz w:val="20"/>
                <w:szCs w:val="20"/>
                <w:lang w:val="en-US" w:eastAsia="en-US"/>
              </w:rPr>
              <w:t>A</w:t>
            </w:r>
            <w:r w:rsidRPr="00AF64DF">
              <w:rPr>
                <w:rFonts w:eastAsia="Times New Roman"/>
                <w:color w:val="000000"/>
                <w:sz w:val="20"/>
                <w:szCs w:val="20"/>
                <w:lang w:val="en-US" w:eastAsia="en-US"/>
              </w:rPr>
              <w:t>. The regressions include industry fixed effects using two-digit SIC code. Results from Z-statistics are presented in parentheses below coefficient estimates and are based on robust standard errors clustered at the two-digit SIC industry level. *, **, and *** denote significance at the 10%, 5%, and 1% levels, respectively, based on a two-tailed test.</w:t>
            </w:r>
          </w:p>
        </w:tc>
      </w:tr>
    </w:tbl>
    <w:p w14:paraId="30DB55E0" w14:textId="77777777" w:rsidR="002D4060" w:rsidRDefault="002D4060" w:rsidP="003D1FBF">
      <w:pPr>
        <w:jc w:val="center"/>
        <w:rPr>
          <w:b/>
          <w:bCs/>
        </w:rPr>
        <w:sectPr w:rsidR="002D4060" w:rsidSect="005D4628">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45"/>
        <w:gridCol w:w="1545"/>
        <w:gridCol w:w="1545"/>
        <w:gridCol w:w="1546"/>
      </w:tblGrid>
      <w:tr w:rsidR="009E1F8E" w14:paraId="0AE9DC1B" w14:textId="77777777" w:rsidTr="00481980">
        <w:tc>
          <w:tcPr>
            <w:tcW w:w="9016" w:type="dxa"/>
            <w:gridSpan w:val="5"/>
            <w:tcBorders>
              <w:bottom w:val="single" w:sz="4" w:space="0" w:color="auto"/>
            </w:tcBorders>
          </w:tcPr>
          <w:p w14:paraId="08DB4C8A" w14:textId="77777777" w:rsidR="002D4060" w:rsidRDefault="002D4060" w:rsidP="003D1FBF">
            <w:pPr>
              <w:jc w:val="center"/>
              <w:rPr>
                <w:b/>
                <w:bCs/>
              </w:rPr>
            </w:pPr>
          </w:p>
          <w:p w14:paraId="1E622F67" w14:textId="3E991858" w:rsidR="009E1F8E" w:rsidRPr="00AE15A3" w:rsidRDefault="009E1F8E" w:rsidP="003D1FBF">
            <w:pPr>
              <w:jc w:val="center"/>
              <w:rPr>
                <w:b/>
                <w:bCs/>
              </w:rPr>
            </w:pPr>
            <w:r w:rsidRPr="00AE15A3">
              <w:rPr>
                <w:b/>
                <w:bCs/>
              </w:rPr>
              <w:t xml:space="preserve">TABLE </w:t>
            </w:r>
            <w:r w:rsidR="0003367F">
              <w:rPr>
                <w:b/>
                <w:bCs/>
              </w:rPr>
              <w:t>6</w:t>
            </w:r>
          </w:p>
          <w:p w14:paraId="37C13A64" w14:textId="7BF22F23" w:rsidR="009E1F8E" w:rsidRDefault="009E1F8E" w:rsidP="003D1FBF">
            <w:pPr>
              <w:spacing w:after="120"/>
              <w:jc w:val="center"/>
            </w:pPr>
            <w:r>
              <w:rPr>
                <w:b/>
                <w:bCs/>
              </w:rPr>
              <w:t xml:space="preserve">Moderating </w:t>
            </w:r>
            <w:r w:rsidR="008171C3">
              <w:rPr>
                <w:b/>
                <w:bCs/>
              </w:rPr>
              <w:t>role</w:t>
            </w:r>
            <w:r>
              <w:rPr>
                <w:b/>
                <w:bCs/>
              </w:rPr>
              <w:t xml:space="preserve"> of industry concentration</w:t>
            </w:r>
          </w:p>
        </w:tc>
      </w:tr>
      <w:tr w:rsidR="009E1F8E" w14:paraId="4397CB94" w14:textId="77777777" w:rsidTr="0064666E">
        <w:tc>
          <w:tcPr>
            <w:tcW w:w="2835" w:type="dxa"/>
            <w:tcBorders>
              <w:top w:val="single" w:sz="4" w:space="0" w:color="auto"/>
            </w:tcBorders>
          </w:tcPr>
          <w:p w14:paraId="48ADC01D" w14:textId="77777777" w:rsidR="009E1F8E" w:rsidRPr="0012664E" w:rsidRDefault="009E1F8E" w:rsidP="003D1FBF">
            <w:pPr>
              <w:spacing w:before="120"/>
              <w:rPr>
                <w:sz w:val="22"/>
                <w:szCs w:val="22"/>
              </w:rPr>
            </w:pPr>
            <w:r w:rsidRPr="0012664E">
              <w:rPr>
                <w:sz w:val="22"/>
                <w:szCs w:val="22"/>
              </w:rPr>
              <w:t>Dependent variable:</w:t>
            </w:r>
          </w:p>
        </w:tc>
        <w:tc>
          <w:tcPr>
            <w:tcW w:w="1545" w:type="dxa"/>
            <w:tcBorders>
              <w:top w:val="single" w:sz="4" w:space="0" w:color="auto"/>
            </w:tcBorders>
            <w:vAlign w:val="center"/>
          </w:tcPr>
          <w:p w14:paraId="4CAFFD3D" w14:textId="77777777" w:rsidR="009E1F8E" w:rsidRPr="0012664E" w:rsidRDefault="009E1F8E" w:rsidP="003D1FBF">
            <w:pPr>
              <w:spacing w:before="120"/>
              <w:jc w:val="center"/>
              <w:rPr>
                <w:sz w:val="22"/>
                <w:szCs w:val="22"/>
              </w:rPr>
            </w:pPr>
            <w:r w:rsidRPr="0012664E">
              <w:rPr>
                <w:sz w:val="22"/>
                <w:szCs w:val="22"/>
              </w:rPr>
              <w:t>Duration</w:t>
            </w:r>
          </w:p>
        </w:tc>
        <w:tc>
          <w:tcPr>
            <w:tcW w:w="1545" w:type="dxa"/>
            <w:tcBorders>
              <w:top w:val="single" w:sz="4" w:space="0" w:color="auto"/>
            </w:tcBorders>
            <w:vAlign w:val="center"/>
          </w:tcPr>
          <w:p w14:paraId="1692EBCC" w14:textId="77777777" w:rsidR="009E1F8E" w:rsidRPr="0012664E" w:rsidRDefault="009E1F8E" w:rsidP="003D1FBF">
            <w:pPr>
              <w:spacing w:before="120"/>
              <w:jc w:val="center"/>
              <w:rPr>
                <w:sz w:val="22"/>
                <w:szCs w:val="22"/>
              </w:rPr>
            </w:pPr>
            <w:r w:rsidRPr="0012664E">
              <w:rPr>
                <w:sz w:val="22"/>
                <w:szCs w:val="22"/>
              </w:rPr>
              <w:t>#Letters</w:t>
            </w:r>
          </w:p>
        </w:tc>
        <w:tc>
          <w:tcPr>
            <w:tcW w:w="1545" w:type="dxa"/>
            <w:tcBorders>
              <w:top w:val="single" w:sz="4" w:space="0" w:color="auto"/>
            </w:tcBorders>
            <w:vAlign w:val="center"/>
          </w:tcPr>
          <w:p w14:paraId="1D6CB466" w14:textId="77777777" w:rsidR="009E1F8E" w:rsidRPr="0012664E" w:rsidRDefault="009E1F8E" w:rsidP="003D1FBF">
            <w:pPr>
              <w:spacing w:before="120"/>
              <w:jc w:val="center"/>
              <w:rPr>
                <w:sz w:val="22"/>
                <w:szCs w:val="22"/>
              </w:rPr>
            </w:pPr>
            <w:r w:rsidRPr="0012664E">
              <w:rPr>
                <w:sz w:val="22"/>
                <w:szCs w:val="22"/>
              </w:rPr>
              <w:t>#Comments</w:t>
            </w:r>
          </w:p>
        </w:tc>
        <w:tc>
          <w:tcPr>
            <w:tcW w:w="1546" w:type="dxa"/>
            <w:tcBorders>
              <w:top w:val="single" w:sz="4" w:space="0" w:color="auto"/>
            </w:tcBorders>
            <w:vAlign w:val="center"/>
          </w:tcPr>
          <w:p w14:paraId="6E5164E0" w14:textId="77777777" w:rsidR="009E1F8E" w:rsidRPr="0012664E" w:rsidRDefault="009E1F8E" w:rsidP="003D1FBF">
            <w:pPr>
              <w:spacing w:before="120"/>
              <w:jc w:val="center"/>
              <w:rPr>
                <w:sz w:val="22"/>
                <w:szCs w:val="22"/>
              </w:rPr>
            </w:pPr>
            <w:r w:rsidRPr="0012664E">
              <w:rPr>
                <w:sz w:val="22"/>
                <w:szCs w:val="22"/>
              </w:rPr>
              <w:t>#Themes</w:t>
            </w:r>
          </w:p>
        </w:tc>
      </w:tr>
      <w:tr w:rsidR="009E1F8E" w14:paraId="10F43E1B" w14:textId="77777777" w:rsidTr="0064666E">
        <w:trPr>
          <w:trHeight w:val="200"/>
        </w:trPr>
        <w:tc>
          <w:tcPr>
            <w:tcW w:w="2835" w:type="dxa"/>
          </w:tcPr>
          <w:p w14:paraId="3169BD51" w14:textId="77777777" w:rsidR="009E1F8E" w:rsidRPr="0012664E" w:rsidRDefault="009E1F8E" w:rsidP="003D1FBF">
            <w:pPr>
              <w:rPr>
                <w:sz w:val="22"/>
                <w:szCs w:val="22"/>
              </w:rPr>
            </w:pPr>
          </w:p>
        </w:tc>
        <w:tc>
          <w:tcPr>
            <w:tcW w:w="1545" w:type="dxa"/>
            <w:tcBorders>
              <w:bottom w:val="single" w:sz="4" w:space="0" w:color="auto"/>
            </w:tcBorders>
            <w:vAlign w:val="center"/>
          </w:tcPr>
          <w:p w14:paraId="40908A04" w14:textId="77777777" w:rsidR="009E1F8E" w:rsidRPr="0012664E" w:rsidRDefault="009E1F8E" w:rsidP="003D1FBF">
            <w:pPr>
              <w:spacing w:after="40"/>
              <w:jc w:val="center"/>
              <w:rPr>
                <w:sz w:val="22"/>
                <w:szCs w:val="22"/>
              </w:rPr>
            </w:pPr>
            <w:r w:rsidRPr="0012664E">
              <w:rPr>
                <w:sz w:val="22"/>
                <w:szCs w:val="22"/>
              </w:rPr>
              <w:t>(1)</w:t>
            </w:r>
          </w:p>
        </w:tc>
        <w:tc>
          <w:tcPr>
            <w:tcW w:w="1545" w:type="dxa"/>
            <w:tcBorders>
              <w:bottom w:val="single" w:sz="4" w:space="0" w:color="auto"/>
            </w:tcBorders>
            <w:vAlign w:val="center"/>
          </w:tcPr>
          <w:p w14:paraId="040BA123" w14:textId="77777777" w:rsidR="009E1F8E" w:rsidRPr="0012664E" w:rsidRDefault="009E1F8E" w:rsidP="003D1FBF">
            <w:pPr>
              <w:spacing w:after="40"/>
              <w:jc w:val="center"/>
              <w:rPr>
                <w:sz w:val="22"/>
                <w:szCs w:val="22"/>
              </w:rPr>
            </w:pPr>
            <w:r w:rsidRPr="0012664E">
              <w:rPr>
                <w:sz w:val="22"/>
                <w:szCs w:val="22"/>
              </w:rPr>
              <w:t>(2)</w:t>
            </w:r>
          </w:p>
        </w:tc>
        <w:tc>
          <w:tcPr>
            <w:tcW w:w="1545" w:type="dxa"/>
            <w:tcBorders>
              <w:bottom w:val="single" w:sz="4" w:space="0" w:color="auto"/>
            </w:tcBorders>
            <w:vAlign w:val="center"/>
          </w:tcPr>
          <w:p w14:paraId="4D315B7C" w14:textId="77777777" w:rsidR="009E1F8E" w:rsidRPr="0012664E" w:rsidRDefault="009E1F8E" w:rsidP="003D1FBF">
            <w:pPr>
              <w:spacing w:after="40"/>
              <w:jc w:val="center"/>
              <w:rPr>
                <w:sz w:val="22"/>
                <w:szCs w:val="22"/>
              </w:rPr>
            </w:pPr>
            <w:r w:rsidRPr="0012664E">
              <w:rPr>
                <w:sz w:val="22"/>
                <w:szCs w:val="22"/>
              </w:rPr>
              <w:t>(3)</w:t>
            </w:r>
          </w:p>
        </w:tc>
        <w:tc>
          <w:tcPr>
            <w:tcW w:w="1546" w:type="dxa"/>
            <w:tcBorders>
              <w:bottom w:val="single" w:sz="4" w:space="0" w:color="auto"/>
            </w:tcBorders>
            <w:vAlign w:val="center"/>
          </w:tcPr>
          <w:p w14:paraId="798F7E7B" w14:textId="77777777" w:rsidR="009E1F8E" w:rsidRPr="0012664E" w:rsidRDefault="009E1F8E" w:rsidP="003D1FBF">
            <w:pPr>
              <w:spacing w:after="40"/>
              <w:jc w:val="center"/>
              <w:rPr>
                <w:sz w:val="22"/>
                <w:szCs w:val="22"/>
              </w:rPr>
            </w:pPr>
            <w:r w:rsidRPr="0012664E">
              <w:rPr>
                <w:sz w:val="22"/>
                <w:szCs w:val="22"/>
              </w:rPr>
              <w:t>(4)</w:t>
            </w:r>
          </w:p>
        </w:tc>
      </w:tr>
      <w:tr w:rsidR="0078550F" w14:paraId="50587B39" w14:textId="77777777" w:rsidTr="0064666E">
        <w:tc>
          <w:tcPr>
            <w:tcW w:w="2835" w:type="dxa"/>
          </w:tcPr>
          <w:p w14:paraId="04FF4A62" w14:textId="77777777" w:rsidR="0078550F" w:rsidRPr="0012664E" w:rsidRDefault="0078550F" w:rsidP="003D1FBF">
            <w:pPr>
              <w:rPr>
                <w:sz w:val="22"/>
                <w:szCs w:val="22"/>
              </w:rPr>
            </w:pPr>
            <w:r w:rsidRPr="0012664E">
              <w:rPr>
                <w:sz w:val="22"/>
                <w:szCs w:val="22"/>
              </w:rPr>
              <w:t>JOBS Act</w:t>
            </w:r>
          </w:p>
        </w:tc>
        <w:tc>
          <w:tcPr>
            <w:tcW w:w="1545" w:type="dxa"/>
            <w:tcBorders>
              <w:top w:val="single" w:sz="4" w:space="0" w:color="auto"/>
            </w:tcBorders>
          </w:tcPr>
          <w:p w14:paraId="50D54A66" w14:textId="0E8DF9CE" w:rsidR="0078550F" w:rsidRPr="0078550F" w:rsidRDefault="0078550F" w:rsidP="003D1FBF">
            <w:pPr>
              <w:jc w:val="center"/>
              <w:rPr>
                <w:sz w:val="22"/>
                <w:szCs w:val="22"/>
              </w:rPr>
            </w:pPr>
            <w:r w:rsidRPr="0078550F">
              <w:rPr>
                <w:sz w:val="22"/>
                <w:szCs w:val="22"/>
              </w:rPr>
              <w:t>-0.307***</w:t>
            </w:r>
          </w:p>
        </w:tc>
        <w:tc>
          <w:tcPr>
            <w:tcW w:w="1545" w:type="dxa"/>
            <w:tcBorders>
              <w:top w:val="single" w:sz="4" w:space="0" w:color="auto"/>
            </w:tcBorders>
          </w:tcPr>
          <w:p w14:paraId="2193F8C2" w14:textId="5C16E241" w:rsidR="0078550F" w:rsidRPr="0078550F" w:rsidRDefault="0078550F" w:rsidP="003D1FBF">
            <w:pPr>
              <w:jc w:val="center"/>
              <w:rPr>
                <w:sz w:val="22"/>
                <w:szCs w:val="22"/>
              </w:rPr>
            </w:pPr>
            <w:r w:rsidRPr="0078550F">
              <w:rPr>
                <w:sz w:val="22"/>
                <w:szCs w:val="22"/>
              </w:rPr>
              <w:t>-0.448***</w:t>
            </w:r>
          </w:p>
        </w:tc>
        <w:tc>
          <w:tcPr>
            <w:tcW w:w="1545" w:type="dxa"/>
            <w:tcBorders>
              <w:top w:val="single" w:sz="4" w:space="0" w:color="auto"/>
            </w:tcBorders>
          </w:tcPr>
          <w:p w14:paraId="44BAEBD0" w14:textId="03DF1E77" w:rsidR="0078550F" w:rsidRPr="0078550F" w:rsidRDefault="0078550F" w:rsidP="003D1FBF">
            <w:pPr>
              <w:jc w:val="center"/>
              <w:rPr>
                <w:sz w:val="22"/>
                <w:szCs w:val="22"/>
              </w:rPr>
            </w:pPr>
            <w:r w:rsidRPr="0078550F">
              <w:rPr>
                <w:sz w:val="22"/>
                <w:szCs w:val="22"/>
              </w:rPr>
              <w:t>-1.077***</w:t>
            </w:r>
          </w:p>
        </w:tc>
        <w:tc>
          <w:tcPr>
            <w:tcW w:w="1546" w:type="dxa"/>
            <w:tcBorders>
              <w:top w:val="single" w:sz="4" w:space="0" w:color="auto"/>
            </w:tcBorders>
          </w:tcPr>
          <w:p w14:paraId="51F57363" w14:textId="73C71269" w:rsidR="0078550F" w:rsidRPr="0078550F" w:rsidRDefault="0078550F" w:rsidP="003D1FBF">
            <w:pPr>
              <w:jc w:val="center"/>
              <w:rPr>
                <w:sz w:val="22"/>
                <w:szCs w:val="22"/>
              </w:rPr>
            </w:pPr>
            <w:r w:rsidRPr="0078550F">
              <w:rPr>
                <w:sz w:val="22"/>
                <w:szCs w:val="22"/>
              </w:rPr>
              <w:t>-0.561***</w:t>
            </w:r>
          </w:p>
        </w:tc>
      </w:tr>
      <w:tr w:rsidR="0078550F" w14:paraId="23CC4B7A" w14:textId="77777777" w:rsidTr="0064666E">
        <w:tc>
          <w:tcPr>
            <w:tcW w:w="2835" w:type="dxa"/>
          </w:tcPr>
          <w:p w14:paraId="6D7C26E0" w14:textId="77777777" w:rsidR="0078550F" w:rsidRPr="0012664E" w:rsidRDefault="0078550F" w:rsidP="003D1FBF">
            <w:pPr>
              <w:rPr>
                <w:sz w:val="22"/>
                <w:szCs w:val="22"/>
              </w:rPr>
            </w:pPr>
          </w:p>
        </w:tc>
        <w:tc>
          <w:tcPr>
            <w:tcW w:w="1545" w:type="dxa"/>
          </w:tcPr>
          <w:p w14:paraId="4EEC522A" w14:textId="75202E2A" w:rsidR="0078550F" w:rsidRPr="0078550F" w:rsidRDefault="0078550F" w:rsidP="003D1FBF">
            <w:pPr>
              <w:jc w:val="center"/>
              <w:rPr>
                <w:sz w:val="22"/>
                <w:szCs w:val="22"/>
              </w:rPr>
            </w:pPr>
            <w:r w:rsidRPr="0078550F">
              <w:rPr>
                <w:sz w:val="22"/>
                <w:szCs w:val="22"/>
              </w:rPr>
              <w:t>(-5.46)</w:t>
            </w:r>
          </w:p>
        </w:tc>
        <w:tc>
          <w:tcPr>
            <w:tcW w:w="1545" w:type="dxa"/>
          </w:tcPr>
          <w:p w14:paraId="5B18F996" w14:textId="220C4D16" w:rsidR="0078550F" w:rsidRPr="0078550F" w:rsidRDefault="0078550F" w:rsidP="003D1FBF">
            <w:pPr>
              <w:jc w:val="center"/>
              <w:rPr>
                <w:sz w:val="22"/>
                <w:szCs w:val="22"/>
              </w:rPr>
            </w:pPr>
            <w:r w:rsidRPr="0078550F">
              <w:rPr>
                <w:sz w:val="22"/>
                <w:szCs w:val="22"/>
              </w:rPr>
              <w:t>(-3.31)</w:t>
            </w:r>
          </w:p>
        </w:tc>
        <w:tc>
          <w:tcPr>
            <w:tcW w:w="1545" w:type="dxa"/>
          </w:tcPr>
          <w:p w14:paraId="682BD1A5" w14:textId="22D246C8" w:rsidR="0078550F" w:rsidRPr="0078550F" w:rsidRDefault="0078550F" w:rsidP="003D1FBF">
            <w:pPr>
              <w:jc w:val="center"/>
              <w:rPr>
                <w:sz w:val="22"/>
                <w:szCs w:val="22"/>
              </w:rPr>
            </w:pPr>
            <w:r w:rsidRPr="0078550F">
              <w:rPr>
                <w:sz w:val="22"/>
                <w:szCs w:val="22"/>
              </w:rPr>
              <w:t>(-5.23)</w:t>
            </w:r>
          </w:p>
        </w:tc>
        <w:tc>
          <w:tcPr>
            <w:tcW w:w="1546" w:type="dxa"/>
          </w:tcPr>
          <w:p w14:paraId="7416A531" w14:textId="04602939" w:rsidR="0078550F" w:rsidRPr="0078550F" w:rsidRDefault="0078550F" w:rsidP="003D1FBF">
            <w:pPr>
              <w:jc w:val="center"/>
              <w:rPr>
                <w:sz w:val="22"/>
                <w:szCs w:val="22"/>
              </w:rPr>
            </w:pPr>
            <w:r w:rsidRPr="0078550F">
              <w:rPr>
                <w:sz w:val="22"/>
                <w:szCs w:val="22"/>
              </w:rPr>
              <w:t>(-4.27)</w:t>
            </w:r>
          </w:p>
        </w:tc>
      </w:tr>
      <w:tr w:rsidR="0078550F" w14:paraId="3227C8BD" w14:textId="77777777" w:rsidTr="0064666E">
        <w:tc>
          <w:tcPr>
            <w:tcW w:w="2835" w:type="dxa"/>
          </w:tcPr>
          <w:p w14:paraId="6F7858C4" w14:textId="5B01154F" w:rsidR="0078550F" w:rsidRPr="0012664E" w:rsidRDefault="0078550F" w:rsidP="003D1FBF">
            <w:pPr>
              <w:rPr>
                <w:sz w:val="22"/>
                <w:szCs w:val="22"/>
              </w:rPr>
            </w:pPr>
            <w:r>
              <w:rPr>
                <w:sz w:val="22"/>
                <w:szCs w:val="22"/>
              </w:rPr>
              <w:t>Herfindahl index</w:t>
            </w:r>
          </w:p>
        </w:tc>
        <w:tc>
          <w:tcPr>
            <w:tcW w:w="1545" w:type="dxa"/>
          </w:tcPr>
          <w:p w14:paraId="76F2420C" w14:textId="58436033" w:rsidR="0078550F" w:rsidRPr="0078550F" w:rsidRDefault="0078550F" w:rsidP="003D1FBF">
            <w:pPr>
              <w:jc w:val="center"/>
              <w:rPr>
                <w:sz w:val="22"/>
                <w:szCs w:val="22"/>
              </w:rPr>
            </w:pPr>
            <w:r w:rsidRPr="0078550F">
              <w:rPr>
                <w:sz w:val="22"/>
                <w:szCs w:val="22"/>
              </w:rPr>
              <w:t>0.293</w:t>
            </w:r>
          </w:p>
        </w:tc>
        <w:tc>
          <w:tcPr>
            <w:tcW w:w="1545" w:type="dxa"/>
          </w:tcPr>
          <w:p w14:paraId="46DCC776" w14:textId="136C63B7" w:rsidR="0078550F" w:rsidRPr="0078550F" w:rsidRDefault="0078550F" w:rsidP="003D1FBF">
            <w:pPr>
              <w:jc w:val="center"/>
              <w:rPr>
                <w:sz w:val="22"/>
                <w:szCs w:val="22"/>
              </w:rPr>
            </w:pPr>
            <w:r w:rsidRPr="0078550F">
              <w:rPr>
                <w:sz w:val="22"/>
                <w:szCs w:val="22"/>
              </w:rPr>
              <w:t>-0.095</w:t>
            </w:r>
          </w:p>
        </w:tc>
        <w:tc>
          <w:tcPr>
            <w:tcW w:w="1545" w:type="dxa"/>
          </w:tcPr>
          <w:p w14:paraId="1EDCD282" w14:textId="20795E27" w:rsidR="0078550F" w:rsidRPr="0078550F" w:rsidRDefault="0078550F" w:rsidP="003D1FBF">
            <w:pPr>
              <w:jc w:val="center"/>
              <w:rPr>
                <w:sz w:val="22"/>
                <w:szCs w:val="22"/>
              </w:rPr>
            </w:pPr>
            <w:r w:rsidRPr="0078550F">
              <w:rPr>
                <w:sz w:val="22"/>
                <w:szCs w:val="22"/>
              </w:rPr>
              <w:t>-0.483**</w:t>
            </w:r>
          </w:p>
        </w:tc>
        <w:tc>
          <w:tcPr>
            <w:tcW w:w="1546" w:type="dxa"/>
          </w:tcPr>
          <w:p w14:paraId="18849A7F" w14:textId="1E292F39" w:rsidR="0078550F" w:rsidRPr="0078550F" w:rsidRDefault="0078550F" w:rsidP="003D1FBF">
            <w:pPr>
              <w:jc w:val="center"/>
              <w:rPr>
                <w:sz w:val="22"/>
                <w:szCs w:val="22"/>
              </w:rPr>
            </w:pPr>
            <w:r w:rsidRPr="0078550F">
              <w:rPr>
                <w:sz w:val="22"/>
                <w:szCs w:val="22"/>
              </w:rPr>
              <w:t>-0.318**</w:t>
            </w:r>
          </w:p>
        </w:tc>
      </w:tr>
      <w:tr w:rsidR="0078550F" w14:paraId="28AE245D" w14:textId="77777777" w:rsidTr="0064666E">
        <w:tc>
          <w:tcPr>
            <w:tcW w:w="2835" w:type="dxa"/>
          </w:tcPr>
          <w:p w14:paraId="3B4CC2E4" w14:textId="77777777" w:rsidR="0078550F" w:rsidRPr="0012664E" w:rsidRDefault="0078550F" w:rsidP="003D1FBF">
            <w:pPr>
              <w:rPr>
                <w:sz w:val="22"/>
                <w:szCs w:val="22"/>
              </w:rPr>
            </w:pPr>
          </w:p>
        </w:tc>
        <w:tc>
          <w:tcPr>
            <w:tcW w:w="1545" w:type="dxa"/>
          </w:tcPr>
          <w:p w14:paraId="0ADD8291" w14:textId="28DE789D" w:rsidR="0078550F" w:rsidRPr="0078550F" w:rsidRDefault="0078550F" w:rsidP="003D1FBF">
            <w:pPr>
              <w:jc w:val="center"/>
              <w:rPr>
                <w:sz w:val="22"/>
                <w:szCs w:val="22"/>
              </w:rPr>
            </w:pPr>
            <w:r w:rsidRPr="0078550F">
              <w:rPr>
                <w:sz w:val="22"/>
                <w:szCs w:val="22"/>
              </w:rPr>
              <w:t>(1.02)</w:t>
            </w:r>
          </w:p>
        </w:tc>
        <w:tc>
          <w:tcPr>
            <w:tcW w:w="1545" w:type="dxa"/>
          </w:tcPr>
          <w:p w14:paraId="6EE6B111" w14:textId="13949861" w:rsidR="0078550F" w:rsidRPr="0078550F" w:rsidRDefault="0078550F" w:rsidP="003D1FBF">
            <w:pPr>
              <w:jc w:val="center"/>
              <w:rPr>
                <w:sz w:val="22"/>
                <w:szCs w:val="22"/>
              </w:rPr>
            </w:pPr>
            <w:r w:rsidRPr="0078550F">
              <w:rPr>
                <w:sz w:val="22"/>
                <w:szCs w:val="22"/>
              </w:rPr>
              <w:t>(-0.45)</w:t>
            </w:r>
          </w:p>
        </w:tc>
        <w:tc>
          <w:tcPr>
            <w:tcW w:w="1545" w:type="dxa"/>
          </w:tcPr>
          <w:p w14:paraId="2323C274" w14:textId="6E378CF9" w:rsidR="0078550F" w:rsidRPr="0078550F" w:rsidRDefault="0078550F" w:rsidP="003D1FBF">
            <w:pPr>
              <w:jc w:val="center"/>
              <w:rPr>
                <w:sz w:val="22"/>
                <w:szCs w:val="22"/>
              </w:rPr>
            </w:pPr>
            <w:r w:rsidRPr="0078550F">
              <w:rPr>
                <w:sz w:val="22"/>
                <w:szCs w:val="22"/>
              </w:rPr>
              <w:t>(-2.47)</w:t>
            </w:r>
          </w:p>
        </w:tc>
        <w:tc>
          <w:tcPr>
            <w:tcW w:w="1546" w:type="dxa"/>
          </w:tcPr>
          <w:p w14:paraId="2DE7978F" w14:textId="415B7A7C" w:rsidR="0078550F" w:rsidRPr="0078550F" w:rsidRDefault="0078550F" w:rsidP="003D1FBF">
            <w:pPr>
              <w:jc w:val="center"/>
              <w:rPr>
                <w:sz w:val="22"/>
                <w:szCs w:val="22"/>
              </w:rPr>
            </w:pPr>
            <w:r w:rsidRPr="0078550F">
              <w:rPr>
                <w:sz w:val="22"/>
                <w:szCs w:val="22"/>
              </w:rPr>
              <w:t>(-2.46)</w:t>
            </w:r>
          </w:p>
        </w:tc>
      </w:tr>
      <w:tr w:rsidR="0078550F" w14:paraId="44BE5137" w14:textId="77777777" w:rsidTr="0064666E">
        <w:tc>
          <w:tcPr>
            <w:tcW w:w="2835" w:type="dxa"/>
          </w:tcPr>
          <w:p w14:paraId="3BB5CE57" w14:textId="5D0B330A" w:rsidR="0078550F" w:rsidRPr="0012664E" w:rsidRDefault="0078550F" w:rsidP="003D1FBF">
            <w:pPr>
              <w:rPr>
                <w:sz w:val="22"/>
                <w:szCs w:val="22"/>
              </w:rPr>
            </w:pPr>
            <w:r w:rsidRPr="0012664E">
              <w:rPr>
                <w:sz w:val="22"/>
                <w:szCs w:val="22"/>
              </w:rPr>
              <w:t xml:space="preserve">JOBS Act * </w:t>
            </w:r>
            <w:r>
              <w:rPr>
                <w:sz w:val="22"/>
                <w:szCs w:val="22"/>
              </w:rPr>
              <w:t>Herfindahl index</w:t>
            </w:r>
          </w:p>
        </w:tc>
        <w:tc>
          <w:tcPr>
            <w:tcW w:w="1545" w:type="dxa"/>
          </w:tcPr>
          <w:p w14:paraId="48B9AF2E" w14:textId="50577896" w:rsidR="0078550F" w:rsidRPr="0078550F" w:rsidRDefault="0078550F" w:rsidP="003D1FBF">
            <w:pPr>
              <w:jc w:val="center"/>
              <w:rPr>
                <w:sz w:val="22"/>
                <w:szCs w:val="22"/>
              </w:rPr>
            </w:pPr>
            <w:r w:rsidRPr="0078550F">
              <w:rPr>
                <w:sz w:val="22"/>
                <w:szCs w:val="22"/>
              </w:rPr>
              <w:t>-0.18</w:t>
            </w:r>
            <w:r w:rsidR="00F5743A">
              <w:rPr>
                <w:sz w:val="22"/>
                <w:szCs w:val="22"/>
              </w:rPr>
              <w:t>0</w:t>
            </w:r>
          </w:p>
        </w:tc>
        <w:tc>
          <w:tcPr>
            <w:tcW w:w="1545" w:type="dxa"/>
          </w:tcPr>
          <w:p w14:paraId="16824DCE" w14:textId="7DE63EF9" w:rsidR="0078550F" w:rsidRPr="0078550F" w:rsidRDefault="0078550F" w:rsidP="003D1FBF">
            <w:pPr>
              <w:jc w:val="center"/>
              <w:rPr>
                <w:sz w:val="22"/>
                <w:szCs w:val="22"/>
              </w:rPr>
            </w:pPr>
            <w:r w:rsidRPr="0078550F">
              <w:rPr>
                <w:sz w:val="22"/>
                <w:szCs w:val="22"/>
              </w:rPr>
              <w:t>0.536*</w:t>
            </w:r>
          </w:p>
        </w:tc>
        <w:tc>
          <w:tcPr>
            <w:tcW w:w="1545" w:type="dxa"/>
          </w:tcPr>
          <w:p w14:paraId="1FEFA65D" w14:textId="705DCE25" w:rsidR="0078550F" w:rsidRPr="0078550F" w:rsidRDefault="0078550F" w:rsidP="003D1FBF">
            <w:pPr>
              <w:jc w:val="center"/>
              <w:rPr>
                <w:sz w:val="22"/>
                <w:szCs w:val="22"/>
              </w:rPr>
            </w:pPr>
            <w:r w:rsidRPr="0078550F">
              <w:rPr>
                <w:sz w:val="22"/>
                <w:szCs w:val="22"/>
              </w:rPr>
              <w:t>1.353*</w:t>
            </w:r>
          </w:p>
        </w:tc>
        <w:tc>
          <w:tcPr>
            <w:tcW w:w="1546" w:type="dxa"/>
          </w:tcPr>
          <w:p w14:paraId="47CDFF0C" w14:textId="019E8173" w:rsidR="0078550F" w:rsidRPr="0078550F" w:rsidRDefault="0078550F" w:rsidP="003D1FBF">
            <w:pPr>
              <w:jc w:val="center"/>
              <w:rPr>
                <w:sz w:val="22"/>
                <w:szCs w:val="22"/>
              </w:rPr>
            </w:pPr>
            <w:r w:rsidRPr="0078550F">
              <w:rPr>
                <w:sz w:val="22"/>
                <w:szCs w:val="22"/>
              </w:rPr>
              <w:t>0.596*</w:t>
            </w:r>
          </w:p>
        </w:tc>
      </w:tr>
      <w:tr w:rsidR="0078550F" w14:paraId="09563885" w14:textId="77777777" w:rsidTr="0064666E">
        <w:tc>
          <w:tcPr>
            <w:tcW w:w="2835" w:type="dxa"/>
          </w:tcPr>
          <w:p w14:paraId="543E8D5C" w14:textId="77777777" w:rsidR="0078550F" w:rsidRPr="0012664E" w:rsidRDefault="0078550F" w:rsidP="003D1FBF">
            <w:pPr>
              <w:rPr>
                <w:sz w:val="22"/>
                <w:szCs w:val="22"/>
              </w:rPr>
            </w:pPr>
          </w:p>
        </w:tc>
        <w:tc>
          <w:tcPr>
            <w:tcW w:w="1545" w:type="dxa"/>
          </w:tcPr>
          <w:p w14:paraId="7EC1EF37" w14:textId="5C1D36AF" w:rsidR="0078550F" w:rsidRPr="0078550F" w:rsidRDefault="0078550F" w:rsidP="003D1FBF">
            <w:pPr>
              <w:jc w:val="center"/>
              <w:rPr>
                <w:sz w:val="22"/>
                <w:szCs w:val="22"/>
              </w:rPr>
            </w:pPr>
            <w:r w:rsidRPr="0078550F">
              <w:rPr>
                <w:sz w:val="22"/>
                <w:szCs w:val="22"/>
              </w:rPr>
              <w:t>(-0.67)</w:t>
            </w:r>
          </w:p>
        </w:tc>
        <w:tc>
          <w:tcPr>
            <w:tcW w:w="1545" w:type="dxa"/>
          </w:tcPr>
          <w:p w14:paraId="7103074A" w14:textId="0A86B268" w:rsidR="0078550F" w:rsidRPr="0078550F" w:rsidRDefault="0078550F" w:rsidP="003D1FBF">
            <w:pPr>
              <w:jc w:val="center"/>
              <w:rPr>
                <w:sz w:val="22"/>
                <w:szCs w:val="22"/>
              </w:rPr>
            </w:pPr>
            <w:r w:rsidRPr="0078550F">
              <w:rPr>
                <w:sz w:val="22"/>
                <w:szCs w:val="22"/>
              </w:rPr>
              <w:t>(1.88)</w:t>
            </w:r>
          </w:p>
        </w:tc>
        <w:tc>
          <w:tcPr>
            <w:tcW w:w="1545" w:type="dxa"/>
          </w:tcPr>
          <w:p w14:paraId="1C3B9AE5" w14:textId="5BAE8661" w:rsidR="0078550F" w:rsidRPr="0078550F" w:rsidRDefault="0078550F" w:rsidP="003D1FBF">
            <w:pPr>
              <w:jc w:val="center"/>
              <w:rPr>
                <w:sz w:val="22"/>
                <w:szCs w:val="22"/>
              </w:rPr>
            </w:pPr>
            <w:r w:rsidRPr="0078550F">
              <w:rPr>
                <w:sz w:val="22"/>
                <w:szCs w:val="22"/>
              </w:rPr>
              <w:t>(1.77)</w:t>
            </w:r>
          </w:p>
        </w:tc>
        <w:tc>
          <w:tcPr>
            <w:tcW w:w="1546" w:type="dxa"/>
          </w:tcPr>
          <w:p w14:paraId="35B20428" w14:textId="6F013837" w:rsidR="0078550F" w:rsidRPr="0078550F" w:rsidRDefault="0078550F" w:rsidP="003D1FBF">
            <w:pPr>
              <w:jc w:val="center"/>
              <w:rPr>
                <w:sz w:val="22"/>
                <w:szCs w:val="22"/>
              </w:rPr>
            </w:pPr>
            <w:r w:rsidRPr="0078550F">
              <w:rPr>
                <w:sz w:val="22"/>
                <w:szCs w:val="22"/>
              </w:rPr>
              <w:t>(1.91)</w:t>
            </w:r>
          </w:p>
        </w:tc>
      </w:tr>
      <w:tr w:rsidR="0078550F" w14:paraId="2C338456" w14:textId="77777777" w:rsidTr="0064666E">
        <w:tc>
          <w:tcPr>
            <w:tcW w:w="2835" w:type="dxa"/>
          </w:tcPr>
          <w:p w14:paraId="4BC2EC74" w14:textId="77777777" w:rsidR="0078550F" w:rsidRPr="0012664E" w:rsidRDefault="0078550F" w:rsidP="003D1FBF">
            <w:pPr>
              <w:rPr>
                <w:sz w:val="22"/>
                <w:szCs w:val="22"/>
              </w:rPr>
            </w:pPr>
            <w:proofErr w:type="spellStart"/>
            <w:r w:rsidRPr="0012664E">
              <w:rPr>
                <w:sz w:val="22"/>
                <w:szCs w:val="22"/>
              </w:rPr>
              <w:t>LnSize</w:t>
            </w:r>
            <w:proofErr w:type="spellEnd"/>
          </w:p>
        </w:tc>
        <w:tc>
          <w:tcPr>
            <w:tcW w:w="1545" w:type="dxa"/>
          </w:tcPr>
          <w:p w14:paraId="0FF60971" w14:textId="740D743F" w:rsidR="0078550F" w:rsidRPr="0078550F" w:rsidRDefault="0078550F" w:rsidP="003D1FBF">
            <w:pPr>
              <w:jc w:val="center"/>
              <w:rPr>
                <w:sz w:val="22"/>
                <w:szCs w:val="22"/>
              </w:rPr>
            </w:pPr>
            <w:r w:rsidRPr="0078550F">
              <w:rPr>
                <w:sz w:val="22"/>
                <w:szCs w:val="22"/>
              </w:rPr>
              <w:t>-0.093**</w:t>
            </w:r>
          </w:p>
        </w:tc>
        <w:tc>
          <w:tcPr>
            <w:tcW w:w="1545" w:type="dxa"/>
          </w:tcPr>
          <w:p w14:paraId="6CD4EBB8" w14:textId="297BE6DE" w:rsidR="0078550F" w:rsidRPr="0078550F" w:rsidRDefault="0078550F" w:rsidP="003D1FBF">
            <w:pPr>
              <w:jc w:val="center"/>
              <w:rPr>
                <w:sz w:val="22"/>
                <w:szCs w:val="22"/>
              </w:rPr>
            </w:pPr>
            <w:r w:rsidRPr="0078550F">
              <w:rPr>
                <w:sz w:val="22"/>
                <w:szCs w:val="22"/>
              </w:rPr>
              <w:t>-0.019</w:t>
            </w:r>
          </w:p>
        </w:tc>
        <w:tc>
          <w:tcPr>
            <w:tcW w:w="1545" w:type="dxa"/>
          </w:tcPr>
          <w:p w14:paraId="3F63F079" w14:textId="5362212B" w:rsidR="0078550F" w:rsidRPr="0078550F" w:rsidRDefault="0078550F" w:rsidP="003D1FBF">
            <w:pPr>
              <w:jc w:val="center"/>
              <w:rPr>
                <w:sz w:val="22"/>
                <w:szCs w:val="22"/>
              </w:rPr>
            </w:pPr>
            <w:r w:rsidRPr="0078550F">
              <w:rPr>
                <w:sz w:val="22"/>
                <w:szCs w:val="22"/>
              </w:rPr>
              <w:t>0.003</w:t>
            </w:r>
          </w:p>
        </w:tc>
        <w:tc>
          <w:tcPr>
            <w:tcW w:w="1546" w:type="dxa"/>
          </w:tcPr>
          <w:p w14:paraId="780D2AE5" w14:textId="6F7778F4" w:rsidR="0078550F" w:rsidRPr="0078550F" w:rsidRDefault="0078550F" w:rsidP="003D1FBF">
            <w:pPr>
              <w:jc w:val="center"/>
              <w:rPr>
                <w:sz w:val="22"/>
                <w:szCs w:val="22"/>
              </w:rPr>
            </w:pPr>
            <w:r w:rsidRPr="0078550F">
              <w:rPr>
                <w:sz w:val="22"/>
                <w:szCs w:val="22"/>
              </w:rPr>
              <w:t>-0.005</w:t>
            </w:r>
          </w:p>
        </w:tc>
      </w:tr>
      <w:tr w:rsidR="0078550F" w14:paraId="4FE26DA3" w14:textId="77777777" w:rsidTr="0064666E">
        <w:tc>
          <w:tcPr>
            <w:tcW w:w="2835" w:type="dxa"/>
          </w:tcPr>
          <w:p w14:paraId="4F689582" w14:textId="77777777" w:rsidR="0078550F" w:rsidRPr="0012664E" w:rsidRDefault="0078550F" w:rsidP="003D1FBF">
            <w:pPr>
              <w:rPr>
                <w:sz w:val="22"/>
                <w:szCs w:val="22"/>
              </w:rPr>
            </w:pPr>
          </w:p>
        </w:tc>
        <w:tc>
          <w:tcPr>
            <w:tcW w:w="1545" w:type="dxa"/>
          </w:tcPr>
          <w:p w14:paraId="7A3C73E4" w14:textId="5BDBD705" w:rsidR="0078550F" w:rsidRPr="0078550F" w:rsidRDefault="0078550F" w:rsidP="003D1FBF">
            <w:pPr>
              <w:jc w:val="center"/>
              <w:rPr>
                <w:sz w:val="22"/>
                <w:szCs w:val="22"/>
              </w:rPr>
            </w:pPr>
            <w:r w:rsidRPr="0078550F">
              <w:rPr>
                <w:sz w:val="22"/>
                <w:szCs w:val="22"/>
              </w:rPr>
              <w:t>(-2.25)</w:t>
            </w:r>
          </w:p>
        </w:tc>
        <w:tc>
          <w:tcPr>
            <w:tcW w:w="1545" w:type="dxa"/>
          </w:tcPr>
          <w:p w14:paraId="7C36DF98" w14:textId="7567ABBD" w:rsidR="0078550F" w:rsidRPr="0078550F" w:rsidRDefault="0078550F" w:rsidP="003D1FBF">
            <w:pPr>
              <w:jc w:val="center"/>
              <w:rPr>
                <w:sz w:val="22"/>
                <w:szCs w:val="22"/>
              </w:rPr>
            </w:pPr>
            <w:r w:rsidRPr="0078550F">
              <w:rPr>
                <w:sz w:val="22"/>
                <w:szCs w:val="22"/>
              </w:rPr>
              <w:t>(-0.97)</w:t>
            </w:r>
          </w:p>
        </w:tc>
        <w:tc>
          <w:tcPr>
            <w:tcW w:w="1545" w:type="dxa"/>
          </w:tcPr>
          <w:p w14:paraId="602CCE77" w14:textId="19AB35FB" w:rsidR="0078550F" w:rsidRPr="0078550F" w:rsidRDefault="0078550F" w:rsidP="003D1FBF">
            <w:pPr>
              <w:jc w:val="center"/>
              <w:rPr>
                <w:sz w:val="22"/>
                <w:szCs w:val="22"/>
              </w:rPr>
            </w:pPr>
            <w:r w:rsidRPr="0078550F">
              <w:rPr>
                <w:sz w:val="22"/>
                <w:szCs w:val="22"/>
              </w:rPr>
              <w:t>(0.1</w:t>
            </w:r>
            <w:r w:rsidR="00F5743A">
              <w:rPr>
                <w:sz w:val="22"/>
                <w:szCs w:val="22"/>
              </w:rPr>
              <w:t>0</w:t>
            </w:r>
            <w:r w:rsidRPr="0078550F">
              <w:rPr>
                <w:sz w:val="22"/>
                <w:szCs w:val="22"/>
              </w:rPr>
              <w:t>)</w:t>
            </w:r>
          </w:p>
        </w:tc>
        <w:tc>
          <w:tcPr>
            <w:tcW w:w="1546" w:type="dxa"/>
          </w:tcPr>
          <w:p w14:paraId="31F99C00" w14:textId="1675697E" w:rsidR="0078550F" w:rsidRPr="0078550F" w:rsidRDefault="0078550F" w:rsidP="003D1FBF">
            <w:pPr>
              <w:jc w:val="center"/>
              <w:rPr>
                <w:sz w:val="22"/>
                <w:szCs w:val="22"/>
              </w:rPr>
            </w:pPr>
            <w:r w:rsidRPr="0078550F">
              <w:rPr>
                <w:sz w:val="22"/>
                <w:szCs w:val="22"/>
              </w:rPr>
              <w:t>(-0.36)</w:t>
            </w:r>
          </w:p>
        </w:tc>
      </w:tr>
      <w:tr w:rsidR="0078550F" w14:paraId="1735586E" w14:textId="77777777" w:rsidTr="0064666E">
        <w:tc>
          <w:tcPr>
            <w:tcW w:w="2835" w:type="dxa"/>
          </w:tcPr>
          <w:p w14:paraId="3C94E48D" w14:textId="77777777" w:rsidR="0078550F" w:rsidRPr="0012664E" w:rsidRDefault="0078550F" w:rsidP="003D1FBF">
            <w:pPr>
              <w:rPr>
                <w:sz w:val="22"/>
                <w:szCs w:val="22"/>
              </w:rPr>
            </w:pPr>
            <w:r w:rsidRPr="0012664E">
              <w:rPr>
                <w:sz w:val="22"/>
                <w:szCs w:val="22"/>
              </w:rPr>
              <w:t>Leverage</w:t>
            </w:r>
          </w:p>
        </w:tc>
        <w:tc>
          <w:tcPr>
            <w:tcW w:w="1545" w:type="dxa"/>
          </w:tcPr>
          <w:p w14:paraId="3710C300" w14:textId="4DC998AC" w:rsidR="0078550F" w:rsidRPr="0078550F" w:rsidRDefault="0078550F" w:rsidP="003D1FBF">
            <w:pPr>
              <w:jc w:val="center"/>
              <w:rPr>
                <w:sz w:val="22"/>
                <w:szCs w:val="22"/>
              </w:rPr>
            </w:pPr>
            <w:r w:rsidRPr="0078550F">
              <w:rPr>
                <w:sz w:val="22"/>
                <w:szCs w:val="22"/>
              </w:rPr>
              <w:t>0.001</w:t>
            </w:r>
          </w:p>
        </w:tc>
        <w:tc>
          <w:tcPr>
            <w:tcW w:w="1545" w:type="dxa"/>
          </w:tcPr>
          <w:p w14:paraId="19159F4F" w14:textId="66B94BC6" w:rsidR="0078550F" w:rsidRPr="0078550F" w:rsidRDefault="0078550F" w:rsidP="003D1FBF">
            <w:pPr>
              <w:jc w:val="center"/>
              <w:rPr>
                <w:sz w:val="22"/>
                <w:szCs w:val="22"/>
              </w:rPr>
            </w:pPr>
            <w:r w:rsidRPr="0078550F">
              <w:rPr>
                <w:sz w:val="22"/>
                <w:szCs w:val="22"/>
              </w:rPr>
              <w:t>0.001*</w:t>
            </w:r>
          </w:p>
        </w:tc>
        <w:tc>
          <w:tcPr>
            <w:tcW w:w="1545" w:type="dxa"/>
          </w:tcPr>
          <w:p w14:paraId="6D8D5809" w14:textId="4B02CBBB" w:rsidR="0078550F" w:rsidRPr="0078550F" w:rsidRDefault="0078550F" w:rsidP="003D1FBF">
            <w:pPr>
              <w:jc w:val="center"/>
              <w:rPr>
                <w:sz w:val="22"/>
                <w:szCs w:val="22"/>
              </w:rPr>
            </w:pPr>
            <w:r w:rsidRPr="0078550F">
              <w:rPr>
                <w:sz w:val="22"/>
                <w:szCs w:val="22"/>
              </w:rPr>
              <w:t>0.001</w:t>
            </w:r>
          </w:p>
        </w:tc>
        <w:tc>
          <w:tcPr>
            <w:tcW w:w="1546" w:type="dxa"/>
          </w:tcPr>
          <w:p w14:paraId="62775644" w14:textId="510DF0A2" w:rsidR="0078550F" w:rsidRPr="0078550F" w:rsidRDefault="0078550F" w:rsidP="003D1FBF">
            <w:pPr>
              <w:jc w:val="center"/>
              <w:rPr>
                <w:sz w:val="22"/>
                <w:szCs w:val="22"/>
              </w:rPr>
            </w:pPr>
            <w:r w:rsidRPr="0078550F">
              <w:rPr>
                <w:sz w:val="22"/>
                <w:szCs w:val="22"/>
              </w:rPr>
              <w:t>0.001</w:t>
            </w:r>
          </w:p>
        </w:tc>
      </w:tr>
      <w:tr w:rsidR="0078550F" w14:paraId="1FAA7EC5" w14:textId="77777777" w:rsidTr="0064666E">
        <w:tc>
          <w:tcPr>
            <w:tcW w:w="2835" w:type="dxa"/>
          </w:tcPr>
          <w:p w14:paraId="748E32BF" w14:textId="77777777" w:rsidR="0078550F" w:rsidRPr="0012664E" w:rsidRDefault="0078550F" w:rsidP="003D1FBF">
            <w:pPr>
              <w:rPr>
                <w:sz w:val="22"/>
                <w:szCs w:val="22"/>
              </w:rPr>
            </w:pPr>
          </w:p>
        </w:tc>
        <w:tc>
          <w:tcPr>
            <w:tcW w:w="1545" w:type="dxa"/>
          </w:tcPr>
          <w:p w14:paraId="0E3DD1D6" w14:textId="04D1D4C9" w:rsidR="0078550F" w:rsidRPr="0078550F" w:rsidRDefault="0078550F" w:rsidP="003D1FBF">
            <w:pPr>
              <w:jc w:val="center"/>
              <w:rPr>
                <w:sz w:val="22"/>
                <w:szCs w:val="22"/>
              </w:rPr>
            </w:pPr>
            <w:r w:rsidRPr="0078550F">
              <w:rPr>
                <w:sz w:val="22"/>
                <w:szCs w:val="22"/>
              </w:rPr>
              <w:t>(1.51)</w:t>
            </w:r>
          </w:p>
        </w:tc>
        <w:tc>
          <w:tcPr>
            <w:tcW w:w="1545" w:type="dxa"/>
          </w:tcPr>
          <w:p w14:paraId="74A7A960" w14:textId="3499CFB1" w:rsidR="0078550F" w:rsidRPr="0078550F" w:rsidRDefault="0078550F" w:rsidP="003D1FBF">
            <w:pPr>
              <w:jc w:val="center"/>
              <w:rPr>
                <w:sz w:val="22"/>
                <w:szCs w:val="22"/>
              </w:rPr>
            </w:pPr>
            <w:r w:rsidRPr="0078550F">
              <w:rPr>
                <w:sz w:val="22"/>
                <w:szCs w:val="22"/>
              </w:rPr>
              <w:t>(1.78)</w:t>
            </w:r>
          </w:p>
        </w:tc>
        <w:tc>
          <w:tcPr>
            <w:tcW w:w="1545" w:type="dxa"/>
          </w:tcPr>
          <w:p w14:paraId="5F19AF46" w14:textId="73592D2B" w:rsidR="0078550F" w:rsidRPr="0078550F" w:rsidRDefault="0078550F" w:rsidP="003D1FBF">
            <w:pPr>
              <w:jc w:val="center"/>
              <w:rPr>
                <w:sz w:val="22"/>
                <w:szCs w:val="22"/>
              </w:rPr>
            </w:pPr>
            <w:r w:rsidRPr="0078550F">
              <w:rPr>
                <w:sz w:val="22"/>
                <w:szCs w:val="22"/>
              </w:rPr>
              <w:t>(0.29)</w:t>
            </w:r>
          </w:p>
        </w:tc>
        <w:tc>
          <w:tcPr>
            <w:tcW w:w="1546" w:type="dxa"/>
          </w:tcPr>
          <w:p w14:paraId="776603BE" w14:textId="77B95127" w:rsidR="0078550F" w:rsidRPr="0078550F" w:rsidRDefault="0078550F" w:rsidP="003D1FBF">
            <w:pPr>
              <w:jc w:val="center"/>
              <w:rPr>
                <w:sz w:val="22"/>
                <w:szCs w:val="22"/>
              </w:rPr>
            </w:pPr>
            <w:r w:rsidRPr="0078550F">
              <w:rPr>
                <w:sz w:val="22"/>
                <w:szCs w:val="22"/>
              </w:rPr>
              <w:t>(0.71)</w:t>
            </w:r>
          </w:p>
        </w:tc>
      </w:tr>
      <w:tr w:rsidR="0078550F" w14:paraId="7E94EA07" w14:textId="77777777" w:rsidTr="0064666E">
        <w:tc>
          <w:tcPr>
            <w:tcW w:w="2835" w:type="dxa"/>
          </w:tcPr>
          <w:p w14:paraId="6ACE1106" w14:textId="77777777" w:rsidR="0078550F" w:rsidRPr="0012664E" w:rsidRDefault="0078550F" w:rsidP="003D1FBF">
            <w:pPr>
              <w:rPr>
                <w:sz w:val="22"/>
                <w:szCs w:val="22"/>
              </w:rPr>
            </w:pPr>
            <w:r w:rsidRPr="0012664E">
              <w:rPr>
                <w:sz w:val="22"/>
                <w:szCs w:val="22"/>
              </w:rPr>
              <w:t>Firm age</w:t>
            </w:r>
          </w:p>
        </w:tc>
        <w:tc>
          <w:tcPr>
            <w:tcW w:w="1545" w:type="dxa"/>
          </w:tcPr>
          <w:p w14:paraId="7E6FFBA0" w14:textId="31F58521" w:rsidR="0078550F" w:rsidRPr="0078550F" w:rsidRDefault="0078550F" w:rsidP="003D1FBF">
            <w:pPr>
              <w:jc w:val="center"/>
              <w:rPr>
                <w:sz w:val="22"/>
                <w:szCs w:val="22"/>
              </w:rPr>
            </w:pPr>
            <w:r w:rsidRPr="0078550F">
              <w:rPr>
                <w:sz w:val="22"/>
                <w:szCs w:val="22"/>
              </w:rPr>
              <w:t>-0.002</w:t>
            </w:r>
          </w:p>
        </w:tc>
        <w:tc>
          <w:tcPr>
            <w:tcW w:w="1545" w:type="dxa"/>
          </w:tcPr>
          <w:p w14:paraId="2915316C" w14:textId="1CD79683" w:rsidR="0078550F" w:rsidRPr="0078550F" w:rsidRDefault="0078550F" w:rsidP="003D1FBF">
            <w:pPr>
              <w:jc w:val="center"/>
              <w:rPr>
                <w:sz w:val="22"/>
                <w:szCs w:val="22"/>
              </w:rPr>
            </w:pPr>
            <w:r w:rsidRPr="0078550F">
              <w:rPr>
                <w:sz w:val="22"/>
                <w:szCs w:val="22"/>
              </w:rPr>
              <w:t>-0.003**</w:t>
            </w:r>
          </w:p>
        </w:tc>
        <w:tc>
          <w:tcPr>
            <w:tcW w:w="1545" w:type="dxa"/>
          </w:tcPr>
          <w:p w14:paraId="2D15BF4C" w14:textId="4DE3D689" w:rsidR="0078550F" w:rsidRPr="0078550F" w:rsidRDefault="0078550F" w:rsidP="003D1FBF">
            <w:pPr>
              <w:jc w:val="center"/>
              <w:rPr>
                <w:sz w:val="22"/>
                <w:szCs w:val="22"/>
              </w:rPr>
            </w:pPr>
            <w:r w:rsidRPr="0078550F">
              <w:rPr>
                <w:sz w:val="22"/>
                <w:szCs w:val="22"/>
              </w:rPr>
              <w:t>-0.005***</w:t>
            </w:r>
          </w:p>
        </w:tc>
        <w:tc>
          <w:tcPr>
            <w:tcW w:w="1546" w:type="dxa"/>
          </w:tcPr>
          <w:p w14:paraId="36588FE4" w14:textId="7B1AD8CF" w:rsidR="0078550F" w:rsidRPr="0078550F" w:rsidRDefault="0078550F" w:rsidP="003D1FBF">
            <w:pPr>
              <w:jc w:val="center"/>
              <w:rPr>
                <w:sz w:val="22"/>
                <w:szCs w:val="22"/>
              </w:rPr>
            </w:pPr>
            <w:r w:rsidRPr="0078550F">
              <w:rPr>
                <w:sz w:val="22"/>
                <w:szCs w:val="22"/>
              </w:rPr>
              <w:t>-0.003***</w:t>
            </w:r>
          </w:p>
        </w:tc>
      </w:tr>
      <w:tr w:rsidR="0078550F" w14:paraId="5D403F7C" w14:textId="77777777" w:rsidTr="0064666E">
        <w:tc>
          <w:tcPr>
            <w:tcW w:w="2835" w:type="dxa"/>
          </w:tcPr>
          <w:p w14:paraId="31E30455" w14:textId="77777777" w:rsidR="0078550F" w:rsidRPr="0012664E" w:rsidRDefault="0078550F" w:rsidP="003D1FBF">
            <w:pPr>
              <w:rPr>
                <w:sz w:val="22"/>
                <w:szCs w:val="22"/>
              </w:rPr>
            </w:pPr>
          </w:p>
        </w:tc>
        <w:tc>
          <w:tcPr>
            <w:tcW w:w="1545" w:type="dxa"/>
          </w:tcPr>
          <w:p w14:paraId="6D29F908" w14:textId="4D096AB2" w:rsidR="0078550F" w:rsidRPr="0078550F" w:rsidRDefault="0078550F" w:rsidP="003D1FBF">
            <w:pPr>
              <w:jc w:val="center"/>
              <w:rPr>
                <w:sz w:val="22"/>
                <w:szCs w:val="22"/>
              </w:rPr>
            </w:pPr>
            <w:r w:rsidRPr="0078550F">
              <w:rPr>
                <w:sz w:val="22"/>
                <w:szCs w:val="22"/>
              </w:rPr>
              <w:t>(-1.63)</w:t>
            </w:r>
          </w:p>
        </w:tc>
        <w:tc>
          <w:tcPr>
            <w:tcW w:w="1545" w:type="dxa"/>
          </w:tcPr>
          <w:p w14:paraId="7E43A508" w14:textId="7B46C6A8" w:rsidR="0078550F" w:rsidRPr="0078550F" w:rsidRDefault="0078550F" w:rsidP="003D1FBF">
            <w:pPr>
              <w:jc w:val="center"/>
              <w:rPr>
                <w:sz w:val="22"/>
                <w:szCs w:val="22"/>
              </w:rPr>
            </w:pPr>
            <w:r w:rsidRPr="0078550F">
              <w:rPr>
                <w:sz w:val="22"/>
                <w:szCs w:val="22"/>
              </w:rPr>
              <w:t>(-1.96)</w:t>
            </w:r>
          </w:p>
        </w:tc>
        <w:tc>
          <w:tcPr>
            <w:tcW w:w="1545" w:type="dxa"/>
          </w:tcPr>
          <w:p w14:paraId="041F314D" w14:textId="0FBF23D5" w:rsidR="0078550F" w:rsidRPr="0078550F" w:rsidRDefault="0078550F" w:rsidP="003D1FBF">
            <w:pPr>
              <w:jc w:val="center"/>
              <w:rPr>
                <w:sz w:val="22"/>
                <w:szCs w:val="22"/>
              </w:rPr>
            </w:pPr>
            <w:r w:rsidRPr="0078550F">
              <w:rPr>
                <w:sz w:val="22"/>
                <w:szCs w:val="22"/>
              </w:rPr>
              <w:t>(-3</w:t>
            </w:r>
            <w:r w:rsidR="00F5743A">
              <w:rPr>
                <w:sz w:val="22"/>
                <w:szCs w:val="22"/>
              </w:rPr>
              <w:t>.00</w:t>
            </w:r>
            <w:r w:rsidRPr="0078550F">
              <w:rPr>
                <w:sz w:val="22"/>
                <w:szCs w:val="22"/>
              </w:rPr>
              <w:t>)</w:t>
            </w:r>
          </w:p>
        </w:tc>
        <w:tc>
          <w:tcPr>
            <w:tcW w:w="1546" w:type="dxa"/>
          </w:tcPr>
          <w:p w14:paraId="3BB30128" w14:textId="2197EA72" w:rsidR="0078550F" w:rsidRPr="0078550F" w:rsidRDefault="0078550F" w:rsidP="003D1FBF">
            <w:pPr>
              <w:jc w:val="center"/>
              <w:rPr>
                <w:sz w:val="22"/>
                <w:szCs w:val="22"/>
              </w:rPr>
            </w:pPr>
            <w:r w:rsidRPr="0078550F">
              <w:rPr>
                <w:sz w:val="22"/>
                <w:szCs w:val="22"/>
              </w:rPr>
              <w:t>(-2.61)</w:t>
            </w:r>
          </w:p>
        </w:tc>
      </w:tr>
      <w:tr w:rsidR="0078550F" w14:paraId="48C1CED7" w14:textId="77777777" w:rsidTr="0064666E">
        <w:tc>
          <w:tcPr>
            <w:tcW w:w="2835" w:type="dxa"/>
          </w:tcPr>
          <w:p w14:paraId="04D05DBA" w14:textId="77777777" w:rsidR="0078550F" w:rsidRPr="0012664E" w:rsidRDefault="0078550F" w:rsidP="003D1FBF">
            <w:pPr>
              <w:rPr>
                <w:sz w:val="22"/>
                <w:szCs w:val="22"/>
              </w:rPr>
            </w:pPr>
            <w:r w:rsidRPr="0012664E">
              <w:rPr>
                <w:sz w:val="22"/>
                <w:szCs w:val="22"/>
              </w:rPr>
              <w:t>Segments</w:t>
            </w:r>
          </w:p>
        </w:tc>
        <w:tc>
          <w:tcPr>
            <w:tcW w:w="1545" w:type="dxa"/>
          </w:tcPr>
          <w:p w14:paraId="48A86EB4" w14:textId="5EB95F65" w:rsidR="0078550F" w:rsidRPr="0078550F" w:rsidRDefault="0078550F" w:rsidP="003D1FBF">
            <w:pPr>
              <w:jc w:val="center"/>
              <w:rPr>
                <w:sz w:val="22"/>
                <w:szCs w:val="22"/>
              </w:rPr>
            </w:pPr>
            <w:r w:rsidRPr="0078550F">
              <w:rPr>
                <w:sz w:val="22"/>
                <w:szCs w:val="22"/>
              </w:rPr>
              <w:t>0.008</w:t>
            </w:r>
          </w:p>
        </w:tc>
        <w:tc>
          <w:tcPr>
            <w:tcW w:w="1545" w:type="dxa"/>
          </w:tcPr>
          <w:p w14:paraId="00ABC9D5" w14:textId="6476402B" w:rsidR="0078550F" w:rsidRPr="0078550F" w:rsidRDefault="0078550F" w:rsidP="003D1FBF">
            <w:pPr>
              <w:jc w:val="center"/>
              <w:rPr>
                <w:sz w:val="22"/>
                <w:szCs w:val="22"/>
              </w:rPr>
            </w:pPr>
            <w:r w:rsidRPr="0078550F">
              <w:rPr>
                <w:sz w:val="22"/>
                <w:szCs w:val="22"/>
              </w:rPr>
              <w:t>0.009</w:t>
            </w:r>
          </w:p>
        </w:tc>
        <w:tc>
          <w:tcPr>
            <w:tcW w:w="1545" w:type="dxa"/>
          </w:tcPr>
          <w:p w14:paraId="596AAD12" w14:textId="397B28B5" w:rsidR="0078550F" w:rsidRPr="0078550F" w:rsidRDefault="0078550F" w:rsidP="003D1FBF">
            <w:pPr>
              <w:jc w:val="center"/>
              <w:rPr>
                <w:sz w:val="22"/>
                <w:szCs w:val="22"/>
              </w:rPr>
            </w:pPr>
            <w:r w:rsidRPr="0078550F">
              <w:rPr>
                <w:sz w:val="22"/>
                <w:szCs w:val="22"/>
              </w:rPr>
              <w:t>0.099**</w:t>
            </w:r>
          </w:p>
        </w:tc>
        <w:tc>
          <w:tcPr>
            <w:tcW w:w="1546" w:type="dxa"/>
          </w:tcPr>
          <w:p w14:paraId="6C7E6A52" w14:textId="7F4BF7E7" w:rsidR="0078550F" w:rsidRPr="0078550F" w:rsidRDefault="0078550F" w:rsidP="003D1FBF">
            <w:pPr>
              <w:jc w:val="center"/>
              <w:rPr>
                <w:sz w:val="22"/>
                <w:szCs w:val="22"/>
              </w:rPr>
            </w:pPr>
            <w:r w:rsidRPr="0078550F">
              <w:rPr>
                <w:sz w:val="22"/>
                <w:szCs w:val="22"/>
              </w:rPr>
              <w:t>0.015</w:t>
            </w:r>
          </w:p>
        </w:tc>
      </w:tr>
      <w:tr w:rsidR="0078550F" w14:paraId="2CEF1CD4" w14:textId="77777777" w:rsidTr="0064666E">
        <w:tc>
          <w:tcPr>
            <w:tcW w:w="2835" w:type="dxa"/>
          </w:tcPr>
          <w:p w14:paraId="4E28DC1B" w14:textId="77777777" w:rsidR="0078550F" w:rsidRPr="0012664E" w:rsidRDefault="0078550F" w:rsidP="003D1FBF">
            <w:pPr>
              <w:rPr>
                <w:sz w:val="22"/>
                <w:szCs w:val="22"/>
              </w:rPr>
            </w:pPr>
          </w:p>
        </w:tc>
        <w:tc>
          <w:tcPr>
            <w:tcW w:w="1545" w:type="dxa"/>
          </w:tcPr>
          <w:p w14:paraId="1090D506" w14:textId="37BE51F1" w:rsidR="0078550F" w:rsidRPr="0078550F" w:rsidRDefault="0078550F" w:rsidP="003D1FBF">
            <w:pPr>
              <w:jc w:val="center"/>
              <w:rPr>
                <w:sz w:val="22"/>
                <w:szCs w:val="22"/>
              </w:rPr>
            </w:pPr>
            <w:r w:rsidRPr="0078550F">
              <w:rPr>
                <w:sz w:val="22"/>
                <w:szCs w:val="22"/>
              </w:rPr>
              <w:t>(0.25)</w:t>
            </w:r>
          </w:p>
        </w:tc>
        <w:tc>
          <w:tcPr>
            <w:tcW w:w="1545" w:type="dxa"/>
          </w:tcPr>
          <w:p w14:paraId="1F48F929" w14:textId="3CED98F2" w:rsidR="0078550F" w:rsidRPr="0078550F" w:rsidRDefault="0078550F" w:rsidP="003D1FBF">
            <w:pPr>
              <w:jc w:val="center"/>
              <w:rPr>
                <w:sz w:val="22"/>
                <w:szCs w:val="22"/>
              </w:rPr>
            </w:pPr>
            <w:r w:rsidRPr="0078550F">
              <w:rPr>
                <w:sz w:val="22"/>
                <w:szCs w:val="22"/>
              </w:rPr>
              <w:t>(0.31)</w:t>
            </w:r>
          </w:p>
        </w:tc>
        <w:tc>
          <w:tcPr>
            <w:tcW w:w="1545" w:type="dxa"/>
          </w:tcPr>
          <w:p w14:paraId="4D8B534A" w14:textId="4E551054" w:rsidR="0078550F" w:rsidRPr="0078550F" w:rsidRDefault="0078550F" w:rsidP="003D1FBF">
            <w:pPr>
              <w:jc w:val="center"/>
              <w:rPr>
                <w:sz w:val="22"/>
                <w:szCs w:val="22"/>
              </w:rPr>
            </w:pPr>
            <w:r w:rsidRPr="0078550F">
              <w:rPr>
                <w:sz w:val="22"/>
                <w:szCs w:val="22"/>
              </w:rPr>
              <w:t>(1.97)</w:t>
            </w:r>
          </w:p>
        </w:tc>
        <w:tc>
          <w:tcPr>
            <w:tcW w:w="1546" w:type="dxa"/>
          </w:tcPr>
          <w:p w14:paraId="75071CF7" w14:textId="5B004C65" w:rsidR="0078550F" w:rsidRPr="0078550F" w:rsidRDefault="0078550F" w:rsidP="003D1FBF">
            <w:pPr>
              <w:jc w:val="center"/>
              <w:rPr>
                <w:sz w:val="22"/>
                <w:szCs w:val="22"/>
              </w:rPr>
            </w:pPr>
            <w:r w:rsidRPr="0078550F">
              <w:rPr>
                <w:sz w:val="22"/>
                <w:szCs w:val="22"/>
              </w:rPr>
              <w:t>(1.09)</w:t>
            </w:r>
          </w:p>
        </w:tc>
      </w:tr>
      <w:tr w:rsidR="0078550F" w14:paraId="2E392B12" w14:textId="77777777" w:rsidTr="0064666E">
        <w:tc>
          <w:tcPr>
            <w:tcW w:w="2835" w:type="dxa"/>
          </w:tcPr>
          <w:p w14:paraId="6C31B679" w14:textId="77777777" w:rsidR="0078550F" w:rsidRPr="0012664E" w:rsidRDefault="0078550F" w:rsidP="003D1FBF">
            <w:pPr>
              <w:rPr>
                <w:sz w:val="22"/>
                <w:szCs w:val="22"/>
              </w:rPr>
            </w:pPr>
            <w:r w:rsidRPr="0012664E">
              <w:rPr>
                <w:sz w:val="22"/>
                <w:szCs w:val="22"/>
              </w:rPr>
              <w:t>Z-score</w:t>
            </w:r>
          </w:p>
        </w:tc>
        <w:tc>
          <w:tcPr>
            <w:tcW w:w="1545" w:type="dxa"/>
          </w:tcPr>
          <w:p w14:paraId="4A322868" w14:textId="7334FFBE" w:rsidR="0078550F" w:rsidRPr="0078550F" w:rsidRDefault="0078550F" w:rsidP="003D1FBF">
            <w:pPr>
              <w:jc w:val="center"/>
              <w:rPr>
                <w:sz w:val="22"/>
                <w:szCs w:val="22"/>
              </w:rPr>
            </w:pPr>
            <w:r w:rsidRPr="0078550F">
              <w:rPr>
                <w:sz w:val="22"/>
                <w:szCs w:val="22"/>
              </w:rPr>
              <w:t>0.001</w:t>
            </w:r>
          </w:p>
        </w:tc>
        <w:tc>
          <w:tcPr>
            <w:tcW w:w="1545" w:type="dxa"/>
          </w:tcPr>
          <w:p w14:paraId="0144FFB7" w14:textId="6B421F3E" w:rsidR="0078550F" w:rsidRPr="0078550F" w:rsidRDefault="0078550F" w:rsidP="003D1FBF">
            <w:pPr>
              <w:jc w:val="center"/>
              <w:rPr>
                <w:sz w:val="22"/>
                <w:szCs w:val="22"/>
              </w:rPr>
            </w:pPr>
            <w:r w:rsidRPr="0078550F">
              <w:rPr>
                <w:sz w:val="22"/>
                <w:szCs w:val="22"/>
              </w:rPr>
              <w:t>-0.001***</w:t>
            </w:r>
          </w:p>
        </w:tc>
        <w:tc>
          <w:tcPr>
            <w:tcW w:w="1545" w:type="dxa"/>
          </w:tcPr>
          <w:p w14:paraId="4F12D277" w14:textId="79B0FC49" w:rsidR="0078550F" w:rsidRPr="0078550F" w:rsidRDefault="0078550F" w:rsidP="003D1FBF">
            <w:pPr>
              <w:jc w:val="center"/>
              <w:rPr>
                <w:sz w:val="22"/>
                <w:szCs w:val="22"/>
              </w:rPr>
            </w:pPr>
            <w:r w:rsidRPr="0078550F">
              <w:rPr>
                <w:sz w:val="22"/>
                <w:szCs w:val="22"/>
              </w:rPr>
              <w:t>-0.001***</w:t>
            </w:r>
          </w:p>
        </w:tc>
        <w:tc>
          <w:tcPr>
            <w:tcW w:w="1546" w:type="dxa"/>
          </w:tcPr>
          <w:p w14:paraId="202107E9" w14:textId="7AC38E4F" w:rsidR="0078550F" w:rsidRPr="0078550F" w:rsidRDefault="0078550F" w:rsidP="003D1FBF">
            <w:pPr>
              <w:jc w:val="center"/>
              <w:rPr>
                <w:sz w:val="22"/>
                <w:szCs w:val="22"/>
              </w:rPr>
            </w:pPr>
            <w:r w:rsidRPr="0078550F">
              <w:rPr>
                <w:sz w:val="22"/>
                <w:szCs w:val="22"/>
              </w:rPr>
              <w:t>-0.001***</w:t>
            </w:r>
          </w:p>
        </w:tc>
      </w:tr>
      <w:tr w:rsidR="0078550F" w14:paraId="3207C04A" w14:textId="77777777" w:rsidTr="0064666E">
        <w:tc>
          <w:tcPr>
            <w:tcW w:w="2835" w:type="dxa"/>
          </w:tcPr>
          <w:p w14:paraId="62361892" w14:textId="77777777" w:rsidR="0078550F" w:rsidRPr="0012664E" w:rsidRDefault="0078550F" w:rsidP="003D1FBF">
            <w:pPr>
              <w:rPr>
                <w:sz w:val="22"/>
                <w:szCs w:val="22"/>
              </w:rPr>
            </w:pPr>
          </w:p>
        </w:tc>
        <w:tc>
          <w:tcPr>
            <w:tcW w:w="1545" w:type="dxa"/>
          </w:tcPr>
          <w:p w14:paraId="50597A5F" w14:textId="753B42FD" w:rsidR="0078550F" w:rsidRPr="0078550F" w:rsidRDefault="0078550F" w:rsidP="003D1FBF">
            <w:pPr>
              <w:jc w:val="center"/>
              <w:rPr>
                <w:sz w:val="22"/>
                <w:szCs w:val="22"/>
              </w:rPr>
            </w:pPr>
            <w:r w:rsidRPr="0078550F">
              <w:rPr>
                <w:sz w:val="22"/>
                <w:szCs w:val="22"/>
              </w:rPr>
              <w:t>(0.69)</w:t>
            </w:r>
          </w:p>
        </w:tc>
        <w:tc>
          <w:tcPr>
            <w:tcW w:w="1545" w:type="dxa"/>
          </w:tcPr>
          <w:p w14:paraId="13B8667B" w14:textId="69C3248D" w:rsidR="0078550F" w:rsidRPr="0078550F" w:rsidRDefault="0078550F" w:rsidP="003D1FBF">
            <w:pPr>
              <w:jc w:val="center"/>
              <w:rPr>
                <w:sz w:val="22"/>
                <w:szCs w:val="22"/>
              </w:rPr>
            </w:pPr>
            <w:r w:rsidRPr="0078550F">
              <w:rPr>
                <w:sz w:val="22"/>
                <w:szCs w:val="22"/>
              </w:rPr>
              <w:t>(-3.49)</w:t>
            </w:r>
          </w:p>
        </w:tc>
        <w:tc>
          <w:tcPr>
            <w:tcW w:w="1545" w:type="dxa"/>
          </w:tcPr>
          <w:p w14:paraId="2440399A" w14:textId="38ADCBDA" w:rsidR="0078550F" w:rsidRPr="0078550F" w:rsidRDefault="0078550F" w:rsidP="003D1FBF">
            <w:pPr>
              <w:jc w:val="center"/>
              <w:rPr>
                <w:sz w:val="22"/>
                <w:szCs w:val="22"/>
              </w:rPr>
            </w:pPr>
            <w:r w:rsidRPr="0078550F">
              <w:rPr>
                <w:sz w:val="22"/>
                <w:szCs w:val="22"/>
              </w:rPr>
              <w:t>(-3.21)</w:t>
            </w:r>
          </w:p>
        </w:tc>
        <w:tc>
          <w:tcPr>
            <w:tcW w:w="1546" w:type="dxa"/>
          </w:tcPr>
          <w:p w14:paraId="4EEE9645" w14:textId="5679A130" w:rsidR="0078550F" w:rsidRPr="0078550F" w:rsidRDefault="0078550F" w:rsidP="003D1FBF">
            <w:pPr>
              <w:jc w:val="center"/>
              <w:rPr>
                <w:sz w:val="22"/>
                <w:szCs w:val="22"/>
              </w:rPr>
            </w:pPr>
            <w:r w:rsidRPr="0078550F">
              <w:rPr>
                <w:sz w:val="22"/>
                <w:szCs w:val="22"/>
              </w:rPr>
              <w:t>(-9.86)</w:t>
            </w:r>
          </w:p>
        </w:tc>
      </w:tr>
      <w:tr w:rsidR="0078550F" w14:paraId="195210F1" w14:textId="77777777" w:rsidTr="0064666E">
        <w:tc>
          <w:tcPr>
            <w:tcW w:w="2835" w:type="dxa"/>
          </w:tcPr>
          <w:p w14:paraId="6E68ADF2" w14:textId="77777777" w:rsidR="0078550F" w:rsidRPr="0012664E" w:rsidRDefault="0078550F" w:rsidP="003D1FBF">
            <w:pPr>
              <w:rPr>
                <w:sz w:val="22"/>
                <w:szCs w:val="22"/>
              </w:rPr>
            </w:pPr>
            <w:r w:rsidRPr="0012664E">
              <w:rPr>
                <w:sz w:val="22"/>
                <w:szCs w:val="22"/>
              </w:rPr>
              <w:t>Big 4</w:t>
            </w:r>
          </w:p>
        </w:tc>
        <w:tc>
          <w:tcPr>
            <w:tcW w:w="1545" w:type="dxa"/>
          </w:tcPr>
          <w:p w14:paraId="40E61FAA" w14:textId="1422A325" w:rsidR="0078550F" w:rsidRPr="0078550F" w:rsidRDefault="0078550F" w:rsidP="003D1FBF">
            <w:pPr>
              <w:jc w:val="center"/>
              <w:rPr>
                <w:sz w:val="22"/>
                <w:szCs w:val="22"/>
              </w:rPr>
            </w:pPr>
            <w:r w:rsidRPr="0078550F">
              <w:rPr>
                <w:sz w:val="22"/>
                <w:szCs w:val="22"/>
              </w:rPr>
              <w:t>-0.016</w:t>
            </w:r>
          </w:p>
        </w:tc>
        <w:tc>
          <w:tcPr>
            <w:tcW w:w="1545" w:type="dxa"/>
          </w:tcPr>
          <w:p w14:paraId="5759953F" w14:textId="7D03E17C" w:rsidR="0078550F" w:rsidRPr="0078550F" w:rsidRDefault="0078550F" w:rsidP="003D1FBF">
            <w:pPr>
              <w:jc w:val="center"/>
              <w:rPr>
                <w:sz w:val="22"/>
                <w:szCs w:val="22"/>
              </w:rPr>
            </w:pPr>
            <w:r w:rsidRPr="0078550F">
              <w:rPr>
                <w:sz w:val="22"/>
                <w:szCs w:val="22"/>
              </w:rPr>
              <w:t>-0.032</w:t>
            </w:r>
          </w:p>
        </w:tc>
        <w:tc>
          <w:tcPr>
            <w:tcW w:w="1545" w:type="dxa"/>
          </w:tcPr>
          <w:p w14:paraId="22BF7F95" w14:textId="7EA09659" w:rsidR="0078550F" w:rsidRPr="0078550F" w:rsidRDefault="0078550F" w:rsidP="003D1FBF">
            <w:pPr>
              <w:jc w:val="center"/>
              <w:rPr>
                <w:sz w:val="22"/>
                <w:szCs w:val="22"/>
              </w:rPr>
            </w:pPr>
            <w:r w:rsidRPr="0078550F">
              <w:rPr>
                <w:sz w:val="22"/>
                <w:szCs w:val="22"/>
              </w:rPr>
              <w:t>-0.135</w:t>
            </w:r>
          </w:p>
        </w:tc>
        <w:tc>
          <w:tcPr>
            <w:tcW w:w="1546" w:type="dxa"/>
          </w:tcPr>
          <w:p w14:paraId="278E4DF9" w14:textId="3AF38240" w:rsidR="0078550F" w:rsidRPr="0078550F" w:rsidRDefault="0078550F" w:rsidP="003D1FBF">
            <w:pPr>
              <w:jc w:val="center"/>
              <w:rPr>
                <w:sz w:val="22"/>
                <w:szCs w:val="22"/>
              </w:rPr>
            </w:pPr>
            <w:r w:rsidRPr="0078550F">
              <w:rPr>
                <w:sz w:val="22"/>
                <w:szCs w:val="22"/>
              </w:rPr>
              <w:t>-0.001</w:t>
            </w:r>
          </w:p>
        </w:tc>
      </w:tr>
      <w:tr w:rsidR="0078550F" w14:paraId="7D2C1490" w14:textId="77777777" w:rsidTr="0064666E">
        <w:tc>
          <w:tcPr>
            <w:tcW w:w="2835" w:type="dxa"/>
          </w:tcPr>
          <w:p w14:paraId="7C60ABF6" w14:textId="77777777" w:rsidR="0078550F" w:rsidRPr="0012664E" w:rsidRDefault="0078550F" w:rsidP="003D1FBF">
            <w:pPr>
              <w:rPr>
                <w:sz w:val="22"/>
                <w:szCs w:val="22"/>
              </w:rPr>
            </w:pPr>
          </w:p>
        </w:tc>
        <w:tc>
          <w:tcPr>
            <w:tcW w:w="1545" w:type="dxa"/>
          </w:tcPr>
          <w:p w14:paraId="23B20856" w14:textId="26707451" w:rsidR="0078550F" w:rsidRPr="0078550F" w:rsidRDefault="0078550F" w:rsidP="003D1FBF">
            <w:pPr>
              <w:jc w:val="center"/>
              <w:rPr>
                <w:sz w:val="22"/>
                <w:szCs w:val="22"/>
              </w:rPr>
            </w:pPr>
            <w:r w:rsidRPr="0078550F">
              <w:rPr>
                <w:sz w:val="22"/>
                <w:szCs w:val="22"/>
              </w:rPr>
              <w:t>(-0.23)</w:t>
            </w:r>
          </w:p>
        </w:tc>
        <w:tc>
          <w:tcPr>
            <w:tcW w:w="1545" w:type="dxa"/>
          </w:tcPr>
          <w:p w14:paraId="7FF68A67" w14:textId="097A3724" w:rsidR="0078550F" w:rsidRPr="0078550F" w:rsidRDefault="0078550F" w:rsidP="003D1FBF">
            <w:pPr>
              <w:jc w:val="center"/>
              <w:rPr>
                <w:sz w:val="22"/>
                <w:szCs w:val="22"/>
              </w:rPr>
            </w:pPr>
            <w:r w:rsidRPr="0078550F">
              <w:rPr>
                <w:sz w:val="22"/>
                <w:szCs w:val="22"/>
              </w:rPr>
              <w:t>(-0.61)</w:t>
            </w:r>
          </w:p>
        </w:tc>
        <w:tc>
          <w:tcPr>
            <w:tcW w:w="1545" w:type="dxa"/>
          </w:tcPr>
          <w:p w14:paraId="30289658" w14:textId="3E08C305" w:rsidR="0078550F" w:rsidRPr="0078550F" w:rsidRDefault="0078550F" w:rsidP="003D1FBF">
            <w:pPr>
              <w:jc w:val="center"/>
              <w:rPr>
                <w:sz w:val="22"/>
                <w:szCs w:val="22"/>
              </w:rPr>
            </w:pPr>
            <w:r w:rsidRPr="0078550F">
              <w:rPr>
                <w:sz w:val="22"/>
                <w:szCs w:val="22"/>
              </w:rPr>
              <w:t>(-1.62)</w:t>
            </w:r>
          </w:p>
        </w:tc>
        <w:tc>
          <w:tcPr>
            <w:tcW w:w="1546" w:type="dxa"/>
          </w:tcPr>
          <w:p w14:paraId="201C6A70" w14:textId="54F1C57C" w:rsidR="0078550F" w:rsidRPr="0078550F" w:rsidRDefault="0078550F" w:rsidP="003D1FBF">
            <w:pPr>
              <w:jc w:val="center"/>
              <w:rPr>
                <w:sz w:val="22"/>
                <w:szCs w:val="22"/>
              </w:rPr>
            </w:pPr>
            <w:r w:rsidRPr="0078550F">
              <w:rPr>
                <w:sz w:val="22"/>
                <w:szCs w:val="22"/>
              </w:rPr>
              <w:t>(-0.03)</w:t>
            </w:r>
          </w:p>
        </w:tc>
      </w:tr>
      <w:tr w:rsidR="0078550F" w14:paraId="6F531FD8" w14:textId="77777777" w:rsidTr="0064666E">
        <w:tc>
          <w:tcPr>
            <w:tcW w:w="2835" w:type="dxa"/>
          </w:tcPr>
          <w:p w14:paraId="1F1DDC43" w14:textId="77777777" w:rsidR="0078550F" w:rsidRPr="0012664E" w:rsidRDefault="0078550F" w:rsidP="003D1FBF">
            <w:pPr>
              <w:rPr>
                <w:sz w:val="22"/>
                <w:szCs w:val="22"/>
              </w:rPr>
            </w:pPr>
            <w:r w:rsidRPr="0012664E">
              <w:rPr>
                <w:sz w:val="22"/>
                <w:szCs w:val="22"/>
              </w:rPr>
              <w:t>Restructuring</w:t>
            </w:r>
          </w:p>
        </w:tc>
        <w:tc>
          <w:tcPr>
            <w:tcW w:w="1545" w:type="dxa"/>
          </w:tcPr>
          <w:p w14:paraId="5797CB3C" w14:textId="09E5CF89" w:rsidR="0078550F" w:rsidRPr="0078550F" w:rsidRDefault="0078550F" w:rsidP="003D1FBF">
            <w:pPr>
              <w:jc w:val="center"/>
              <w:rPr>
                <w:sz w:val="22"/>
                <w:szCs w:val="22"/>
              </w:rPr>
            </w:pPr>
            <w:r w:rsidRPr="0078550F">
              <w:rPr>
                <w:sz w:val="22"/>
                <w:szCs w:val="22"/>
              </w:rPr>
              <w:t>0.07</w:t>
            </w:r>
            <w:r w:rsidR="00F5743A">
              <w:rPr>
                <w:sz w:val="22"/>
                <w:szCs w:val="22"/>
              </w:rPr>
              <w:t>0</w:t>
            </w:r>
          </w:p>
        </w:tc>
        <w:tc>
          <w:tcPr>
            <w:tcW w:w="1545" w:type="dxa"/>
          </w:tcPr>
          <w:p w14:paraId="755C8EEA" w14:textId="52933A40" w:rsidR="0078550F" w:rsidRPr="0078550F" w:rsidRDefault="0078550F" w:rsidP="003D1FBF">
            <w:pPr>
              <w:jc w:val="center"/>
              <w:rPr>
                <w:sz w:val="22"/>
                <w:szCs w:val="22"/>
              </w:rPr>
            </w:pPr>
            <w:r w:rsidRPr="0078550F">
              <w:rPr>
                <w:sz w:val="22"/>
                <w:szCs w:val="22"/>
              </w:rPr>
              <w:t>0.075</w:t>
            </w:r>
          </w:p>
        </w:tc>
        <w:tc>
          <w:tcPr>
            <w:tcW w:w="1545" w:type="dxa"/>
          </w:tcPr>
          <w:p w14:paraId="7AE3AA34" w14:textId="1F81D93D" w:rsidR="0078550F" w:rsidRPr="0078550F" w:rsidRDefault="0078550F" w:rsidP="003D1FBF">
            <w:pPr>
              <w:jc w:val="center"/>
              <w:rPr>
                <w:sz w:val="22"/>
                <w:szCs w:val="22"/>
              </w:rPr>
            </w:pPr>
            <w:r w:rsidRPr="0078550F">
              <w:rPr>
                <w:sz w:val="22"/>
                <w:szCs w:val="22"/>
              </w:rPr>
              <w:t>-0.095</w:t>
            </w:r>
          </w:p>
        </w:tc>
        <w:tc>
          <w:tcPr>
            <w:tcW w:w="1546" w:type="dxa"/>
          </w:tcPr>
          <w:p w14:paraId="0B058F32" w14:textId="4B5D9732" w:rsidR="0078550F" w:rsidRPr="0078550F" w:rsidRDefault="0078550F" w:rsidP="003D1FBF">
            <w:pPr>
              <w:jc w:val="center"/>
              <w:rPr>
                <w:sz w:val="22"/>
                <w:szCs w:val="22"/>
              </w:rPr>
            </w:pPr>
            <w:r w:rsidRPr="0078550F">
              <w:rPr>
                <w:sz w:val="22"/>
                <w:szCs w:val="22"/>
              </w:rPr>
              <w:t>-0.039</w:t>
            </w:r>
          </w:p>
        </w:tc>
      </w:tr>
      <w:tr w:rsidR="0078550F" w14:paraId="19FC811E" w14:textId="77777777" w:rsidTr="0064666E">
        <w:tc>
          <w:tcPr>
            <w:tcW w:w="2835" w:type="dxa"/>
          </w:tcPr>
          <w:p w14:paraId="62F98186" w14:textId="77777777" w:rsidR="0078550F" w:rsidRPr="0012664E" w:rsidRDefault="0078550F" w:rsidP="003D1FBF">
            <w:pPr>
              <w:rPr>
                <w:sz w:val="22"/>
                <w:szCs w:val="22"/>
              </w:rPr>
            </w:pPr>
          </w:p>
        </w:tc>
        <w:tc>
          <w:tcPr>
            <w:tcW w:w="1545" w:type="dxa"/>
          </w:tcPr>
          <w:p w14:paraId="18EAECCA" w14:textId="101C9BD9" w:rsidR="0078550F" w:rsidRPr="0078550F" w:rsidRDefault="0078550F" w:rsidP="003D1FBF">
            <w:pPr>
              <w:jc w:val="center"/>
              <w:rPr>
                <w:sz w:val="22"/>
                <w:szCs w:val="22"/>
              </w:rPr>
            </w:pPr>
            <w:r w:rsidRPr="0078550F">
              <w:rPr>
                <w:sz w:val="22"/>
                <w:szCs w:val="22"/>
              </w:rPr>
              <w:t>(0.59)</w:t>
            </w:r>
          </w:p>
        </w:tc>
        <w:tc>
          <w:tcPr>
            <w:tcW w:w="1545" w:type="dxa"/>
          </w:tcPr>
          <w:p w14:paraId="078AC592" w14:textId="17BD949F" w:rsidR="0078550F" w:rsidRPr="0078550F" w:rsidRDefault="0078550F" w:rsidP="003D1FBF">
            <w:pPr>
              <w:jc w:val="center"/>
              <w:rPr>
                <w:sz w:val="22"/>
                <w:szCs w:val="22"/>
              </w:rPr>
            </w:pPr>
            <w:r w:rsidRPr="0078550F">
              <w:rPr>
                <w:sz w:val="22"/>
                <w:szCs w:val="22"/>
              </w:rPr>
              <w:t>(1.19)</w:t>
            </w:r>
          </w:p>
        </w:tc>
        <w:tc>
          <w:tcPr>
            <w:tcW w:w="1545" w:type="dxa"/>
          </w:tcPr>
          <w:p w14:paraId="71CA30C0" w14:textId="320CB08B" w:rsidR="0078550F" w:rsidRPr="0078550F" w:rsidRDefault="0078550F" w:rsidP="003D1FBF">
            <w:pPr>
              <w:jc w:val="center"/>
              <w:rPr>
                <w:sz w:val="22"/>
                <w:szCs w:val="22"/>
              </w:rPr>
            </w:pPr>
            <w:r w:rsidRPr="0078550F">
              <w:rPr>
                <w:sz w:val="22"/>
                <w:szCs w:val="22"/>
              </w:rPr>
              <w:t>(-0.54)</w:t>
            </w:r>
          </w:p>
        </w:tc>
        <w:tc>
          <w:tcPr>
            <w:tcW w:w="1546" w:type="dxa"/>
          </w:tcPr>
          <w:p w14:paraId="74BD3739" w14:textId="66A24613" w:rsidR="0078550F" w:rsidRPr="0078550F" w:rsidRDefault="0078550F" w:rsidP="003D1FBF">
            <w:pPr>
              <w:jc w:val="center"/>
              <w:rPr>
                <w:sz w:val="22"/>
                <w:szCs w:val="22"/>
              </w:rPr>
            </w:pPr>
            <w:r w:rsidRPr="0078550F">
              <w:rPr>
                <w:sz w:val="22"/>
                <w:szCs w:val="22"/>
              </w:rPr>
              <w:t>(-0.54)</w:t>
            </w:r>
          </w:p>
        </w:tc>
      </w:tr>
      <w:tr w:rsidR="0078550F" w14:paraId="238CA506" w14:textId="77777777" w:rsidTr="0064666E">
        <w:tc>
          <w:tcPr>
            <w:tcW w:w="2835" w:type="dxa"/>
          </w:tcPr>
          <w:p w14:paraId="06F215AC" w14:textId="77777777" w:rsidR="0078550F" w:rsidRPr="0012664E" w:rsidRDefault="0078550F" w:rsidP="003D1FBF">
            <w:pPr>
              <w:rPr>
                <w:sz w:val="22"/>
                <w:szCs w:val="22"/>
              </w:rPr>
            </w:pPr>
            <w:r w:rsidRPr="0012664E">
              <w:rPr>
                <w:sz w:val="22"/>
                <w:szCs w:val="22"/>
              </w:rPr>
              <w:t>M&amp;A</w:t>
            </w:r>
          </w:p>
        </w:tc>
        <w:tc>
          <w:tcPr>
            <w:tcW w:w="1545" w:type="dxa"/>
          </w:tcPr>
          <w:p w14:paraId="10361CB0" w14:textId="1CF3D9C4" w:rsidR="0078550F" w:rsidRPr="0078550F" w:rsidRDefault="0078550F" w:rsidP="003D1FBF">
            <w:pPr>
              <w:jc w:val="center"/>
              <w:rPr>
                <w:sz w:val="22"/>
                <w:szCs w:val="22"/>
              </w:rPr>
            </w:pPr>
            <w:r w:rsidRPr="0078550F">
              <w:rPr>
                <w:sz w:val="22"/>
                <w:szCs w:val="22"/>
              </w:rPr>
              <w:t>0.081</w:t>
            </w:r>
          </w:p>
        </w:tc>
        <w:tc>
          <w:tcPr>
            <w:tcW w:w="1545" w:type="dxa"/>
          </w:tcPr>
          <w:p w14:paraId="06F73E11" w14:textId="6A00AF24" w:rsidR="0078550F" w:rsidRPr="0078550F" w:rsidRDefault="0078550F" w:rsidP="003D1FBF">
            <w:pPr>
              <w:jc w:val="center"/>
              <w:rPr>
                <w:sz w:val="22"/>
                <w:szCs w:val="22"/>
              </w:rPr>
            </w:pPr>
            <w:r w:rsidRPr="0078550F">
              <w:rPr>
                <w:sz w:val="22"/>
                <w:szCs w:val="22"/>
              </w:rPr>
              <w:t>0.051</w:t>
            </w:r>
          </w:p>
        </w:tc>
        <w:tc>
          <w:tcPr>
            <w:tcW w:w="1545" w:type="dxa"/>
          </w:tcPr>
          <w:p w14:paraId="5614D982" w14:textId="6C950301" w:rsidR="0078550F" w:rsidRPr="0078550F" w:rsidRDefault="0078550F" w:rsidP="003D1FBF">
            <w:pPr>
              <w:jc w:val="center"/>
              <w:rPr>
                <w:sz w:val="22"/>
                <w:szCs w:val="22"/>
              </w:rPr>
            </w:pPr>
            <w:r w:rsidRPr="0078550F">
              <w:rPr>
                <w:sz w:val="22"/>
                <w:szCs w:val="22"/>
              </w:rPr>
              <w:t>0.205**</w:t>
            </w:r>
          </w:p>
        </w:tc>
        <w:tc>
          <w:tcPr>
            <w:tcW w:w="1546" w:type="dxa"/>
          </w:tcPr>
          <w:p w14:paraId="78E92711" w14:textId="62D879C0" w:rsidR="0078550F" w:rsidRPr="0078550F" w:rsidRDefault="0078550F" w:rsidP="003D1FBF">
            <w:pPr>
              <w:jc w:val="center"/>
              <w:rPr>
                <w:sz w:val="22"/>
                <w:szCs w:val="22"/>
              </w:rPr>
            </w:pPr>
            <w:r w:rsidRPr="0078550F">
              <w:rPr>
                <w:sz w:val="22"/>
                <w:szCs w:val="22"/>
              </w:rPr>
              <w:t>0.191***</w:t>
            </w:r>
          </w:p>
        </w:tc>
      </w:tr>
      <w:tr w:rsidR="0078550F" w14:paraId="50E560B0" w14:textId="77777777" w:rsidTr="0064666E">
        <w:tc>
          <w:tcPr>
            <w:tcW w:w="2835" w:type="dxa"/>
          </w:tcPr>
          <w:p w14:paraId="65A395BE" w14:textId="77777777" w:rsidR="0078550F" w:rsidRPr="0012664E" w:rsidRDefault="0078550F" w:rsidP="003D1FBF">
            <w:pPr>
              <w:rPr>
                <w:sz w:val="22"/>
                <w:szCs w:val="22"/>
              </w:rPr>
            </w:pPr>
          </w:p>
        </w:tc>
        <w:tc>
          <w:tcPr>
            <w:tcW w:w="1545" w:type="dxa"/>
          </w:tcPr>
          <w:p w14:paraId="4FB48D90" w14:textId="65E7A04A" w:rsidR="0078550F" w:rsidRPr="0078550F" w:rsidRDefault="0078550F" w:rsidP="003D1FBF">
            <w:pPr>
              <w:jc w:val="center"/>
              <w:rPr>
                <w:sz w:val="22"/>
                <w:szCs w:val="22"/>
              </w:rPr>
            </w:pPr>
            <w:r w:rsidRPr="0078550F">
              <w:rPr>
                <w:sz w:val="22"/>
                <w:szCs w:val="22"/>
              </w:rPr>
              <w:t>(1.45)</w:t>
            </w:r>
          </w:p>
        </w:tc>
        <w:tc>
          <w:tcPr>
            <w:tcW w:w="1545" w:type="dxa"/>
          </w:tcPr>
          <w:p w14:paraId="5CA7AA99" w14:textId="744224B6" w:rsidR="0078550F" w:rsidRPr="0078550F" w:rsidRDefault="0078550F" w:rsidP="003D1FBF">
            <w:pPr>
              <w:jc w:val="center"/>
              <w:rPr>
                <w:sz w:val="22"/>
                <w:szCs w:val="22"/>
              </w:rPr>
            </w:pPr>
            <w:r w:rsidRPr="0078550F">
              <w:rPr>
                <w:sz w:val="22"/>
                <w:szCs w:val="22"/>
              </w:rPr>
              <w:t>(1.11)</w:t>
            </w:r>
          </w:p>
        </w:tc>
        <w:tc>
          <w:tcPr>
            <w:tcW w:w="1545" w:type="dxa"/>
          </w:tcPr>
          <w:p w14:paraId="27488EE5" w14:textId="5FAD647F" w:rsidR="0078550F" w:rsidRPr="0078550F" w:rsidRDefault="0078550F" w:rsidP="003D1FBF">
            <w:pPr>
              <w:jc w:val="center"/>
              <w:rPr>
                <w:sz w:val="22"/>
                <w:szCs w:val="22"/>
              </w:rPr>
            </w:pPr>
            <w:r w:rsidRPr="0078550F">
              <w:rPr>
                <w:sz w:val="22"/>
                <w:szCs w:val="22"/>
              </w:rPr>
              <w:t>(2.04)</w:t>
            </w:r>
          </w:p>
        </w:tc>
        <w:tc>
          <w:tcPr>
            <w:tcW w:w="1546" w:type="dxa"/>
          </w:tcPr>
          <w:p w14:paraId="259E9C78" w14:textId="606F39BE" w:rsidR="0078550F" w:rsidRPr="0078550F" w:rsidRDefault="0078550F" w:rsidP="003D1FBF">
            <w:pPr>
              <w:jc w:val="center"/>
              <w:rPr>
                <w:sz w:val="22"/>
                <w:szCs w:val="22"/>
              </w:rPr>
            </w:pPr>
            <w:r w:rsidRPr="0078550F">
              <w:rPr>
                <w:sz w:val="22"/>
                <w:szCs w:val="22"/>
              </w:rPr>
              <w:t>(2.61)</w:t>
            </w:r>
          </w:p>
        </w:tc>
      </w:tr>
      <w:tr w:rsidR="0078550F" w14:paraId="23AB9868" w14:textId="77777777" w:rsidTr="0064666E">
        <w:tc>
          <w:tcPr>
            <w:tcW w:w="2835" w:type="dxa"/>
          </w:tcPr>
          <w:p w14:paraId="0ABB2984" w14:textId="77777777" w:rsidR="0078550F" w:rsidRPr="0012664E" w:rsidRDefault="0078550F" w:rsidP="003D1FBF">
            <w:pPr>
              <w:rPr>
                <w:sz w:val="22"/>
                <w:szCs w:val="22"/>
              </w:rPr>
            </w:pPr>
            <w:r w:rsidRPr="0012664E">
              <w:rPr>
                <w:sz w:val="22"/>
                <w:szCs w:val="22"/>
              </w:rPr>
              <w:t>Positive earnings</w:t>
            </w:r>
          </w:p>
        </w:tc>
        <w:tc>
          <w:tcPr>
            <w:tcW w:w="1545" w:type="dxa"/>
          </w:tcPr>
          <w:p w14:paraId="49345DCE" w14:textId="6717FC9D" w:rsidR="0078550F" w:rsidRPr="0078550F" w:rsidRDefault="0078550F" w:rsidP="003D1FBF">
            <w:pPr>
              <w:jc w:val="center"/>
              <w:rPr>
                <w:sz w:val="22"/>
                <w:szCs w:val="22"/>
              </w:rPr>
            </w:pPr>
            <w:r w:rsidRPr="0078550F">
              <w:rPr>
                <w:sz w:val="22"/>
                <w:szCs w:val="22"/>
              </w:rPr>
              <w:t>0.236**</w:t>
            </w:r>
          </w:p>
        </w:tc>
        <w:tc>
          <w:tcPr>
            <w:tcW w:w="1545" w:type="dxa"/>
          </w:tcPr>
          <w:p w14:paraId="78FF9228" w14:textId="694AE86F" w:rsidR="0078550F" w:rsidRPr="0078550F" w:rsidRDefault="0078550F" w:rsidP="003D1FBF">
            <w:pPr>
              <w:jc w:val="center"/>
              <w:rPr>
                <w:sz w:val="22"/>
                <w:szCs w:val="22"/>
              </w:rPr>
            </w:pPr>
            <w:r w:rsidRPr="0078550F">
              <w:rPr>
                <w:sz w:val="22"/>
                <w:szCs w:val="22"/>
              </w:rPr>
              <w:t>0.101</w:t>
            </w:r>
          </w:p>
        </w:tc>
        <w:tc>
          <w:tcPr>
            <w:tcW w:w="1545" w:type="dxa"/>
          </w:tcPr>
          <w:p w14:paraId="7F96FF10" w14:textId="70B41783" w:rsidR="0078550F" w:rsidRPr="0078550F" w:rsidRDefault="0078550F" w:rsidP="003D1FBF">
            <w:pPr>
              <w:jc w:val="center"/>
              <w:rPr>
                <w:sz w:val="22"/>
                <w:szCs w:val="22"/>
              </w:rPr>
            </w:pPr>
            <w:r w:rsidRPr="0078550F">
              <w:rPr>
                <w:sz w:val="22"/>
                <w:szCs w:val="22"/>
              </w:rPr>
              <w:t>0.158</w:t>
            </w:r>
          </w:p>
        </w:tc>
        <w:tc>
          <w:tcPr>
            <w:tcW w:w="1546" w:type="dxa"/>
          </w:tcPr>
          <w:p w14:paraId="5EC416CD" w14:textId="79A559D9" w:rsidR="0078550F" w:rsidRPr="0078550F" w:rsidRDefault="0078550F" w:rsidP="003D1FBF">
            <w:pPr>
              <w:jc w:val="center"/>
              <w:rPr>
                <w:sz w:val="22"/>
                <w:szCs w:val="22"/>
              </w:rPr>
            </w:pPr>
            <w:r w:rsidRPr="0078550F">
              <w:rPr>
                <w:sz w:val="22"/>
                <w:szCs w:val="22"/>
              </w:rPr>
              <w:t>0.079</w:t>
            </w:r>
          </w:p>
        </w:tc>
      </w:tr>
      <w:tr w:rsidR="0078550F" w14:paraId="332630BE" w14:textId="77777777" w:rsidTr="0064666E">
        <w:tc>
          <w:tcPr>
            <w:tcW w:w="2835" w:type="dxa"/>
          </w:tcPr>
          <w:p w14:paraId="090290C5" w14:textId="77777777" w:rsidR="0078550F" w:rsidRPr="0012664E" w:rsidRDefault="0078550F" w:rsidP="003D1FBF">
            <w:pPr>
              <w:rPr>
                <w:sz w:val="22"/>
                <w:szCs w:val="22"/>
              </w:rPr>
            </w:pPr>
          </w:p>
        </w:tc>
        <w:tc>
          <w:tcPr>
            <w:tcW w:w="1545" w:type="dxa"/>
          </w:tcPr>
          <w:p w14:paraId="427897E1" w14:textId="0D6B7DAB" w:rsidR="0078550F" w:rsidRPr="0078550F" w:rsidRDefault="0078550F" w:rsidP="003D1FBF">
            <w:pPr>
              <w:jc w:val="center"/>
              <w:rPr>
                <w:sz w:val="22"/>
                <w:szCs w:val="22"/>
              </w:rPr>
            </w:pPr>
            <w:r w:rsidRPr="0078550F">
              <w:rPr>
                <w:sz w:val="22"/>
                <w:szCs w:val="22"/>
              </w:rPr>
              <w:t>(2.49)</w:t>
            </w:r>
          </w:p>
        </w:tc>
        <w:tc>
          <w:tcPr>
            <w:tcW w:w="1545" w:type="dxa"/>
          </w:tcPr>
          <w:p w14:paraId="27676310" w14:textId="693D4EEA" w:rsidR="0078550F" w:rsidRPr="0078550F" w:rsidRDefault="0078550F" w:rsidP="003D1FBF">
            <w:pPr>
              <w:jc w:val="center"/>
              <w:rPr>
                <w:sz w:val="22"/>
                <w:szCs w:val="22"/>
              </w:rPr>
            </w:pPr>
            <w:r w:rsidRPr="0078550F">
              <w:rPr>
                <w:sz w:val="22"/>
                <w:szCs w:val="22"/>
              </w:rPr>
              <w:t>(1.54)</w:t>
            </w:r>
          </w:p>
        </w:tc>
        <w:tc>
          <w:tcPr>
            <w:tcW w:w="1545" w:type="dxa"/>
          </w:tcPr>
          <w:p w14:paraId="44502BDD" w14:textId="69A025AA" w:rsidR="0078550F" w:rsidRPr="0078550F" w:rsidRDefault="0078550F" w:rsidP="003D1FBF">
            <w:pPr>
              <w:jc w:val="center"/>
              <w:rPr>
                <w:sz w:val="22"/>
                <w:szCs w:val="22"/>
              </w:rPr>
            </w:pPr>
            <w:r w:rsidRPr="0078550F">
              <w:rPr>
                <w:sz w:val="22"/>
                <w:szCs w:val="22"/>
              </w:rPr>
              <w:t>(1.56)</w:t>
            </w:r>
          </w:p>
        </w:tc>
        <w:tc>
          <w:tcPr>
            <w:tcW w:w="1546" w:type="dxa"/>
          </w:tcPr>
          <w:p w14:paraId="52AF88F6" w14:textId="35EC3EE7" w:rsidR="0078550F" w:rsidRPr="0078550F" w:rsidRDefault="0078550F" w:rsidP="003D1FBF">
            <w:pPr>
              <w:jc w:val="center"/>
              <w:rPr>
                <w:sz w:val="22"/>
                <w:szCs w:val="22"/>
              </w:rPr>
            </w:pPr>
            <w:r w:rsidRPr="0078550F">
              <w:rPr>
                <w:sz w:val="22"/>
                <w:szCs w:val="22"/>
              </w:rPr>
              <w:t>(1.52)</w:t>
            </w:r>
          </w:p>
        </w:tc>
      </w:tr>
      <w:tr w:rsidR="0078550F" w14:paraId="1767C891" w14:textId="77777777" w:rsidTr="0064666E">
        <w:tc>
          <w:tcPr>
            <w:tcW w:w="2835" w:type="dxa"/>
          </w:tcPr>
          <w:p w14:paraId="5B28A7AA" w14:textId="77777777" w:rsidR="0078550F" w:rsidRPr="0012664E" w:rsidRDefault="0078550F" w:rsidP="003D1FBF">
            <w:pPr>
              <w:rPr>
                <w:sz w:val="22"/>
                <w:szCs w:val="22"/>
              </w:rPr>
            </w:pPr>
            <w:proofErr w:type="spellStart"/>
            <w:r w:rsidRPr="0012664E">
              <w:rPr>
                <w:sz w:val="22"/>
                <w:szCs w:val="22"/>
              </w:rPr>
              <w:t>CEOchairperson</w:t>
            </w:r>
            <w:proofErr w:type="spellEnd"/>
          </w:p>
        </w:tc>
        <w:tc>
          <w:tcPr>
            <w:tcW w:w="1545" w:type="dxa"/>
          </w:tcPr>
          <w:p w14:paraId="41B4F8E7" w14:textId="4F9470D0" w:rsidR="0078550F" w:rsidRPr="0078550F" w:rsidRDefault="0078550F" w:rsidP="003D1FBF">
            <w:pPr>
              <w:jc w:val="center"/>
              <w:rPr>
                <w:sz w:val="22"/>
                <w:szCs w:val="22"/>
              </w:rPr>
            </w:pPr>
            <w:r w:rsidRPr="0078550F">
              <w:rPr>
                <w:sz w:val="22"/>
                <w:szCs w:val="22"/>
              </w:rPr>
              <w:t>-0.036</w:t>
            </w:r>
          </w:p>
        </w:tc>
        <w:tc>
          <w:tcPr>
            <w:tcW w:w="1545" w:type="dxa"/>
          </w:tcPr>
          <w:p w14:paraId="56BD8F15" w14:textId="3248259F" w:rsidR="0078550F" w:rsidRPr="0078550F" w:rsidRDefault="0078550F" w:rsidP="003D1FBF">
            <w:pPr>
              <w:jc w:val="center"/>
              <w:rPr>
                <w:sz w:val="22"/>
                <w:szCs w:val="22"/>
              </w:rPr>
            </w:pPr>
            <w:r w:rsidRPr="0078550F">
              <w:rPr>
                <w:sz w:val="22"/>
                <w:szCs w:val="22"/>
              </w:rPr>
              <w:t>0.054</w:t>
            </w:r>
          </w:p>
        </w:tc>
        <w:tc>
          <w:tcPr>
            <w:tcW w:w="1545" w:type="dxa"/>
          </w:tcPr>
          <w:p w14:paraId="4126F850" w14:textId="7274D971" w:rsidR="0078550F" w:rsidRPr="0078550F" w:rsidRDefault="0078550F" w:rsidP="003D1FBF">
            <w:pPr>
              <w:jc w:val="center"/>
              <w:rPr>
                <w:sz w:val="22"/>
                <w:szCs w:val="22"/>
              </w:rPr>
            </w:pPr>
            <w:r w:rsidRPr="0078550F">
              <w:rPr>
                <w:sz w:val="22"/>
                <w:szCs w:val="22"/>
              </w:rPr>
              <w:t>0.034</w:t>
            </w:r>
          </w:p>
        </w:tc>
        <w:tc>
          <w:tcPr>
            <w:tcW w:w="1546" w:type="dxa"/>
          </w:tcPr>
          <w:p w14:paraId="0F10ED2E" w14:textId="0563DA8C" w:rsidR="0078550F" w:rsidRPr="0078550F" w:rsidRDefault="0078550F" w:rsidP="003D1FBF">
            <w:pPr>
              <w:jc w:val="center"/>
              <w:rPr>
                <w:sz w:val="22"/>
                <w:szCs w:val="22"/>
              </w:rPr>
            </w:pPr>
            <w:r w:rsidRPr="0078550F">
              <w:rPr>
                <w:sz w:val="22"/>
                <w:szCs w:val="22"/>
              </w:rPr>
              <w:t>0.009</w:t>
            </w:r>
          </w:p>
        </w:tc>
      </w:tr>
      <w:tr w:rsidR="0078550F" w14:paraId="04248621" w14:textId="77777777" w:rsidTr="0064666E">
        <w:tc>
          <w:tcPr>
            <w:tcW w:w="2835" w:type="dxa"/>
          </w:tcPr>
          <w:p w14:paraId="038627C4" w14:textId="77777777" w:rsidR="0078550F" w:rsidRPr="0012664E" w:rsidRDefault="0078550F" w:rsidP="003D1FBF">
            <w:pPr>
              <w:rPr>
                <w:sz w:val="22"/>
                <w:szCs w:val="22"/>
              </w:rPr>
            </w:pPr>
          </w:p>
        </w:tc>
        <w:tc>
          <w:tcPr>
            <w:tcW w:w="1545" w:type="dxa"/>
          </w:tcPr>
          <w:p w14:paraId="4CB02973" w14:textId="2894D9BE" w:rsidR="0078550F" w:rsidRPr="0078550F" w:rsidRDefault="0078550F" w:rsidP="003D1FBF">
            <w:pPr>
              <w:jc w:val="center"/>
              <w:rPr>
                <w:sz w:val="22"/>
                <w:szCs w:val="22"/>
              </w:rPr>
            </w:pPr>
            <w:r w:rsidRPr="0078550F">
              <w:rPr>
                <w:sz w:val="22"/>
                <w:szCs w:val="22"/>
              </w:rPr>
              <w:t>(-0.53)</w:t>
            </w:r>
          </w:p>
        </w:tc>
        <w:tc>
          <w:tcPr>
            <w:tcW w:w="1545" w:type="dxa"/>
          </w:tcPr>
          <w:p w14:paraId="1D32F0CE" w14:textId="3E8E747C" w:rsidR="0078550F" w:rsidRPr="0078550F" w:rsidRDefault="0078550F" w:rsidP="003D1FBF">
            <w:pPr>
              <w:jc w:val="center"/>
              <w:rPr>
                <w:sz w:val="22"/>
                <w:szCs w:val="22"/>
              </w:rPr>
            </w:pPr>
            <w:r w:rsidRPr="0078550F">
              <w:rPr>
                <w:sz w:val="22"/>
                <w:szCs w:val="22"/>
              </w:rPr>
              <w:t>(1.09)</w:t>
            </w:r>
          </w:p>
        </w:tc>
        <w:tc>
          <w:tcPr>
            <w:tcW w:w="1545" w:type="dxa"/>
          </w:tcPr>
          <w:p w14:paraId="464CC203" w14:textId="6F38A539" w:rsidR="0078550F" w:rsidRPr="0078550F" w:rsidRDefault="0078550F" w:rsidP="003D1FBF">
            <w:pPr>
              <w:jc w:val="center"/>
              <w:rPr>
                <w:sz w:val="22"/>
                <w:szCs w:val="22"/>
              </w:rPr>
            </w:pPr>
            <w:r w:rsidRPr="0078550F">
              <w:rPr>
                <w:sz w:val="22"/>
                <w:szCs w:val="22"/>
              </w:rPr>
              <w:t>(0.47)</w:t>
            </w:r>
          </w:p>
        </w:tc>
        <w:tc>
          <w:tcPr>
            <w:tcW w:w="1546" w:type="dxa"/>
          </w:tcPr>
          <w:p w14:paraId="09BBC941" w14:textId="0DBEC939" w:rsidR="0078550F" w:rsidRPr="0078550F" w:rsidRDefault="0078550F" w:rsidP="003D1FBF">
            <w:pPr>
              <w:jc w:val="center"/>
              <w:rPr>
                <w:sz w:val="22"/>
                <w:szCs w:val="22"/>
              </w:rPr>
            </w:pPr>
            <w:r w:rsidRPr="0078550F">
              <w:rPr>
                <w:sz w:val="22"/>
                <w:szCs w:val="22"/>
              </w:rPr>
              <w:t>(0.19)</w:t>
            </w:r>
          </w:p>
        </w:tc>
      </w:tr>
      <w:tr w:rsidR="0078550F" w14:paraId="44A0E18C" w14:textId="77777777" w:rsidTr="0064666E">
        <w:tc>
          <w:tcPr>
            <w:tcW w:w="2835" w:type="dxa"/>
          </w:tcPr>
          <w:p w14:paraId="083A465B" w14:textId="77777777" w:rsidR="0078550F" w:rsidRPr="0012664E" w:rsidRDefault="0078550F" w:rsidP="003D1FBF">
            <w:pPr>
              <w:rPr>
                <w:sz w:val="22"/>
                <w:szCs w:val="22"/>
              </w:rPr>
            </w:pPr>
            <w:r w:rsidRPr="0012664E">
              <w:rPr>
                <w:sz w:val="22"/>
                <w:szCs w:val="22"/>
              </w:rPr>
              <w:t>Draft</w:t>
            </w:r>
          </w:p>
        </w:tc>
        <w:tc>
          <w:tcPr>
            <w:tcW w:w="1545" w:type="dxa"/>
          </w:tcPr>
          <w:p w14:paraId="3EA9C489" w14:textId="4067FDE0" w:rsidR="0078550F" w:rsidRPr="0078550F" w:rsidRDefault="0078550F" w:rsidP="003D1FBF">
            <w:pPr>
              <w:jc w:val="center"/>
              <w:rPr>
                <w:sz w:val="22"/>
                <w:szCs w:val="22"/>
              </w:rPr>
            </w:pPr>
            <w:r w:rsidRPr="0078550F">
              <w:rPr>
                <w:sz w:val="22"/>
                <w:szCs w:val="22"/>
              </w:rPr>
              <w:t>-0.659***</w:t>
            </w:r>
          </w:p>
        </w:tc>
        <w:tc>
          <w:tcPr>
            <w:tcW w:w="1545" w:type="dxa"/>
          </w:tcPr>
          <w:p w14:paraId="11E58D72" w14:textId="75092488" w:rsidR="0078550F" w:rsidRPr="0078550F" w:rsidRDefault="0078550F" w:rsidP="003D1FBF">
            <w:pPr>
              <w:jc w:val="center"/>
              <w:rPr>
                <w:sz w:val="22"/>
                <w:szCs w:val="22"/>
              </w:rPr>
            </w:pPr>
            <w:r w:rsidRPr="0078550F">
              <w:rPr>
                <w:sz w:val="22"/>
                <w:szCs w:val="22"/>
              </w:rPr>
              <w:t>-0.712***</w:t>
            </w:r>
          </w:p>
        </w:tc>
        <w:tc>
          <w:tcPr>
            <w:tcW w:w="1545" w:type="dxa"/>
          </w:tcPr>
          <w:p w14:paraId="2E700171" w14:textId="627C25FA" w:rsidR="0078550F" w:rsidRPr="0078550F" w:rsidRDefault="0078550F" w:rsidP="003D1FBF">
            <w:pPr>
              <w:jc w:val="center"/>
              <w:rPr>
                <w:sz w:val="22"/>
                <w:szCs w:val="22"/>
              </w:rPr>
            </w:pPr>
            <w:r w:rsidRPr="0078550F">
              <w:rPr>
                <w:sz w:val="22"/>
                <w:szCs w:val="22"/>
              </w:rPr>
              <w:t>-1.883***</w:t>
            </w:r>
          </w:p>
        </w:tc>
        <w:tc>
          <w:tcPr>
            <w:tcW w:w="1546" w:type="dxa"/>
          </w:tcPr>
          <w:p w14:paraId="19F41A47" w14:textId="34589D72" w:rsidR="0078550F" w:rsidRPr="0078550F" w:rsidRDefault="0078550F" w:rsidP="003D1FBF">
            <w:pPr>
              <w:jc w:val="center"/>
              <w:rPr>
                <w:sz w:val="22"/>
                <w:szCs w:val="22"/>
              </w:rPr>
            </w:pPr>
            <w:r w:rsidRPr="0078550F">
              <w:rPr>
                <w:sz w:val="22"/>
                <w:szCs w:val="22"/>
              </w:rPr>
              <w:t>-0.842***</w:t>
            </w:r>
          </w:p>
        </w:tc>
      </w:tr>
      <w:tr w:rsidR="0078550F" w14:paraId="5B307E7E" w14:textId="77777777" w:rsidTr="0064666E">
        <w:tc>
          <w:tcPr>
            <w:tcW w:w="2835" w:type="dxa"/>
          </w:tcPr>
          <w:p w14:paraId="6AF983D6" w14:textId="77777777" w:rsidR="0078550F" w:rsidRPr="0012664E" w:rsidRDefault="0078550F" w:rsidP="003D1FBF">
            <w:pPr>
              <w:rPr>
                <w:sz w:val="22"/>
                <w:szCs w:val="22"/>
              </w:rPr>
            </w:pPr>
          </w:p>
        </w:tc>
        <w:tc>
          <w:tcPr>
            <w:tcW w:w="1545" w:type="dxa"/>
          </w:tcPr>
          <w:p w14:paraId="014389A1" w14:textId="7937142B" w:rsidR="0078550F" w:rsidRPr="0078550F" w:rsidRDefault="0078550F" w:rsidP="003D1FBF">
            <w:pPr>
              <w:jc w:val="center"/>
              <w:rPr>
                <w:sz w:val="22"/>
                <w:szCs w:val="22"/>
              </w:rPr>
            </w:pPr>
            <w:r w:rsidRPr="0078550F">
              <w:rPr>
                <w:sz w:val="22"/>
                <w:szCs w:val="22"/>
              </w:rPr>
              <w:t>(-11.36)</w:t>
            </w:r>
          </w:p>
        </w:tc>
        <w:tc>
          <w:tcPr>
            <w:tcW w:w="1545" w:type="dxa"/>
          </w:tcPr>
          <w:p w14:paraId="170393B9" w14:textId="685ACB36" w:rsidR="0078550F" w:rsidRPr="0078550F" w:rsidRDefault="0078550F" w:rsidP="003D1FBF">
            <w:pPr>
              <w:jc w:val="center"/>
              <w:rPr>
                <w:sz w:val="22"/>
                <w:szCs w:val="22"/>
              </w:rPr>
            </w:pPr>
            <w:r w:rsidRPr="0078550F">
              <w:rPr>
                <w:sz w:val="22"/>
                <w:szCs w:val="22"/>
              </w:rPr>
              <w:t>(-5.36)</w:t>
            </w:r>
          </w:p>
        </w:tc>
        <w:tc>
          <w:tcPr>
            <w:tcW w:w="1545" w:type="dxa"/>
          </w:tcPr>
          <w:p w14:paraId="7F46D674" w14:textId="0C3F293D" w:rsidR="0078550F" w:rsidRPr="0078550F" w:rsidRDefault="0078550F" w:rsidP="003D1FBF">
            <w:pPr>
              <w:jc w:val="center"/>
              <w:rPr>
                <w:sz w:val="22"/>
                <w:szCs w:val="22"/>
              </w:rPr>
            </w:pPr>
            <w:r w:rsidRPr="0078550F">
              <w:rPr>
                <w:sz w:val="22"/>
                <w:szCs w:val="22"/>
              </w:rPr>
              <w:t>(-10.03)</w:t>
            </w:r>
          </w:p>
        </w:tc>
        <w:tc>
          <w:tcPr>
            <w:tcW w:w="1546" w:type="dxa"/>
          </w:tcPr>
          <w:p w14:paraId="5B9E18F6" w14:textId="0F31A42F" w:rsidR="0078550F" w:rsidRPr="0078550F" w:rsidRDefault="0078550F" w:rsidP="003D1FBF">
            <w:pPr>
              <w:jc w:val="center"/>
              <w:rPr>
                <w:sz w:val="22"/>
                <w:szCs w:val="22"/>
              </w:rPr>
            </w:pPr>
            <w:r w:rsidRPr="0078550F">
              <w:rPr>
                <w:sz w:val="22"/>
                <w:szCs w:val="22"/>
              </w:rPr>
              <w:t>(-6.76)</w:t>
            </w:r>
          </w:p>
        </w:tc>
      </w:tr>
      <w:tr w:rsidR="0078550F" w14:paraId="08476423" w14:textId="77777777" w:rsidTr="0064666E">
        <w:tc>
          <w:tcPr>
            <w:tcW w:w="2835" w:type="dxa"/>
          </w:tcPr>
          <w:p w14:paraId="6E717B8A" w14:textId="77777777" w:rsidR="0078550F" w:rsidRPr="0012664E" w:rsidRDefault="0078550F" w:rsidP="003D1FBF">
            <w:pPr>
              <w:rPr>
                <w:sz w:val="22"/>
                <w:szCs w:val="22"/>
              </w:rPr>
            </w:pPr>
            <w:r w:rsidRPr="0012664E">
              <w:rPr>
                <w:sz w:val="22"/>
                <w:szCs w:val="22"/>
              </w:rPr>
              <w:t>S1 size</w:t>
            </w:r>
          </w:p>
        </w:tc>
        <w:tc>
          <w:tcPr>
            <w:tcW w:w="1545" w:type="dxa"/>
          </w:tcPr>
          <w:p w14:paraId="129D602F" w14:textId="12B257AF" w:rsidR="0078550F" w:rsidRPr="0078550F" w:rsidRDefault="0078550F" w:rsidP="003D1FBF">
            <w:pPr>
              <w:jc w:val="center"/>
              <w:rPr>
                <w:sz w:val="22"/>
                <w:szCs w:val="22"/>
              </w:rPr>
            </w:pPr>
            <w:r w:rsidRPr="0078550F">
              <w:rPr>
                <w:sz w:val="22"/>
                <w:szCs w:val="22"/>
              </w:rPr>
              <w:t>-0.001**</w:t>
            </w:r>
          </w:p>
        </w:tc>
        <w:tc>
          <w:tcPr>
            <w:tcW w:w="1545" w:type="dxa"/>
          </w:tcPr>
          <w:p w14:paraId="3A7FB913" w14:textId="7F0C0C19" w:rsidR="0078550F" w:rsidRPr="0078550F" w:rsidRDefault="0078550F" w:rsidP="003D1FBF">
            <w:pPr>
              <w:jc w:val="center"/>
              <w:rPr>
                <w:sz w:val="22"/>
                <w:szCs w:val="22"/>
              </w:rPr>
            </w:pPr>
            <w:r w:rsidRPr="0078550F">
              <w:rPr>
                <w:sz w:val="22"/>
                <w:szCs w:val="22"/>
              </w:rPr>
              <w:t>-0.001</w:t>
            </w:r>
          </w:p>
        </w:tc>
        <w:tc>
          <w:tcPr>
            <w:tcW w:w="1545" w:type="dxa"/>
          </w:tcPr>
          <w:p w14:paraId="50EBEB1D" w14:textId="07F132D6" w:rsidR="0078550F" w:rsidRPr="0078550F" w:rsidRDefault="0078550F" w:rsidP="003D1FBF">
            <w:pPr>
              <w:jc w:val="center"/>
              <w:rPr>
                <w:sz w:val="22"/>
                <w:szCs w:val="22"/>
              </w:rPr>
            </w:pPr>
            <w:r w:rsidRPr="0078550F">
              <w:rPr>
                <w:sz w:val="22"/>
                <w:szCs w:val="22"/>
              </w:rPr>
              <w:t>0.001</w:t>
            </w:r>
          </w:p>
        </w:tc>
        <w:tc>
          <w:tcPr>
            <w:tcW w:w="1546" w:type="dxa"/>
          </w:tcPr>
          <w:p w14:paraId="05A78FE1" w14:textId="51EB61BC" w:rsidR="0078550F" w:rsidRPr="0078550F" w:rsidRDefault="0078550F" w:rsidP="003D1FBF">
            <w:pPr>
              <w:jc w:val="center"/>
              <w:rPr>
                <w:sz w:val="22"/>
                <w:szCs w:val="22"/>
              </w:rPr>
            </w:pPr>
            <w:r w:rsidRPr="0078550F">
              <w:rPr>
                <w:sz w:val="22"/>
                <w:szCs w:val="22"/>
              </w:rPr>
              <w:t>-0.001</w:t>
            </w:r>
          </w:p>
        </w:tc>
      </w:tr>
      <w:tr w:rsidR="0078550F" w14:paraId="2798AD36" w14:textId="77777777" w:rsidTr="0064666E">
        <w:tc>
          <w:tcPr>
            <w:tcW w:w="2835" w:type="dxa"/>
          </w:tcPr>
          <w:p w14:paraId="35D94B70" w14:textId="77777777" w:rsidR="0078550F" w:rsidRPr="0012664E" w:rsidRDefault="0078550F" w:rsidP="003D1FBF">
            <w:pPr>
              <w:rPr>
                <w:sz w:val="22"/>
                <w:szCs w:val="22"/>
              </w:rPr>
            </w:pPr>
          </w:p>
        </w:tc>
        <w:tc>
          <w:tcPr>
            <w:tcW w:w="1545" w:type="dxa"/>
          </w:tcPr>
          <w:p w14:paraId="6C2FCE6B" w14:textId="00714E99" w:rsidR="0078550F" w:rsidRPr="0078550F" w:rsidRDefault="0078550F" w:rsidP="003D1FBF">
            <w:pPr>
              <w:jc w:val="center"/>
              <w:rPr>
                <w:sz w:val="22"/>
                <w:szCs w:val="22"/>
              </w:rPr>
            </w:pPr>
            <w:r w:rsidRPr="0078550F">
              <w:rPr>
                <w:sz w:val="22"/>
                <w:szCs w:val="22"/>
              </w:rPr>
              <w:t>(-2.07)</w:t>
            </w:r>
          </w:p>
        </w:tc>
        <w:tc>
          <w:tcPr>
            <w:tcW w:w="1545" w:type="dxa"/>
          </w:tcPr>
          <w:p w14:paraId="010ECAB2" w14:textId="02913709" w:rsidR="0078550F" w:rsidRPr="0078550F" w:rsidRDefault="0078550F" w:rsidP="003D1FBF">
            <w:pPr>
              <w:jc w:val="center"/>
              <w:rPr>
                <w:sz w:val="22"/>
                <w:szCs w:val="22"/>
              </w:rPr>
            </w:pPr>
            <w:r w:rsidRPr="0078550F">
              <w:rPr>
                <w:sz w:val="22"/>
                <w:szCs w:val="22"/>
              </w:rPr>
              <w:t>(-0.84)</w:t>
            </w:r>
          </w:p>
        </w:tc>
        <w:tc>
          <w:tcPr>
            <w:tcW w:w="1545" w:type="dxa"/>
          </w:tcPr>
          <w:p w14:paraId="2F82D0D4" w14:textId="3BEC8880" w:rsidR="0078550F" w:rsidRPr="0078550F" w:rsidRDefault="0078550F" w:rsidP="003D1FBF">
            <w:pPr>
              <w:jc w:val="center"/>
              <w:rPr>
                <w:sz w:val="22"/>
                <w:szCs w:val="22"/>
              </w:rPr>
            </w:pPr>
            <w:r w:rsidRPr="0078550F">
              <w:rPr>
                <w:sz w:val="22"/>
                <w:szCs w:val="22"/>
              </w:rPr>
              <w:t>(0.15)</w:t>
            </w:r>
          </w:p>
        </w:tc>
        <w:tc>
          <w:tcPr>
            <w:tcW w:w="1546" w:type="dxa"/>
          </w:tcPr>
          <w:p w14:paraId="48921767" w14:textId="32CE6D02" w:rsidR="0078550F" w:rsidRPr="0078550F" w:rsidRDefault="0078550F" w:rsidP="003D1FBF">
            <w:pPr>
              <w:jc w:val="center"/>
              <w:rPr>
                <w:sz w:val="22"/>
                <w:szCs w:val="22"/>
              </w:rPr>
            </w:pPr>
            <w:r w:rsidRPr="0078550F">
              <w:rPr>
                <w:sz w:val="22"/>
                <w:szCs w:val="22"/>
              </w:rPr>
              <w:t>(-0.9</w:t>
            </w:r>
            <w:r w:rsidR="00F5743A">
              <w:rPr>
                <w:sz w:val="22"/>
                <w:szCs w:val="22"/>
              </w:rPr>
              <w:t>0</w:t>
            </w:r>
            <w:r w:rsidRPr="0078550F">
              <w:rPr>
                <w:sz w:val="22"/>
                <w:szCs w:val="22"/>
              </w:rPr>
              <w:t>)</w:t>
            </w:r>
          </w:p>
        </w:tc>
      </w:tr>
      <w:tr w:rsidR="0078550F" w14:paraId="726A5A61" w14:textId="77777777" w:rsidTr="0064666E">
        <w:tc>
          <w:tcPr>
            <w:tcW w:w="2835" w:type="dxa"/>
          </w:tcPr>
          <w:p w14:paraId="2739CA3C" w14:textId="77777777" w:rsidR="0078550F" w:rsidRPr="0012664E" w:rsidRDefault="0078550F" w:rsidP="003D1FBF">
            <w:pPr>
              <w:rPr>
                <w:sz w:val="22"/>
                <w:szCs w:val="22"/>
              </w:rPr>
            </w:pPr>
            <w:proofErr w:type="spellStart"/>
            <w:proofErr w:type="gramStart"/>
            <w:r w:rsidRPr="0012664E">
              <w:rPr>
                <w:sz w:val="22"/>
                <w:szCs w:val="22"/>
              </w:rPr>
              <w:t>No.IPOs</w:t>
            </w:r>
            <w:proofErr w:type="spellEnd"/>
            <w:proofErr w:type="gramEnd"/>
            <w:r w:rsidRPr="0012664E">
              <w:rPr>
                <w:sz w:val="22"/>
                <w:szCs w:val="22"/>
              </w:rPr>
              <w:t xml:space="preserve"> (decile rank)</w:t>
            </w:r>
          </w:p>
        </w:tc>
        <w:tc>
          <w:tcPr>
            <w:tcW w:w="1545" w:type="dxa"/>
          </w:tcPr>
          <w:p w14:paraId="6F101C90" w14:textId="7F9B7509" w:rsidR="0078550F" w:rsidRPr="0078550F" w:rsidRDefault="0078550F" w:rsidP="003D1FBF">
            <w:pPr>
              <w:jc w:val="center"/>
              <w:rPr>
                <w:sz w:val="22"/>
                <w:szCs w:val="22"/>
              </w:rPr>
            </w:pPr>
            <w:r w:rsidRPr="0078550F">
              <w:rPr>
                <w:sz w:val="22"/>
                <w:szCs w:val="22"/>
              </w:rPr>
              <w:t>0.01</w:t>
            </w:r>
            <w:r w:rsidR="00F5743A">
              <w:rPr>
                <w:sz w:val="22"/>
                <w:szCs w:val="22"/>
              </w:rPr>
              <w:t>0</w:t>
            </w:r>
          </w:p>
        </w:tc>
        <w:tc>
          <w:tcPr>
            <w:tcW w:w="1545" w:type="dxa"/>
          </w:tcPr>
          <w:p w14:paraId="5824A610" w14:textId="4501BAB6" w:rsidR="0078550F" w:rsidRPr="0078550F" w:rsidRDefault="0078550F" w:rsidP="003D1FBF">
            <w:pPr>
              <w:jc w:val="center"/>
              <w:rPr>
                <w:sz w:val="22"/>
                <w:szCs w:val="22"/>
              </w:rPr>
            </w:pPr>
            <w:r w:rsidRPr="0078550F">
              <w:rPr>
                <w:sz w:val="22"/>
                <w:szCs w:val="22"/>
              </w:rPr>
              <w:t>-0.032**</w:t>
            </w:r>
          </w:p>
        </w:tc>
        <w:tc>
          <w:tcPr>
            <w:tcW w:w="1545" w:type="dxa"/>
          </w:tcPr>
          <w:p w14:paraId="1103A76E" w14:textId="5981E881" w:rsidR="0078550F" w:rsidRPr="0078550F" w:rsidRDefault="0078550F" w:rsidP="003D1FBF">
            <w:pPr>
              <w:jc w:val="center"/>
              <w:rPr>
                <w:sz w:val="22"/>
                <w:szCs w:val="22"/>
              </w:rPr>
            </w:pPr>
            <w:r w:rsidRPr="0078550F">
              <w:rPr>
                <w:sz w:val="22"/>
                <w:szCs w:val="22"/>
              </w:rPr>
              <w:t>-0.076***</w:t>
            </w:r>
          </w:p>
        </w:tc>
        <w:tc>
          <w:tcPr>
            <w:tcW w:w="1546" w:type="dxa"/>
          </w:tcPr>
          <w:p w14:paraId="543AE4DA" w14:textId="2864CFE5" w:rsidR="0078550F" w:rsidRPr="0078550F" w:rsidRDefault="0078550F" w:rsidP="003D1FBF">
            <w:pPr>
              <w:jc w:val="center"/>
              <w:rPr>
                <w:sz w:val="22"/>
                <w:szCs w:val="22"/>
              </w:rPr>
            </w:pPr>
            <w:r w:rsidRPr="0078550F">
              <w:rPr>
                <w:sz w:val="22"/>
                <w:szCs w:val="22"/>
              </w:rPr>
              <w:t>-0.036***</w:t>
            </w:r>
          </w:p>
        </w:tc>
      </w:tr>
      <w:tr w:rsidR="0078550F" w14:paraId="58FBDD1B" w14:textId="77777777" w:rsidTr="0064666E">
        <w:tc>
          <w:tcPr>
            <w:tcW w:w="2835" w:type="dxa"/>
          </w:tcPr>
          <w:p w14:paraId="751A3D9C" w14:textId="77777777" w:rsidR="0078550F" w:rsidRPr="0012664E" w:rsidRDefault="0078550F" w:rsidP="003D1FBF">
            <w:pPr>
              <w:rPr>
                <w:sz w:val="22"/>
                <w:szCs w:val="22"/>
              </w:rPr>
            </w:pPr>
          </w:p>
        </w:tc>
        <w:tc>
          <w:tcPr>
            <w:tcW w:w="1545" w:type="dxa"/>
          </w:tcPr>
          <w:p w14:paraId="0ABA8BFA" w14:textId="225A3FD2" w:rsidR="0078550F" w:rsidRPr="0078550F" w:rsidRDefault="0078550F" w:rsidP="003D1FBF">
            <w:pPr>
              <w:jc w:val="center"/>
              <w:rPr>
                <w:sz w:val="22"/>
                <w:szCs w:val="22"/>
              </w:rPr>
            </w:pPr>
            <w:r w:rsidRPr="0078550F">
              <w:rPr>
                <w:sz w:val="22"/>
                <w:szCs w:val="22"/>
              </w:rPr>
              <w:t>(0.54)</w:t>
            </w:r>
          </w:p>
        </w:tc>
        <w:tc>
          <w:tcPr>
            <w:tcW w:w="1545" w:type="dxa"/>
          </w:tcPr>
          <w:p w14:paraId="3198A480" w14:textId="2850D293" w:rsidR="0078550F" w:rsidRPr="0078550F" w:rsidRDefault="0078550F" w:rsidP="003D1FBF">
            <w:pPr>
              <w:jc w:val="center"/>
              <w:rPr>
                <w:sz w:val="22"/>
                <w:szCs w:val="22"/>
              </w:rPr>
            </w:pPr>
            <w:r w:rsidRPr="0078550F">
              <w:rPr>
                <w:sz w:val="22"/>
                <w:szCs w:val="22"/>
              </w:rPr>
              <w:t>(-2.28)</w:t>
            </w:r>
          </w:p>
        </w:tc>
        <w:tc>
          <w:tcPr>
            <w:tcW w:w="1545" w:type="dxa"/>
          </w:tcPr>
          <w:p w14:paraId="47EBA28F" w14:textId="057A977A" w:rsidR="0078550F" w:rsidRPr="0078550F" w:rsidRDefault="0078550F" w:rsidP="003D1FBF">
            <w:pPr>
              <w:jc w:val="center"/>
              <w:rPr>
                <w:sz w:val="22"/>
                <w:szCs w:val="22"/>
              </w:rPr>
            </w:pPr>
            <w:r w:rsidRPr="0078550F">
              <w:rPr>
                <w:sz w:val="22"/>
                <w:szCs w:val="22"/>
              </w:rPr>
              <w:t>(-4.05)</w:t>
            </w:r>
          </w:p>
        </w:tc>
        <w:tc>
          <w:tcPr>
            <w:tcW w:w="1546" w:type="dxa"/>
          </w:tcPr>
          <w:p w14:paraId="35C81C8B" w14:textId="0D504FD4" w:rsidR="0078550F" w:rsidRPr="0078550F" w:rsidRDefault="0078550F" w:rsidP="003D1FBF">
            <w:pPr>
              <w:jc w:val="center"/>
              <w:rPr>
                <w:sz w:val="22"/>
                <w:szCs w:val="22"/>
              </w:rPr>
            </w:pPr>
            <w:r w:rsidRPr="0078550F">
              <w:rPr>
                <w:sz w:val="22"/>
                <w:szCs w:val="22"/>
              </w:rPr>
              <w:t>(-3.65)</w:t>
            </w:r>
          </w:p>
        </w:tc>
      </w:tr>
      <w:tr w:rsidR="0078550F" w14:paraId="3E7F005C" w14:textId="77777777" w:rsidTr="0064666E">
        <w:tc>
          <w:tcPr>
            <w:tcW w:w="2835" w:type="dxa"/>
          </w:tcPr>
          <w:p w14:paraId="515E4221" w14:textId="77777777" w:rsidR="0078550F" w:rsidRPr="0012664E" w:rsidRDefault="0078550F" w:rsidP="003D1FBF">
            <w:pPr>
              <w:rPr>
                <w:sz w:val="22"/>
                <w:szCs w:val="22"/>
              </w:rPr>
            </w:pPr>
            <w:r w:rsidRPr="0012664E">
              <w:rPr>
                <w:sz w:val="22"/>
                <w:szCs w:val="22"/>
              </w:rPr>
              <w:t>Underwriter rank</w:t>
            </w:r>
          </w:p>
        </w:tc>
        <w:tc>
          <w:tcPr>
            <w:tcW w:w="1545" w:type="dxa"/>
          </w:tcPr>
          <w:p w14:paraId="281BC65B" w14:textId="22B429DA" w:rsidR="0078550F" w:rsidRPr="0078550F" w:rsidRDefault="0078550F" w:rsidP="003D1FBF">
            <w:pPr>
              <w:jc w:val="center"/>
              <w:rPr>
                <w:sz w:val="22"/>
                <w:szCs w:val="22"/>
              </w:rPr>
            </w:pPr>
            <w:r w:rsidRPr="0078550F">
              <w:rPr>
                <w:sz w:val="22"/>
                <w:szCs w:val="22"/>
              </w:rPr>
              <w:t>0.008***</w:t>
            </w:r>
          </w:p>
        </w:tc>
        <w:tc>
          <w:tcPr>
            <w:tcW w:w="1545" w:type="dxa"/>
          </w:tcPr>
          <w:p w14:paraId="4C9546C8" w14:textId="214861FF" w:rsidR="0078550F" w:rsidRPr="0078550F" w:rsidRDefault="0078550F" w:rsidP="003D1FBF">
            <w:pPr>
              <w:jc w:val="center"/>
              <w:rPr>
                <w:sz w:val="22"/>
                <w:szCs w:val="22"/>
              </w:rPr>
            </w:pPr>
            <w:r w:rsidRPr="0078550F">
              <w:rPr>
                <w:sz w:val="22"/>
                <w:szCs w:val="22"/>
              </w:rPr>
              <w:t>-0.003</w:t>
            </w:r>
          </w:p>
        </w:tc>
        <w:tc>
          <w:tcPr>
            <w:tcW w:w="1545" w:type="dxa"/>
          </w:tcPr>
          <w:p w14:paraId="15C94991" w14:textId="0897C8B2" w:rsidR="0078550F" w:rsidRPr="0078550F" w:rsidRDefault="0078550F" w:rsidP="003D1FBF">
            <w:pPr>
              <w:jc w:val="center"/>
              <w:rPr>
                <w:sz w:val="22"/>
                <w:szCs w:val="22"/>
              </w:rPr>
            </w:pPr>
            <w:r w:rsidRPr="0078550F">
              <w:rPr>
                <w:sz w:val="22"/>
                <w:szCs w:val="22"/>
              </w:rPr>
              <w:t>0.001</w:t>
            </w:r>
          </w:p>
        </w:tc>
        <w:tc>
          <w:tcPr>
            <w:tcW w:w="1546" w:type="dxa"/>
          </w:tcPr>
          <w:p w14:paraId="6617EA28" w14:textId="430B175C" w:rsidR="0078550F" w:rsidRPr="0078550F" w:rsidRDefault="0078550F" w:rsidP="003D1FBF">
            <w:pPr>
              <w:jc w:val="center"/>
              <w:rPr>
                <w:sz w:val="22"/>
                <w:szCs w:val="22"/>
              </w:rPr>
            </w:pPr>
            <w:r w:rsidRPr="0078550F">
              <w:rPr>
                <w:sz w:val="22"/>
                <w:szCs w:val="22"/>
              </w:rPr>
              <w:t>-0.001</w:t>
            </w:r>
          </w:p>
        </w:tc>
      </w:tr>
      <w:tr w:rsidR="0078550F" w14:paraId="411719D5" w14:textId="77777777" w:rsidTr="0064666E">
        <w:tc>
          <w:tcPr>
            <w:tcW w:w="2835" w:type="dxa"/>
          </w:tcPr>
          <w:p w14:paraId="293D9E9E" w14:textId="77777777" w:rsidR="0078550F" w:rsidRPr="0012664E" w:rsidRDefault="0078550F" w:rsidP="003D1FBF">
            <w:pPr>
              <w:rPr>
                <w:sz w:val="22"/>
                <w:szCs w:val="22"/>
              </w:rPr>
            </w:pPr>
          </w:p>
        </w:tc>
        <w:tc>
          <w:tcPr>
            <w:tcW w:w="1545" w:type="dxa"/>
          </w:tcPr>
          <w:p w14:paraId="3BFADB08" w14:textId="11F550A3" w:rsidR="0078550F" w:rsidRPr="0078550F" w:rsidRDefault="0078550F" w:rsidP="003D1FBF">
            <w:pPr>
              <w:jc w:val="center"/>
              <w:rPr>
                <w:sz w:val="22"/>
                <w:szCs w:val="22"/>
              </w:rPr>
            </w:pPr>
            <w:r w:rsidRPr="0078550F">
              <w:rPr>
                <w:sz w:val="22"/>
                <w:szCs w:val="22"/>
              </w:rPr>
              <w:t>(3.69)</w:t>
            </w:r>
          </w:p>
        </w:tc>
        <w:tc>
          <w:tcPr>
            <w:tcW w:w="1545" w:type="dxa"/>
          </w:tcPr>
          <w:p w14:paraId="21B18E43" w14:textId="3438BC45" w:rsidR="0078550F" w:rsidRPr="0078550F" w:rsidRDefault="0078550F" w:rsidP="003D1FBF">
            <w:pPr>
              <w:jc w:val="center"/>
              <w:rPr>
                <w:sz w:val="22"/>
                <w:szCs w:val="22"/>
              </w:rPr>
            </w:pPr>
            <w:r w:rsidRPr="0078550F">
              <w:rPr>
                <w:sz w:val="22"/>
                <w:szCs w:val="22"/>
              </w:rPr>
              <w:t>(-0.9</w:t>
            </w:r>
            <w:r w:rsidR="00F5743A">
              <w:rPr>
                <w:sz w:val="22"/>
                <w:szCs w:val="22"/>
              </w:rPr>
              <w:t>0</w:t>
            </w:r>
            <w:r w:rsidRPr="0078550F">
              <w:rPr>
                <w:sz w:val="22"/>
                <w:szCs w:val="22"/>
              </w:rPr>
              <w:t>)</w:t>
            </w:r>
          </w:p>
        </w:tc>
        <w:tc>
          <w:tcPr>
            <w:tcW w:w="1545" w:type="dxa"/>
          </w:tcPr>
          <w:p w14:paraId="33AB5757" w14:textId="574E94EC" w:rsidR="0078550F" w:rsidRPr="0078550F" w:rsidRDefault="0078550F" w:rsidP="003D1FBF">
            <w:pPr>
              <w:jc w:val="center"/>
              <w:rPr>
                <w:sz w:val="22"/>
                <w:szCs w:val="22"/>
              </w:rPr>
            </w:pPr>
            <w:r w:rsidRPr="0078550F">
              <w:rPr>
                <w:sz w:val="22"/>
                <w:szCs w:val="22"/>
              </w:rPr>
              <w:t>(0.12)</w:t>
            </w:r>
          </w:p>
        </w:tc>
        <w:tc>
          <w:tcPr>
            <w:tcW w:w="1546" w:type="dxa"/>
          </w:tcPr>
          <w:p w14:paraId="4F426485" w14:textId="650D9D5B" w:rsidR="0078550F" w:rsidRPr="0078550F" w:rsidRDefault="0078550F" w:rsidP="003D1FBF">
            <w:pPr>
              <w:jc w:val="center"/>
              <w:rPr>
                <w:sz w:val="22"/>
                <w:szCs w:val="22"/>
              </w:rPr>
            </w:pPr>
            <w:r w:rsidRPr="0078550F">
              <w:rPr>
                <w:sz w:val="22"/>
                <w:szCs w:val="22"/>
              </w:rPr>
              <w:t>(-0.26)</w:t>
            </w:r>
          </w:p>
        </w:tc>
      </w:tr>
      <w:tr w:rsidR="009E1F8E" w14:paraId="55806D41" w14:textId="77777777" w:rsidTr="0064666E">
        <w:tc>
          <w:tcPr>
            <w:tcW w:w="2835" w:type="dxa"/>
          </w:tcPr>
          <w:p w14:paraId="2E46E037" w14:textId="77777777" w:rsidR="009E1F8E" w:rsidRPr="0012664E" w:rsidRDefault="009E1F8E" w:rsidP="003D1FBF">
            <w:pPr>
              <w:rPr>
                <w:sz w:val="22"/>
                <w:szCs w:val="22"/>
              </w:rPr>
            </w:pPr>
          </w:p>
        </w:tc>
        <w:tc>
          <w:tcPr>
            <w:tcW w:w="1545" w:type="dxa"/>
            <w:vAlign w:val="center"/>
          </w:tcPr>
          <w:p w14:paraId="70145DAB" w14:textId="77777777" w:rsidR="009E1F8E" w:rsidRPr="0012664E" w:rsidRDefault="009E1F8E" w:rsidP="003D1FBF">
            <w:pPr>
              <w:jc w:val="center"/>
              <w:rPr>
                <w:sz w:val="22"/>
                <w:szCs w:val="22"/>
              </w:rPr>
            </w:pPr>
          </w:p>
        </w:tc>
        <w:tc>
          <w:tcPr>
            <w:tcW w:w="1545" w:type="dxa"/>
            <w:vAlign w:val="center"/>
          </w:tcPr>
          <w:p w14:paraId="585A5218" w14:textId="77777777" w:rsidR="009E1F8E" w:rsidRPr="0012664E" w:rsidRDefault="009E1F8E" w:rsidP="003D1FBF">
            <w:pPr>
              <w:jc w:val="center"/>
              <w:rPr>
                <w:sz w:val="22"/>
                <w:szCs w:val="22"/>
              </w:rPr>
            </w:pPr>
          </w:p>
        </w:tc>
        <w:tc>
          <w:tcPr>
            <w:tcW w:w="1545" w:type="dxa"/>
            <w:vAlign w:val="center"/>
          </w:tcPr>
          <w:p w14:paraId="1C0C4EFE" w14:textId="77777777" w:rsidR="009E1F8E" w:rsidRPr="0012664E" w:rsidRDefault="009E1F8E" w:rsidP="003D1FBF">
            <w:pPr>
              <w:jc w:val="center"/>
              <w:rPr>
                <w:sz w:val="22"/>
                <w:szCs w:val="22"/>
              </w:rPr>
            </w:pPr>
          </w:p>
        </w:tc>
        <w:tc>
          <w:tcPr>
            <w:tcW w:w="1546" w:type="dxa"/>
            <w:vAlign w:val="center"/>
          </w:tcPr>
          <w:p w14:paraId="1F3F2BCF" w14:textId="77777777" w:rsidR="009E1F8E" w:rsidRPr="0012664E" w:rsidRDefault="009E1F8E" w:rsidP="003D1FBF">
            <w:pPr>
              <w:jc w:val="center"/>
              <w:rPr>
                <w:sz w:val="22"/>
                <w:szCs w:val="22"/>
              </w:rPr>
            </w:pPr>
          </w:p>
        </w:tc>
      </w:tr>
      <w:tr w:rsidR="0078550F" w14:paraId="34477380" w14:textId="77777777" w:rsidTr="0064666E">
        <w:tc>
          <w:tcPr>
            <w:tcW w:w="2835" w:type="dxa"/>
          </w:tcPr>
          <w:p w14:paraId="75A84B73" w14:textId="77777777" w:rsidR="0078550F" w:rsidRPr="0012664E" w:rsidRDefault="0078550F" w:rsidP="003D1FBF">
            <w:pPr>
              <w:rPr>
                <w:sz w:val="22"/>
                <w:szCs w:val="22"/>
              </w:rPr>
            </w:pPr>
            <w:r w:rsidRPr="0012664E">
              <w:rPr>
                <w:sz w:val="22"/>
                <w:szCs w:val="22"/>
              </w:rPr>
              <w:t>N</w:t>
            </w:r>
          </w:p>
        </w:tc>
        <w:tc>
          <w:tcPr>
            <w:tcW w:w="1545" w:type="dxa"/>
            <w:vAlign w:val="center"/>
          </w:tcPr>
          <w:p w14:paraId="54636600" w14:textId="3870E892" w:rsidR="0078550F" w:rsidRPr="0012664E" w:rsidRDefault="0078550F" w:rsidP="003D1FBF">
            <w:pPr>
              <w:jc w:val="center"/>
              <w:rPr>
                <w:sz w:val="22"/>
                <w:szCs w:val="22"/>
              </w:rPr>
            </w:pPr>
            <w:r w:rsidRPr="00B4459E">
              <w:rPr>
                <w:rFonts w:eastAsia="Times New Roman"/>
                <w:color w:val="000000"/>
                <w:sz w:val="20"/>
                <w:szCs w:val="20"/>
                <w:lang w:val="en-US" w:eastAsia="en-US"/>
              </w:rPr>
              <w:t>722</w:t>
            </w:r>
          </w:p>
        </w:tc>
        <w:tc>
          <w:tcPr>
            <w:tcW w:w="1545" w:type="dxa"/>
            <w:vAlign w:val="center"/>
          </w:tcPr>
          <w:p w14:paraId="044CE525" w14:textId="0F7678C5" w:rsidR="0078550F" w:rsidRPr="0012664E" w:rsidRDefault="0078550F" w:rsidP="003D1FBF">
            <w:pPr>
              <w:jc w:val="center"/>
              <w:rPr>
                <w:sz w:val="22"/>
                <w:szCs w:val="22"/>
              </w:rPr>
            </w:pPr>
            <w:r w:rsidRPr="00B4459E">
              <w:rPr>
                <w:rFonts w:eastAsia="Times New Roman"/>
                <w:color w:val="000000"/>
                <w:sz w:val="20"/>
                <w:szCs w:val="20"/>
                <w:lang w:val="en-US" w:eastAsia="en-US"/>
              </w:rPr>
              <w:t>722</w:t>
            </w:r>
          </w:p>
        </w:tc>
        <w:tc>
          <w:tcPr>
            <w:tcW w:w="1545" w:type="dxa"/>
            <w:vAlign w:val="center"/>
          </w:tcPr>
          <w:p w14:paraId="14FF7970" w14:textId="1E4B1EDD" w:rsidR="0078550F" w:rsidRPr="0012664E" w:rsidRDefault="0078550F" w:rsidP="003D1FBF">
            <w:pPr>
              <w:jc w:val="center"/>
              <w:rPr>
                <w:sz w:val="22"/>
                <w:szCs w:val="22"/>
              </w:rPr>
            </w:pPr>
            <w:r w:rsidRPr="00B4459E">
              <w:rPr>
                <w:rFonts w:eastAsia="Times New Roman"/>
                <w:color w:val="000000"/>
                <w:sz w:val="20"/>
                <w:szCs w:val="20"/>
                <w:lang w:val="en-US" w:eastAsia="en-US"/>
              </w:rPr>
              <w:t>722</w:t>
            </w:r>
          </w:p>
        </w:tc>
        <w:tc>
          <w:tcPr>
            <w:tcW w:w="1546" w:type="dxa"/>
            <w:vAlign w:val="center"/>
          </w:tcPr>
          <w:p w14:paraId="27E26B9F" w14:textId="2CDC2F14" w:rsidR="0078550F" w:rsidRPr="0012664E" w:rsidRDefault="0078550F" w:rsidP="003D1FBF">
            <w:pPr>
              <w:jc w:val="center"/>
              <w:rPr>
                <w:sz w:val="22"/>
                <w:szCs w:val="22"/>
              </w:rPr>
            </w:pPr>
            <w:r w:rsidRPr="00B4459E">
              <w:rPr>
                <w:rFonts w:eastAsia="Times New Roman"/>
                <w:color w:val="000000"/>
                <w:sz w:val="20"/>
                <w:szCs w:val="20"/>
                <w:lang w:val="en-US" w:eastAsia="en-US"/>
              </w:rPr>
              <w:t>722</w:t>
            </w:r>
          </w:p>
        </w:tc>
      </w:tr>
      <w:tr w:rsidR="0078550F" w14:paraId="1CE76F8B" w14:textId="77777777" w:rsidTr="0064666E">
        <w:tc>
          <w:tcPr>
            <w:tcW w:w="2835" w:type="dxa"/>
            <w:tcBorders>
              <w:bottom w:val="single" w:sz="4" w:space="0" w:color="auto"/>
            </w:tcBorders>
          </w:tcPr>
          <w:p w14:paraId="3426CCF1" w14:textId="77777777" w:rsidR="0078550F" w:rsidRPr="0012664E" w:rsidRDefault="0078550F" w:rsidP="003D1FBF">
            <w:pPr>
              <w:rPr>
                <w:sz w:val="22"/>
                <w:szCs w:val="22"/>
              </w:rPr>
            </w:pPr>
            <w:r w:rsidRPr="0012664E">
              <w:rPr>
                <w:sz w:val="22"/>
                <w:szCs w:val="22"/>
              </w:rPr>
              <w:t>Pseudo R</w:t>
            </w:r>
            <w:r w:rsidRPr="0012664E">
              <w:rPr>
                <w:sz w:val="22"/>
                <w:szCs w:val="22"/>
                <w:vertAlign w:val="superscript"/>
              </w:rPr>
              <w:t>2</w:t>
            </w:r>
          </w:p>
        </w:tc>
        <w:tc>
          <w:tcPr>
            <w:tcW w:w="1545" w:type="dxa"/>
            <w:tcBorders>
              <w:bottom w:val="single" w:sz="4" w:space="0" w:color="auto"/>
            </w:tcBorders>
            <w:vAlign w:val="center"/>
          </w:tcPr>
          <w:p w14:paraId="4F91126A" w14:textId="5572F506" w:rsidR="0078550F" w:rsidRPr="0012664E" w:rsidRDefault="0078550F" w:rsidP="003D1FBF">
            <w:pPr>
              <w:jc w:val="center"/>
              <w:rPr>
                <w:sz w:val="22"/>
                <w:szCs w:val="22"/>
              </w:rPr>
            </w:pPr>
            <w:r w:rsidRPr="00B4459E">
              <w:rPr>
                <w:rFonts w:eastAsia="Times New Roman"/>
                <w:color w:val="000000"/>
                <w:sz w:val="20"/>
                <w:szCs w:val="20"/>
                <w:lang w:val="en-US" w:eastAsia="en-US"/>
              </w:rPr>
              <w:t>0.05</w:t>
            </w:r>
            <w:r w:rsidR="00F5743A">
              <w:rPr>
                <w:rFonts w:eastAsia="Times New Roman"/>
                <w:color w:val="000000"/>
                <w:sz w:val="20"/>
                <w:szCs w:val="20"/>
                <w:lang w:val="en-US" w:eastAsia="en-US"/>
              </w:rPr>
              <w:t>4</w:t>
            </w:r>
          </w:p>
        </w:tc>
        <w:tc>
          <w:tcPr>
            <w:tcW w:w="1545" w:type="dxa"/>
            <w:tcBorders>
              <w:bottom w:val="single" w:sz="4" w:space="0" w:color="auto"/>
            </w:tcBorders>
            <w:vAlign w:val="center"/>
          </w:tcPr>
          <w:p w14:paraId="0B7C56AF" w14:textId="362EC1C5" w:rsidR="0078550F" w:rsidRPr="0012664E" w:rsidRDefault="0078550F" w:rsidP="003D1FBF">
            <w:pPr>
              <w:jc w:val="center"/>
              <w:rPr>
                <w:sz w:val="22"/>
                <w:szCs w:val="22"/>
              </w:rPr>
            </w:pPr>
            <w:r w:rsidRPr="00B4459E">
              <w:rPr>
                <w:rFonts w:eastAsia="Times New Roman"/>
                <w:color w:val="000000"/>
                <w:sz w:val="20"/>
                <w:szCs w:val="20"/>
                <w:lang w:val="en-US" w:eastAsia="en-US"/>
              </w:rPr>
              <w:t>0.127</w:t>
            </w:r>
          </w:p>
        </w:tc>
        <w:tc>
          <w:tcPr>
            <w:tcW w:w="1545" w:type="dxa"/>
            <w:tcBorders>
              <w:bottom w:val="single" w:sz="4" w:space="0" w:color="auto"/>
            </w:tcBorders>
            <w:vAlign w:val="center"/>
          </w:tcPr>
          <w:p w14:paraId="3C1639D0" w14:textId="3ACC8433" w:rsidR="0078550F" w:rsidRPr="0012664E" w:rsidRDefault="0078550F" w:rsidP="003D1FBF">
            <w:pPr>
              <w:jc w:val="center"/>
              <w:rPr>
                <w:sz w:val="22"/>
                <w:szCs w:val="22"/>
              </w:rPr>
            </w:pPr>
            <w:r w:rsidRPr="00B4459E">
              <w:rPr>
                <w:rFonts w:eastAsia="Times New Roman"/>
                <w:color w:val="000000"/>
                <w:sz w:val="20"/>
                <w:szCs w:val="20"/>
                <w:lang w:val="en-US" w:eastAsia="en-US"/>
              </w:rPr>
              <w:t>0.084</w:t>
            </w:r>
          </w:p>
        </w:tc>
        <w:tc>
          <w:tcPr>
            <w:tcW w:w="1546" w:type="dxa"/>
            <w:tcBorders>
              <w:bottom w:val="single" w:sz="4" w:space="0" w:color="auto"/>
            </w:tcBorders>
            <w:vAlign w:val="center"/>
          </w:tcPr>
          <w:p w14:paraId="3BB4A9EB" w14:textId="7E157EB7" w:rsidR="0078550F" w:rsidRPr="0012664E" w:rsidRDefault="0078550F" w:rsidP="003D1FBF">
            <w:pPr>
              <w:jc w:val="center"/>
              <w:rPr>
                <w:sz w:val="22"/>
                <w:szCs w:val="22"/>
              </w:rPr>
            </w:pPr>
            <w:r w:rsidRPr="00B4459E">
              <w:rPr>
                <w:rFonts w:eastAsia="Times New Roman"/>
                <w:color w:val="000000"/>
                <w:sz w:val="20"/>
                <w:szCs w:val="20"/>
                <w:lang w:val="en-US" w:eastAsia="en-US"/>
              </w:rPr>
              <w:t>0.14</w:t>
            </w:r>
            <w:r w:rsidR="00F5743A">
              <w:rPr>
                <w:rFonts w:eastAsia="Times New Roman"/>
                <w:color w:val="000000"/>
                <w:sz w:val="20"/>
                <w:szCs w:val="20"/>
                <w:lang w:val="en-US" w:eastAsia="en-US"/>
              </w:rPr>
              <w:t>5</w:t>
            </w:r>
          </w:p>
        </w:tc>
      </w:tr>
      <w:tr w:rsidR="00F8557A" w14:paraId="53A56B01" w14:textId="77777777" w:rsidTr="00481980">
        <w:tc>
          <w:tcPr>
            <w:tcW w:w="9016" w:type="dxa"/>
            <w:gridSpan w:val="5"/>
            <w:tcBorders>
              <w:top w:val="single" w:sz="4" w:space="0" w:color="auto"/>
              <w:bottom w:val="single" w:sz="4" w:space="0" w:color="auto"/>
            </w:tcBorders>
            <w:vAlign w:val="bottom"/>
          </w:tcPr>
          <w:p w14:paraId="75AEF2CC" w14:textId="27CE02B7" w:rsidR="00F8557A" w:rsidRPr="00AF64DF" w:rsidRDefault="00F8557A" w:rsidP="003D1FBF">
            <w:pPr>
              <w:spacing w:before="120" w:after="120"/>
              <w:jc w:val="both"/>
              <w:rPr>
                <w:rFonts w:eastAsia="Times New Roman"/>
                <w:color w:val="000000"/>
                <w:sz w:val="20"/>
                <w:szCs w:val="20"/>
                <w:lang w:val="en-US" w:eastAsia="en-US"/>
              </w:rPr>
            </w:pPr>
            <w:r w:rsidRPr="00B4459E">
              <w:rPr>
                <w:rFonts w:eastAsia="Times New Roman"/>
                <w:color w:val="000000"/>
                <w:sz w:val="20"/>
                <w:szCs w:val="20"/>
                <w:lang w:val="en-US" w:eastAsia="en-US"/>
              </w:rPr>
              <w:t xml:space="preserve">This table presents the results </w:t>
            </w:r>
            <w:bookmarkStart w:id="29" w:name="_Hlk104797969"/>
            <w:r w:rsidRPr="00B4459E">
              <w:rPr>
                <w:rFonts w:eastAsia="Times New Roman"/>
                <w:color w:val="000000"/>
                <w:sz w:val="20"/>
                <w:szCs w:val="20"/>
                <w:lang w:val="en-US" w:eastAsia="en-US"/>
              </w:rPr>
              <w:t>of the moderating effect of Herfindahl index on the impact of JOBS Act on the SEC review attributes</w:t>
            </w:r>
            <w:bookmarkEnd w:id="29"/>
            <w:r w:rsidRPr="00B4459E">
              <w:rPr>
                <w:rFonts w:eastAsia="Times New Roman"/>
                <w:color w:val="000000"/>
                <w:sz w:val="20"/>
                <w:szCs w:val="20"/>
                <w:lang w:val="en-US" w:eastAsia="en-US"/>
              </w:rPr>
              <w:t xml:space="preserve"> for the sample of 722 EGC-eligible IPOs between 2005 and 2017. </w:t>
            </w:r>
            <w:r w:rsidR="00DE2D9C">
              <w:rPr>
                <w:rFonts w:eastAsia="Times New Roman"/>
                <w:color w:val="000000"/>
                <w:sz w:val="20"/>
                <w:szCs w:val="20"/>
                <w:lang w:val="en-US" w:eastAsia="en-US"/>
              </w:rPr>
              <w:t>The n</w:t>
            </w:r>
            <w:r w:rsidRPr="00B4459E">
              <w:rPr>
                <w:rFonts w:eastAsia="Times New Roman"/>
                <w:color w:val="000000"/>
                <w:sz w:val="20"/>
                <w:szCs w:val="20"/>
                <w:lang w:val="en-US" w:eastAsia="en-US"/>
              </w:rPr>
              <w:t xml:space="preserve">egative binomial regression </w:t>
            </w:r>
            <w:r w:rsidR="00DE2D9C">
              <w:rPr>
                <w:rFonts w:eastAsia="Times New Roman"/>
                <w:color w:val="000000"/>
                <w:sz w:val="20"/>
                <w:szCs w:val="20"/>
                <w:lang w:val="en-US" w:eastAsia="en-US"/>
              </w:rPr>
              <w:t xml:space="preserve">method </w:t>
            </w:r>
            <w:r w:rsidRPr="00B4459E">
              <w:rPr>
                <w:rFonts w:eastAsia="Times New Roman"/>
                <w:color w:val="000000"/>
                <w:sz w:val="20"/>
                <w:szCs w:val="20"/>
                <w:lang w:val="en-US" w:eastAsia="en-US"/>
              </w:rPr>
              <w:t>is employed. Dependent variables are SEC review attributes including Duration, #Letters, #Comments and #Themes. Independent variables of interest are JOBS Act</w:t>
            </w:r>
            <w:r w:rsidR="00C61B1C">
              <w:rPr>
                <w:rFonts w:eastAsia="Times New Roman"/>
                <w:color w:val="000000"/>
                <w:sz w:val="20"/>
                <w:szCs w:val="20"/>
                <w:lang w:val="en-US" w:eastAsia="en-US"/>
              </w:rPr>
              <w:t>,</w:t>
            </w:r>
            <w:r w:rsidRPr="00B4459E">
              <w:rPr>
                <w:rFonts w:eastAsia="Times New Roman"/>
                <w:color w:val="000000"/>
                <w:sz w:val="20"/>
                <w:szCs w:val="20"/>
                <w:lang w:val="en-US" w:eastAsia="en-US"/>
              </w:rPr>
              <w:t xml:space="preserve"> Herfindahl Index</w:t>
            </w:r>
            <w:r w:rsidR="001741A4">
              <w:rPr>
                <w:rFonts w:eastAsia="Times New Roman"/>
                <w:color w:val="000000"/>
                <w:sz w:val="20"/>
                <w:szCs w:val="20"/>
                <w:lang w:val="en-US" w:eastAsia="en-US"/>
              </w:rPr>
              <w:t>, and the interaction</w:t>
            </w:r>
            <w:r w:rsidRPr="00B4459E">
              <w:rPr>
                <w:rFonts w:eastAsia="Times New Roman"/>
                <w:color w:val="000000"/>
                <w:sz w:val="20"/>
                <w:szCs w:val="20"/>
                <w:lang w:val="en-US" w:eastAsia="en-US"/>
              </w:rPr>
              <w:t xml:space="preserve"> Herfindahl Index*JOBS Act. All variables are defined in Appendix A. Results from Z-statistics are presented in parentheses below coefficient estimates and are based on robust standard errors clustered at the two-digit SIC industry level. *, **, and *** denote significance at the 10%, 5%, and 1% levels, respectively, based on a two-tailed test.</w:t>
            </w:r>
          </w:p>
        </w:tc>
      </w:tr>
    </w:tbl>
    <w:p w14:paraId="2C4A0DFE" w14:textId="77777777" w:rsidR="007A1160" w:rsidRDefault="007A1160" w:rsidP="003D1FBF"/>
    <w:p w14:paraId="0EDDCCCE" w14:textId="77777777" w:rsidR="005B638E" w:rsidRDefault="005B638E" w:rsidP="003D1FBF">
      <w:pPr>
        <w:sectPr w:rsidR="005B638E" w:rsidSect="005D4628">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890"/>
        <w:gridCol w:w="2340"/>
        <w:gridCol w:w="1853"/>
        <w:gridCol w:w="1853"/>
        <w:gridCol w:w="2234"/>
        <w:gridCol w:w="1859"/>
        <w:gridCol w:w="9"/>
      </w:tblGrid>
      <w:tr w:rsidR="007C50F5" w:rsidRPr="00600F5E" w14:paraId="1EAF9761" w14:textId="77777777" w:rsidTr="009D2026">
        <w:tc>
          <w:tcPr>
            <w:tcW w:w="13838" w:type="dxa"/>
            <w:gridSpan w:val="8"/>
            <w:tcBorders>
              <w:bottom w:val="single" w:sz="4" w:space="0" w:color="auto"/>
            </w:tcBorders>
          </w:tcPr>
          <w:p w14:paraId="57CA5ED8" w14:textId="670DE66B" w:rsidR="007C50F5" w:rsidRPr="001B67C5" w:rsidRDefault="007C50F5" w:rsidP="003D1FBF">
            <w:pPr>
              <w:jc w:val="center"/>
              <w:rPr>
                <w:b/>
                <w:bCs/>
              </w:rPr>
            </w:pPr>
            <w:r w:rsidRPr="001B67C5">
              <w:rPr>
                <w:b/>
                <w:bCs/>
              </w:rPr>
              <w:lastRenderedPageBreak/>
              <w:t xml:space="preserve">TABLE </w:t>
            </w:r>
            <w:r w:rsidR="0003367F">
              <w:rPr>
                <w:b/>
                <w:bCs/>
              </w:rPr>
              <w:t>7</w:t>
            </w:r>
          </w:p>
          <w:p w14:paraId="3A670ECD" w14:textId="00BBE1AF" w:rsidR="007C50F5" w:rsidRPr="009D2026" w:rsidRDefault="007C50F5" w:rsidP="003D1FBF">
            <w:pPr>
              <w:spacing w:after="120"/>
              <w:jc w:val="center"/>
              <w:rPr>
                <w:sz w:val="16"/>
                <w:szCs w:val="16"/>
              </w:rPr>
            </w:pPr>
            <w:r w:rsidRPr="001B67C5">
              <w:rPr>
                <w:b/>
                <w:bCs/>
              </w:rPr>
              <w:t>Impact of JOBS Act enactment on focus of SEC comment letters</w:t>
            </w:r>
            <w:r w:rsidR="0028366A" w:rsidRPr="001B67C5">
              <w:rPr>
                <w:b/>
                <w:bCs/>
              </w:rPr>
              <w:t xml:space="preserve"> (comment themes)</w:t>
            </w:r>
          </w:p>
        </w:tc>
      </w:tr>
      <w:tr w:rsidR="005B638E" w:rsidRPr="00600F5E" w14:paraId="22544094" w14:textId="77777777" w:rsidTr="009D2026">
        <w:trPr>
          <w:gridAfter w:val="1"/>
          <w:wAfter w:w="9" w:type="dxa"/>
        </w:trPr>
        <w:tc>
          <w:tcPr>
            <w:tcW w:w="1800" w:type="dxa"/>
            <w:tcBorders>
              <w:top w:val="single" w:sz="4" w:space="0" w:color="auto"/>
            </w:tcBorders>
          </w:tcPr>
          <w:p w14:paraId="514F33F6" w14:textId="7DD0DF5E" w:rsidR="005B638E" w:rsidRPr="009D2026" w:rsidRDefault="0021275E" w:rsidP="003D1FBF">
            <w:pPr>
              <w:spacing w:before="120"/>
              <w:rPr>
                <w:sz w:val="16"/>
                <w:szCs w:val="16"/>
              </w:rPr>
            </w:pPr>
            <w:r w:rsidRPr="009D2026">
              <w:rPr>
                <w:sz w:val="16"/>
                <w:szCs w:val="16"/>
              </w:rPr>
              <w:t>Dependent variable:</w:t>
            </w:r>
          </w:p>
        </w:tc>
        <w:tc>
          <w:tcPr>
            <w:tcW w:w="1890" w:type="dxa"/>
            <w:tcBorders>
              <w:top w:val="single" w:sz="4" w:space="0" w:color="auto"/>
            </w:tcBorders>
          </w:tcPr>
          <w:p w14:paraId="66894865" w14:textId="2A859FD8" w:rsidR="005B638E" w:rsidRPr="009D2026" w:rsidRDefault="00614111" w:rsidP="003D1FBF">
            <w:pPr>
              <w:spacing w:before="120"/>
              <w:jc w:val="center"/>
              <w:rPr>
                <w:sz w:val="16"/>
                <w:szCs w:val="16"/>
              </w:rPr>
            </w:pPr>
            <w:r w:rsidRPr="009D2026">
              <w:rPr>
                <w:sz w:val="16"/>
                <w:szCs w:val="16"/>
              </w:rPr>
              <w:t xml:space="preserve">% </w:t>
            </w:r>
            <w:r w:rsidR="0021275E" w:rsidRPr="009D2026">
              <w:rPr>
                <w:sz w:val="16"/>
                <w:szCs w:val="16"/>
              </w:rPr>
              <w:t>Core accounting issues</w:t>
            </w:r>
          </w:p>
        </w:tc>
        <w:tc>
          <w:tcPr>
            <w:tcW w:w="2340" w:type="dxa"/>
            <w:tcBorders>
              <w:top w:val="single" w:sz="4" w:space="0" w:color="auto"/>
            </w:tcBorders>
          </w:tcPr>
          <w:p w14:paraId="3BAB3757" w14:textId="6351F7DC" w:rsidR="005B638E" w:rsidRPr="009D2026" w:rsidRDefault="00614111" w:rsidP="003D1FBF">
            <w:pPr>
              <w:spacing w:before="120"/>
              <w:jc w:val="center"/>
              <w:rPr>
                <w:sz w:val="16"/>
                <w:szCs w:val="16"/>
              </w:rPr>
            </w:pPr>
            <w:r w:rsidRPr="009D2026">
              <w:rPr>
                <w:sz w:val="16"/>
                <w:szCs w:val="16"/>
              </w:rPr>
              <w:t xml:space="preserve">% </w:t>
            </w:r>
            <w:r w:rsidR="00715AB4" w:rsidRPr="009D2026">
              <w:rPr>
                <w:sz w:val="16"/>
                <w:szCs w:val="16"/>
              </w:rPr>
              <w:t>Non-core accounting issues</w:t>
            </w:r>
          </w:p>
        </w:tc>
        <w:tc>
          <w:tcPr>
            <w:tcW w:w="1853" w:type="dxa"/>
            <w:tcBorders>
              <w:top w:val="single" w:sz="4" w:space="0" w:color="auto"/>
            </w:tcBorders>
          </w:tcPr>
          <w:p w14:paraId="3276C69E" w14:textId="5A9E9D52" w:rsidR="005B638E" w:rsidRPr="009D2026" w:rsidRDefault="00614111" w:rsidP="003D1FBF">
            <w:pPr>
              <w:spacing w:before="120"/>
              <w:jc w:val="center"/>
              <w:rPr>
                <w:sz w:val="16"/>
                <w:szCs w:val="16"/>
              </w:rPr>
            </w:pPr>
            <w:r w:rsidRPr="009D2026">
              <w:rPr>
                <w:sz w:val="16"/>
                <w:szCs w:val="16"/>
              </w:rPr>
              <w:t xml:space="preserve">% </w:t>
            </w:r>
            <w:r w:rsidR="00715AB4" w:rsidRPr="009D2026">
              <w:rPr>
                <w:sz w:val="16"/>
                <w:szCs w:val="16"/>
              </w:rPr>
              <w:t>Offering issues</w:t>
            </w:r>
          </w:p>
        </w:tc>
        <w:tc>
          <w:tcPr>
            <w:tcW w:w="1853" w:type="dxa"/>
            <w:tcBorders>
              <w:top w:val="single" w:sz="4" w:space="0" w:color="auto"/>
            </w:tcBorders>
          </w:tcPr>
          <w:p w14:paraId="11AE7637" w14:textId="120629EF" w:rsidR="005B638E" w:rsidRPr="009D2026" w:rsidRDefault="00614111" w:rsidP="003D1FBF">
            <w:pPr>
              <w:spacing w:before="120"/>
              <w:jc w:val="center"/>
              <w:rPr>
                <w:sz w:val="16"/>
                <w:szCs w:val="16"/>
              </w:rPr>
            </w:pPr>
            <w:r w:rsidRPr="009D2026">
              <w:rPr>
                <w:sz w:val="16"/>
                <w:szCs w:val="16"/>
              </w:rPr>
              <w:t xml:space="preserve">% </w:t>
            </w:r>
            <w:r w:rsidR="00715AB4" w:rsidRPr="009D2026">
              <w:rPr>
                <w:sz w:val="16"/>
                <w:szCs w:val="16"/>
              </w:rPr>
              <w:t>Business issues</w:t>
            </w:r>
          </w:p>
        </w:tc>
        <w:tc>
          <w:tcPr>
            <w:tcW w:w="2234" w:type="dxa"/>
            <w:tcBorders>
              <w:top w:val="single" w:sz="4" w:space="0" w:color="auto"/>
            </w:tcBorders>
          </w:tcPr>
          <w:p w14:paraId="6CF9D526" w14:textId="118372D2" w:rsidR="005B638E" w:rsidRPr="009D2026" w:rsidRDefault="00614111" w:rsidP="003D1FBF">
            <w:pPr>
              <w:spacing w:before="120"/>
              <w:jc w:val="center"/>
              <w:rPr>
                <w:sz w:val="16"/>
                <w:szCs w:val="16"/>
              </w:rPr>
            </w:pPr>
            <w:r w:rsidRPr="009D2026">
              <w:rPr>
                <w:sz w:val="16"/>
                <w:szCs w:val="16"/>
              </w:rPr>
              <w:t xml:space="preserve">% </w:t>
            </w:r>
            <w:r w:rsidR="00715AB4" w:rsidRPr="009D2026">
              <w:rPr>
                <w:sz w:val="16"/>
                <w:szCs w:val="16"/>
              </w:rPr>
              <w:t>Corporate governance issues</w:t>
            </w:r>
          </w:p>
        </w:tc>
        <w:tc>
          <w:tcPr>
            <w:tcW w:w="1859" w:type="dxa"/>
            <w:tcBorders>
              <w:top w:val="single" w:sz="4" w:space="0" w:color="auto"/>
            </w:tcBorders>
          </w:tcPr>
          <w:p w14:paraId="47730359" w14:textId="20199415" w:rsidR="005B638E" w:rsidRPr="009D2026" w:rsidRDefault="00614111" w:rsidP="003D1FBF">
            <w:pPr>
              <w:spacing w:before="120"/>
              <w:jc w:val="center"/>
              <w:rPr>
                <w:sz w:val="16"/>
                <w:szCs w:val="16"/>
              </w:rPr>
            </w:pPr>
            <w:r w:rsidRPr="009D2026">
              <w:rPr>
                <w:sz w:val="16"/>
                <w:szCs w:val="16"/>
              </w:rPr>
              <w:t xml:space="preserve">% </w:t>
            </w:r>
            <w:r w:rsidR="00715AB4" w:rsidRPr="009D2026">
              <w:rPr>
                <w:sz w:val="16"/>
                <w:szCs w:val="16"/>
              </w:rPr>
              <w:t>Disclosure issues</w:t>
            </w:r>
          </w:p>
        </w:tc>
      </w:tr>
      <w:tr w:rsidR="005B638E" w:rsidRPr="00600F5E" w14:paraId="56C1F917" w14:textId="77777777" w:rsidTr="009D2026">
        <w:trPr>
          <w:gridAfter w:val="1"/>
          <w:wAfter w:w="9" w:type="dxa"/>
        </w:trPr>
        <w:tc>
          <w:tcPr>
            <w:tcW w:w="1800" w:type="dxa"/>
          </w:tcPr>
          <w:p w14:paraId="153E400A" w14:textId="77777777" w:rsidR="005B638E" w:rsidRPr="009D2026" w:rsidRDefault="005B638E" w:rsidP="003D1FBF">
            <w:pPr>
              <w:rPr>
                <w:sz w:val="16"/>
                <w:szCs w:val="16"/>
              </w:rPr>
            </w:pPr>
          </w:p>
        </w:tc>
        <w:tc>
          <w:tcPr>
            <w:tcW w:w="1890" w:type="dxa"/>
            <w:tcBorders>
              <w:bottom w:val="single" w:sz="4" w:space="0" w:color="auto"/>
            </w:tcBorders>
            <w:vAlign w:val="bottom"/>
          </w:tcPr>
          <w:p w14:paraId="102B840C" w14:textId="02859340" w:rsidR="005B638E" w:rsidRPr="009D2026" w:rsidRDefault="002F1F93" w:rsidP="003D1FBF">
            <w:pPr>
              <w:jc w:val="center"/>
              <w:rPr>
                <w:sz w:val="16"/>
                <w:szCs w:val="16"/>
              </w:rPr>
            </w:pPr>
            <w:r w:rsidRPr="009D2026">
              <w:rPr>
                <w:sz w:val="16"/>
                <w:szCs w:val="16"/>
              </w:rPr>
              <w:t>(1)</w:t>
            </w:r>
          </w:p>
        </w:tc>
        <w:tc>
          <w:tcPr>
            <w:tcW w:w="2340" w:type="dxa"/>
            <w:tcBorders>
              <w:bottom w:val="single" w:sz="4" w:space="0" w:color="auto"/>
            </w:tcBorders>
            <w:vAlign w:val="bottom"/>
          </w:tcPr>
          <w:p w14:paraId="70756D9D" w14:textId="5B5A6F76" w:rsidR="005B638E" w:rsidRPr="009D2026" w:rsidRDefault="002F1F93" w:rsidP="003D1FBF">
            <w:pPr>
              <w:jc w:val="center"/>
              <w:rPr>
                <w:sz w:val="16"/>
                <w:szCs w:val="16"/>
              </w:rPr>
            </w:pPr>
            <w:r w:rsidRPr="009D2026">
              <w:rPr>
                <w:sz w:val="16"/>
                <w:szCs w:val="16"/>
              </w:rPr>
              <w:t>(2)</w:t>
            </w:r>
          </w:p>
        </w:tc>
        <w:tc>
          <w:tcPr>
            <w:tcW w:w="1853" w:type="dxa"/>
            <w:tcBorders>
              <w:bottom w:val="single" w:sz="4" w:space="0" w:color="auto"/>
            </w:tcBorders>
            <w:vAlign w:val="bottom"/>
          </w:tcPr>
          <w:p w14:paraId="63FB1525" w14:textId="044BF5EC" w:rsidR="005B638E" w:rsidRPr="009D2026" w:rsidRDefault="002F1F93" w:rsidP="003D1FBF">
            <w:pPr>
              <w:jc w:val="center"/>
              <w:rPr>
                <w:sz w:val="16"/>
                <w:szCs w:val="16"/>
              </w:rPr>
            </w:pPr>
            <w:r w:rsidRPr="009D2026">
              <w:rPr>
                <w:sz w:val="16"/>
                <w:szCs w:val="16"/>
              </w:rPr>
              <w:t>(3)</w:t>
            </w:r>
          </w:p>
        </w:tc>
        <w:tc>
          <w:tcPr>
            <w:tcW w:w="1853" w:type="dxa"/>
            <w:tcBorders>
              <w:bottom w:val="single" w:sz="4" w:space="0" w:color="auto"/>
            </w:tcBorders>
            <w:vAlign w:val="bottom"/>
          </w:tcPr>
          <w:p w14:paraId="3267290C" w14:textId="02596CFC" w:rsidR="005B638E" w:rsidRPr="009D2026" w:rsidRDefault="002F1F93" w:rsidP="003D1FBF">
            <w:pPr>
              <w:jc w:val="center"/>
              <w:rPr>
                <w:sz w:val="16"/>
                <w:szCs w:val="16"/>
              </w:rPr>
            </w:pPr>
            <w:r w:rsidRPr="009D2026">
              <w:rPr>
                <w:sz w:val="16"/>
                <w:szCs w:val="16"/>
              </w:rPr>
              <w:t>(4)</w:t>
            </w:r>
          </w:p>
        </w:tc>
        <w:tc>
          <w:tcPr>
            <w:tcW w:w="2234" w:type="dxa"/>
            <w:tcBorders>
              <w:bottom w:val="single" w:sz="4" w:space="0" w:color="auto"/>
            </w:tcBorders>
            <w:vAlign w:val="bottom"/>
          </w:tcPr>
          <w:p w14:paraId="3A9E8DD2" w14:textId="1EBEC802" w:rsidR="005B638E" w:rsidRPr="009D2026" w:rsidRDefault="002F1F93" w:rsidP="003D1FBF">
            <w:pPr>
              <w:jc w:val="center"/>
              <w:rPr>
                <w:sz w:val="16"/>
                <w:szCs w:val="16"/>
              </w:rPr>
            </w:pPr>
            <w:r w:rsidRPr="009D2026">
              <w:rPr>
                <w:sz w:val="16"/>
                <w:szCs w:val="16"/>
              </w:rPr>
              <w:t>(5)</w:t>
            </w:r>
          </w:p>
        </w:tc>
        <w:tc>
          <w:tcPr>
            <w:tcW w:w="1859" w:type="dxa"/>
            <w:tcBorders>
              <w:bottom w:val="single" w:sz="4" w:space="0" w:color="auto"/>
            </w:tcBorders>
            <w:vAlign w:val="bottom"/>
          </w:tcPr>
          <w:p w14:paraId="6FB390AC" w14:textId="32CE2804" w:rsidR="005B638E" w:rsidRPr="009D2026" w:rsidRDefault="002F1F93" w:rsidP="003D1FBF">
            <w:pPr>
              <w:jc w:val="center"/>
              <w:rPr>
                <w:sz w:val="16"/>
                <w:szCs w:val="16"/>
              </w:rPr>
            </w:pPr>
            <w:r w:rsidRPr="009D2026">
              <w:rPr>
                <w:sz w:val="16"/>
                <w:szCs w:val="16"/>
              </w:rPr>
              <w:t>(6)</w:t>
            </w:r>
          </w:p>
        </w:tc>
      </w:tr>
      <w:tr w:rsidR="00045710" w:rsidRPr="00600F5E" w14:paraId="63B9CE56" w14:textId="77777777" w:rsidTr="009D2026">
        <w:trPr>
          <w:gridAfter w:val="1"/>
          <w:wAfter w:w="9" w:type="dxa"/>
        </w:trPr>
        <w:tc>
          <w:tcPr>
            <w:tcW w:w="1800" w:type="dxa"/>
          </w:tcPr>
          <w:p w14:paraId="6A7DC2B1" w14:textId="5EBC28EE" w:rsidR="00045710" w:rsidRPr="009D2026" w:rsidRDefault="00045710" w:rsidP="003D1FBF">
            <w:pPr>
              <w:spacing w:before="120"/>
              <w:rPr>
                <w:sz w:val="16"/>
                <w:szCs w:val="16"/>
              </w:rPr>
            </w:pPr>
            <w:r w:rsidRPr="009D2026">
              <w:rPr>
                <w:sz w:val="16"/>
                <w:szCs w:val="16"/>
              </w:rPr>
              <w:t>JOBS Act</w:t>
            </w:r>
          </w:p>
        </w:tc>
        <w:tc>
          <w:tcPr>
            <w:tcW w:w="1890" w:type="dxa"/>
            <w:tcBorders>
              <w:top w:val="single" w:sz="4" w:space="0" w:color="auto"/>
            </w:tcBorders>
            <w:vAlign w:val="bottom"/>
          </w:tcPr>
          <w:p w14:paraId="75A2EA3F" w14:textId="7A6004C8" w:rsidR="00045710" w:rsidRPr="009D2026" w:rsidRDefault="00045710" w:rsidP="003D1FBF">
            <w:pPr>
              <w:spacing w:before="120"/>
              <w:jc w:val="center"/>
              <w:rPr>
                <w:sz w:val="16"/>
                <w:szCs w:val="16"/>
              </w:rPr>
            </w:pPr>
            <w:r w:rsidRPr="009D2026">
              <w:rPr>
                <w:sz w:val="16"/>
                <w:szCs w:val="16"/>
              </w:rPr>
              <w:t>-0.323**</w:t>
            </w:r>
          </w:p>
        </w:tc>
        <w:tc>
          <w:tcPr>
            <w:tcW w:w="2340" w:type="dxa"/>
            <w:tcBorders>
              <w:top w:val="single" w:sz="4" w:space="0" w:color="auto"/>
            </w:tcBorders>
            <w:vAlign w:val="bottom"/>
          </w:tcPr>
          <w:p w14:paraId="06016CF3" w14:textId="435F3640" w:rsidR="00045710" w:rsidRPr="009D2026" w:rsidRDefault="00045710" w:rsidP="003D1FBF">
            <w:pPr>
              <w:spacing w:before="120"/>
              <w:jc w:val="center"/>
              <w:rPr>
                <w:sz w:val="16"/>
                <w:szCs w:val="16"/>
              </w:rPr>
            </w:pPr>
            <w:r w:rsidRPr="009D2026">
              <w:rPr>
                <w:sz w:val="16"/>
                <w:szCs w:val="16"/>
              </w:rPr>
              <w:t>0.48</w:t>
            </w:r>
            <w:r w:rsidR="0067156D" w:rsidRPr="009D2026">
              <w:rPr>
                <w:sz w:val="16"/>
                <w:szCs w:val="16"/>
              </w:rPr>
              <w:t>0</w:t>
            </w:r>
          </w:p>
        </w:tc>
        <w:tc>
          <w:tcPr>
            <w:tcW w:w="1853" w:type="dxa"/>
            <w:tcBorders>
              <w:top w:val="single" w:sz="4" w:space="0" w:color="auto"/>
            </w:tcBorders>
            <w:vAlign w:val="bottom"/>
          </w:tcPr>
          <w:p w14:paraId="7FBD55B4" w14:textId="2A7AC834" w:rsidR="00045710" w:rsidRPr="009D2026" w:rsidRDefault="00045710" w:rsidP="003D1FBF">
            <w:pPr>
              <w:spacing w:before="120"/>
              <w:jc w:val="center"/>
              <w:rPr>
                <w:sz w:val="16"/>
                <w:szCs w:val="16"/>
              </w:rPr>
            </w:pPr>
            <w:r w:rsidRPr="009D2026">
              <w:rPr>
                <w:sz w:val="16"/>
                <w:szCs w:val="16"/>
              </w:rPr>
              <w:t>0.84</w:t>
            </w:r>
            <w:r w:rsidR="0067156D" w:rsidRPr="009D2026">
              <w:rPr>
                <w:sz w:val="16"/>
                <w:szCs w:val="16"/>
              </w:rPr>
              <w:t>0</w:t>
            </w:r>
            <w:r w:rsidRPr="009D2026">
              <w:rPr>
                <w:sz w:val="16"/>
                <w:szCs w:val="16"/>
              </w:rPr>
              <w:t>**</w:t>
            </w:r>
          </w:p>
        </w:tc>
        <w:tc>
          <w:tcPr>
            <w:tcW w:w="1853" w:type="dxa"/>
            <w:tcBorders>
              <w:top w:val="single" w:sz="4" w:space="0" w:color="auto"/>
            </w:tcBorders>
            <w:vAlign w:val="bottom"/>
          </w:tcPr>
          <w:p w14:paraId="1D8DD9C5" w14:textId="4EB33B7C" w:rsidR="00045710" w:rsidRPr="009D2026" w:rsidRDefault="00045710" w:rsidP="003D1FBF">
            <w:pPr>
              <w:spacing w:before="120"/>
              <w:jc w:val="center"/>
              <w:rPr>
                <w:sz w:val="16"/>
                <w:szCs w:val="16"/>
              </w:rPr>
            </w:pPr>
            <w:r w:rsidRPr="009D2026">
              <w:rPr>
                <w:sz w:val="16"/>
                <w:szCs w:val="16"/>
              </w:rPr>
              <w:t>-0.209***</w:t>
            </w:r>
          </w:p>
        </w:tc>
        <w:tc>
          <w:tcPr>
            <w:tcW w:w="2234" w:type="dxa"/>
            <w:tcBorders>
              <w:top w:val="single" w:sz="4" w:space="0" w:color="auto"/>
            </w:tcBorders>
            <w:vAlign w:val="bottom"/>
          </w:tcPr>
          <w:p w14:paraId="65E82C50" w14:textId="6D6BFBAD" w:rsidR="00045710" w:rsidRPr="009D2026" w:rsidRDefault="00045710" w:rsidP="003D1FBF">
            <w:pPr>
              <w:spacing w:before="120"/>
              <w:jc w:val="center"/>
              <w:rPr>
                <w:sz w:val="16"/>
                <w:szCs w:val="16"/>
              </w:rPr>
            </w:pPr>
            <w:r w:rsidRPr="009D2026">
              <w:rPr>
                <w:sz w:val="16"/>
                <w:szCs w:val="16"/>
              </w:rPr>
              <w:t>-0.479</w:t>
            </w:r>
          </w:p>
        </w:tc>
        <w:tc>
          <w:tcPr>
            <w:tcW w:w="1859" w:type="dxa"/>
            <w:tcBorders>
              <w:top w:val="single" w:sz="4" w:space="0" w:color="auto"/>
            </w:tcBorders>
            <w:vAlign w:val="bottom"/>
          </w:tcPr>
          <w:p w14:paraId="16F8D96C" w14:textId="63FE1E79" w:rsidR="00045710" w:rsidRPr="009D2026" w:rsidRDefault="00045710" w:rsidP="003D1FBF">
            <w:pPr>
              <w:spacing w:before="120"/>
              <w:jc w:val="center"/>
              <w:rPr>
                <w:sz w:val="16"/>
                <w:szCs w:val="16"/>
              </w:rPr>
            </w:pPr>
            <w:r w:rsidRPr="009D2026">
              <w:rPr>
                <w:sz w:val="16"/>
                <w:szCs w:val="16"/>
              </w:rPr>
              <w:t>-0.132**</w:t>
            </w:r>
          </w:p>
        </w:tc>
      </w:tr>
      <w:tr w:rsidR="00045710" w:rsidRPr="00600F5E" w14:paraId="68847759" w14:textId="77777777" w:rsidTr="009D2026">
        <w:trPr>
          <w:gridAfter w:val="1"/>
          <w:wAfter w:w="9" w:type="dxa"/>
        </w:trPr>
        <w:tc>
          <w:tcPr>
            <w:tcW w:w="1800" w:type="dxa"/>
          </w:tcPr>
          <w:p w14:paraId="6A2DABBB" w14:textId="77777777" w:rsidR="00045710" w:rsidRPr="009D2026" w:rsidRDefault="00045710" w:rsidP="003D1FBF">
            <w:pPr>
              <w:rPr>
                <w:sz w:val="16"/>
                <w:szCs w:val="16"/>
              </w:rPr>
            </w:pPr>
          </w:p>
        </w:tc>
        <w:tc>
          <w:tcPr>
            <w:tcW w:w="1890" w:type="dxa"/>
            <w:vAlign w:val="bottom"/>
          </w:tcPr>
          <w:p w14:paraId="752213C0" w14:textId="4B61CEBD" w:rsidR="00045710" w:rsidRPr="009D2026" w:rsidRDefault="00045710" w:rsidP="003D1FBF">
            <w:pPr>
              <w:jc w:val="center"/>
              <w:rPr>
                <w:sz w:val="16"/>
                <w:szCs w:val="16"/>
              </w:rPr>
            </w:pPr>
            <w:r w:rsidRPr="009D2026">
              <w:rPr>
                <w:sz w:val="16"/>
                <w:szCs w:val="16"/>
              </w:rPr>
              <w:t>(-2.34)</w:t>
            </w:r>
          </w:p>
        </w:tc>
        <w:tc>
          <w:tcPr>
            <w:tcW w:w="2340" w:type="dxa"/>
            <w:vAlign w:val="bottom"/>
          </w:tcPr>
          <w:p w14:paraId="375C9F64" w14:textId="610716F2" w:rsidR="00045710" w:rsidRPr="009D2026" w:rsidRDefault="00045710" w:rsidP="003D1FBF">
            <w:pPr>
              <w:jc w:val="center"/>
              <w:rPr>
                <w:sz w:val="16"/>
                <w:szCs w:val="16"/>
              </w:rPr>
            </w:pPr>
            <w:r w:rsidRPr="009D2026">
              <w:rPr>
                <w:sz w:val="16"/>
                <w:szCs w:val="16"/>
              </w:rPr>
              <w:t>(1.04)</w:t>
            </w:r>
          </w:p>
        </w:tc>
        <w:tc>
          <w:tcPr>
            <w:tcW w:w="1853" w:type="dxa"/>
            <w:vAlign w:val="bottom"/>
          </w:tcPr>
          <w:p w14:paraId="775B95DE" w14:textId="115A503C" w:rsidR="00045710" w:rsidRPr="009D2026" w:rsidRDefault="00045710" w:rsidP="003D1FBF">
            <w:pPr>
              <w:jc w:val="center"/>
              <w:rPr>
                <w:sz w:val="16"/>
                <w:szCs w:val="16"/>
              </w:rPr>
            </w:pPr>
            <w:r w:rsidRPr="009D2026">
              <w:rPr>
                <w:sz w:val="16"/>
                <w:szCs w:val="16"/>
              </w:rPr>
              <w:t>(2.18)</w:t>
            </w:r>
          </w:p>
        </w:tc>
        <w:tc>
          <w:tcPr>
            <w:tcW w:w="1853" w:type="dxa"/>
            <w:vAlign w:val="bottom"/>
          </w:tcPr>
          <w:p w14:paraId="0F915DFD" w14:textId="4CFDD917" w:rsidR="00045710" w:rsidRPr="009D2026" w:rsidRDefault="00045710" w:rsidP="003D1FBF">
            <w:pPr>
              <w:jc w:val="center"/>
              <w:rPr>
                <w:sz w:val="16"/>
                <w:szCs w:val="16"/>
              </w:rPr>
            </w:pPr>
            <w:r w:rsidRPr="009D2026">
              <w:rPr>
                <w:sz w:val="16"/>
                <w:szCs w:val="16"/>
              </w:rPr>
              <w:t>(-2.61)</w:t>
            </w:r>
          </w:p>
        </w:tc>
        <w:tc>
          <w:tcPr>
            <w:tcW w:w="2234" w:type="dxa"/>
            <w:vAlign w:val="bottom"/>
          </w:tcPr>
          <w:p w14:paraId="56CF5B98" w14:textId="62A31022" w:rsidR="00045710" w:rsidRPr="009D2026" w:rsidRDefault="00045710" w:rsidP="003D1FBF">
            <w:pPr>
              <w:jc w:val="center"/>
              <w:rPr>
                <w:sz w:val="16"/>
                <w:szCs w:val="16"/>
              </w:rPr>
            </w:pPr>
            <w:r w:rsidRPr="009D2026">
              <w:rPr>
                <w:sz w:val="16"/>
                <w:szCs w:val="16"/>
              </w:rPr>
              <w:t>(-1.15)</w:t>
            </w:r>
          </w:p>
        </w:tc>
        <w:tc>
          <w:tcPr>
            <w:tcW w:w="1859" w:type="dxa"/>
            <w:vAlign w:val="bottom"/>
          </w:tcPr>
          <w:p w14:paraId="6BF9C842" w14:textId="26E3F308" w:rsidR="00045710" w:rsidRPr="009D2026" w:rsidRDefault="00045710" w:rsidP="003D1FBF">
            <w:pPr>
              <w:jc w:val="center"/>
              <w:rPr>
                <w:sz w:val="16"/>
                <w:szCs w:val="16"/>
              </w:rPr>
            </w:pPr>
            <w:r w:rsidRPr="009D2026">
              <w:rPr>
                <w:sz w:val="16"/>
                <w:szCs w:val="16"/>
              </w:rPr>
              <w:t>(-2.49)</w:t>
            </w:r>
          </w:p>
        </w:tc>
      </w:tr>
      <w:tr w:rsidR="00045710" w:rsidRPr="00600F5E" w14:paraId="09B0B6CC" w14:textId="77777777" w:rsidTr="009D2026">
        <w:trPr>
          <w:gridAfter w:val="1"/>
          <w:wAfter w:w="9" w:type="dxa"/>
        </w:trPr>
        <w:tc>
          <w:tcPr>
            <w:tcW w:w="1800" w:type="dxa"/>
          </w:tcPr>
          <w:p w14:paraId="0F99537C" w14:textId="7C325EB3" w:rsidR="00045710" w:rsidRPr="009D2026" w:rsidRDefault="00045710" w:rsidP="003D1FBF">
            <w:pPr>
              <w:rPr>
                <w:sz w:val="16"/>
                <w:szCs w:val="16"/>
              </w:rPr>
            </w:pPr>
            <w:proofErr w:type="spellStart"/>
            <w:r w:rsidRPr="009D2026">
              <w:rPr>
                <w:sz w:val="16"/>
                <w:szCs w:val="16"/>
              </w:rPr>
              <w:t>LnSize</w:t>
            </w:r>
            <w:proofErr w:type="spellEnd"/>
          </w:p>
        </w:tc>
        <w:tc>
          <w:tcPr>
            <w:tcW w:w="1890" w:type="dxa"/>
            <w:vAlign w:val="bottom"/>
          </w:tcPr>
          <w:p w14:paraId="08247C44" w14:textId="36B11A67" w:rsidR="00045710" w:rsidRPr="009D2026" w:rsidRDefault="00045710" w:rsidP="003D1FBF">
            <w:pPr>
              <w:jc w:val="center"/>
              <w:rPr>
                <w:sz w:val="16"/>
                <w:szCs w:val="16"/>
              </w:rPr>
            </w:pPr>
            <w:r w:rsidRPr="009D2026">
              <w:rPr>
                <w:sz w:val="16"/>
                <w:szCs w:val="16"/>
              </w:rPr>
              <w:t>-0.01</w:t>
            </w:r>
            <w:r w:rsidR="0067156D" w:rsidRPr="009D2026">
              <w:rPr>
                <w:sz w:val="16"/>
                <w:szCs w:val="16"/>
              </w:rPr>
              <w:t>0</w:t>
            </w:r>
          </w:p>
        </w:tc>
        <w:tc>
          <w:tcPr>
            <w:tcW w:w="2340" w:type="dxa"/>
            <w:vAlign w:val="bottom"/>
          </w:tcPr>
          <w:p w14:paraId="7ABFE35D" w14:textId="6808396C" w:rsidR="00045710" w:rsidRPr="009D2026" w:rsidRDefault="00045710" w:rsidP="003D1FBF">
            <w:pPr>
              <w:jc w:val="center"/>
              <w:rPr>
                <w:sz w:val="16"/>
                <w:szCs w:val="16"/>
              </w:rPr>
            </w:pPr>
            <w:r w:rsidRPr="009D2026">
              <w:rPr>
                <w:sz w:val="16"/>
                <w:szCs w:val="16"/>
              </w:rPr>
              <w:t>0.113</w:t>
            </w:r>
          </w:p>
        </w:tc>
        <w:tc>
          <w:tcPr>
            <w:tcW w:w="1853" w:type="dxa"/>
            <w:vAlign w:val="bottom"/>
          </w:tcPr>
          <w:p w14:paraId="2E825C80" w14:textId="50C4C338" w:rsidR="00045710" w:rsidRPr="009D2026" w:rsidRDefault="00045710" w:rsidP="003D1FBF">
            <w:pPr>
              <w:jc w:val="center"/>
              <w:rPr>
                <w:sz w:val="16"/>
                <w:szCs w:val="16"/>
              </w:rPr>
            </w:pPr>
            <w:r w:rsidRPr="009D2026">
              <w:rPr>
                <w:sz w:val="16"/>
                <w:szCs w:val="16"/>
              </w:rPr>
              <w:t>-0.058</w:t>
            </w:r>
          </w:p>
        </w:tc>
        <w:tc>
          <w:tcPr>
            <w:tcW w:w="1853" w:type="dxa"/>
            <w:vAlign w:val="bottom"/>
          </w:tcPr>
          <w:p w14:paraId="5A235BC3" w14:textId="417E276A" w:rsidR="00045710" w:rsidRPr="009D2026" w:rsidRDefault="00045710" w:rsidP="003D1FBF">
            <w:pPr>
              <w:jc w:val="center"/>
              <w:rPr>
                <w:sz w:val="16"/>
                <w:szCs w:val="16"/>
              </w:rPr>
            </w:pPr>
            <w:r w:rsidRPr="009D2026">
              <w:rPr>
                <w:sz w:val="16"/>
                <w:szCs w:val="16"/>
              </w:rPr>
              <w:t>-0.055</w:t>
            </w:r>
          </w:p>
        </w:tc>
        <w:tc>
          <w:tcPr>
            <w:tcW w:w="2234" w:type="dxa"/>
            <w:vAlign w:val="bottom"/>
          </w:tcPr>
          <w:p w14:paraId="198429B3" w14:textId="24AEE4F6" w:rsidR="00045710" w:rsidRPr="009D2026" w:rsidRDefault="00045710" w:rsidP="003D1FBF">
            <w:pPr>
              <w:jc w:val="center"/>
              <w:rPr>
                <w:sz w:val="16"/>
                <w:szCs w:val="16"/>
              </w:rPr>
            </w:pPr>
            <w:r w:rsidRPr="009D2026">
              <w:rPr>
                <w:sz w:val="16"/>
                <w:szCs w:val="16"/>
              </w:rPr>
              <w:t>0.168</w:t>
            </w:r>
          </w:p>
        </w:tc>
        <w:tc>
          <w:tcPr>
            <w:tcW w:w="1859" w:type="dxa"/>
            <w:vAlign w:val="bottom"/>
          </w:tcPr>
          <w:p w14:paraId="7E40740B" w14:textId="11EF50AD" w:rsidR="00045710" w:rsidRPr="009D2026" w:rsidRDefault="00045710" w:rsidP="003D1FBF">
            <w:pPr>
              <w:jc w:val="center"/>
              <w:rPr>
                <w:sz w:val="16"/>
                <w:szCs w:val="16"/>
              </w:rPr>
            </w:pPr>
            <w:r w:rsidRPr="009D2026">
              <w:rPr>
                <w:sz w:val="16"/>
                <w:szCs w:val="16"/>
              </w:rPr>
              <w:t>0.032</w:t>
            </w:r>
          </w:p>
        </w:tc>
      </w:tr>
      <w:tr w:rsidR="00045710" w:rsidRPr="00600F5E" w14:paraId="34FF81A7" w14:textId="77777777" w:rsidTr="009D2026">
        <w:trPr>
          <w:gridAfter w:val="1"/>
          <w:wAfter w:w="9" w:type="dxa"/>
        </w:trPr>
        <w:tc>
          <w:tcPr>
            <w:tcW w:w="1800" w:type="dxa"/>
          </w:tcPr>
          <w:p w14:paraId="039378F1" w14:textId="77777777" w:rsidR="00045710" w:rsidRPr="009D2026" w:rsidRDefault="00045710" w:rsidP="003D1FBF">
            <w:pPr>
              <w:rPr>
                <w:sz w:val="16"/>
                <w:szCs w:val="16"/>
              </w:rPr>
            </w:pPr>
          </w:p>
        </w:tc>
        <w:tc>
          <w:tcPr>
            <w:tcW w:w="1890" w:type="dxa"/>
            <w:vAlign w:val="bottom"/>
          </w:tcPr>
          <w:p w14:paraId="4B935851" w14:textId="05AF3914" w:rsidR="00045710" w:rsidRPr="009D2026" w:rsidRDefault="00045710" w:rsidP="003D1FBF">
            <w:pPr>
              <w:jc w:val="center"/>
              <w:rPr>
                <w:sz w:val="16"/>
                <w:szCs w:val="16"/>
              </w:rPr>
            </w:pPr>
            <w:r w:rsidRPr="009D2026">
              <w:rPr>
                <w:sz w:val="16"/>
                <w:szCs w:val="16"/>
              </w:rPr>
              <w:t>(-0.19)</w:t>
            </w:r>
          </w:p>
        </w:tc>
        <w:tc>
          <w:tcPr>
            <w:tcW w:w="2340" w:type="dxa"/>
            <w:vAlign w:val="bottom"/>
          </w:tcPr>
          <w:p w14:paraId="6EB0000D" w14:textId="1E8FD993" w:rsidR="00045710" w:rsidRPr="009D2026" w:rsidRDefault="00045710" w:rsidP="003D1FBF">
            <w:pPr>
              <w:jc w:val="center"/>
              <w:rPr>
                <w:sz w:val="16"/>
                <w:szCs w:val="16"/>
              </w:rPr>
            </w:pPr>
            <w:r w:rsidRPr="009D2026">
              <w:rPr>
                <w:sz w:val="16"/>
                <w:szCs w:val="16"/>
              </w:rPr>
              <w:t>(0.54)</w:t>
            </w:r>
          </w:p>
        </w:tc>
        <w:tc>
          <w:tcPr>
            <w:tcW w:w="1853" w:type="dxa"/>
            <w:vAlign w:val="bottom"/>
          </w:tcPr>
          <w:p w14:paraId="70FEF0C0" w14:textId="278228BE" w:rsidR="00045710" w:rsidRPr="009D2026" w:rsidRDefault="00045710" w:rsidP="003D1FBF">
            <w:pPr>
              <w:jc w:val="center"/>
              <w:rPr>
                <w:sz w:val="16"/>
                <w:szCs w:val="16"/>
              </w:rPr>
            </w:pPr>
            <w:r w:rsidRPr="009D2026">
              <w:rPr>
                <w:sz w:val="16"/>
                <w:szCs w:val="16"/>
              </w:rPr>
              <w:t>(-0.85)</w:t>
            </w:r>
          </w:p>
        </w:tc>
        <w:tc>
          <w:tcPr>
            <w:tcW w:w="1853" w:type="dxa"/>
            <w:vAlign w:val="bottom"/>
          </w:tcPr>
          <w:p w14:paraId="7F66E3AB" w14:textId="1FBAE21B" w:rsidR="00045710" w:rsidRPr="009D2026" w:rsidRDefault="00045710" w:rsidP="003D1FBF">
            <w:pPr>
              <w:jc w:val="center"/>
              <w:rPr>
                <w:sz w:val="16"/>
                <w:szCs w:val="16"/>
              </w:rPr>
            </w:pPr>
            <w:r w:rsidRPr="009D2026">
              <w:rPr>
                <w:sz w:val="16"/>
                <w:szCs w:val="16"/>
              </w:rPr>
              <w:t>(-1.11)</w:t>
            </w:r>
          </w:p>
        </w:tc>
        <w:tc>
          <w:tcPr>
            <w:tcW w:w="2234" w:type="dxa"/>
            <w:vAlign w:val="bottom"/>
          </w:tcPr>
          <w:p w14:paraId="293902F2" w14:textId="64926777" w:rsidR="00045710" w:rsidRPr="009D2026" w:rsidRDefault="00045710" w:rsidP="003D1FBF">
            <w:pPr>
              <w:jc w:val="center"/>
              <w:rPr>
                <w:sz w:val="16"/>
                <w:szCs w:val="16"/>
              </w:rPr>
            </w:pPr>
            <w:r w:rsidRPr="009D2026">
              <w:rPr>
                <w:sz w:val="16"/>
                <w:szCs w:val="16"/>
              </w:rPr>
              <w:t>(1.29)</w:t>
            </w:r>
          </w:p>
        </w:tc>
        <w:tc>
          <w:tcPr>
            <w:tcW w:w="1859" w:type="dxa"/>
            <w:vAlign w:val="bottom"/>
          </w:tcPr>
          <w:p w14:paraId="0B32C014" w14:textId="24F6BD5D" w:rsidR="00045710" w:rsidRPr="009D2026" w:rsidRDefault="00045710" w:rsidP="003D1FBF">
            <w:pPr>
              <w:jc w:val="center"/>
              <w:rPr>
                <w:sz w:val="16"/>
                <w:szCs w:val="16"/>
              </w:rPr>
            </w:pPr>
            <w:r w:rsidRPr="009D2026">
              <w:rPr>
                <w:sz w:val="16"/>
                <w:szCs w:val="16"/>
              </w:rPr>
              <w:t>(1.41)</w:t>
            </w:r>
          </w:p>
        </w:tc>
      </w:tr>
      <w:tr w:rsidR="00045710" w:rsidRPr="00600F5E" w14:paraId="2A8A491B" w14:textId="77777777" w:rsidTr="009D2026">
        <w:trPr>
          <w:gridAfter w:val="1"/>
          <w:wAfter w:w="9" w:type="dxa"/>
        </w:trPr>
        <w:tc>
          <w:tcPr>
            <w:tcW w:w="1800" w:type="dxa"/>
          </w:tcPr>
          <w:p w14:paraId="285F8017" w14:textId="3367ECB8" w:rsidR="00045710" w:rsidRPr="009D2026" w:rsidRDefault="00045710" w:rsidP="003D1FBF">
            <w:pPr>
              <w:rPr>
                <w:sz w:val="16"/>
                <w:szCs w:val="16"/>
              </w:rPr>
            </w:pPr>
            <w:r w:rsidRPr="009D2026">
              <w:rPr>
                <w:sz w:val="16"/>
                <w:szCs w:val="16"/>
              </w:rPr>
              <w:t>Leverage</w:t>
            </w:r>
          </w:p>
        </w:tc>
        <w:tc>
          <w:tcPr>
            <w:tcW w:w="1890" w:type="dxa"/>
            <w:vAlign w:val="bottom"/>
          </w:tcPr>
          <w:p w14:paraId="72C1CCCB" w14:textId="21365B93" w:rsidR="00045710" w:rsidRPr="009D2026" w:rsidRDefault="00045710" w:rsidP="003D1FBF">
            <w:pPr>
              <w:jc w:val="center"/>
              <w:rPr>
                <w:sz w:val="16"/>
                <w:szCs w:val="16"/>
              </w:rPr>
            </w:pPr>
            <w:r w:rsidRPr="009D2026">
              <w:rPr>
                <w:sz w:val="16"/>
                <w:szCs w:val="16"/>
              </w:rPr>
              <w:t>-0.001</w:t>
            </w:r>
          </w:p>
        </w:tc>
        <w:tc>
          <w:tcPr>
            <w:tcW w:w="2340" w:type="dxa"/>
            <w:vAlign w:val="bottom"/>
          </w:tcPr>
          <w:p w14:paraId="0FDA6ACE" w14:textId="0F9AA11D" w:rsidR="00045710" w:rsidRPr="009D2026" w:rsidRDefault="00045710" w:rsidP="003D1FBF">
            <w:pPr>
              <w:jc w:val="center"/>
              <w:rPr>
                <w:sz w:val="16"/>
                <w:szCs w:val="16"/>
              </w:rPr>
            </w:pPr>
            <w:r w:rsidRPr="009D2026">
              <w:rPr>
                <w:sz w:val="16"/>
                <w:szCs w:val="16"/>
              </w:rPr>
              <w:t>-0.002***</w:t>
            </w:r>
          </w:p>
        </w:tc>
        <w:tc>
          <w:tcPr>
            <w:tcW w:w="1853" w:type="dxa"/>
            <w:vAlign w:val="bottom"/>
          </w:tcPr>
          <w:p w14:paraId="49401968" w14:textId="4761BBFE" w:rsidR="00045710" w:rsidRPr="009D2026" w:rsidRDefault="00045710" w:rsidP="003D1FBF">
            <w:pPr>
              <w:jc w:val="center"/>
              <w:rPr>
                <w:sz w:val="16"/>
                <w:szCs w:val="16"/>
              </w:rPr>
            </w:pPr>
            <w:r w:rsidRPr="009D2026">
              <w:rPr>
                <w:sz w:val="16"/>
                <w:szCs w:val="16"/>
              </w:rPr>
              <w:t>0.001</w:t>
            </w:r>
          </w:p>
        </w:tc>
        <w:tc>
          <w:tcPr>
            <w:tcW w:w="1853" w:type="dxa"/>
            <w:vAlign w:val="bottom"/>
          </w:tcPr>
          <w:p w14:paraId="3B1B89F1" w14:textId="5F80DC0E" w:rsidR="00045710" w:rsidRPr="009D2026" w:rsidRDefault="00045710" w:rsidP="003D1FBF">
            <w:pPr>
              <w:jc w:val="center"/>
              <w:rPr>
                <w:sz w:val="16"/>
                <w:szCs w:val="16"/>
              </w:rPr>
            </w:pPr>
            <w:r w:rsidRPr="009D2026">
              <w:rPr>
                <w:sz w:val="16"/>
                <w:szCs w:val="16"/>
              </w:rPr>
              <w:t>0.001</w:t>
            </w:r>
          </w:p>
        </w:tc>
        <w:tc>
          <w:tcPr>
            <w:tcW w:w="2234" w:type="dxa"/>
            <w:vAlign w:val="bottom"/>
          </w:tcPr>
          <w:p w14:paraId="2A87B041" w14:textId="5F981F9D" w:rsidR="00045710" w:rsidRPr="009D2026" w:rsidRDefault="00045710" w:rsidP="003D1FBF">
            <w:pPr>
              <w:jc w:val="center"/>
              <w:rPr>
                <w:sz w:val="16"/>
                <w:szCs w:val="16"/>
              </w:rPr>
            </w:pPr>
            <w:r w:rsidRPr="009D2026">
              <w:rPr>
                <w:sz w:val="16"/>
                <w:szCs w:val="16"/>
              </w:rPr>
              <w:t>0.004**</w:t>
            </w:r>
          </w:p>
        </w:tc>
        <w:tc>
          <w:tcPr>
            <w:tcW w:w="1859" w:type="dxa"/>
            <w:vAlign w:val="bottom"/>
          </w:tcPr>
          <w:p w14:paraId="32816EF4" w14:textId="28CB5B53" w:rsidR="00045710" w:rsidRPr="009D2026" w:rsidRDefault="00045710" w:rsidP="003D1FBF">
            <w:pPr>
              <w:jc w:val="center"/>
              <w:rPr>
                <w:sz w:val="16"/>
                <w:szCs w:val="16"/>
              </w:rPr>
            </w:pPr>
            <w:r w:rsidRPr="009D2026">
              <w:rPr>
                <w:sz w:val="16"/>
                <w:szCs w:val="16"/>
              </w:rPr>
              <w:t>0.001***</w:t>
            </w:r>
          </w:p>
        </w:tc>
      </w:tr>
      <w:tr w:rsidR="00045710" w:rsidRPr="00600F5E" w14:paraId="0802A844" w14:textId="77777777" w:rsidTr="009D2026">
        <w:trPr>
          <w:gridAfter w:val="1"/>
          <w:wAfter w:w="9" w:type="dxa"/>
        </w:trPr>
        <w:tc>
          <w:tcPr>
            <w:tcW w:w="1800" w:type="dxa"/>
          </w:tcPr>
          <w:p w14:paraId="2F0708BB" w14:textId="77777777" w:rsidR="00045710" w:rsidRPr="009D2026" w:rsidRDefault="00045710" w:rsidP="003D1FBF">
            <w:pPr>
              <w:rPr>
                <w:sz w:val="16"/>
                <w:szCs w:val="16"/>
              </w:rPr>
            </w:pPr>
          </w:p>
        </w:tc>
        <w:tc>
          <w:tcPr>
            <w:tcW w:w="1890" w:type="dxa"/>
            <w:vAlign w:val="bottom"/>
          </w:tcPr>
          <w:p w14:paraId="3BE6AE4C" w14:textId="39EDFB45" w:rsidR="00045710" w:rsidRPr="009D2026" w:rsidRDefault="00045710" w:rsidP="003D1FBF">
            <w:pPr>
              <w:jc w:val="center"/>
              <w:rPr>
                <w:sz w:val="16"/>
                <w:szCs w:val="16"/>
              </w:rPr>
            </w:pPr>
            <w:r w:rsidRPr="009D2026">
              <w:rPr>
                <w:sz w:val="16"/>
                <w:szCs w:val="16"/>
              </w:rPr>
              <w:t>(-0.95)</w:t>
            </w:r>
          </w:p>
        </w:tc>
        <w:tc>
          <w:tcPr>
            <w:tcW w:w="2340" w:type="dxa"/>
            <w:vAlign w:val="bottom"/>
          </w:tcPr>
          <w:p w14:paraId="1BB98014" w14:textId="3A239EAA" w:rsidR="00045710" w:rsidRPr="009D2026" w:rsidRDefault="00045710" w:rsidP="003D1FBF">
            <w:pPr>
              <w:jc w:val="center"/>
              <w:rPr>
                <w:sz w:val="16"/>
                <w:szCs w:val="16"/>
              </w:rPr>
            </w:pPr>
            <w:r w:rsidRPr="009D2026">
              <w:rPr>
                <w:sz w:val="16"/>
                <w:szCs w:val="16"/>
              </w:rPr>
              <w:t>(-2.77)</w:t>
            </w:r>
          </w:p>
        </w:tc>
        <w:tc>
          <w:tcPr>
            <w:tcW w:w="1853" w:type="dxa"/>
            <w:vAlign w:val="bottom"/>
          </w:tcPr>
          <w:p w14:paraId="36732E9F" w14:textId="0B75D73E" w:rsidR="00045710" w:rsidRPr="009D2026" w:rsidRDefault="00045710" w:rsidP="003D1FBF">
            <w:pPr>
              <w:jc w:val="center"/>
              <w:rPr>
                <w:sz w:val="16"/>
                <w:szCs w:val="16"/>
              </w:rPr>
            </w:pPr>
            <w:r w:rsidRPr="009D2026">
              <w:rPr>
                <w:sz w:val="16"/>
                <w:szCs w:val="16"/>
              </w:rPr>
              <w:t>(0.07)</w:t>
            </w:r>
          </w:p>
        </w:tc>
        <w:tc>
          <w:tcPr>
            <w:tcW w:w="1853" w:type="dxa"/>
            <w:vAlign w:val="bottom"/>
          </w:tcPr>
          <w:p w14:paraId="7BD05BCE" w14:textId="6D86F267" w:rsidR="00045710" w:rsidRPr="009D2026" w:rsidRDefault="00045710" w:rsidP="003D1FBF">
            <w:pPr>
              <w:jc w:val="center"/>
              <w:rPr>
                <w:sz w:val="16"/>
                <w:szCs w:val="16"/>
              </w:rPr>
            </w:pPr>
            <w:r w:rsidRPr="009D2026">
              <w:rPr>
                <w:sz w:val="16"/>
                <w:szCs w:val="16"/>
              </w:rPr>
              <w:t>(1.05)</w:t>
            </w:r>
          </w:p>
        </w:tc>
        <w:tc>
          <w:tcPr>
            <w:tcW w:w="2234" w:type="dxa"/>
            <w:vAlign w:val="bottom"/>
          </w:tcPr>
          <w:p w14:paraId="035EEA12" w14:textId="6A01ACA3" w:rsidR="00045710" w:rsidRPr="009D2026" w:rsidRDefault="00045710" w:rsidP="003D1FBF">
            <w:pPr>
              <w:jc w:val="center"/>
              <w:rPr>
                <w:sz w:val="16"/>
                <w:szCs w:val="16"/>
              </w:rPr>
            </w:pPr>
            <w:r w:rsidRPr="009D2026">
              <w:rPr>
                <w:sz w:val="16"/>
                <w:szCs w:val="16"/>
              </w:rPr>
              <w:t>(2.24)</w:t>
            </w:r>
          </w:p>
        </w:tc>
        <w:tc>
          <w:tcPr>
            <w:tcW w:w="1859" w:type="dxa"/>
            <w:vAlign w:val="bottom"/>
          </w:tcPr>
          <w:p w14:paraId="6B466E4E" w14:textId="1C7B3E05" w:rsidR="00045710" w:rsidRPr="009D2026" w:rsidRDefault="00045710" w:rsidP="003D1FBF">
            <w:pPr>
              <w:jc w:val="center"/>
              <w:rPr>
                <w:sz w:val="16"/>
                <w:szCs w:val="16"/>
              </w:rPr>
            </w:pPr>
            <w:r w:rsidRPr="009D2026">
              <w:rPr>
                <w:sz w:val="16"/>
                <w:szCs w:val="16"/>
              </w:rPr>
              <w:t>(3.08)</w:t>
            </w:r>
          </w:p>
        </w:tc>
      </w:tr>
      <w:tr w:rsidR="00045710" w:rsidRPr="00600F5E" w14:paraId="18CBFD0F" w14:textId="77777777" w:rsidTr="009D2026">
        <w:trPr>
          <w:gridAfter w:val="1"/>
          <w:wAfter w:w="9" w:type="dxa"/>
        </w:trPr>
        <w:tc>
          <w:tcPr>
            <w:tcW w:w="1800" w:type="dxa"/>
          </w:tcPr>
          <w:p w14:paraId="209917FC" w14:textId="34F113B4" w:rsidR="00045710" w:rsidRPr="009D2026" w:rsidRDefault="00045710" w:rsidP="003D1FBF">
            <w:pPr>
              <w:rPr>
                <w:sz w:val="16"/>
                <w:szCs w:val="16"/>
              </w:rPr>
            </w:pPr>
            <w:r w:rsidRPr="009D2026">
              <w:rPr>
                <w:sz w:val="16"/>
                <w:szCs w:val="16"/>
              </w:rPr>
              <w:t>Firm age</w:t>
            </w:r>
          </w:p>
        </w:tc>
        <w:tc>
          <w:tcPr>
            <w:tcW w:w="1890" w:type="dxa"/>
            <w:vAlign w:val="bottom"/>
          </w:tcPr>
          <w:p w14:paraId="2C39DADE" w14:textId="57695301" w:rsidR="00045710" w:rsidRPr="009D2026" w:rsidRDefault="00045710" w:rsidP="003D1FBF">
            <w:pPr>
              <w:jc w:val="center"/>
              <w:rPr>
                <w:sz w:val="16"/>
                <w:szCs w:val="16"/>
              </w:rPr>
            </w:pPr>
            <w:r w:rsidRPr="009D2026">
              <w:rPr>
                <w:sz w:val="16"/>
                <w:szCs w:val="16"/>
              </w:rPr>
              <w:t>-0.004</w:t>
            </w:r>
          </w:p>
        </w:tc>
        <w:tc>
          <w:tcPr>
            <w:tcW w:w="2340" w:type="dxa"/>
            <w:vAlign w:val="bottom"/>
          </w:tcPr>
          <w:p w14:paraId="428E3297" w14:textId="038AC464" w:rsidR="00045710" w:rsidRPr="009D2026" w:rsidRDefault="00045710" w:rsidP="003D1FBF">
            <w:pPr>
              <w:jc w:val="center"/>
              <w:rPr>
                <w:sz w:val="16"/>
                <w:szCs w:val="16"/>
              </w:rPr>
            </w:pPr>
            <w:r w:rsidRPr="009D2026">
              <w:rPr>
                <w:sz w:val="16"/>
                <w:szCs w:val="16"/>
              </w:rPr>
              <w:t>-0.001</w:t>
            </w:r>
          </w:p>
        </w:tc>
        <w:tc>
          <w:tcPr>
            <w:tcW w:w="1853" w:type="dxa"/>
            <w:vAlign w:val="bottom"/>
          </w:tcPr>
          <w:p w14:paraId="6437B0AE" w14:textId="42CF2271" w:rsidR="00045710" w:rsidRPr="009D2026" w:rsidRDefault="00045710" w:rsidP="003D1FBF">
            <w:pPr>
              <w:jc w:val="center"/>
              <w:rPr>
                <w:sz w:val="16"/>
                <w:szCs w:val="16"/>
              </w:rPr>
            </w:pPr>
            <w:r w:rsidRPr="009D2026">
              <w:rPr>
                <w:sz w:val="16"/>
                <w:szCs w:val="16"/>
              </w:rPr>
              <w:t>0.006</w:t>
            </w:r>
          </w:p>
        </w:tc>
        <w:tc>
          <w:tcPr>
            <w:tcW w:w="1853" w:type="dxa"/>
            <w:vAlign w:val="bottom"/>
          </w:tcPr>
          <w:p w14:paraId="4781FDA5" w14:textId="6D0E5A24" w:rsidR="00045710" w:rsidRPr="009D2026" w:rsidRDefault="00045710" w:rsidP="003D1FBF">
            <w:pPr>
              <w:jc w:val="center"/>
              <w:rPr>
                <w:sz w:val="16"/>
                <w:szCs w:val="16"/>
              </w:rPr>
            </w:pPr>
            <w:r w:rsidRPr="009D2026">
              <w:rPr>
                <w:sz w:val="16"/>
                <w:szCs w:val="16"/>
              </w:rPr>
              <w:t>-0.003</w:t>
            </w:r>
          </w:p>
        </w:tc>
        <w:tc>
          <w:tcPr>
            <w:tcW w:w="2234" w:type="dxa"/>
            <w:vAlign w:val="bottom"/>
          </w:tcPr>
          <w:p w14:paraId="60EC7523" w14:textId="5D48EAEA" w:rsidR="00045710" w:rsidRPr="009D2026" w:rsidRDefault="00045710" w:rsidP="003D1FBF">
            <w:pPr>
              <w:jc w:val="center"/>
              <w:rPr>
                <w:sz w:val="16"/>
                <w:szCs w:val="16"/>
              </w:rPr>
            </w:pPr>
            <w:r w:rsidRPr="009D2026">
              <w:rPr>
                <w:sz w:val="16"/>
                <w:szCs w:val="16"/>
              </w:rPr>
              <w:t>0.004</w:t>
            </w:r>
          </w:p>
        </w:tc>
        <w:tc>
          <w:tcPr>
            <w:tcW w:w="1859" w:type="dxa"/>
            <w:vAlign w:val="bottom"/>
          </w:tcPr>
          <w:p w14:paraId="6A56A384" w14:textId="3F070881" w:rsidR="00045710" w:rsidRPr="009D2026" w:rsidRDefault="00045710" w:rsidP="003D1FBF">
            <w:pPr>
              <w:jc w:val="center"/>
              <w:rPr>
                <w:sz w:val="16"/>
                <w:szCs w:val="16"/>
              </w:rPr>
            </w:pPr>
            <w:r w:rsidRPr="009D2026">
              <w:rPr>
                <w:sz w:val="16"/>
                <w:szCs w:val="16"/>
              </w:rPr>
              <w:t>0.003</w:t>
            </w:r>
          </w:p>
        </w:tc>
      </w:tr>
      <w:tr w:rsidR="00045710" w:rsidRPr="00600F5E" w14:paraId="6CD4317B" w14:textId="77777777" w:rsidTr="009D2026">
        <w:trPr>
          <w:gridAfter w:val="1"/>
          <w:wAfter w:w="9" w:type="dxa"/>
        </w:trPr>
        <w:tc>
          <w:tcPr>
            <w:tcW w:w="1800" w:type="dxa"/>
          </w:tcPr>
          <w:p w14:paraId="299993C5" w14:textId="77777777" w:rsidR="00045710" w:rsidRPr="009D2026" w:rsidRDefault="00045710" w:rsidP="003D1FBF">
            <w:pPr>
              <w:rPr>
                <w:sz w:val="16"/>
                <w:szCs w:val="16"/>
              </w:rPr>
            </w:pPr>
          </w:p>
        </w:tc>
        <w:tc>
          <w:tcPr>
            <w:tcW w:w="1890" w:type="dxa"/>
            <w:vAlign w:val="bottom"/>
          </w:tcPr>
          <w:p w14:paraId="03C6BB18" w14:textId="2E0BC476" w:rsidR="00045710" w:rsidRPr="009D2026" w:rsidRDefault="00045710" w:rsidP="003D1FBF">
            <w:pPr>
              <w:jc w:val="center"/>
              <w:rPr>
                <w:sz w:val="16"/>
                <w:szCs w:val="16"/>
              </w:rPr>
            </w:pPr>
            <w:r w:rsidRPr="009D2026">
              <w:rPr>
                <w:sz w:val="16"/>
                <w:szCs w:val="16"/>
              </w:rPr>
              <w:t>(-0.61)</w:t>
            </w:r>
          </w:p>
        </w:tc>
        <w:tc>
          <w:tcPr>
            <w:tcW w:w="2340" w:type="dxa"/>
            <w:vAlign w:val="bottom"/>
          </w:tcPr>
          <w:p w14:paraId="7A0448FA" w14:textId="7D9CE1A1" w:rsidR="00045710" w:rsidRPr="009D2026" w:rsidRDefault="00045710" w:rsidP="003D1FBF">
            <w:pPr>
              <w:jc w:val="center"/>
              <w:rPr>
                <w:sz w:val="16"/>
                <w:szCs w:val="16"/>
              </w:rPr>
            </w:pPr>
            <w:r w:rsidRPr="009D2026">
              <w:rPr>
                <w:sz w:val="16"/>
                <w:szCs w:val="16"/>
              </w:rPr>
              <w:t>(-0.24)</w:t>
            </w:r>
          </w:p>
        </w:tc>
        <w:tc>
          <w:tcPr>
            <w:tcW w:w="1853" w:type="dxa"/>
            <w:vAlign w:val="bottom"/>
          </w:tcPr>
          <w:p w14:paraId="1170A70B" w14:textId="1F691661" w:rsidR="00045710" w:rsidRPr="009D2026" w:rsidRDefault="00045710" w:rsidP="003D1FBF">
            <w:pPr>
              <w:jc w:val="center"/>
              <w:rPr>
                <w:sz w:val="16"/>
                <w:szCs w:val="16"/>
              </w:rPr>
            </w:pPr>
            <w:r w:rsidRPr="009D2026">
              <w:rPr>
                <w:sz w:val="16"/>
                <w:szCs w:val="16"/>
              </w:rPr>
              <w:t>(1.32)</w:t>
            </w:r>
          </w:p>
        </w:tc>
        <w:tc>
          <w:tcPr>
            <w:tcW w:w="1853" w:type="dxa"/>
            <w:vAlign w:val="bottom"/>
          </w:tcPr>
          <w:p w14:paraId="29C50D2A" w14:textId="5AA519AD" w:rsidR="00045710" w:rsidRPr="009D2026" w:rsidRDefault="00045710" w:rsidP="003D1FBF">
            <w:pPr>
              <w:jc w:val="center"/>
              <w:rPr>
                <w:sz w:val="16"/>
                <w:szCs w:val="16"/>
              </w:rPr>
            </w:pPr>
            <w:r w:rsidRPr="009D2026">
              <w:rPr>
                <w:sz w:val="16"/>
                <w:szCs w:val="16"/>
              </w:rPr>
              <w:t>(-1.29)</w:t>
            </w:r>
          </w:p>
        </w:tc>
        <w:tc>
          <w:tcPr>
            <w:tcW w:w="2234" w:type="dxa"/>
            <w:vAlign w:val="bottom"/>
          </w:tcPr>
          <w:p w14:paraId="0796D8A1" w14:textId="5168FCF5" w:rsidR="00045710" w:rsidRPr="009D2026" w:rsidRDefault="00045710" w:rsidP="003D1FBF">
            <w:pPr>
              <w:jc w:val="center"/>
              <w:rPr>
                <w:sz w:val="16"/>
                <w:szCs w:val="16"/>
              </w:rPr>
            </w:pPr>
            <w:r w:rsidRPr="009D2026">
              <w:rPr>
                <w:sz w:val="16"/>
                <w:szCs w:val="16"/>
              </w:rPr>
              <w:t>(0.56)</w:t>
            </w:r>
          </w:p>
        </w:tc>
        <w:tc>
          <w:tcPr>
            <w:tcW w:w="1859" w:type="dxa"/>
            <w:vAlign w:val="bottom"/>
          </w:tcPr>
          <w:p w14:paraId="41016032" w14:textId="0BDE09AB" w:rsidR="00045710" w:rsidRPr="009D2026" w:rsidRDefault="00045710" w:rsidP="003D1FBF">
            <w:pPr>
              <w:jc w:val="center"/>
              <w:rPr>
                <w:sz w:val="16"/>
                <w:szCs w:val="16"/>
              </w:rPr>
            </w:pPr>
            <w:r w:rsidRPr="009D2026">
              <w:rPr>
                <w:sz w:val="16"/>
                <w:szCs w:val="16"/>
              </w:rPr>
              <w:t>(1.42)</w:t>
            </w:r>
          </w:p>
        </w:tc>
      </w:tr>
      <w:tr w:rsidR="00045710" w:rsidRPr="00600F5E" w14:paraId="49CCE869" w14:textId="77777777" w:rsidTr="009D2026">
        <w:trPr>
          <w:gridAfter w:val="1"/>
          <w:wAfter w:w="9" w:type="dxa"/>
        </w:trPr>
        <w:tc>
          <w:tcPr>
            <w:tcW w:w="1800" w:type="dxa"/>
          </w:tcPr>
          <w:p w14:paraId="399E7CCC" w14:textId="1F8DB776" w:rsidR="00045710" w:rsidRPr="009D2026" w:rsidRDefault="00045710" w:rsidP="003D1FBF">
            <w:pPr>
              <w:rPr>
                <w:sz w:val="16"/>
                <w:szCs w:val="16"/>
              </w:rPr>
            </w:pPr>
            <w:r w:rsidRPr="009D2026">
              <w:rPr>
                <w:sz w:val="16"/>
                <w:szCs w:val="16"/>
              </w:rPr>
              <w:t>Segments</w:t>
            </w:r>
          </w:p>
        </w:tc>
        <w:tc>
          <w:tcPr>
            <w:tcW w:w="1890" w:type="dxa"/>
            <w:vAlign w:val="bottom"/>
          </w:tcPr>
          <w:p w14:paraId="102674BB" w14:textId="0D01E43A" w:rsidR="00045710" w:rsidRPr="009D2026" w:rsidRDefault="00045710" w:rsidP="003D1FBF">
            <w:pPr>
              <w:jc w:val="center"/>
              <w:rPr>
                <w:sz w:val="16"/>
                <w:szCs w:val="16"/>
              </w:rPr>
            </w:pPr>
            <w:r w:rsidRPr="009D2026">
              <w:rPr>
                <w:sz w:val="16"/>
                <w:szCs w:val="16"/>
              </w:rPr>
              <w:t>0.045</w:t>
            </w:r>
          </w:p>
        </w:tc>
        <w:tc>
          <w:tcPr>
            <w:tcW w:w="2340" w:type="dxa"/>
            <w:vAlign w:val="bottom"/>
          </w:tcPr>
          <w:p w14:paraId="2E58DC83" w14:textId="0688CB43" w:rsidR="00045710" w:rsidRPr="009D2026" w:rsidRDefault="00045710" w:rsidP="003D1FBF">
            <w:pPr>
              <w:jc w:val="center"/>
              <w:rPr>
                <w:sz w:val="16"/>
                <w:szCs w:val="16"/>
              </w:rPr>
            </w:pPr>
            <w:r w:rsidRPr="009D2026">
              <w:rPr>
                <w:sz w:val="16"/>
                <w:szCs w:val="16"/>
              </w:rPr>
              <w:t>0.036</w:t>
            </w:r>
          </w:p>
        </w:tc>
        <w:tc>
          <w:tcPr>
            <w:tcW w:w="1853" w:type="dxa"/>
            <w:vAlign w:val="bottom"/>
          </w:tcPr>
          <w:p w14:paraId="2210585F" w14:textId="1D8C4C1A" w:rsidR="00045710" w:rsidRPr="009D2026" w:rsidRDefault="00045710" w:rsidP="003D1FBF">
            <w:pPr>
              <w:jc w:val="center"/>
              <w:rPr>
                <w:sz w:val="16"/>
                <w:szCs w:val="16"/>
              </w:rPr>
            </w:pPr>
            <w:r w:rsidRPr="009D2026">
              <w:rPr>
                <w:sz w:val="16"/>
                <w:szCs w:val="16"/>
              </w:rPr>
              <w:t>0.096</w:t>
            </w:r>
          </w:p>
        </w:tc>
        <w:tc>
          <w:tcPr>
            <w:tcW w:w="1853" w:type="dxa"/>
            <w:vAlign w:val="bottom"/>
          </w:tcPr>
          <w:p w14:paraId="681AF2A0" w14:textId="0AD6F2C5" w:rsidR="00045710" w:rsidRPr="009D2026" w:rsidRDefault="00045710" w:rsidP="003D1FBF">
            <w:pPr>
              <w:jc w:val="center"/>
              <w:rPr>
                <w:sz w:val="16"/>
                <w:szCs w:val="16"/>
              </w:rPr>
            </w:pPr>
            <w:r w:rsidRPr="009D2026">
              <w:rPr>
                <w:sz w:val="16"/>
                <w:szCs w:val="16"/>
              </w:rPr>
              <w:t>-0.023</w:t>
            </w:r>
          </w:p>
        </w:tc>
        <w:tc>
          <w:tcPr>
            <w:tcW w:w="2234" w:type="dxa"/>
            <w:vAlign w:val="bottom"/>
          </w:tcPr>
          <w:p w14:paraId="6CDAD437" w14:textId="43BD16B3" w:rsidR="00045710" w:rsidRPr="009D2026" w:rsidRDefault="00045710" w:rsidP="003D1FBF">
            <w:pPr>
              <w:jc w:val="center"/>
              <w:rPr>
                <w:sz w:val="16"/>
                <w:szCs w:val="16"/>
              </w:rPr>
            </w:pPr>
            <w:r w:rsidRPr="009D2026">
              <w:rPr>
                <w:sz w:val="16"/>
                <w:szCs w:val="16"/>
              </w:rPr>
              <w:t>-0.107</w:t>
            </w:r>
          </w:p>
        </w:tc>
        <w:tc>
          <w:tcPr>
            <w:tcW w:w="1859" w:type="dxa"/>
            <w:vAlign w:val="bottom"/>
          </w:tcPr>
          <w:p w14:paraId="220C37FF" w14:textId="60259F90" w:rsidR="00045710" w:rsidRPr="009D2026" w:rsidRDefault="00045710" w:rsidP="003D1FBF">
            <w:pPr>
              <w:jc w:val="center"/>
              <w:rPr>
                <w:sz w:val="16"/>
                <w:szCs w:val="16"/>
              </w:rPr>
            </w:pPr>
            <w:r w:rsidRPr="009D2026">
              <w:rPr>
                <w:sz w:val="16"/>
                <w:szCs w:val="16"/>
              </w:rPr>
              <w:t>-0.003</w:t>
            </w:r>
          </w:p>
        </w:tc>
      </w:tr>
      <w:tr w:rsidR="00045710" w:rsidRPr="00600F5E" w14:paraId="023FADFD" w14:textId="77777777" w:rsidTr="009D2026">
        <w:trPr>
          <w:gridAfter w:val="1"/>
          <w:wAfter w:w="9" w:type="dxa"/>
        </w:trPr>
        <w:tc>
          <w:tcPr>
            <w:tcW w:w="1800" w:type="dxa"/>
          </w:tcPr>
          <w:p w14:paraId="07C80105" w14:textId="77777777" w:rsidR="00045710" w:rsidRPr="009D2026" w:rsidRDefault="00045710" w:rsidP="003D1FBF">
            <w:pPr>
              <w:rPr>
                <w:sz w:val="16"/>
                <w:szCs w:val="16"/>
              </w:rPr>
            </w:pPr>
          </w:p>
        </w:tc>
        <w:tc>
          <w:tcPr>
            <w:tcW w:w="1890" w:type="dxa"/>
            <w:vAlign w:val="bottom"/>
          </w:tcPr>
          <w:p w14:paraId="1EDBD730" w14:textId="57CB564E" w:rsidR="00045710" w:rsidRPr="009D2026" w:rsidRDefault="00045710" w:rsidP="003D1FBF">
            <w:pPr>
              <w:jc w:val="center"/>
              <w:rPr>
                <w:sz w:val="16"/>
                <w:szCs w:val="16"/>
              </w:rPr>
            </w:pPr>
            <w:r w:rsidRPr="009D2026">
              <w:rPr>
                <w:sz w:val="16"/>
                <w:szCs w:val="16"/>
              </w:rPr>
              <w:t>(0.93)</w:t>
            </w:r>
          </w:p>
        </w:tc>
        <w:tc>
          <w:tcPr>
            <w:tcW w:w="2340" w:type="dxa"/>
            <w:vAlign w:val="bottom"/>
          </w:tcPr>
          <w:p w14:paraId="72DB1304" w14:textId="48EA80DD" w:rsidR="00045710" w:rsidRPr="009D2026" w:rsidRDefault="00045710" w:rsidP="003D1FBF">
            <w:pPr>
              <w:jc w:val="center"/>
              <w:rPr>
                <w:sz w:val="16"/>
                <w:szCs w:val="16"/>
              </w:rPr>
            </w:pPr>
            <w:r w:rsidRPr="009D2026">
              <w:rPr>
                <w:sz w:val="16"/>
                <w:szCs w:val="16"/>
              </w:rPr>
              <w:t>(0.35)</w:t>
            </w:r>
          </w:p>
        </w:tc>
        <w:tc>
          <w:tcPr>
            <w:tcW w:w="1853" w:type="dxa"/>
            <w:vAlign w:val="bottom"/>
          </w:tcPr>
          <w:p w14:paraId="597584B3" w14:textId="2A503226" w:rsidR="00045710" w:rsidRPr="009D2026" w:rsidRDefault="00045710" w:rsidP="003D1FBF">
            <w:pPr>
              <w:jc w:val="center"/>
              <w:rPr>
                <w:sz w:val="16"/>
                <w:szCs w:val="16"/>
              </w:rPr>
            </w:pPr>
            <w:r w:rsidRPr="009D2026">
              <w:rPr>
                <w:sz w:val="16"/>
                <w:szCs w:val="16"/>
              </w:rPr>
              <w:t>(1.07)</w:t>
            </w:r>
          </w:p>
        </w:tc>
        <w:tc>
          <w:tcPr>
            <w:tcW w:w="1853" w:type="dxa"/>
            <w:vAlign w:val="bottom"/>
          </w:tcPr>
          <w:p w14:paraId="0C70B7CC" w14:textId="732C18C6" w:rsidR="00045710" w:rsidRPr="009D2026" w:rsidRDefault="00045710" w:rsidP="003D1FBF">
            <w:pPr>
              <w:jc w:val="center"/>
              <w:rPr>
                <w:sz w:val="16"/>
                <w:szCs w:val="16"/>
              </w:rPr>
            </w:pPr>
            <w:r w:rsidRPr="009D2026">
              <w:rPr>
                <w:sz w:val="16"/>
                <w:szCs w:val="16"/>
              </w:rPr>
              <w:t>(-0.81)</w:t>
            </w:r>
          </w:p>
        </w:tc>
        <w:tc>
          <w:tcPr>
            <w:tcW w:w="2234" w:type="dxa"/>
            <w:vAlign w:val="bottom"/>
          </w:tcPr>
          <w:p w14:paraId="5B47CEBF" w14:textId="481CA6BF" w:rsidR="00045710" w:rsidRPr="009D2026" w:rsidRDefault="00045710" w:rsidP="003D1FBF">
            <w:pPr>
              <w:jc w:val="center"/>
              <w:rPr>
                <w:sz w:val="16"/>
                <w:szCs w:val="16"/>
              </w:rPr>
            </w:pPr>
            <w:r w:rsidRPr="009D2026">
              <w:rPr>
                <w:sz w:val="16"/>
                <w:szCs w:val="16"/>
              </w:rPr>
              <w:t>(-0.73)</w:t>
            </w:r>
          </w:p>
        </w:tc>
        <w:tc>
          <w:tcPr>
            <w:tcW w:w="1859" w:type="dxa"/>
            <w:vAlign w:val="bottom"/>
          </w:tcPr>
          <w:p w14:paraId="6CD353B8" w14:textId="395D5A89" w:rsidR="00045710" w:rsidRPr="009D2026" w:rsidRDefault="00045710" w:rsidP="003D1FBF">
            <w:pPr>
              <w:jc w:val="center"/>
              <w:rPr>
                <w:sz w:val="16"/>
                <w:szCs w:val="16"/>
              </w:rPr>
            </w:pPr>
            <w:r w:rsidRPr="009D2026">
              <w:rPr>
                <w:sz w:val="16"/>
                <w:szCs w:val="16"/>
              </w:rPr>
              <w:t>(-0.1</w:t>
            </w:r>
            <w:r w:rsidR="0067156D" w:rsidRPr="009D2026">
              <w:rPr>
                <w:sz w:val="16"/>
                <w:szCs w:val="16"/>
              </w:rPr>
              <w:t>0</w:t>
            </w:r>
            <w:r w:rsidRPr="009D2026">
              <w:rPr>
                <w:sz w:val="16"/>
                <w:szCs w:val="16"/>
              </w:rPr>
              <w:t>)</w:t>
            </w:r>
          </w:p>
        </w:tc>
      </w:tr>
      <w:tr w:rsidR="00045710" w:rsidRPr="00600F5E" w14:paraId="00A507FD" w14:textId="77777777" w:rsidTr="009D2026">
        <w:trPr>
          <w:gridAfter w:val="1"/>
          <w:wAfter w:w="9" w:type="dxa"/>
        </w:trPr>
        <w:tc>
          <w:tcPr>
            <w:tcW w:w="1800" w:type="dxa"/>
          </w:tcPr>
          <w:p w14:paraId="559A0DA4" w14:textId="1AC3DFE5" w:rsidR="00045710" w:rsidRPr="009D2026" w:rsidRDefault="00045710" w:rsidP="003D1FBF">
            <w:pPr>
              <w:rPr>
                <w:sz w:val="16"/>
                <w:szCs w:val="16"/>
              </w:rPr>
            </w:pPr>
            <w:r w:rsidRPr="009D2026">
              <w:rPr>
                <w:sz w:val="16"/>
                <w:szCs w:val="16"/>
              </w:rPr>
              <w:t>Z-score</w:t>
            </w:r>
          </w:p>
        </w:tc>
        <w:tc>
          <w:tcPr>
            <w:tcW w:w="1890" w:type="dxa"/>
            <w:vAlign w:val="bottom"/>
          </w:tcPr>
          <w:p w14:paraId="120A2DD7" w14:textId="4F9B2CA3" w:rsidR="00045710" w:rsidRPr="009D2026" w:rsidRDefault="00045710" w:rsidP="003D1FBF">
            <w:pPr>
              <w:jc w:val="center"/>
              <w:rPr>
                <w:sz w:val="16"/>
                <w:szCs w:val="16"/>
              </w:rPr>
            </w:pPr>
            <w:r w:rsidRPr="009D2026">
              <w:rPr>
                <w:sz w:val="16"/>
                <w:szCs w:val="16"/>
              </w:rPr>
              <w:t>0.001</w:t>
            </w:r>
          </w:p>
        </w:tc>
        <w:tc>
          <w:tcPr>
            <w:tcW w:w="2340" w:type="dxa"/>
            <w:vAlign w:val="bottom"/>
          </w:tcPr>
          <w:p w14:paraId="2B8D3BBE" w14:textId="675E689D" w:rsidR="00045710" w:rsidRPr="009D2026" w:rsidRDefault="00045710" w:rsidP="003D1FBF">
            <w:pPr>
              <w:jc w:val="center"/>
              <w:rPr>
                <w:sz w:val="16"/>
                <w:szCs w:val="16"/>
              </w:rPr>
            </w:pPr>
            <w:r w:rsidRPr="009D2026">
              <w:rPr>
                <w:sz w:val="16"/>
                <w:szCs w:val="16"/>
              </w:rPr>
              <w:t>0.001</w:t>
            </w:r>
          </w:p>
        </w:tc>
        <w:tc>
          <w:tcPr>
            <w:tcW w:w="1853" w:type="dxa"/>
            <w:vAlign w:val="bottom"/>
          </w:tcPr>
          <w:p w14:paraId="6439A90F" w14:textId="61A0B831" w:rsidR="00045710" w:rsidRPr="009D2026" w:rsidRDefault="00045710" w:rsidP="003D1FBF">
            <w:pPr>
              <w:jc w:val="center"/>
              <w:rPr>
                <w:sz w:val="16"/>
                <w:szCs w:val="16"/>
              </w:rPr>
            </w:pPr>
            <w:r w:rsidRPr="009D2026">
              <w:rPr>
                <w:sz w:val="16"/>
                <w:szCs w:val="16"/>
              </w:rPr>
              <w:t>-0.001*</w:t>
            </w:r>
          </w:p>
        </w:tc>
        <w:tc>
          <w:tcPr>
            <w:tcW w:w="1853" w:type="dxa"/>
            <w:vAlign w:val="bottom"/>
          </w:tcPr>
          <w:p w14:paraId="131797C4" w14:textId="7DBF6062" w:rsidR="00045710" w:rsidRPr="009D2026" w:rsidRDefault="00045710" w:rsidP="003D1FBF">
            <w:pPr>
              <w:jc w:val="center"/>
              <w:rPr>
                <w:sz w:val="16"/>
                <w:szCs w:val="16"/>
              </w:rPr>
            </w:pPr>
            <w:r w:rsidRPr="009D2026">
              <w:rPr>
                <w:sz w:val="16"/>
                <w:szCs w:val="16"/>
              </w:rPr>
              <w:t>0.001</w:t>
            </w:r>
          </w:p>
        </w:tc>
        <w:tc>
          <w:tcPr>
            <w:tcW w:w="2234" w:type="dxa"/>
            <w:vAlign w:val="bottom"/>
          </w:tcPr>
          <w:p w14:paraId="0B260296" w14:textId="0E35BF70" w:rsidR="00045710" w:rsidRPr="009D2026" w:rsidRDefault="00045710" w:rsidP="003D1FBF">
            <w:pPr>
              <w:jc w:val="center"/>
              <w:rPr>
                <w:sz w:val="16"/>
                <w:szCs w:val="16"/>
              </w:rPr>
            </w:pPr>
            <w:r w:rsidRPr="009D2026">
              <w:rPr>
                <w:sz w:val="16"/>
                <w:szCs w:val="16"/>
              </w:rPr>
              <w:t>-0.002</w:t>
            </w:r>
          </w:p>
        </w:tc>
        <w:tc>
          <w:tcPr>
            <w:tcW w:w="1859" w:type="dxa"/>
            <w:vAlign w:val="bottom"/>
          </w:tcPr>
          <w:p w14:paraId="4C3DF9CD" w14:textId="7BBDC9D5" w:rsidR="00045710" w:rsidRPr="009D2026" w:rsidRDefault="00045710" w:rsidP="003D1FBF">
            <w:pPr>
              <w:jc w:val="center"/>
              <w:rPr>
                <w:sz w:val="16"/>
                <w:szCs w:val="16"/>
              </w:rPr>
            </w:pPr>
            <w:r w:rsidRPr="009D2026">
              <w:rPr>
                <w:sz w:val="16"/>
                <w:szCs w:val="16"/>
              </w:rPr>
              <w:t>-0.001</w:t>
            </w:r>
          </w:p>
        </w:tc>
      </w:tr>
      <w:tr w:rsidR="00045710" w:rsidRPr="00600F5E" w14:paraId="7740ED45" w14:textId="77777777" w:rsidTr="009D2026">
        <w:trPr>
          <w:gridAfter w:val="1"/>
          <w:wAfter w:w="9" w:type="dxa"/>
        </w:trPr>
        <w:tc>
          <w:tcPr>
            <w:tcW w:w="1800" w:type="dxa"/>
          </w:tcPr>
          <w:p w14:paraId="6F31EE9A" w14:textId="77777777" w:rsidR="00045710" w:rsidRPr="009D2026" w:rsidRDefault="00045710" w:rsidP="003D1FBF">
            <w:pPr>
              <w:rPr>
                <w:sz w:val="16"/>
                <w:szCs w:val="16"/>
              </w:rPr>
            </w:pPr>
          </w:p>
        </w:tc>
        <w:tc>
          <w:tcPr>
            <w:tcW w:w="1890" w:type="dxa"/>
            <w:vAlign w:val="bottom"/>
          </w:tcPr>
          <w:p w14:paraId="699B6EA6" w14:textId="6788DE52" w:rsidR="00045710" w:rsidRPr="009D2026" w:rsidRDefault="00045710" w:rsidP="003D1FBF">
            <w:pPr>
              <w:jc w:val="center"/>
              <w:rPr>
                <w:sz w:val="16"/>
                <w:szCs w:val="16"/>
              </w:rPr>
            </w:pPr>
            <w:r w:rsidRPr="009D2026">
              <w:rPr>
                <w:sz w:val="16"/>
                <w:szCs w:val="16"/>
              </w:rPr>
              <w:t>(1.54)</w:t>
            </w:r>
          </w:p>
        </w:tc>
        <w:tc>
          <w:tcPr>
            <w:tcW w:w="2340" w:type="dxa"/>
            <w:vAlign w:val="bottom"/>
          </w:tcPr>
          <w:p w14:paraId="0AF0B4F1" w14:textId="2BE03012" w:rsidR="00045710" w:rsidRPr="009D2026" w:rsidRDefault="00045710" w:rsidP="003D1FBF">
            <w:pPr>
              <w:jc w:val="center"/>
              <w:rPr>
                <w:sz w:val="16"/>
                <w:szCs w:val="16"/>
              </w:rPr>
            </w:pPr>
            <w:r w:rsidRPr="009D2026">
              <w:rPr>
                <w:sz w:val="16"/>
                <w:szCs w:val="16"/>
              </w:rPr>
              <w:t>(0.13)</w:t>
            </w:r>
          </w:p>
        </w:tc>
        <w:tc>
          <w:tcPr>
            <w:tcW w:w="1853" w:type="dxa"/>
            <w:vAlign w:val="bottom"/>
          </w:tcPr>
          <w:p w14:paraId="4F5A44D6" w14:textId="6DC70837" w:rsidR="00045710" w:rsidRPr="009D2026" w:rsidRDefault="00045710" w:rsidP="003D1FBF">
            <w:pPr>
              <w:jc w:val="center"/>
              <w:rPr>
                <w:sz w:val="16"/>
                <w:szCs w:val="16"/>
              </w:rPr>
            </w:pPr>
            <w:r w:rsidRPr="009D2026">
              <w:rPr>
                <w:sz w:val="16"/>
                <w:szCs w:val="16"/>
              </w:rPr>
              <w:t>(-1.74)</w:t>
            </w:r>
          </w:p>
        </w:tc>
        <w:tc>
          <w:tcPr>
            <w:tcW w:w="1853" w:type="dxa"/>
            <w:vAlign w:val="bottom"/>
          </w:tcPr>
          <w:p w14:paraId="550FA3ED" w14:textId="31E18491" w:rsidR="00045710" w:rsidRPr="009D2026" w:rsidRDefault="00045710" w:rsidP="003D1FBF">
            <w:pPr>
              <w:jc w:val="center"/>
              <w:rPr>
                <w:sz w:val="16"/>
                <w:szCs w:val="16"/>
              </w:rPr>
            </w:pPr>
            <w:r w:rsidRPr="009D2026">
              <w:rPr>
                <w:sz w:val="16"/>
                <w:szCs w:val="16"/>
              </w:rPr>
              <w:t>(0.73)</w:t>
            </w:r>
          </w:p>
        </w:tc>
        <w:tc>
          <w:tcPr>
            <w:tcW w:w="2234" w:type="dxa"/>
            <w:vAlign w:val="bottom"/>
          </w:tcPr>
          <w:p w14:paraId="5410A14D" w14:textId="3EFDDB31" w:rsidR="00045710" w:rsidRPr="009D2026" w:rsidRDefault="00045710" w:rsidP="003D1FBF">
            <w:pPr>
              <w:jc w:val="center"/>
              <w:rPr>
                <w:sz w:val="16"/>
                <w:szCs w:val="16"/>
              </w:rPr>
            </w:pPr>
            <w:r w:rsidRPr="009D2026">
              <w:rPr>
                <w:sz w:val="16"/>
                <w:szCs w:val="16"/>
              </w:rPr>
              <w:t>(-1.53)</w:t>
            </w:r>
          </w:p>
        </w:tc>
        <w:tc>
          <w:tcPr>
            <w:tcW w:w="1859" w:type="dxa"/>
            <w:vAlign w:val="bottom"/>
          </w:tcPr>
          <w:p w14:paraId="1D08D786" w14:textId="3AF4E172" w:rsidR="00045710" w:rsidRPr="009D2026" w:rsidRDefault="00045710" w:rsidP="003D1FBF">
            <w:pPr>
              <w:jc w:val="center"/>
              <w:rPr>
                <w:sz w:val="16"/>
                <w:szCs w:val="16"/>
              </w:rPr>
            </w:pPr>
            <w:r w:rsidRPr="009D2026">
              <w:rPr>
                <w:sz w:val="16"/>
                <w:szCs w:val="16"/>
              </w:rPr>
              <w:t>(-0.22)</w:t>
            </w:r>
          </w:p>
        </w:tc>
      </w:tr>
      <w:tr w:rsidR="00045710" w:rsidRPr="00600F5E" w14:paraId="35352303" w14:textId="77777777" w:rsidTr="009D2026">
        <w:trPr>
          <w:gridAfter w:val="1"/>
          <w:wAfter w:w="9" w:type="dxa"/>
        </w:trPr>
        <w:tc>
          <w:tcPr>
            <w:tcW w:w="1800" w:type="dxa"/>
          </w:tcPr>
          <w:p w14:paraId="527D4F71" w14:textId="6771063E" w:rsidR="00045710" w:rsidRPr="009D2026" w:rsidRDefault="00045710" w:rsidP="003D1FBF">
            <w:pPr>
              <w:rPr>
                <w:sz w:val="16"/>
                <w:szCs w:val="16"/>
              </w:rPr>
            </w:pPr>
            <w:r w:rsidRPr="009D2026">
              <w:rPr>
                <w:sz w:val="16"/>
                <w:szCs w:val="16"/>
              </w:rPr>
              <w:t>Big 4</w:t>
            </w:r>
          </w:p>
        </w:tc>
        <w:tc>
          <w:tcPr>
            <w:tcW w:w="1890" w:type="dxa"/>
            <w:vAlign w:val="bottom"/>
          </w:tcPr>
          <w:p w14:paraId="2C5D8050" w14:textId="2A05526F" w:rsidR="00045710" w:rsidRPr="009D2026" w:rsidRDefault="00045710" w:rsidP="003D1FBF">
            <w:pPr>
              <w:jc w:val="center"/>
              <w:rPr>
                <w:sz w:val="16"/>
                <w:szCs w:val="16"/>
              </w:rPr>
            </w:pPr>
            <w:r w:rsidRPr="009D2026">
              <w:rPr>
                <w:sz w:val="16"/>
                <w:szCs w:val="16"/>
              </w:rPr>
              <w:t>-0.075</w:t>
            </w:r>
          </w:p>
        </w:tc>
        <w:tc>
          <w:tcPr>
            <w:tcW w:w="2340" w:type="dxa"/>
            <w:vAlign w:val="bottom"/>
          </w:tcPr>
          <w:p w14:paraId="1A105AE0" w14:textId="52A0DEA1" w:rsidR="00045710" w:rsidRPr="009D2026" w:rsidRDefault="00045710" w:rsidP="003D1FBF">
            <w:pPr>
              <w:jc w:val="center"/>
              <w:rPr>
                <w:sz w:val="16"/>
                <w:szCs w:val="16"/>
              </w:rPr>
            </w:pPr>
            <w:r w:rsidRPr="009D2026">
              <w:rPr>
                <w:sz w:val="16"/>
                <w:szCs w:val="16"/>
              </w:rPr>
              <w:t>0.017</w:t>
            </w:r>
          </w:p>
        </w:tc>
        <w:tc>
          <w:tcPr>
            <w:tcW w:w="1853" w:type="dxa"/>
            <w:vAlign w:val="bottom"/>
          </w:tcPr>
          <w:p w14:paraId="007B06BD" w14:textId="434EC380" w:rsidR="00045710" w:rsidRPr="009D2026" w:rsidRDefault="00045710" w:rsidP="003D1FBF">
            <w:pPr>
              <w:jc w:val="center"/>
              <w:rPr>
                <w:sz w:val="16"/>
                <w:szCs w:val="16"/>
              </w:rPr>
            </w:pPr>
            <w:r w:rsidRPr="009D2026">
              <w:rPr>
                <w:sz w:val="16"/>
                <w:szCs w:val="16"/>
              </w:rPr>
              <w:t>0.05</w:t>
            </w:r>
            <w:r w:rsidR="0067156D" w:rsidRPr="009D2026">
              <w:rPr>
                <w:sz w:val="16"/>
                <w:szCs w:val="16"/>
              </w:rPr>
              <w:t>0</w:t>
            </w:r>
          </w:p>
        </w:tc>
        <w:tc>
          <w:tcPr>
            <w:tcW w:w="1853" w:type="dxa"/>
            <w:vAlign w:val="bottom"/>
          </w:tcPr>
          <w:p w14:paraId="0ABE3F74" w14:textId="33A776FC" w:rsidR="00045710" w:rsidRPr="009D2026" w:rsidRDefault="00045710" w:rsidP="003D1FBF">
            <w:pPr>
              <w:jc w:val="center"/>
              <w:rPr>
                <w:sz w:val="16"/>
                <w:szCs w:val="16"/>
              </w:rPr>
            </w:pPr>
            <w:r w:rsidRPr="009D2026">
              <w:rPr>
                <w:sz w:val="16"/>
                <w:szCs w:val="16"/>
              </w:rPr>
              <w:t>0.048</w:t>
            </w:r>
          </w:p>
        </w:tc>
        <w:tc>
          <w:tcPr>
            <w:tcW w:w="2234" w:type="dxa"/>
            <w:vAlign w:val="bottom"/>
          </w:tcPr>
          <w:p w14:paraId="3F9500DC" w14:textId="2BCEC6C9" w:rsidR="00045710" w:rsidRPr="009D2026" w:rsidRDefault="00045710" w:rsidP="003D1FBF">
            <w:pPr>
              <w:jc w:val="center"/>
              <w:rPr>
                <w:sz w:val="16"/>
                <w:szCs w:val="16"/>
              </w:rPr>
            </w:pPr>
            <w:r w:rsidRPr="009D2026">
              <w:rPr>
                <w:sz w:val="16"/>
                <w:szCs w:val="16"/>
              </w:rPr>
              <w:t>-0.947***</w:t>
            </w:r>
          </w:p>
        </w:tc>
        <w:tc>
          <w:tcPr>
            <w:tcW w:w="1859" w:type="dxa"/>
            <w:vAlign w:val="bottom"/>
          </w:tcPr>
          <w:p w14:paraId="524ED458" w14:textId="5F79AFFF" w:rsidR="00045710" w:rsidRPr="009D2026" w:rsidRDefault="00045710" w:rsidP="003D1FBF">
            <w:pPr>
              <w:jc w:val="center"/>
              <w:rPr>
                <w:sz w:val="16"/>
                <w:szCs w:val="16"/>
              </w:rPr>
            </w:pPr>
            <w:r w:rsidRPr="009D2026">
              <w:rPr>
                <w:sz w:val="16"/>
                <w:szCs w:val="16"/>
              </w:rPr>
              <w:t>-0.031</w:t>
            </w:r>
          </w:p>
        </w:tc>
      </w:tr>
      <w:tr w:rsidR="00045710" w:rsidRPr="00600F5E" w14:paraId="31D9D157" w14:textId="77777777" w:rsidTr="009D2026">
        <w:trPr>
          <w:gridAfter w:val="1"/>
          <w:wAfter w:w="9" w:type="dxa"/>
        </w:trPr>
        <w:tc>
          <w:tcPr>
            <w:tcW w:w="1800" w:type="dxa"/>
          </w:tcPr>
          <w:p w14:paraId="74B82464" w14:textId="77777777" w:rsidR="00045710" w:rsidRPr="009D2026" w:rsidRDefault="00045710" w:rsidP="003D1FBF">
            <w:pPr>
              <w:rPr>
                <w:sz w:val="16"/>
                <w:szCs w:val="16"/>
              </w:rPr>
            </w:pPr>
          </w:p>
        </w:tc>
        <w:tc>
          <w:tcPr>
            <w:tcW w:w="1890" w:type="dxa"/>
            <w:vAlign w:val="bottom"/>
          </w:tcPr>
          <w:p w14:paraId="5759054A" w14:textId="06F36852" w:rsidR="00045710" w:rsidRPr="009D2026" w:rsidRDefault="00045710" w:rsidP="003D1FBF">
            <w:pPr>
              <w:jc w:val="center"/>
              <w:rPr>
                <w:sz w:val="16"/>
                <w:szCs w:val="16"/>
              </w:rPr>
            </w:pPr>
            <w:r w:rsidRPr="009D2026">
              <w:rPr>
                <w:sz w:val="16"/>
                <w:szCs w:val="16"/>
              </w:rPr>
              <w:t>(-0.8</w:t>
            </w:r>
            <w:r w:rsidR="0067156D" w:rsidRPr="009D2026">
              <w:rPr>
                <w:sz w:val="16"/>
                <w:szCs w:val="16"/>
              </w:rPr>
              <w:t>0</w:t>
            </w:r>
            <w:r w:rsidRPr="009D2026">
              <w:rPr>
                <w:sz w:val="16"/>
                <w:szCs w:val="16"/>
              </w:rPr>
              <w:t>)</w:t>
            </w:r>
          </w:p>
        </w:tc>
        <w:tc>
          <w:tcPr>
            <w:tcW w:w="2340" w:type="dxa"/>
            <w:vAlign w:val="bottom"/>
          </w:tcPr>
          <w:p w14:paraId="0D2CD68E" w14:textId="0089BA42" w:rsidR="00045710" w:rsidRPr="009D2026" w:rsidRDefault="00045710" w:rsidP="003D1FBF">
            <w:pPr>
              <w:jc w:val="center"/>
              <w:rPr>
                <w:sz w:val="16"/>
                <w:szCs w:val="16"/>
              </w:rPr>
            </w:pPr>
            <w:r w:rsidRPr="009D2026">
              <w:rPr>
                <w:sz w:val="16"/>
                <w:szCs w:val="16"/>
              </w:rPr>
              <w:t>(0.07)</w:t>
            </w:r>
          </w:p>
        </w:tc>
        <w:tc>
          <w:tcPr>
            <w:tcW w:w="1853" w:type="dxa"/>
            <w:vAlign w:val="bottom"/>
          </w:tcPr>
          <w:p w14:paraId="0C2FC3EE" w14:textId="42F5BCDF" w:rsidR="00045710" w:rsidRPr="009D2026" w:rsidRDefault="00045710" w:rsidP="003D1FBF">
            <w:pPr>
              <w:jc w:val="center"/>
              <w:rPr>
                <w:sz w:val="16"/>
                <w:szCs w:val="16"/>
              </w:rPr>
            </w:pPr>
            <w:r w:rsidRPr="009D2026">
              <w:rPr>
                <w:sz w:val="16"/>
                <w:szCs w:val="16"/>
              </w:rPr>
              <w:t>(0.4</w:t>
            </w:r>
            <w:r w:rsidR="0067156D" w:rsidRPr="009D2026">
              <w:rPr>
                <w:sz w:val="16"/>
                <w:szCs w:val="16"/>
              </w:rPr>
              <w:t>0</w:t>
            </w:r>
            <w:r w:rsidRPr="009D2026">
              <w:rPr>
                <w:sz w:val="16"/>
                <w:szCs w:val="16"/>
              </w:rPr>
              <w:t>)</w:t>
            </w:r>
          </w:p>
        </w:tc>
        <w:tc>
          <w:tcPr>
            <w:tcW w:w="1853" w:type="dxa"/>
            <w:vAlign w:val="bottom"/>
          </w:tcPr>
          <w:p w14:paraId="1F7C39BC" w14:textId="3A8C5FE3" w:rsidR="00045710" w:rsidRPr="009D2026" w:rsidRDefault="00045710" w:rsidP="003D1FBF">
            <w:pPr>
              <w:jc w:val="center"/>
              <w:rPr>
                <w:sz w:val="16"/>
                <w:szCs w:val="16"/>
              </w:rPr>
            </w:pPr>
            <w:r w:rsidRPr="009D2026">
              <w:rPr>
                <w:sz w:val="16"/>
                <w:szCs w:val="16"/>
              </w:rPr>
              <w:t>(0.54)</w:t>
            </w:r>
          </w:p>
        </w:tc>
        <w:tc>
          <w:tcPr>
            <w:tcW w:w="2234" w:type="dxa"/>
            <w:vAlign w:val="bottom"/>
          </w:tcPr>
          <w:p w14:paraId="7BBFA494" w14:textId="033C3F84" w:rsidR="00045710" w:rsidRPr="009D2026" w:rsidRDefault="00045710" w:rsidP="003D1FBF">
            <w:pPr>
              <w:jc w:val="center"/>
              <w:rPr>
                <w:sz w:val="16"/>
                <w:szCs w:val="16"/>
              </w:rPr>
            </w:pPr>
            <w:r w:rsidRPr="009D2026">
              <w:rPr>
                <w:sz w:val="16"/>
                <w:szCs w:val="16"/>
              </w:rPr>
              <w:t>(-5</w:t>
            </w:r>
            <w:r w:rsidR="0067156D" w:rsidRPr="009D2026">
              <w:rPr>
                <w:sz w:val="16"/>
                <w:szCs w:val="16"/>
              </w:rPr>
              <w:t>.00</w:t>
            </w:r>
            <w:r w:rsidRPr="009D2026">
              <w:rPr>
                <w:sz w:val="16"/>
                <w:szCs w:val="16"/>
              </w:rPr>
              <w:t>)</w:t>
            </w:r>
          </w:p>
        </w:tc>
        <w:tc>
          <w:tcPr>
            <w:tcW w:w="1859" w:type="dxa"/>
            <w:vAlign w:val="bottom"/>
          </w:tcPr>
          <w:p w14:paraId="0219C651" w14:textId="5A61C4D1" w:rsidR="00045710" w:rsidRPr="009D2026" w:rsidRDefault="00045710" w:rsidP="003D1FBF">
            <w:pPr>
              <w:jc w:val="center"/>
              <w:rPr>
                <w:sz w:val="16"/>
                <w:szCs w:val="16"/>
              </w:rPr>
            </w:pPr>
            <w:r w:rsidRPr="009D2026">
              <w:rPr>
                <w:sz w:val="16"/>
                <w:szCs w:val="16"/>
              </w:rPr>
              <w:t>(-0.51)</w:t>
            </w:r>
          </w:p>
        </w:tc>
      </w:tr>
      <w:tr w:rsidR="00045710" w:rsidRPr="00600F5E" w14:paraId="360D2C82" w14:textId="77777777" w:rsidTr="009D2026">
        <w:trPr>
          <w:gridAfter w:val="1"/>
          <w:wAfter w:w="9" w:type="dxa"/>
        </w:trPr>
        <w:tc>
          <w:tcPr>
            <w:tcW w:w="1800" w:type="dxa"/>
          </w:tcPr>
          <w:p w14:paraId="5990F38F" w14:textId="76095F3F" w:rsidR="00045710" w:rsidRPr="009D2026" w:rsidRDefault="00045710" w:rsidP="003D1FBF">
            <w:pPr>
              <w:rPr>
                <w:sz w:val="16"/>
                <w:szCs w:val="16"/>
              </w:rPr>
            </w:pPr>
            <w:r w:rsidRPr="009D2026">
              <w:rPr>
                <w:sz w:val="16"/>
                <w:szCs w:val="16"/>
              </w:rPr>
              <w:t>Restructuring</w:t>
            </w:r>
          </w:p>
        </w:tc>
        <w:tc>
          <w:tcPr>
            <w:tcW w:w="1890" w:type="dxa"/>
            <w:vAlign w:val="bottom"/>
          </w:tcPr>
          <w:p w14:paraId="28DC97C8" w14:textId="7A6A148E" w:rsidR="00045710" w:rsidRPr="009D2026" w:rsidRDefault="00045710" w:rsidP="003D1FBF">
            <w:pPr>
              <w:jc w:val="center"/>
              <w:rPr>
                <w:sz w:val="16"/>
                <w:szCs w:val="16"/>
              </w:rPr>
            </w:pPr>
            <w:r w:rsidRPr="009D2026">
              <w:rPr>
                <w:sz w:val="16"/>
                <w:szCs w:val="16"/>
              </w:rPr>
              <w:t>-0.407**</w:t>
            </w:r>
          </w:p>
        </w:tc>
        <w:tc>
          <w:tcPr>
            <w:tcW w:w="2340" w:type="dxa"/>
            <w:vAlign w:val="bottom"/>
          </w:tcPr>
          <w:p w14:paraId="31B79D89" w14:textId="3EBB1B71" w:rsidR="00045710" w:rsidRPr="009D2026" w:rsidRDefault="00045710" w:rsidP="003D1FBF">
            <w:pPr>
              <w:jc w:val="center"/>
              <w:rPr>
                <w:sz w:val="16"/>
                <w:szCs w:val="16"/>
              </w:rPr>
            </w:pPr>
            <w:r w:rsidRPr="009D2026">
              <w:rPr>
                <w:sz w:val="16"/>
                <w:szCs w:val="16"/>
              </w:rPr>
              <w:t>-0.544</w:t>
            </w:r>
          </w:p>
        </w:tc>
        <w:tc>
          <w:tcPr>
            <w:tcW w:w="1853" w:type="dxa"/>
            <w:vAlign w:val="bottom"/>
          </w:tcPr>
          <w:p w14:paraId="6C236E5A" w14:textId="5E1D77D2" w:rsidR="00045710" w:rsidRPr="009D2026" w:rsidRDefault="00045710" w:rsidP="003D1FBF">
            <w:pPr>
              <w:jc w:val="center"/>
              <w:rPr>
                <w:sz w:val="16"/>
                <w:szCs w:val="16"/>
              </w:rPr>
            </w:pPr>
            <w:r w:rsidRPr="009D2026">
              <w:rPr>
                <w:sz w:val="16"/>
                <w:szCs w:val="16"/>
              </w:rPr>
              <w:t>-0.203</w:t>
            </w:r>
          </w:p>
        </w:tc>
        <w:tc>
          <w:tcPr>
            <w:tcW w:w="1853" w:type="dxa"/>
            <w:vAlign w:val="bottom"/>
          </w:tcPr>
          <w:p w14:paraId="264D6DE1" w14:textId="3647661A" w:rsidR="00045710" w:rsidRPr="009D2026" w:rsidRDefault="00045710" w:rsidP="003D1FBF">
            <w:pPr>
              <w:jc w:val="center"/>
              <w:rPr>
                <w:sz w:val="16"/>
                <w:szCs w:val="16"/>
              </w:rPr>
            </w:pPr>
            <w:r w:rsidRPr="009D2026">
              <w:rPr>
                <w:sz w:val="16"/>
                <w:szCs w:val="16"/>
              </w:rPr>
              <w:t>-0.125</w:t>
            </w:r>
          </w:p>
        </w:tc>
        <w:tc>
          <w:tcPr>
            <w:tcW w:w="2234" w:type="dxa"/>
            <w:vAlign w:val="bottom"/>
          </w:tcPr>
          <w:p w14:paraId="037D1BE5" w14:textId="204CCCAD" w:rsidR="00045710" w:rsidRPr="009D2026" w:rsidRDefault="00045710" w:rsidP="003D1FBF">
            <w:pPr>
              <w:jc w:val="center"/>
              <w:rPr>
                <w:sz w:val="16"/>
                <w:szCs w:val="16"/>
              </w:rPr>
            </w:pPr>
            <w:r w:rsidRPr="009D2026">
              <w:rPr>
                <w:sz w:val="16"/>
                <w:szCs w:val="16"/>
              </w:rPr>
              <w:t>-0.595</w:t>
            </w:r>
          </w:p>
        </w:tc>
        <w:tc>
          <w:tcPr>
            <w:tcW w:w="1859" w:type="dxa"/>
            <w:vAlign w:val="bottom"/>
          </w:tcPr>
          <w:p w14:paraId="71A3DAC8" w14:textId="3164CDAB" w:rsidR="00045710" w:rsidRPr="009D2026" w:rsidRDefault="00045710" w:rsidP="003D1FBF">
            <w:pPr>
              <w:jc w:val="center"/>
              <w:rPr>
                <w:sz w:val="16"/>
                <w:szCs w:val="16"/>
              </w:rPr>
            </w:pPr>
            <w:r w:rsidRPr="009D2026">
              <w:rPr>
                <w:sz w:val="16"/>
                <w:szCs w:val="16"/>
              </w:rPr>
              <w:t>0.3</w:t>
            </w:r>
            <w:r w:rsidR="0067156D" w:rsidRPr="009D2026">
              <w:rPr>
                <w:sz w:val="16"/>
                <w:szCs w:val="16"/>
              </w:rPr>
              <w:t>00</w:t>
            </w:r>
            <w:r w:rsidRPr="009D2026">
              <w:rPr>
                <w:sz w:val="16"/>
                <w:szCs w:val="16"/>
              </w:rPr>
              <w:t>**</w:t>
            </w:r>
          </w:p>
        </w:tc>
      </w:tr>
      <w:tr w:rsidR="00045710" w:rsidRPr="00600F5E" w14:paraId="15FFE5A9" w14:textId="77777777" w:rsidTr="009D2026">
        <w:trPr>
          <w:gridAfter w:val="1"/>
          <w:wAfter w:w="9" w:type="dxa"/>
        </w:trPr>
        <w:tc>
          <w:tcPr>
            <w:tcW w:w="1800" w:type="dxa"/>
          </w:tcPr>
          <w:p w14:paraId="7603C542" w14:textId="77777777" w:rsidR="00045710" w:rsidRPr="009D2026" w:rsidRDefault="00045710" w:rsidP="003D1FBF">
            <w:pPr>
              <w:rPr>
                <w:sz w:val="16"/>
                <w:szCs w:val="16"/>
              </w:rPr>
            </w:pPr>
          </w:p>
        </w:tc>
        <w:tc>
          <w:tcPr>
            <w:tcW w:w="1890" w:type="dxa"/>
            <w:vAlign w:val="bottom"/>
          </w:tcPr>
          <w:p w14:paraId="09B35A82" w14:textId="688CA6D0" w:rsidR="00045710" w:rsidRPr="009D2026" w:rsidRDefault="00045710" w:rsidP="003D1FBF">
            <w:pPr>
              <w:jc w:val="center"/>
              <w:rPr>
                <w:sz w:val="16"/>
                <w:szCs w:val="16"/>
              </w:rPr>
            </w:pPr>
            <w:r w:rsidRPr="009D2026">
              <w:rPr>
                <w:sz w:val="16"/>
                <w:szCs w:val="16"/>
              </w:rPr>
              <w:t>(-2.22)</w:t>
            </w:r>
          </w:p>
        </w:tc>
        <w:tc>
          <w:tcPr>
            <w:tcW w:w="2340" w:type="dxa"/>
            <w:vAlign w:val="bottom"/>
          </w:tcPr>
          <w:p w14:paraId="40A3E57F" w14:textId="2B189100" w:rsidR="00045710" w:rsidRPr="009D2026" w:rsidRDefault="00045710" w:rsidP="003D1FBF">
            <w:pPr>
              <w:jc w:val="center"/>
              <w:rPr>
                <w:sz w:val="16"/>
                <w:szCs w:val="16"/>
              </w:rPr>
            </w:pPr>
            <w:r w:rsidRPr="009D2026">
              <w:rPr>
                <w:sz w:val="16"/>
                <w:szCs w:val="16"/>
              </w:rPr>
              <w:t>(-1.05)</w:t>
            </w:r>
          </w:p>
        </w:tc>
        <w:tc>
          <w:tcPr>
            <w:tcW w:w="1853" w:type="dxa"/>
            <w:vAlign w:val="bottom"/>
          </w:tcPr>
          <w:p w14:paraId="6AA822C9" w14:textId="2B8A9778" w:rsidR="00045710" w:rsidRPr="009D2026" w:rsidRDefault="00045710" w:rsidP="003D1FBF">
            <w:pPr>
              <w:jc w:val="center"/>
              <w:rPr>
                <w:sz w:val="16"/>
                <w:szCs w:val="16"/>
              </w:rPr>
            </w:pPr>
            <w:r w:rsidRPr="009D2026">
              <w:rPr>
                <w:sz w:val="16"/>
                <w:szCs w:val="16"/>
              </w:rPr>
              <w:t>(-1.35)</w:t>
            </w:r>
          </w:p>
        </w:tc>
        <w:tc>
          <w:tcPr>
            <w:tcW w:w="1853" w:type="dxa"/>
            <w:vAlign w:val="bottom"/>
          </w:tcPr>
          <w:p w14:paraId="4F4B5734" w14:textId="4A16ADC1" w:rsidR="00045710" w:rsidRPr="009D2026" w:rsidRDefault="00045710" w:rsidP="003D1FBF">
            <w:pPr>
              <w:jc w:val="center"/>
              <w:rPr>
                <w:sz w:val="16"/>
                <w:szCs w:val="16"/>
              </w:rPr>
            </w:pPr>
            <w:r w:rsidRPr="009D2026">
              <w:rPr>
                <w:sz w:val="16"/>
                <w:szCs w:val="16"/>
              </w:rPr>
              <w:t>(-0.6</w:t>
            </w:r>
            <w:r w:rsidR="0067156D" w:rsidRPr="009D2026">
              <w:rPr>
                <w:sz w:val="16"/>
                <w:szCs w:val="16"/>
              </w:rPr>
              <w:t>0</w:t>
            </w:r>
            <w:r w:rsidRPr="009D2026">
              <w:rPr>
                <w:sz w:val="16"/>
                <w:szCs w:val="16"/>
              </w:rPr>
              <w:t>)</w:t>
            </w:r>
          </w:p>
        </w:tc>
        <w:tc>
          <w:tcPr>
            <w:tcW w:w="2234" w:type="dxa"/>
            <w:vAlign w:val="bottom"/>
          </w:tcPr>
          <w:p w14:paraId="185D4C18" w14:textId="3D54CF6E" w:rsidR="00045710" w:rsidRPr="009D2026" w:rsidRDefault="00045710" w:rsidP="003D1FBF">
            <w:pPr>
              <w:jc w:val="center"/>
              <w:rPr>
                <w:sz w:val="16"/>
                <w:szCs w:val="16"/>
              </w:rPr>
            </w:pPr>
            <w:r w:rsidRPr="009D2026">
              <w:rPr>
                <w:sz w:val="16"/>
                <w:szCs w:val="16"/>
              </w:rPr>
              <w:t>(-1.27)</w:t>
            </w:r>
          </w:p>
        </w:tc>
        <w:tc>
          <w:tcPr>
            <w:tcW w:w="1859" w:type="dxa"/>
            <w:vAlign w:val="bottom"/>
          </w:tcPr>
          <w:p w14:paraId="4E3D0544" w14:textId="6C9B0B01" w:rsidR="00045710" w:rsidRPr="009D2026" w:rsidRDefault="00045710" w:rsidP="003D1FBF">
            <w:pPr>
              <w:jc w:val="center"/>
              <w:rPr>
                <w:sz w:val="16"/>
                <w:szCs w:val="16"/>
              </w:rPr>
            </w:pPr>
            <w:r w:rsidRPr="009D2026">
              <w:rPr>
                <w:sz w:val="16"/>
                <w:szCs w:val="16"/>
              </w:rPr>
              <w:t>(2.12)</w:t>
            </w:r>
          </w:p>
        </w:tc>
      </w:tr>
      <w:tr w:rsidR="00045710" w:rsidRPr="00600F5E" w14:paraId="2833E923" w14:textId="77777777" w:rsidTr="009D2026">
        <w:trPr>
          <w:gridAfter w:val="1"/>
          <w:wAfter w:w="9" w:type="dxa"/>
        </w:trPr>
        <w:tc>
          <w:tcPr>
            <w:tcW w:w="1800" w:type="dxa"/>
          </w:tcPr>
          <w:p w14:paraId="26814DA0" w14:textId="6097F536" w:rsidR="00045710" w:rsidRPr="009D2026" w:rsidRDefault="00045710" w:rsidP="003D1FBF">
            <w:pPr>
              <w:rPr>
                <w:sz w:val="16"/>
                <w:szCs w:val="16"/>
              </w:rPr>
            </w:pPr>
            <w:r w:rsidRPr="009D2026">
              <w:rPr>
                <w:sz w:val="16"/>
                <w:szCs w:val="16"/>
              </w:rPr>
              <w:t>M&amp;A</w:t>
            </w:r>
          </w:p>
        </w:tc>
        <w:tc>
          <w:tcPr>
            <w:tcW w:w="1890" w:type="dxa"/>
            <w:vAlign w:val="bottom"/>
          </w:tcPr>
          <w:p w14:paraId="498BC399" w14:textId="4D18E275" w:rsidR="00045710" w:rsidRPr="009D2026" w:rsidRDefault="00045710" w:rsidP="003D1FBF">
            <w:pPr>
              <w:jc w:val="center"/>
              <w:rPr>
                <w:sz w:val="16"/>
                <w:szCs w:val="16"/>
              </w:rPr>
            </w:pPr>
            <w:r w:rsidRPr="009D2026">
              <w:rPr>
                <w:sz w:val="16"/>
                <w:szCs w:val="16"/>
              </w:rPr>
              <w:t>0.041</w:t>
            </w:r>
          </w:p>
        </w:tc>
        <w:tc>
          <w:tcPr>
            <w:tcW w:w="2340" w:type="dxa"/>
            <w:vAlign w:val="bottom"/>
          </w:tcPr>
          <w:p w14:paraId="11DBA192" w14:textId="0332EA33" w:rsidR="00045710" w:rsidRPr="009D2026" w:rsidRDefault="00045710" w:rsidP="003D1FBF">
            <w:pPr>
              <w:jc w:val="center"/>
              <w:rPr>
                <w:sz w:val="16"/>
                <w:szCs w:val="16"/>
              </w:rPr>
            </w:pPr>
            <w:r w:rsidRPr="009D2026">
              <w:rPr>
                <w:sz w:val="16"/>
                <w:szCs w:val="16"/>
              </w:rPr>
              <w:t>-0.25</w:t>
            </w:r>
            <w:r w:rsidR="0067156D" w:rsidRPr="009D2026">
              <w:rPr>
                <w:sz w:val="16"/>
                <w:szCs w:val="16"/>
              </w:rPr>
              <w:t>0</w:t>
            </w:r>
          </w:p>
        </w:tc>
        <w:tc>
          <w:tcPr>
            <w:tcW w:w="1853" w:type="dxa"/>
            <w:vAlign w:val="bottom"/>
          </w:tcPr>
          <w:p w14:paraId="31D2217A" w14:textId="7EE1AACF" w:rsidR="00045710" w:rsidRPr="009D2026" w:rsidRDefault="00045710" w:rsidP="003D1FBF">
            <w:pPr>
              <w:jc w:val="center"/>
              <w:rPr>
                <w:sz w:val="16"/>
                <w:szCs w:val="16"/>
              </w:rPr>
            </w:pPr>
            <w:r w:rsidRPr="009D2026">
              <w:rPr>
                <w:sz w:val="16"/>
                <w:szCs w:val="16"/>
              </w:rPr>
              <w:t>0.206</w:t>
            </w:r>
          </w:p>
        </w:tc>
        <w:tc>
          <w:tcPr>
            <w:tcW w:w="1853" w:type="dxa"/>
            <w:vAlign w:val="bottom"/>
          </w:tcPr>
          <w:p w14:paraId="655B0B14" w14:textId="5783021E" w:rsidR="00045710" w:rsidRPr="009D2026" w:rsidRDefault="00045710" w:rsidP="003D1FBF">
            <w:pPr>
              <w:jc w:val="center"/>
              <w:rPr>
                <w:sz w:val="16"/>
                <w:szCs w:val="16"/>
              </w:rPr>
            </w:pPr>
            <w:r w:rsidRPr="009D2026">
              <w:rPr>
                <w:sz w:val="16"/>
                <w:szCs w:val="16"/>
              </w:rPr>
              <w:t>0.317***</w:t>
            </w:r>
          </w:p>
        </w:tc>
        <w:tc>
          <w:tcPr>
            <w:tcW w:w="2234" w:type="dxa"/>
            <w:vAlign w:val="bottom"/>
          </w:tcPr>
          <w:p w14:paraId="70C4DC39" w14:textId="79A68CD8" w:rsidR="00045710" w:rsidRPr="009D2026" w:rsidRDefault="00045710" w:rsidP="003D1FBF">
            <w:pPr>
              <w:jc w:val="center"/>
              <w:rPr>
                <w:sz w:val="16"/>
                <w:szCs w:val="16"/>
              </w:rPr>
            </w:pPr>
            <w:r w:rsidRPr="009D2026">
              <w:rPr>
                <w:sz w:val="16"/>
                <w:szCs w:val="16"/>
              </w:rPr>
              <w:t>-0.666</w:t>
            </w:r>
          </w:p>
        </w:tc>
        <w:tc>
          <w:tcPr>
            <w:tcW w:w="1859" w:type="dxa"/>
            <w:vAlign w:val="bottom"/>
          </w:tcPr>
          <w:p w14:paraId="4B416E5E" w14:textId="1302275E" w:rsidR="00045710" w:rsidRPr="009D2026" w:rsidRDefault="00045710" w:rsidP="003D1FBF">
            <w:pPr>
              <w:jc w:val="center"/>
              <w:rPr>
                <w:sz w:val="16"/>
                <w:szCs w:val="16"/>
              </w:rPr>
            </w:pPr>
            <w:r w:rsidRPr="009D2026">
              <w:rPr>
                <w:sz w:val="16"/>
                <w:szCs w:val="16"/>
              </w:rPr>
              <w:t>-0.248***</w:t>
            </w:r>
          </w:p>
        </w:tc>
      </w:tr>
      <w:tr w:rsidR="00045710" w:rsidRPr="00600F5E" w14:paraId="11FA9D3D" w14:textId="77777777" w:rsidTr="009D2026">
        <w:trPr>
          <w:gridAfter w:val="1"/>
          <w:wAfter w:w="9" w:type="dxa"/>
        </w:trPr>
        <w:tc>
          <w:tcPr>
            <w:tcW w:w="1800" w:type="dxa"/>
          </w:tcPr>
          <w:p w14:paraId="17EE940D" w14:textId="77777777" w:rsidR="00045710" w:rsidRPr="009D2026" w:rsidRDefault="00045710" w:rsidP="003D1FBF">
            <w:pPr>
              <w:rPr>
                <w:sz w:val="16"/>
                <w:szCs w:val="16"/>
              </w:rPr>
            </w:pPr>
          </w:p>
        </w:tc>
        <w:tc>
          <w:tcPr>
            <w:tcW w:w="1890" w:type="dxa"/>
            <w:vAlign w:val="bottom"/>
          </w:tcPr>
          <w:p w14:paraId="36B26541" w14:textId="7EDBF333" w:rsidR="00045710" w:rsidRPr="009D2026" w:rsidRDefault="00045710" w:rsidP="003D1FBF">
            <w:pPr>
              <w:jc w:val="center"/>
              <w:rPr>
                <w:sz w:val="16"/>
                <w:szCs w:val="16"/>
              </w:rPr>
            </w:pPr>
            <w:r w:rsidRPr="009D2026">
              <w:rPr>
                <w:sz w:val="16"/>
                <w:szCs w:val="16"/>
              </w:rPr>
              <w:t>(0.4</w:t>
            </w:r>
            <w:r w:rsidR="0067156D" w:rsidRPr="009D2026">
              <w:rPr>
                <w:sz w:val="16"/>
                <w:szCs w:val="16"/>
              </w:rPr>
              <w:t>0</w:t>
            </w:r>
            <w:r w:rsidRPr="009D2026">
              <w:rPr>
                <w:sz w:val="16"/>
                <w:szCs w:val="16"/>
              </w:rPr>
              <w:t>)</w:t>
            </w:r>
          </w:p>
        </w:tc>
        <w:tc>
          <w:tcPr>
            <w:tcW w:w="2340" w:type="dxa"/>
            <w:vAlign w:val="bottom"/>
          </w:tcPr>
          <w:p w14:paraId="74E340BB" w14:textId="7BCCE129" w:rsidR="00045710" w:rsidRPr="009D2026" w:rsidRDefault="00045710" w:rsidP="003D1FBF">
            <w:pPr>
              <w:jc w:val="center"/>
              <w:rPr>
                <w:sz w:val="16"/>
                <w:szCs w:val="16"/>
              </w:rPr>
            </w:pPr>
            <w:r w:rsidRPr="009D2026">
              <w:rPr>
                <w:sz w:val="16"/>
                <w:szCs w:val="16"/>
              </w:rPr>
              <w:t>(-0.66)</w:t>
            </w:r>
          </w:p>
        </w:tc>
        <w:tc>
          <w:tcPr>
            <w:tcW w:w="1853" w:type="dxa"/>
            <w:vAlign w:val="bottom"/>
          </w:tcPr>
          <w:p w14:paraId="4D374922" w14:textId="3262CDB2" w:rsidR="00045710" w:rsidRPr="009D2026" w:rsidRDefault="00045710" w:rsidP="003D1FBF">
            <w:pPr>
              <w:jc w:val="center"/>
              <w:rPr>
                <w:sz w:val="16"/>
                <w:szCs w:val="16"/>
              </w:rPr>
            </w:pPr>
            <w:r w:rsidRPr="009D2026">
              <w:rPr>
                <w:sz w:val="16"/>
                <w:szCs w:val="16"/>
              </w:rPr>
              <w:t>(0.49)</w:t>
            </w:r>
          </w:p>
        </w:tc>
        <w:tc>
          <w:tcPr>
            <w:tcW w:w="1853" w:type="dxa"/>
            <w:vAlign w:val="bottom"/>
          </w:tcPr>
          <w:p w14:paraId="5CFD794A" w14:textId="57F51F2D" w:rsidR="00045710" w:rsidRPr="009D2026" w:rsidRDefault="00045710" w:rsidP="003D1FBF">
            <w:pPr>
              <w:jc w:val="center"/>
              <w:rPr>
                <w:sz w:val="16"/>
                <w:szCs w:val="16"/>
              </w:rPr>
            </w:pPr>
            <w:r w:rsidRPr="009D2026">
              <w:rPr>
                <w:sz w:val="16"/>
                <w:szCs w:val="16"/>
              </w:rPr>
              <w:t>(3.84)</w:t>
            </w:r>
          </w:p>
        </w:tc>
        <w:tc>
          <w:tcPr>
            <w:tcW w:w="2234" w:type="dxa"/>
            <w:vAlign w:val="bottom"/>
          </w:tcPr>
          <w:p w14:paraId="0322E0DB" w14:textId="570DDE51" w:rsidR="00045710" w:rsidRPr="009D2026" w:rsidRDefault="00045710" w:rsidP="003D1FBF">
            <w:pPr>
              <w:jc w:val="center"/>
              <w:rPr>
                <w:sz w:val="16"/>
                <w:szCs w:val="16"/>
              </w:rPr>
            </w:pPr>
            <w:r w:rsidRPr="009D2026">
              <w:rPr>
                <w:sz w:val="16"/>
                <w:szCs w:val="16"/>
              </w:rPr>
              <w:t>(-1.1</w:t>
            </w:r>
            <w:r w:rsidR="0067156D" w:rsidRPr="009D2026">
              <w:rPr>
                <w:sz w:val="16"/>
                <w:szCs w:val="16"/>
              </w:rPr>
              <w:t>0</w:t>
            </w:r>
            <w:r w:rsidRPr="009D2026">
              <w:rPr>
                <w:sz w:val="16"/>
                <w:szCs w:val="16"/>
              </w:rPr>
              <w:t>)</w:t>
            </w:r>
          </w:p>
        </w:tc>
        <w:tc>
          <w:tcPr>
            <w:tcW w:w="1859" w:type="dxa"/>
            <w:vAlign w:val="bottom"/>
          </w:tcPr>
          <w:p w14:paraId="6C18E448" w14:textId="54ACFA51" w:rsidR="00045710" w:rsidRPr="009D2026" w:rsidRDefault="00045710" w:rsidP="003D1FBF">
            <w:pPr>
              <w:jc w:val="center"/>
              <w:rPr>
                <w:sz w:val="16"/>
                <w:szCs w:val="16"/>
              </w:rPr>
            </w:pPr>
            <w:r w:rsidRPr="009D2026">
              <w:rPr>
                <w:sz w:val="16"/>
                <w:szCs w:val="16"/>
              </w:rPr>
              <w:t>(-3.62)</w:t>
            </w:r>
          </w:p>
        </w:tc>
      </w:tr>
      <w:tr w:rsidR="00045710" w:rsidRPr="00600F5E" w14:paraId="5BC0CA3F" w14:textId="77777777" w:rsidTr="009D2026">
        <w:trPr>
          <w:gridAfter w:val="1"/>
          <w:wAfter w:w="9" w:type="dxa"/>
        </w:trPr>
        <w:tc>
          <w:tcPr>
            <w:tcW w:w="1800" w:type="dxa"/>
          </w:tcPr>
          <w:p w14:paraId="4C4D6927" w14:textId="40A7063D" w:rsidR="00045710" w:rsidRPr="009D2026" w:rsidRDefault="00045710" w:rsidP="003D1FBF">
            <w:pPr>
              <w:rPr>
                <w:sz w:val="16"/>
                <w:szCs w:val="16"/>
              </w:rPr>
            </w:pPr>
            <w:r w:rsidRPr="009D2026">
              <w:rPr>
                <w:sz w:val="16"/>
                <w:szCs w:val="16"/>
              </w:rPr>
              <w:t>Positive earnings</w:t>
            </w:r>
          </w:p>
        </w:tc>
        <w:tc>
          <w:tcPr>
            <w:tcW w:w="1890" w:type="dxa"/>
            <w:vAlign w:val="bottom"/>
          </w:tcPr>
          <w:p w14:paraId="50C7C8D8" w14:textId="534F482B" w:rsidR="00045710" w:rsidRPr="009D2026" w:rsidRDefault="00045710" w:rsidP="003D1FBF">
            <w:pPr>
              <w:jc w:val="center"/>
              <w:rPr>
                <w:sz w:val="16"/>
                <w:szCs w:val="16"/>
              </w:rPr>
            </w:pPr>
            <w:r w:rsidRPr="009D2026">
              <w:rPr>
                <w:sz w:val="16"/>
                <w:szCs w:val="16"/>
              </w:rPr>
              <w:t>-0.09</w:t>
            </w:r>
            <w:r w:rsidR="0067156D" w:rsidRPr="009D2026">
              <w:rPr>
                <w:sz w:val="16"/>
                <w:szCs w:val="16"/>
              </w:rPr>
              <w:t>0</w:t>
            </w:r>
          </w:p>
        </w:tc>
        <w:tc>
          <w:tcPr>
            <w:tcW w:w="2340" w:type="dxa"/>
            <w:vAlign w:val="bottom"/>
          </w:tcPr>
          <w:p w14:paraId="1B70F1D8" w14:textId="7DE6C9AB" w:rsidR="00045710" w:rsidRPr="009D2026" w:rsidRDefault="00045710" w:rsidP="003D1FBF">
            <w:pPr>
              <w:jc w:val="center"/>
              <w:rPr>
                <w:sz w:val="16"/>
                <w:szCs w:val="16"/>
              </w:rPr>
            </w:pPr>
            <w:r w:rsidRPr="009D2026">
              <w:rPr>
                <w:sz w:val="16"/>
                <w:szCs w:val="16"/>
              </w:rPr>
              <w:t>0.222</w:t>
            </w:r>
          </w:p>
        </w:tc>
        <w:tc>
          <w:tcPr>
            <w:tcW w:w="1853" w:type="dxa"/>
            <w:vAlign w:val="bottom"/>
          </w:tcPr>
          <w:p w14:paraId="56FAAA1C" w14:textId="137A014E" w:rsidR="00045710" w:rsidRPr="009D2026" w:rsidRDefault="00045710" w:rsidP="003D1FBF">
            <w:pPr>
              <w:jc w:val="center"/>
              <w:rPr>
                <w:sz w:val="16"/>
                <w:szCs w:val="16"/>
              </w:rPr>
            </w:pPr>
            <w:r w:rsidRPr="009D2026">
              <w:rPr>
                <w:sz w:val="16"/>
                <w:szCs w:val="16"/>
              </w:rPr>
              <w:t>-0.138</w:t>
            </w:r>
          </w:p>
        </w:tc>
        <w:tc>
          <w:tcPr>
            <w:tcW w:w="1853" w:type="dxa"/>
            <w:vAlign w:val="bottom"/>
          </w:tcPr>
          <w:p w14:paraId="695CC850" w14:textId="71B9D8DC" w:rsidR="00045710" w:rsidRPr="009D2026" w:rsidRDefault="00045710" w:rsidP="003D1FBF">
            <w:pPr>
              <w:jc w:val="center"/>
              <w:rPr>
                <w:sz w:val="16"/>
                <w:szCs w:val="16"/>
              </w:rPr>
            </w:pPr>
            <w:r w:rsidRPr="009D2026">
              <w:rPr>
                <w:sz w:val="16"/>
                <w:szCs w:val="16"/>
              </w:rPr>
              <w:t>0.047</w:t>
            </w:r>
          </w:p>
        </w:tc>
        <w:tc>
          <w:tcPr>
            <w:tcW w:w="2234" w:type="dxa"/>
            <w:vAlign w:val="bottom"/>
          </w:tcPr>
          <w:p w14:paraId="277DA498" w14:textId="2162A4EE" w:rsidR="00045710" w:rsidRPr="009D2026" w:rsidRDefault="00045710" w:rsidP="003D1FBF">
            <w:pPr>
              <w:jc w:val="center"/>
              <w:rPr>
                <w:sz w:val="16"/>
                <w:szCs w:val="16"/>
              </w:rPr>
            </w:pPr>
            <w:r w:rsidRPr="009D2026">
              <w:rPr>
                <w:sz w:val="16"/>
                <w:szCs w:val="16"/>
              </w:rPr>
              <w:t>-0.588**</w:t>
            </w:r>
          </w:p>
        </w:tc>
        <w:tc>
          <w:tcPr>
            <w:tcW w:w="1859" w:type="dxa"/>
            <w:vAlign w:val="bottom"/>
          </w:tcPr>
          <w:p w14:paraId="1A20148B" w14:textId="0B0BE5F9" w:rsidR="00045710" w:rsidRPr="009D2026" w:rsidRDefault="00045710" w:rsidP="003D1FBF">
            <w:pPr>
              <w:jc w:val="center"/>
              <w:rPr>
                <w:sz w:val="16"/>
                <w:szCs w:val="16"/>
              </w:rPr>
            </w:pPr>
            <w:r w:rsidRPr="009D2026">
              <w:rPr>
                <w:sz w:val="16"/>
                <w:szCs w:val="16"/>
              </w:rPr>
              <w:t>0.078*</w:t>
            </w:r>
          </w:p>
        </w:tc>
      </w:tr>
      <w:tr w:rsidR="00045710" w:rsidRPr="00600F5E" w14:paraId="1E0A2517" w14:textId="77777777" w:rsidTr="009D2026">
        <w:trPr>
          <w:gridAfter w:val="1"/>
          <w:wAfter w:w="9" w:type="dxa"/>
        </w:trPr>
        <w:tc>
          <w:tcPr>
            <w:tcW w:w="1800" w:type="dxa"/>
          </w:tcPr>
          <w:p w14:paraId="2E9D7EAC" w14:textId="77777777" w:rsidR="00045710" w:rsidRPr="009D2026" w:rsidRDefault="00045710" w:rsidP="003D1FBF">
            <w:pPr>
              <w:rPr>
                <w:sz w:val="16"/>
                <w:szCs w:val="16"/>
              </w:rPr>
            </w:pPr>
          </w:p>
        </w:tc>
        <w:tc>
          <w:tcPr>
            <w:tcW w:w="1890" w:type="dxa"/>
            <w:vAlign w:val="bottom"/>
          </w:tcPr>
          <w:p w14:paraId="6B116652" w14:textId="08BCEB26" w:rsidR="00045710" w:rsidRPr="009D2026" w:rsidRDefault="00045710" w:rsidP="003D1FBF">
            <w:pPr>
              <w:jc w:val="center"/>
              <w:rPr>
                <w:sz w:val="16"/>
                <w:szCs w:val="16"/>
              </w:rPr>
            </w:pPr>
            <w:r w:rsidRPr="009D2026">
              <w:rPr>
                <w:sz w:val="16"/>
                <w:szCs w:val="16"/>
              </w:rPr>
              <w:t>(-0.77)</w:t>
            </w:r>
          </w:p>
        </w:tc>
        <w:tc>
          <w:tcPr>
            <w:tcW w:w="2340" w:type="dxa"/>
            <w:vAlign w:val="bottom"/>
          </w:tcPr>
          <w:p w14:paraId="158F4FD4" w14:textId="19D394FE" w:rsidR="00045710" w:rsidRPr="009D2026" w:rsidRDefault="00045710" w:rsidP="003D1FBF">
            <w:pPr>
              <w:jc w:val="center"/>
              <w:rPr>
                <w:sz w:val="16"/>
                <w:szCs w:val="16"/>
              </w:rPr>
            </w:pPr>
            <w:r w:rsidRPr="009D2026">
              <w:rPr>
                <w:sz w:val="16"/>
                <w:szCs w:val="16"/>
              </w:rPr>
              <w:t>(0.89)</w:t>
            </w:r>
          </w:p>
        </w:tc>
        <w:tc>
          <w:tcPr>
            <w:tcW w:w="1853" w:type="dxa"/>
            <w:vAlign w:val="bottom"/>
          </w:tcPr>
          <w:p w14:paraId="35F62B31" w14:textId="4A90C66E" w:rsidR="00045710" w:rsidRPr="009D2026" w:rsidRDefault="00045710" w:rsidP="003D1FBF">
            <w:pPr>
              <w:jc w:val="center"/>
              <w:rPr>
                <w:sz w:val="16"/>
                <w:szCs w:val="16"/>
              </w:rPr>
            </w:pPr>
            <w:r w:rsidRPr="009D2026">
              <w:rPr>
                <w:sz w:val="16"/>
                <w:szCs w:val="16"/>
              </w:rPr>
              <w:t>(-1.36)</w:t>
            </w:r>
          </w:p>
        </w:tc>
        <w:tc>
          <w:tcPr>
            <w:tcW w:w="1853" w:type="dxa"/>
            <w:vAlign w:val="bottom"/>
          </w:tcPr>
          <w:p w14:paraId="3FE3D2F7" w14:textId="01C1761F" w:rsidR="00045710" w:rsidRPr="009D2026" w:rsidRDefault="00045710" w:rsidP="003D1FBF">
            <w:pPr>
              <w:jc w:val="center"/>
              <w:rPr>
                <w:sz w:val="16"/>
                <w:szCs w:val="16"/>
              </w:rPr>
            </w:pPr>
            <w:r w:rsidRPr="009D2026">
              <w:rPr>
                <w:sz w:val="16"/>
                <w:szCs w:val="16"/>
              </w:rPr>
              <w:t>(1.03)</w:t>
            </w:r>
          </w:p>
        </w:tc>
        <w:tc>
          <w:tcPr>
            <w:tcW w:w="2234" w:type="dxa"/>
            <w:vAlign w:val="bottom"/>
          </w:tcPr>
          <w:p w14:paraId="2221113E" w14:textId="605DFA8D" w:rsidR="00045710" w:rsidRPr="009D2026" w:rsidRDefault="00045710" w:rsidP="003D1FBF">
            <w:pPr>
              <w:jc w:val="center"/>
              <w:rPr>
                <w:sz w:val="16"/>
                <w:szCs w:val="16"/>
              </w:rPr>
            </w:pPr>
            <w:r w:rsidRPr="009D2026">
              <w:rPr>
                <w:sz w:val="16"/>
                <w:szCs w:val="16"/>
              </w:rPr>
              <w:t>(-2.55)</w:t>
            </w:r>
          </w:p>
        </w:tc>
        <w:tc>
          <w:tcPr>
            <w:tcW w:w="1859" w:type="dxa"/>
            <w:vAlign w:val="bottom"/>
          </w:tcPr>
          <w:p w14:paraId="699F443F" w14:textId="62822E30" w:rsidR="00045710" w:rsidRPr="009D2026" w:rsidRDefault="00045710" w:rsidP="003D1FBF">
            <w:pPr>
              <w:jc w:val="center"/>
              <w:rPr>
                <w:sz w:val="16"/>
                <w:szCs w:val="16"/>
              </w:rPr>
            </w:pPr>
            <w:r w:rsidRPr="009D2026">
              <w:rPr>
                <w:sz w:val="16"/>
                <w:szCs w:val="16"/>
              </w:rPr>
              <w:t>(1.77)</w:t>
            </w:r>
          </w:p>
        </w:tc>
      </w:tr>
      <w:tr w:rsidR="00045710" w:rsidRPr="00600F5E" w14:paraId="186E2705" w14:textId="77777777" w:rsidTr="009D2026">
        <w:trPr>
          <w:gridAfter w:val="1"/>
          <w:wAfter w:w="9" w:type="dxa"/>
        </w:trPr>
        <w:tc>
          <w:tcPr>
            <w:tcW w:w="1800" w:type="dxa"/>
          </w:tcPr>
          <w:p w14:paraId="1302D02B" w14:textId="62A72208" w:rsidR="00045710" w:rsidRPr="00BC2BEF" w:rsidRDefault="00045710" w:rsidP="003D1FBF">
            <w:pPr>
              <w:rPr>
                <w:sz w:val="16"/>
                <w:szCs w:val="16"/>
              </w:rPr>
            </w:pPr>
            <w:proofErr w:type="spellStart"/>
            <w:r w:rsidRPr="00BC2BEF">
              <w:rPr>
                <w:sz w:val="16"/>
                <w:szCs w:val="16"/>
              </w:rPr>
              <w:t>CEOchairperson</w:t>
            </w:r>
            <w:proofErr w:type="spellEnd"/>
          </w:p>
        </w:tc>
        <w:tc>
          <w:tcPr>
            <w:tcW w:w="1890" w:type="dxa"/>
            <w:vAlign w:val="bottom"/>
          </w:tcPr>
          <w:p w14:paraId="6DF8D025" w14:textId="589778CF" w:rsidR="00045710" w:rsidRPr="00BC2BEF" w:rsidRDefault="00045710" w:rsidP="003D1FBF">
            <w:pPr>
              <w:jc w:val="center"/>
              <w:rPr>
                <w:sz w:val="16"/>
                <w:szCs w:val="16"/>
              </w:rPr>
            </w:pPr>
            <w:r w:rsidRPr="00BC2BEF">
              <w:rPr>
                <w:sz w:val="16"/>
                <w:szCs w:val="16"/>
              </w:rPr>
              <w:t>0.002</w:t>
            </w:r>
          </w:p>
        </w:tc>
        <w:tc>
          <w:tcPr>
            <w:tcW w:w="2340" w:type="dxa"/>
            <w:vAlign w:val="bottom"/>
          </w:tcPr>
          <w:p w14:paraId="7D560310" w14:textId="65078F17" w:rsidR="00045710" w:rsidRPr="00BC2BEF" w:rsidRDefault="00045710" w:rsidP="003D1FBF">
            <w:pPr>
              <w:jc w:val="center"/>
              <w:rPr>
                <w:sz w:val="16"/>
                <w:szCs w:val="16"/>
              </w:rPr>
            </w:pPr>
            <w:r w:rsidRPr="00BC2BEF">
              <w:rPr>
                <w:sz w:val="16"/>
                <w:szCs w:val="16"/>
              </w:rPr>
              <w:t>-0.865**</w:t>
            </w:r>
          </w:p>
        </w:tc>
        <w:tc>
          <w:tcPr>
            <w:tcW w:w="1853" w:type="dxa"/>
            <w:vAlign w:val="bottom"/>
          </w:tcPr>
          <w:p w14:paraId="67C0851B" w14:textId="2F195389" w:rsidR="00045710" w:rsidRPr="00BC2BEF" w:rsidRDefault="00045710" w:rsidP="003D1FBF">
            <w:pPr>
              <w:jc w:val="center"/>
              <w:rPr>
                <w:sz w:val="16"/>
                <w:szCs w:val="16"/>
              </w:rPr>
            </w:pPr>
            <w:r w:rsidRPr="00BC2BEF">
              <w:rPr>
                <w:sz w:val="16"/>
                <w:szCs w:val="16"/>
              </w:rPr>
              <w:t>-0.051</w:t>
            </w:r>
          </w:p>
        </w:tc>
        <w:tc>
          <w:tcPr>
            <w:tcW w:w="1853" w:type="dxa"/>
            <w:vAlign w:val="bottom"/>
          </w:tcPr>
          <w:p w14:paraId="5FBF463B" w14:textId="75DD4306" w:rsidR="00045710" w:rsidRPr="00BC2BEF" w:rsidRDefault="00045710" w:rsidP="003D1FBF">
            <w:pPr>
              <w:jc w:val="center"/>
              <w:rPr>
                <w:sz w:val="16"/>
                <w:szCs w:val="16"/>
              </w:rPr>
            </w:pPr>
            <w:r w:rsidRPr="00BC2BEF">
              <w:rPr>
                <w:sz w:val="16"/>
                <w:szCs w:val="16"/>
              </w:rPr>
              <w:t>0.065</w:t>
            </w:r>
          </w:p>
        </w:tc>
        <w:tc>
          <w:tcPr>
            <w:tcW w:w="2234" w:type="dxa"/>
            <w:vAlign w:val="bottom"/>
          </w:tcPr>
          <w:p w14:paraId="47F63514" w14:textId="1061E6FD" w:rsidR="00045710" w:rsidRPr="00BC2BEF" w:rsidRDefault="00045710" w:rsidP="003D1FBF">
            <w:pPr>
              <w:jc w:val="center"/>
              <w:rPr>
                <w:sz w:val="16"/>
                <w:szCs w:val="16"/>
              </w:rPr>
            </w:pPr>
            <w:r w:rsidRPr="00BC2BEF">
              <w:rPr>
                <w:sz w:val="16"/>
                <w:szCs w:val="16"/>
              </w:rPr>
              <w:t>0.269</w:t>
            </w:r>
          </w:p>
        </w:tc>
        <w:tc>
          <w:tcPr>
            <w:tcW w:w="1859" w:type="dxa"/>
            <w:vAlign w:val="bottom"/>
          </w:tcPr>
          <w:p w14:paraId="4B5F0C78" w14:textId="3732D223" w:rsidR="00045710" w:rsidRPr="00BC2BEF" w:rsidRDefault="00045710" w:rsidP="003D1FBF">
            <w:pPr>
              <w:jc w:val="center"/>
              <w:rPr>
                <w:sz w:val="16"/>
                <w:szCs w:val="16"/>
              </w:rPr>
            </w:pPr>
            <w:r w:rsidRPr="00BC2BEF">
              <w:rPr>
                <w:sz w:val="16"/>
                <w:szCs w:val="16"/>
              </w:rPr>
              <w:t>-0.004</w:t>
            </w:r>
          </w:p>
        </w:tc>
      </w:tr>
      <w:tr w:rsidR="00045710" w:rsidRPr="00600F5E" w14:paraId="45F5797C" w14:textId="77777777" w:rsidTr="009D2026">
        <w:trPr>
          <w:gridAfter w:val="1"/>
          <w:wAfter w:w="9" w:type="dxa"/>
        </w:trPr>
        <w:tc>
          <w:tcPr>
            <w:tcW w:w="1800" w:type="dxa"/>
          </w:tcPr>
          <w:p w14:paraId="2B33BD56" w14:textId="77777777" w:rsidR="00045710" w:rsidRPr="00BC2BEF" w:rsidRDefault="00045710" w:rsidP="003D1FBF">
            <w:pPr>
              <w:rPr>
                <w:sz w:val="16"/>
                <w:szCs w:val="16"/>
              </w:rPr>
            </w:pPr>
          </w:p>
        </w:tc>
        <w:tc>
          <w:tcPr>
            <w:tcW w:w="1890" w:type="dxa"/>
            <w:vAlign w:val="bottom"/>
          </w:tcPr>
          <w:p w14:paraId="7AF359CA" w14:textId="66DA1519" w:rsidR="00045710" w:rsidRPr="00BC2BEF" w:rsidRDefault="00045710" w:rsidP="003D1FBF">
            <w:pPr>
              <w:jc w:val="center"/>
              <w:rPr>
                <w:sz w:val="16"/>
                <w:szCs w:val="16"/>
              </w:rPr>
            </w:pPr>
            <w:r w:rsidRPr="00BC2BEF">
              <w:rPr>
                <w:sz w:val="16"/>
                <w:szCs w:val="16"/>
              </w:rPr>
              <w:t>(0.02)</w:t>
            </w:r>
          </w:p>
        </w:tc>
        <w:tc>
          <w:tcPr>
            <w:tcW w:w="2340" w:type="dxa"/>
            <w:vAlign w:val="bottom"/>
          </w:tcPr>
          <w:p w14:paraId="64C89A82" w14:textId="6E0955BF" w:rsidR="00045710" w:rsidRPr="00BC2BEF" w:rsidRDefault="00045710" w:rsidP="003D1FBF">
            <w:pPr>
              <w:jc w:val="center"/>
              <w:rPr>
                <w:sz w:val="16"/>
                <w:szCs w:val="16"/>
              </w:rPr>
            </w:pPr>
            <w:r w:rsidRPr="00BC2BEF">
              <w:rPr>
                <w:sz w:val="16"/>
                <w:szCs w:val="16"/>
              </w:rPr>
              <w:t>(-2.43)</w:t>
            </w:r>
          </w:p>
        </w:tc>
        <w:tc>
          <w:tcPr>
            <w:tcW w:w="1853" w:type="dxa"/>
            <w:vAlign w:val="bottom"/>
          </w:tcPr>
          <w:p w14:paraId="7EDC5E71" w14:textId="79A685FC" w:rsidR="00045710" w:rsidRPr="00BC2BEF" w:rsidRDefault="00045710" w:rsidP="003D1FBF">
            <w:pPr>
              <w:jc w:val="center"/>
              <w:rPr>
                <w:sz w:val="16"/>
                <w:szCs w:val="16"/>
              </w:rPr>
            </w:pPr>
            <w:r w:rsidRPr="00BC2BEF">
              <w:rPr>
                <w:sz w:val="16"/>
                <w:szCs w:val="16"/>
              </w:rPr>
              <w:t>(-0.36)</w:t>
            </w:r>
          </w:p>
        </w:tc>
        <w:tc>
          <w:tcPr>
            <w:tcW w:w="1853" w:type="dxa"/>
            <w:vAlign w:val="bottom"/>
          </w:tcPr>
          <w:p w14:paraId="6720007F" w14:textId="44612D20" w:rsidR="00045710" w:rsidRPr="00BC2BEF" w:rsidRDefault="00045710" w:rsidP="003D1FBF">
            <w:pPr>
              <w:jc w:val="center"/>
              <w:rPr>
                <w:sz w:val="16"/>
                <w:szCs w:val="16"/>
              </w:rPr>
            </w:pPr>
            <w:r w:rsidRPr="00BC2BEF">
              <w:rPr>
                <w:sz w:val="16"/>
                <w:szCs w:val="16"/>
              </w:rPr>
              <w:t>(0.83)</w:t>
            </w:r>
          </w:p>
        </w:tc>
        <w:tc>
          <w:tcPr>
            <w:tcW w:w="2234" w:type="dxa"/>
            <w:vAlign w:val="bottom"/>
          </w:tcPr>
          <w:p w14:paraId="51BFF442" w14:textId="16E743BE" w:rsidR="00045710" w:rsidRPr="00BC2BEF" w:rsidRDefault="00045710" w:rsidP="003D1FBF">
            <w:pPr>
              <w:jc w:val="center"/>
              <w:rPr>
                <w:sz w:val="16"/>
                <w:szCs w:val="16"/>
              </w:rPr>
            </w:pPr>
            <w:r w:rsidRPr="00BC2BEF">
              <w:rPr>
                <w:sz w:val="16"/>
                <w:szCs w:val="16"/>
              </w:rPr>
              <w:t>(0.95)</w:t>
            </w:r>
          </w:p>
        </w:tc>
        <w:tc>
          <w:tcPr>
            <w:tcW w:w="1859" w:type="dxa"/>
            <w:vAlign w:val="bottom"/>
          </w:tcPr>
          <w:p w14:paraId="4C0A65F0" w14:textId="33B4555E" w:rsidR="00045710" w:rsidRPr="00BC2BEF" w:rsidRDefault="00045710" w:rsidP="003D1FBF">
            <w:pPr>
              <w:jc w:val="center"/>
              <w:rPr>
                <w:sz w:val="16"/>
                <w:szCs w:val="16"/>
              </w:rPr>
            </w:pPr>
            <w:r w:rsidRPr="00BC2BEF">
              <w:rPr>
                <w:sz w:val="16"/>
                <w:szCs w:val="16"/>
              </w:rPr>
              <w:t>(-0.06)</w:t>
            </w:r>
          </w:p>
        </w:tc>
      </w:tr>
      <w:tr w:rsidR="00045710" w:rsidRPr="00600F5E" w14:paraId="31516BA7" w14:textId="77777777" w:rsidTr="009D2026">
        <w:trPr>
          <w:gridAfter w:val="1"/>
          <w:wAfter w:w="9" w:type="dxa"/>
        </w:trPr>
        <w:tc>
          <w:tcPr>
            <w:tcW w:w="1800" w:type="dxa"/>
          </w:tcPr>
          <w:p w14:paraId="7DE4CAAB" w14:textId="40D17EDF" w:rsidR="00045710" w:rsidRPr="00BC2BEF" w:rsidRDefault="00045710" w:rsidP="003D1FBF">
            <w:pPr>
              <w:rPr>
                <w:sz w:val="16"/>
                <w:szCs w:val="16"/>
              </w:rPr>
            </w:pPr>
            <w:r w:rsidRPr="00BC2BEF">
              <w:rPr>
                <w:sz w:val="16"/>
                <w:szCs w:val="16"/>
              </w:rPr>
              <w:t>Draft</w:t>
            </w:r>
          </w:p>
        </w:tc>
        <w:tc>
          <w:tcPr>
            <w:tcW w:w="1890" w:type="dxa"/>
            <w:vAlign w:val="bottom"/>
          </w:tcPr>
          <w:p w14:paraId="4D3FFC41" w14:textId="56321102" w:rsidR="00045710" w:rsidRPr="00BC2BEF" w:rsidRDefault="00045710" w:rsidP="003D1FBF">
            <w:pPr>
              <w:jc w:val="center"/>
              <w:rPr>
                <w:sz w:val="16"/>
                <w:szCs w:val="16"/>
              </w:rPr>
            </w:pPr>
            <w:r w:rsidRPr="00BC2BEF">
              <w:rPr>
                <w:sz w:val="16"/>
                <w:szCs w:val="16"/>
              </w:rPr>
              <w:t>0.466***</w:t>
            </w:r>
          </w:p>
        </w:tc>
        <w:tc>
          <w:tcPr>
            <w:tcW w:w="2340" w:type="dxa"/>
            <w:vAlign w:val="bottom"/>
          </w:tcPr>
          <w:p w14:paraId="2ABD2673" w14:textId="772B6BE8" w:rsidR="00045710" w:rsidRPr="00BC2BEF" w:rsidRDefault="00045710" w:rsidP="003D1FBF">
            <w:pPr>
              <w:jc w:val="center"/>
              <w:rPr>
                <w:sz w:val="16"/>
                <w:szCs w:val="16"/>
              </w:rPr>
            </w:pPr>
            <w:r w:rsidRPr="00BC2BEF">
              <w:rPr>
                <w:sz w:val="16"/>
                <w:szCs w:val="16"/>
              </w:rPr>
              <w:t>0.045</w:t>
            </w:r>
          </w:p>
        </w:tc>
        <w:tc>
          <w:tcPr>
            <w:tcW w:w="1853" w:type="dxa"/>
            <w:vAlign w:val="bottom"/>
          </w:tcPr>
          <w:p w14:paraId="3578E5A4" w14:textId="046EFEE0" w:rsidR="00045710" w:rsidRPr="00BC2BEF" w:rsidRDefault="00045710" w:rsidP="003D1FBF">
            <w:pPr>
              <w:jc w:val="center"/>
              <w:rPr>
                <w:sz w:val="16"/>
                <w:szCs w:val="16"/>
              </w:rPr>
            </w:pPr>
            <w:r w:rsidRPr="00BC2BEF">
              <w:rPr>
                <w:sz w:val="16"/>
                <w:szCs w:val="16"/>
              </w:rPr>
              <w:t>-0.275</w:t>
            </w:r>
          </w:p>
        </w:tc>
        <w:tc>
          <w:tcPr>
            <w:tcW w:w="1853" w:type="dxa"/>
            <w:vAlign w:val="bottom"/>
          </w:tcPr>
          <w:p w14:paraId="7A0E9293" w14:textId="5F0CFD6A" w:rsidR="00045710" w:rsidRPr="00BC2BEF" w:rsidRDefault="00045710" w:rsidP="003D1FBF">
            <w:pPr>
              <w:jc w:val="center"/>
              <w:rPr>
                <w:sz w:val="16"/>
                <w:szCs w:val="16"/>
              </w:rPr>
            </w:pPr>
            <w:r w:rsidRPr="00BC2BEF">
              <w:rPr>
                <w:sz w:val="16"/>
                <w:szCs w:val="16"/>
              </w:rPr>
              <w:t>0.061</w:t>
            </w:r>
          </w:p>
        </w:tc>
        <w:tc>
          <w:tcPr>
            <w:tcW w:w="2234" w:type="dxa"/>
            <w:vAlign w:val="bottom"/>
          </w:tcPr>
          <w:p w14:paraId="1C1A14FB" w14:textId="411E7C9B" w:rsidR="00045710" w:rsidRPr="00BC2BEF" w:rsidRDefault="00045710" w:rsidP="003D1FBF">
            <w:pPr>
              <w:jc w:val="center"/>
              <w:rPr>
                <w:sz w:val="16"/>
                <w:szCs w:val="16"/>
              </w:rPr>
            </w:pPr>
            <w:r w:rsidRPr="00BC2BEF">
              <w:rPr>
                <w:sz w:val="16"/>
                <w:szCs w:val="16"/>
              </w:rPr>
              <w:t>-0.104</w:t>
            </w:r>
          </w:p>
        </w:tc>
        <w:tc>
          <w:tcPr>
            <w:tcW w:w="1859" w:type="dxa"/>
            <w:vAlign w:val="bottom"/>
          </w:tcPr>
          <w:p w14:paraId="2FA39329" w14:textId="283BCA05" w:rsidR="00045710" w:rsidRPr="00BC2BEF" w:rsidRDefault="00045710" w:rsidP="003D1FBF">
            <w:pPr>
              <w:jc w:val="center"/>
              <w:rPr>
                <w:sz w:val="16"/>
                <w:szCs w:val="16"/>
              </w:rPr>
            </w:pPr>
            <w:r w:rsidRPr="00BC2BEF">
              <w:rPr>
                <w:sz w:val="16"/>
                <w:szCs w:val="16"/>
              </w:rPr>
              <w:t>-0.128**</w:t>
            </w:r>
          </w:p>
        </w:tc>
      </w:tr>
      <w:tr w:rsidR="00045710" w:rsidRPr="00600F5E" w14:paraId="6288D1F4" w14:textId="77777777" w:rsidTr="009D2026">
        <w:trPr>
          <w:gridAfter w:val="1"/>
          <w:wAfter w:w="9" w:type="dxa"/>
        </w:trPr>
        <w:tc>
          <w:tcPr>
            <w:tcW w:w="1800" w:type="dxa"/>
          </w:tcPr>
          <w:p w14:paraId="471949B0" w14:textId="77777777" w:rsidR="00045710" w:rsidRPr="00BC2BEF" w:rsidRDefault="00045710" w:rsidP="003D1FBF">
            <w:pPr>
              <w:rPr>
                <w:sz w:val="16"/>
                <w:szCs w:val="16"/>
              </w:rPr>
            </w:pPr>
          </w:p>
        </w:tc>
        <w:tc>
          <w:tcPr>
            <w:tcW w:w="1890" w:type="dxa"/>
            <w:vAlign w:val="bottom"/>
          </w:tcPr>
          <w:p w14:paraId="302CBB08" w14:textId="34B1BBA0" w:rsidR="00045710" w:rsidRPr="00BC2BEF" w:rsidRDefault="00045710" w:rsidP="003D1FBF">
            <w:pPr>
              <w:jc w:val="center"/>
              <w:rPr>
                <w:sz w:val="16"/>
                <w:szCs w:val="16"/>
              </w:rPr>
            </w:pPr>
            <w:r w:rsidRPr="00BC2BEF">
              <w:rPr>
                <w:sz w:val="16"/>
                <w:szCs w:val="16"/>
              </w:rPr>
              <w:t>(2.67)</w:t>
            </w:r>
          </w:p>
        </w:tc>
        <w:tc>
          <w:tcPr>
            <w:tcW w:w="2340" w:type="dxa"/>
            <w:vAlign w:val="bottom"/>
          </w:tcPr>
          <w:p w14:paraId="3F0FF06E" w14:textId="57D7964C" w:rsidR="00045710" w:rsidRPr="00BC2BEF" w:rsidRDefault="00045710" w:rsidP="003D1FBF">
            <w:pPr>
              <w:jc w:val="center"/>
              <w:rPr>
                <w:sz w:val="16"/>
                <w:szCs w:val="16"/>
              </w:rPr>
            </w:pPr>
            <w:r w:rsidRPr="00BC2BEF">
              <w:rPr>
                <w:sz w:val="16"/>
                <w:szCs w:val="16"/>
              </w:rPr>
              <w:t>(0.05)</w:t>
            </w:r>
          </w:p>
        </w:tc>
        <w:tc>
          <w:tcPr>
            <w:tcW w:w="1853" w:type="dxa"/>
            <w:vAlign w:val="bottom"/>
          </w:tcPr>
          <w:p w14:paraId="61879396" w14:textId="31348143" w:rsidR="00045710" w:rsidRPr="00BC2BEF" w:rsidRDefault="00045710" w:rsidP="003D1FBF">
            <w:pPr>
              <w:jc w:val="center"/>
              <w:rPr>
                <w:sz w:val="16"/>
                <w:szCs w:val="16"/>
              </w:rPr>
            </w:pPr>
            <w:r w:rsidRPr="00BC2BEF">
              <w:rPr>
                <w:sz w:val="16"/>
                <w:szCs w:val="16"/>
              </w:rPr>
              <w:t>(-0.87)</w:t>
            </w:r>
          </w:p>
        </w:tc>
        <w:tc>
          <w:tcPr>
            <w:tcW w:w="1853" w:type="dxa"/>
            <w:vAlign w:val="bottom"/>
          </w:tcPr>
          <w:p w14:paraId="2935C35A" w14:textId="1062AEB7" w:rsidR="00045710" w:rsidRPr="00BC2BEF" w:rsidRDefault="00045710" w:rsidP="003D1FBF">
            <w:pPr>
              <w:jc w:val="center"/>
              <w:rPr>
                <w:sz w:val="16"/>
                <w:szCs w:val="16"/>
              </w:rPr>
            </w:pPr>
            <w:r w:rsidRPr="00BC2BEF">
              <w:rPr>
                <w:sz w:val="16"/>
                <w:szCs w:val="16"/>
              </w:rPr>
              <w:t>(0.66)</w:t>
            </w:r>
          </w:p>
        </w:tc>
        <w:tc>
          <w:tcPr>
            <w:tcW w:w="2234" w:type="dxa"/>
            <w:vAlign w:val="bottom"/>
          </w:tcPr>
          <w:p w14:paraId="0E940FB7" w14:textId="499F2312" w:rsidR="00045710" w:rsidRPr="00BC2BEF" w:rsidRDefault="00045710" w:rsidP="003D1FBF">
            <w:pPr>
              <w:jc w:val="center"/>
              <w:rPr>
                <w:sz w:val="16"/>
                <w:szCs w:val="16"/>
              </w:rPr>
            </w:pPr>
            <w:r w:rsidRPr="00BC2BEF">
              <w:rPr>
                <w:sz w:val="16"/>
                <w:szCs w:val="16"/>
              </w:rPr>
              <w:t>(-0.16)</w:t>
            </w:r>
          </w:p>
        </w:tc>
        <w:tc>
          <w:tcPr>
            <w:tcW w:w="1859" w:type="dxa"/>
            <w:vAlign w:val="bottom"/>
          </w:tcPr>
          <w:p w14:paraId="612BA5E9" w14:textId="18C1F79D" w:rsidR="00045710" w:rsidRPr="00BC2BEF" w:rsidRDefault="00045710" w:rsidP="003D1FBF">
            <w:pPr>
              <w:jc w:val="center"/>
              <w:rPr>
                <w:sz w:val="16"/>
                <w:szCs w:val="16"/>
              </w:rPr>
            </w:pPr>
            <w:r w:rsidRPr="00BC2BEF">
              <w:rPr>
                <w:sz w:val="16"/>
                <w:szCs w:val="16"/>
              </w:rPr>
              <w:t>(-2.37)</w:t>
            </w:r>
          </w:p>
        </w:tc>
      </w:tr>
      <w:tr w:rsidR="00045710" w:rsidRPr="00600F5E" w14:paraId="7BF1FF35" w14:textId="77777777" w:rsidTr="009D2026">
        <w:trPr>
          <w:gridAfter w:val="1"/>
          <w:wAfter w:w="9" w:type="dxa"/>
        </w:trPr>
        <w:tc>
          <w:tcPr>
            <w:tcW w:w="1800" w:type="dxa"/>
          </w:tcPr>
          <w:p w14:paraId="6F3B9462" w14:textId="0DD89D00" w:rsidR="00045710" w:rsidRPr="00BC2BEF" w:rsidRDefault="00045710" w:rsidP="003D1FBF">
            <w:pPr>
              <w:rPr>
                <w:sz w:val="16"/>
                <w:szCs w:val="16"/>
              </w:rPr>
            </w:pPr>
            <w:r w:rsidRPr="00BC2BEF">
              <w:rPr>
                <w:sz w:val="16"/>
                <w:szCs w:val="16"/>
              </w:rPr>
              <w:t>S1 size</w:t>
            </w:r>
          </w:p>
        </w:tc>
        <w:tc>
          <w:tcPr>
            <w:tcW w:w="1890" w:type="dxa"/>
            <w:vAlign w:val="bottom"/>
          </w:tcPr>
          <w:p w14:paraId="5BB87633" w14:textId="09B61875" w:rsidR="00045710" w:rsidRPr="00BC2BEF" w:rsidRDefault="00045710" w:rsidP="003D1FBF">
            <w:pPr>
              <w:jc w:val="center"/>
              <w:rPr>
                <w:sz w:val="16"/>
                <w:szCs w:val="16"/>
              </w:rPr>
            </w:pPr>
            <w:r w:rsidRPr="00BC2BEF">
              <w:rPr>
                <w:sz w:val="16"/>
                <w:szCs w:val="16"/>
              </w:rPr>
              <w:t>0.001</w:t>
            </w:r>
          </w:p>
        </w:tc>
        <w:tc>
          <w:tcPr>
            <w:tcW w:w="2340" w:type="dxa"/>
            <w:vAlign w:val="bottom"/>
          </w:tcPr>
          <w:p w14:paraId="4E9B7372" w14:textId="04ADB48F" w:rsidR="00045710" w:rsidRPr="00BC2BEF" w:rsidRDefault="00045710" w:rsidP="003D1FBF">
            <w:pPr>
              <w:jc w:val="center"/>
              <w:rPr>
                <w:sz w:val="16"/>
                <w:szCs w:val="16"/>
              </w:rPr>
            </w:pPr>
            <w:r w:rsidRPr="00BC2BEF">
              <w:rPr>
                <w:sz w:val="16"/>
                <w:szCs w:val="16"/>
              </w:rPr>
              <w:t>0.001</w:t>
            </w:r>
          </w:p>
        </w:tc>
        <w:tc>
          <w:tcPr>
            <w:tcW w:w="1853" w:type="dxa"/>
            <w:vAlign w:val="bottom"/>
          </w:tcPr>
          <w:p w14:paraId="3CA8ABFD" w14:textId="464FAF6C" w:rsidR="00045710" w:rsidRPr="00BC2BEF" w:rsidRDefault="00045710" w:rsidP="003D1FBF">
            <w:pPr>
              <w:jc w:val="center"/>
              <w:rPr>
                <w:sz w:val="16"/>
                <w:szCs w:val="16"/>
              </w:rPr>
            </w:pPr>
            <w:r w:rsidRPr="00BC2BEF">
              <w:rPr>
                <w:sz w:val="16"/>
                <w:szCs w:val="16"/>
              </w:rPr>
              <w:t>0.001</w:t>
            </w:r>
          </w:p>
        </w:tc>
        <w:tc>
          <w:tcPr>
            <w:tcW w:w="1853" w:type="dxa"/>
            <w:vAlign w:val="bottom"/>
          </w:tcPr>
          <w:p w14:paraId="2DDADF01" w14:textId="34D568D7" w:rsidR="00045710" w:rsidRPr="00BC2BEF" w:rsidRDefault="00045710" w:rsidP="003D1FBF">
            <w:pPr>
              <w:jc w:val="center"/>
              <w:rPr>
                <w:sz w:val="16"/>
                <w:szCs w:val="16"/>
              </w:rPr>
            </w:pPr>
            <w:r w:rsidRPr="00BC2BEF">
              <w:rPr>
                <w:sz w:val="16"/>
                <w:szCs w:val="16"/>
              </w:rPr>
              <w:t>-0.001</w:t>
            </w:r>
          </w:p>
        </w:tc>
        <w:tc>
          <w:tcPr>
            <w:tcW w:w="2234" w:type="dxa"/>
            <w:vAlign w:val="bottom"/>
          </w:tcPr>
          <w:p w14:paraId="40A9F7E3" w14:textId="79113E6E" w:rsidR="00045710" w:rsidRPr="00BC2BEF" w:rsidRDefault="00045710" w:rsidP="003D1FBF">
            <w:pPr>
              <w:jc w:val="center"/>
              <w:rPr>
                <w:sz w:val="16"/>
                <w:szCs w:val="16"/>
              </w:rPr>
            </w:pPr>
            <w:r w:rsidRPr="00BC2BEF">
              <w:rPr>
                <w:sz w:val="16"/>
                <w:szCs w:val="16"/>
              </w:rPr>
              <w:t>-0.001</w:t>
            </w:r>
          </w:p>
        </w:tc>
        <w:tc>
          <w:tcPr>
            <w:tcW w:w="1859" w:type="dxa"/>
            <w:vAlign w:val="bottom"/>
          </w:tcPr>
          <w:p w14:paraId="5397A717" w14:textId="6444F4AF" w:rsidR="00045710" w:rsidRPr="00BC2BEF" w:rsidRDefault="00045710" w:rsidP="003D1FBF">
            <w:pPr>
              <w:jc w:val="center"/>
              <w:rPr>
                <w:sz w:val="16"/>
                <w:szCs w:val="16"/>
              </w:rPr>
            </w:pPr>
            <w:r w:rsidRPr="00BC2BEF">
              <w:rPr>
                <w:sz w:val="16"/>
                <w:szCs w:val="16"/>
              </w:rPr>
              <w:t>-0.001</w:t>
            </w:r>
          </w:p>
        </w:tc>
      </w:tr>
      <w:tr w:rsidR="00045710" w:rsidRPr="00600F5E" w14:paraId="07BFDFDD" w14:textId="77777777" w:rsidTr="009D2026">
        <w:trPr>
          <w:gridAfter w:val="1"/>
          <w:wAfter w:w="9" w:type="dxa"/>
        </w:trPr>
        <w:tc>
          <w:tcPr>
            <w:tcW w:w="1800" w:type="dxa"/>
          </w:tcPr>
          <w:p w14:paraId="4C9DDBF5" w14:textId="77777777" w:rsidR="00045710" w:rsidRPr="00BC2BEF" w:rsidRDefault="00045710" w:rsidP="003D1FBF">
            <w:pPr>
              <w:rPr>
                <w:sz w:val="16"/>
                <w:szCs w:val="16"/>
              </w:rPr>
            </w:pPr>
          </w:p>
        </w:tc>
        <w:tc>
          <w:tcPr>
            <w:tcW w:w="1890" w:type="dxa"/>
            <w:vAlign w:val="bottom"/>
          </w:tcPr>
          <w:p w14:paraId="5F0C1DAB" w14:textId="6C8C143A" w:rsidR="00045710" w:rsidRPr="00BC2BEF" w:rsidRDefault="00045710" w:rsidP="003D1FBF">
            <w:pPr>
              <w:jc w:val="center"/>
              <w:rPr>
                <w:sz w:val="16"/>
                <w:szCs w:val="16"/>
              </w:rPr>
            </w:pPr>
            <w:r w:rsidRPr="00BC2BEF">
              <w:rPr>
                <w:sz w:val="16"/>
                <w:szCs w:val="16"/>
              </w:rPr>
              <w:t>(0.14)</w:t>
            </w:r>
          </w:p>
        </w:tc>
        <w:tc>
          <w:tcPr>
            <w:tcW w:w="2340" w:type="dxa"/>
            <w:vAlign w:val="bottom"/>
          </w:tcPr>
          <w:p w14:paraId="6EDB16E3" w14:textId="16F4885A" w:rsidR="00045710" w:rsidRPr="00BC2BEF" w:rsidRDefault="00045710" w:rsidP="003D1FBF">
            <w:pPr>
              <w:jc w:val="center"/>
              <w:rPr>
                <w:sz w:val="16"/>
                <w:szCs w:val="16"/>
              </w:rPr>
            </w:pPr>
            <w:r w:rsidRPr="00BC2BEF">
              <w:rPr>
                <w:sz w:val="16"/>
                <w:szCs w:val="16"/>
              </w:rPr>
              <w:t>(0.94)</w:t>
            </w:r>
          </w:p>
        </w:tc>
        <w:tc>
          <w:tcPr>
            <w:tcW w:w="1853" w:type="dxa"/>
            <w:vAlign w:val="bottom"/>
          </w:tcPr>
          <w:p w14:paraId="660A06A3" w14:textId="7A099208" w:rsidR="00045710" w:rsidRPr="00BC2BEF" w:rsidRDefault="00045710" w:rsidP="003D1FBF">
            <w:pPr>
              <w:jc w:val="center"/>
              <w:rPr>
                <w:sz w:val="16"/>
                <w:szCs w:val="16"/>
              </w:rPr>
            </w:pPr>
            <w:r w:rsidRPr="00BC2BEF">
              <w:rPr>
                <w:sz w:val="16"/>
                <w:szCs w:val="16"/>
              </w:rPr>
              <w:t>(1.12)</w:t>
            </w:r>
          </w:p>
        </w:tc>
        <w:tc>
          <w:tcPr>
            <w:tcW w:w="1853" w:type="dxa"/>
            <w:vAlign w:val="bottom"/>
          </w:tcPr>
          <w:p w14:paraId="29AD84F1" w14:textId="7A23C915" w:rsidR="00045710" w:rsidRPr="00BC2BEF" w:rsidRDefault="00045710" w:rsidP="003D1FBF">
            <w:pPr>
              <w:jc w:val="center"/>
              <w:rPr>
                <w:sz w:val="16"/>
                <w:szCs w:val="16"/>
              </w:rPr>
            </w:pPr>
            <w:r w:rsidRPr="00BC2BEF">
              <w:rPr>
                <w:sz w:val="16"/>
                <w:szCs w:val="16"/>
              </w:rPr>
              <w:t>(-1.51)</w:t>
            </w:r>
          </w:p>
        </w:tc>
        <w:tc>
          <w:tcPr>
            <w:tcW w:w="2234" w:type="dxa"/>
            <w:vAlign w:val="bottom"/>
          </w:tcPr>
          <w:p w14:paraId="00D1D058" w14:textId="2594FA73" w:rsidR="00045710" w:rsidRPr="00BC2BEF" w:rsidRDefault="00045710" w:rsidP="003D1FBF">
            <w:pPr>
              <w:jc w:val="center"/>
              <w:rPr>
                <w:sz w:val="16"/>
                <w:szCs w:val="16"/>
              </w:rPr>
            </w:pPr>
            <w:r w:rsidRPr="00BC2BEF">
              <w:rPr>
                <w:sz w:val="16"/>
                <w:szCs w:val="16"/>
              </w:rPr>
              <w:t>(-1.02)</w:t>
            </w:r>
          </w:p>
        </w:tc>
        <w:tc>
          <w:tcPr>
            <w:tcW w:w="1859" w:type="dxa"/>
            <w:vAlign w:val="bottom"/>
          </w:tcPr>
          <w:p w14:paraId="0C327BB1" w14:textId="446BD5AF" w:rsidR="00045710" w:rsidRPr="00BC2BEF" w:rsidRDefault="00045710" w:rsidP="003D1FBF">
            <w:pPr>
              <w:jc w:val="center"/>
              <w:rPr>
                <w:sz w:val="16"/>
                <w:szCs w:val="16"/>
              </w:rPr>
            </w:pPr>
            <w:r w:rsidRPr="00BC2BEF">
              <w:rPr>
                <w:sz w:val="16"/>
                <w:szCs w:val="16"/>
              </w:rPr>
              <w:t>(-0.26)</w:t>
            </w:r>
          </w:p>
        </w:tc>
      </w:tr>
      <w:tr w:rsidR="00045710" w:rsidRPr="00600F5E" w14:paraId="6F8D7E11" w14:textId="77777777" w:rsidTr="009D2026">
        <w:trPr>
          <w:gridAfter w:val="1"/>
          <w:wAfter w:w="9" w:type="dxa"/>
        </w:trPr>
        <w:tc>
          <w:tcPr>
            <w:tcW w:w="1800" w:type="dxa"/>
          </w:tcPr>
          <w:p w14:paraId="0AD74DE2" w14:textId="222A3815" w:rsidR="00045710" w:rsidRPr="00BC2BEF" w:rsidRDefault="00045710" w:rsidP="003D1FBF">
            <w:pPr>
              <w:rPr>
                <w:sz w:val="16"/>
                <w:szCs w:val="16"/>
              </w:rPr>
            </w:pPr>
            <w:proofErr w:type="spellStart"/>
            <w:proofErr w:type="gramStart"/>
            <w:r w:rsidRPr="00BC2BEF">
              <w:rPr>
                <w:sz w:val="16"/>
                <w:szCs w:val="16"/>
              </w:rPr>
              <w:t>No.IPOs</w:t>
            </w:r>
            <w:proofErr w:type="spellEnd"/>
            <w:proofErr w:type="gramEnd"/>
            <w:r w:rsidRPr="00BC2BEF">
              <w:rPr>
                <w:sz w:val="16"/>
                <w:szCs w:val="16"/>
              </w:rPr>
              <w:t xml:space="preserve"> (decile rank)</w:t>
            </w:r>
          </w:p>
        </w:tc>
        <w:tc>
          <w:tcPr>
            <w:tcW w:w="1890" w:type="dxa"/>
            <w:vAlign w:val="bottom"/>
          </w:tcPr>
          <w:p w14:paraId="00D3832A" w14:textId="54F0F785" w:rsidR="00045710" w:rsidRPr="00BC2BEF" w:rsidRDefault="00045710" w:rsidP="003D1FBF">
            <w:pPr>
              <w:jc w:val="center"/>
              <w:rPr>
                <w:sz w:val="16"/>
                <w:szCs w:val="16"/>
              </w:rPr>
            </w:pPr>
            <w:r w:rsidRPr="00BC2BEF">
              <w:rPr>
                <w:sz w:val="16"/>
                <w:szCs w:val="16"/>
              </w:rPr>
              <w:t>-0.001</w:t>
            </w:r>
          </w:p>
        </w:tc>
        <w:tc>
          <w:tcPr>
            <w:tcW w:w="2340" w:type="dxa"/>
            <w:vAlign w:val="bottom"/>
          </w:tcPr>
          <w:p w14:paraId="4D5B8E3E" w14:textId="239088D2" w:rsidR="00045710" w:rsidRPr="00BC2BEF" w:rsidRDefault="00045710" w:rsidP="003D1FBF">
            <w:pPr>
              <w:jc w:val="center"/>
              <w:rPr>
                <w:sz w:val="16"/>
                <w:szCs w:val="16"/>
              </w:rPr>
            </w:pPr>
            <w:r w:rsidRPr="00BC2BEF">
              <w:rPr>
                <w:sz w:val="16"/>
                <w:szCs w:val="16"/>
              </w:rPr>
              <w:t>0.03</w:t>
            </w:r>
            <w:r w:rsidR="0067156D" w:rsidRPr="00BC2BEF">
              <w:rPr>
                <w:sz w:val="16"/>
                <w:szCs w:val="16"/>
              </w:rPr>
              <w:t>0</w:t>
            </w:r>
          </w:p>
        </w:tc>
        <w:tc>
          <w:tcPr>
            <w:tcW w:w="1853" w:type="dxa"/>
            <w:vAlign w:val="bottom"/>
          </w:tcPr>
          <w:p w14:paraId="4C6CABE7" w14:textId="5C3427E7" w:rsidR="00045710" w:rsidRPr="00BC2BEF" w:rsidRDefault="00045710" w:rsidP="003D1FBF">
            <w:pPr>
              <w:jc w:val="center"/>
              <w:rPr>
                <w:sz w:val="16"/>
                <w:szCs w:val="16"/>
              </w:rPr>
            </w:pPr>
            <w:r w:rsidRPr="00BC2BEF">
              <w:rPr>
                <w:sz w:val="16"/>
                <w:szCs w:val="16"/>
              </w:rPr>
              <w:t>0.033</w:t>
            </w:r>
          </w:p>
        </w:tc>
        <w:tc>
          <w:tcPr>
            <w:tcW w:w="1853" w:type="dxa"/>
            <w:vAlign w:val="bottom"/>
          </w:tcPr>
          <w:p w14:paraId="000B97E3" w14:textId="49E627AF" w:rsidR="00045710" w:rsidRPr="00BC2BEF" w:rsidRDefault="00045710" w:rsidP="003D1FBF">
            <w:pPr>
              <w:jc w:val="center"/>
              <w:rPr>
                <w:sz w:val="16"/>
                <w:szCs w:val="16"/>
              </w:rPr>
            </w:pPr>
            <w:r w:rsidRPr="00BC2BEF">
              <w:rPr>
                <w:sz w:val="16"/>
                <w:szCs w:val="16"/>
              </w:rPr>
              <w:t>-0.029</w:t>
            </w:r>
          </w:p>
        </w:tc>
        <w:tc>
          <w:tcPr>
            <w:tcW w:w="2234" w:type="dxa"/>
            <w:vAlign w:val="bottom"/>
          </w:tcPr>
          <w:p w14:paraId="57CE8035" w14:textId="5F58C440" w:rsidR="00045710" w:rsidRPr="00BC2BEF" w:rsidRDefault="00045710" w:rsidP="003D1FBF">
            <w:pPr>
              <w:jc w:val="center"/>
              <w:rPr>
                <w:sz w:val="16"/>
                <w:szCs w:val="16"/>
              </w:rPr>
            </w:pPr>
            <w:r w:rsidRPr="00BC2BEF">
              <w:rPr>
                <w:sz w:val="16"/>
                <w:szCs w:val="16"/>
              </w:rPr>
              <w:t>-0.163</w:t>
            </w:r>
          </w:p>
        </w:tc>
        <w:tc>
          <w:tcPr>
            <w:tcW w:w="1859" w:type="dxa"/>
            <w:vAlign w:val="bottom"/>
          </w:tcPr>
          <w:p w14:paraId="2819598F" w14:textId="77F17AEE" w:rsidR="00045710" w:rsidRPr="00BC2BEF" w:rsidRDefault="00045710" w:rsidP="003D1FBF">
            <w:pPr>
              <w:jc w:val="center"/>
              <w:rPr>
                <w:sz w:val="16"/>
                <w:szCs w:val="16"/>
              </w:rPr>
            </w:pPr>
            <w:r w:rsidRPr="00BC2BEF">
              <w:rPr>
                <w:sz w:val="16"/>
                <w:szCs w:val="16"/>
              </w:rPr>
              <w:t>-0.004</w:t>
            </w:r>
          </w:p>
        </w:tc>
      </w:tr>
      <w:tr w:rsidR="00045710" w:rsidRPr="00600F5E" w14:paraId="0663DFDE" w14:textId="77777777" w:rsidTr="009D2026">
        <w:trPr>
          <w:gridAfter w:val="1"/>
          <w:wAfter w:w="9" w:type="dxa"/>
        </w:trPr>
        <w:tc>
          <w:tcPr>
            <w:tcW w:w="1800" w:type="dxa"/>
          </w:tcPr>
          <w:p w14:paraId="1B8A1822" w14:textId="77777777" w:rsidR="00045710" w:rsidRPr="00BC2BEF" w:rsidRDefault="00045710" w:rsidP="003D1FBF">
            <w:pPr>
              <w:rPr>
                <w:sz w:val="16"/>
                <w:szCs w:val="16"/>
              </w:rPr>
            </w:pPr>
          </w:p>
        </w:tc>
        <w:tc>
          <w:tcPr>
            <w:tcW w:w="1890" w:type="dxa"/>
            <w:vAlign w:val="bottom"/>
          </w:tcPr>
          <w:p w14:paraId="1BCC9EF4" w14:textId="3B548C4C" w:rsidR="00045710" w:rsidRPr="00BC2BEF" w:rsidRDefault="00045710" w:rsidP="003D1FBF">
            <w:pPr>
              <w:jc w:val="center"/>
              <w:rPr>
                <w:sz w:val="16"/>
                <w:szCs w:val="16"/>
              </w:rPr>
            </w:pPr>
            <w:r w:rsidRPr="00BC2BEF">
              <w:rPr>
                <w:sz w:val="16"/>
                <w:szCs w:val="16"/>
              </w:rPr>
              <w:t>(-0.03)</w:t>
            </w:r>
          </w:p>
        </w:tc>
        <w:tc>
          <w:tcPr>
            <w:tcW w:w="2340" w:type="dxa"/>
            <w:vAlign w:val="bottom"/>
          </w:tcPr>
          <w:p w14:paraId="13FABEE0" w14:textId="5C5FEA31" w:rsidR="00045710" w:rsidRPr="00BC2BEF" w:rsidRDefault="00045710" w:rsidP="003D1FBF">
            <w:pPr>
              <w:jc w:val="center"/>
              <w:rPr>
                <w:sz w:val="16"/>
                <w:szCs w:val="16"/>
              </w:rPr>
            </w:pPr>
            <w:r w:rsidRPr="00BC2BEF">
              <w:rPr>
                <w:sz w:val="16"/>
                <w:szCs w:val="16"/>
              </w:rPr>
              <w:t>(0.47)</w:t>
            </w:r>
          </w:p>
        </w:tc>
        <w:tc>
          <w:tcPr>
            <w:tcW w:w="1853" w:type="dxa"/>
            <w:vAlign w:val="bottom"/>
          </w:tcPr>
          <w:p w14:paraId="15794EC0" w14:textId="57EBB171" w:rsidR="00045710" w:rsidRPr="00BC2BEF" w:rsidRDefault="00045710" w:rsidP="003D1FBF">
            <w:pPr>
              <w:jc w:val="center"/>
              <w:rPr>
                <w:sz w:val="16"/>
                <w:szCs w:val="16"/>
              </w:rPr>
            </w:pPr>
            <w:r w:rsidRPr="00BC2BEF">
              <w:rPr>
                <w:sz w:val="16"/>
                <w:szCs w:val="16"/>
              </w:rPr>
              <w:t>(0.45)</w:t>
            </w:r>
          </w:p>
        </w:tc>
        <w:tc>
          <w:tcPr>
            <w:tcW w:w="1853" w:type="dxa"/>
            <w:vAlign w:val="bottom"/>
          </w:tcPr>
          <w:p w14:paraId="69CED824" w14:textId="1D8D448F" w:rsidR="00045710" w:rsidRPr="00BC2BEF" w:rsidRDefault="00045710" w:rsidP="003D1FBF">
            <w:pPr>
              <w:jc w:val="center"/>
              <w:rPr>
                <w:sz w:val="16"/>
                <w:szCs w:val="16"/>
              </w:rPr>
            </w:pPr>
            <w:r w:rsidRPr="00BC2BEF">
              <w:rPr>
                <w:sz w:val="16"/>
                <w:szCs w:val="16"/>
              </w:rPr>
              <w:t>(-1.52)</w:t>
            </w:r>
          </w:p>
        </w:tc>
        <w:tc>
          <w:tcPr>
            <w:tcW w:w="2234" w:type="dxa"/>
            <w:vAlign w:val="bottom"/>
          </w:tcPr>
          <w:p w14:paraId="3F46C65A" w14:textId="6B6DA71C" w:rsidR="00045710" w:rsidRPr="00BC2BEF" w:rsidRDefault="00045710" w:rsidP="003D1FBF">
            <w:pPr>
              <w:jc w:val="center"/>
              <w:rPr>
                <w:sz w:val="16"/>
                <w:szCs w:val="16"/>
              </w:rPr>
            </w:pPr>
            <w:r w:rsidRPr="00BC2BEF">
              <w:rPr>
                <w:sz w:val="16"/>
                <w:szCs w:val="16"/>
              </w:rPr>
              <w:t>(-0.86)</w:t>
            </w:r>
          </w:p>
        </w:tc>
        <w:tc>
          <w:tcPr>
            <w:tcW w:w="1859" w:type="dxa"/>
            <w:vAlign w:val="bottom"/>
          </w:tcPr>
          <w:p w14:paraId="19344C68" w14:textId="0605ECEF" w:rsidR="00045710" w:rsidRPr="00BC2BEF" w:rsidRDefault="00045710" w:rsidP="003D1FBF">
            <w:pPr>
              <w:jc w:val="center"/>
              <w:rPr>
                <w:sz w:val="16"/>
                <w:szCs w:val="16"/>
              </w:rPr>
            </w:pPr>
            <w:r w:rsidRPr="00BC2BEF">
              <w:rPr>
                <w:sz w:val="16"/>
                <w:szCs w:val="16"/>
              </w:rPr>
              <w:t>(-0.23)</w:t>
            </w:r>
          </w:p>
        </w:tc>
      </w:tr>
      <w:tr w:rsidR="00045710" w:rsidRPr="00600F5E" w14:paraId="5FD0F36E" w14:textId="77777777" w:rsidTr="009D2026">
        <w:trPr>
          <w:gridAfter w:val="1"/>
          <w:wAfter w:w="9" w:type="dxa"/>
        </w:trPr>
        <w:tc>
          <w:tcPr>
            <w:tcW w:w="1800" w:type="dxa"/>
          </w:tcPr>
          <w:p w14:paraId="141F017E" w14:textId="6E17A231" w:rsidR="00045710" w:rsidRPr="00BC2BEF" w:rsidRDefault="00045710" w:rsidP="003D1FBF">
            <w:pPr>
              <w:rPr>
                <w:sz w:val="16"/>
                <w:szCs w:val="16"/>
              </w:rPr>
            </w:pPr>
            <w:r w:rsidRPr="00BC2BEF">
              <w:rPr>
                <w:sz w:val="16"/>
                <w:szCs w:val="16"/>
              </w:rPr>
              <w:t>Underwriter rank</w:t>
            </w:r>
          </w:p>
        </w:tc>
        <w:tc>
          <w:tcPr>
            <w:tcW w:w="1890" w:type="dxa"/>
            <w:vAlign w:val="bottom"/>
          </w:tcPr>
          <w:p w14:paraId="0488F3AD" w14:textId="3597176D" w:rsidR="00045710" w:rsidRPr="00BC2BEF" w:rsidRDefault="00045710" w:rsidP="003D1FBF">
            <w:pPr>
              <w:jc w:val="center"/>
              <w:rPr>
                <w:sz w:val="16"/>
                <w:szCs w:val="16"/>
              </w:rPr>
            </w:pPr>
            <w:r w:rsidRPr="00BC2BEF">
              <w:rPr>
                <w:sz w:val="16"/>
                <w:szCs w:val="16"/>
              </w:rPr>
              <w:t>-0.003</w:t>
            </w:r>
          </w:p>
        </w:tc>
        <w:tc>
          <w:tcPr>
            <w:tcW w:w="2340" w:type="dxa"/>
            <w:vAlign w:val="bottom"/>
          </w:tcPr>
          <w:p w14:paraId="14F8F078" w14:textId="7ADD99AE" w:rsidR="00045710" w:rsidRPr="00BC2BEF" w:rsidRDefault="00045710" w:rsidP="003D1FBF">
            <w:pPr>
              <w:jc w:val="center"/>
              <w:rPr>
                <w:sz w:val="16"/>
                <w:szCs w:val="16"/>
              </w:rPr>
            </w:pPr>
            <w:r w:rsidRPr="00BC2BEF">
              <w:rPr>
                <w:sz w:val="16"/>
                <w:szCs w:val="16"/>
              </w:rPr>
              <w:t>-0.01</w:t>
            </w:r>
            <w:r w:rsidR="0067156D" w:rsidRPr="00BC2BEF">
              <w:rPr>
                <w:sz w:val="16"/>
                <w:szCs w:val="16"/>
              </w:rPr>
              <w:t>0</w:t>
            </w:r>
          </w:p>
        </w:tc>
        <w:tc>
          <w:tcPr>
            <w:tcW w:w="1853" w:type="dxa"/>
            <w:vAlign w:val="bottom"/>
          </w:tcPr>
          <w:p w14:paraId="2D2DDD0C" w14:textId="225DADA9" w:rsidR="00045710" w:rsidRPr="00BC2BEF" w:rsidRDefault="00045710" w:rsidP="003D1FBF">
            <w:pPr>
              <w:jc w:val="center"/>
              <w:rPr>
                <w:sz w:val="16"/>
                <w:szCs w:val="16"/>
              </w:rPr>
            </w:pPr>
            <w:r w:rsidRPr="00BC2BEF">
              <w:rPr>
                <w:sz w:val="16"/>
                <w:szCs w:val="16"/>
              </w:rPr>
              <w:t>-0.01</w:t>
            </w:r>
            <w:r w:rsidR="0067156D" w:rsidRPr="00BC2BEF">
              <w:rPr>
                <w:sz w:val="16"/>
                <w:szCs w:val="16"/>
              </w:rPr>
              <w:t>0</w:t>
            </w:r>
            <w:r w:rsidRPr="00BC2BEF">
              <w:rPr>
                <w:sz w:val="16"/>
                <w:szCs w:val="16"/>
              </w:rPr>
              <w:t>*</w:t>
            </w:r>
          </w:p>
        </w:tc>
        <w:tc>
          <w:tcPr>
            <w:tcW w:w="1853" w:type="dxa"/>
            <w:vAlign w:val="bottom"/>
          </w:tcPr>
          <w:p w14:paraId="5385EAB4" w14:textId="4F8BEF93" w:rsidR="00045710" w:rsidRPr="00BC2BEF" w:rsidRDefault="00045710" w:rsidP="003D1FBF">
            <w:pPr>
              <w:jc w:val="center"/>
              <w:rPr>
                <w:sz w:val="16"/>
                <w:szCs w:val="16"/>
              </w:rPr>
            </w:pPr>
            <w:r w:rsidRPr="00BC2BEF">
              <w:rPr>
                <w:sz w:val="16"/>
                <w:szCs w:val="16"/>
              </w:rPr>
              <w:t>0.002</w:t>
            </w:r>
          </w:p>
        </w:tc>
        <w:tc>
          <w:tcPr>
            <w:tcW w:w="2234" w:type="dxa"/>
            <w:vAlign w:val="bottom"/>
          </w:tcPr>
          <w:p w14:paraId="5389D0F5" w14:textId="68B0D189" w:rsidR="00045710" w:rsidRPr="00BC2BEF" w:rsidRDefault="00045710" w:rsidP="003D1FBF">
            <w:pPr>
              <w:jc w:val="center"/>
              <w:rPr>
                <w:sz w:val="16"/>
                <w:szCs w:val="16"/>
              </w:rPr>
            </w:pPr>
            <w:r w:rsidRPr="00BC2BEF">
              <w:rPr>
                <w:sz w:val="16"/>
                <w:szCs w:val="16"/>
              </w:rPr>
              <w:t>0.027**</w:t>
            </w:r>
          </w:p>
        </w:tc>
        <w:tc>
          <w:tcPr>
            <w:tcW w:w="1859" w:type="dxa"/>
            <w:vAlign w:val="bottom"/>
          </w:tcPr>
          <w:p w14:paraId="6922317A" w14:textId="2C5F32AA" w:rsidR="00045710" w:rsidRPr="00BC2BEF" w:rsidRDefault="00045710" w:rsidP="003D1FBF">
            <w:pPr>
              <w:jc w:val="center"/>
              <w:rPr>
                <w:sz w:val="16"/>
                <w:szCs w:val="16"/>
              </w:rPr>
            </w:pPr>
            <w:r w:rsidRPr="00BC2BEF">
              <w:rPr>
                <w:sz w:val="16"/>
                <w:szCs w:val="16"/>
              </w:rPr>
              <w:t>0.004</w:t>
            </w:r>
          </w:p>
        </w:tc>
      </w:tr>
      <w:tr w:rsidR="00045710" w:rsidRPr="00600F5E" w14:paraId="39FAF327" w14:textId="77777777" w:rsidTr="009D2026">
        <w:trPr>
          <w:gridAfter w:val="1"/>
          <w:wAfter w:w="9" w:type="dxa"/>
        </w:trPr>
        <w:tc>
          <w:tcPr>
            <w:tcW w:w="1800" w:type="dxa"/>
          </w:tcPr>
          <w:p w14:paraId="3DC07B1A" w14:textId="77777777" w:rsidR="00045710" w:rsidRPr="00BC2BEF" w:rsidRDefault="00045710" w:rsidP="003D1FBF">
            <w:pPr>
              <w:rPr>
                <w:sz w:val="16"/>
                <w:szCs w:val="16"/>
              </w:rPr>
            </w:pPr>
          </w:p>
        </w:tc>
        <w:tc>
          <w:tcPr>
            <w:tcW w:w="1890" w:type="dxa"/>
            <w:vAlign w:val="bottom"/>
          </w:tcPr>
          <w:p w14:paraId="1C3F78DA" w14:textId="006A85F2" w:rsidR="00045710" w:rsidRPr="00BC2BEF" w:rsidRDefault="00045710" w:rsidP="003D1FBF">
            <w:pPr>
              <w:jc w:val="center"/>
              <w:rPr>
                <w:sz w:val="16"/>
                <w:szCs w:val="16"/>
              </w:rPr>
            </w:pPr>
            <w:r w:rsidRPr="00BC2BEF">
              <w:rPr>
                <w:sz w:val="16"/>
                <w:szCs w:val="16"/>
              </w:rPr>
              <w:t>(-0.42)</w:t>
            </w:r>
          </w:p>
        </w:tc>
        <w:tc>
          <w:tcPr>
            <w:tcW w:w="2340" w:type="dxa"/>
            <w:vAlign w:val="bottom"/>
          </w:tcPr>
          <w:p w14:paraId="4A0C05F5" w14:textId="5E44E713" w:rsidR="00045710" w:rsidRPr="00BC2BEF" w:rsidRDefault="00045710" w:rsidP="003D1FBF">
            <w:pPr>
              <w:jc w:val="center"/>
              <w:rPr>
                <w:sz w:val="16"/>
                <w:szCs w:val="16"/>
              </w:rPr>
            </w:pPr>
            <w:r w:rsidRPr="00BC2BEF">
              <w:rPr>
                <w:sz w:val="16"/>
                <w:szCs w:val="16"/>
              </w:rPr>
              <w:t>(-0.84)</w:t>
            </w:r>
          </w:p>
        </w:tc>
        <w:tc>
          <w:tcPr>
            <w:tcW w:w="1853" w:type="dxa"/>
            <w:vAlign w:val="bottom"/>
          </w:tcPr>
          <w:p w14:paraId="4A4D5BC6" w14:textId="7BA7A3C3" w:rsidR="00045710" w:rsidRPr="00BC2BEF" w:rsidRDefault="00045710" w:rsidP="003D1FBF">
            <w:pPr>
              <w:jc w:val="center"/>
              <w:rPr>
                <w:sz w:val="16"/>
                <w:szCs w:val="16"/>
              </w:rPr>
            </w:pPr>
            <w:r w:rsidRPr="00BC2BEF">
              <w:rPr>
                <w:sz w:val="16"/>
                <w:szCs w:val="16"/>
              </w:rPr>
              <w:t>(-1.66)</w:t>
            </w:r>
          </w:p>
        </w:tc>
        <w:tc>
          <w:tcPr>
            <w:tcW w:w="1853" w:type="dxa"/>
            <w:vAlign w:val="bottom"/>
          </w:tcPr>
          <w:p w14:paraId="14C6979E" w14:textId="4672BB22" w:rsidR="00045710" w:rsidRPr="00BC2BEF" w:rsidRDefault="00045710" w:rsidP="003D1FBF">
            <w:pPr>
              <w:jc w:val="center"/>
              <w:rPr>
                <w:sz w:val="16"/>
                <w:szCs w:val="16"/>
              </w:rPr>
            </w:pPr>
            <w:r w:rsidRPr="00BC2BEF">
              <w:rPr>
                <w:sz w:val="16"/>
                <w:szCs w:val="16"/>
              </w:rPr>
              <w:t>(0.34)</w:t>
            </w:r>
          </w:p>
        </w:tc>
        <w:tc>
          <w:tcPr>
            <w:tcW w:w="2234" w:type="dxa"/>
            <w:vAlign w:val="bottom"/>
          </w:tcPr>
          <w:p w14:paraId="21B35653" w14:textId="6263520E" w:rsidR="00045710" w:rsidRPr="00BC2BEF" w:rsidRDefault="00045710" w:rsidP="003D1FBF">
            <w:pPr>
              <w:jc w:val="center"/>
              <w:rPr>
                <w:sz w:val="16"/>
                <w:szCs w:val="16"/>
              </w:rPr>
            </w:pPr>
            <w:r w:rsidRPr="00BC2BEF">
              <w:rPr>
                <w:sz w:val="16"/>
                <w:szCs w:val="16"/>
              </w:rPr>
              <w:t>(2.32)</w:t>
            </w:r>
          </w:p>
        </w:tc>
        <w:tc>
          <w:tcPr>
            <w:tcW w:w="1859" w:type="dxa"/>
            <w:vAlign w:val="bottom"/>
          </w:tcPr>
          <w:p w14:paraId="78038464" w14:textId="5B27732E" w:rsidR="00045710" w:rsidRPr="00BC2BEF" w:rsidRDefault="00045710" w:rsidP="003D1FBF">
            <w:pPr>
              <w:jc w:val="center"/>
              <w:rPr>
                <w:sz w:val="16"/>
                <w:szCs w:val="16"/>
              </w:rPr>
            </w:pPr>
            <w:r w:rsidRPr="00BC2BEF">
              <w:rPr>
                <w:sz w:val="16"/>
                <w:szCs w:val="16"/>
              </w:rPr>
              <w:t>(0.78)</w:t>
            </w:r>
          </w:p>
        </w:tc>
      </w:tr>
      <w:tr w:rsidR="00045710" w:rsidRPr="00600F5E" w14:paraId="3CD78FB0" w14:textId="77777777" w:rsidTr="009D2026">
        <w:trPr>
          <w:gridAfter w:val="1"/>
          <w:wAfter w:w="9" w:type="dxa"/>
        </w:trPr>
        <w:tc>
          <w:tcPr>
            <w:tcW w:w="1800" w:type="dxa"/>
          </w:tcPr>
          <w:p w14:paraId="0A9A13C1" w14:textId="77777777" w:rsidR="00045710" w:rsidRPr="00BC2BEF" w:rsidRDefault="00045710" w:rsidP="003D1FBF">
            <w:pPr>
              <w:rPr>
                <w:sz w:val="16"/>
                <w:szCs w:val="16"/>
              </w:rPr>
            </w:pPr>
          </w:p>
        </w:tc>
        <w:tc>
          <w:tcPr>
            <w:tcW w:w="1890" w:type="dxa"/>
            <w:vAlign w:val="bottom"/>
          </w:tcPr>
          <w:p w14:paraId="53F485CD" w14:textId="77777777" w:rsidR="00045710" w:rsidRPr="00BC2BEF" w:rsidRDefault="00045710" w:rsidP="003D1FBF">
            <w:pPr>
              <w:jc w:val="center"/>
              <w:rPr>
                <w:sz w:val="16"/>
                <w:szCs w:val="16"/>
              </w:rPr>
            </w:pPr>
          </w:p>
        </w:tc>
        <w:tc>
          <w:tcPr>
            <w:tcW w:w="2340" w:type="dxa"/>
            <w:vAlign w:val="bottom"/>
          </w:tcPr>
          <w:p w14:paraId="66BDF1E2" w14:textId="77777777" w:rsidR="00045710" w:rsidRPr="00BC2BEF" w:rsidRDefault="00045710" w:rsidP="003D1FBF">
            <w:pPr>
              <w:jc w:val="center"/>
              <w:rPr>
                <w:sz w:val="16"/>
                <w:szCs w:val="16"/>
              </w:rPr>
            </w:pPr>
          </w:p>
        </w:tc>
        <w:tc>
          <w:tcPr>
            <w:tcW w:w="1853" w:type="dxa"/>
            <w:vAlign w:val="bottom"/>
          </w:tcPr>
          <w:p w14:paraId="1FF55C8C" w14:textId="77777777" w:rsidR="00045710" w:rsidRPr="00BC2BEF" w:rsidRDefault="00045710" w:rsidP="003D1FBF">
            <w:pPr>
              <w:jc w:val="center"/>
              <w:rPr>
                <w:sz w:val="16"/>
                <w:szCs w:val="16"/>
              </w:rPr>
            </w:pPr>
          </w:p>
        </w:tc>
        <w:tc>
          <w:tcPr>
            <w:tcW w:w="1853" w:type="dxa"/>
            <w:vAlign w:val="bottom"/>
          </w:tcPr>
          <w:p w14:paraId="22EC1A7D" w14:textId="77777777" w:rsidR="00045710" w:rsidRPr="00BC2BEF" w:rsidRDefault="00045710" w:rsidP="003D1FBF">
            <w:pPr>
              <w:jc w:val="center"/>
              <w:rPr>
                <w:sz w:val="16"/>
                <w:szCs w:val="16"/>
              </w:rPr>
            </w:pPr>
          </w:p>
        </w:tc>
        <w:tc>
          <w:tcPr>
            <w:tcW w:w="2234" w:type="dxa"/>
            <w:vAlign w:val="bottom"/>
          </w:tcPr>
          <w:p w14:paraId="56C0E6A8" w14:textId="77777777" w:rsidR="00045710" w:rsidRPr="00BC2BEF" w:rsidRDefault="00045710" w:rsidP="003D1FBF">
            <w:pPr>
              <w:jc w:val="center"/>
              <w:rPr>
                <w:sz w:val="16"/>
                <w:szCs w:val="16"/>
              </w:rPr>
            </w:pPr>
          </w:p>
        </w:tc>
        <w:tc>
          <w:tcPr>
            <w:tcW w:w="1859" w:type="dxa"/>
            <w:vAlign w:val="bottom"/>
          </w:tcPr>
          <w:p w14:paraId="415D8C2E" w14:textId="77777777" w:rsidR="00045710" w:rsidRPr="00BC2BEF" w:rsidRDefault="00045710" w:rsidP="003D1FBF">
            <w:pPr>
              <w:jc w:val="center"/>
              <w:rPr>
                <w:sz w:val="16"/>
                <w:szCs w:val="16"/>
              </w:rPr>
            </w:pPr>
          </w:p>
        </w:tc>
      </w:tr>
      <w:tr w:rsidR="00045710" w:rsidRPr="00600F5E" w14:paraId="0B2B8BEE" w14:textId="77777777" w:rsidTr="009D2026">
        <w:trPr>
          <w:gridAfter w:val="1"/>
          <w:wAfter w:w="9" w:type="dxa"/>
        </w:trPr>
        <w:tc>
          <w:tcPr>
            <w:tcW w:w="1800" w:type="dxa"/>
          </w:tcPr>
          <w:p w14:paraId="1D70C66B" w14:textId="33813FCA" w:rsidR="00045710" w:rsidRPr="00BC2BEF" w:rsidRDefault="00045710" w:rsidP="003D1FBF">
            <w:pPr>
              <w:rPr>
                <w:sz w:val="16"/>
                <w:szCs w:val="16"/>
              </w:rPr>
            </w:pPr>
            <w:r w:rsidRPr="00BC2BEF">
              <w:rPr>
                <w:sz w:val="16"/>
                <w:szCs w:val="16"/>
              </w:rPr>
              <w:t>Industry FE</w:t>
            </w:r>
          </w:p>
        </w:tc>
        <w:tc>
          <w:tcPr>
            <w:tcW w:w="1890" w:type="dxa"/>
            <w:vAlign w:val="bottom"/>
          </w:tcPr>
          <w:p w14:paraId="0A78B298" w14:textId="22CA2D5C" w:rsidR="00045710" w:rsidRPr="00BC2BEF" w:rsidRDefault="00045710" w:rsidP="003D1FBF">
            <w:pPr>
              <w:jc w:val="center"/>
              <w:rPr>
                <w:sz w:val="16"/>
                <w:szCs w:val="16"/>
              </w:rPr>
            </w:pPr>
            <w:r w:rsidRPr="00BC2BEF">
              <w:rPr>
                <w:rFonts w:eastAsia="Times New Roman"/>
                <w:color w:val="000000"/>
                <w:sz w:val="16"/>
                <w:szCs w:val="16"/>
                <w:lang w:val="en-US" w:eastAsia="en-US"/>
              </w:rPr>
              <w:t>Included</w:t>
            </w:r>
          </w:p>
        </w:tc>
        <w:tc>
          <w:tcPr>
            <w:tcW w:w="2340" w:type="dxa"/>
            <w:vAlign w:val="bottom"/>
          </w:tcPr>
          <w:p w14:paraId="53681BC7" w14:textId="3CEFF228" w:rsidR="00045710" w:rsidRPr="00BC2BEF" w:rsidRDefault="00045710" w:rsidP="003D1FBF">
            <w:pPr>
              <w:jc w:val="center"/>
              <w:rPr>
                <w:sz w:val="16"/>
                <w:szCs w:val="16"/>
              </w:rPr>
            </w:pPr>
            <w:r w:rsidRPr="00BC2BEF">
              <w:rPr>
                <w:rFonts w:eastAsia="Times New Roman"/>
                <w:color w:val="000000"/>
                <w:sz w:val="16"/>
                <w:szCs w:val="16"/>
                <w:lang w:val="en-US" w:eastAsia="en-US"/>
              </w:rPr>
              <w:t>Included</w:t>
            </w:r>
          </w:p>
        </w:tc>
        <w:tc>
          <w:tcPr>
            <w:tcW w:w="1853" w:type="dxa"/>
            <w:vAlign w:val="bottom"/>
          </w:tcPr>
          <w:p w14:paraId="5BFE81B9" w14:textId="128D6761" w:rsidR="00045710" w:rsidRPr="00BC2BEF" w:rsidRDefault="00045710" w:rsidP="003D1FBF">
            <w:pPr>
              <w:jc w:val="center"/>
              <w:rPr>
                <w:sz w:val="16"/>
                <w:szCs w:val="16"/>
              </w:rPr>
            </w:pPr>
            <w:r w:rsidRPr="00BC2BEF">
              <w:rPr>
                <w:rFonts w:eastAsia="Times New Roman"/>
                <w:color w:val="000000"/>
                <w:sz w:val="16"/>
                <w:szCs w:val="16"/>
                <w:lang w:val="en-US" w:eastAsia="en-US"/>
              </w:rPr>
              <w:t>Included</w:t>
            </w:r>
          </w:p>
        </w:tc>
        <w:tc>
          <w:tcPr>
            <w:tcW w:w="1853" w:type="dxa"/>
            <w:vAlign w:val="bottom"/>
          </w:tcPr>
          <w:p w14:paraId="4DC38DA4" w14:textId="3C0DA725" w:rsidR="00045710" w:rsidRPr="00BC2BEF" w:rsidRDefault="00045710" w:rsidP="003D1FBF">
            <w:pPr>
              <w:jc w:val="center"/>
              <w:rPr>
                <w:sz w:val="16"/>
                <w:szCs w:val="16"/>
              </w:rPr>
            </w:pPr>
            <w:r w:rsidRPr="00BC2BEF">
              <w:rPr>
                <w:rFonts w:eastAsia="Times New Roman"/>
                <w:color w:val="000000"/>
                <w:sz w:val="16"/>
                <w:szCs w:val="16"/>
                <w:lang w:val="en-US" w:eastAsia="en-US"/>
              </w:rPr>
              <w:t>Included</w:t>
            </w:r>
          </w:p>
        </w:tc>
        <w:tc>
          <w:tcPr>
            <w:tcW w:w="2234" w:type="dxa"/>
            <w:vAlign w:val="bottom"/>
          </w:tcPr>
          <w:p w14:paraId="621DBAF2" w14:textId="47F1BDA3" w:rsidR="00045710" w:rsidRPr="00BC2BEF" w:rsidRDefault="00045710" w:rsidP="003D1FBF">
            <w:pPr>
              <w:jc w:val="center"/>
              <w:rPr>
                <w:sz w:val="16"/>
                <w:szCs w:val="16"/>
              </w:rPr>
            </w:pPr>
            <w:r w:rsidRPr="00BC2BEF">
              <w:rPr>
                <w:rFonts w:eastAsia="Times New Roman"/>
                <w:color w:val="000000"/>
                <w:sz w:val="16"/>
                <w:szCs w:val="16"/>
                <w:lang w:val="en-US" w:eastAsia="en-US"/>
              </w:rPr>
              <w:t>Included</w:t>
            </w:r>
          </w:p>
        </w:tc>
        <w:tc>
          <w:tcPr>
            <w:tcW w:w="1859" w:type="dxa"/>
            <w:vAlign w:val="bottom"/>
          </w:tcPr>
          <w:p w14:paraId="2999C51C" w14:textId="154FF9CA" w:rsidR="00045710" w:rsidRPr="00BC2BEF" w:rsidRDefault="00045710" w:rsidP="003D1FBF">
            <w:pPr>
              <w:jc w:val="center"/>
              <w:rPr>
                <w:sz w:val="16"/>
                <w:szCs w:val="16"/>
              </w:rPr>
            </w:pPr>
            <w:r w:rsidRPr="00BC2BEF">
              <w:rPr>
                <w:rFonts w:eastAsia="Times New Roman"/>
                <w:color w:val="000000"/>
                <w:sz w:val="16"/>
                <w:szCs w:val="16"/>
                <w:lang w:val="en-US" w:eastAsia="en-US"/>
              </w:rPr>
              <w:t>Included</w:t>
            </w:r>
          </w:p>
        </w:tc>
      </w:tr>
      <w:tr w:rsidR="00045710" w:rsidRPr="00600F5E" w14:paraId="564C075E" w14:textId="77777777" w:rsidTr="009D2026">
        <w:trPr>
          <w:gridAfter w:val="1"/>
          <w:wAfter w:w="9" w:type="dxa"/>
        </w:trPr>
        <w:tc>
          <w:tcPr>
            <w:tcW w:w="1800" w:type="dxa"/>
          </w:tcPr>
          <w:p w14:paraId="01416169" w14:textId="0078F9FC" w:rsidR="00045710" w:rsidRPr="00BC2BEF" w:rsidRDefault="00045710" w:rsidP="003D1FBF">
            <w:pPr>
              <w:rPr>
                <w:sz w:val="16"/>
                <w:szCs w:val="16"/>
              </w:rPr>
            </w:pPr>
            <w:r w:rsidRPr="00BC2BEF">
              <w:rPr>
                <w:sz w:val="16"/>
                <w:szCs w:val="16"/>
              </w:rPr>
              <w:t>N</w:t>
            </w:r>
          </w:p>
        </w:tc>
        <w:tc>
          <w:tcPr>
            <w:tcW w:w="1890" w:type="dxa"/>
            <w:vAlign w:val="bottom"/>
          </w:tcPr>
          <w:p w14:paraId="4442AABF" w14:textId="413AF777" w:rsidR="00045710" w:rsidRPr="00BC2BEF" w:rsidRDefault="00045710" w:rsidP="003D1FBF">
            <w:pPr>
              <w:jc w:val="center"/>
              <w:rPr>
                <w:sz w:val="16"/>
                <w:szCs w:val="16"/>
              </w:rPr>
            </w:pPr>
            <w:r w:rsidRPr="00BC2BEF">
              <w:rPr>
                <w:rFonts w:eastAsia="Times New Roman"/>
                <w:color w:val="000000"/>
                <w:sz w:val="16"/>
                <w:szCs w:val="16"/>
                <w:lang w:val="en-US" w:eastAsia="en-US"/>
              </w:rPr>
              <w:t>546</w:t>
            </w:r>
          </w:p>
        </w:tc>
        <w:tc>
          <w:tcPr>
            <w:tcW w:w="2340" w:type="dxa"/>
            <w:vAlign w:val="bottom"/>
          </w:tcPr>
          <w:p w14:paraId="4C9D44AB" w14:textId="5C29BB1A" w:rsidR="00045710" w:rsidRPr="00BC2BEF" w:rsidRDefault="00045710" w:rsidP="003D1FBF">
            <w:pPr>
              <w:jc w:val="center"/>
              <w:rPr>
                <w:sz w:val="16"/>
                <w:szCs w:val="16"/>
              </w:rPr>
            </w:pPr>
            <w:r w:rsidRPr="00BC2BEF">
              <w:rPr>
                <w:rFonts w:eastAsia="Times New Roman"/>
                <w:color w:val="000000"/>
                <w:sz w:val="16"/>
                <w:szCs w:val="16"/>
                <w:lang w:val="en-US" w:eastAsia="en-US"/>
              </w:rPr>
              <w:t>546</w:t>
            </w:r>
          </w:p>
        </w:tc>
        <w:tc>
          <w:tcPr>
            <w:tcW w:w="1853" w:type="dxa"/>
            <w:vAlign w:val="bottom"/>
          </w:tcPr>
          <w:p w14:paraId="48602CE9" w14:textId="55C3C276" w:rsidR="00045710" w:rsidRPr="00BC2BEF" w:rsidRDefault="00045710" w:rsidP="003D1FBF">
            <w:pPr>
              <w:jc w:val="center"/>
              <w:rPr>
                <w:sz w:val="16"/>
                <w:szCs w:val="16"/>
              </w:rPr>
            </w:pPr>
            <w:r w:rsidRPr="00BC2BEF">
              <w:rPr>
                <w:rFonts w:eastAsia="Times New Roman"/>
                <w:color w:val="000000"/>
                <w:sz w:val="16"/>
                <w:szCs w:val="16"/>
                <w:lang w:val="en-US" w:eastAsia="en-US"/>
              </w:rPr>
              <w:t>546</w:t>
            </w:r>
          </w:p>
        </w:tc>
        <w:tc>
          <w:tcPr>
            <w:tcW w:w="1853" w:type="dxa"/>
            <w:vAlign w:val="bottom"/>
          </w:tcPr>
          <w:p w14:paraId="2CA7C9DA" w14:textId="72D21440" w:rsidR="00045710" w:rsidRPr="00BC2BEF" w:rsidRDefault="00045710" w:rsidP="003D1FBF">
            <w:pPr>
              <w:jc w:val="center"/>
              <w:rPr>
                <w:sz w:val="16"/>
                <w:szCs w:val="16"/>
              </w:rPr>
            </w:pPr>
            <w:r w:rsidRPr="00BC2BEF">
              <w:rPr>
                <w:rFonts w:eastAsia="Times New Roman"/>
                <w:color w:val="000000"/>
                <w:sz w:val="16"/>
                <w:szCs w:val="16"/>
                <w:lang w:val="en-US" w:eastAsia="en-US"/>
              </w:rPr>
              <w:t>546</w:t>
            </w:r>
          </w:p>
        </w:tc>
        <w:tc>
          <w:tcPr>
            <w:tcW w:w="2234" w:type="dxa"/>
            <w:vAlign w:val="bottom"/>
          </w:tcPr>
          <w:p w14:paraId="3BF7768E" w14:textId="2004FEF8" w:rsidR="00045710" w:rsidRPr="00BC2BEF" w:rsidRDefault="00045710" w:rsidP="003D1FBF">
            <w:pPr>
              <w:jc w:val="center"/>
              <w:rPr>
                <w:sz w:val="16"/>
                <w:szCs w:val="16"/>
              </w:rPr>
            </w:pPr>
            <w:r w:rsidRPr="00BC2BEF">
              <w:rPr>
                <w:rFonts w:eastAsia="Times New Roman"/>
                <w:color w:val="000000"/>
                <w:sz w:val="16"/>
                <w:szCs w:val="16"/>
                <w:lang w:val="en-US" w:eastAsia="en-US"/>
              </w:rPr>
              <w:t>546</w:t>
            </w:r>
          </w:p>
        </w:tc>
        <w:tc>
          <w:tcPr>
            <w:tcW w:w="1859" w:type="dxa"/>
            <w:vAlign w:val="bottom"/>
          </w:tcPr>
          <w:p w14:paraId="1F8BEE92" w14:textId="382E6B76" w:rsidR="00045710" w:rsidRPr="00BC2BEF" w:rsidRDefault="00045710" w:rsidP="003D1FBF">
            <w:pPr>
              <w:jc w:val="center"/>
              <w:rPr>
                <w:sz w:val="16"/>
                <w:szCs w:val="16"/>
              </w:rPr>
            </w:pPr>
            <w:r w:rsidRPr="00BC2BEF">
              <w:rPr>
                <w:rFonts w:eastAsia="Times New Roman"/>
                <w:color w:val="000000"/>
                <w:sz w:val="16"/>
                <w:szCs w:val="16"/>
                <w:lang w:val="en-US" w:eastAsia="en-US"/>
              </w:rPr>
              <w:t>546</w:t>
            </w:r>
          </w:p>
        </w:tc>
      </w:tr>
      <w:tr w:rsidR="00045710" w:rsidRPr="00600F5E" w14:paraId="56B032B6" w14:textId="77777777" w:rsidTr="009D2026">
        <w:trPr>
          <w:gridAfter w:val="1"/>
          <w:wAfter w:w="9" w:type="dxa"/>
        </w:trPr>
        <w:tc>
          <w:tcPr>
            <w:tcW w:w="1800" w:type="dxa"/>
            <w:tcBorders>
              <w:bottom w:val="single" w:sz="4" w:space="0" w:color="auto"/>
            </w:tcBorders>
          </w:tcPr>
          <w:p w14:paraId="01630DEF" w14:textId="3C1AE49B" w:rsidR="00045710" w:rsidRPr="00BC2BEF" w:rsidRDefault="00045710" w:rsidP="003D1FBF">
            <w:pPr>
              <w:rPr>
                <w:sz w:val="16"/>
                <w:szCs w:val="16"/>
              </w:rPr>
            </w:pPr>
            <w:r w:rsidRPr="00BC2BEF">
              <w:rPr>
                <w:sz w:val="16"/>
                <w:szCs w:val="16"/>
              </w:rPr>
              <w:t>Pseudo R</w:t>
            </w:r>
            <w:r w:rsidRPr="00BC2BEF">
              <w:rPr>
                <w:sz w:val="16"/>
                <w:szCs w:val="16"/>
                <w:vertAlign w:val="superscript"/>
              </w:rPr>
              <w:t>2</w:t>
            </w:r>
          </w:p>
        </w:tc>
        <w:tc>
          <w:tcPr>
            <w:tcW w:w="1890" w:type="dxa"/>
            <w:tcBorders>
              <w:bottom w:val="single" w:sz="4" w:space="0" w:color="auto"/>
            </w:tcBorders>
            <w:vAlign w:val="bottom"/>
          </w:tcPr>
          <w:p w14:paraId="501A4B3C" w14:textId="2F97EEB0" w:rsidR="00045710" w:rsidRPr="00BC2BEF" w:rsidRDefault="00045710" w:rsidP="003D1FBF">
            <w:pPr>
              <w:jc w:val="center"/>
              <w:rPr>
                <w:sz w:val="16"/>
                <w:szCs w:val="16"/>
              </w:rPr>
            </w:pPr>
            <w:r w:rsidRPr="00BC2BEF">
              <w:rPr>
                <w:rFonts w:eastAsia="Times New Roman"/>
                <w:color w:val="000000"/>
                <w:sz w:val="16"/>
                <w:szCs w:val="16"/>
                <w:lang w:val="en-US" w:eastAsia="en-US"/>
              </w:rPr>
              <w:t>0.01</w:t>
            </w:r>
            <w:r w:rsidR="00CE0EDE" w:rsidRPr="00BC2BEF">
              <w:rPr>
                <w:rFonts w:eastAsia="Times New Roman"/>
                <w:color w:val="000000"/>
                <w:sz w:val="16"/>
                <w:szCs w:val="16"/>
                <w:lang w:val="en-US" w:eastAsia="en-US"/>
              </w:rPr>
              <w:t>6</w:t>
            </w:r>
          </w:p>
        </w:tc>
        <w:tc>
          <w:tcPr>
            <w:tcW w:w="2340" w:type="dxa"/>
            <w:tcBorders>
              <w:bottom w:val="single" w:sz="4" w:space="0" w:color="auto"/>
            </w:tcBorders>
            <w:vAlign w:val="bottom"/>
          </w:tcPr>
          <w:p w14:paraId="1BC52C98" w14:textId="32934C4D" w:rsidR="00045710" w:rsidRPr="00BC2BEF" w:rsidRDefault="00045710" w:rsidP="003D1FBF">
            <w:pPr>
              <w:jc w:val="center"/>
              <w:rPr>
                <w:sz w:val="16"/>
                <w:szCs w:val="16"/>
              </w:rPr>
            </w:pPr>
            <w:r w:rsidRPr="00BC2BEF">
              <w:rPr>
                <w:rFonts w:eastAsia="Times New Roman"/>
                <w:color w:val="000000"/>
                <w:sz w:val="16"/>
                <w:szCs w:val="16"/>
                <w:lang w:val="en-US" w:eastAsia="en-US"/>
              </w:rPr>
              <w:t>0.024</w:t>
            </w:r>
          </w:p>
        </w:tc>
        <w:tc>
          <w:tcPr>
            <w:tcW w:w="1853" w:type="dxa"/>
            <w:tcBorders>
              <w:bottom w:val="single" w:sz="4" w:space="0" w:color="auto"/>
            </w:tcBorders>
            <w:vAlign w:val="bottom"/>
          </w:tcPr>
          <w:p w14:paraId="764C8275" w14:textId="52081AFB" w:rsidR="00045710" w:rsidRPr="00BC2BEF" w:rsidRDefault="00045710" w:rsidP="003D1FBF">
            <w:pPr>
              <w:jc w:val="center"/>
              <w:rPr>
                <w:sz w:val="16"/>
                <w:szCs w:val="16"/>
              </w:rPr>
            </w:pPr>
            <w:r w:rsidRPr="00BC2BEF">
              <w:rPr>
                <w:rFonts w:eastAsia="Times New Roman"/>
                <w:color w:val="000000"/>
                <w:sz w:val="16"/>
                <w:szCs w:val="16"/>
                <w:lang w:val="en-US" w:eastAsia="en-US"/>
              </w:rPr>
              <w:t>0.026</w:t>
            </w:r>
          </w:p>
        </w:tc>
        <w:tc>
          <w:tcPr>
            <w:tcW w:w="1853" w:type="dxa"/>
            <w:tcBorders>
              <w:bottom w:val="single" w:sz="4" w:space="0" w:color="auto"/>
            </w:tcBorders>
            <w:vAlign w:val="bottom"/>
          </w:tcPr>
          <w:p w14:paraId="7035A807" w14:textId="57E2E9B5" w:rsidR="00045710" w:rsidRPr="00BC2BEF" w:rsidRDefault="00045710" w:rsidP="003D1FBF">
            <w:pPr>
              <w:jc w:val="center"/>
              <w:rPr>
                <w:sz w:val="16"/>
                <w:szCs w:val="16"/>
              </w:rPr>
            </w:pPr>
            <w:r w:rsidRPr="00BC2BEF">
              <w:rPr>
                <w:rFonts w:eastAsia="Times New Roman"/>
                <w:color w:val="000000"/>
                <w:sz w:val="16"/>
                <w:szCs w:val="16"/>
                <w:lang w:val="en-US" w:eastAsia="en-US"/>
              </w:rPr>
              <w:t>0.009</w:t>
            </w:r>
          </w:p>
        </w:tc>
        <w:tc>
          <w:tcPr>
            <w:tcW w:w="2234" w:type="dxa"/>
            <w:tcBorders>
              <w:bottom w:val="single" w:sz="4" w:space="0" w:color="auto"/>
            </w:tcBorders>
            <w:vAlign w:val="bottom"/>
          </w:tcPr>
          <w:p w14:paraId="557C198A" w14:textId="7AB62105" w:rsidR="00045710" w:rsidRPr="00BC2BEF" w:rsidRDefault="00045710" w:rsidP="003D1FBF">
            <w:pPr>
              <w:jc w:val="center"/>
              <w:rPr>
                <w:sz w:val="16"/>
                <w:szCs w:val="16"/>
              </w:rPr>
            </w:pPr>
            <w:r w:rsidRPr="00BC2BEF">
              <w:rPr>
                <w:rFonts w:eastAsia="Times New Roman"/>
                <w:color w:val="000000"/>
                <w:sz w:val="16"/>
                <w:szCs w:val="16"/>
                <w:lang w:val="en-US" w:eastAsia="en-US"/>
              </w:rPr>
              <w:t>0.026</w:t>
            </w:r>
          </w:p>
        </w:tc>
        <w:tc>
          <w:tcPr>
            <w:tcW w:w="1859" w:type="dxa"/>
            <w:tcBorders>
              <w:bottom w:val="single" w:sz="4" w:space="0" w:color="auto"/>
            </w:tcBorders>
            <w:vAlign w:val="bottom"/>
          </w:tcPr>
          <w:p w14:paraId="14ECACDC" w14:textId="67DD66BB" w:rsidR="00045710" w:rsidRPr="00BC2BEF" w:rsidRDefault="00045710" w:rsidP="003D1FBF">
            <w:pPr>
              <w:jc w:val="center"/>
              <w:rPr>
                <w:sz w:val="16"/>
                <w:szCs w:val="16"/>
              </w:rPr>
            </w:pPr>
            <w:r w:rsidRPr="00BC2BEF">
              <w:rPr>
                <w:rFonts w:eastAsia="Times New Roman"/>
                <w:color w:val="000000"/>
                <w:sz w:val="16"/>
                <w:szCs w:val="16"/>
                <w:lang w:val="en-US" w:eastAsia="en-US"/>
              </w:rPr>
              <w:t>0.014</w:t>
            </w:r>
          </w:p>
        </w:tc>
      </w:tr>
      <w:tr w:rsidR="00D473C3" w:rsidRPr="00600F5E" w14:paraId="4DE565BD" w14:textId="77777777" w:rsidTr="009D2026">
        <w:tc>
          <w:tcPr>
            <w:tcW w:w="13838" w:type="dxa"/>
            <w:gridSpan w:val="8"/>
            <w:tcBorders>
              <w:top w:val="single" w:sz="4" w:space="0" w:color="auto"/>
              <w:bottom w:val="single" w:sz="4" w:space="0" w:color="auto"/>
            </w:tcBorders>
            <w:vAlign w:val="bottom"/>
          </w:tcPr>
          <w:p w14:paraId="2C5EDA31" w14:textId="79E78551" w:rsidR="00D473C3" w:rsidRPr="0032441D" w:rsidRDefault="00D473C3" w:rsidP="003D1FBF">
            <w:pPr>
              <w:spacing w:before="120" w:after="120"/>
              <w:jc w:val="both"/>
              <w:rPr>
                <w:rFonts w:eastAsia="Times New Roman"/>
                <w:color w:val="000000"/>
                <w:sz w:val="16"/>
                <w:szCs w:val="16"/>
                <w:lang w:val="en-US" w:eastAsia="en-US"/>
              </w:rPr>
            </w:pPr>
            <w:r w:rsidRPr="0032441D">
              <w:rPr>
                <w:rFonts w:eastAsia="Times New Roman"/>
                <w:color w:val="000000"/>
                <w:sz w:val="16"/>
                <w:szCs w:val="16"/>
                <w:lang w:val="en-US" w:eastAsia="en-US"/>
              </w:rPr>
              <w:t xml:space="preserve">This table presents the results of the multivariate analysis of the effect of the </w:t>
            </w:r>
            <w:r w:rsidR="00CF30DD">
              <w:rPr>
                <w:rFonts w:eastAsia="Times New Roman"/>
                <w:color w:val="000000"/>
                <w:sz w:val="16"/>
                <w:szCs w:val="16"/>
                <w:lang w:val="en-US" w:eastAsia="en-US"/>
              </w:rPr>
              <w:t xml:space="preserve">2012 </w:t>
            </w:r>
            <w:r w:rsidRPr="0032441D">
              <w:rPr>
                <w:rFonts w:eastAsia="Times New Roman"/>
                <w:color w:val="000000"/>
                <w:sz w:val="16"/>
                <w:szCs w:val="16"/>
                <w:lang w:val="en-US" w:eastAsia="en-US"/>
              </w:rPr>
              <w:t>JOBS Act on the percentage of each theme (%Core accounting issues, %</w:t>
            </w:r>
            <w:proofErr w:type="gramStart"/>
            <w:r w:rsidRPr="0032441D">
              <w:rPr>
                <w:rFonts w:eastAsia="Times New Roman"/>
                <w:color w:val="000000"/>
                <w:sz w:val="16"/>
                <w:szCs w:val="16"/>
                <w:lang w:val="en-US" w:eastAsia="en-US"/>
              </w:rPr>
              <w:t>Non-core</w:t>
            </w:r>
            <w:proofErr w:type="gramEnd"/>
            <w:r w:rsidRPr="0032441D">
              <w:rPr>
                <w:rFonts w:eastAsia="Times New Roman"/>
                <w:color w:val="000000"/>
                <w:sz w:val="16"/>
                <w:szCs w:val="16"/>
                <w:lang w:val="en-US" w:eastAsia="en-US"/>
              </w:rPr>
              <w:t xml:space="preserve"> accounting issues, %Offering issues, %Business issues, %Corporate governance issues, %Disclosure issues) mentioned in SEC comment letters issued to EGC-eligible IPOs. </w:t>
            </w:r>
            <w:r w:rsidR="00355D66">
              <w:rPr>
                <w:rFonts w:eastAsia="Times New Roman"/>
                <w:color w:val="000000"/>
                <w:sz w:val="16"/>
                <w:szCs w:val="16"/>
                <w:lang w:val="en-US" w:eastAsia="en-US"/>
              </w:rPr>
              <w:t>The n</w:t>
            </w:r>
            <w:r w:rsidRPr="0032441D">
              <w:rPr>
                <w:rFonts w:eastAsia="Times New Roman"/>
                <w:color w:val="000000"/>
                <w:sz w:val="16"/>
                <w:szCs w:val="16"/>
                <w:lang w:val="en-US" w:eastAsia="en-US"/>
              </w:rPr>
              <w:t xml:space="preserve">egative binomial regression </w:t>
            </w:r>
            <w:r w:rsidR="00355D66">
              <w:rPr>
                <w:rFonts w:eastAsia="Times New Roman"/>
                <w:color w:val="000000"/>
                <w:sz w:val="16"/>
                <w:szCs w:val="16"/>
                <w:lang w:val="en-US" w:eastAsia="en-US"/>
              </w:rPr>
              <w:t xml:space="preserve">method </w:t>
            </w:r>
            <w:r w:rsidRPr="0032441D">
              <w:rPr>
                <w:rFonts w:eastAsia="Times New Roman"/>
                <w:color w:val="000000"/>
                <w:sz w:val="16"/>
                <w:szCs w:val="16"/>
                <w:lang w:val="en-US" w:eastAsia="en-US"/>
              </w:rPr>
              <w:t>is employed. All variables are defined in Appendix A. The regressions include industry fixed effects using two-digit SIC code. Results from Z-statistics are presented in parentheses below coefficient estimates and are based on robust standard errors clustered at the two-digit SIC industry level. *, **, and *** denote significance at the 10%, 5%, and 1% levels, respectively, based on a two-tailed test.</w:t>
            </w:r>
          </w:p>
        </w:tc>
      </w:tr>
    </w:tbl>
    <w:p w14:paraId="4D3D2F74" w14:textId="77777777" w:rsidR="00556C20" w:rsidRDefault="00556C20" w:rsidP="003D1FBF">
      <w:pPr>
        <w:sectPr w:rsidR="00556C20" w:rsidSect="005B638E">
          <w:pgSz w:w="16838" w:h="11906" w:orient="landscape"/>
          <w:pgMar w:top="1440" w:right="1440" w:bottom="1440" w:left="1440" w:header="708" w:footer="708" w:gutter="0"/>
          <w:cols w:space="708"/>
          <w:docGrid w:linePitch="360"/>
        </w:sectPr>
      </w:pPr>
    </w:p>
    <w:p w14:paraId="155A27B6" w14:textId="1CF9D651" w:rsidR="00F0531D" w:rsidRDefault="00F0531D"/>
    <w:p w14:paraId="379F9D85" w14:textId="016AC4B9" w:rsidR="00EE64F7" w:rsidRDefault="00EE64F7"/>
    <w:p w14:paraId="780992AB" w14:textId="77777777" w:rsidR="00EE64F7" w:rsidRDefault="00EE64F7"/>
    <w:p w14:paraId="53CDE5E8" w14:textId="77777777" w:rsidR="00EE64F7" w:rsidRDefault="00EE64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9331C" w14:paraId="0802420E" w14:textId="77777777" w:rsidTr="00A9331C">
        <w:tc>
          <w:tcPr>
            <w:tcW w:w="9016" w:type="dxa"/>
            <w:tcBorders>
              <w:bottom w:val="single" w:sz="4" w:space="0" w:color="auto"/>
            </w:tcBorders>
          </w:tcPr>
          <w:p w14:paraId="7A16CCD2" w14:textId="77777777" w:rsidR="00A9331C" w:rsidRPr="00A9331C" w:rsidRDefault="00A9331C" w:rsidP="003D1FBF">
            <w:pPr>
              <w:jc w:val="center"/>
              <w:rPr>
                <w:b/>
                <w:bCs/>
                <w:noProof/>
              </w:rPr>
            </w:pPr>
            <w:r w:rsidRPr="00A9331C">
              <w:rPr>
                <w:b/>
                <w:bCs/>
                <w:noProof/>
              </w:rPr>
              <w:t>FIGURE 1</w:t>
            </w:r>
          </w:p>
          <w:p w14:paraId="24AFD16E" w14:textId="2D152B03" w:rsidR="00A9331C" w:rsidRDefault="00A9331C" w:rsidP="003D1FBF">
            <w:pPr>
              <w:spacing w:after="120"/>
              <w:jc w:val="center"/>
              <w:rPr>
                <w:noProof/>
              </w:rPr>
            </w:pPr>
            <w:r w:rsidRPr="00A9331C">
              <w:rPr>
                <w:b/>
                <w:bCs/>
                <w:noProof/>
              </w:rPr>
              <w:t>Sample distribution by year</w:t>
            </w:r>
          </w:p>
        </w:tc>
      </w:tr>
      <w:tr w:rsidR="00556C20" w14:paraId="15ECA442" w14:textId="77777777" w:rsidTr="00A9331C">
        <w:tc>
          <w:tcPr>
            <w:tcW w:w="9016" w:type="dxa"/>
            <w:tcBorders>
              <w:top w:val="single" w:sz="4" w:space="0" w:color="auto"/>
              <w:bottom w:val="single" w:sz="4" w:space="0" w:color="auto"/>
            </w:tcBorders>
          </w:tcPr>
          <w:p w14:paraId="1CFFA1BD" w14:textId="23AF2830" w:rsidR="00556C20" w:rsidRDefault="00A9331C" w:rsidP="003D1FBF">
            <w:pPr>
              <w:spacing w:before="240" w:after="240"/>
            </w:pPr>
            <w:r>
              <w:rPr>
                <w:noProof/>
              </w:rPr>
              <w:drawing>
                <wp:inline distT="0" distB="0" distL="0" distR="0" wp14:anchorId="492ADC8A" wp14:editId="38EAD30B">
                  <wp:extent cx="5584190" cy="3554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4190" cy="3554095"/>
                          </a:xfrm>
                          <a:prstGeom prst="rect">
                            <a:avLst/>
                          </a:prstGeom>
                          <a:noFill/>
                        </pic:spPr>
                      </pic:pic>
                    </a:graphicData>
                  </a:graphic>
                </wp:inline>
              </w:drawing>
            </w:r>
          </w:p>
        </w:tc>
      </w:tr>
    </w:tbl>
    <w:p w14:paraId="754B89B3" w14:textId="77777777" w:rsidR="007D241D" w:rsidRDefault="007D241D" w:rsidP="003D1FBF">
      <w:pPr>
        <w:sectPr w:rsidR="007D241D" w:rsidSect="005D4628">
          <w:pgSz w:w="11906" w:h="16838"/>
          <w:pgMar w:top="1440" w:right="1440" w:bottom="1440" w:left="1440" w:header="708" w:footer="708" w:gutter="0"/>
          <w:cols w:space="708"/>
          <w:docGrid w:linePitch="360"/>
        </w:sectPr>
      </w:pPr>
    </w:p>
    <w:p w14:paraId="6DEE7BE7" w14:textId="77777777" w:rsidR="007D241D" w:rsidRDefault="007D241D" w:rsidP="007D241D">
      <w:pPr>
        <w:spacing w:after="240"/>
        <w:rPr>
          <w:rFonts w:eastAsia="Times New Roman"/>
          <w:b/>
          <w:bCs/>
        </w:rPr>
      </w:pPr>
      <w:r>
        <w:rPr>
          <w:rFonts w:eastAsia="Times New Roman"/>
          <w:b/>
          <w:bCs/>
        </w:rPr>
        <w:lastRenderedPageBreak/>
        <w:t>Ap</w:t>
      </w:r>
      <w:r w:rsidRPr="00E859F9">
        <w:rPr>
          <w:rFonts w:eastAsia="Times New Roman"/>
          <w:b/>
          <w:bCs/>
        </w:rPr>
        <w:t>pendix A. Variable definitions</w:t>
      </w:r>
    </w:p>
    <w:tbl>
      <w:tblPr>
        <w:tblStyle w:val="TableGrid"/>
        <w:tblW w:w="9036" w:type="dxa"/>
        <w:tblLook w:val="04A0" w:firstRow="1" w:lastRow="0" w:firstColumn="1" w:lastColumn="0" w:noHBand="0" w:noVBand="1"/>
      </w:tblPr>
      <w:tblGrid>
        <w:gridCol w:w="2223"/>
        <w:gridCol w:w="6813"/>
      </w:tblGrid>
      <w:tr w:rsidR="007D241D" w14:paraId="2F0029F2" w14:textId="77777777" w:rsidTr="00281C7E">
        <w:trPr>
          <w:trHeight w:val="420"/>
        </w:trPr>
        <w:tc>
          <w:tcPr>
            <w:tcW w:w="2223" w:type="dxa"/>
            <w:tcBorders>
              <w:left w:val="single" w:sz="4" w:space="0" w:color="FFFFFF" w:themeColor="background1"/>
              <w:right w:val="single" w:sz="4" w:space="0" w:color="FFFFFF" w:themeColor="background1"/>
            </w:tcBorders>
          </w:tcPr>
          <w:p w14:paraId="71145210" w14:textId="77777777" w:rsidR="007D241D" w:rsidRPr="00115E10" w:rsidRDefault="007D241D" w:rsidP="00281C7E">
            <w:pPr>
              <w:spacing w:after="120"/>
              <w:rPr>
                <w:sz w:val="22"/>
                <w:szCs w:val="22"/>
              </w:rPr>
            </w:pPr>
            <w:r w:rsidRPr="00115E10">
              <w:rPr>
                <w:rFonts w:eastAsia="Times New Roman"/>
                <w:b/>
                <w:bCs/>
                <w:sz w:val="22"/>
                <w:szCs w:val="22"/>
              </w:rPr>
              <w:t>Variable</w:t>
            </w:r>
          </w:p>
        </w:tc>
        <w:tc>
          <w:tcPr>
            <w:tcW w:w="6813" w:type="dxa"/>
            <w:tcBorders>
              <w:left w:val="single" w:sz="4" w:space="0" w:color="FFFFFF" w:themeColor="background1"/>
              <w:right w:val="single" w:sz="4" w:space="0" w:color="FFFFFF" w:themeColor="background1"/>
            </w:tcBorders>
          </w:tcPr>
          <w:p w14:paraId="339D2779" w14:textId="77777777" w:rsidR="007D241D" w:rsidRPr="00115E10" w:rsidRDefault="007D241D" w:rsidP="00281C7E">
            <w:pPr>
              <w:spacing w:after="120"/>
              <w:rPr>
                <w:sz w:val="22"/>
                <w:szCs w:val="22"/>
              </w:rPr>
            </w:pPr>
            <w:r w:rsidRPr="00115E10">
              <w:rPr>
                <w:rFonts w:eastAsia="Times New Roman"/>
                <w:b/>
                <w:bCs/>
                <w:sz w:val="22"/>
                <w:szCs w:val="22"/>
              </w:rPr>
              <w:t>Definition</w:t>
            </w:r>
          </w:p>
        </w:tc>
      </w:tr>
      <w:tr w:rsidR="007D241D" w14:paraId="5F58FE74" w14:textId="77777777" w:rsidTr="00281C7E">
        <w:trPr>
          <w:trHeight w:val="20"/>
        </w:trPr>
        <w:tc>
          <w:tcPr>
            <w:tcW w:w="9036" w:type="dxa"/>
            <w:gridSpan w:val="2"/>
            <w:tcBorders>
              <w:left w:val="single" w:sz="4" w:space="0" w:color="FFFFFF" w:themeColor="background1"/>
              <w:bottom w:val="single" w:sz="4" w:space="0" w:color="FFFFFF" w:themeColor="background1"/>
              <w:right w:val="single" w:sz="4" w:space="0" w:color="FFFFFF" w:themeColor="background1"/>
            </w:tcBorders>
          </w:tcPr>
          <w:p w14:paraId="3455EC5A" w14:textId="77777777" w:rsidR="007D241D" w:rsidRPr="00115E10" w:rsidRDefault="007D241D" w:rsidP="00281C7E">
            <w:pPr>
              <w:spacing w:after="120"/>
              <w:rPr>
                <w:sz w:val="22"/>
                <w:szCs w:val="22"/>
              </w:rPr>
            </w:pPr>
            <w:r w:rsidRPr="00115E10">
              <w:rPr>
                <w:rFonts w:eastAsia="Times New Roman"/>
                <w:b/>
                <w:bCs/>
                <w:i/>
                <w:iCs/>
                <w:sz w:val="22"/>
                <w:szCs w:val="22"/>
              </w:rPr>
              <w:t>Enactment of JOBS Act</w:t>
            </w:r>
          </w:p>
        </w:tc>
      </w:tr>
      <w:tr w:rsidR="007D241D" w14:paraId="086CAA03"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68619" w14:textId="77777777" w:rsidR="007D241D" w:rsidRPr="00115E10" w:rsidRDefault="007D241D" w:rsidP="00281C7E">
            <w:pPr>
              <w:spacing w:after="120"/>
              <w:rPr>
                <w:sz w:val="22"/>
                <w:szCs w:val="22"/>
              </w:rPr>
            </w:pPr>
            <w:r w:rsidRPr="00115E10">
              <w:rPr>
                <w:rFonts w:eastAsia="Times New Roman"/>
                <w:sz w:val="22"/>
                <w:szCs w:val="22"/>
              </w:rPr>
              <w:t>JOBS Act</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F364BF" w14:textId="77777777" w:rsidR="007D241D" w:rsidRPr="00115E10" w:rsidRDefault="007D241D" w:rsidP="00281C7E">
            <w:pPr>
              <w:spacing w:after="120"/>
              <w:jc w:val="both"/>
              <w:rPr>
                <w:sz w:val="22"/>
                <w:szCs w:val="22"/>
              </w:rPr>
            </w:pPr>
            <w:r w:rsidRPr="00115E10">
              <w:rPr>
                <w:rFonts w:eastAsia="Times New Roman"/>
                <w:sz w:val="22"/>
                <w:szCs w:val="22"/>
              </w:rPr>
              <w:t xml:space="preserve">An indicator variable equal to 1 if the initial S-1 filing is made under the JOBS Act (during the period 2012 to present), and 0 otherwise. (Source: </w:t>
            </w:r>
            <w:r>
              <w:rPr>
                <w:rFonts w:eastAsia="Times New Roman"/>
                <w:sz w:val="22"/>
                <w:szCs w:val="22"/>
              </w:rPr>
              <w:t>Refinitiv</w:t>
            </w:r>
            <w:r w:rsidRPr="00115E10">
              <w:rPr>
                <w:rFonts w:eastAsia="Times New Roman"/>
                <w:sz w:val="22"/>
                <w:szCs w:val="22"/>
              </w:rPr>
              <w:t xml:space="preserve"> Eikon)</w:t>
            </w:r>
          </w:p>
        </w:tc>
      </w:tr>
      <w:tr w:rsidR="007D241D" w14:paraId="51554E6F"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2F886" w14:textId="77777777" w:rsidR="007D241D" w:rsidRPr="00115E10" w:rsidRDefault="007D241D" w:rsidP="00281C7E">
            <w:pPr>
              <w:spacing w:after="120"/>
              <w:rPr>
                <w:rFonts w:eastAsia="Times New Roman"/>
                <w:sz w:val="22"/>
                <w:szCs w:val="22"/>
              </w:rPr>
            </w:pPr>
            <w:r w:rsidRPr="00115E10">
              <w:rPr>
                <w:rFonts w:eastAsia="Times New Roman"/>
                <w:sz w:val="22"/>
                <w:szCs w:val="22"/>
              </w:rPr>
              <w:t>EGC</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518CE" w14:textId="77777777" w:rsidR="007D241D" w:rsidRPr="00115E10" w:rsidRDefault="007D241D" w:rsidP="00281C7E">
            <w:pPr>
              <w:spacing w:after="120"/>
              <w:jc w:val="both"/>
              <w:rPr>
                <w:rFonts w:eastAsia="Times New Roman"/>
                <w:sz w:val="22"/>
                <w:szCs w:val="22"/>
              </w:rPr>
            </w:pPr>
            <w:r w:rsidRPr="00115E10">
              <w:rPr>
                <w:rFonts w:eastAsia="Times New Roman"/>
                <w:sz w:val="22"/>
                <w:szCs w:val="22"/>
              </w:rPr>
              <w:t xml:space="preserve">An indicator variable equal to 1 if IPO firm has total annual gross revenues that are less than $1 billion in the most recent fiscal year, and 0 otherwise. (Source: </w:t>
            </w:r>
            <w:proofErr w:type="spellStart"/>
            <w:r w:rsidRPr="00115E10">
              <w:rPr>
                <w:rFonts w:eastAsia="Times New Roman"/>
                <w:sz w:val="22"/>
                <w:szCs w:val="22"/>
              </w:rPr>
              <w:t>Compustat</w:t>
            </w:r>
            <w:proofErr w:type="spellEnd"/>
            <w:r w:rsidRPr="00115E10">
              <w:rPr>
                <w:rFonts w:eastAsia="Times New Roman"/>
                <w:sz w:val="22"/>
                <w:szCs w:val="22"/>
              </w:rPr>
              <w:t>)</w:t>
            </w:r>
          </w:p>
        </w:tc>
      </w:tr>
      <w:tr w:rsidR="007D241D" w14:paraId="443B6A51" w14:textId="77777777" w:rsidTr="00281C7E">
        <w:trPr>
          <w:trHeight w:val="20"/>
        </w:trPr>
        <w:tc>
          <w:tcPr>
            <w:tcW w:w="2223" w:type="dxa"/>
            <w:tcBorders>
              <w:top w:val="single" w:sz="4" w:space="0" w:color="FFFFFF" w:themeColor="background1"/>
              <w:left w:val="single" w:sz="4" w:space="0" w:color="FFFFFF" w:themeColor="background1"/>
              <w:right w:val="single" w:sz="4" w:space="0" w:color="FFFFFF" w:themeColor="background1"/>
            </w:tcBorders>
          </w:tcPr>
          <w:p w14:paraId="50AEC99F" w14:textId="77777777" w:rsidR="007D241D" w:rsidRPr="00115E10" w:rsidRDefault="007D241D" w:rsidP="00281C7E">
            <w:pPr>
              <w:spacing w:after="120"/>
              <w:rPr>
                <w:sz w:val="22"/>
                <w:szCs w:val="22"/>
              </w:rPr>
            </w:pPr>
            <w:r>
              <w:rPr>
                <w:sz w:val="22"/>
                <w:szCs w:val="22"/>
              </w:rPr>
              <w:t>Non-SRC</w:t>
            </w:r>
          </w:p>
        </w:tc>
        <w:tc>
          <w:tcPr>
            <w:tcW w:w="6813" w:type="dxa"/>
            <w:tcBorders>
              <w:top w:val="single" w:sz="4" w:space="0" w:color="FFFFFF" w:themeColor="background1"/>
              <w:left w:val="single" w:sz="4" w:space="0" w:color="FFFFFF" w:themeColor="background1"/>
              <w:right w:val="single" w:sz="4" w:space="0" w:color="FFFFFF" w:themeColor="background1"/>
            </w:tcBorders>
          </w:tcPr>
          <w:p w14:paraId="5C79B5AC" w14:textId="77777777" w:rsidR="007D241D" w:rsidRPr="00115E10" w:rsidRDefault="007D241D" w:rsidP="00281C7E">
            <w:pPr>
              <w:spacing w:after="120"/>
              <w:jc w:val="both"/>
              <w:rPr>
                <w:sz w:val="22"/>
                <w:szCs w:val="22"/>
              </w:rPr>
            </w:pPr>
            <w:r>
              <w:rPr>
                <w:sz w:val="22"/>
                <w:szCs w:val="22"/>
              </w:rPr>
              <w:t xml:space="preserve">An indicator variable equal to 0 for EGC IPO firms qualifying for smaller reporting company (SRC) status, and 0 otherwise. </w:t>
            </w:r>
          </w:p>
        </w:tc>
      </w:tr>
      <w:tr w:rsidR="007D241D" w14:paraId="2C3CE0EC" w14:textId="77777777" w:rsidTr="00281C7E">
        <w:trPr>
          <w:trHeight w:val="20"/>
        </w:trPr>
        <w:tc>
          <w:tcPr>
            <w:tcW w:w="9036" w:type="dxa"/>
            <w:gridSpan w:val="2"/>
            <w:tcBorders>
              <w:left w:val="single" w:sz="4" w:space="0" w:color="FFFFFF" w:themeColor="background1"/>
              <w:bottom w:val="single" w:sz="4" w:space="0" w:color="FFFFFF" w:themeColor="background1"/>
              <w:right w:val="single" w:sz="4" w:space="0" w:color="FFFFFF" w:themeColor="background1"/>
            </w:tcBorders>
          </w:tcPr>
          <w:p w14:paraId="366A6F4E" w14:textId="77777777" w:rsidR="007D241D" w:rsidRPr="00115E10" w:rsidRDefault="007D241D" w:rsidP="00281C7E">
            <w:pPr>
              <w:spacing w:after="120"/>
              <w:rPr>
                <w:sz w:val="22"/>
                <w:szCs w:val="22"/>
              </w:rPr>
            </w:pPr>
            <w:r w:rsidRPr="00115E10">
              <w:rPr>
                <w:b/>
                <w:bCs/>
                <w:i/>
                <w:iCs/>
                <w:sz w:val="22"/>
                <w:szCs w:val="22"/>
              </w:rPr>
              <w:t>SEC review attributes</w:t>
            </w:r>
          </w:p>
        </w:tc>
      </w:tr>
      <w:tr w:rsidR="007D241D" w14:paraId="4D275F9E"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D928E" w14:textId="77777777" w:rsidR="007D241D" w:rsidRPr="00115E10" w:rsidRDefault="007D241D" w:rsidP="00281C7E">
            <w:pPr>
              <w:spacing w:after="120"/>
              <w:rPr>
                <w:sz w:val="22"/>
                <w:szCs w:val="22"/>
              </w:rPr>
            </w:pPr>
            <w:r w:rsidRPr="00115E10">
              <w:rPr>
                <w:sz w:val="22"/>
                <w:szCs w:val="22"/>
              </w:rPr>
              <w:t>Duration</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C1CBD" w14:textId="77777777" w:rsidR="007D241D" w:rsidRPr="00115E10" w:rsidRDefault="007D241D" w:rsidP="00281C7E">
            <w:pPr>
              <w:autoSpaceDE w:val="0"/>
              <w:autoSpaceDN w:val="0"/>
              <w:adjustRightInd w:val="0"/>
              <w:spacing w:after="120"/>
              <w:rPr>
                <w:sz w:val="22"/>
                <w:szCs w:val="22"/>
              </w:rPr>
            </w:pPr>
            <w:r w:rsidRPr="00115E10">
              <w:rPr>
                <w:sz w:val="22"/>
                <w:szCs w:val="22"/>
              </w:rPr>
              <w:t>The number of days from the filing date of the initial S-1 to the IPO</w:t>
            </w:r>
            <w:r>
              <w:rPr>
                <w:sz w:val="22"/>
                <w:szCs w:val="22"/>
              </w:rPr>
              <w:t xml:space="preserve"> </w:t>
            </w:r>
            <w:r w:rsidRPr="00115E10">
              <w:rPr>
                <w:sz w:val="22"/>
                <w:szCs w:val="22"/>
              </w:rPr>
              <w:t xml:space="preserve">effective date. (Source: </w:t>
            </w:r>
            <w:r>
              <w:rPr>
                <w:sz w:val="22"/>
                <w:szCs w:val="22"/>
              </w:rPr>
              <w:t>Refinitiv</w:t>
            </w:r>
            <w:r w:rsidRPr="00115E10">
              <w:rPr>
                <w:sz w:val="22"/>
                <w:szCs w:val="22"/>
              </w:rPr>
              <w:t xml:space="preserve"> Eikon)</w:t>
            </w:r>
          </w:p>
        </w:tc>
      </w:tr>
      <w:tr w:rsidR="007D241D" w14:paraId="1C748D4C"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8C0C08" w14:textId="77777777" w:rsidR="007D241D" w:rsidRPr="00115E10" w:rsidRDefault="007D241D" w:rsidP="00281C7E">
            <w:pPr>
              <w:spacing w:after="120"/>
              <w:rPr>
                <w:sz w:val="22"/>
                <w:szCs w:val="22"/>
              </w:rPr>
            </w:pPr>
            <w:r w:rsidRPr="00115E10">
              <w:rPr>
                <w:sz w:val="22"/>
                <w:szCs w:val="22"/>
              </w:rPr>
              <w:t>#Letters</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B694BA" w14:textId="77777777" w:rsidR="007D241D" w:rsidRPr="00115E10" w:rsidRDefault="007D241D" w:rsidP="00281C7E">
            <w:pPr>
              <w:autoSpaceDE w:val="0"/>
              <w:autoSpaceDN w:val="0"/>
              <w:adjustRightInd w:val="0"/>
              <w:spacing w:after="120"/>
              <w:rPr>
                <w:sz w:val="22"/>
                <w:szCs w:val="22"/>
              </w:rPr>
            </w:pPr>
            <w:r w:rsidRPr="00115E10">
              <w:rPr>
                <w:sz w:val="22"/>
                <w:szCs w:val="22"/>
              </w:rPr>
              <w:t xml:space="preserve">The number of comment letters that the SEC issues for firm </w:t>
            </w:r>
            <w:proofErr w:type="spellStart"/>
            <w:r w:rsidRPr="00115E10">
              <w:rPr>
                <w:sz w:val="22"/>
                <w:szCs w:val="22"/>
              </w:rPr>
              <w:t>i</w:t>
            </w:r>
            <w:proofErr w:type="spellEnd"/>
            <w:r w:rsidRPr="00115E10">
              <w:rPr>
                <w:sz w:val="22"/>
                <w:szCs w:val="22"/>
              </w:rPr>
              <w:t xml:space="preserve"> during</w:t>
            </w:r>
            <w:r>
              <w:rPr>
                <w:sz w:val="22"/>
                <w:szCs w:val="22"/>
              </w:rPr>
              <w:t xml:space="preserve"> </w:t>
            </w:r>
            <w:r w:rsidRPr="00115E10">
              <w:rPr>
                <w:sz w:val="22"/>
                <w:szCs w:val="22"/>
              </w:rPr>
              <w:t>the IPO review process. (Source: EDGAR)</w:t>
            </w:r>
          </w:p>
        </w:tc>
      </w:tr>
      <w:tr w:rsidR="007D241D" w14:paraId="6B2B21A3"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5D5B66" w14:textId="77777777" w:rsidR="007D241D" w:rsidRPr="00115E10" w:rsidRDefault="007D241D" w:rsidP="00281C7E">
            <w:pPr>
              <w:spacing w:after="120"/>
              <w:rPr>
                <w:sz w:val="22"/>
                <w:szCs w:val="22"/>
              </w:rPr>
            </w:pPr>
            <w:r w:rsidRPr="00115E10">
              <w:rPr>
                <w:sz w:val="22"/>
                <w:szCs w:val="22"/>
              </w:rPr>
              <w:t>#Comments</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83A23" w14:textId="77777777" w:rsidR="007D241D" w:rsidRPr="00115E10" w:rsidRDefault="007D241D" w:rsidP="00281C7E">
            <w:pPr>
              <w:autoSpaceDE w:val="0"/>
              <w:autoSpaceDN w:val="0"/>
              <w:adjustRightInd w:val="0"/>
              <w:spacing w:after="120"/>
              <w:rPr>
                <w:sz w:val="22"/>
                <w:szCs w:val="22"/>
              </w:rPr>
            </w:pPr>
            <w:r w:rsidRPr="00115E10">
              <w:rPr>
                <w:sz w:val="22"/>
                <w:szCs w:val="22"/>
              </w:rPr>
              <w:t xml:space="preserve">The number of comments in the initial SEC comment letter for firm </w:t>
            </w:r>
            <w:proofErr w:type="spellStart"/>
            <w:r w:rsidRPr="00115E10">
              <w:rPr>
                <w:sz w:val="22"/>
                <w:szCs w:val="22"/>
              </w:rPr>
              <w:t>i</w:t>
            </w:r>
            <w:proofErr w:type="spellEnd"/>
            <w:r w:rsidRPr="00115E10">
              <w:rPr>
                <w:sz w:val="22"/>
                <w:szCs w:val="22"/>
              </w:rPr>
              <w:t xml:space="preserve"> during the IPO review process. If no SEC comment letters are issued, #</w:t>
            </w:r>
            <w:r w:rsidRPr="00115E10">
              <w:rPr>
                <w:i/>
                <w:iCs/>
                <w:sz w:val="22"/>
                <w:szCs w:val="22"/>
              </w:rPr>
              <w:t xml:space="preserve">Comments </w:t>
            </w:r>
            <w:r w:rsidRPr="00115E10">
              <w:rPr>
                <w:sz w:val="22"/>
                <w:szCs w:val="22"/>
              </w:rPr>
              <w:t>is set equal to 0. (Source: EDGAR)</w:t>
            </w:r>
          </w:p>
        </w:tc>
      </w:tr>
      <w:tr w:rsidR="007D241D" w14:paraId="59D79830"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64AA5" w14:textId="77777777" w:rsidR="007D241D" w:rsidRPr="00115E10" w:rsidRDefault="007D241D" w:rsidP="00281C7E">
            <w:pPr>
              <w:spacing w:after="120"/>
              <w:rPr>
                <w:sz w:val="22"/>
                <w:szCs w:val="22"/>
              </w:rPr>
            </w:pPr>
            <w:r w:rsidRPr="00115E10">
              <w:rPr>
                <w:sz w:val="22"/>
                <w:szCs w:val="22"/>
              </w:rPr>
              <w:t>#Themes</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A9374" w14:textId="77777777" w:rsidR="007D241D" w:rsidRPr="00115E10" w:rsidRDefault="007D241D" w:rsidP="00281C7E">
            <w:pPr>
              <w:autoSpaceDE w:val="0"/>
              <w:autoSpaceDN w:val="0"/>
              <w:adjustRightInd w:val="0"/>
              <w:spacing w:after="120"/>
              <w:rPr>
                <w:sz w:val="22"/>
                <w:szCs w:val="22"/>
              </w:rPr>
            </w:pPr>
            <w:r w:rsidRPr="00115E10">
              <w:rPr>
                <w:sz w:val="22"/>
                <w:szCs w:val="22"/>
              </w:rPr>
              <w:t xml:space="preserve">The number of different types of issues identified in the SEC’s initial comment letter for firm </w:t>
            </w:r>
            <w:proofErr w:type="spellStart"/>
            <w:r w:rsidRPr="00115E10">
              <w:rPr>
                <w:sz w:val="22"/>
                <w:szCs w:val="22"/>
              </w:rPr>
              <w:t>i</w:t>
            </w:r>
            <w:proofErr w:type="spellEnd"/>
            <w:r w:rsidRPr="00115E10">
              <w:rPr>
                <w:sz w:val="22"/>
                <w:szCs w:val="22"/>
              </w:rPr>
              <w:t xml:space="preserve"> during the IPO review process. Individual themes are identified using the coding scheme and process described in section 4.2. If no SEC comment letters are issued, </w:t>
            </w:r>
            <w:r w:rsidRPr="00115E10">
              <w:rPr>
                <w:i/>
                <w:iCs/>
                <w:sz w:val="22"/>
                <w:szCs w:val="22"/>
              </w:rPr>
              <w:t xml:space="preserve">#Themes </w:t>
            </w:r>
            <w:r w:rsidRPr="00115E10">
              <w:rPr>
                <w:sz w:val="22"/>
                <w:szCs w:val="22"/>
              </w:rPr>
              <w:t>is set equal to 0. (Source: EDGAR)</w:t>
            </w:r>
          </w:p>
        </w:tc>
      </w:tr>
      <w:tr w:rsidR="007D241D" w14:paraId="665A357A"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F65B7B" w14:textId="77777777" w:rsidR="007D241D" w:rsidRPr="00115E10" w:rsidRDefault="007D241D" w:rsidP="00281C7E">
            <w:pPr>
              <w:autoSpaceDE w:val="0"/>
              <w:autoSpaceDN w:val="0"/>
              <w:adjustRightInd w:val="0"/>
              <w:spacing w:after="120"/>
              <w:rPr>
                <w:sz w:val="22"/>
                <w:szCs w:val="22"/>
              </w:rPr>
            </w:pPr>
            <w:r w:rsidRPr="00115E10">
              <w:rPr>
                <w:sz w:val="22"/>
                <w:szCs w:val="22"/>
              </w:rPr>
              <w:t>%Core Accounting</w:t>
            </w:r>
          </w:p>
          <w:p w14:paraId="0C2042B2" w14:textId="77777777" w:rsidR="007D241D" w:rsidRPr="00115E10" w:rsidRDefault="007D241D" w:rsidP="00281C7E">
            <w:pPr>
              <w:spacing w:after="120"/>
              <w:rPr>
                <w:sz w:val="22"/>
                <w:szCs w:val="22"/>
              </w:rPr>
            </w:pPr>
            <w:r w:rsidRPr="00115E10">
              <w:rPr>
                <w:sz w:val="22"/>
                <w:szCs w:val="22"/>
              </w:rPr>
              <w:t>issues</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AB654E" w14:textId="77777777" w:rsidR="007D241D" w:rsidRPr="00115E10" w:rsidRDefault="007D241D" w:rsidP="00281C7E">
            <w:pPr>
              <w:autoSpaceDE w:val="0"/>
              <w:autoSpaceDN w:val="0"/>
              <w:adjustRightInd w:val="0"/>
              <w:spacing w:after="120"/>
              <w:rPr>
                <w:sz w:val="22"/>
                <w:szCs w:val="22"/>
              </w:rPr>
            </w:pPr>
            <w:r w:rsidRPr="00115E10">
              <w:rPr>
                <w:sz w:val="22"/>
                <w:szCs w:val="22"/>
              </w:rPr>
              <w:t>The percentage of comments in the initial SEC comment letter relating to core accounting issues. Core accounting issues are defined under Theme I of the coding scheme in Appendix B. (Source: EDGAR)</w:t>
            </w:r>
          </w:p>
        </w:tc>
      </w:tr>
      <w:tr w:rsidR="007D241D" w14:paraId="3A2DC965"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C288DA" w14:textId="77777777" w:rsidR="007D241D" w:rsidRPr="00115E10" w:rsidRDefault="007D241D" w:rsidP="00281C7E">
            <w:pPr>
              <w:autoSpaceDE w:val="0"/>
              <w:autoSpaceDN w:val="0"/>
              <w:adjustRightInd w:val="0"/>
              <w:spacing w:after="120"/>
              <w:rPr>
                <w:sz w:val="22"/>
                <w:szCs w:val="22"/>
              </w:rPr>
            </w:pPr>
            <w:r w:rsidRPr="00115E10">
              <w:rPr>
                <w:sz w:val="22"/>
                <w:szCs w:val="22"/>
              </w:rPr>
              <w:t>%Non-core</w:t>
            </w:r>
          </w:p>
          <w:p w14:paraId="1B08CC85" w14:textId="77777777" w:rsidR="007D241D" w:rsidRPr="00115E10" w:rsidRDefault="007D241D" w:rsidP="00281C7E">
            <w:pPr>
              <w:spacing w:after="120"/>
              <w:rPr>
                <w:sz w:val="22"/>
                <w:szCs w:val="22"/>
              </w:rPr>
            </w:pPr>
            <w:r w:rsidRPr="00115E10">
              <w:rPr>
                <w:sz w:val="22"/>
                <w:szCs w:val="22"/>
              </w:rPr>
              <w:t>accounting issues</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9ABC12" w14:textId="77777777" w:rsidR="007D241D" w:rsidRPr="00115E10" w:rsidRDefault="007D241D" w:rsidP="00281C7E">
            <w:pPr>
              <w:autoSpaceDE w:val="0"/>
              <w:autoSpaceDN w:val="0"/>
              <w:adjustRightInd w:val="0"/>
              <w:spacing w:after="120"/>
              <w:rPr>
                <w:sz w:val="22"/>
                <w:szCs w:val="22"/>
              </w:rPr>
            </w:pPr>
            <w:r w:rsidRPr="00115E10">
              <w:rPr>
                <w:sz w:val="22"/>
                <w:szCs w:val="22"/>
              </w:rPr>
              <w:t>The percentage of comments in the initial SEC comment letter relating to non-core accounting issues. Non-core accounting issues are defined under Theme II of the coding scheme in Appendix B. (Source: EDGAR)</w:t>
            </w:r>
          </w:p>
        </w:tc>
      </w:tr>
      <w:tr w:rsidR="007D241D" w14:paraId="1A7294F2"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93ECC7" w14:textId="77777777" w:rsidR="007D241D" w:rsidRPr="00115E10" w:rsidRDefault="007D241D" w:rsidP="00281C7E">
            <w:pPr>
              <w:spacing w:after="120"/>
              <w:rPr>
                <w:sz w:val="22"/>
                <w:szCs w:val="22"/>
              </w:rPr>
            </w:pPr>
            <w:r w:rsidRPr="00115E10">
              <w:rPr>
                <w:sz w:val="22"/>
                <w:szCs w:val="22"/>
              </w:rPr>
              <w:t>%Offering issues</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EF53E8" w14:textId="77777777" w:rsidR="007D241D" w:rsidRPr="00115E10" w:rsidRDefault="007D241D" w:rsidP="00281C7E">
            <w:pPr>
              <w:autoSpaceDE w:val="0"/>
              <w:autoSpaceDN w:val="0"/>
              <w:adjustRightInd w:val="0"/>
              <w:spacing w:after="120"/>
              <w:rPr>
                <w:sz w:val="22"/>
                <w:szCs w:val="22"/>
              </w:rPr>
            </w:pPr>
            <w:r w:rsidRPr="00115E10">
              <w:rPr>
                <w:sz w:val="22"/>
                <w:szCs w:val="22"/>
              </w:rPr>
              <w:t>The percentage of comments in the initial SEC comment letter relating to offering-related issues. Offering-related issues are defined under Theme III of the coding scheme in Appendix B. (Source: EDGAR)</w:t>
            </w:r>
          </w:p>
        </w:tc>
      </w:tr>
      <w:tr w:rsidR="007D241D" w14:paraId="284ADAD4"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C8BB17" w14:textId="77777777" w:rsidR="007D241D" w:rsidRPr="00115E10" w:rsidRDefault="007D241D" w:rsidP="00281C7E">
            <w:pPr>
              <w:spacing w:after="120"/>
              <w:rPr>
                <w:sz w:val="22"/>
                <w:szCs w:val="22"/>
              </w:rPr>
            </w:pPr>
            <w:r w:rsidRPr="00115E10">
              <w:rPr>
                <w:sz w:val="22"/>
                <w:szCs w:val="22"/>
              </w:rPr>
              <w:t>%Business issues</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BE3D85" w14:textId="77777777" w:rsidR="007D241D" w:rsidRPr="00115E10" w:rsidRDefault="007D241D" w:rsidP="00281C7E">
            <w:pPr>
              <w:autoSpaceDE w:val="0"/>
              <w:autoSpaceDN w:val="0"/>
              <w:adjustRightInd w:val="0"/>
              <w:spacing w:after="120"/>
              <w:rPr>
                <w:sz w:val="22"/>
                <w:szCs w:val="22"/>
              </w:rPr>
            </w:pPr>
            <w:r w:rsidRPr="00115E10">
              <w:rPr>
                <w:sz w:val="22"/>
                <w:szCs w:val="22"/>
              </w:rPr>
              <w:t>The percentage of comments in the initial SEC comment letter relating to business-related issues. Business-related issues are defined under Theme IV of the coding scheme in Appendix B. (Source: EDGAR)</w:t>
            </w:r>
          </w:p>
        </w:tc>
      </w:tr>
      <w:tr w:rsidR="007D241D" w14:paraId="6E4F9464"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9C3BE" w14:textId="77777777" w:rsidR="007D241D" w:rsidRPr="00115E10" w:rsidRDefault="007D241D" w:rsidP="00281C7E">
            <w:pPr>
              <w:autoSpaceDE w:val="0"/>
              <w:autoSpaceDN w:val="0"/>
              <w:adjustRightInd w:val="0"/>
              <w:spacing w:after="120"/>
              <w:rPr>
                <w:sz w:val="22"/>
                <w:szCs w:val="22"/>
              </w:rPr>
            </w:pPr>
            <w:r w:rsidRPr="00115E10">
              <w:rPr>
                <w:sz w:val="22"/>
                <w:szCs w:val="22"/>
              </w:rPr>
              <w:t>%Corporate</w:t>
            </w:r>
          </w:p>
          <w:p w14:paraId="239729DD" w14:textId="77777777" w:rsidR="007D241D" w:rsidRPr="00115E10" w:rsidRDefault="007D241D" w:rsidP="00281C7E">
            <w:pPr>
              <w:spacing w:after="120"/>
              <w:rPr>
                <w:sz w:val="22"/>
                <w:szCs w:val="22"/>
              </w:rPr>
            </w:pPr>
            <w:r w:rsidRPr="00115E10">
              <w:rPr>
                <w:sz w:val="22"/>
                <w:szCs w:val="22"/>
              </w:rPr>
              <w:t>governance issues</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2DD4F4" w14:textId="77777777" w:rsidR="007D241D" w:rsidRPr="00115E10" w:rsidRDefault="007D241D" w:rsidP="00281C7E">
            <w:pPr>
              <w:autoSpaceDE w:val="0"/>
              <w:autoSpaceDN w:val="0"/>
              <w:adjustRightInd w:val="0"/>
              <w:spacing w:after="120"/>
              <w:rPr>
                <w:sz w:val="22"/>
                <w:szCs w:val="22"/>
              </w:rPr>
            </w:pPr>
            <w:r w:rsidRPr="00115E10">
              <w:rPr>
                <w:sz w:val="22"/>
                <w:szCs w:val="22"/>
              </w:rPr>
              <w:t>The percentage of comments in the initial SEC comment letter relating to corporate governance issues. Corporate governance issues are defined under Theme V of the coding scheme in Appendix B. (Source: EDGAR)</w:t>
            </w:r>
          </w:p>
        </w:tc>
      </w:tr>
      <w:tr w:rsidR="007D241D" w14:paraId="528B4C70"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FCB4FD" w14:textId="77777777" w:rsidR="007D241D" w:rsidRPr="00115E10" w:rsidRDefault="007D241D" w:rsidP="00281C7E">
            <w:pPr>
              <w:spacing w:after="120"/>
              <w:rPr>
                <w:sz w:val="22"/>
                <w:szCs w:val="22"/>
              </w:rPr>
            </w:pPr>
            <w:r w:rsidRPr="00115E10">
              <w:rPr>
                <w:sz w:val="22"/>
                <w:szCs w:val="22"/>
              </w:rPr>
              <w:t>%Disclosure issues</w:t>
            </w:r>
          </w:p>
        </w:tc>
        <w:tc>
          <w:tcPr>
            <w:tcW w:w="6813" w:type="dxa"/>
            <w:tcBorders>
              <w:top w:val="single" w:sz="4" w:space="0" w:color="FFFFFF" w:themeColor="background1"/>
              <w:left w:val="single" w:sz="4" w:space="0" w:color="FFFFFF" w:themeColor="background1"/>
              <w:right w:val="single" w:sz="4" w:space="0" w:color="FFFFFF" w:themeColor="background1"/>
            </w:tcBorders>
          </w:tcPr>
          <w:p w14:paraId="62B84711" w14:textId="77777777" w:rsidR="007D241D" w:rsidRPr="00115E10" w:rsidRDefault="007D241D" w:rsidP="00281C7E">
            <w:pPr>
              <w:autoSpaceDE w:val="0"/>
              <w:autoSpaceDN w:val="0"/>
              <w:adjustRightInd w:val="0"/>
              <w:spacing w:after="120"/>
              <w:rPr>
                <w:sz w:val="22"/>
                <w:szCs w:val="22"/>
              </w:rPr>
            </w:pPr>
            <w:r w:rsidRPr="00115E10">
              <w:rPr>
                <w:sz w:val="22"/>
                <w:szCs w:val="22"/>
              </w:rPr>
              <w:t>The percentage of comments in the initial SEC comment letter relating to disclosure issues. Disclosure issues are defined under Theme VI of the coding scheme in Appendix B. (Source: EDGAR)</w:t>
            </w:r>
          </w:p>
        </w:tc>
      </w:tr>
      <w:tr w:rsidR="007D241D" w14:paraId="0123D805" w14:textId="77777777" w:rsidTr="00281C7E">
        <w:trPr>
          <w:trHeight w:val="20"/>
        </w:trPr>
        <w:tc>
          <w:tcPr>
            <w:tcW w:w="9036" w:type="dxa"/>
            <w:gridSpan w:val="2"/>
            <w:tcBorders>
              <w:left w:val="single" w:sz="4" w:space="0" w:color="FFFFFF" w:themeColor="background1"/>
              <w:bottom w:val="single" w:sz="4" w:space="0" w:color="FFFFFF" w:themeColor="background1"/>
              <w:right w:val="single" w:sz="4" w:space="0" w:color="FFFFFF" w:themeColor="background1"/>
            </w:tcBorders>
          </w:tcPr>
          <w:p w14:paraId="450048CB" w14:textId="77777777" w:rsidR="007D241D" w:rsidRDefault="007D241D" w:rsidP="00281C7E">
            <w:pPr>
              <w:autoSpaceDE w:val="0"/>
              <w:autoSpaceDN w:val="0"/>
              <w:adjustRightInd w:val="0"/>
              <w:spacing w:after="120"/>
              <w:rPr>
                <w:b/>
                <w:bCs/>
                <w:i/>
                <w:iCs/>
                <w:sz w:val="22"/>
                <w:szCs w:val="22"/>
              </w:rPr>
            </w:pPr>
          </w:p>
          <w:p w14:paraId="36F560FF" w14:textId="77777777" w:rsidR="007D241D" w:rsidRDefault="007D241D" w:rsidP="00281C7E">
            <w:pPr>
              <w:autoSpaceDE w:val="0"/>
              <w:autoSpaceDN w:val="0"/>
              <w:adjustRightInd w:val="0"/>
              <w:spacing w:after="120"/>
              <w:rPr>
                <w:b/>
                <w:bCs/>
                <w:i/>
                <w:iCs/>
                <w:sz w:val="22"/>
                <w:szCs w:val="22"/>
              </w:rPr>
            </w:pPr>
          </w:p>
          <w:p w14:paraId="7E96FAE3" w14:textId="77777777" w:rsidR="007D241D" w:rsidRPr="00115E10" w:rsidRDefault="007D241D" w:rsidP="00281C7E">
            <w:pPr>
              <w:autoSpaceDE w:val="0"/>
              <w:autoSpaceDN w:val="0"/>
              <w:adjustRightInd w:val="0"/>
              <w:spacing w:after="120"/>
              <w:rPr>
                <w:sz w:val="22"/>
                <w:szCs w:val="22"/>
              </w:rPr>
            </w:pPr>
            <w:r w:rsidRPr="00115E10">
              <w:rPr>
                <w:b/>
                <w:bCs/>
                <w:i/>
                <w:iCs/>
                <w:sz w:val="22"/>
                <w:szCs w:val="22"/>
              </w:rPr>
              <w:lastRenderedPageBreak/>
              <w:t>Market concentration</w:t>
            </w:r>
          </w:p>
        </w:tc>
      </w:tr>
      <w:tr w:rsidR="007D241D" w14:paraId="782B1DF1" w14:textId="77777777" w:rsidTr="00281C7E">
        <w:trPr>
          <w:trHeight w:val="20"/>
        </w:trPr>
        <w:tc>
          <w:tcPr>
            <w:tcW w:w="2223" w:type="dxa"/>
            <w:tcBorders>
              <w:top w:val="single" w:sz="4" w:space="0" w:color="FFFFFF" w:themeColor="background1"/>
              <w:left w:val="single" w:sz="4" w:space="0" w:color="FFFFFF" w:themeColor="background1"/>
              <w:right w:val="single" w:sz="4" w:space="0" w:color="FFFFFF" w:themeColor="background1"/>
            </w:tcBorders>
          </w:tcPr>
          <w:p w14:paraId="5722ED8A" w14:textId="77777777" w:rsidR="007D241D" w:rsidRPr="00115E10" w:rsidRDefault="007D241D" w:rsidP="00281C7E">
            <w:pPr>
              <w:spacing w:after="120"/>
              <w:rPr>
                <w:sz w:val="22"/>
                <w:szCs w:val="22"/>
              </w:rPr>
            </w:pPr>
            <w:r w:rsidRPr="00115E10">
              <w:rPr>
                <w:sz w:val="22"/>
                <w:szCs w:val="22"/>
              </w:rPr>
              <w:lastRenderedPageBreak/>
              <w:t>Herfindahl index</w:t>
            </w:r>
          </w:p>
        </w:tc>
        <w:tc>
          <w:tcPr>
            <w:tcW w:w="6813" w:type="dxa"/>
            <w:tcBorders>
              <w:top w:val="single" w:sz="4" w:space="0" w:color="FFFFFF" w:themeColor="background1"/>
              <w:left w:val="single" w:sz="4" w:space="0" w:color="FFFFFF" w:themeColor="background1"/>
              <w:right w:val="single" w:sz="4" w:space="0" w:color="FFFFFF" w:themeColor="background1"/>
            </w:tcBorders>
          </w:tcPr>
          <w:p w14:paraId="71FFAA09" w14:textId="77777777" w:rsidR="007D241D" w:rsidRPr="00115E10" w:rsidRDefault="007D241D" w:rsidP="00281C7E">
            <w:pPr>
              <w:autoSpaceDE w:val="0"/>
              <w:autoSpaceDN w:val="0"/>
              <w:adjustRightInd w:val="0"/>
              <w:spacing w:after="120"/>
              <w:rPr>
                <w:sz w:val="22"/>
                <w:szCs w:val="22"/>
              </w:rPr>
            </w:pPr>
            <m:oMath>
              <m:r>
                <m:rPr>
                  <m:nor/>
                </m:rPr>
                <w:rPr>
                  <w:i/>
                  <w:sz w:val="22"/>
                  <w:szCs w:val="22"/>
                </w:rPr>
                <m:t>Herfindahl Index=</m:t>
              </m:r>
              <m:nary>
                <m:naryPr>
                  <m:chr m:val="∑"/>
                  <m:limLoc m:val="undOvr"/>
                  <m:ctrlPr>
                    <w:rPr>
                      <w:rFonts w:ascii="Cambria Math" w:hAnsi="Cambria Math"/>
                      <w:i/>
                      <w:sz w:val="22"/>
                      <w:szCs w:val="22"/>
                    </w:rPr>
                  </m:ctrlPr>
                </m:naryPr>
                <m:sub>
                  <w:proofErr w:type="spellStart"/>
                  <m:r>
                    <m:rPr>
                      <m:nor/>
                    </m:rPr>
                    <w:rPr>
                      <w:i/>
                      <w:sz w:val="22"/>
                      <w:szCs w:val="22"/>
                    </w:rPr>
                    <m:t>i</m:t>
                  </m:r>
                  <w:proofErr w:type="spellEnd"/>
                  <m:r>
                    <m:rPr>
                      <m:nor/>
                    </m:rPr>
                    <w:rPr>
                      <w:i/>
                      <w:sz w:val="22"/>
                      <w:szCs w:val="22"/>
                    </w:rPr>
                    <m:t>=1</m:t>
                  </m:r>
                </m:sub>
                <m:sup>
                  <m:r>
                    <m:rPr>
                      <m:nor/>
                    </m:rPr>
                    <w:rPr>
                      <w:i/>
                      <w:sz w:val="22"/>
                      <w:szCs w:val="22"/>
                    </w:rPr>
                    <m:t>n</m:t>
                  </m:r>
                </m:sup>
                <m:e>
                  <m:sSup>
                    <m:sSupPr>
                      <m:ctrlPr>
                        <w:rPr>
                          <w:rFonts w:ascii="Cambria Math" w:hAnsi="Cambria Math"/>
                          <w:i/>
                          <w:sz w:val="22"/>
                          <w:szCs w:val="22"/>
                        </w:rPr>
                      </m:ctrlPr>
                    </m:sSupPr>
                    <m:e>
                      <m:r>
                        <m:rPr>
                          <m:nor/>
                        </m:rPr>
                        <w:rPr>
                          <w:i/>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m:rPr>
                                  <m:nor/>
                                </m:rPr>
                                <w:rPr>
                                  <w:i/>
                                  <w:sz w:val="22"/>
                                  <w:szCs w:val="22"/>
                                </w:rPr>
                                <m:t>sales</m:t>
                              </m:r>
                            </m:e>
                            <m:sub>
                              <m:r>
                                <m:rPr>
                                  <m:nor/>
                                </m:rPr>
                                <w:rPr>
                                  <w:i/>
                                  <w:sz w:val="22"/>
                                  <w:szCs w:val="22"/>
                                </w:rPr>
                                <m:t xml:space="preserve">t-1,  </m:t>
                              </m:r>
                              <w:proofErr w:type="spellStart"/>
                              <m:r>
                                <m:rPr>
                                  <m:nor/>
                                </m:rPr>
                                <w:rPr>
                                  <w:i/>
                                  <w:sz w:val="22"/>
                                  <w:szCs w:val="22"/>
                                </w:rPr>
                                <m:t>ij</m:t>
                              </m:r>
                              <w:proofErr w:type="spellEnd"/>
                            </m:sub>
                          </m:sSub>
                        </m:num>
                        <m:den>
                          <m:sSub>
                            <m:sSubPr>
                              <m:ctrlPr>
                                <w:rPr>
                                  <w:rFonts w:ascii="Cambria Math" w:hAnsi="Cambria Math"/>
                                  <w:i/>
                                  <w:sz w:val="22"/>
                                  <w:szCs w:val="22"/>
                                </w:rPr>
                              </m:ctrlPr>
                            </m:sSubPr>
                            <m:e>
                              <m:r>
                                <m:rPr>
                                  <m:nor/>
                                </m:rPr>
                                <w:rPr>
                                  <w:i/>
                                  <w:sz w:val="22"/>
                                  <w:szCs w:val="22"/>
                                </w:rPr>
                                <m:t>sales</m:t>
                              </m:r>
                            </m:e>
                            <m:sub>
                              <m:r>
                                <m:rPr>
                                  <m:nor/>
                                </m:rPr>
                                <w:rPr>
                                  <w:i/>
                                  <w:sz w:val="22"/>
                                  <w:szCs w:val="22"/>
                                </w:rPr>
                                <m:t>t-1,   j</m:t>
                              </m:r>
                            </m:sub>
                          </m:sSub>
                        </m:den>
                      </m:f>
                      <m:r>
                        <m:rPr>
                          <m:nor/>
                        </m:rPr>
                        <w:rPr>
                          <w:i/>
                          <w:sz w:val="22"/>
                          <w:szCs w:val="22"/>
                        </w:rPr>
                        <m:t>)</m:t>
                      </m:r>
                    </m:e>
                    <m:sup>
                      <m:r>
                        <m:rPr>
                          <m:nor/>
                        </m:rPr>
                        <w:rPr>
                          <w:i/>
                          <w:sz w:val="22"/>
                          <w:szCs w:val="22"/>
                        </w:rPr>
                        <m:t>2</m:t>
                      </m:r>
                    </m:sup>
                  </m:sSup>
                </m:e>
              </m:nary>
            </m:oMath>
            <w:r w:rsidRPr="00115E10">
              <w:rPr>
                <w:sz w:val="22"/>
                <w:szCs w:val="22"/>
              </w:rPr>
              <w:t xml:space="preserve"> where </w:t>
            </w:r>
            <m:oMath>
              <m:sSub>
                <m:sSubPr>
                  <m:ctrlPr>
                    <w:rPr>
                      <w:rFonts w:ascii="Cambria Math" w:hAnsi="Cambria Math"/>
                      <w:i/>
                      <w:sz w:val="22"/>
                      <w:szCs w:val="22"/>
                    </w:rPr>
                  </m:ctrlPr>
                </m:sSubPr>
                <m:e>
                  <m:r>
                    <m:rPr>
                      <m:nor/>
                    </m:rPr>
                    <w:rPr>
                      <w:i/>
                      <w:sz w:val="22"/>
                      <w:szCs w:val="22"/>
                    </w:rPr>
                    <m:t>sales</m:t>
                  </m:r>
                </m:e>
                <m:sub>
                  <m:r>
                    <m:rPr>
                      <m:nor/>
                    </m:rPr>
                    <w:rPr>
                      <w:i/>
                      <w:sz w:val="22"/>
                      <w:szCs w:val="22"/>
                    </w:rPr>
                    <m:t xml:space="preserve">t-1,  </m:t>
                  </m:r>
                  <w:proofErr w:type="spellStart"/>
                  <m:r>
                    <m:rPr>
                      <m:nor/>
                    </m:rPr>
                    <w:rPr>
                      <w:i/>
                      <w:sz w:val="22"/>
                      <w:szCs w:val="22"/>
                    </w:rPr>
                    <m:t>ij</m:t>
                  </m:r>
                  <w:proofErr w:type="spellEnd"/>
                </m:sub>
              </m:sSub>
            </m:oMath>
            <w:r w:rsidRPr="00115E10">
              <w:rPr>
                <w:sz w:val="22"/>
                <w:szCs w:val="22"/>
              </w:rPr>
              <w:t xml:space="preserve"> is firm i’s sales in year t-1 in industry j, as defined by two-digit SIC codes, </w:t>
            </w:r>
            <m:oMath>
              <m:sSub>
                <m:sSubPr>
                  <m:ctrlPr>
                    <w:rPr>
                      <w:rFonts w:ascii="Cambria Math" w:hAnsi="Cambria Math"/>
                      <w:i/>
                      <w:sz w:val="22"/>
                      <w:szCs w:val="22"/>
                    </w:rPr>
                  </m:ctrlPr>
                </m:sSubPr>
                <m:e>
                  <m:r>
                    <m:rPr>
                      <m:nor/>
                    </m:rPr>
                    <w:rPr>
                      <w:i/>
                      <w:sz w:val="22"/>
                      <w:szCs w:val="22"/>
                    </w:rPr>
                    <m:t>sales</m:t>
                  </m:r>
                </m:e>
                <m:sub>
                  <m:r>
                    <m:rPr>
                      <m:nor/>
                    </m:rPr>
                    <w:rPr>
                      <w:i/>
                      <w:sz w:val="22"/>
                      <w:szCs w:val="22"/>
                    </w:rPr>
                    <m:t>t-1,   j</m:t>
                  </m:r>
                </m:sub>
              </m:sSub>
            </m:oMath>
            <w:r w:rsidRPr="00115E10">
              <w:rPr>
                <w:sz w:val="22"/>
                <w:szCs w:val="22"/>
              </w:rPr>
              <w:t xml:space="preserve"> is the sum of sales in year t-1 for all firms in industry j </w:t>
            </w:r>
            <w:r w:rsidRPr="00115E10">
              <w:rPr>
                <w:sz w:val="22"/>
                <w:szCs w:val="22"/>
              </w:rPr>
              <w:fldChar w:fldCharType="begin" w:fldLock="1"/>
            </w:r>
            <w:r w:rsidRPr="00115E10">
              <w:rPr>
                <w:sz w:val="22"/>
                <w:szCs w:val="22"/>
              </w:rPr>
              <w:instrText>ADDIN CSL_CITATION {"citationItems":[{"id":"ITEM-1","itemData":{"author":[{"dropping-particle":"","family":"Wang","given":"Qian","non-dropping-particle":"","parse-names":false,"suffix":""}],"container-title":"Journal of Accounting and Public Policy","id":"ITEM-1","issue":"2","issued":{"date-parts":[["2016"]]},"page":"109-133","publisher":"Elsevier Inc.","title":"Determinants of segment disclosure deficiencies and the effect of the SEC comment letter process","type":"article-journal","volume":"35"},"uris":["http://www.mendeley.com/documents/?uuid=91cfdfb9-8157-4540-8d03-7dd2af28c48c"]}],"mendeley":{"formattedCitation":"(Wang, 2016)","plainTextFormattedCitation":"(Wang, 2016)","previouslyFormattedCitation":"(Wang, 2016)"},"properties":{"noteIndex":0},"schema":"https://github.com/citation-style-language/schema/raw/master/csl-citation.json"}</w:instrText>
            </w:r>
            <w:r w:rsidRPr="00115E10">
              <w:rPr>
                <w:sz w:val="22"/>
                <w:szCs w:val="22"/>
              </w:rPr>
              <w:fldChar w:fldCharType="separate"/>
            </w:r>
            <w:r w:rsidRPr="00115E10">
              <w:rPr>
                <w:noProof/>
                <w:sz w:val="22"/>
                <w:szCs w:val="22"/>
              </w:rPr>
              <w:t>(Wang, 2016)</w:t>
            </w:r>
            <w:r w:rsidRPr="00115E10">
              <w:rPr>
                <w:sz w:val="22"/>
                <w:szCs w:val="22"/>
              </w:rPr>
              <w:fldChar w:fldCharType="end"/>
            </w:r>
            <w:r w:rsidRPr="00115E10">
              <w:rPr>
                <w:sz w:val="22"/>
                <w:szCs w:val="22"/>
              </w:rPr>
              <w:t xml:space="preserve">. (Source: </w:t>
            </w:r>
            <w:proofErr w:type="spellStart"/>
            <w:r w:rsidRPr="00115E10">
              <w:rPr>
                <w:sz w:val="22"/>
                <w:szCs w:val="22"/>
              </w:rPr>
              <w:t>Compustat</w:t>
            </w:r>
            <w:proofErr w:type="spellEnd"/>
            <w:r w:rsidRPr="00115E10">
              <w:rPr>
                <w:sz w:val="22"/>
                <w:szCs w:val="22"/>
              </w:rPr>
              <w:t>)</w:t>
            </w:r>
          </w:p>
        </w:tc>
      </w:tr>
      <w:tr w:rsidR="007D241D" w14:paraId="16501A59" w14:textId="77777777" w:rsidTr="00281C7E">
        <w:trPr>
          <w:trHeight w:val="20"/>
        </w:trPr>
        <w:tc>
          <w:tcPr>
            <w:tcW w:w="9036" w:type="dxa"/>
            <w:gridSpan w:val="2"/>
            <w:tcBorders>
              <w:left w:val="single" w:sz="4" w:space="0" w:color="FFFFFF" w:themeColor="background1"/>
              <w:bottom w:val="single" w:sz="4" w:space="0" w:color="FFFFFF" w:themeColor="background1"/>
              <w:right w:val="single" w:sz="4" w:space="0" w:color="FFFFFF" w:themeColor="background1"/>
            </w:tcBorders>
          </w:tcPr>
          <w:p w14:paraId="29289E5D" w14:textId="77777777" w:rsidR="007D241D" w:rsidRPr="00115E10" w:rsidRDefault="007D241D" w:rsidP="00281C7E">
            <w:pPr>
              <w:autoSpaceDE w:val="0"/>
              <w:autoSpaceDN w:val="0"/>
              <w:adjustRightInd w:val="0"/>
              <w:spacing w:after="120"/>
              <w:rPr>
                <w:sz w:val="22"/>
                <w:szCs w:val="22"/>
              </w:rPr>
            </w:pPr>
            <w:r w:rsidRPr="00115E10">
              <w:rPr>
                <w:b/>
                <w:bCs/>
                <w:i/>
                <w:iCs/>
                <w:sz w:val="22"/>
                <w:szCs w:val="22"/>
              </w:rPr>
              <w:t>Control variables</w:t>
            </w:r>
          </w:p>
        </w:tc>
      </w:tr>
      <w:tr w:rsidR="007D241D" w14:paraId="032A3025"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F8387" w14:textId="77777777" w:rsidR="007D241D" w:rsidRPr="00115E10" w:rsidRDefault="007D241D" w:rsidP="00281C7E">
            <w:pPr>
              <w:spacing w:after="120"/>
              <w:rPr>
                <w:sz w:val="22"/>
                <w:szCs w:val="22"/>
              </w:rPr>
            </w:pPr>
            <w:r w:rsidRPr="00115E10">
              <w:rPr>
                <w:sz w:val="22"/>
                <w:szCs w:val="22"/>
              </w:rPr>
              <w:t>Size</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35988D" w14:textId="77777777" w:rsidR="007D241D" w:rsidRPr="00115E10" w:rsidRDefault="007D241D" w:rsidP="00281C7E">
            <w:pPr>
              <w:autoSpaceDE w:val="0"/>
              <w:autoSpaceDN w:val="0"/>
              <w:adjustRightInd w:val="0"/>
              <w:spacing w:after="120"/>
              <w:rPr>
                <w:sz w:val="22"/>
                <w:szCs w:val="22"/>
              </w:rPr>
            </w:pPr>
            <w:r w:rsidRPr="00115E10">
              <w:rPr>
                <w:sz w:val="22"/>
                <w:szCs w:val="22"/>
              </w:rPr>
              <w:t xml:space="preserve">Firm size, the natural logarithm of total assets of firm </w:t>
            </w:r>
            <w:proofErr w:type="spellStart"/>
            <w:r w:rsidRPr="00115E10">
              <w:rPr>
                <w:sz w:val="22"/>
                <w:szCs w:val="22"/>
              </w:rPr>
              <w:t>i</w:t>
            </w:r>
            <w:proofErr w:type="spellEnd"/>
            <w:r w:rsidRPr="00115E10">
              <w:rPr>
                <w:sz w:val="22"/>
                <w:szCs w:val="22"/>
              </w:rPr>
              <w:t xml:space="preserve"> in year t-1.</w:t>
            </w:r>
            <w:r>
              <w:rPr>
                <w:sz w:val="22"/>
                <w:szCs w:val="22"/>
              </w:rPr>
              <w:t xml:space="preserve"> </w:t>
            </w:r>
            <w:r w:rsidRPr="00115E10">
              <w:rPr>
                <w:sz w:val="22"/>
                <w:szCs w:val="22"/>
              </w:rPr>
              <w:t xml:space="preserve">(Source: </w:t>
            </w:r>
            <w:proofErr w:type="spellStart"/>
            <w:r w:rsidRPr="00115E10">
              <w:rPr>
                <w:sz w:val="22"/>
                <w:szCs w:val="22"/>
              </w:rPr>
              <w:t>Compustat</w:t>
            </w:r>
            <w:proofErr w:type="spellEnd"/>
            <w:r w:rsidRPr="00115E10">
              <w:rPr>
                <w:sz w:val="22"/>
                <w:szCs w:val="22"/>
              </w:rPr>
              <w:t>)</w:t>
            </w:r>
          </w:p>
        </w:tc>
      </w:tr>
      <w:tr w:rsidR="007D241D" w14:paraId="33749A00"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85A388" w14:textId="77777777" w:rsidR="007D241D" w:rsidRPr="00115E10" w:rsidRDefault="007D241D" w:rsidP="00281C7E">
            <w:pPr>
              <w:spacing w:after="120"/>
              <w:rPr>
                <w:sz w:val="22"/>
                <w:szCs w:val="22"/>
              </w:rPr>
            </w:pPr>
            <w:r w:rsidRPr="00115E10">
              <w:rPr>
                <w:sz w:val="22"/>
                <w:szCs w:val="22"/>
              </w:rPr>
              <w:t>Leverage</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F52B5" w14:textId="77777777" w:rsidR="007D241D" w:rsidRPr="00115E10" w:rsidRDefault="007D241D" w:rsidP="00281C7E">
            <w:pPr>
              <w:autoSpaceDE w:val="0"/>
              <w:autoSpaceDN w:val="0"/>
              <w:adjustRightInd w:val="0"/>
              <w:spacing w:after="120"/>
              <w:rPr>
                <w:sz w:val="22"/>
                <w:szCs w:val="22"/>
              </w:rPr>
            </w:pPr>
            <w:r w:rsidRPr="00115E10">
              <w:rPr>
                <w:sz w:val="22"/>
                <w:szCs w:val="22"/>
              </w:rPr>
              <w:t xml:space="preserve">Leverage ratio of firm </w:t>
            </w:r>
            <w:proofErr w:type="spellStart"/>
            <w:r w:rsidRPr="00115E10">
              <w:rPr>
                <w:sz w:val="22"/>
                <w:szCs w:val="22"/>
              </w:rPr>
              <w:t>i</w:t>
            </w:r>
            <w:proofErr w:type="spellEnd"/>
            <w:r w:rsidRPr="00115E10">
              <w:rPr>
                <w:sz w:val="22"/>
                <w:szCs w:val="22"/>
              </w:rPr>
              <w:t xml:space="preserve"> in year t-1, calculated as total liabilities</w:t>
            </w:r>
            <w:r>
              <w:rPr>
                <w:sz w:val="22"/>
                <w:szCs w:val="22"/>
              </w:rPr>
              <w:t xml:space="preserve"> </w:t>
            </w:r>
            <w:r w:rsidRPr="00115E10">
              <w:rPr>
                <w:sz w:val="22"/>
                <w:szCs w:val="22"/>
              </w:rPr>
              <w:t xml:space="preserve">divided by total equity. (Source: </w:t>
            </w:r>
            <w:proofErr w:type="spellStart"/>
            <w:r w:rsidRPr="00115E10">
              <w:rPr>
                <w:sz w:val="22"/>
                <w:szCs w:val="22"/>
              </w:rPr>
              <w:t>Compustat</w:t>
            </w:r>
            <w:proofErr w:type="spellEnd"/>
            <w:r w:rsidRPr="00115E10">
              <w:rPr>
                <w:sz w:val="22"/>
                <w:szCs w:val="22"/>
              </w:rPr>
              <w:t>)</w:t>
            </w:r>
          </w:p>
        </w:tc>
      </w:tr>
      <w:tr w:rsidR="007D241D" w14:paraId="7D79303E"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4BBB2" w14:textId="77777777" w:rsidR="007D241D" w:rsidRPr="00115E10" w:rsidRDefault="007D241D" w:rsidP="00281C7E">
            <w:pPr>
              <w:spacing w:after="120"/>
              <w:rPr>
                <w:sz w:val="22"/>
                <w:szCs w:val="22"/>
              </w:rPr>
            </w:pPr>
            <w:r w:rsidRPr="00115E10">
              <w:rPr>
                <w:sz w:val="22"/>
                <w:szCs w:val="22"/>
              </w:rPr>
              <w:t>Firm age</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E154A6" w14:textId="77777777" w:rsidR="007D241D" w:rsidRPr="00115E10" w:rsidRDefault="007D241D" w:rsidP="00281C7E">
            <w:pPr>
              <w:autoSpaceDE w:val="0"/>
              <w:autoSpaceDN w:val="0"/>
              <w:adjustRightInd w:val="0"/>
              <w:spacing w:after="120"/>
              <w:rPr>
                <w:sz w:val="22"/>
                <w:szCs w:val="22"/>
              </w:rPr>
            </w:pPr>
            <w:r w:rsidRPr="00115E10">
              <w:rPr>
                <w:sz w:val="22"/>
                <w:szCs w:val="22"/>
              </w:rPr>
              <w:t xml:space="preserve">Firm age as at year t-1, calculated as the number of years since firm </w:t>
            </w:r>
            <w:proofErr w:type="spellStart"/>
            <w:r w:rsidRPr="00115E10">
              <w:rPr>
                <w:sz w:val="22"/>
                <w:szCs w:val="22"/>
              </w:rPr>
              <w:t>i</w:t>
            </w:r>
            <w:proofErr w:type="spellEnd"/>
            <w:r w:rsidRPr="00115E10">
              <w:rPr>
                <w:sz w:val="22"/>
                <w:szCs w:val="22"/>
              </w:rPr>
              <w:t>’</w:t>
            </w:r>
            <w:r>
              <w:rPr>
                <w:sz w:val="22"/>
                <w:szCs w:val="22"/>
              </w:rPr>
              <w:t xml:space="preserve"> </w:t>
            </w:r>
            <w:r w:rsidRPr="00115E10">
              <w:rPr>
                <w:sz w:val="22"/>
                <w:szCs w:val="22"/>
              </w:rPr>
              <w:t xml:space="preserve">founding date provided by Jay Ritter’s </w:t>
            </w:r>
            <w:proofErr w:type="gramStart"/>
            <w:r w:rsidRPr="00115E10">
              <w:rPr>
                <w:sz w:val="22"/>
                <w:szCs w:val="22"/>
              </w:rPr>
              <w:t>website .</w:t>
            </w:r>
            <w:proofErr w:type="gramEnd"/>
            <w:r w:rsidRPr="00115E10">
              <w:rPr>
                <w:sz w:val="22"/>
                <w:szCs w:val="22"/>
              </w:rPr>
              <w:t>(Source: Jay Ritter’s website)</w:t>
            </w:r>
          </w:p>
        </w:tc>
      </w:tr>
      <w:tr w:rsidR="007D241D" w14:paraId="1BADC782"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3CAB11" w14:textId="77777777" w:rsidR="007D241D" w:rsidRPr="00115E10" w:rsidRDefault="007D241D" w:rsidP="00281C7E">
            <w:pPr>
              <w:spacing w:after="120"/>
              <w:rPr>
                <w:sz w:val="22"/>
                <w:szCs w:val="22"/>
              </w:rPr>
            </w:pPr>
            <w:r w:rsidRPr="00115E10">
              <w:rPr>
                <w:sz w:val="22"/>
                <w:szCs w:val="22"/>
              </w:rPr>
              <w:t>Segments</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7B7E6D" w14:textId="77777777" w:rsidR="007D241D" w:rsidRPr="00115E10" w:rsidRDefault="007D241D" w:rsidP="00281C7E">
            <w:pPr>
              <w:autoSpaceDE w:val="0"/>
              <w:autoSpaceDN w:val="0"/>
              <w:adjustRightInd w:val="0"/>
              <w:spacing w:after="120"/>
              <w:rPr>
                <w:sz w:val="22"/>
                <w:szCs w:val="22"/>
              </w:rPr>
            </w:pPr>
            <w:r w:rsidRPr="00115E10">
              <w:rPr>
                <w:sz w:val="22"/>
                <w:szCs w:val="22"/>
              </w:rPr>
              <w:t xml:space="preserve">The number of unique segment industry codes for firm </w:t>
            </w:r>
            <w:proofErr w:type="spellStart"/>
            <w:r w:rsidRPr="00115E10">
              <w:rPr>
                <w:sz w:val="22"/>
                <w:szCs w:val="22"/>
              </w:rPr>
              <w:t>i</w:t>
            </w:r>
            <w:proofErr w:type="spellEnd"/>
            <w:r w:rsidRPr="00115E10">
              <w:rPr>
                <w:sz w:val="22"/>
                <w:szCs w:val="22"/>
              </w:rPr>
              <w:t xml:space="preserve"> in year t-1</w:t>
            </w:r>
            <w:r>
              <w:rPr>
                <w:sz w:val="22"/>
                <w:szCs w:val="22"/>
              </w:rPr>
              <w:t xml:space="preserve"> </w:t>
            </w:r>
            <w:r w:rsidRPr="00115E10">
              <w:rPr>
                <w:sz w:val="22"/>
                <w:szCs w:val="22"/>
              </w:rPr>
              <w:t>(</w:t>
            </w:r>
            <w:proofErr w:type="spellStart"/>
            <w:r w:rsidRPr="00115E10">
              <w:rPr>
                <w:sz w:val="22"/>
                <w:szCs w:val="22"/>
              </w:rPr>
              <w:t>Duro</w:t>
            </w:r>
            <w:proofErr w:type="spellEnd"/>
            <w:r w:rsidRPr="00115E10">
              <w:rPr>
                <w:sz w:val="22"/>
                <w:szCs w:val="22"/>
              </w:rPr>
              <w:t xml:space="preserve"> et al., 2017). (Source: </w:t>
            </w:r>
            <w:proofErr w:type="spellStart"/>
            <w:r w:rsidRPr="00115E10">
              <w:rPr>
                <w:sz w:val="22"/>
                <w:szCs w:val="22"/>
              </w:rPr>
              <w:t>Compustat</w:t>
            </w:r>
            <w:proofErr w:type="spellEnd"/>
            <w:r w:rsidRPr="00115E10">
              <w:rPr>
                <w:sz w:val="22"/>
                <w:szCs w:val="22"/>
              </w:rPr>
              <w:t>)</w:t>
            </w:r>
          </w:p>
        </w:tc>
      </w:tr>
      <w:tr w:rsidR="007D241D" w14:paraId="6DE67A7D"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CB8AA2" w14:textId="77777777" w:rsidR="007D241D" w:rsidRPr="00115E10" w:rsidRDefault="007D241D" w:rsidP="00281C7E">
            <w:pPr>
              <w:spacing w:after="120"/>
              <w:rPr>
                <w:sz w:val="22"/>
                <w:szCs w:val="22"/>
              </w:rPr>
            </w:pPr>
            <w:proofErr w:type="spellStart"/>
            <w:r w:rsidRPr="00115E10">
              <w:rPr>
                <w:sz w:val="22"/>
                <w:szCs w:val="22"/>
              </w:rPr>
              <w:t>Zscore</w:t>
            </w:r>
            <w:proofErr w:type="spellEnd"/>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262D6" w14:textId="77777777" w:rsidR="007D241D" w:rsidRPr="00115E10" w:rsidRDefault="007D241D" w:rsidP="00281C7E">
            <w:pPr>
              <w:autoSpaceDE w:val="0"/>
              <w:autoSpaceDN w:val="0"/>
              <w:adjustRightInd w:val="0"/>
              <w:spacing w:after="120"/>
              <w:rPr>
                <w:sz w:val="22"/>
                <w:szCs w:val="22"/>
              </w:rPr>
            </w:pPr>
            <w:proofErr w:type="spellStart"/>
            <w:r w:rsidRPr="00115E10">
              <w:rPr>
                <w:sz w:val="22"/>
                <w:szCs w:val="22"/>
              </w:rPr>
              <w:t>Zscore</w:t>
            </w:r>
            <w:proofErr w:type="spellEnd"/>
            <w:r w:rsidRPr="00115E10">
              <w:rPr>
                <w:sz w:val="22"/>
                <w:szCs w:val="22"/>
              </w:rPr>
              <w:t xml:space="preserve"> of firm </w:t>
            </w:r>
            <w:proofErr w:type="spellStart"/>
            <w:r w:rsidRPr="00115E10">
              <w:rPr>
                <w:sz w:val="22"/>
                <w:szCs w:val="22"/>
              </w:rPr>
              <w:t>i</w:t>
            </w:r>
            <w:proofErr w:type="spellEnd"/>
            <w:r w:rsidRPr="00115E10">
              <w:rPr>
                <w:sz w:val="22"/>
                <w:szCs w:val="22"/>
              </w:rPr>
              <w:t xml:space="preserve">, equal to 3.25 + 6.56*[net working capital/total assets] + 3.26*[retained earnings/total assets] + 6.72*[earnings before interest and taxes/total assets] + 1.05*[book value of equity/book value of liabilities] in year t-1 (Altman, 2013). (Source: </w:t>
            </w:r>
            <w:proofErr w:type="spellStart"/>
            <w:r w:rsidRPr="00115E10">
              <w:rPr>
                <w:sz w:val="22"/>
                <w:szCs w:val="22"/>
              </w:rPr>
              <w:t>Compustat</w:t>
            </w:r>
            <w:proofErr w:type="spellEnd"/>
            <w:r w:rsidRPr="00115E10">
              <w:rPr>
                <w:sz w:val="22"/>
                <w:szCs w:val="22"/>
              </w:rPr>
              <w:t>).</w:t>
            </w:r>
          </w:p>
        </w:tc>
      </w:tr>
      <w:tr w:rsidR="007D241D" w14:paraId="41C0A13E"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F609F1" w14:textId="77777777" w:rsidR="007D241D" w:rsidRPr="00115E10" w:rsidRDefault="007D241D" w:rsidP="00281C7E">
            <w:pPr>
              <w:spacing w:after="120"/>
              <w:rPr>
                <w:sz w:val="22"/>
                <w:szCs w:val="22"/>
              </w:rPr>
            </w:pPr>
            <w:r w:rsidRPr="00115E10">
              <w:rPr>
                <w:sz w:val="22"/>
                <w:szCs w:val="22"/>
              </w:rPr>
              <w:t>Big 4</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E83832" w14:textId="77777777" w:rsidR="007D241D" w:rsidRPr="00115E10" w:rsidRDefault="007D241D" w:rsidP="00281C7E">
            <w:pPr>
              <w:autoSpaceDE w:val="0"/>
              <w:autoSpaceDN w:val="0"/>
              <w:adjustRightInd w:val="0"/>
              <w:spacing w:after="120"/>
              <w:rPr>
                <w:sz w:val="22"/>
                <w:szCs w:val="22"/>
              </w:rPr>
            </w:pPr>
            <w:r w:rsidRPr="00115E10">
              <w:rPr>
                <w:sz w:val="22"/>
                <w:szCs w:val="22"/>
              </w:rPr>
              <w:t xml:space="preserve">An indicator variable equals to 1 if firm </w:t>
            </w:r>
            <w:proofErr w:type="spellStart"/>
            <w:r w:rsidRPr="00115E10">
              <w:rPr>
                <w:sz w:val="22"/>
                <w:szCs w:val="22"/>
              </w:rPr>
              <w:t>i</w:t>
            </w:r>
            <w:proofErr w:type="spellEnd"/>
            <w:r w:rsidRPr="00115E10">
              <w:rPr>
                <w:sz w:val="22"/>
                <w:szCs w:val="22"/>
              </w:rPr>
              <w:t xml:space="preserve"> is audited by one of the big four audit firms (EY, Deloitte, KPMG, PwC) in year t-1, and 0</w:t>
            </w:r>
            <w:r>
              <w:rPr>
                <w:sz w:val="22"/>
                <w:szCs w:val="22"/>
              </w:rPr>
              <w:t xml:space="preserve"> </w:t>
            </w:r>
            <w:r w:rsidRPr="00115E10">
              <w:rPr>
                <w:sz w:val="22"/>
                <w:szCs w:val="22"/>
              </w:rPr>
              <w:t xml:space="preserve">Otherwise. (Source: </w:t>
            </w:r>
            <w:proofErr w:type="spellStart"/>
            <w:r w:rsidRPr="00115E10">
              <w:rPr>
                <w:sz w:val="22"/>
                <w:szCs w:val="22"/>
              </w:rPr>
              <w:t>Compustat</w:t>
            </w:r>
            <w:proofErr w:type="spellEnd"/>
            <w:r w:rsidRPr="00115E10">
              <w:rPr>
                <w:sz w:val="22"/>
                <w:szCs w:val="22"/>
              </w:rPr>
              <w:t>)</w:t>
            </w:r>
          </w:p>
        </w:tc>
      </w:tr>
      <w:tr w:rsidR="007D241D" w14:paraId="3B8ABBAD"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6A184" w14:textId="77777777" w:rsidR="007D241D" w:rsidRPr="00115E10" w:rsidRDefault="007D241D" w:rsidP="00281C7E">
            <w:pPr>
              <w:spacing w:after="120"/>
              <w:rPr>
                <w:sz w:val="22"/>
                <w:szCs w:val="22"/>
              </w:rPr>
            </w:pPr>
            <w:r w:rsidRPr="00115E10">
              <w:rPr>
                <w:sz w:val="22"/>
                <w:szCs w:val="22"/>
              </w:rPr>
              <w:t>Restructuring</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9EFE33" w14:textId="77777777" w:rsidR="007D241D" w:rsidRPr="00115E10" w:rsidRDefault="007D241D" w:rsidP="00281C7E">
            <w:pPr>
              <w:autoSpaceDE w:val="0"/>
              <w:autoSpaceDN w:val="0"/>
              <w:adjustRightInd w:val="0"/>
              <w:spacing w:after="120"/>
              <w:rPr>
                <w:sz w:val="22"/>
                <w:szCs w:val="22"/>
              </w:rPr>
            </w:pPr>
            <w:r w:rsidRPr="00115E10">
              <w:rPr>
                <w:sz w:val="22"/>
                <w:szCs w:val="22"/>
              </w:rPr>
              <w:t xml:space="preserve">An indicator variable equal to 1 if firm </w:t>
            </w:r>
            <w:proofErr w:type="spellStart"/>
            <w:r w:rsidRPr="00115E10">
              <w:rPr>
                <w:sz w:val="22"/>
                <w:szCs w:val="22"/>
              </w:rPr>
              <w:t>i</w:t>
            </w:r>
            <w:proofErr w:type="spellEnd"/>
            <w:r w:rsidRPr="00115E10">
              <w:rPr>
                <w:sz w:val="22"/>
                <w:szCs w:val="22"/>
              </w:rPr>
              <w:t xml:space="preserve"> has non-zero restructuring</w:t>
            </w:r>
            <w:r>
              <w:rPr>
                <w:sz w:val="22"/>
                <w:szCs w:val="22"/>
              </w:rPr>
              <w:t xml:space="preserve"> </w:t>
            </w:r>
            <w:r w:rsidRPr="00115E10">
              <w:rPr>
                <w:sz w:val="22"/>
                <w:szCs w:val="22"/>
              </w:rPr>
              <w:t xml:space="preserve">cost on a pre-tax basis in year t-1, and 0 otherwise (Cassell et al., 2013; Hesse et al., 2017). (Source: </w:t>
            </w:r>
            <w:proofErr w:type="spellStart"/>
            <w:r w:rsidRPr="00115E10">
              <w:rPr>
                <w:sz w:val="22"/>
                <w:szCs w:val="22"/>
              </w:rPr>
              <w:t>Compustat</w:t>
            </w:r>
            <w:proofErr w:type="spellEnd"/>
            <w:r w:rsidRPr="00115E10">
              <w:rPr>
                <w:sz w:val="22"/>
                <w:szCs w:val="22"/>
              </w:rPr>
              <w:t>)</w:t>
            </w:r>
          </w:p>
        </w:tc>
      </w:tr>
      <w:tr w:rsidR="007D241D" w14:paraId="2C3229EB"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4EAAD2" w14:textId="77777777" w:rsidR="007D241D" w:rsidRPr="00115E10" w:rsidRDefault="007D241D" w:rsidP="00281C7E">
            <w:pPr>
              <w:spacing w:after="120"/>
              <w:rPr>
                <w:sz w:val="22"/>
                <w:szCs w:val="22"/>
              </w:rPr>
            </w:pPr>
            <w:r w:rsidRPr="00115E10">
              <w:rPr>
                <w:sz w:val="22"/>
                <w:szCs w:val="22"/>
              </w:rPr>
              <w:t>M&amp;A</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FC255C" w14:textId="77777777" w:rsidR="007D241D" w:rsidRPr="00115E10" w:rsidRDefault="007D241D" w:rsidP="00281C7E">
            <w:pPr>
              <w:autoSpaceDE w:val="0"/>
              <w:autoSpaceDN w:val="0"/>
              <w:adjustRightInd w:val="0"/>
              <w:spacing w:after="120"/>
              <w:rPr>
                <w:sz w:val="22"/>
                <w:szCs w:val="22"/>
              </w:rPr>
            </w:pPr>
            <w:r w:rsidRPr="00115E10">
              <w:rPr>
                <w:sz w:val="22"/>
                <w:szCs w:val="22"/>
              </w:rPr>
              <w:t xml:space="preserve">An indicator variable equal to 1 if firm </w:t>
            </w:r>
            <w:proofErr w:type="spellStart"/>
            <w:r w:rsidRPr="00115E10">
              <w:rPr>
                <w:sz w:val="22"/>
                <w:szCs w:val="22"/>
              </w:rPr>
              <w:t>i</w:t>
            </w:r>
            <w:proofErr w:type="spellEnd"/>
            <w:r w:rsidRPr="00115E10">
              <w:rPr>
                <w:sz w:val="22"/>
                <w:szCs w:val="22"/>
              </w:rPr>
              <w:t xml:space="preserve"> has non-zero acquisition or</w:t>
            </w:r>
            <w:r>
              <w:rPr>
                <w:sz w:val="22"/>
                <w:szCs w:val="22"/>
              </w:rPr>
              <w:t xml:space="preserve"> </w:t>
            </w:r>
            <w:r w:rsidRPr="00115E10">
              <w:rPr>
                <w:sz w:val="22"/>
                <w:szCs w:val="22"/>
              </w:rPr>
              <w:t xml:space="preserve">merger costs on a pre-tax basis in year t-1, and 0 otherwise (Cassell et al., 2013; Hesse et al., 2017). (Source: </w:t>
            </w:r>
            <w:proofErr w:type="spellStart"/>
            <w:r w:rsidRPr="00115E10">
              <w:rPr>
                <w:sz w:val="22"/>
                <w:szCs w:val="22"/>
              </w:rPr>
              <w:t>Compustat</w:t>
            </w:r>
            <w:proofErr w:type="spellEnd"/>
            <w:r w:rsidRPr="00115E10">
              <w:rPr>
                <w:sz w:val="22"/>
                <w:szCs w:val="22"/>
              </w:rPr>
              <w:t>)</w:t>
            </w:r>
          </w:p>
        </w:tc>
      </w:tr>
      <w:tr w:rsidR="007D241D" w14:paraId="635B8382"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7EDAA4" w14:textId="77777777" w:rsidR="007D241D" w:rsidRPr="00115E10" w:rsidRDefault="007D241D" w:rsidP="00281C7E">
            <w:pPr>
              <w:spacing w:after="120"/>
              <w:rPr>
                <w:sz w:val="22"/>
                <w:szCs w:val="22"/>
              </w:rPr>
            </w:pPr>
            <w:proofErr w:type="gramStart"/>
            <w:r w:rsidRPr="00115E10">
              <w:rPr>
                <w:sz w:val="22"/>
                <w:szCs w:val="22"/>
              </w:rPr>
              <w:t>Positive-earnings</w:t>
            </w:r>
            <w:proofErr w:type="gramEnd"/>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9676E1" w14:textId="77777777" w:rsidR="007D241D" w:rsidRPr="00115E10" w:rsidRDefault="007D241D" w:rsidP="00281C7E">
            <w:pPr>
              <w:autoSpaceDE w:val="0"/>
              <w:autoSpaceDN w:val="0"/>
              <w:adjustRightInd w:val="0"/>
              <w:spacing w:after="120"/>
              <w:rPr>
                <w:sz w:val="22"/>
                <w:szCs w:val="22"/>
              </w:rPr>
            </w:pPr>
            <w:r w:rsidRPr="00115E10">
              <w:rPr>
                <w:sz w:val="22"/>
                <w:szCs w:val="22"/>
              </w:rPr>
              <w:t xml:space="preserve">An indicator variable equal to 1 if firm </w:t>
            </w:r>
            <w:proofErr w:type="spellStart"/>
            <w:r w:rsidRPr="00115E10">
              <w:rPr>
                <w:sz w:val="22"/>
                <w:szCs w:val="22"/>
              </w:rPr>
              <w:t>i</w:t>
            </w:r>
            <w:proofErr w:type="spellEnd"/>
            <w:r w:rsidRPr="00115E10">
              <w:rPr>
                <w:sz w:val="22"/>
                <w:szCs w:val="22"/>
              </w:rPr>
              <w:t xml:space="preserve"> has earnings before interest</w:t>
            </w:r>
            <w:r>
              <w:rPr>
                <w:sz w:val="22"/>
                <w:szCs w:val="22"/>
              </w:rPr>
              <w:t xml:space="preserve"> </w:t>
            </w:r>
            <w:r w:rsidRPr="00115E10">
              <w:rPr>
                <w:sz w:val="22"/>
                <w:szCs w:val="22"/>
              </w:rPr>
              <w:t xml:space="preserve">and tax in year t-1 equal or higher than zero, and 0 </w:t>
            </w:r>
            <w:proofErr w:type="gramStart"/>
            <w:r w:rsidRPr="00115E10">
              <w:rPr>
                <w:sz w:val="22"/>
                <w:szCs w:val="22"/>
              </w:rPr>
              <w:t>otherwise(</w:t>
            </w:r>
            <w:proofErr w:type="gramEnd"/>
            <w:r w:rsidRPr="00115E10">
              <w:rPr>
                <w:sz w:val="22"/>
                <w:szCs w:val="22"/>
              </w:rPr>
              <w:t xml:space="preserve">Hesse et al., 2017). (Source: </w:t>
            </w:r>
            <w:proofErr w:type="spellStart"/>
            <w:r w:rsidRPr="00115E10">
              <w:rPr>
                <w:sz w:val="22"/>
                <w:szCs w:val="22"/>
              </w:rPr>
              <w:t>Compustat</w:t>
            </w:r>
            <w:proofErr w:type="spellEnd"/>
            <w:r w:rsidRPr="00115E10">
              <w:rPr>
                <w:sz w:val="22"/>
                <w:szCs w:val="22"/>
              </w:rPr>
              <w:t>)</w:t>
            </w:r>
          </w:p>
        </w:tc>
      </w:tr>
      <w:tr w:rsidR="007D241D" w14:paraId="78AFC950"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0F01D" w14:textId="77777777" w:rsidR="007D241D" w:rsidRPr="00115E10" w:rsidRDefault="007D241D" w:rsidP="00281C7E">
            <w:pPr>
              <w:spacing w:after="120"/>
              <w:rPr>
                <w:sz w:val="22"/>
                <w:szCs w:val="22"/>
              </w:rPr>
            </w:pPr>
            <w:proofErr w:type="spellStart"/>
            <w:r w:rsidRPr="00115E10">
              <w:rPr>
                <w:sz w:val="22"/>
                <w:szCs w:val="22"/>
              </w:rPr>
              <w:t>CEOchairperson</w:t>
            </w:r>
            <w:proofErr w:type="spellEnd"/>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9852DE" w14:textId="77777777" w:rsidR="007D241D" w:rsidRPr="00115E10" w:rsidRDefault="007D241D" w:rsidP="00281C7E">
            <w:pPr>
              <w:autoSpaceDE w:val="0"/>
              <w:autoSpaceDN w:val="0"/>
              <w:adjustRightInd w:val="0"/>
              <w:spacing w:after="120"/>
              <w:rPr>
                <w:sz w:val="22"/>
                <w:szCs w:val="22"/>
              </w:rPr>
            </w:pPr>
            <w:r w:rsidRPr="00115E10">
              <w:rPr>
                <w:sz w:val="22"/>
                <w:szCs w:val="22"/>
              </w:rPr>
              <w:t xml:space="preserve">An indicator variable equal to 1 if the CEO of firm </w:t>
            </w:r>
            <w:proofErr w:type="spellStart"/>
            <w:r w:rsidRPr="00115E10">
              <w:rPr>
                <w:sz w:val="22"/>
                <w:szCs w:val="22"/>
              </w:rPr>
              <w:t>i</w:t>
            </w:r>
            <w:proofErr w:type="spellEnd"/>
            <w:r w:rsidRPr="00115E10">
              <w:rPr>
                <w:sz w:val="22"/>
                <w:szCs w:val="22"/>
              </w:rPr>
              <w:t xml:space="preserve"> is also the chair</w:t>
            </w:r>
            <w:r>
              <w:rPr>
                <w:sz w:val="22"/>
                <w:szCs w:val="22"/>
              </w:rPr>
              <w:t xml:space="preserve"> </w:t>
            </w:r>
            <w:r w:rsidRPr="00115E10">
              <w:rPr>
                <w:sz w:val="22"/>
                <w:szCs w:val="22"/>
              </w:rPr>
              <w:t xml:space="preserve">of the board of directors in year t-1. (Source: </w:t>
            </w:r>
            <w:r>
              <w:rPr>
                <w:sz w:val="22"/>
                <w:szCs w:val="22"/>
              </w:rPr>
              <w:t>Refinitiv</w:t>
            </w:r>
            <w:r w:rsidRPr="00115E10">
              <w:rPr>
                <w:sz w:val="22"/>
                <w:szCs w:val="22"/>
              </w:rPr>
              <w:t xml:space="preserve"> Eikon)</w:t>
            </w:r>
          </w:p>
        </w:tc>
      </w:tr>
      <w:tr w:rsidR="007D241D" w14:paraId="3E48D96F"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CB0AE3" w14:textId="77777777" w:rsidR="007D241D" w:rsidRPr="00115E10" w:rsidRDefault="007D241D" w:rsidP="00281C7E">
            <w:pPr>
              <w:spacing w:after="120"/>
              <w:rPr>
                <w:sz w:val="22"/>
                <w:szCs w:val="22"/>
              </w:rPr>
            </w:pPr>
            <w:r w:rsidRPr="00115E10">
              <w:rPr>
                <w:sz w:val="22"/>
                <w:szCs w:val="22"/>
              </w:rPr>
              <w:t>Draft</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6D4DA7" w14:textId="77777777" w:rsidR="007D241D" w:rsidRPr="00115E10" w:rsidRDefault="007D241D" w:rsidP="00281C7E">
            <w:pPr>
              <w:autoSpaceDE w:val="0"/>
              <w:autoSpaceDN w:val="0"/>
              <w:adjustRightInd w:val="0"/>
              <w:spacing w:after="120"/>
              <w:rPr>
                <w:sz w:val="22"/>
                <w:szCs w:val="22"/>
              </w:rPr>
            </w:pPr>
            <w:r w:rsidRPr="00115E10">
              <w:rPr>
                <w:sz w:val="22"/>
                <w:szCs w:val="22"/>
              </w:rPr>
              <w:t xml:space="preserve">An indicator variable equal to 1 if firm </w:t>
            </w:r>
            <w:proofErr w:type="spellStart"/>
            <w:r w:rsidRPr="00115E10">
              <w:rPr>
                <w:sz w:val="22"/>
                <w:szCs w:val="22"/>
              </w:rPr>
              <w:t>i</w:t>
            </w:r>
            <w:proofErr w:type="spellEnd"/>
            <w:r w:rsidRPr="00115E10">
              <w:rPr>
                <w:sz w:val="22"/>
                <w:szCs w:val="22"/>
              </w:rPr>
              <w:t xml:space="preserve"> filing draft registration statement and 0 otherwise. (Source: EDGAR)</w:t>
            </w:r>
          </w:p>
        </w:tc>
      </w:tr>
      <w:tr w:rsidR="007D241D" w14:paraId="5260BAF0"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CA4208" w14:textId="77777777" w:rsidR="007D241D" w:rsidRPr="00115E10" w:rsidRDefault="007D241D" w:rsidP="00281C7E">
            <w:pPr>
              <w:spacing w:after="120"/>
              <w:rPr>
                <w:sz w:val="22"/>
                <w:szCs w:val="22"/>
              </w:rPr>
            </w:pPr>
            <w:r w:rsidRPr="00115E10">
              <w:rPr>
                <w:sz w:val="22"/>
                <w:szCs w:val="22"/>
              </w:rPr>
              <w:t>S1 size</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3E40D" w14:textId="77777777" w:rsidR="007D241D" w:rsidRPr="00115E10" w:rsidRDefault="007D241D" w:rsidP="00281C7E">
            <w:pPr>
              <w:autoSpaceDE w:val="0"/>
              <w:autoSpaceDN w:val="0"/>
              <w:adjustRightInd w:val="0"/>
              <w:spacing w:after="120"/>
              <w:rPr>
                <w:sz w:val="22"/>
                <w:szCs w:val="22"/>
              </w:rPr>
            </w:pPr>
            <w:r w:rsidRPr="00115E10">
              <w:rPr>
                <w:rFonts w:eastAsia="Times New Roman"/>
                <w:sz w:val="22"/>
                <w:szCs w:val="22"/>
              </w:rPr>
              <w:t>The file size (in megabytes) of the complete initial S-1 filing (Bonsall et al., 2017). (Source: EDGAR)</w:t>
            </w:r>
          </w:p>
        </w:tc>
      </w:tr>
      <w:tr w:rsidR="007D241D" w14:paraId="0F1F25CA" w14:textId="77777777" w:rsidTr="00281C7E">
        <w:trPr>
          <w:trHeight w:val="20"/>
        </w:trPr>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05876" w14:textId="77777777" w:rsidR="007D241D" w:rsidRPr="00115E10" w:rsidRDefault="007D241D" w:rsidP="00281C7E">
            <w:pPr>
              <w:spacing w:after="120"/>
              <w:rPr>
                <w:sz w:val="22"/>
                <w:szCs w:val="22"/>
              </w:rPr>
            </w:pPr>
            <w:r w:rsidRPr="00115E10">
              <w:rPr>
                <w:sz w:val="22"/>
                <w:szCs w:val="22"/>
              </w:rPr>
              <w:t>No. IPOs (decile rank)</w:t>
            </w:r>
          </w:p>
        </w:tc>
        <w:tc>
          <w:tcPr>
            <w:tcW w:w="6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7E8774" w14:textId="77777777" w:rsidR="007D241D" w:rsidRPr="00115E10" w:rsidRDefault="007D241D" w:rsidP="00281C7E">
            <w:pPr>
              <w:autoSpaceDE w:val="0"/>
              <w:autoSpaceDN w:val="0"/>
              <w:adjustRightInd w:val="0"/>
              <w:spacing w:after="120"/>
              <w:rPr>
                <w:sz w:val="22"/>
                <w:szCs w:val="22"/>
              </w:rPr>
            </w:pPr>
            <w:r w:rsidRPr="00115E10">
              <w:rPr>
                <w:rFonts w:eastAsia="Times New Roman"/>
                <w:sz w:val="22"/>
                <w:szCs w:val="22"/>
              </w:rPr>
              <w:t>The number-of-IPOs deciles based on annually sorts of the number of IPOs in each two-digit SIC code industry in year t. (Source: manual)</w:t>
            </w:r>
          </w:p>
        </w:tc>
      </w:tr>
      <w:tr w:rsidR="007D241D" w14:paraId="210FECAE" w14:textId="77777777" w:rsidTr="00281C7E">
        <w:trPr>
          <w:trHeight w:val="20"/>
        </w:trPr>
        <w:tc>
          <w:tcPr>
            <w:tcW w:w="222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F97626" w14:textId="77777777" w:rsidR="007D241D" w:rsidRPr="00115E10" w:rsidRDefault="007D241D" w:rsidP="00281C7E">
            <w:pPr>
              <w:spacing w:after="120"/>
              <w:rPr>
                <w:sz w:val="22"/>
                <w:szCs w:val="22"/>
              </w:rPr>
            </w:pPr>
            <w:r w:rsidRPr="00115E10">
              <w:rPr>
                <w:sz w:val="22"/>
                <w:szCs w:val="22"/>
              </w:rPr>
              <w:t>Underwriter rank</w:t>
            </w:r>
          </w:p>
        </w:tc>
        <w:tc>
          <w:tcPr>
            <w:tcW w:w="681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365962" w14:textId="77777777" w:rsidR="007D241D" w:rsidRPr="00115E10" w:rsidRDefault="007D241D" w:rsidP="00281C7E">
            <w:pPr>
              <w:autoSpaceDE w:val="0"/>
              <w:autoSpaceDN w:val="0"/>
              <w:adjustRightInd w:val="0"/>
              <w:spacing w:after="120"/>
              <w:rPr>
                <w:sz w:val="22"/>
                <w:szCs w:val="22"/>
              </w:rPr>
            </w:pPr>
            <w:r w:rsidRPr="00115E10">
              <w:rPr>
                <w:rFonts w:eastAsia="Times New Roman"/>
                <w:sz w:val="22"/>
                <w:szCs w:val="22"/>
              </w:rPr>
              <w:t>The rank of firm i’s underwriter in year t</w:t>
            </w:r>
          </w:p>
        </w:tc>
      </w:tr>
    </w:tbl>
    <w:p w14:paraId="7AF78E26" w14:textId="77777777" w:rsidR="007D241D" w:rsidRDefault="007D241D" w:rsidP="007D241D"/>
    <w:p w14:paraId="061537D4" w14:textId="77777777" w:rsidR="007D241D" w:rsidRDefault="007D241D" w:rsidP="007D241D">
      <w:pPr>
        <w:sectPr w:rsidR="007D241D">
          <w:pgSz w:w="11906" w:h="16838"/>
          <w:pgMar w:top="1440" w:right="1440" w:bottom="1440" w:left="1440" w:header="708" w:footer="708" w:gutter="0"/>
          <w:cols w:space="708"/>
          <w:docGrid w:linePitch="360"/>
        </w:sectPr>
      </w:pPr>
    </w:p>
    <w:p w14:paraId="770B6268" w14:textId="77777777" w:rsidR="007D241D" w:rsidRDefault="007D241D" w:rsidP="007D241D">
      <w:pPr>
        <w:spacing w:after="240"/>
        <w:rPr>
          <w:rFonts w:eastAsia="Times New Roman"/>
          <w:b/>
          <w:bCs/>
        </w:rPr>
      </w:pPr>
      <w:r>
        <w:rPr>
          <w:rFonts w:eastAsia="Times New Roman"/>
          <w:b/>
          <w:bCs/>
        </w:rPr>
        <w:lastRenderedPageBreak/>
        <w:t>Appendix B. Coding scheme of issue types mentioned in initial SEC comment letters</w:t>
      </w:r>
    </w:p>
    <w:tbl>
      <w:tblPr>
        <w:tblStyle w:val="TableGrid"/>
        <w:tblW w:w="0" w:type="auto"/>
        <w:tblLook w:val="04A0" w:firstRow="1" w:lastRow="0" w:firstColumn="1" w:lastColumn="0" w:noHBand="0" w:noVBand="1"/>
      </w:tblPr>
      <w:tblGrid>
        <w:gridCol w:w="810"/>
        <w:gridCol w:w="2171"/>
        <w:gridCol w:w="6035"/>
      </w:tblGrid>
      <w:tr w:rsidR="007D241D" w:rsidRPr="00650B21" w14:paraId="60324E37" w14:textId="77777777" w:rsidTr="00281C7E">
        <w:tc>
          <w:tcPr>
            <w:tcW w:w="810" w:type="dxa"/>
            <w:vAlign w:val="center"/>
          </w:tcPr>
          <w:p w14:paraId="0ACB17EF" w14:textId="77777777" w:rsidR="007D241D" w:rsidRPr="00650B21" w:rsidRDefault="007D241D" w:rsidP="00281C7E">
            <w:pPr>
              <w:spacing w:after="240"/>
              <w:rPr>
                <w:b/>
                <w:sz w:val="20"/>
                <w:szCs w:val="20"/>
              </w:rPr>
            </w:pPr>
            <w:r w:rsidRPr="00650B21">
              <w:rPr>
                <w:b/>
                <w:sz w:val="20"/>
                <w:szCs w:val="20"/>
              </w:rPr>
              <w:t>Code</w:t>
            </w:r>
          </w:p>
        </w:tc>
        <w:tc>
          <w:tcPr>
            <w:tcW w:w="2171" w:type="dxa"/>
            <w:vAlign w:val="center"/>
          </w:tcPr>
          <w:p w14:paraId="2C61F1E2" w14:textId="77777777" w:rsidR="007D241D" w:rsidRPr="00650B21" w:rsidRDefault="007D241D" w:rsidP="00281C7E">
            <w:pPr>
              <w:spacing w:after="240"/>
              <w:rPr>
                <w:b/>
                <w:sz w:val="20"/>
                <w:szCs w:val="20"/>
              </w:rPr>
            </w:pPr>
            <w:r w:rsidRPr="00650B21">
              <w:rPr>
                <w:b/>
                <w:sz w:val="20"/>
                <w:szCs w:val="20"/>
              </w:rPr>
              <w:t>Issue types</w:t>
            </w:r>
          </w:p>
        </w:tc>
        <w:tc>
          <w:tcPr>
            <w:tcW w:w="6035" w:type="dxa"/>
            <w:vAlign w:val="center"/>
          </w:tcPr>
          <w:p w14:paraId="44893E92" w14:textId="77777777" w:rsidR="007D241D" w:rsidRPr="00650B21" w:rsidRDefault="007D241D" w:rsidP="00281C7E">
            <w:pPr>
              <w:spacing w:after="240"/>
              <w:rPr>
                <w:b/>
                <w:sz w:val="20"/>
                <w:szCs w:val="20"/>
              </w:rPr>
            </w:pPr>
            <w:r w:rsidRPr="00650B21">
              <w:rPr>
                <w:b/>
                <w:sz w:val="20"/>
                <w:szCs w:val="20"/>
              </w:rPr>
              <w:t>Descriptions</w:t>
            </w:r>
          </w:p>
        </w:tc>
      </w:tr>
      <w:tr w:rsidR="007D241D" w:rsidRPr="00650B21" w14:paraId="4A5B0C16" w14:textId="77777777" w:rsidTr="00281C7E">
        <w:trPr>
          <w:trHeight w:val="841"/>
        </w:trPr>
        <w:tc>
          <w:tcPr>
            <w:tcW w:w="2981" w:type="dxa"/>
            <w:gridSpan w:val="2"/>
            <w:vAlign w:val="center"/>
          </w:tcPr>
          <w:p w14:paraId="04EF7265" w14:textId="77777777" w:rsidR="007D241D" w:rsidRPr="00650B21" w:rsidRDefault="007D241D" w:rsidP="00281C7E">
            <w:pPr>
              <w:spacing w:after="240"/>
              <w:jc w:val="both"/>
              <w:rPr>
                <w:b/>
                <w:sz w:val="20"/>
                <w:szCs w:val="20"/>
              </w:rPr>
            </w:pPr>
            <w:r>
              <w:rPr>
                <w:b/>
                <w:sz w:val="20"/>
                <w:szCs w:val="20"/>
              </w:rPr>
              <w:t>A</w:t>
            </w:r>
            <w:r w:rsidRPr="00650B21">
              <w:rPr>
                <w:b/>
                <w:sz w:val="20"/>
                <w:szCs w:val="20"/>
              </w:rPr>
              <w:t>. Core Accounting Issues</w:t>
            </w:r>
          </w:p>
        </w:tc>
        <w:tc>
          <w:tcPr>
            <w:tcW w:w="6035" w:type="dxa"/>
            <w:vAlign w:val="center"/>
          </w:tcPr>
          <w:p w14:paraId="71043B12" w14:textId="77777777" w:rsidR="007D241D" w:rsidRPr="00124637" w:rsidRDefault="007D241D" w:rsidP="00281C7E">
            <w:pPr>
              <w:autoSpaceDE w:val="0"/>
              <w:autoSpaceDN w:val="0"/>
              <w:adjustRightInd w:val="0"/>
              <w:jc w:val="both"/>
              <w:rPr>
                <w:b/>
                <w:bCs/>
                <w:sz w:val="20"/>
                <w:szCs w:val="20"/>
              </w:rPr>
            </w:pPr>
            <w:r>
              <w:rPr>
                <w:b/>
                <w:bCs/>
                <w:sz w:val="20"/>
                <w:szCs w:val="20"/>
              </w:rPr>
              <w:t>Comments regarding issuers’ choice of accounting method, application of accounting method and issues about accounting transactions or actions.</w:t>
            </w:r>
          </w:p>
        </w:tc>
      </w:tr>
      <w:tr w:rsidR="007D241D" w:rsidRPr="00650B21" w14:paraId="7113CB94" w14:textId="77777777" w:rsidTr="00281C7E">
        <w:tc>
          <w:tcPr>
            <w:tcW w:w="810" w:type="dxa"/>
            <w:vAlign w:val="center"/>
          </w:tcPr>
          <w:p w14:paraId="21EB8D39" w14:textId="77777777" w:rsidR="007D241D" w:rsidRPr="00650B21" w:rsidRDefault="007D241D" w:rsidP="00281C7E">
            <w:pPr>
              <w:spacing w:after="240"/>
              <w:rPr>
                <w:sz w:val="20"/>
                <w:szCs w:val="20"/>
              </w:rPr>
            </w:pPr>
            <w:r>
              <w:rPr>
                <w:sz w:val="20"/>
                <w:szCs w:val="20"/>
              </w:rPr>
              <w:t>A1</w:t>
            </w:r>
          </w:p>
        </w:tc>
        <w:tc>
          <w:tcPr>
            <w:tcW w:w="2171" w:type="dxa"/>
            <w:vAlign w:val="center"/>
          </w:tcPr>
          <w:p w14:paraId="64958664" w14:textId="77777777" w:rsidR="007D241D" w:rsidRPr="00650B21" w:rsidRDefault="007D241D" w:rsidP="00281C7E">
            <w:pPr>
              <w:spacing w:after="240"/>
              <w:rPr>
                <w:sz w:val="20"/>
                <w:szCs w:val="20"/>
              </w:rPr>
            </w:pPr>
            <w:r>
              <w:rPr>
                <w:sz w:val="20"/>
                <w:szCs w:val="20"/>
              </w:rPr>
              <w:t>Assets</w:t>
            </w:r>
          </w:p>
        </w:tc>
        <w:tc>
          <w:tcPr>
            <w:tcW w:w="6035" w:type="dxa"/>
            <w:vAlign w:val="center"/>
          </w:tcPr>
          <w:p w14:paraId="57519D7E" w14:textId="77777777" w:rsidR="007D241D" w:rsidRPr="00650B21" w:rsidRDefault="007D241D" w:rsidP="00281C7E">
            <w:pPr>
              <w:autoSpaceDE w:val="0"/>
              <w:autoSpaceDN w:val="0"/>
              <w:adjustRightInd w:val="0"/>
              <w:jc w:val="both"/>
              <w:rPr>
                <w:sz w:val="20"/>
                <w:szCs w:val="20"/>
              </w:rPr>
            </w:pPr>
            <w:r>
              <w:rPr>
                <w:sz w:val="20"/>
                <w:szCs w:val="20"/>
              </w:rPr>
              <w:t>Questions, critiques and requests regarding choice of accounting methods (accounting principles, accounting literature) as well as application of accounting methods (estimates, assumptions, timing, classification, calculation, recording) of total assets, current assets (e.g. receivables, inventories, cash or cash equivalents, marketable securities, trading securities), non-current assets (e.g. property, plants and equipment, valuation allowance, deferred tax assets, plan assets, long-term securities), including choice and application of accounting methods of contra account (e.g. depreciation and amortization)</w:t>
            </w:r>
          </w:p>
        </w:tc>
      </w:tr>
      <w:tr w:rsidR="007D241D" w:rsidRPr="00650B21" w14:paraId="5667A514" w14:textId="77777777" w:rsidTr="00281C7E">
        <w:tc>
          <w:tcPr>
            <w:tcW w:w="810" w:type="dxa"/>
            <w:vAlign w:val="center"/>
          </w:tcPr>
          <w:p w14:paraId="1F75E0AF" w14:textId="77777777" w:rsidR="007D241D" w:rsidRPr="00650B21" w:rsidRDefault="007D241D" w:rsidP="00281C7E">
            <w:pPr>
              <w:spacing w:after="240"/>
              <w:rPr>
                <w:sz w:val="20"/>
                <w:szCs w:val="20"/>
              </w:rPr>
            </w:pPr>
            <w:r>
              <w:rPr>
                <w:sz w:val="20"/>
                <w:szCs w:val="20"/>
              </w:rPr>
              <w:t>A2</w:t>
            </w:r>
          </w:p>
        </w:tc>
        <w:tc>
          <w:tcPr>
            <w:tcW w:w="2171" w:type="dxa"/>
            <w:vAlign w:val="center"/>
          </w:tcPr>
          <w:p w14:paraId="08394D0E" w14:textId="77777777" w:rsidR="007D241D" w:rsidRPr="00650B21" w:rsidRDefault="007D241D" w:rsidP="00281C7E">
            <w:pPr>
              <w:spacing w:after="240"/>
              <w:jc w:val="both"/>
              <w:rPr>
                <w:sz w:val="20"/>
                <w:szCs w:val="20"/>
              </w:rPr>
            </w:pPr>
            <w:r>
              <w:rPr>
                <w:sz w:val="20"/>
                <w:szCs w:val="20"/>
              </w:rPr>
              <w:t>Liabilities</w:t>
            </w:r>
          </w:p>
        </w:tc>
        <w:tc>
          <w:tcPr>
            <w:tcW w:w="6035" w:type="dxa"/>
            <w:vAlign w:val="center"/>
          </w:tcPr>
          <w:p w14:paraId="194DBD66" w14:textId="77777777" w:rsidR="007D241D" w:rsidRPr="00650B21" w:rsidRDefault="007D241D" w:rsidP="00281C7E">
            <w:pPr>
              <w:autoSpaceDE w:val="0"/>
              <w:autoSpaceDN w:val="0"/>
              <w:adjustRightInd w:val="0"/>
              <w:jc w:val="both"/>
              <w:rPr>
                <w:sz w:val="20"/>
                <w:szCs w:val="20"/>
              </w:rPr>
            </w:pPr>
            <w:r>
              <w:rPr>
                <w:sz w:val="20"/>
                <w:szCs w:val="20"/>
              </w:rPr>
              <w:t>Questions, critiques and requests regarding choice of accounting methods (accounting standards, accounting principles, accounting literature) as well as application of accounting methods (estimates, assumptions, timing, classification, calculation, recording) of total liabilities, current liabilities (e.g. payables, tax payables, current portion of long-term debt, accrued warranty) and non-current liabilities (e.g. long-term debt, deferred tax liabilities), including choice and application of accounting methods of contra accounts</w:t>
            </w:r>
          </w:p>
        </w:tc>
      </w:tr>
      <w:tr w:rsidR="007D241D" w:rsidRPr="00650B21" w14:paraId="6BC71E83" w14:textId="77777777" w:rsidTr="00281C7E">
        <w:tc>
          <w:tcPr>
            <w:tcW w:w="810" w:type="dxa"/>
            <w:vAlign w:val="center"/>
          </w:tcPr>
          <w:p w14:paraId="6134E4DA" w14:textId="77777777" w:rsidR="007D241D" w:rsidRPr="00650B21" w:rsidRDefault="007D241D" w:rsidP="00281C7E">
            <w:pPr>
              <w:spacing w:after="240"/>
              <w:rPr>
                <w:sz w:val="20"/>
                <w:szCs w:val="20"/>
              </w:rPr>
            </w:pPr>
            <w:r>
              <w:rPr>
                <w:sz w:val="20"/>
                <w:szCs w:val="20"/>
              </w:rPr>
              <w:t>A3</w:t>
            </w:r>
          </w:p>
        </w:tc>
        <w:tc>
          <w:tcPr>
            <w:tcW w:w="2171" w:type="dxa"/>
            <w:vAlign w:val="center"/>
          </w:tcPr>
          <w:p w14:paraId="453C7150" w14:textId="77777777" w:rsidR="007D241D" w:rsidRPr="00650B21" w:rsidRDefault="007D241D" w:rsidP="00281C7E">
            <w:pPr>
              <w:spacing w:after="240"/>
              <w:rPr>
                <w:sz w:val="20"/>
                <w:szCs w:val="20"/>
              </w:rPr>
            </w:pPr>
            <w:r>
              <w:rPr>
                <w:sz w:val="20"/>
                <w:szCs w:val="20"/>
              </w:rPr>
              <w:t>Equity</w:t>
            </w:r>
          </w:p>
        </w:tc>
        <w:tc>
          <w:tcPr>
            <w:tcW w:w="6035" w:type="dxa"/>
            <w:vAlign w:val="center"/>
          </w:tcPr>
          <w:p w14:paraId="3AD3D60A" w14:textId="77777777" w:rsidR="007D241D" w:rsidRPr="00650B21" w:rsidRDefault="007D241D" w:rsidP="00281C7E">
            <w:pPr>
              <w:autoSpaceDE w:val="0"/>
              <w:autoSpaceDN w:val="0"/>
              <w:adjustRightInd w:val="0"/>
              <w:jc w:val="both"/>
              <w:rPr>
                <w:sz w:val="20"/>
                <w:szCs w:val="20"/>
              </w:rPr>
            </w:pPr>
            <w:r>
              <w:rPr>
                <w:sz w:val="20"/>
                <w:szCs w:val="20"/>
              </w:rPr>
              <w:t xml:space="preserve">Questions, critiques and requests regarding choice of accounting methods (accounting principles, accounting literature) as well as application of accounting methods (estimates, assumptions, timing, classification, calculation, recording) of (historical) equity (not including the valuation of stock in the offering), </w:t>
            </w:r>
            <w:proofErr w:type="gramStart"/>
            <w:r>
              <w:rPr>
                <w:sz w:val="20"/>
                <w:szCs w:val="20"/>
              </w:rPr>
              <w:t>e.g.</w:t>
            </w:r>
            <w:proofErr w:type="gramEnd"/>
            <w:r>
              <w:rPr>
                <w:sz w:val="20"/>
                <w:szCs w:val="20"/>
              </w:rPr>
              <w:t xml:space="preserve"> common stock, preferred stock, stock warranty (including contra account, e.g. treasury stock)</w:t>
            </w:r>
          </w:p>
        </w:tc>
      </w:tr>
      <w:tr w:rsidR="007D241D" w:rsidRPr="00650B21" w14:paraId="2AFF3C2C" w14:textId="77777777" w:rsidTr="00281C7E">
        <w:tc>
          <w:tcPr>
            <w:tcW w:w="810" w:type="dxa"/>
            <w:vAlign w:val="center"/>
          </w:tcPr>
          <w:p w14:paraId="50EA8279" w14:textId="77777777" w:rsidR="007D241D" w:rsidRPr="00650B21" w:rsidRDefault="007D241D" w:rsidP="00281C7E">
            <w:pPr>
              <w:spacing w:after="240"/>
              <w:rPr>
                <w:sz w:val="20"/>
                <w:szCs w:val="20"/>
              </w:rPr>
            </w:pPr>
            <w:r>
              <w:rPr>
                <w:sz w:val="20"/>
                <w:szCs w:val="20"/>
              </w:rPr>
              <w:t>A4</w:t>
            </w:r>
          </w:p>
        </w:tc>
        <w:tc>
          <w:tcPr>
            <w:tcW w:w="2171" w:type="dxa"/>
            <w:vAlign w:val="center"/>
          </w:tcPr>
          <w:p w14:paraId="4F9C3199" w14:textId="77777777" w:rsidR="007D241D" w:rsidRPr="00650B21" w:rsidRDefault="007D241D" w:rsidP="00281C7E">
            <w:pPr>
              <w:spacing w:after="240"/>
              <w:rPr>
                <w:sz w:val="20"/>
                <w:szCs w:val="20"/>
              </w:rPr>
            </w:pPr>
            <w:r>
              <w:rPr>
                <w:sz w:val="20"/>
                <w:szCs w:val="20"/>
              </w:rPr>
              <w:t>Income</w:t>
            </w:r>
          </w:p>
        </w:tc>
        <w:tc>
          <w:tcPr>
            <w:tcW w:w="6035" w:type="dxa"/>
            <w:vAlign w:val="center"/>
          </w:tcPr>
          <w:p w14:paraId="3627AC06" w14:textId="77777777" w:rsidR="007D241D" w:rsidRPr="00650B21" w:rsidRDefault="007D241D" w:rsidP="00281C7E">
            <w:pPr>
              <w:autoSpaceDE w:val="0"/>
              <w:autoSpaceDN w:val="0"/>
              <w:adjustRightInd w:val="0"/>
              <w:jc w:val="both"/>
              <w:rPr>
                <w:sz w:val="20"/>
                <w:szCs w:val="20"/>
              </w:rPr>
            </w:pPr>
            <w:r>
              <w:rPr>
                <w:sz w:val="20"/>
                <w:szCs w:val="20"/>
              </w:rPr>
              <w:t>Questions, critiques and requests regarding choice of accounting methods (accounting principles, accounting literature) as well as application of accounting methods (estimates, assumptions, timing, classification, calculation, recording) of revenue recognition and other income (</w:t>
            </w:r>
            <w:proofErr w:type="gramStart"/>
            <w:r>
              <w:rPr>
                <w:sz w:val="20"/>
                <w:szCs w:val="20"/>
              </w:rPr>
              <w:t>e.g.</w:t>
            </w:r>
            <w:proofErr w:type="gramEnd"/>
            <w:r>
              <w:rPr>
                <w:sz w:val="20"/>
                <w:szCs w:val="20"/>
              </w:rPr>
              <w:t xml:space="preserve"> interest income, deemed dividend, reimbursement)</w:t>
            </w:r>
          </w:p>
        </w:tc>
      </w:tr>
      <w:tr w:rsidR="007D241D" w:rsidRPr="00650B21" w14:paraId="743C0084" w14:textId="77777777" w:rsidTr="00281C7E">
        <w:tc>
          <w:tcPr>
            <w:tcW w:w="810" w:type="dxa"/>
            <w:vAlign w:val="center"/>
          </w:tcPr>
          <w:p w14:paraId="1CB41D3B" w14:textId="77777777" w:rsidR="007D241D" w:rsidRPr="00650B21" w:rsidRDefault="007D241D" w:rsidP="00281C7E">
            <w:pPr>
              <w:spacing w:after="240"/>
              <w:rPr>
                <w:sz w:val="20"/>
                <w:szCs w:val="20"/>
              </w:rPr>
            </w:pPr>
            <w:r>
              <w:rPr>
                <w:sz w:val="20"/>
                <w:szCs w:val="20"/>
              </w:rPr>
              <w:t>A5</w:t>
            </w:r>
          </w:p>
        </w:tc>
        <w:tc>
          <w:tcPr>
            <w:tcW w:w="2171" w:type="dxa"/>
            <w:vAlign w:val="center"/>
          </w:tcPr>
          <w:p w14:paraId="44D23195" w14:textId="77777777" w:rsidR="007D241D" w:rsidRPr="00650B21" w:rsidRDefault="007D241D" w:rsidP="00281C7E">
            <w:pPr>
              <w:spacing w:after="240"/>
              <w:rPr>
                <w:sz w:val="20"/>
                <w:szCs w:val="20"/>
              </w:rPr>
            </w:pPr>
            <w:r>
              <w:rPr>
                <w:sz w:val="20"/>
                <w:szCs w:val="20"/>
              </w:rPr>
              <w:t>Expense</w:t>
            </w:r>
          </w:p>
        </w:tc>
        <w:tc>
          <w:tcPr>
            <w:tcW w:w="6035" w:type="dxa"/>
            <w:vAlign w:val="center"/>
          </w:tcPr>
          <w:p w14:paraId="4EC4F01A" w14:textId="77777777" w:rsidR="007D241D" w:rsidRPr="00650B21" w:rsidRDefault="007D241D" w:rsidP="00281C7E">
            <w:pPr>
              <w:autoSpaceDE w:val="0"/>
              <w:autoSpaceDN w:val="0"/>
              <w:adjustRightInd w:val="0"/>
              <w:jc w:val="both"/>
              <w:rPr>
                <w:sz w:val="20"/>
                <w:szCs w:val="20"/>
              </w:rPr>
            </w:pPr>
            <w:r>
              <w:rPr>
                <w:sz w:val="20"/>
                <w:szCs w:val="20"/>
              </w:rPr>
              <w:t xml:space="preserve">Questions, critiques and requests regarding choice of accounting methods (accounting principle, accounting literature) as well as application of accounting methods (estimates, assumptions, timing, classification, calculation, recording) of cost of good </w:t>
            </w:r>
            <w:proofErr w:type="spellStart"/>
            <w:r>
              <w:rPr>
                <w:sz w:val="20"/>
                <w:szCs w:val="20"/>
              </w:rPr>
              <w:t>solds</w:t>
            </w:r>
            <w:proofErr w:type="spellEnd"/>
            <w:r>
              <w:rPr>
                <w:sz w:val="20"/>
                <w:szCs w:val="20"/>
              </w:rPr>
              <w:t>, R&amp;D expense, advertising expense, compensation expense (e.g. valuation of stock option grant) and other expenses (e.g. Selling, general and administration expense, Benefit expense, contribution margin, customer acquisition cost, income tax, provision for income tax), including choice and application of accounting methods of contra-account (e.g. tax benefit)</w:t>
            </w:r>
          </w:p>
        </w:tc>
      </w:tr>
      <w:tr w:rsidR="007D241D" w:rsidRPr="00650B21" w14:paraId="7CAA8729" w14:textId="77777777" w:rsidTr="00281C7E">
        <w:tc>
          <w:tcPr>
            <w:tcW w:w="810" w:type="dxa"/>
            <w:vAlign w:val="center"/>
          </w:tcPr>
          <w:p w14:paraId="3CECB772" w14:textId="77777777" w:rsidR="007D241D" w:rsidRPr="00650B21" w:rsidRDefault="007D241D" w:rsidP="00281C7E">
            <w:pPr>
              <w:spacing w:after="240"/>
              <w:rPr>
                <w:sz w:val="20"/>
                <w:szCs w:val="20"/>
              </w:rPr>
            </w:pPr>
            <w:r>
              <w:rPr>
                <w:sz w:val="20"/>
                <w:szCs w:val="20"/>
              </w:rPr>
              <w:t>A6</w:t>
            </w:r>
          </w:p>
        </w:tc>
        <w:tc>
          <w:tcPr>
            <w:tcW w:w="2171" w:type="dxa"/>
            <w:vAlign w:val="center"/>
          </w:tcPr>
          <w:p w14:paraId="6046750B" w14:textId="77777777" w:rsidR="007D241D" w:rsidRPr="00650B21" w:rsidRDefault="007D241D" w:rsidP="00281C7E">
            <w:pPr>
              <w:spacing w:after="240"/>
              <w:rPr>
                <w:sz w:val="20"/>
                <w:szCs w:val="20"/>
              </w:rPr>
            </w:pPr>
            <w:r>
              <w:rPr>
                <w:sz w:val="20"/>
                <w:szCs w:val="20"/>
              </w:rPr>
              <w:t>Earnings</w:t>
            </w:r>
          </w:p>
        </w:tc>
        <w:tc>
          <w:tcPr>
            <w:tcW w:w="6035" w:type="dxa"/>
            <w:vAlign w:val="center"/>
          </w:tcPr>
          <w:p w14:paraId="0A04FEAA" w14:textId="77777777" w:rsidR="007D241D" w:rsidRPr="00650B21" w:rsidRDefault="007D241D" w:rsidP="00281C7E">
            <w:pPr>
              <w:autoSpaceDE w:val="0"/>
              <w:autoSpaceDN w:val="0"/>
              <w:adjustRightInd w:val="0"/>
              <w:jc w:val="both"/>
              <w:rPr>
                <w:sz w:val="20"/>
                <w:szCs w:val="20"/>
              </w:rPr>
            </w:pPr>
            <w:r>
              <w:rPr>
                <w:sz w:val="20"/>
                <w:szCs w:val="20"/>
              </w:rPr>
              <w:t>Questions, critiques and requests regarding choice of accounting methods (accounting principles, accounting literature) as well as application of accounting methods (estimates, assumptions, timing, classification, calculation, recording) of earning numbers (</w:t>
            </w:r>
            <w:proofErr w:type="gramStart"/>
            <w:r>
              <w:rPr>
                <w:sz w:val="20"/>
                <w:szCs w:val="20"/>
              </w:rPr>
              <w:t>e.g.</w:t>
            </w:r>
            <w:proofErr w:type="gramEnd"/>
            <w:r>
              <w:rPr>
                <w:sz w:val="20"/>
                <w:szCs w:val="20"/>
              </w:rPr>
              <w:t xml:space="preserve"> net income, other comprehensive income, EBIT, EBITDA) earning-related ratio (e.g. ROA, EPS), including choice and application of accounting methods of Extraordinary items and discontinued operation</w:t>
            </w:r>
          </w:p>
        </w:tc>
      </w:tr>
      <w:tr w:rsidR="007D241D" w:rsidRPr="00650B21" w14:paraId="04794ED7" w14:textId="77777777" w:rsidTr="00281C7E">
        <w:trPr>
          <w:trHeight w:val="2397"/>
        </w:trPr>
        <w:tc>
          <w:tcPr>
            <w:tcW w:w="810" w:type="dxa"/>
            <w:vAlign w:val="center"/>
          </w:tcPr>
          <w:p w14:paraId="35103412" w14:textId="77777777" w:rsidR="007D241D" w:rsidRPr="00650B21" w:rsidRDefault="007D241D" w:rsidP="00281C7E">
            <w:pPr>
              <w:spacing w:after="240"/>
              <w:rPr>
                <w:sz w:val="20"/>
                <w:szCs w:val="20"/>
              </w:rPr>
            </w:pPr>
            <w:r>
              <w:rPr>
                <w:sz w:val="20"/>
                <w:szCs w:val="20"/>
              </w:rPr>
              <w:lastRenderedPageBreak/>
              <w:t>A7</w:t>
            </w:r>
          </w:p>
        </w:tc>
        <w:tc>
          <w:tcPr>
            <w:tcW w:w="2171" w:type="dxa"/>
            <w:vAlign w:val="center"/>
          </w:tcPr>
          <w:p w14:paraId="49AA59E6" w14:textId="77777777" w:rsidR="007D241D" w:rsidRPr="00650B21" w:rsidRDefault="007D241D" w:rsidP="00281C7E">
            <w:pPr>
              <w:spacing w:after="240"/>
              <w:rPr>
                <w:sz w:val="20"/>
                <w:szCs w:val="20"/>
              </w:rPr>
            </w:pPr>
            <w:r>
              <w:rPr>
                <w:sz w:val="20"/>
                <w:szCs w:val="20"/>
              </w:rPr>
              <w:t>Other financial items</w:t>
            </w:r>
          </w:p>
        </w:tc>
        <w:tc>
          <w:tcPr>
            <w:tcW w:w="6035" w:type="dxa"/>
            <w:vAlign w:val="center"/>
          </w:tcPr>
          <w:p w14:paraId="2747B1B6" w14:textId="77777777" w:rsidR="007D241D" w:rsidRPr="00650B21" w:rsidRDefault="007D241D" w:rsidP="00281C7E">
            <w:pPr>
              <w:autoSpaceDE w:val="0"/>
              <w:autoSpaceDN w:val="0"/>
              <w:adjustRightInd w:val="0"/>
              <w:jc w:val="both"/>
              <w:rPr>
                <w:sz w:val="20"/>
                <w:szCs w:val="20"/>
              </w:rPr>
            </w:pPr>
            <w:r>
              <w:rPr>
                <w:sz w:val="20"/>
                <w:szCs w:val="20"/>
              </w:rPr>
              <w:t>Questions, critiques and requests regarding choice of accounting methods (accounting principles, accounting literature) as well as application of accounting methods (estimates, assumptions, timing, classification, calculation, recording) of aggregated financial items (e.g. working capital, capitalization, securities, cash flows, free cash flows, off-balance sheets items), or more than one financial items coded from A1-A6 (e.g. whole financial statements), or other components of financial statement (e.g. segment reporting, reporting currency, fiscal year-end), including new accounting announcements and auditors report about firms' financial statements.</w:t>
            </w:r>
          </w:p>
        </w:tc>
      </w:tr>
      <w:tr w:rsidR="007D241D" w:rsidRPr="00650B21" w14:paraId="4ADAA361" w14:textId="77777777" w:rsidTr="00281C7E">
        <w:tc>
          <w:tcPr>
            <w:tcW w:w="810" w:type="dxa"/>
            <w:vAlign w:val="center"/>
          </w:tcPr>
          <w:p w14:paraId="3CD238AA" w14:textId="77777777" w:rsidR="007D241D" w:rsidRPr="00650B21" w:rsidRDefault="007D241D" w:rsidP="00281C7E">
            <w:pPr>
              <w:spacing w:after="240"/>
              <w:rPr>
                <w:sz w:val="20"/>
                <w:szCs w:val="20"/>
              </w:rPr>
            </w:pPr>
            <w:r>
              <w:rPr>
                <w:sz w:val="20"/>
                <w:szCs w:val="20"/>
              </w:rPr>
              <w:t>A8</w:t>
            </w:r>
          </w:p>
        </w:tc>
        <w:tc>
          <w:tcPr>
            <w:tcW w:w="2171" w:type="dxa"/>
            <w:vAlign w:val="center"/>
          </w:tcPr>
          <w:p w14:paraId="67D4B230" w14:textId="77777777" w:rsidR="007D241D" w:rsidRPr="00650B21" w:rsidRDefault="007D241D" w:rsidP="00281C7E">
            <w:pPr>
              <w:autoSpaceDE w:val="0"/>
              <w:autoSpaceDN w:val="0"/>
              <w:adjustRightInd w:val="0"/>
              <w:rPr>
                <w:sz w:val="20"/>
                <w:szCs w:val="20"/>
              </w:rPr>
            </w:pPr>
            <w:r>
              <w:rPr>
                <w:sz w:val="20"/>
                <w:szCs w:val="20"/>
              </w:rPr>
              <w:t>Accounting-related transactions/events</w:t>
            </w:r>
          </w:p>
        </w:tc>
        <w:tc>
          <w:tcPr>
            <w:tcW w:w="6035" w:type="dxa"/>
            <w:vAlign w:val="center"/>
          </w:tcPr>
          <w:p w14:paraId="65C4D2DF" w14:textId="77777777" w:rsidR="007D241D" w:rsidRPr="00650B21" w:rsidRDefault="007D241D" w:rsidP="00281C7E">
            <w:pPr>
              <w:autoSpaceDE w:val="0"/>
              <w:autoSpaceDN w:val="0"/>
              <w:adjustRightInd w:val="0"/>
              <w:jc w:val="both"/>
              <w:rPr>
                <w:sz w:val="20"/>
                <w:szCs w:val="20"/>
              </w:rPr>
            </w:pPr>
            <w:r w:rsidRPr="008B025C">
              <w:rPr>
                <w:sz w:val="20"/>
                <w:szCs w:val="20"/>
              </w:rPr>
              <w:t>Questions, critiques and requests regarding asset acquisitions and</w:t>
            </w:r>
            <w:r>
              <w:rPr>
                <w:sz w:val="20"/>
                <w:szCs w:val="20"/>
              </w:rPr>
              <w:t xml:space="preserve"> </w:t>
            </w:r>
            <w:r w:rsidRPr="008B025C">
              <w:rPr>
                <w:sz w:val="20"/>
                <w:szCs w:val="20"/>
              </w:rPr>
              <w:t>dispositions (e.g., when and how specific R&amp;D activities or maintenance</w:t>
            </w:r>
            <w:r>
              <w:rPr>
                <w:sz w:val="20"/>
                <w:szCs w:val="20"/>
              </w:rPr>
              <w:t xml:space="preserve"> </w:t>
            </w:r>
            <w:r w:rsidRPr="008B025C">
              <w:rPr>
                <w:sz w:val="20"/>
                <w:szCs w:val="20"/>
              </w:rPr>
              <w:t>activities or sales of PPE or shipment of merchandise are conducted as well</w:t>
            </w:r>
            <w:r>
              <w:rPr>
                <w:sz w:val="20"/>
                <w:szCs w:val="20"/>
              </w:rPr>
              <w:t xml:space="preserve"> </w:t>
            </w:r>
            <w:r w:rsidRPr="008B025C">
              <w:rPr>
                <w:sz w:val="20"/>
                <w:szCs w:val="20"/>
              </w:rPr>
              <w:t>as when and how specific compensation expenses are paid) and firm’s other</w:t>
            </w:r>
            <w:r>
              <w:rPr>
                <w:sz w:val="20"/>
                <w:szCs w:val="20"/>
              </w:rPr>
              <w:t xml:space="preserve"> </w:t>
            </w:r>
            <w:r w:rsidRPr="008B025C">
              <w:rPr>
                <w:sz w:val="20"/>
                <w:szCs w:val="20"/>
              </w:rPr>
              <w:t>accounting-related transactions/actions which are often presented in section</w:t>
            </w:r>
            <w:r>
              <w:rPr>
                <w:sz w:val="20"/>
                <w:szCs w:val="20"/>
              </w:rPr>
              <w:t xml:space="preserve"> </w:t>
            </w:r>
            <w:r w:rsidRPr="008B025C">
              <w:rPr>
                <w:sz w:val="20"/>
                <w:szCs w:val="20"/>
              </w:rPr>
              <w:t>of "Note to Financial Statements" in S-1 filings (e.g. related-party (board</w:t>
            </w:r>
            <w:r>
              <w:rPr>
                <w:sz w:val="20"/>
                <w:szCs w:val="20"/>
              </w:rPr>
              <w:t xml:space="preserve"> </w:t>
            </w:r>
            <w:r w:rsidRPr="008B025C">
              <w:rPr>
                <w:sz w:val="20"/>
                <w:szCs w:val="20"/>
              </w:rPr>
              <w:t>members, other insiders) transaction, M&amp;A activities, investment activities,</w:t>
            </w:r>
            <w:r>
              <w:rPr>
                <w:sz w:val="20"/>
                <w:szCs w:val="20"/>
              </w:rPr>
              <w:t xml:space="preserve"> </w:t>
            </w:r>
            <w:r w:rsidRPr="008B025C">
              <w:rPr>
                <w:sz w:val="20"/>
                <w:szCs w:val="20"/>
              </w:rPr>
              <w:t>acquisitions, leasing activities, off-balance sheet arrangement) , including</w:t>
            </w:r>
            <w:r>
              <w:rPr>
                <w:sz w:val="20"/>
                <w:szCs w:val="20"/>
              </w:rPr>
              <w:t xml:space="preserve"> </w:t>
            </w:r>
            <w:r w:rsidRPr="008B025C">
              <w:rPr>
                <w:sz w:val="20"/>
                <w:szCs w:val="20"/>
              </w:rPr>
              <w:t>accounting treatments for subsequent events.</w:t>
            </w:r>
          </w:p>
        </w:tc>
      </w:tr>
      <w:tr w:rsidR="007D241D" w:rsidRPr="00650B21" w14:paraId="09682D6B" w14:textId="77777777" w:rsidTr="00281C7E">
        <w:trPr>
          <w:trHeight w:val="1458"/>
        </w:trPr>
        <w:tc>
          <w:tcPr>
            <w:tcW w:w="2981" w:type="dxa"/>
            <w:gridSpan w:val="2"/>
            <w:vAlign w:val="center"/>
          </w:tcPr>
          <w:p w14:paraId="40BAAF6F" w14:textId="77777777" w:rsidR="007D241D" w:rsidRPr="008B025C" w:rsidRDefault="007D241D" w:rsidP="00281C7E">
            <w:pPr>
              <w:autoSpaceDE w:val="0"/>
              <w:autoSpaceDN w:val="0"/>
              <w:adjustRightInd w:val="0"/>
              <w:rPr>
                <w:b/>
                <w:bCs/>
                <w:sz w:val="20"/>
                <w:szCs w:val="20"/>
              </w:rPr>
            </w:pPr>
            <w:r>
              <w:rPr>
                <w:b/>
                <w:bCs/>
                <w:sz w:val="20"/>
                <w:szCs w:val="20"/>
              </w:rPr>
              <w:t>B. Non-core accounting Issues</w:t>
            </w:r>
          </w:p>
        </w:tc>
        <w:tc>
          <w:tcPr>
            <w:tcW w:w="6035" w:type="dxa"/>
            <w:vAlign w:val="center"/>
          </w:tcPr>
          <w:p w14:paraId="54E8FE14" w14:textId="77777777" w:rsidR="007D241D" w:rsidRPr="0065050F" w:rsidRDefault="007D241D" w:rsidP="00281C7E">
            <w:pPr>
              <w:spacing w:after="240"/>
              <w:jc w:val="both"/>
              <w:rPr>
                <w:b/>
                <w:bCs/>
                <w:sz w:val="20"/>
                <w:szCs w:val="20"/>
              </w:rPr>
            </w:pPr>
            <w:r w:rsidRPr="0065050F">
              <w:rPr>
                <w:b/>
                <w:bCs/>
                <w:sz w:val="20"/>
                <w:szCs w:val="20"/>
              </w:rPr>
              <w:t>These items represent the SEC' comments relating to non-EM-related</w:t>
            </w:r>
            <w:r>
              <w:rPr>
                <w:b/>
                <w:bCs/>
                <w:sz w:val="20"/>
                <w:szCs w:val="20"/>
              </w:rPr>
              <w:t xml:space="preserve"> </w:t>
            </w:r>
            <w:r w:rsidRPr="0065050F">
              <w:rPr>
                <w:b/>
                <w:bCs/>
                <w:sz w:val="20"/>
                <w:szCs w:val="20"/>
              </w:rPr>
              <w:t>accounting issues including accounting method choice, accounting</w:t>
            </w:r>
            <w:r>
              <w:rPr>
                <w:b/>
                <w:bCs/>
                <w:sz w:val="20"/>
                <w:szCs w:val="20"/>
              </w:rPr>
              <w:t xml:space="preserve"> </w:t>
            </w:r>
            <w:r w:rsidRPr="0065050F">
              <w:rPr>
                <w:b/>
                <w:bCs/>
                <w:sz w:val="20"/>
                <w:szCs w:val="20"/>
              </w:rPr>
              <w:t>method application for specific items or related accounting</w:t>
            </w:r>
            <w:r>
              <w:rPr>
                <w:b/>
                <w:bCs/>
                <w:sz w:val="20"/>
                <w:szCs w:val="20"/>
              </w:rPr>
              <w:t xml:space="preserve"> </w:t>
            </w:r>
            <w:r w:rsidRPr="0065050F">
              <w:rPr>
                <w:b/>
                <w:bCs/>
                <w:sz w:val="20"/>
                <w:szCs w:val="20"/>
              </w:rPr>
              <w:t>transaction. All comments on section "Note to Financial Statements"</w:t>
            </w:r>
            <w:r>
              <w:rPr>
                <w:b/>
                <w:bCs/>
                <w:sz w:val="20"/>
                <w:szCs w:val="20"/>
              </w:rPr>
              <w:t xml:space="preserve"> </w:t>
            </w:r>
            <w:r w:rsidRPr="0065050F">
              <w:rPr>
                <w:b/>
                <w:bCs/>
                <w:sz w:val="20"/>
                <w:szCs w:val="20"/>
              </w:rPr>
              <w:t>about a specific transaction/event should be categorized into this item</w:t>
            </w:r>
            <w:r>
              <w:rPr>
                <w:b/>
                <w:bCs/>
                <w:sz w:val="20"/>
                <w:szCs w:val="20"/>
              </w:rPr>
              <w:t xml:space="preserve"> </w:t>
            </w:r>
            <w:r w:rsidRPr="0065050F">
              <w:rPr>
                <w:b/>
                <w:bCs/>
                <w:sz w:val="20"/>
                <w:szCs w:val="20"/>
              </w:rPr>
              <w:t>or the item of “Core accounting issues".</w:t>
            </w:r>
          </w:p>
        </w:tc>
      </w:tr>
      <w:tr w:rsidR="007D241D" w:rsidRPr="00650B21" w14:paraId="1DBA4039" w14:textId="77777777" w:rsidTr="00281C7E">
        <w:tc>
          <w:tcPr>
            <w:tcW w:w="810" w:type="dxa"/>
            <w:vAlign w:val="center"/>
          </w:tcPr>
          <w:p w14:paraId="7CA327C7" w14:textId="77777777" w:rsidR="007D241D" w:rsidRPr="00650B21" w:rsidRDefault="007D241D" w:rsidP="00281C7E">
            <w:pPr>
              <w:spacing w:after="240"/>
              <w:rPr>
                <w:sz w:val="20"/>
                <w:szCs w:val="20"/>
              </w:rPr>
            </w:pPr>
            <w:r>
              <w:rPr>
                <w:sz w:val="20"/>
                <w:szCs w:val="20"/>
              </w:rPr>
              <w:t>B1</w:t>
            </w:r>
          </w:p>
        </w:tc>
        <w:tc>
          <w:tcPr>
            <w:tcW w:w="2171" w:type="dxa"/>
            <w:vAlign w:val="center"/>
          </w:tcPr>
          <w:p w14:paraId="1A39E931" w14:textId="77777777" w:rsidR="007D241D" w:rsidRPr="00650B21" w:rsidRDefault="007D241D" w:rsidP="00281C7E">
            <w:pPr>
              <w:autoSpaceDE w:val="0"/>
              <w:autoSpaceDN w:val="0"/>
              <w:adjustRightInd w:val="0"/>
              <w:rPr>
                <w:sz w:val="20"/>
                <w:szCs w:val="20"/>
              </w:rPr>
            </w:pPr>
            <w:r>
              <w:rPr>
                <w:sz w:val="20"/>
                <w:szCs w:val="20"/>
              </w:rPr>
              <w:t>Pro forma financial information</w:t>
            </w:r>
          </w:p>
        </w:tc>
        <w:tc>
          <w:tcPr>
            <w:tcW w:w="6035" w:type="dxa"/>
            <w:vAlign w:val="center"/>
          </w:tcPr>
          <w:p w14:paraId="3AB3C5DB" w14:textId="77777777" w:rsidR="007D241D" w:rsidRPr="00650B21" w:rsidRDefault="007D241D" w:rsidP="00281C7E">
            <w:pPr>
              <w:autoSpaceDE w:val="0"/>
              <w:autoSpaceDN w:val="0"/>
              <w:adjustRightInd w:val="0"/>
              <w:jc w:val="both"/>
              <w:rPr>
                <w:sz w:val="20"/>
                <w:szCs w:val="20"/>
              </w:rPr>
            </w:pPr>
            <w:r>
              <w:rPr>
                <w:sz w:val="20"/>
                <w:szCs w:val="20"/>
              </w:rPr>
              <w:t xml:space="preserve">Questions, </w:t>
            </w:r>
            <w:proofErr w:type="gramStart"/>
            <w:r>
              <w:rPr>
                <w:sz w:val="20"/>
                <w:szCs w:val="20"/>
              </w:rPr>
              <w:t>critiques</w:t>
            </w:r>
            <w:proofErr w:type="gramEnd"/>
            <w:r>
              <w:rPr>
                <w:sz w:val="20"/>
                <w:szCs w:val="20"/>
              </w:rPr>
              <w:t xml:space="preserve"> and requests regarding pro forma financial information derived from effects of changes in the firm’s capital structure based on the offering or effects of a merger transaction. Pro forma financial item presents historical balance sheet and income statement information adjusted as if a transaction had occurred in the latest fiscal year or subsequent interim period</w:t>
            </w:r>
          </w:p>
        </w:tc>
      </w:tr>
      <w:tr w:rsidR="007D241D" w:rsidRPr="00650B21" w14:paraId="75778FC9" w14:textId="77777777" w:rsidTr="00281C7E">
        <w:tc>
          <w:tcPr>
            <w:tcW w:w="810" w:type="dxa"/>
            <w:vAlign w:val="center"/>
          </w:tcPr>
          <w:p w14:paraId="0D3E8022" w14:textId="77777777" w:rsidR="007D241D" w:rsidRPr="00650B21" w:rsidRDefault="007D241D" w:rsidP="00281C7E">
            <w:pPr>
              <w:spacing w:after="240"/>
              <w:rPr>
                <w:sz w:val="20"/>
                <w:szCs w:val="20"/>
              </w:rPr>
            </w:pPr>
            <w:r>
              <w:rPr>
                <w:sz w:val="20"/>
                <w:szCs w:val="20"/>
              </w:rPr>
              <w:t>B2</w:t>
            </w:r>
          </w:p>
        </w:tc>
        <w:tc>
          <w:tcPr>
            <w:tcW w:w="2171" w:type="dxa"/>
            <w:vAlign w:val="center"/>
          </w:tcPr>
          <w:p w14:paraId="31C65F63" w14:textId="77777777" w:rsidR="007D241D" w:rsidRPr="00650B21" w:rsidRDefault="007D241D" w:rsidP="00281C7E">
            <w:pPr>
              <w:spacing w:after="240"/>
              <w:rPr>
                <w:sz w:val="20"/>
                <w:szCs w:val="20"/>
              </w:rPr>
            </w:pPr>
            <w:r>
              <w:rPr>
                <w:sz w:val="20"/>
                <w:szCs w:val="20"/>
              </w:rPr>
              <w:t>Non-GAAP measure</w:t>
            </w:r>
          </w:p>
        </w:tc>
        <w:tc>
          <w:tcPr>
            <w:tcW w:w="6035" w:type="dxa"/>
            <w:vAlign w:val="center"/>
          </w:tcPr>
          <w:p w14:paraId="224613F0" w14:textId="77777777" w:rsidR="007D241D" w:rsidRPr="00650B21" w:rsidRDefault="007D241D" w:rsidP="00281C7E">
            <w:pPr>
              <w:autoSpaceDE w:val="0"/>
              <w:autoSpaceDN w:val="0"/>
              <w:adjustRightInd w:val="0"/>
              <w:jc w:val="both"/>
              <w:rPr>
                <w:sz w:val="20"/>
                <w:szCs w:val="20"/>
              </w:rPr>
            </w:pPr>
            <w:r>
              <w:rPr>
                <w:sz w:val="20"/>
                <w:szCs w:val="20"/>
              </w:rPr>
              <w:t xml:space="preserve">Questions, </w:t>
            </w:r>
            <w:proofErr w:type="gramStart"/>
            <w:r>
              <w:rPr>
                <w:sz w:val="20"/>
                <w:szCs w:val="20"/>
              </w:rPr>
              <w:t>critiques</w:t>
            </w:r>
            <w:proofErr w:type="gramEnd"/>
            <w:r>
              <w:rPr>
                <w:sz w:val="20"/>
                <w:szCs w:val="20"/>
              </w:rPr>
              <w:t xml:space="preserve"> and requests regarding non-GAAP financial information. Non-GAAP financial measure is a numerical measure of a registrant's historical or future financial performance, financial position, or cash flow that excludes (or includes) </w:t>
            </w:r>
            <w:proofErr w:type="gramStart"/>
            <w:r>
              <w:rPr>
                <w:sz w:val="20"/>
                <w:szCs w:val="20"/>
              </w:rPr>
              <w:t>amounts, or</w:t>
            </w:r>
            <w:proofErr w:type="gramEnd"/>
            <w:r>
              <w:rPr>
                <w:sz w:val="20"/>
                <w:szCs w:val="20"/>
              </w:rPr>
              <w:t xml:space="preserve"> is subject to adjustments that have the effect of excluding amounts, that are included (or excluded) in the most directly comparable GAAP measure.</w:t>
            </w:r>
          </w:p>
        </w:tc>
      </w:tr>
      <w:tr w:rsidR="007D241D" w:rsidRPr="00650B21" w14:paraId="655F0227" w14:textId="77777777" w:rsidTr="00281C7E">
        <w:tc>
          <w:tcPr>
            <w:tcW w:w="810" w:type="dxa"/>
            <w:vAlign w:val="center"/>
          </w:tcPr>
          <w:p w14:paraId="06D41BAB" w14:textId="77777777" w:rsidR="007D241D" w:rsidRPr="00650B21" w:rsidRDefault="007D241D" w:rsidP="00281C7E">
            <w:pPr>
              <w:spacing w:after="240"/>
              <w:rPr>
                <w:sz w:val="20"/>
                <w:szCs w:val="20"/>
              </w:rPr>
            </w:pPr>
            <w:r>
              <w:rPr>
                <w:sz w:val="20"/>
                <w:szCs w:val="20"/>
              </w:rPr>
              <w:t>B3</w:t>
            </w:r>
          </w:p>
        </w:tc>
        <w:tc>
          <w:tcPr>
            <w:tcW w:w="2171" w:type="dxa"/>
            <w:vAlign w:val="center"/>
          </w:tcPr>
          <w:p w14:paraId="12361629" w14:textId="77777777" w:rsidR="007D241D" w:rsidRPr="00650B21" w:rsidRDefault="007D241D" w:rsidP="00281C7E">
            <w:pPr>
              <w:spacing w:after="240"/>
              <w:rPr>
                <w:sz w:val="20"/>
                <w:szCs w:val="20"/>
              </w:rPr>
            </w:pPr>
            <w:r>
              <w:rPr>
                <w:sz w:val="20"/>
                <w:szCs w:val="20"/>
              </w:rPr>
              <w:t>Internal controls</w:t>
            </w:r>
          </w:p>
        </w:tc>
        <w:tc>
          <w:tcPr>
            <w:tcW w:w="6035" w:type="dxa"/>
            <w:vAlign w:val="center"/>
          </w:tcPr>
          <w:p w14:paraId="3FFCEEB9" w14:textId="77777777" w:rsidR="007D241D" w:rsidRPr="00650B21" w:rsidRDefault="007D241D" w:rsidP="00281C7E">
            <w:pPr>
              <w:autoSpaceDE w:val="0"/>
              <w:autoSpaceDN w:val="0"/>
              <w:adjustRightInd w:val="0"/>
              <w:jc w:val="both"/>
              <w:rPr>
                <w:sz w:val="20"/>
                <w:szCs w:val="20"/>
              </w:rPr>
            </w:pPr>
            <w:r>
              <w:rPr>
                <w:sz w:val="20"/>
                <w:szCs w:val="20"/>
              </w:rPr>
              <w:t>Questions about the firm’s internal control systems and the testing, if any, of controls as well as reportable conditions or other irregularity that was identified by management related to the firm’s internal controls</w:t>
            </w:r>
          </w:p>
        </w:tc>
      </w:tr>
      <w:tr w:rsidR="007D241D" w:rsidRPr="00650B21" w14:paraId="05411F8D" w14:textId="77777777" w:rsidTr="00281C7E">
        <w:tc>
          <w:tcPr>
            <w:tcW w:w="810" w:type="dxa"/>
            <w:vAlign w:val="center"/>
          </w:tcPr>
          <w:p w14:paraId="08E26EEF" w14:textId="77777777" w:rsidR="007D241D" w:rsidRPr="00650B21" w:rsidRDefault="007D241D" w:rsidP="00281C7E">
            <w:pPr>
              <w:spacing w:after="240"/>
              <w:rPr>
                <w:sz w:val="20"/>
                <w:szCs w:val="20"/>
              </w:rPr>
            </w:pPr>
            <w:r>
              <w:rPr>
                <w:sz w:val="20"/>
                <w:szCs w:val="20"/>
              </w:rPr>
              <w:t>B4</w:t>
            </w:r>
          </w:p>
        </w:tc>
        <w:tc>
          <w:tcPr>
            <w:tcW w:w="2171" w:type="dxa"/>
            <w:vAlign w:val="center"/>
          </w:tcPr>
          <w:p w14:paraId="71C6755A" w14:textId="77777777" w:rsidR="007D241D" w:rsidRPr="00650B21" w:rsidRDefault="007D241D" w:rsidP="00281C7E">
            <w:pPr>
              <w:autoSpaceDE w:val="0"/>
              <w:autoSpaceDN w:val="0"/>
              <w:adjustRightInd w:val="0"/>
              <w:rPr>
                <w:sz w:val="20"/>
                <w:szCs w:val="20"/>
              </w:rPr>
            </w:pPr>
            <w:r>
              <w:rPr>
                <w:sz w:val="20"/>
                <w:szCs w:val="20"/>
              </w:rPr>
              <w:t>Claims, Commitments and Contingencies</w:t>
            </w:r>
          </w:p>
        </w:tc>
        <w:tc>
          <w:tcPr>
            <w:tcW w:w="6035" w:type="dxa"/>
            <w:vAlign w:val="center"/>
          </w:tcPr>
          <w:p w14:paraId="6590F62E" w14:textId="77777777" w:rsidR="007D241D" w:rsidRPr="00650B21" w:rsidRDefault="007D241D" w:rsidP="00281C7E">
            <w:pPr>
              <w:autoSpaceDE w:val="0"/>
              <w:autoSpaceDN w:val="0"/>
              <w:adjustRightInd w:val="0"/>
              <w:jc w:val="both"/>
              <w:rPr>
                <w:sz w:val="20"/>
                <w:szCs w:val="20"/>
              </w:rPr>
            </w:pPr>
            <w:r>
              <w:rPr>
                <w:sz w:val="20"/>
                <w:szCs w:val="20"/>
              </w:rPr>
              <w:t>Issues or comments raised about the firm’s accounting for and disclosure of its obligations and long-term commitments, including legal matters Issues or comments raised about the firm’s accounting for and disclosure of its obligations and long-term commitments, including legal matters</w:t>
            </w:r>
          </w:p>
        </w:tc>
      </w:tr>
      <w:tr w:rsidR="007D241D" w:rsidRPr="00650B21" w14:paraId="76E47A76" w14:textId="77777777" w:rsidTr="00281C7E">
        <w:tc>
          <w:tcPr>
            <w:tcW w:w="2981" w:type="dxa"/>
            <w:gridSpan w:val="2"/>
            <w:vAlign w:val="center"/>
          </w:tcPr>
          <w:p w14:paraId="2E6419B9" w14:textId="77777777" w:rsidR="007D241D" w:rsidRDefault="007D241D" w:rsidP="00281C7E">
            <w:pPr>
              <w:autoSpaceDE w:val="0"/>
              <w:autoSpaceDN w:val="0"/>
              <w:adjustRightInd w:val="0"/>
              <w:rPr>
                <w:sz w:val="20"/>
                <w:szCs w:val="20"/>
              </w:rPr>
            </w:pPr>
            <w:r>
              <w:rPr>
                <w:b/>
                <w:bCs/>
                <w:sz w:val="20"/>
                <w:szCs w:val="20"/>
              </w:rPr>
              <w:t>C. Offering-related issues</w:t>
            </w:r>
          </w:p>
        </w:tc>
        <w:tc>
          <w:tcPr>
            <w:tcW w:w="6035" w:type="dxa"/>
            <w:vAlign w:val="center"/>
          </w:tcPr>
          <w:p w14:paraId="513B9C35" w14:textId="77777777" w:rsidR="007D241D" w:rsidRPr="0065050F" w:rsidRDefault="007D241D" w:rsidP="00281C7E">
            <w:pPr>
              <w:autoSpaceDE w:val="0"/>
              <w:autoSpaceDN w:val="0"/>
              <w:adjustRightInd w:val="0"/>
              <w:jc w:val="both"/>
              <w:rPr>
                <w:b/>
                <w:bCs/>
                <w:sz w:val="20"/>
                <w:szCs w:val="20"/>
              </w:rPr>
            </w:pPr>
            <w:r>
              <w:rPr>
                <w:b/>
                <w:bCs/>
                <w:sz w:val="20"/>
                <w:szCs w:val="20"/>
              </w:rPr>
              <w:t>These items represent the SEC' comments relating to the issuers' initial public offering including offering attributes, offering procedures, offering effect, regulations, offering documents and S-1 filing's sections</w:t>
            </w:r>
          </w:p>
        </w:tc>
      </w:tr>
      <w:tr w:rsidR="007D241D" w:rsidRPr="00650B21" w14:paraId="645076C9" w14:textId="77777777" w:rsidTr="00281C7E">
        <w:trPr>
          <w:trHeight w:val="417"/>
        </w:trPr>
        <w:tc>
          <w:tcPr>
            <w:tcW w:w="810" w:type="dxa"/>
            <w:vAlign w:val="center"/>
          </w:tcPr>
          <w:p w14:paraId="363AFF92" w14:textId="77777777" w:rsidR="007D241D" w:rsidRDefault="007D241D" w:rsidP="00281C7E">
            <w:pPr>
              <w:spacing w:after="240"/>
              <w:rPr>
                <w:sz w:val="20"/>
                <w:szCs w:val="20"/>
              </w:rPr>
            </w:pPr>
            <w:r>
              <w:rPr>
                <w:sz w:val="20"/>
                <w:szCs w:val="20"/>
              </w:rPr>
              <w:t>C1</w:t>
            </w:r>
          </w:p>
        </w:tc>
        <w:tc>
          <w:tcPr>
            <w:tcW w:w="2171" w:type="dxa"/>
            <w:vAlign w:val="center"/>
          </w:tcPr>
          <w:p w14:paraId="106B63E0" w14:textId="77777777" w:rsidR="007D241D" w:rsidRDefault="007D241D" w:rsidP="00281C7E">
            <w:pPr>
              <w:autoSpaceDE w:val="0"/>
              <w:autoSpaceDN w:val="0"/>
              <w:adjustRightInd w:val="0"/>
              <w:rPr>
                <w:sz w:val="20"/>
                <w:szCs w:val="20"/>
              </w:rPr>
            </w:pPr>
            <w:r>
              <w:rPr>
                <w:sz w:val="20"/>
                <w:szCs w:val="20"/>
              </w:rPr>
              <w:t>Characteristics of offering</w:t>
            </w:r>
          </w:p>
        </w:tc>
        <w:tc>
          <w:tcPr>
            <w:tcW w:w="6035" w:type="dxa"/>
            <w:vAlign w:val="center"/>
          </w:tcPr>
          <w:p w14:paraId="02E34811" w14:textId="77777777" w:rsidR="007D241D" w:rsidRDefault="007D241D" w:rsidP="00281C7E">
            <w:pPr>
              <w:autoSpaceDE w:val="0"/>
              <w:autoSpaceDN w:val="0"/>
              <w:adjustRightInd w:val="0"/>
              <w:jc w:val="both"/>
              <w:rPr>
                <w:sz w:val="20"/>
                <w:szCs w:val="20"/>
              </w:rPr>
            </w:pPr>
            <w:r>
              <w:rPr>
                <w:sz w:val="20"/>
                <w:szCs w:val="20"/>
              </w:rPr>
              <w:t xml:space="preserve">Requests for information about stock characteristics (e.g. type of stocks, number of stocks, stock price and stock value relating to issuers' initial public offering), symbol used to list on stock exchange, timing of offering (e.g. a point of time or duration of the issuer's initial public offering or other offering-related transactions), dividends to pay in the future, actions affecting stocks' value (e.g. conversion of stocks, split of stocks, redemption of stocks, offering fee (e.g. registration fee), offering-related transactions/actions ( e.g. listing, sale, transfer, or other disposition of stocks by the original firm's member to a third party or Exit event), </w:t>
            </w:r>
            <w:r>
              <w:rPr>
                <w:sz w:val="20"/>
                <w:szCs w:val="20"/>
              </w:rPr>
              <w:lastRenderedPageBreak/>
              <w:t>offering-related regulation (e.g. the JOBS Act), reasons why the firm is undergoing an initial public offering as well as why they are filing S-1.</w:t>
            </w:r>
          </w:p>
        </w:tc>
      </w:tr>
      <w:tr w:rsidR="007D241D" w:rsidRPr="00650B21" w14:paraId="496DCBC0" w14:textId="77777777" w:rsidTr="00281C7E">
        <w:tc>
          <w:tcPr>
            <w:tcW w:w="810" w:type="dxa"/>
            <w:vAlign w:val="center"/>
          </w:tcPr>
          <w:p w14:paraId="7DE9E937" w14:textId="77777777" w:rsidR="007D241D" w:rsidRDefault="007D241D" w:rsidP="00281C7E">
            <w:pPr>
              <w:autoSpaceDE w:val="0"/>
              <w:autoSpaceDN w:val="0"/>
              <w:adjustRightInd w:val="0"/>
              <w:rPr>
                <w:sz w:val="20"/>
                <w:szCs w:val="20"/>
              </w:rPr>
            </w:pPr>
            <w:r>
              <w:rPr>
                <w:sz w:val="20"/>
                <w:szCs w:val="20"/>
              </w:rPr>
              <w:lastRenderedPageBreak/>
              <w:t>C2</w:t>
            </w:r>
          </w:p>
        </w:tc>
        <w:tc>
          <w:tcPr>
            <w:tcW w:w="2171" w:type="dxa"/>
            <w:vAlign w:val="center"/>
          </w:tcPr>
          <w:p w14:paraId="11A4DEEA" w14:textId="77777777" w:rsidR="007D241D" w:rsidRDefault="007D241D" w:rsidP="00281C7E">
            <w:pPr>
              <w:autoSpaceDE w:val="0"/>
              <w:autoSpaceDN w:val="0"/>
              <w:adjustRightInd w:val="0"/>
              <w:rPr>
                <w:sz w:val="20"/>
                <w:szCs w:val="20"/>
              </w:rPr>
            </w:pPr>
            <w:r>
              <w:rPr>
                <w:sz w:val="20"/>
                <w:szCs w:val="20"/>
              </w:rPr>
              <w:t>Proceed</w:t>
            </w:r>
          </w:p>
        </w:tc>
        <w:tc>
          <w:tcPr>
            <w:tcW w:w="6035" w:type="dxa"/>
            <w:vAlign w:val="center"/>
          </w:tcPr>
          <w:p w14:paraId="7D087B44" w14:textId="77777777" w:rsidR="007D241D" w:rsidRDefault="007D241D" w:rsidP="00281C7E">
            <w:pPr>
              <w:autoSpaceDE w:val="0"/>
              <w:autoSpaceDN w:val="0"/>
              <w:adjustRightInd w:val="0"/>
              <w:jc w:val="both"/>
              <w:rPr>
                <w:sz w:val="20"/>
                <w:szCs w:val="20"/>
              </w:rPr>
            </w:pPr>
            <w:r>
              <w:rPr>
                <w:sz w:val="20"/>
                <w:szCs w:val="20"/>
              </w:rPr>
              <w:t>Requests for information about amount of proceed from their initial public offering, how issuer raised the proceeds as well as how they will use this proceed.</w:t>
            </w:r>
          </w:p>
        </w:tc>
      </w:tr>
      <w:tr w:rsidR="007D241D" w:rsidRPr="00650B21" w14:paraId="08B4C541" w14:textId="77777777" w:rsidTr="00281C7E">
        <w:tc>
          <w:tcPr>
            <w:tcW w:w="810" w:type="dxa"/>
            <w:vAlign w:val="center"/>
          </w:tcPr>
          <w:p w14:paraId="142E5BE5" w14:textId="77777777" w:rsidR="007D241D" w:rsidRDefault="007D241D" w:rsidP="00281C7E">
            <w:pPr>
              <w:autoSpaceDE w:val="0"/>
              <w:autoSpaceDN w:val="0"/>
              <w:adjustRightInd w:val="0"/>
              <w:rPr>
                <w:sz w:val="20"/>
                <w:szCs w:val="20"/>
              </w:rPr>
            </w:pPr>
            <w:r>
              <w:rPr>
                <w:sz w:val="20"/>
                <w:szCs w:val="20"/>
              </w:rPr>
              <w:t>C3</w:t>
            </w:r>
          </w:p>
        </w:tc>
        <w:tc>
          <w:tcPr>
            <w:tcW w:w="2171" w:type="dxa"/>
            <w:vAlign w:val="center"/>
          </w:tcPr>
          <w:p w14:paraId="51881D2F" w14:textId="77777777" w:rsidR="007D241D" w:rsidRDefault="007D241D" w:rsidP="00281C7E">
            <w:pPr>
              <w:autoSpaceDE w:val="0"/>
              <w:autoSpaceDN w:val="0"/>
              <w:adjustRightInd w:val="0"/>
              <w:rPr>
                <w:sz w:val="20"/>
                <w:szCs w:val="20"/>
              </w:rPr>
            </w:pPr>
            <w:r>
              <w:rPr>
                <w:sz w:val="20"/>
                <w:szCs w:val="20"/>
              </w:rPr>
              <w:t>Parties of offering</w:t>
            </w:r>
          </w:p>
        </w:tc>
        <w:tc>
          <w:tcPr>
            <w:tcW w:w="6035" w:type="dxa"/>
            <w:vAlign w:val="center"/>
          </w:tcPr>
          <w:p w14:paraId="6DD4685E" w14:textId="77777777" w:rsidR="007D241D" w:rsidRDefault="007D241D" w:rsidP="00281C7E">
            <w:pPr>
              <w:autoSpaceDE w:val="0"/>
              <w:autoSpaceDN w:val="0"/>
              <w:adjustRightInd w:val="0"/>
              <w:jc w:val="both"/>
              <w:rPr>
                <w:sz w:val="20"/>
                <w:szCs w:val="20"/>
              </w:rPr>
            </w:pPr>
            <w:r>
              <w:rPr>
                <w:sz w:val="20"/>
                <w:szCs w:val="20"/>
              </w:rPr>
              <w:t xml:space="preserve">Questions and requests regarding principal and selling stockholders (including their identifications, their control indicated by the number/percentage of stocks held, their consents, tax status, rights as and communication with the issuer), underwriters (including their identification, obligation, compensation, underwriting procedures and underwriters' agreements) and other parties, </w:t>
            </w:r>
            <w:proofErr w:type="gramStart"/>
            <w:r>
              <w:rPr>
                <w:sz w:val="20"/>
                <w:szCs w:val="20"/>
              </w:rPr>
              <w:t>e.g.</w:t>
            </w:r>
            <w:proofErr w:type="gramEnd"/>
            <w:r>
              <w:rPr>
                <w:sz w:val="20"/>
                <w:szCs w:val="20"/>
              </w:rPr>
              <w:t xml:space="preserve"> sponsor, consultant, NASDAQ representative (including their identification, obligation and transactions)</w:t>
            </w:r>
          </w:p>
        </w:tc>
      </w:tr>
      <w:tr w:rsidR="007D241D" w:rsidRPr="00650B21" w14:paraId="3D3A3790" w14:textId="77777777" w:rsidTr="00281C7E">
        <w:tc>
          <w:tcPr>
            <w:tcW w:w="810" w:type="dxa"/>
            <w:vAlign w:val="center"/>
          </w:tcPr>
          <w:p w14:paraId="19FFFFB2" w14:textId="77777777" w:rsidR="007D241D" w:rsidRDefault="007D241D" w:rsidP="00281C7E">
            <w:pPr>
              <w:autoSpaceDE w:val="0"/>
              <w:autoSpaceDN w:val="0"/>
              <w:adjustRightInd w:val="0"/>
              <w:rPr>
                <w:sz w:val="20"/>
                <w:szCs w:val="20"/>
              </w:rPr>
            </w:pPr>
            <w:r>
              <w:rPr>
                <w:sz w:val="20"/>
                <w:szCs w:val="20"/>
              </w:rPr>
              <w:t>C4</w:t>
            </w:r>
          </w:p>
        </w:tc>
        <w:tc>
          <w:tcPr>
            <w:tcW w:w="2171" w:type="dxa"/>
            <w:vAlign w:val="center"/>
          </w:tcPr>
          <w:p w14:paraId="0D01022B" w14:textId="77777777" w:rsidR="007D241D" w:rsidRDefault="007D241D" w:rsidP="00281C7E">
            <w:pPr>
              <w:autoSpaceDE w:val="0"/>
              <w:autoSpaceDN w:val="0"/>
              <w:adjustRightInd w:val="0"/>
              <w:rPr>
                <w:sz w:val="20"/>
                <w:szCs w:val="20"/>
              </w:rPr>
            </w:pPr>
            <w:r>
              <w:rPr>
                <w:sz w:val="20"/>
                <w:szCs w:val="20"/>
              </w:rPr>
              <w:t>Effect of offering</w:t>
            </w:r>
          </w:p>
        </w:tc>
        <w:tc>
          <w:tcPr>
            <w:tcW w:w="6035" w:type="dxa"/>
            <w:vAlign w:val="center"/>
          </w:tcPr>
          <w:p w14:paraId="7ABCEF6E" w14:textId="77777777" w:rsidR="007D241D" w:rsidRDefault="007D241D" w:rsidP="00281C7E">
            <w:pPr>
              <w:autoSpaceDE w:val="0"/>
              <w:autoSpaceDN w:val="0"/>
              <w:adjustRightInd w:val="0"/>
              <w:jc w:val="both"/>
              <w:rPr>
                <w:sz w:val="20"/>
                <w:szCs w:val="20"/>
              </w:rPr>
            </w:pPr>
            <w:r>
              <w:rPr>
                <w:sz w:val="20"/>
                <w:szCs w:val="20"/>
              </w:rPr>
              <w:t>Critiques and requests regarding effects of the issuer's initial public offering (</w:t>
            </w:r>
            <w:proofErr w:type="gramStart"/>
            <w:r>
              <w:rPr>
                <w:sz w:val="20"/>
                <w:szCs w:val="20"/>
              </w:rPr>
              <w:t>e.g.</w:t>
            </w:r>
            <w:proofErr w:type="gramEnd"/>
            <w:r>
              <w:rPr>
                <w:sz w:val="20"/>
                <w:szCs w:val="20"/>
              </w:rPr>
              <w:t xml:space="preserve"> dilution effect, costs of being a public company)</w:t>
            </w:r>
          </w:p>
        </w:tc>
      </w:tr>
      <w:tr w:rsidR="007D241D" w:rsidRPr="00650B21" w14:paraId="5525947E" w14:textId="77777777" w:rsidTr="00281C7E">
        <w:tc>
          <w:tcPr>
            <w:tcW w:w="810" w:type="dxa"/>
            <w:vAlign w:val="center"/>
          </w:tcPr>
          <w:p w14:paraId="7D7258AA" w14:textId="77777777" w:rsidR="007D241D" w:rsidRDefault="007D241D" w:rsidP="00281C7E">
            <w:pPr>
              <w:autoSpaceDE w:val="0"/>
              <w:autoSpaceDN w:val="0"/>
              <w:adjustRightInd w:val="0"/>
              <w:rPr>
                <w:sz w:val="20"/>
                <w:szCs w:val="20"/>
              </w:rPr>
            </w:pPr>
            <w:r>
              <w:rPr>
                <w:sz w:val="20"/>
                <w:szCs w:val="20"/>
              </w:rPr>
              <w:t>C5</w:t>
            </w:r>
          </w:p>
        </w:tc>
        <w:tc>
          <w:tcPr>
            <w:tcW w:w="2171" w:type="dxa"/>
            <w:vAlign w:val="center"/>
          </w:tcPr>
          <w:p w14:paraId="26C06B4B" w14:textId="77777777" w:rsidR="007D241D" w:rsidRDefault="007D241D" w:rsidP="00281C7E">
            <w:pPr>
              <w:autoSpaceDE w:val="0"/>
              <w:autoSpaceDN w:val="0"/>
              <w:adjustRightInd w:val="0"/>
              <w:rPr>
                <w:sz w:val="20"/>
                <w:szCs w:val="20"/>
              </w:rPr>
            </w:pPr>
            <w:r>
              <w:rPr>
                <w:sz w:val="20"/>
                <w:szCs w:val="20"/>
              </w:rPr>
              <w:t>Risk factors (offering)</w:t>
            </w:r>
          </w:p>
        </w:tc>
        <w:tc>
          <w:tcPr>
            <w:tcW w:w="6035" w:type="dxa"/>
            <w:vAlign w:val="center"/>
          </w:tcPr>
          <w:p w14:paraId="3EE0E7B3" w14:textId="77777777" w:rsidR="007D241D" w:rsidRDefault="007D241D" w:rsidP="00281C7E">
            <w:pPr>
              <w:autoSpaceDE w:val="0"/>
              <w:autoSpaceDN w:val="0"/>
              <w:adjustRightInd w:val="0"/>
              <w:jc w:val="both"/>
              <w:rPr>
                <w:sz w:val="20"/>
                <w:szCs w:val="20"/>
              </w:rPr>
            </w:pPr>
            <w:r>
              <w:rPr>
                <w:sz w:val="20"/>
                <w:szCs w:val="20"/>
              </w:rPr>
              <w:t>Questions and requests regarding characteristics and impact of risk factors on the issuers' initial public offering as well as their risk management</w:t>
            </w:r>
          </w:p>
        </w:tc>
      </w:tr>
      <w:tr w:rsidR="007D241D" w:rsidRPr="00650B21" w14:paraId="5499C156" w14:textId="77777777" w:rsidTr="00281C7E">
        <w:tc>
          <w:tcPr>
            <w:tcW w:w="810" w:type="dxa"/>
            <w:vAlign w:val="center"/>
          </w:tcPr>
          <w:p w14:paraId="1DBE9724" w14:textId="77777777" w:rsidR="007D241D" w:rsidRDefault="007D241D" w:rsidP="00281C7E">
            <w:pPr>
              <w:autoSpaceDE w:val="0"/>
              <w:autoSpaceDN w:val="0"/>
              <w:adjustRightInd w:val="0"/>
              <w:rPr>
                <w:sz w:val="20"/>
                <w:szCs w:val="20"/>
              </w:rPr>
            </w:pPr>
            <w:r>
              <w:rPr>
                <w:sz w:val="20"/>
                <w:szCs w:val="20"/>
              </w:rPr>
              <w:t>C6</w:t>
            </w:r>
          </w:p>
        </w:tc>
        <w:tc>
          <w:tcPr>
            <w:tcW w:w="2171" w:type="dxa"/>
            <w:vAlign w:val="center"/>
          </w:tcPr>
          <w:p w14:paraId="33B9131A" w14:textId="77777777" w:rsidR="007D241D" w:rsidRDefault="007D241D" w:rsidP="00281C7E">
            <w:pPr>
              <w:autoSpaceDE w:val="0"/>
              <w:autoSpaceDN w:val="0"/>
              <w:adjustRightInd w:val="0"/>
              <w:rPr>
                <w:sz w:val="20"/>
                <w:szCs w:val="20"/>
              </w:rPr>
            </w:pPr>
            <w:r>
              <w:rPr>
                <w:sz w:val="20"/>
                <w:szCs w:val="20"/>
              </w:rPr>
              <w:t>Offering-related document</w:t>
            </w:r>
          </w:p>
        </w:tc>
        <w:tc>
          <w:tcPr>
            <w:tcW w:w="6035" w:type="dxa"/>
            <w:vAlign w:val="center"/>
          </w:tcPr>
          <w:p w14:paraId="5E1E89CF" w14:textId="77777777" w:rsidR="007D241D" w:rsidRDefault="007D241D" w:rsidP="00281C7E">
            <w:pPr>
              <w:autoSpaceDE w:val="0"/>
              <w:autoSpaceDN w:val="0"/>
              <w:adjustRightInd w:val="0"/>
              <w:jc w:val="both"/>
              <w:rPr>
                <w:sz w:val="20"/>
                <w:szCs w:val="20"/>
              </w:rPr>
            </w:pPr>
            <w:r>
              <w:rPr>
                <w:sz w:val="20"/>
                <w:szCs w:val="20"/>
              </w:rPr>
              <w:t>Questions, critiques and requests regarding the use, style and content of exhibits, undertakings, consent letters and other offering-related document (</w:t>
            </w:r>
            <w:proofErr w:type="gramStart"/>
            <w:r>
              <w:rPr>
                <w:sz w:val="20"/>
                <w:szCs w:val="20"/>
              </w:rPr>
              <w:t>e.g.</w:t>
            </w:r>
            <w:proofErr w:type="gramEnd"/>
            <w:r>
              <w:rPr>
                <w:sz w:val="20"/>
                <w:szCs w:val="20"/>
              </w:rPr>
              <w:t xml:space="preserve"> written communication with potential investors, research reports)</w:t>
            </w:r>
          </w:p>
        </w:tc>
      </w:tr>
      <w:tr w:rsidR="007D241D" w:rsidRPr="00650B21" w14:paraId="3B21BF14" w14:textId="77777777" w:rsidTr="00281C7E">
        <w:tc>
          <w:tcPr>
            <w:tcW w:w="2981" w:type="dxa"/>
            <w:gridSpan w:val="2"/>
            <w:vAlign w:val="center"/>
          </w:tcPr>
          <w:p w14:paraId="299AD2BD" w14:textId="77777777" w:rsidR="007D241D" w:rsidRDefault="007D241D" w:rsidP="00281C7E">
            <w:pPr>
              <w:autoSpaceDE w:val="0"/>
              <w:autoSpaceDN w:val="0"/>
              <w:adjustRightInd w:val="0"/>
              <w:rPr>
                <w:sz w:val="20"/>
                <w:szCs w:val="20"/>
              </w:rPr>
            </w:pPr>
            <w:r>
              <w:rPr>
                <w:b/>
                <w:bCs/>
                <w:sz w:val="20"/>
                <w:szCs w:val="20"/>
              </w:rPr>
              <w:t>D. Business-related issues</w:t>
            </w:r>
          </w:p>
        </w:tc>
        <w:tc>
          <w:tcPr>
            <w:tcW w:w="6035" w:type="dxa"/>
            <w:vAlign w:val="center"/>
          </w:tcPr>
          <w:p w14:paraId="339375FA" w14:textId="77777777" w:rsidR="007D241D" w:rsidRPr="00126B1C" w:rsidRDefault="007D241D" w:rsidP="00281C7E">
            <w:pPr>
              <w:autoSpaceDE w:val="0"/>
              <w:autoSpaceDN w:val="0"/>
              <w:adjustRightInd w:val="0"/>
              <w:jc w:val="both"/>
              <w:rPr>
                <w:b/>
                <w:bCs/>
                <w:sz w:val="20"/>
                <w:szCs w:val="20"/>
              </w:rPr>
            </w:pPr>
            <w:r>
              <w:rPr>
                <w:b/>
                <w:bCs/>
                <w:sz w:val="20"/>
                <w:szCs w:val="20"/>
              </w:rPr>
              <w:t>These items represent SEC's comments relating to issuer's manufacturing, operating, R&amp;D, marketing &amp; selling activities</w:t>
            </w:r>
          </w:p>
        </w:tc>
      </w:tr>
      <w:tr w:rsidR="007D241D" w:rsidRPr="00650B21" w14:paraId="781AD528" w14:textId="77777777" w:rsidTr="00281C7E">
        <w:tc>
          <w:tcPr>
            <w:tcW w:w="810" w:type="dxa"/>
            <w:vAlign w:val="center"/>
          </w:tcPr>
          <w:p w14:paraId="18AC3224" w14:textId="77777777" w:rsidR="007D241D" w:rsidRDefault="007D241D" w:rsidP="00281C7E">
            <w:pPr>
              <w:autoSpaceDE w:val="0"/>
              <w:autoSpaceDN w:val="0"/>
              <w:adjustRightInd w:val="0"/>
              <w:rPr>
                <w:sz w:val="20"/>
                <w:szCs w:val="20"/>
              </w:rPr>
            </w:pPr>
            <w:r>
              <w:rPr>
                <w:sz w:val="20"/>
                <w:szCs w:val="20"/>
              </w:rPr>
              <w:t>D1</w:t>
            </w:r>
          </w:p>
        </w:tc>
        <w:tc>
          <w:tcPr>
            <w:tcW w:w="2171" w:type="dxa"/>
            <w:vAlign w:val="center"/>
          </w:tcPr>
          <w:p w14:paraId="210C5AAF" w14:textId="77777777" w:rsidR="007D241D" w:rsidRDefault="007D241D" w:rsidP="00281C7E">
            <w:pPr>
              <w:autoSpaceDE w:val="0"/>
              <w:autoSpaceDN w:val="0"/>
              <w:adjustRightInd w:val="0"/>
              <w:rPr>
                <w:sz w:val="20"/>
                <w:szCs w:val="20"/>
              </w:rPr>
            </w:pPr>
            <w:r>
              <w:rPr>
                <w:sz w:val="20"/>
                <w:szCs w:val="20"/>
              </w:rPr>
              <w:t>Products/Services</w:t>
            </w:r>
          </w:p>
        </w:tc>
        <w:tc>
          <w:tcPr>
            <w:tcW w:w="6035" w:type="dxa"/>
            <w:vAlign w:val="center"/>
          </w:tcPr>
          <w:p w14:paraId="71FFA99D" w14:textId="77777777" w:rsidR="007D241D" w:rsidRDefault="007D241D" w:rsidP="00281C7E">
            <w:pPr>
              <w:autoSpaceDE w:val="0"/>
              <w:autoSpaceDN w:val="0"/>
              <w:adjustRightInd w:val="0"/>
              <w:jc w:val="both"/>
              <w:rPr>
                <w:sz w:val="20"/>
                <w:szCs w:val="20"/>
              </w:rPr>
            </w:pPr>
            <w:r>
              <w:rPr>
                <w:sz w:val="20"/>
                <w:szCs w:val="20"/>
              </w:rPr>
              <w:t xml:space="preserve">Questions and requests regarding definition, number, pricing of firms' products/services, including firms' operating segments (including identification, </w:t>
            </w:r>
            <w:proofErr w:type="gramStart"/>
            <w:r>
              <w:rPr>
                <w:sz w:val="20"/>
                <w:szCs w:val="20"/>
              </w:rPr>
              <w:t>aggregation</w:t>
            </w:r>
            <w:proofErr w:type="gramEnd"/>
            <w:r>
              <w:rPr>
                <w:sz w:val="20"/>
                <w:szCs w:val="20"/>
              </w:rPr>
              <w:t xml:space="preserve"> or disaggregation of operating segments)</w:t>
            </w:r>
          </w:p>
        </w:tc>
      </w:tr>
      <w:tr w:rsidR="007D241D" w:rsidRPr="00650B21" w14:paraId="598B53F1" w14:textId="77777777" w:rsidTr="00281C7E">
        <w:tc>
          <w:tcPr>
            <w:tcW w:w="810" w:type="dxa"/>
            <w:vAlign w:val="center"/>
          </w:tcPr>
          <w:p w14:paraId="387059BD" w14:textId="77777777" w:rsidR="007D241D" w:rsidRDefault="007D241D" w:rsidP="00281C7E">
            <w:pPr>
              <w:autoSpaceDE w:val="0"/>
              <w:autoSpaceDN w:val="0"/>
              <w:adjustRightInd w:val="0"/>
              <w:rPr>
                <w:sz w:val="20"/>
                <w:szCs w:val="20"/>
              </w:rPr>
            </w:pPr>
            <w:r>
              <w:rPr>
                <w:sz w:val="20"/>
                <w:szCs w:val="20"/>
              </w:rPr>
              <w:t>D2</w:t>
            </w:r>
          </w:p>
        </w:tc>
        <w:tc>
          <w:tcPr>
            <w:tcW w:w="2171" w:type="dxa"/>
            <w:vAlign w:val="center"/>
          </w:tcPr>
          <w:p w14:paraId="492F8B64" w14:textId="77777777" w:rsidR="007D241D" w:rsidRDefault="007D241D" w:rsidP="00281C7E">
            <w:pPr>
              <w:autoSpaceDE w:val="0"/>
              <w:autoSpaceDN w:val="0"/>
              <w:adjustRightInd w:val="0"/>
              <w:rPr>
                <w:sz w:val="20"/>
                <w:szCs w:val="20"/>
              </w:rPr>
            </w:pPr>
            <w:r>
              <w:rPr>
                <w:sz w:val="20"/>
                <w:szCs w:val="20"/>
              </w:rPr>
              <w:t>External stakeholders</w:t>
            </w:r>
          </w:p>
        </w:tc>
        <w:tc>
          <w:tcPr>
            <w:tcW w:w="6035" w:type="dxa"/>
            <w:vAlign w:val="center"/>
          </w:tcPr>
          <w:p w14:paraId="40034C1A" w14:textId="77777777" w:rsidR="007D241D" w:rsidRDefault="007D241D" w:rsidP="00281C7E">
            <w:pPr>
              <w:autoSpaceDE w:val="0"/>
              <w:autoSpaceDN w:val="0"/>
              <w:adjustRightInd w:val="0"/>
              <w:jc w:val="both"/>
              <w:rPr>
                <w:sz w:val="20"/>
                <w:szCs w:val="20"/>
              </w:rPr>
            </w:pPr>
            <w:r>
              <w:rPr>
                <w:sz w:val="20"/>
                <w:szCs w:val="20"/>
              </w:rPr>
              <w:t>Request for information about identifications, behaviours, related activities of customers (including current customers, potential customers, website members and market, suppliers (including current and potential suppliers), holding company and other external stockholders (</w:t>
            </w:r>
            <w:proofErr w:type="gramStart"/>
            <w:r>
              <w:rPr>
                <w:sz w:val="20"/>
                <w:szCs w:val="20"/>
              </w:rPr>
              <w:t>e.g.</w:t>
            </w:r>
            <w:proofErr w:type="gramEnd"/>
            <w:r>
              <w:rPr>
                <w:sz w:val="20"/>
                <w:szCs w:val="20"/>
              </w:rPr>
              <w:t xml:space="preserve"> regulators, supporters, partners, vendors), including business-related (e.g. environmental law, tax rate, legal proceedings), and characteristics or trends of industry (e.g. Key Performance Indicators of industry)</w:t>
            </w:r>
          </w:p>
        </w:tc>
      </w:tr>
      <w:tr w:rsidR="007D241D" w:rsidRPr="00650B21" w14:paraId="28E1C223" w14:textId="77777777" w:rsidTr="00281C7E">
        <w:tc>
          <w:tcPr>
            <w:tcW w:w="810" w:type="dxa"/>
            <w:vAlign w:val="center"/>
          </w:tcPr>
          <w:p w14:paraId="51201DDD" w14:textId="77777777" w:rsidR="007D241D" w:rsidRDefault="007D241D" w:rsidP="00281C7E">
            <w:pPr>
              <w:autoSpaceDE w:val="0"/>
              <w:autoSpaceDN w:val="0"/>
              <w:adjustRightInd w:val="0"/>
              <w:rPr>
                <w:sz w:val="20"/>
                <w:szCs w:val="20"/>
              </w:rPr>
            </w:pPr>
            <w:r>
              <w:rPr>
                <w:sz w:val="20"/>
                <w:szCs w:val="20"/>
              </w:rPr>
              <w:t>D3</w:t>
            </w:r>
          </w:p>
        </w:tc>
        <w:tc>
          <w:tcPr>
            <w:tcW w:w="2171" w:type="dxa"/>
            <w:vAlign w:val="center"/>
          </w:tcPr>
          <w:p w14:paraId="582694E7" w14:textId="77777777" w:rsidR="007D241D" w:rsidRDefault="007D241D" w:rsidP="00281C7E">
            <w:pPr>
              <w:autoSpaceDE w:val="0"/>
              <w:autoSpaceDN w:val="0"/>
              <w:adjustRightInd w:val="0"/>
              <w:rPr>
                <w:sz w:val="20"/>
                <w:szCs w:val="20"/>
              </w:rPr>
            </w:pPr>
            <w:r>
              <w:rPr>
                <w:sz w:val="20"/>
                <w:szCs w:val="20"/>
              </w:rPr>
              <w:t>Business activities</w:t>
            </w:r>
          </w:p>
        </w:tc>
        <w:tc>
          <w:tcPr>
            <w:tcW w:w="6035" w:type="dxa"/>
            <w:vAlign w:val="center"/>
          </w:tcPr>
          <w:p w14:paraId="5B2B5827" w14:textId="77777777" w:rsidR="007D241D" w:rsidRDefault="007D241D" w:rsidP="00281C7E">
            <w:pPr>
              <w:autoSpaceDE w:val="0"/>
              <w:autoSpaceDN w:val="0"/>
              <w:adjustRightInd w:val="0"/>
              <w:jc w:val="both"/>
              <w:rPr>
                <w:sz w:val="20"/>
                <w:szCs w:val="20"/>
              </w:rPr>
            </w:pPr>
            <w:r>
              <w:rPr>
                <w:sz w:val="20"/>
                <w:szCs w:val="20"/>
              </w:rPr>
              <w:t>Question , critiques and requests regarding the issuers' operating activities (including manufacturing, R&amp;D, distributing, marketing, selling a product or service (e.g. terms of sale, backlog, reimbursement, warranty)), financing activities (including activities of historical/current stockholders, historical/current dividends, credit facility, partnership distribution, market capitalization, indebtedness), investment activities (e.g. investment in stocks and bonds, purchase/sale of fixed assets, capital expenditure), M&amp;A activities, restructuring activities, business plan, and firm’s ability and capacity to continue as a going concern</w:t>
            </w:r>
          </w:p>
        </w:tc>
      </w:tr>
      <w:tr w:rsidR="007D241D" w:rsidRPr="00650B21" w14:paraId="1388AD05" w14:textId="77777777" w:rsidTr="00281C7E">
        <w:tc>
          <w:tcPr>
            <w:tcW w:w="810" w:type="dxa"/>
            <w:vAlign w:val="center"/>
          </w:tcPr>
          <w:p w14:paraId="77E176C1" w14:textId="77777777" w:rsidR="007D241D" w:rsidRDefault="007D241D" w:rsidP="00281C7E">
            <w:pPr>
              <w:autoSpaceDE w:val="0"/>
              <w:autoSpaceDN w:val="0"/>
              <w:adjustRightInd w:val="0"/>
              <w:rPr>
                <w:sz w:val="20"/>
                <w:szCs w:val="20"/>
              </w:rPr>
            </w:pPr>
            <w:r>
              <w:rPr>
                <w:sz w:val="20"/>
                <w:szCs w:val="20"/>
              </w:rPr>
              <w:t>D4</w:t>
            </w:r>
          </w:p>
        </w:tc>
        <w:tc>
          <w:tcPr>
            <w:tcW w:w="2171" w:type="dxa"/>
            <w:vAlign w:val="center"/>
          </w:tcPr>
          <w:p w14:paraId="1F95B33D" w14:textId="77777777" w:rsidR="007D241D" w:rsidRDefault="007D241D" w:rsidP="00281C7E">
            <w:pPr>
              <w:autoSpaceDE w:val="0"/>
              <w:autoSpaceDN w:val="0"/>
              <w:adjustRightInd w:val="0"/>
              <w:rPr>
                <w:sz w:val="20"/>
                <w:szCs w:val="20"/>
              </w:rPr>
            </w:pPr>
            <w:r>
              <w:rPr>
                <w:sz w:val="20"/>
                <w:szCs w:val="20"/>
              </w:rPr>
              <w:t>Competition</w:t>
            </w:r>
          </w:p>
        </w:tc>
        <w:tc>
          <w:tcPr>
            <w:tcW w:w="6035" w:type="dxa"/>
            <w:vAlign w:val="center"/>
          </w:tcPr>
          <w:p w14:paraId="4D09FF01" w14:textId="77777777" w:rsidR="007D241D" w:rsidRDefault="007D241D" w:rsidP="00281C7E">
            <w:pPr>
              <w:autoSpaceDE w:val="0"/>
              <w:autoSpaceDN w:val="0"/>
              <w:adjustRightInd w:val="0"/>
              <w:jc w:val="both"/>
              <w:rPr>
                <w:sz w:val="20"/>
                <w:szCs w:val="20"/>
              </w:rPr>
            </w:pPr>
            <w:r>
              <w:rPr>
                <w:sz w:val="20"/>
                <w:szCs w:val="20"/>
              </w:rPr>
              <w:t xml:space="preserve">Questions, </w:t>
            </w:r>
            <w:proofErr w:type="gramStart"/>
            <w:r>
              <w:rPr>
                <w:sz w:val="20"/>
                <w:szCs w:val="20"/>
              </w:rPr>
              <w:t>critiques</w:t>
            </w:r>
            <w:proofErr w:type="gramEnd"/>
            <w:r>
              <w:rPr>
                <w:sz w:val="20"/>
                <w:szCs w:val="20"/>
              </w:rPr>
              <w:t xml:space="preserve"> and requests regarding firm's competitive strength</w:t>
            </w:r>
          </w:p>
        </w:tc>
      </w:tr>
      <w:tr w:rsidR="007D241D" w:rsidRPr="00650B21" w14:paraId="5159AD7D" w14:textId="77777777" w:rsidTr="00281C7E">
        <w:tc>
          <w:tcPr>
            <w:tcW w:w="810" w:type="dxa"/>
            <w:vAlign w:val="center"/>
          </w:tcPr>
          <w:p w14:paraId="7D62629E" w14:textId="77777777" w:rsidR="007D241D" w:rsidRDefault="007D241D" w:rsidP="00281C7E">
            <w:pPr>
              <w:autoSpaceDE w:val="0"/>
              <w:autoSpaceDN w:val="0"/>
              <w:adjustRightInd w:val="0"/>
              <w:rPr>
                <w:sz w:val="20"/>
                <w:szCs w:val="20"/>
              </w:rPr>
            </w:pPr>
            <w:r>
              <w:rPr>
                <w:sz w:val="20"/>
                <w:szCs w:val="20"/>
              </w:rPr>
              <w:t>D5</w:t>
            </w:r>
          </w:p>
        </w:tc>
        <w:tc>
          <w:tcPr>
            <w:tcW w:w="2171" w:type="dxa"/>
            <w:vAlign w:val="center"/>
          </w:tcPr>
          <w:p w14:paraId="426E4461" w14:textId="77777777" w:rsidR="007D241D" w:rsidRDefault="007D241D" w:rsidP="00281C7E">
            <w:pPr>
              <w:autoSpaceDE w:val="0"/>
              <w:autoSpaceDN w:val="0"/>
              <w:adjustRightInd w:val="0"/>
              <w:rPr>
                <w:sz w:val="20"/>
                <w:szCs w:val="20"/>
              </w:rPr>
            </w:pPr>
            <w:r>
              <w:rPr>
                <w:sz w:val="20"/>
                <w:szCs w:val="20"/>
              </w:rPr>
              <w:t>Material Agreements</w:t>
            </w:r>
          </w:p>
        </w:tc>
        <w:tc>
          <w:tcPr>
            <w:tcW w:w="6035" w:type="dxa"/>
            <w:vAlign w:val="center"/>
          </w:tcPr>
          <w:p w14:paraId="1B42162E" w14:textId="77777777" w:rsidR="007D241D" w:rsidRDefault="007D241D" w:rsidP="00281C7E">
            <w:pPr>
              <w:autoSpaceDE w:val="0"/>
              <w:autoSpaceDN w:val="0"/>
              <w:adjustRightInd w:val="0"/>
              <w:jc w:val="both"/>
              <w:rPr>
                <w:sz w:val="20"/>
                <w:szCs w:val="20"/>
              </w:rPr>
            </w:pPr>
            <w:r>
              <w:rPr>
                <w:sz w:val="20"/>
                <w:szCs w:val="20"/>
              </w:rPr>
              <w:t>Question, critiques and requests regarding material contracts/agreements (</w:t>
            </w:r>
            <w:proofErr w:type="gramStart"/>
            <w:r>
              <w:rPr>
                <w:sz w:val="20"/>
                <w:szCs w:val="20"/>
              </w:rPr>
              <w:t>e.g.</w:t>
            </w:r>
            <w:proofErr w:type="gramEnd"/>
            <w:r>
              <w:rPr>
                <w:sz w:val="20"/>
                <w:szCs w:val="20"/>
              </w:rPr>
              <w:t xml:space="preserve"> lease agreements, </w:t>
            </w:r>
            <w:proofErr w:type="spellStart"/>
            <w:r>
              <w:rPr>
                <w:sz w:val="20"/>
                <w:szCs w:val="20"/>
              </w:rPr>
              <w:t>debt</w:t>
            </w:r>
            <w:proofErr w:type="spellEnd"/>
            <w:r>
              <w:rPr>
                <w:sz w:val="20"/>
                <w:szCs w:val="20"/>
              </w:rPr>
              <w:t>/credit agreement, debt covenants, contractual obligation) and their terms</w:t>
            </w:r>
          </w:p>
        </w:tc>
      </w:tr>
      <w:tr w:rsidR="007D241D" w:rsidRPr="00650B21" w14:paraId="014ADFA6" w14:textId="77777777" w:rsidTr="00281C7E">
        <w:tc>
          <w:tcPr>
            <w:tcW w:w="810" w:type="dxa"/>
            <w:vAlign w:val="center"/>
          </w:tcPr>
          <w:p w14:paraId="786178E3" w14:textId="77777777" w:rsidR="007D241D" w:rsidRDefault="007D241D" w:rsidP="00281C7E">
            <w:pPr>
              <w:autoSpaceDE w:val="0"/>
              <w:autoSpaceDN w:val="0"/>
              <w:adjustRightInd w:val="0"/>
              <w:rPr>
                <w:sz w:val="20"/>
                <w:szCs w:val="20"/>
              </w:rPr>
            </w:pPr>
            <w:r>
              <w:rPr>
                <w:sz w:val="20"/>
                <w:szCs w:val="20"/>
              </w:rPr>
              <w:t>D6</w:t>
            </w:r>
          </w:p>
        </w:tc>
        <w:tc>
          <w:tcPr>
            <w:tcW w:w="2171" w:type="dxa"/>
            <w:vAlign w:val="center"/>
          </w:tcPr>
          <w:p w14:paraId="4E678C8F" w14:textId="77777777" w:rsidR="007D241D" w:rsidRDefault="007D241D" w:rsidP="00281C7E">
            <w:pPr>
              <w:autoSpaceDE w:val="0"/>
              <w:autoSpaceDN w:val="0"/>
              <w:adjustRightInd w:val="0"/>
              <w:rPr>
                <w:sz w:val="20"/>
                <w:szCs w:val="20"/>
              </w:rPr>
            </w:pPr>
            <w:r>
              <w:rPr>
                <w:sz w:val="20"/>
                <w:szCs w:val="20"/>
              </w:rPr>
              <w:t>Properties and Facilities</w:t>
            </w:r>
          </w:p>
        </w:tc>
        <w:tc>
          <w:tcPr>
            <w:tcW w:w="6035" w:type="dxa"/>
            <w:vAlign w:val="center"/>
          </w:tcPr>
          <w:p w14:paraId="75881998" w14:textId="77777777" w:rsidR="007D241D" w:rsidRDefault="007D241D" w:rsidP="00281C7E">
            <w:pPr>
              <w:autoSpaceDE w:val="0"/>
              <w:autoSpaceDN w:val="0"/>
              <w:adjustRightInd w:val="0"/>
              <w:jc w:val="both"/>
              <w:rPr>
                <w:sz w:val="20"/>
                <w:szCs w:val="20"/>
              </w:rPr>
            </w:pPr>
            <w:r>
              <w:rPr>
                <w:sz w:val="20"/>
                <w:szCs w:val="20"/>
              </w:rPr>
              <w:t>Question, critiques and requests regarding firm's operating location, technology infrastructure, intellectual property (including terms of and claims against intellectual property)</w:t>
            </w:r>
          </w:p>
        </w:tc>
      </w:tr>
      <w:tr w:rsidR="007D241D" w:rsidRPr="00650B21" w14:paraId="55F7C04A" w14:textId="77777777" w:rsidTr="00281C7E">
        <w:tc>
          <w:tcPr>
            <w:tcW w:w="810" w:type="dxa"/>
            <w:vAlign w:val="center"/>
          </w:tcPr>
          <w:p w14:paraId="3072877F" w14:textId="77777777" w:rsidR="007D241D" w:rsidRDefault="007D241D" w:rsidP="00281C7E">
            <w:pPr>
              <w:autoSpaceDE w:val="0"/>
              <w:autoSpaceDN w:val="0"/>
              <w:adjustRightInd w:val="0"/>
              <w:rPr>
                <w:sz w:val="20"/>
                <w:szCs w:val="20"/>
              </w:rPr>
            </w:pPr>
            <w:r>
              <w:rPr>
                <w:sz w:val="20"/>
                <w:szCs w:val="20"/>
              </w:rPr>
              <w:t>D7</w:t>
            </w:r>
          </w:p>
        </w:tc>
        <w:tc>
          <w:tcPr>
            <w:tcW w:w="2171" w:type="dxa"/>
            <w:vAlign w:val="center"/>
          </w:tcPr>
          <w:p w14:paraId="34C4E2B6" w14:textId="77777777" w:rsidR="007D241D" w:rsidRDefault="007D241D" w:rsidP="00281C7E">
            <w:pPr>
              <w:autoSpaceDE w:val="0"/>
              <w:autoSpaceDN w:val="0"/>
              <w:adjustRightInd w:val="0"/>
              <w:rPr>
                <w:sz w:val="20"/>
                <w:szCs w:val="20"/>
              </w:rPr>
            </w:pPr>
            <w:r>
              <w:rPr>
                <w:sz w:val="20"/>
                <w:szCs w:val="20"/>
              </w:rPr>
              <w:t>Risk factors (business)</w:t>
            </w:r>
          </w:p>
        </w:tc>
        <w:tc>
          <w:tcPr>
            <w:tcW w:w="6035" w:type="dxa"/>
            <w:vAlign w:val="center"/>
          </w:tcPr>
          <w:p w14:paraId="003A41B7" w14:textId="77777777" w:rsidR="007D241D" w:rsidRDefault="007D241D" w:rsidP="00281C7E">
            <w:pPr>
              <w:autoSpaceDE w:val="0"/>
              <w:autoSpaceDN w:val="0"/>
              <w:adjustRightInd w:val="0"/>
              <w:jc w:val="both"/>
              <w:rPr>
                <w:sz w:val="20"/>
                <w:szCs w:val="20"/>
              </w:rPr>
            </w:pPr>
            <w:r>
              <w:rPr>
                <w:sz w:val="20"/>
                <w:szCs w:val="20"/>
              </w:rPr>
              <w:t xml:space="preserve">Questions and requests regarding characteristics and impact of risk factors on the issuers' business as well as risk management, </w:t>
            </w:r>
            <w:proofErr w:type="gramStart"/>
            <w:r>
              <w:rPr>
                <w:sz w:val="20"/>
                <w:szCs w:val="20"/>
              </w:rPr>
              <w:t>e.g.</w:t>
            </w:r>
            <w:proofErr w:type="gramEnd"/>
            <w:r>
              <w:rPr>
                <w:sz w:val="20"/>
                <w:szCs w:val="20"/>
              </w:rPr>
              <w:t xml:space="preserve"> self-insurance program</w:t>
            </w:r>
          </w:p>
        </w:tc>
      </w:tr>
      <w:tr w:rsidR="007D241D" w:rsidRPr="00650B21" w14:paraId="325DCBB3" w14:textId="77777777" w:rsidTr="00281C7E">
        <w:tc>
          <w:tcPr>
            <w:tcW w:w="810" w:type="dxa"/>
            <w:vAlign w:val="center"/>
          </w:tcPr>
          <w:p w14:paraId="1C98BEED" w14:textId="77777777" w:rsidR="007D241D" w:rsidRDefault="007D241D" w:rsidP="00281C7E">
            <w:pPr>
              <w:autoSpaceDE w:val="0"/>
              <w:autoSpaceDN w:val="0"/>
              <w:adjustRightInd w:val="0"/>
              <w:rPr>
                <w:sz w:val="20"/>
                <w:szCs w:val="20"/>
              </w:rPr>
            </w:pPr>
            <w:r>
              <w:rPr>
                <w:sz w:val="20"/>
                <w:szCs w:val="20"/>
              </w:rPr>
              <w:t>D8</w:t>
            </w:r>
          </w:p>
        </w:tc>
        <w:tc>
          <w:tcPr>
            <w:tcW w:w="2171" w:type="dxa"/>
            <w:vAlign w:val="center"/>
          </w:tcPr>
          <w:p w14:paraId="2AE140B9" w14:textId="77777777" w:rsidR="007D241D" w:rsidRDefault="007D241D" w:rsidP="00281C7E">
            <w:pPr>
              <w:autoSpaceDE w:val="0"/>
              <w:autoSpaceDN w:val="0"/>
              <w:adjustRightInd w:val="0"/>
              <w:rPr>
                <w:sz w:val="20"/>
                <w:szCs w:val="20"/>
              </w:rPr>
            </w:pPr>
            <w:r>
              <w:rPr>
                <w:sz w:val="20"/>
                <w:szCs w:val="20"/>
              </w:rPr>
              <w:t>Results of operation</w:t>
            </w:r>
          </w:p>
        </w:tc>
        <w:tc>
          <w:tcPr>
            <w:tcW w:w="6035" w:type="dxa"/>
            <w:vAlign w:val="center"/>
          </w:tcPr>
          <w:p w14:paraId="1E7CBCA5" w14:textId="77777777" w:rsidR="007D241D" w:rsidRDefault="007D241D" w:rsidP="00281C7E">
            <w:pPr>
              <w:autoSpaceDE w:val="0"/>
              <w:autoSpaceDN w:val="0"/>
              <w:adjustRightInd w:val="0"/>
              <w:jc w:val="both"/>
              <w:rPr>
                <w:sz w:val="20"/>
                <w:szCs w:val="20"/>
              </w:rPr>
            </w:pPr>
            <w:r>
              <w:rPr>
                <w:sz w:val="20"/>
                <w:szCs w:val="20"/>
              </w:rPr>
              <w:t>Questions, critiques and requests regarding issuer's results from operations (</w:t>
            </w:r>
            <w:proofErr w:type="gramStart"/>
            <w:r>
              <w:rPr>
                <w:sz w:val="20"/>
                <w:szCs w:val="20"/>
              </w:rPr>
              <w:t>e.g.</w:t>
            </w:r>
            <w:proofErr w:type="gramEnd"/>
            <w:r>
              <w:rPr>
                <w:sz w:val="20"/>
                <w:szCs w:val="20"/>
              </w:rPr>
              <w:t xml:space="preserve"> liquidity, probability, capital resource, gross margin, key business metrics, segment reporting) which are often presented by the disclosure of amount of accounting item, determinants/trends of the results as well as the firm's plans to achieve the results, including critiques regarding the issuer's business strength</w:t>
            </w:r>
          </w:p>
        </w:tc>
      </w:tr>
      <w:tr w:rsidR="007D241D" w:rsidRPr="00650B21" w14:paraId="30A00217" w14:textId="77777777" w:rsidTr="00281C7E">
        <w:tc>
          <w:tcPr>
            <w:tcW w:w="810" w:type="dxa"/>
            <w:vAlign w:val="center"/>
          </w:tcPr>
          <w:p w14:paraId="535C6FFD" w14:textId="77777777" w:rsidR="007D241D" w:rsidRDefault="007D241D" w:rsidP="00281C7E">
            <w:pPr>
              <w:autoSpaceDE w:val="0"/>
              <w:autoSpaceDN w:val="0"/>
              <w:adjustRightInd w:val="0"/>
              <w:rPr>
                <w:sz w:val="20"/>
                <w:szCs w:val="20"/>
              </w:rPr>
            </w:pPr>
            <w:r>
              <w:rPr>
                <w:sz w:val="20"/>
                <w:szCs w:val="20"/>
              </w:rPr>
              <w:lastRenderedPageBreak/>
              <w:t>D9</w:t>
            </w:r>
          </w:p>
        </w:tc>
        <w:tc>
          <w:tcPr>
            <w:tcW w:w="2171" w:type="dxa"/>
            <w:vAlign w:val="center"/>
          </w:tcPr>
          <w:p w14:paraId="1C410E36" w14:textId="77777777" w:rsidR="007D241D" w:rsidRDefault="007D241D" w:rsidP="00281C7E">
            <w:pPr>
              <w:autoSpaceDE w:val="0"/>
              <w:autoSpaceDN w:val="0"/>
              <w:adjustRightInd w:val="0"/>
              <w:rPr>
                <w:sz w:val="20"/>
                <w:szCs w:val="20"/>
              </w:rPr>
            </w:pPr>
            <w:r>
              <w:rPr>
                <w:sz w:val="20"/>
                <w:szCs w:val="20"/>
              </w:rPr>
              <w:t>External reports</w:t>
            </w:r>
          </w:p>
        </w:tc>
        <w:tc>
          <w:tcPr>
            <w:tcW w:w="6035" w:type="dxa"/>
            <w:vAlign w:val="center"/>
          </w:tcPr>
          <w:p w14:paraId="06CAE42B" w14:textId="77777777" w:rsidR="007D241D" w:rsidRDefault="007D241D" w:rsidP="00281C7E">
            <w:pPr>
              <w:autoSpaceDE w:val="0"/>
              <w:autoSpaceDN w:val="0"/>
              <w:adjustRightInd w:val="0"/>
              <w:jc w:val="both"/>
              <w:rPr>
                <w:sz w:val="20"/>
                <w:szCs w:val="20"/>
              </w:rPr>
            </w:pPr>
            <w:r>
              <w:rPr>
                <w:sz w:val="20"/>
                <w:szCs w:val="20"/>
              </w:rPr>
              <w:t xml:space="preserve">Question, </w:t>
            </w:r>
            <w:proofErr w:type="gramStart"/>
            <w:r>
              <w:rPr>
                <w:sz w:val="20"/>
                <w:szCs w:val="20"/>
              </w:rPr>
              <w:t>critiques</w:t>
            </w:r>
            <w:proofErr w:type="gramEnd"/>
            <w:r>
              <w:rPr>
                <w:sz w:val="20"/>
                <w:szCs w:val="20"/>
              </w:rPr>
              <w:t xml:space="preserve"> and requests regarding information from reports prepared by external parties, data cited from these reports as well as the identification of the parties who prepared these reports</w:t>
            </w:r>
          </w:p>
        </w:tc>
      </w:tr>
      <w:tr w:rsidR="007D241D" w:rsidRPr="00650B21" w14:paraId="532CAF63" w14:textId="77777777" w:rsidTr="00281C7E">
        <w:tc>
          <w:tcPr>
            <w:tcW w:w="810" w:type="dxa"/>
            <w:vAlign w:val="center"/>
          </w:tcPr>
          <w:p w14:paraId="057CF63D" w14:textId="77777777" w:rsidR="007D241D" w:rsidRDefault="007D241D" w:rsidP="00281C7E">
            <w:pPr>
              <w:autoSpaceDE w:val="0"/>
              <w:autoSpaceDN w:val="0"/>
              <w:adjustRightInd w:val="0"/>
              <w:rPr>
                <w:sz w:val="20"/>
                <w:szCs w:val="20"/>
              </w:rPr>
            </w:pPr>
            <w:r>
              <w:rPr>
                <w:sz w:val="20"/>
                <w:szCs w:val="20"/>
              </w:rPr>
              <w:t>D10</w:t>
            </w:r>
          </w:p>
        </w:tc>
        <w:tc>
          <w:tcPr>
            <w:tcW w:w="2171" w:type="dxa"/>
            <w:vAlign w:val="center"/>
          </w:tcPr>
          <w:p w14:paraId="25FF3962" w14:textId="77777777" w:rsidR="007D241D" w:rsidRDefault="007D241D" w:rsidP="00281C7E">
            <w:pPr>
              <w:autoSpaceDE w:val="0"/>
              <w:autoSpaceDN w:val="0"/>
              <w:adjustRightInd w:val="0"/>
              <w:rPr>
                <w:sz w:val="20"/>
                <w:szCs w:val="20"/>
              </w:rPr>
            </w:pPr>
            <w:r>
              <w:rPr>
                <w:sz w:val="20"/>
                <w:szCs w:val="20"/>
              </w:rPr>
              <w:t>Status</w:t>
            </w:r>
          </w:p>
        </w:tc>
        <w:tc>
          <w:tcPr>
            <w:tcW w:w="6035" w:type="dxa"/>
            <w:vAlign w:val="center"/>
          </w:tcPr>
          <w:p w14:paraId="4B49396C" w14:textId="77777777" w:rsidR="007D241D" w:rsidRDefault="007D241D" w:rsidP="00281C7E">
            <w:pPr>
              <w:autoSpaceDE w:val="0"/>
              <w:autoSpaceDN w:val="0"/>
              <w:adjustRightInd w:val="0"/>
              <w:jc w:val="both"/>
              <w:rPr>
                <w:sz w:val="20"/>
                <w:szCs w:val="20"/>
              </w:rPr>
            </w:pPr>
            <w:r>
              <w:rPr>
                <w:sz w:val="20"/>
                <w:szCs w:val="20"/>
              </w:rPr>
              <w:t xml:space="preserve">Questions, critiques and requests regarding firm's status </w:t>
            </w:r>
            <w:proofErr w:type="gramStart"/>
            <w:r>
              <w:rPr>
                <w:sz w:val="20"/>
                <w:szCs w:val="20"/>
              </w:rPr>
              <w:t>e.g.</w:t>
            </w:r>
            <w:proofErr w:type="gramEnd"/>
            <w:r>
              <w:rPr>
                <w:sz w:val="20"/>
                <w:szCs w:val="20"/>
              </w:rPr>
              <w:t xml:space="preserve"> limited liability company, Delaware corporation, emerging growth company</w:t>
            </w:r>
          </w:p>
        </w:tc>
      </w:tr>
      <w:tr w:rsidR="007D241D" w:rsidRPr="00650B21" w14:paraId="71C7624D" w14:textId="77777777" w:rsidTr="00281C7E">
        <w:tc>
          <w:tcPr>
            <w:tcW w:w="2981" w:type="dxa"/>
            <w:gridSpan w:val="2"/>
            <w:vAlign w:val="center"/>
          </w:tcPr>
          <w:p w14:paraId="745149EB" w14:textId="77777777" w:rsidR="007D241D" w:rsidRPr="00126B1C" w:rsidRDefault="007D241D" w:rsidP="00281C7E">
            <w:pPr>
              <w:autoSpaceDE w:val="0"/>
              <w:autoSpaceDN w:val="0"/>
              <w:adjustRightInd w:val="0"/>
              <w:rPr>
                <w:b/>
                <w:bCs/>
                <w:sz w:val="20"/>
                <w:szCs w:val="20"/>
              </w:rPr>
            </w:pPr>
            <w:r>
              <w:rPr>
                <w:b/>
                <w:bCs/>
                <w:sz w:val="20"/>
                <w:szCs w:val="20"/>
              </w:rPr>
              <w:t>E. Corporate governance issues</w:t>
            </w:r>
          </w:p>
        </w:tc>
        <w:tc>
          <w:tcPr>
            <w:tcW w:w="6035" w:type="dxa"/>
            <w:vAlign w:val="center"/>
          </w:tcPr>
          <w:p w14:paraId="6D8DBE38" w14:textId="77777777" w:rsidR="007D241D" w:rsidRPr="00126B1C" w:rsidRDefault="007D241D" w:rsidP="00281C7E">
            <w:pPr>
              <w:autoSpaceDE w:val="0"/>
              <w:autoSpaceDN w:val="0"/>
              <w:adjustRightInd w:val="0"/>
              <w:jc w:val="both"/>
              <w:rPr>
                <w:b/>
                <w:bCs/>
                <w:sz w:val="20"/>
                <w:szCs w:val="20"/>
              </w:rPr>
            </w:pPr>
            <w:r>
              <w:rPr>
                <w:b/>
                <w:bCs/>
                <w:sz w:val="20"/>
                <w:szCs w:val="20"/>
              </w:rPr>
              <w:t>These items represent the SEC's comments relating to the issuers' corporate governance mechanism</w:t>
            </w:r>
          </w:p>
        </w:tc>
      </w:tr>
      <w:tr w:rsidR="007D241D" w:rsidRPr="00650B21" w14:paraId="0FF6CE80" w14:textId="77777777" w:rsidTr="00281C7E">
        <w:trPr>
          <w:trHeight w:val="1213"/>
        </w:trPr>
        <w:tc>
          <w:tcPr>
            <w:tcW w:w="810" w:type="dxa"/>
            <w:vAlign w:val="center"/>
          </w:tcPr>
          <w:p w14:paraId="09131CD6" w14:textId="77777777" w:rsidR="007D241D" w:rsidRDefault="007D241D" w:rsidP="00281C7E">
            <w:pPr>
              <w:autoSpaceDE w:val="0"/>
              <w:autoSpaceDN w:val="0"/>
              <w:adjustRightInd w:val="0"/>
              <w:rPr>
                <w:sz w:val="20"/>
                <w:szCs w:val="20"/>
              </w:rPr>
            </w:pPr>
            <w:r>
              <w:rPr>
                <w:sz w:val="20"/>
                <w:szCs w:val="20"/>
              </w:rPr>
              <w:t>E1</w:t>
            </w:r>
          </w:p>
        </w:tc>
        <w:tc>
          <w:tcPr>
            <w:tcW w:w="2171" w:type="dxa"/>
            <w:vAlign w:val="center"/>
          </w:tcPr>
          <w:p w14:paraId="3D45F0C5" w14:textId="77777777" w:rsidR="007D241D" w:rsidRDefault="007D241D" w:rsidP="00281C7E">
            <w:pPr>
              <w:autoSpaceDE w:val="0"/>
              <w:autoSpaceDN w:val="0"/>
              <w:adjustRightInd w:val="0"/>
              <w:rPr>
                <w:sz w:val="20"/>
                <w:szCs w:val="20"/>
              </w:rPr>
            </w:pPr>
            <w:r>
              <w:rPr>
                <w:sz w:val="20"/>
                <w:szCs w:val="20"/>
              </w:rPr>
              <w:t>Managers</w:t>
            </w:r>
          </w:p>
        </w:tc>
        <w:tc>
          <w:tcPr>
            <w:tcW w:w="6035" w:type="dxa"/>
            <w:vAlign w:val="center"/>
          </w:tcPr>
          <w:p w14:paraId="3F3283CB" w14:textId="77777777" w:rsidR="007D241D" w:rsidRDefault="007D241D" w:rsidP="00281C7E">
            <w:pPr>
              <w:autoSpaceDE w:val="0"/>
              <w:autoSpaceDN w:val="0"/>
              <w:adjustRightInd w:val="0"/>
              <w:jc w:val="both"/>
              <w:rPr>
                <w:sz w:val="20"/>
                <w:szCs w:val="20"/>
              </w:rPr>
            </w:pPr>
            <w:r>
              <w:rPr>
                <w:sz w:val="20"/>
                <w:szCs w:val="20"/>
              </w:rPr>
              <w:t xml:space="preserve">Requests about information about identifications of the issuer's managers, their agreement, the </w:t>
            </w:r>
            <w:proofErr w:type="gramStart"/>
            <w:r>
              <w:rPr>
                <w:sz w:val="20"/>
                <w:szCs w:val="20"/>
              </w:rPr>
              <w:t>time</w:t>
            </w:r>
            <w:proofErr w:type="gramEnd"/>
            <w:r>
              <w:rPr>
                <w:sz w:val="20"/>
                <w:szCs w:val="20"/>
              </w:rPr>
              <w:t xml:space="preserve"> and resources they have been devoting to the firm as well as their right &amp; obligation (e.g., issues on the firms' status as controlled company), including key performance measure applied to the managers, leadership structure and managers' signatures</w:t>
            </w:r>
          </w:p>
        </w:tc>
      </w:tr>
      <w:tr w:rsidR="007D241D" w:rsidRPr="00650B21" w14:paraId="0B4095CB" w14:textId="77777777" w:rsidTr="00281C7E">
        <w:tc>
          <w:tcPr>
            <w:tcW w:w="810" w:type="dxa"/>
            <w:vAlign w:val="center"/>
          </w:tcPr>
          <w:p w14:paraId="0A5CD07B" w14:textId="77777777" w:rsidR="007D241D" w:rsidRDefault="007D241D" w:rsidP="00281C7E">
            <w:pPr>
              <w:autoSpaceDE w:val="0"/>
              <w:autoSpaceDN w:val="0"/>
              <w:adjustRightInd w:val="0"/>
              <w:rPr>
                <w:sz w:val="20"/>
                <w:szCs w:val="20"/>
              </w:rPr>
            </w:pPr>
            <w:r>
              <w:rPr>
                <w:sz w:val="20"/>
                <w:szCs w:val="20"/>
              </w:rPr>
              <w:t>E2</w:t>
            </w:r>
          </w:p>
        </w:tc>
        <w:tc>
          <w:tcPr>
            <w:tcW w:w="2171" w:type="dxa"/>
            <w:vAlign w:val="center"/>
          </w:tcPr>
          <w:p w14:paraId="25B6B934" w14:textId="77777777" w:rsidR="007D241D" w:rsidRDefault="007D241D" w:rsidP="00281C7E">
            <w:pPr>
              <w:autoSpaceDE w:val="0"/>
              <w:autoSpaceDN w:val="0"/>
              <w:adjustRightInd w:val="0"/>
              <w:rPr>
                <w:sz w:val="20"/>
                <w:szCs w:val="20"/>
              </w:rPr>
            </w:pPr>
            <w:r>
              <w:rPr>
                <w:sz w:val="20"/>
                <w:szCs w:val="20"/>
              </w:rPr>
              <w:t>Related parties' transactions</w:t>
            </w:r>
          </w:p>
        </w:tc>
        <w:tc>
          <w:tcPr>
            <w:tcW w:w="6035" w:type="dxa"/>
            <w:vAlign w:val="center"/>
          </w:tcPr>
          <w:p w14:paraId="6DEBD468" w14:textId="77777777" w:rsidR="007D241D" w:rsidRDefault="007D241D" w:rsidP="00281C7E">
            <w:pPr>
              <w:autoSpaceDE w:val="0"/>
              <w:autoSpaceDN w:val="0"/>
              <w:adjustRightInd w:val="0"/>
              <w:jc w:val="both"/>
              <w:rPr>
                <w:sz w:val="20"/>
                <w:szCs w:val="20"/>
              </w:rPr>
            </w:pPr>
            <w:r>
              <w:rPr>
                <w:sz w:val="20"/>
                <w:szCs w:val="20"/>
              </w:rPr>
              <w:t>Questions and requests regarding transactions of related parties, including anti-takeover provisions that are included in firm’s by-laws</w:t>
            </w:r>
          </w:p>
        </w:tc>
      </w:tr>
      <w:tr w:rsidR="007D241D" w:rsidRPr="00650B21" w14:paraId="3BA39CF9" w14:textId="77777777" w:rsidTr="00281C7E">
        <w:tc>
          <w:tcPr>
            <w:tcW w:w="810" w:type="dxa"/>
            <w:vAlign w:val="center"/>
          </w:tcPr>
          <w:p w14:paraId="47BF3189" w14:textId="77777777" w:rsidR="007D241D" w:rsidRDefault="007D241D" w:rsidP="00281C7E">
            <w:pPr>
              <w:autoSpaceDE w:val="0"/>
              <w:autoSpaceDN w:val="0"/>
              <w:adjustRightInd w:val="0"/>
              <w:rPr>
                <w:sz w:val="20"/>
                <w:szCs w:val="20"/>
              </w:rPr>
            </w:pPr>
            <w:r>
              <w:rPr>
                <w:sz w:val="20"/>
                <w:szCs w:val="20"/>
              </w:rPr>
              <w:t>E3</w:t>
            </w:r>
          </w:p>
        </w:tc>
        <w:tc>
          <w:tcPr>
            <w:tcW w:w="2171" w:type="dxa"/>
            <w:vAlign w:val="center"/>
          </w:tcPr>
          <w:p w14:paraId="0CDC35BB" w14:textId="77777777" w:rsidR="007D241D" w:rsidRDefault="007D241D" w:rsidP="00281C7E">
            <w:pPr>
              <w:autoSpaceDE w:val="0"/>
              <w:autoSpaceDN w:val="0"/>
              <w:adjustRightInd w:val="0"/>
              <w:rPr>
                <w:sz w:val="20"/>
                <w:szCs w:val="20"/>
              </w:rPr>
            </w:pPr>
            <w:r>
              <w:rPr>
                <w:sz w:val="20"/>
                <w:szCs w:val="20"/>
              </w:rPr>
              <w:t>Organizational structure</w:t>
            </w:r>
          </w:p>
        </w:tc>
        <w:tc>
          <w:tcPr>
            <w:tcW w:w="6035" w:type="dxa"/>
            <w:vAlign w:val="center"/>
          </w:tcPr>
          <w:p w14:paraId="7705FC0E" w14:textId="77777777" w:rsidR="007D241D" w:rsidRDefault="007D241D" w:rsidP="00281C7E">
            <w:pPr>
              <w:autoSpaceDE w:val="0"/>
              <w:autoSpaceDN w:val="0"/>
              <w:adjustRightInd w:val="0"/>
              <w:jc w:val="both"/>
              <w:rPr>
                <w:sz w:val="20"/>
                <w:szCs w:val="20"/>
              </w:rPr>
            </w:pPr>
            <w:r>
              <w:rPr>
                <w:sz w:val="20"/>
                <w:szCs w:val="20"/>
              </w:rPr>
              <w:t xml:space="preserve">Questions and requests regarding the issuers' organizational structure and ownership structure (including identifications, </w:t>
            </w:r>
            <w:proofErr w:type="gramStart"/>
            <w:r>
              <w:rPr>
                <w:sz w:val="20"/>
                <w:szCs w:val="20"/>
              </w:rPr>
              <w:t>control</w:t>
            </w:r>
            <w:proofErr w:type="gramEnd"/>
            <w:r>
              <w:rPr>
                <w:sz w:val="20"/>
                <w:szCs w:val="20"/>
              </w:rPr>
              <w:t xml:space="preserve"> and interest of the owners)</w:t>
            </w:r>
          </w:p>
        </w:tc>
      </w:tr>
      <w:tr w:rsidR="007D241D" w:rsidRPr="00650B21" w14:paraId="06F1A43B" w14:textId="77777777" w:rsidTr="00281C7E">
        <w:tc>
          <w:tcPr>
            <w:tcW w:w="810" w:type="dxa"/>
            <w:vAlign w:val="center"/>
          </w:tcPr>
          <w:p w14:paraId="0EC9C7EA" w14:textId="77777777" w:rsidR="007D241D" w:rsidRDefault="007D241D" w:rsidP="00281C7E">
            <w:pPr>
              <w:autoSpaceDE w:val="0"/>
              <w:autoSpaceDN w:val="0"/>
              <w:adjustRightInd w:val="0"/>
              <w:rPr>
                <w:sz w:val="20"/>
                <w:szCs w:val="20"/>
              </w:rPr>
            </w:pPr>
            <w:r>
              <w:rPr>
                <w:sz w:val="20"/>
                <w:szCs w:val="20"/>
              </w:rPr>
              <w:t>E4</w:t>
            </w:r>
          </w:p>
        </w:tc>
        <w:tc>
          <w:tcPr>
            <w:tcW w:w="2171" w:type="dxa"/>
            <w:vAlign w:val="center"/>
          </w:tcPr>
          <w:p w14:paraId="6E070C1C" w14:textId="77777777" w:rsidR="007D241D" w:rsidRDefault="007D241D" w:rsidP="00281C7E">
            <w:pPr>
              <w:autoSpaceDE w:val="0"/>
              <w:autoSpaceDN w:val="0"/>
              <w:adjustRightInd w:val="0"/>
              <w:rPr>
                <w:sz w:val="20"/>
                <w:szCs w:val="20"/>
              </w:rPr>
            </w:pPr>
            <w:r>
              <w:rPr>
                <w:sz w:val="20"/>
                <w:szCs w:val="20"/>
              </w:rPr>
              <w:t>Compensation</w:t>
            </w:r>
          </w:p>
        </w:tc>
        <w:tc>
          <w:tcPr>
            <w:tcW w:w="6035" w:type="dxa"/>
            <w:vAlign w:val="center"/>
          </w:tcPr>
          <w:p w14:paraId="1F687F8A" w14:textId="77777777" w:rsidR="007D241D" w:rsidRDefault="007D241D" w:rsidP="00281C7E">
            <w:pPr>
              <w:autoSpaceDE w:val="0"/>
              <w:autoSpaceDN w:val="0"/>
              <w:adjustRightInd w:val="0"/>
              <w:jc w:val="both"/>
              <w:rPr>
                <w:sz w:val="20"/>
                <w:szCs w:val="20"/>
              </w:rPr>
            </w:pPr>
            <w:r>
              <w:rPr>
                <w:sz w:val="20"/>
                <w:szCs w:val="20"/>
              </w:rPr>
              <w:t xml:space="preserve">Questions, </w:t>
            </w:r>
            <w:proofErr w:type="gramStart"/>
            <w:r>
              <w:rPr>
                <w:sz w:val="20"/>
                <w:szCs w:val="20"/>
              </w:rPr>
              <w:t>critiques</w:t>
            </w:r>
            <w:proofErr w:type="gramEnd"/>
            <w:r>
              <w:rPr>
                <w:sz w:val="20"/>
                <w:szCs w:val="20"/>
              </w:rPr>
              <w:t xml:space="preserve"> and requests regarding amount of non- or stock-based compensation which was paid as well as the compensation plans for the firm’s executives and employees, metrics that the firm (typically through its board of directors) uses to assess management performance, in order to determine annual bonuses</w:t>
            </w:r>
          </w:p>
        </w:tc>
      </w:tr>
      <w:tr w:rsidR="007D241D" w:rsidRPr="00650B21" w14:paraId="66823BA4" w14:textId="77777777" w:rsidTr="00281C7E">
        <w:tc>
          <w:tcPr>
            <w:tcW w:w="810" w:type="dxa"/>
            <w:vAlign w:val="center"/>
          </w:tcPr>
          <w:p w14:paraId="7F362FC4" w14:textId="77777777" w:rsidR="007D241D" w:rsidRDefault="007D241D" w:rsidP="00281C7E">
            <w:pPr>
              <w:autoSpaceDE w:val="0"/>
              <w:autoSpaceDN w:val="0"/>
              <w:adjustRightInd w:val="0"/>
              <w:rPr>
                <w:sz w:val="20"/>
                <w:szCs w:val="20"/>
              </w:rPr>
            </w:pPr>
            <w:r>
              <w:rPr>
                <w:sz w:val="20"/>
                <w:szCs w:val="20"/>
              </w:rPr>
              <w:t>E5</w:t>
            </w:r>
          </w:p>
        </w:tc>
        <w:tc>
          <w:tcPr>
            <w:tcW w:w="2171" w:type="dxa"/>
            <w:vAlign w:val="center"/>
          </w:tcPr>
          <w:p w14:paraId="5CD36537" w14:textId="77777777" w:rsidR="007D241D" w:rsidRDefault="007D241D" w:rsidP="00281C7E">
            <w:pPr>
              <w:autoSpaceDE w:val="0"/>
              <w:autoSpaceDN w:val="0"/>
              <w:adjustRightInd w:val="0"/>
              <w:rPr>
                <w:sz w:val="20"/>
                <w:szCs w:val="20"/>
              </w:rPr>
            </w:pPr>
            <w:r>
              <w:rPr>
                <w:sz w:val="20"/>
                <w:szCs w:val="20"/>
              </w:rPr>
              <w:t>Employee</w:t>
            </w:r>
          </w:p>
        </w:tc>
        <w:tc>
          <w:tcPr>
            <w:tcW w:w="6035" w:type="dxa"/>
            <w:vAlign w:val="center"/>
          </w:tcPr>
          <w:p w14:paraId="34DEE84A" w14:textId="77777777" w:rsidR="007D241D" w:rsidRDefault="007D241D" w:rsidP="00281C7E">
            <w:pPr>
              <w:autoSpaceDE w:val="0"/>
              <w:autoSpaceDN w:val="0"/>
              <w:adjustRightInd w:val="0"/>
              <w:jc w:val="both"/>
              <w:rPr>
                <w:sz w:val="20"/>
                <w:szCs w:val="20"/>
              </w:rPr>
            </w:pPr>
            <w:r>
              <w:rPr>
                <w:sz w:val="20"/>
                <w:szCs w:val="20"/>
              </w:rPr>
              <w:t xml:space="preserve">Questions, </w:t>
            </w:r>
            <w:proofErr w:type="gramStart"/>
            <w:r>
              <w:rPr>
                <w:sz w:val="20"/>
                <w:szCs w:val="20"/>
              </w:rPr>
              <w:t>critiques</w:t>
            </w:r>
            <w:proofErr w:type="gramEnd"/>
            <w:r>
              <w:rPr>
                <w:sz w:val="20"/>
                <w:szCs w:val="20"/>
              </w:rPr>
              <w:t xml:space="preserve"> and requests regarding employee-related matters, including salary, labour issues, employment contracts, pension and other employee benefit</w:t>
            </w:r>
          </w:p>
        </w:tc>
      </w:tr>
      <w:tr w:rsidR="007D241D" w:rsidRPr="00650B21" w14:paraId="00241720" w14:textId="77777777" w:rsidTr="00281C7E">
        <w:tc>
          <w:tcPr>
            <w:tcW w:w="2981" w:type="dxa"/>
            <w:gridSpan w:val="2"/>
            <w:vAlign w:val="center"/>
          </w:tcPr>
          <w:p w14:paraId="2D36FDD6" w14:textId="77777777" w:rsidR="007D241D" w:rsidRDefault="007D241D" w:rsidP="00281C7E">
            <w:pPr>
              <w:autoSpaceDE w:val="0"/>
              <w:autoSpaceDN w:val="0"/>
              <w:adjustRightInd w:val="0"/>
              <w:rPr>
                <w:sz w:val="20"/>
                <w:szCs w:val="20"/>
              </w:rPr>
            </w:pPr>
            <w:r>
              <w:rPr>
                <w:b/>
                <w:bCs/>
                <w:sz w:val="20"/>
                <w:szCs w:val="20"/>
              </w:rPr>
              <w:t>F. Disclosure issues</w:t>
            </w:r>
          </w:p>
        </w:tc>
        <w:tc>
          <w:tcPr>
            <w:tcW w:w="6035" w:type="dxa"/>
            <w:vAlign w:val="center"/>
          </w:tcPr>
          <w:p w14:paraId="31B4CCDD" w14:textId="77777777" w:rsidR="007D241D" w:rsidRPr="00B64075" w:rsidRDefault="007D241D" w:rsidP="00281C7E">
            <w:pPr>
              <w:autoSpaceDE w:val="0"/>
              <w:autoSpaceDN w:val="0"/>
              <w:adjustRightInd w:val="0"/>
              <w:jc w:val="both"/>
              <w:rPr>
                <w:b/>
                <w:bCs/>
                <w:sz w:val="20"/>
                <w:szCs w:val="20"/>
              </w:rPr>
            </w:pPr>
            <w:r>
              <w:rPr>
                <w:b/>
                <w:bCs/>
                <w:sz w:val="20"/>
                <w:szCs w:val="20"/>
              </w:rPr>
              <w:t>These items represent the SEC's comments relating to language used in the S-1 filings as well as the qualitative characteristics of the information disclosed in the S-1 filings. These items also represent the SEC's request for additional documents. In addition, these items represent the SEC's comments on the issuer's undertaking relating to the filing and disclosure of S-1, amended S-1 and other related documents</w:t>
            </w:r>
          </w:p>
        </w:tc>
      </w:tr>
      <w:tr w:rsidR="007D241D" w:rsidRPr="00650B21" w14:paraId="612AA0E2" w14:textId="77777777" w:rsidTr="00281C7E">
        <w:tc>
          <w:tcPr>
            <w:tcW w:w="810" w:type="dxa"/>
            <w:vAlign w:val="center"/>
          </w:tcPr>
          <w:p w14:paraId="0397DC21" w14:textId="77777777" w:rsidR="007D241D" w:rsidRDefault="007D241D" w:rsidP="00281C7E">
            <w:pPr>
              <w:autoSpaceDE w:val="0"/>
              <w:autoSpaceDN w:val="0"/>
              <w:adjustRightInd w:val="0"/>
              <w:rPr>
                <w:sz w:val="20"/>
                <w:szCs w:val="20"/>
              </w:rPr>
            </w:pPr>
            <w:r>
              <w:rPr>
                <w:sz w:val="20"/>
                <w:szCs w:val="20"/>
              </w:rPr>
              <w:t>F1</w:t>
            </w:r>
          </w:p>
        </w:tc>
        <w:tc>
          <w:tcPr>
            <w:tcW w:w="2171" w:type="dxa"/>
            <w:vAlign w:val="center"/>
          </w:tcPr>
          <w:p w14:paraId="73E485A0" w14:textId="77777777" w:rsidR="007D241D" w:rsidRDefault="007D241D" w:rsidP="00281C7E">
            <w:pPr>
              <w:autoSpaceDE w:val="0"/>
              <w:autoSpaceDN w:val="0"/>
              <w:adjustRightInd w:val="0"/>
              <w:rPr>
                <w:sz w:val="20"/>
                <w:szCs w:val="20"/>
              </w:rPr>
            </w:pPr>
            <w:r>
              <w:rPr>
                <w:sz w:val="20"/>
                <w:szCs w:val="20"/>
              </w:rPr>
              <w:t>Technical information</w:t>
            </w:r>
          </w:p>
        </w:tc>
        <w:tc>
          <w:tcPr>
            <w:tcW w:w="6035" w:type="dxa"/>
            <w:vAlign w:val="center"/>
          </w:tcPr>
          <w:p w14:paraId="20E736B6" w14:textId="77777777" w:rsidR="007D241D" w:rsidRDefault="007D241D" w:rsidP="00281C7E">
            <w:pPr>
              <w:autoSpaceDE w:val="0"/>
              <w:autoSpaceDN w:val="0"/>
              <w:adjustRightInd w:val="0"/>
              <w:jc w:val="both"/>
              <w:rPr>
                <w:sz w:val="20"/>
                <w:szCs w:val="20"/>
              </w:rPr>
            </w:pPr>
            <w:r>
              <w:rPr>
                <w:sz w:val="20"/>
                <w:szCs w:val="20"/>
              </w:rPr>
              <w:t>Questions, critiques and requests regarding meaning and use of industry specific terms, jargons, defined terms in S-1 filing</w:t>
            </w:r>
          </w:p>
        </w:tc>
      </w:tr>
      <w:tr w:rsidR="007D241D" w:rsidRPr="00650B21" w14:paraId="4C008B8C" w14:textId="77777777" w:rsidTr="00281C7E">
        <w:tc>
          <w:tcPr>
            <w:tcW w:w="810" w:type="dxa"/>
            <w:vAlign w:val="center"/>
          </w:tcPr>
          <w:p w14:paraId="3B6AE3DB" w14:textId="77777777" w:rsidR="007D241D" w:rsidRDefault="007D241D" w:rsidP="00281C7E">
            <w:pPr>
              <w:autoSpaceDE w:val="0"/>
              <w:autoSpaceDN w:val="0"/>
              <w:adjustRightInd w:val="0"/>
              <w:rPr>
                <w:sz w:val="20"/>
                <w:szCs w:val="20"/>
              </w:rPr>
            </w:pPr>
            <w:r>
              <w:rPr>
                <w:sz w:val="20"/>
                <w:szCs w:val="20"/>
              </w:rPr>
              <w:t xml:space="preserve">F2 </w:t>
            </w:r>
          </w:p>
        </w:tc>
        <w:tc>
          <w:tcPr>
            <w:tcW w:w="2171" w:type="dxa"/>
            <w:vAlign w:val="center"/>
          </w:tcPr>
          <w:p w14:paraId="0EB415AA" w14:textId="77777777" w:rsidR="007D241D" w:rsidRDefault="007D241D" w:rsidP="00281C7E">
            <w:pPr>
              <w:autoSpaceDE w:val="0"/>
              <w:autoSpaceDN w:val="0"/>
              <w:adjustRightInd w:val="0"/>
              <w:rPr>
                <w:sz w:val="20"/>
                <w:szCs w:val="20"/>
              </w:rPr>
            </w:pPr>
            <w:r>
              <w:rPr>
                <w:sz w:val="20"/>
                <w:szCs w:val="20"/>
              </w:rPr>
              <w:t>Abstract word</w:t>
            </w:r>
          </w:p>
        </w:tc>
        <w:tc>
          <w:tcPr>
            <w:tcW w:w="6035" w:type="dxa"/>
            <w:vAlign w:val="center"/>
          </w:tcPr>
          <w:p w14:paraId="2DAFCAB7" w14:textId="77777777" w:rsidR="007D241D" w:rsidRDefault="007D241D" w:rsidP="00281C7E">
            <w:pPr>
              <w:autoSpaceDE w:val="0"/>
              <w:autoSpaceDN w:val="0"/>
              <w:adjustRightInd w:val="0"/>
              <w:jc w:val="both"/>
              <w:rPr>
                <w:sz w:val="20"/>
                <w:szCs w:val="20"/>
              </w:rPr>
            </w:pPr>
            <w:r>
              <w:rPr>
                <w:sz w:val="20"/>
                <w:szCs w:val="20"/>
              </w:rPr>
              <w:t xml:space="preserve">Questions, </w:t>
            </w:r>
            <w:proofErr w:type="gramStart"/>
            <w:r>
              <w:rPr>
                <w:sz w:val="20"/>
                <w:szCs w:val="20"/>
              </w:rPr>
              <w:t>critiques</w:t>
            </w:r>
            <w:proofErr w:type="gramEnd"/>
            <w:r>
              <w:rPr>
                <w:sz w:val="20"/>
                <w:szCs w:val="20"/>
              </w:rPr>
              <w:t xml:space="preserve"> and requests regarding use of abstract words</w:t>
            </w:r>
          </w:p>
        </w:tc>
      </w:tr>
      <w:tr w:rsidR="007D241D" w:rsidRPr="00650B21" w14:paraId="6293A9F2" w14:textId="77777777" w:rsidTr="00281C7E">
        <w:tc>
          <w:tcPr>
            <w:tcW w:w="810" w:type="dxa"/>
            <w:vAlign w:val="center"/>
          </w:tcPr>
          <w:p w14:paraId="4BF6551F" w14:textId="77777777" w:rsidR="007D241D" w:rsidRDefault="007D241D" w:rsidP="00281C7E">
            <w:pPr>
              <w:autoSpaceDE w:val="0"/>
              <w:autoSpaceDN w:val="0"/>
              <w:adjustRightInd w:val="0"/>
              <w:rPr>
                <w:sz w:val="20"/>
                <w:szCs w:val="20"/>
              </w:rPr>
            </w:pPr>
            <w:r>
              <w:rPr>
                <w:sz w:val="20"/>
                <w:szCs w:val="20"/>
              </w:rPr>
              <w:t>F3</w:t>
            </w:r>
          </w:p>
        </w:tc>
        <w:tc>
          <w:tcPr>
            <w:tcW w:w="2171" w:type="dxa"/>
            <w:vAlign w:val="center"/>
          </w:tcPr>
          <w:p w14:paraId="442C693E" w14:textId="77777777" w:rsidR="007D241D" w:rsidRDefault="007D241D" w:rsidP="00281C7E">
            <w:pPr>
              <w:autoSpaceDE w:val="0"/>
              <w:autoSpaceDN w:val="0"/>
              <w:adjustRightInd w:val="0"/>
              <w:rPr>
                <w:sz w:val="20"/>
                <w:szCs w:val="20"/>
              </w:rPr>
            </w:pPr>
            <w:r>
              <w:rPr>
                <w:sz w:val="20"/>
                <w:szCs w:val="20"/>
              </w:rPr>
              <w:t>Tone</w:t>
            </w:r>
          </w:p>
        </w:tc>
        <w:tc>
          <w:tcPr>
            <w:tcW w:w="6035" w:type="dxa"/>
            <w:vAlign w:val="center"/>
          </w:tcPr>
          <w:p w14:paraId="76CE4756" w14:textId="77777777" w:rsidR="007D241D" w:rsidRDefault="007D241D" w:rsidP="00281C7E">
            <w:pPr>
              <w:autoSpaceDE w:val="0"/>
              <w:autoSpaceDN w:val="0"/>
              <w:adjustRightInd w:val="0"/>
              <w:jc w:val="both"/>
              <w:rPr>
                <w:sz w:val="20"/>
                <w:szCs w:val="20"/>
              </w:rPr>
            </w:pPr>
            <w:r>
              <w:rPr>
                <w:sz w:val="20"/>
                <w:szCs w:val="20"/>
              </w:rPr>
              <w:t xml:space="preserve">Critiques and requests regarding word tone in S-1 filings, </w:t>
            </w:r>
            <w:proofErr w:type="gramStart"/>
            <w:r>
              <w:rPr>
                <w:sz w:val="20"/>
                <w:szCs w:val="20"/>
              </w:rPr>
              <w:t>e.g.</w:t>
            </w:r>
            <w:proofErr w:type="gramEnd"/>
            <w:r>
              <w:rPr>
                <w:sz w:val="20"/>
                <w:szCs w:val="20"/>
              </w:rPr>
              <w:t xml:space="preserve"> over-positive tone (including hype or overstating information), uncertain tone</w:t>
            </w:r>
          </w:p>
        </w:tc>
      </w:tr>
      <w:tr w:rsidR="007D241D" w:rsidRPr="00650B21" w14:paraId="32EF6DD5" w14:textId="77777777" w:rsidTr="00281C7E">
        <w:tc>
          <w:tcPr>
            <w:tcW w:w="810" w:type="dxa"/>
            <w:vAlign w:val="center"/>
          </w:tcPr>
          <w:p w14:paraId="55EBA4EB" w14:textId="77777777" w:rsidR="007D241D" w:rsidRDefault="007D241D" w:rsidP="00281C7E">
            <w:pPr>
              <w:autoSpaceDE w:val="0"/>
              <w:autoSpaceDN w:val="0"/>
              <w:adjustRightInd w:val="0"/>
              <w:rPr>
                <w:sz w:val="20"/>
                <w:szCs w:val="20"/>
              </w:rPr>
            </w:pPr>
            <w:r>
              <w:rPr>
                <w:sz w:val="20"/>
                <w:szCs w:val="20"/>
              </w:rPr>
              <w:t>F4</w:t>
            </w:r>
          </w:p>
        </w:tc>
        <w:tc>
          <w:tcPr>
            <w:tcW w:w="2171" w:type="dxa"/>
            <w:vAlign w:val="center"/>
          </w:tcPr>
          <w:p w14:paraId="4C22BCD0" w14:textId="77777777" w:rsidR="007D241D" w:rsidRDefault="007D241D" w:rsidP="00281C7E">
            <w:pPr>
              <w:autoSpaceDE w:val="0"/>
              <w:autoSpaceDN w:val="0"/>
              <w:adjustRightInd w:val="0"/>
              <w:rPr>
                <w:sz w:val="20"/>
                <w:szCs w:val="20"/>
              </w:rPr>
            </w:pPr>
            <w:r>
              <w:rPr>
                <w:sz w:val="20"/>
                <w:szCs w:val="20"/>
              </w:rPr>
              <w:t>Selective disclosure</w:t>
            </w:r>
          </w:p>
        </w:tc>
        <w:tc>
          <w:tcPr>
            <w:tcW w:w="6035" w:type="dxa"/>
            <w:vAlign w:val="center"/>
          </w:tcPr>
          <w:p w14:paraId="6BB2518D" w14:textId="77777777" w:rsidR="007D241D" w:rsidRDefault="007D241D" w:rsidP="00281C7E">
            <w:pPr>
              <w:autoSpaceDE w:val="0"/>
              <w:autoSpaceDN w:val="0"/>
              <w:adjustRightInd w:val="0"/>
              <w:jc w:val="both"/>
              <w:rPr>
                <w:sz w:val="20"/>
                <w:szCs w:val="20"/>
              </w:rPr>
            </w:pPr>
            <w:r>
              <w:rPr>
                <w:sz w:val="20"/>
                <w:szCs w:val="20"/>
              </w:rPr>
              <w:t>Critiques and requests selective disclosure S-1 filing, for example, the disclosure focus on upside or 'good' information with lack of discussion of the risk s and downside of their business and operating environment</w:t>
            </w:r>
          </w:p>
        </w:tc>
      </w:tr>
      <w:tr w:rsidR="007D241D" w:rsidRPr="00650B21" w14:paraId="11077B2D" w14:textId="77777777" w:rsidTr="00281C7E">
        <w:tc>
          <w:tcPr>
            <w:tcW w:w="810" w:type="dxa"/>
            <w:vAlign w:val="center"/>
          </w:tcPr>
          <w:p w14:paraId="26555587" w14:textId="77777777" w:rsidR="007D241D" w:rsidRDefault="007D241D" w:rsidP="00281C7E">
            <w:pPr>
              <w:autoSpaceDE w:val="0"/>
              <w:autoSpaceDN w:val="0"/>
              <w:adjustRightInd w:val="0"/>
              <w:rPr>
                <w:sz w:val="20"/>
                <w:szCs w:val="20"/>
              </w:rPr>
            </w:pPr>
            <w:r>
              <w:rPr>
                <w:sz w:val="20"/>
                <w:szCs w:val="20"/>
              </w:rPr>
              <w:t>F5</w:t>
            </w:r>
          </w:p>
        </w:tc>
        <w:tc>
          <w:tcPr>
            <w:tcW w:w="2171" w:type="dxa"/>
            <w:vAlign w:val="center"/>
          </w:tcPr>
          <w:p w14:paraId="32BEEB05" w14:textId="77777777" w:rsidR="007D241D" w:rsidRDefault="007D241D" w:rsidP="00281C7E">
            <w:pPr>
              <w:autoSpaceDE w:val="0"/>
              <w:autoSpaceDN w:val="0"/>
              <w:adjustRightInd w:val="0"/>
              <w:rPr>
                <w:sz w:val="20"/>
                <w:szCs w:val="20"/>
              </w:rPr>
            </w:pPr>
            <w:r>
              <w:rPr>
                <w:sz w:val="20"/>
                <w:szCs w:val="20"/>
              </w:rPr>
              <w:t>Completeness</w:t>
            </w:r>
          </w:p>
        </w:tc>
        <w:tc>
          <w:tcPr>
            <w:tcW w:w="6035" w:type="dxa"/>
            <w:vAlign w:val="center"/>
          </w:tcPr>
          <w:p w14:paraId="614AE386" w14:textId="77777777" w:rsidR="007D241D" w:rsidRDefault="007D241D" w:rsidP="00281C7E">
            <w:pPr>
              <w:autoSpaceDE w:val="0"/>
              <w:autoSpaceDN w:val="0"/>
              <w:adjustRightInd w:val="0"/>
              <w:jc w:val="both"/>
              <w:rPr>
                <w:sz w:val="20"/>
                <w:szCs w:val="20"/>
              </w:rPr>
            </w:pPr>
            <w:r>
              <w:rPr>
                <w:sz w:val="20"/>
                <w:szCs w:val="20"/>
              </w:rPr>
              <w:t>Critiques and requests regarding lack of necessary or important information required by specific rules (</w:t>
            </w:r>
            <w:proofErr w:type="gramStart"/>
            <w:r>
              <w:rPr>
                <w:sz w:val="20"/>
                <w:szCs w:val="20"/>
              </w:rPr>
              <w:t>e.g.</w:t>
            </w:r>
            <w:proofErr w:type="gramEnd"/>
            <w:r>
              <w:rPr>
                <w:sz w:val="20"/>
                <w:szCs w:val="20"/>
              </w:rPr>
              <w:t xml:space="preserve"> Regulation S-K), request of including information which is disclosed in other sections in S-1 filings or other document, requests for including additional statement.</w:t>
            </w:r>
          </w:p>
        </w:tc>
      </w:tr>
      <w:tr w:rsidR="007D241D" w:rsidRPr="00650B21" w14:paraId="67E9D4FE" w14:textId="77777777" w:rsidTr="00281C7E">
        <w:tc>
          <w:tcPr>
            <w:tcW w:w="810" w:type="dxa"/>
            <w:vAlign w:val="center"/>
          </w:tcPr>
          <w:p w14:paraId="670D2B9C" w14:textId="77777777" w:rsidR="007D241D" w:rsidRDefault="007D241D" w:rsidP="00281C7E">
            <w:pPr>
              <w:autoSpaceDE w:val="0"/>
              <w:autoSpaceDN w:val="0"/>
              <w:adjustRightInd w:val="0"/>
              <w:rPr>
                <w:sz w:val="20"/>
                <w:szCs w:val="20"/>
              </w:rPr>
            </w:pPr>
            <w:r>
              <w:rPr>
                <w:sz w:val="20"/>
                <w:szCs w:val="20"/>
              </w:rPr>
              <w:t>F6</w:t>
            </w:r>
          </w:p>
        </w:tc>
        <w:tc>
          <w:tcPr>
            <w:tcW w:w="2171" w:type="dxa"/>
            <w:vAlign w:val="center"/>
          </w:tcPr>
          <w:p w14:paraId="7F4EFDB3" w14:textId="77777777" w:rsidR="007D241D" w:rsidRDefault="007D241D" w:rsidP="00281C7E">
            <w:pPr>
              <w:autoSpaceDE w:val="0"/>
              <w:autoSpaceDN w:val="0"/>
              <w:adjustRightInd w:val="0"/>
              <w:rPr>
                <w:sz w:val="20"/>
                <w:szCs w:val="20"/>
              </w:rPr>
            </w:pPr>
            <w:r>
              <w:rPr>
                <w:sz w:val="20"/>
                <w:szCs w:val="20"/>
              </w:rPr>
              <w:t>General information</w:t>
            </w:r>
          </w:p>
        </w:tc>
        <w:tc>
          <w:tcPr>
            <w:tcW w:w="6035" w:type="dxa"/>
            <w:vAlign w:val="center"/>
          </w:tcPr>
          <w:p w14:paraId="1467A9CD" w14:textId="77777777" w:rsidR="007D241D" w:rsidRDefault="007D241D" w:rsidP="00281C7E">
            <w:pPr>
              <w:autoSpaceDE w:val="0"/>
              <w:autoSpaceDN w:val="0"/>
              <w:adjustRightInd w:val="0"/>
              <w:jc w:val="both"/>
              <w:rPr>
                <w:sz w:val="20"/>
                <w:szCs w:val="20"/>
              </w:rPr>
            </w:pPr>
            <w:r>
              <w:rPr>
                <w:sz w:val="20"/>
                <w:szCs w:val="20"/>
              </w:rPr>
              <w:t xml:space="preserve">Questions, </w:t>
            </w:r>
            <w:proofErr w:type="gramStart"/>
            <w:r>
              <w:rPr>
                <w:sz w:val="20"/>
                <w:szCs w:val="20"/>
              </w:rPr>
              <w:t>critiques</w:t>
            </w:r>
            <w:proofErr w:type="gramEnd"/>
            <w:r>
              <w:rPr>
                <w:sz w:val="20"/>
                <w:szCs w:val="20"/>
              </w:rPr>
              <w:t xml:space="preserve"> and requests regarding general, unclear or unintelligible, unnoticeable information in S-1 filing which are often required to clarify by a specific rule, requests for highlight unnoticeable information or including more clear statement.</w:t>
            </w:r>
          </w:p>
        </w:tc>
      </w:tr>
      <w:tr w:rsidR="007D241D" w:rsidRPr="00650B21" w14:paraId="4F171829" w14:textId="77777777" w:rsidTr="00281C7E">
        <w:tc>
          <w:tcPr>
            <w:tcW w:w="810" w:type="dxa"/>
            <w:vAlign w:val="center"/>
          </w:tcPr>
          <w:p w14:paraId="109D04F8" w14:textId="77777777" w:rsidR="007D241D" w:rsidRDefault="007D241D" w:rsidP="00281C7E">
            <w:pPr>
              <w:autoSpaceDE w:val="0"/>
              <w:autoSpaceDN w:val="0"/>
              <w:adjustRightInd w:val="0"/>
              <w:rPr>
                <w:sz w:val="20"/>
                <w:szCs w:val="20"/>
              </w:rPr>
            </w:pPr>
            <w:r>
              <w:rPr>
                <w:sz w:val="20"/>
                <w:szCs w:val="20"/>
              </w:rPr>
              <w:t>F7</w:t>
            </w:r>
          </w:p>
        </w:tc>
        <w:tc>
          <w:tcPr>
            <w:tcW w:w="2171" w:type="dxa"/>
            <w:vAlign w:val="center"/>
          </w:tcPr>
          <w:p w14:paraId="72D458C3" w14:textId="77777777" w:rsidR="007D241D" w:rsidRDefault="007D241D" w:rsidP="00281C7E">
            <w:pPr>
              <w:autoSpaceDE w:val="0"/>
              <w:autoSpaceDN w:val="0"/>
              <w:adjustRightInd w:val="0"/>
              <w:rPr>
                <w:sz w:val="20"/>
                <w:szCs w:val="20"/>
              </w:rPr>
            </w:pPr>
            <w:r>
              <w:rPr>
                <w:sz w:val="20"/>
                <w:szCs w:val="20"/>
              </w:rPr>
              <w:t>Inaccurate/inappropriate disclosure</w:t>
            </w:r>
          </w:p>
        </w:tc>
        <w:tc>
          <w:tcPr>
            <w:tcW w:w="6035" w:type="dxa"/>
            <w:vAlign w:val="center"/>
          </w:tcPr>
          <w:p w14:paraId="575E134B" w14:textId="77777777" w:rsidR="007D241D" w:rsidRDefault="007D241D" w:rsidP="00281C7E">
            <w:pPr>
              <w:autoSpaceDE w:val="0"/>
              <w:autoSpaceDN w:val="0"/>
              <w:adjustRightInd w:val="0"/>
              <w:jc w:val="both"/>
              <w:rPr>
                <w:sz w:val="20"/>
                <w:szCs w:val="20"/>
              </w:rPr>
            </w:pPr>
            <w:r>
              <w:rPr>
                <w:sz w:val="20"/>
                <w:szCs w:val="20"/>
              </w:rPr>
              <w:t>Questions, critiques and requests regarding (could-be) inaccurate or (could-be) inappropriate disclosures of information (</w:t>
            </w:r>
            <w:proofErr w:type="gramStart"/>
            <w:r>
              <w:rPr>
                <w:sz w:val="20"/>
                <w:szCs w:val="20"/>
              </w:rPr>
              <w:t>e.g.</w:t>
            </w:r>
            <w:proofErr w:type="gramEnd"/>
            <w:r>
              <w:rPr>
                <w:sz w:val="20"/>
                <w:szCs w:val="20"/>
              </w:rPr>
              <w:t xml:space="preserve"> disclaimer, incorrect grammar) as well as (could-be) inappropriate position of the information in S-1 filing, including images, graphics or artworks used in the S-1 filing</w:t>
            </w:r>
          </w:p>
        </w:tc>
      </w:tr>
      <w:tr w:rsidR="007D241D" w:rsidRPr="00650B21" w14:paraId="52B95D12" w14:textId="77777777" w:rsidTr="00281C7E">
        <w:tc>
          <w:tcPr>
            <w:tcW w:w="810" w:type="dxa"/>
            <w:vAlign w:val="center"/>
          </w:tcPr>
          <w:p w14:paraId="4406B6A9" w14:textId="77777777" w:rsidR="007D241D" w:rsidRDefault="007D241D" w:rsidP="00281C7E">
            <w:pPr>
              <w:autoSpaceDE w:val="0"/>
              <w:autoSpaceDN w:val="0"/>
              <w:adjustRightInd w:val="0"/>
              <w:rPr>
                <w:sz w:val="20"/>
                <w:szCs w:val="20"/>
              </w:rPr>
            </w:pPr>
            <w:r>
              <w:rPr>
                <w:sz w:val="20"/>
                <w:szCs w:val="20"/>
              </w:rPr>
              <w:t>F8</w:t>
            </w:r>
          </w:p>
        </w:tc>
        <w:tc>
          <w:tcPr>
            <w:tcW w:w="2171" w:type="dxa"/>
            <w:vAlign w:val="center"/>
          </w:tcPr>
          <w:p w14:paraId="509A3C19" w14:textId="77777777" w:rsidR="007D241D" w:rsidRDefault="007D241D" w:rsidP="00281C7E">
            <w:pPr>
              <w:autoSpaceDE w:val="0"/>
              <w:autoSpaceDN w:val="0"/>
              <w:adjustRightInd w:val="0"/>
              <w:rPr>
                <w:sz w:val="20"/>
                <w:szCs w:val="20"/>
              </w:rPr>
            </w:pPr>
            <w:r>
              <w:rPr>
                <w:sz w:val="20"/>
                <w:szCs w:val="20"/>
              </w:rPr>
              <w:t>Disclosure too outdated, generic, or too detailed</w:t>
            </w:r>
          </w:p>
        </w:tc>
        <w:tc>
          <w:tcPr>
            <w:tcW w:w="6035" w:type="dxa"/>
            <w:vAlign w:val="center"/>
          </w:tcPr>
          <w:p w14:paraId="48006898" w14:textId="77777777" w:rsidR="007D241D" w:rsidRDefault="007D241D" w:rsidP="00281C7E">
            <w:pPr>
              <w:autoSpaceDE w:val="0"/>
              <w:autoSpaceDN w:val="0"/>
              <w:adjustRightInd w:val="0"/>
              <w:jc w:val="both"/>
              <w:rPr>
                <w:sz w:val="20"/>
                <w:szCs w:val="20"/>
              </w:rPr>
            </w:pPr>
            <w:r>
              <w:rPr>
                <w:sz w:val="20"/>
                <w:szCs w:val="20"/>
              </w:rPr>
              <w:t>Critiques regarding the degree to which the information disclosed in S-1 filing are outdated, or not unique/specific to issuer, or too much detail and lengthy</w:t>
            </w:r>
          </w:p>
        </w:tc>
      </w:tr>
      <w:tr w:rsidR="007D241D" w:rsidRPr="00650B21" w14:paraId="2FD181E8" w14:textId="77777777" w:rsidTr="00281C7E">
        <w:tc>
          <w:tcPr>
            <w:tcW w:w="810" w:type="dxa"/>
            <w:vAlign w:val="center"/>
          </w:tcPr>
          <w:p w14:paraId="2C344AD1" w14:textId="77777777" w:rsidR="007D241D" w:rsidRDefault="007D241D" w:rsidP="00281C7E">
            <w:pPr>
              <w:autoSpaceDE w:val="0"/>
              <w:autoSpaceDN w:val="0"/>
              <w:adjustRightInd w:val="0"/>
              <w:rPr>
                <w:sz w:val="20"/>
                <w:szCs w:val="20"/>
              </w:rPr>
            </w:pPr>
            <w:r>
              <w:rPr>
                <w:sz w:val="20"/>
                <w:szCs w:val="20"/>
              </w:rPr>
              <w:t>F9</w:t>
            </w:r>
          </w:p>
        </w:tc>
        <w:tc>
          <w:tcPr>
            <w:tcW w:w="2171" w:type="dxa"/>
            <w:vAlign w:val="center"/>
          </w:tcPr>
          <w:p w14:paraId="6D26EE25" w14:textId="77777777" w:rsidR="007D241D" w:rsidRDefault="007D241D" w:rsidP="00281C7E">
            <w:pPr>
              <w:autoSpaceDE w:val="0"/>
              <w:autoSpaceDN w:val="0"/>
              <w:adjustRightInd w:val="0"/>
              <w:rPr>
                <w:sz w:val="20"/>
                <w:szCs w:val="20"/>
              </w:rPr>
            </w:pPr>
            <w:r>
              <w:rPr>
                <w:sz w:val="20"/>
                <w:szCs w:val="20"/>
              </w:rPr>
              <w:t>Relevance</w:t>
            </w:r>
          </w:p>
        </w:tc>
        <w:tc>
          <w:tcPr>
            <w:tcW w:w="6035" w:type="dxa"/>
            <w:vAlign w:val="center"/>
          </w:tcPr>
          <w:p w14:paraId="098AE074" w14:textId="77777777" w:rsidR="007D241D" w:rsidRDefault="007D241D" w:rsidP="00281C7E">
            <w:pPr>
              <w:autoSpaceDE w:val="0"/>
              <w:autoSpaceDN w:val="0"/>
              <w:adjustRightInd w:val="0"/>
              <w:jc w:val="both"/>
              <w:rPr>
                <w:sz w:val="20"/>
                <w:szCs w:val="20"/>
              </w:rPr>
            </w:pPr>
            <w:r>
              <w:rPr>
                <w:sz w:val="20"/>
                <w:szCs w:val="20"/>
              </w:rPr>
              <w:t>Questions regarding information in S-1 filings that conflict with other, unnecessarily repeated information and methods of matching information</w:t>
            </w:r>
          </w:p>
        </w:tc>
      </w:tr>
      <w:tr w:rsidR="007D241D" w:rsidRPr="00650B21" w14:paraId="0271DF36" w14:textId="77777777" w:rsidTr="00281C7E">
        <w:tc>
          <w:tcPr>
            <w:tcW w:w="810" w:type="dxa"/>
            <w:vAlign w:val="center"/>
          </w:tcPr>
          <w:p w14:paraId="13716ADD" w14:textId="77777777" w:rsidR="007D241D" w:rsidRDefault="007D241D" w:rsidP="00281C7E">
            <w:pPr>
              <w:autoSpaceDE w:val="0"/>
              <w:autoSpaceDN w:val="0"/>
              <w:adjustRightInd w:val="0"/>
              <w:rPr>
                <w:sz w:val="20"/>
                <w:szCs w:val="20"/>
              </w:rPr>
            </w:pPr>
            <w:r>
              <w:rPr>
                <w:sz w:val="20"/>
                <w:szCs w:val="20"/>
              </w:rPr>
              <w:lastRenderedPageBreak/>
              <w:t>F10</w:t>
            </w:r>
          </w:p>
        </w:tc>
        <w:tc>
          <w:tcPr>
            <w:tcW w:w="2171" w:type="dxa"/>
            <w:vAlign w:val="center"/>
          </w:tcPr>
          <w:p w14:paraId="011D6200" w14:textId="77777777" w:rsidR="007D241D" w:rsidRDefault="007D241D" w:rsidP="00281C7E">
            <w:pPr>
              <w:autoSpaceDE w:val="0"/>
              <w:autoSpaceDN w:val="0"/>
              <w:adjustRightInd w:val="0"/>
              <w:rPr>
                <w:sz w:val="20"/>
                <w:szCs w:val="20"/>
              </w:rPr>
            </w:pPr>
            <w:r>
              <w:rPr>
                <w:sz w:val="20"/>
                <w:szCs w:val="20"/>
              </w:rPr>
              <w:t>References</w:t>
            </w:r>
          </w:p>
        </w:tc>
        <w:tc>
          <w:tcPr>
            <w:tcW w:w="6035" w:type="dxa"/>
            <w:vAlign w:val="center"/>
          </w:tcPr>
          <w:p w14:paraId="5F4558F0" w14:textId="77777777" w:rsidR="007D241D" w:rsidRDefault="007D241D" w:rsidP="00281C7E">
            <w:pPr>
              <w:autoSpaceDE w:val="0"/>
              <w:autoSpaceDN w:val="0"/>
              <w:adjustRightInd w:val="0"/>
              <w:jc w:val="both"/>
              <w:rPr>
                <w:sz w:val="20"/>
                <w:szCs w:val="20"/>
              </w:rPr>
            </w:pPr>
            <w:r>
              <w:rPr>
                <w:sz w:val="20"/>
                <w:szCs w:val="20"/>
              </w:rPr>
              <w:t>Questions, critiques and requests regarding use, style of references as well as requests for adding references in S-1 filings</w:t>
            </w:r>
          </w:p>
        </w:tc>
      </w:tr>
      <w:tr w:rsidR="007D241D" w:rsidRPr="00650B21" w14:paraId="5982AAF4" w14:textId="77777777" w:rsidTr="00281C7E">
        <w:tc>
          <w:tcPr>
            <w:tcW w:w="810" w:type="dxa"/>
            <w:vAlign w:val="center"/>
          </w:tcPr>
          <w:p w14:paraId="658CC865" w14:textId="77777777" w:rsidR="007D241D" w:rsidRDefault="007D241D" w:rsidP="00281C7E">
            <w:pPr>
              <w:autoSpaceDE w:val="0"/>
              <w:autoSpaceDN w:val="0"/>
              <w:adjustRightInd w:val="0"/>
              <w:rPr>
                <w:sz w:val="20"/>
                <w:szCs w:val="20"/>
              </w:rPr>
            </w:pPr>
            <w:r>
              <w:rPr>
                <w:sz w:val="20"/>
                <w:szCs w:val="20"/>
              </w:rPr>
              <w:t>F11</w:t>
            </w:r>
          </w:p>
        </w:tc>
        <w:tc>
          <w:tcPr>
            <w:tcW w:w="2171" w:type="dxa"/>
            <w:vAlign w:val="center"/>
          </w:tcPr>
          <w:p w14:paraId="64F0CA38" w14:textId="77777777" w:rsidR="007D241D" w:rsidRDefault="007D241D" w:rsidP="00281C7E">
            <w:pPr>
              <w:autoSpaceDE w:val="0"/>
              <w:autoSpaceDN w:val="0"/>
              <w:adjustRightInd w:val="0"/>
              <w:rPr>
                <w:sz w:val="20"/>
                <w:szCs w:val="20"/>
              </w:rPr>
            </w:pPr>
            <w:r>
              <w:rPr>
                <w:sz w:val="20"/>
                <w:szCs w:val="20"/>
              </w:rPr>
              <w:t>Format</w:t>
            </w:r>
          </w:p>
        </w:tc>
        <w:tc>
          <w:tcPr>
            <w:tcW w:w="6035" w:type="dxa"/>
            <w:vAlign w:val="center"/>
          </w:tcPr>
          <w:p w14:paraId="048ABD09" w14:textId="77777777" w:rsidR="007D241D" w:rsidRDefault="007D241D" w:rsidP="00281C7E">
            <w:pPr>
              <w:autoSpaceDE w:val="0"/>
              <w:autoSpaceDN w:val="0"/>
              <w:adjustRightInd w:val="0"/>
              <w:jc w:val="both"/>
              <w:rPr>
                <w:sz w:val="20"/>
                <w:szCs w:val="20"/>
              </w:rPr>
            </w:pPr>
            <w:r>
              <w:rPr>
                <w:sz w:val="20"/>
                <w:szCs w:val="20"/>
              </w:rPr>
              <w:t xml:space="preserve">Questions, </w:t>
            </w:r>
            <w:proofErr w:type="gramStart"/>
            <w:r>
              <w:rPr>
                <w:sz w:val="20"/>
                <w:szCs w:val="20"/>
              </w:rPr>
              <w:t>critiques</w:t>
            </w:r>
            <w:proofErr w:type="gramEnd"/>
            <w:r>
              <w:rPr>
                <w:sz w:val="20"/>
                <w:szCs w:val="20"/>
              </w:rPr>
              <w:t xml:space="preserve"> and requests regarding pictures, graphic and artworks used in S-1 filing as well as format (design or layout) of financial statements and other disclosure in S-1 filings which is inappropriate or difficult to follow</w:t>
            </w:r>
          </w:p>
        </w:tc>
      </w:tr>
      <w:tr w:rsidR="007D241D" w:rsidRPr="00650B21" w14:paraId="1937E323" w14:textId="77777777" w:rsidTr="00281C7E">
        <w:tc>
          <w:tcPr>
            <w:tcW w:w="2981" w:type="dxa"/>
            <w:gridSpan w:val="2"/>
            <w:vAlign w:val="center"/>
          </w:tcPr>
          <w:p w14:paraId="04E544AF" w14:textId="77777777" w:rsidR="007D241D" w:rsidRDefault="007D241D" w:rsidP="00281C7E">
            <w:pPr>
              <w:autoSpaceDE w:val="0"/>
              <w:autoSpaceDN w:val="0"/>
              <w:adjustRightInd w:val="0"/>
              <w:rPr>
                <w:sz w:val="20"/>
                <w:szCs w:val="20"/>
              </w:rPr>
            </w:pPr>
            <w:r>
              <w:rPr>
                <w:b/>
                <w:bCs/>
                <w:sz w:val="20"/>
                <w:szCs w:val="20"/>
              </w:rPr>
              <w:t>G. Other issues</w:t>
            </w:r>
          </w:p>
        </w:tc>
        <w:tc>
          <w:tcPr>
            <w:tcW w:w="6035" w:type="dxa"/>
            <w:vAlign w:val="center"/>
          </w:tcPr>
          <w:p w14:paraId="6A88B295" w14:textId="77777777" w:rsidR="007D241D" w:rsidRPr="00B64075" w:rsidRDefault="007D241D" w:rsidP="00281C7E">
            <w:pPr>
              <w:autoSpaceDE w:val="0"/>
              <w:autoSpaceDN w:val="0"/>
              <w:adjustRightInd w:val="0"/>
              <w:jc w:val="both"/>
              <w:rPr>
                <w:b/>
                <w:bCs/>
                <w:sz w:val="20"/>
                <w:szCs w:val="20"/>
              </w:rPr>
            </w:pPr>
            <w:r>
              <w:rPr>
                <w:b/>
                <w:bCs/>
                <w:sz w:val="20"/>
                <w:szCs w:val="20"/>
              </w:rPr>
              <w:t>Comments on matters other than those identified above.</w:t>
            </w:r>
          </w:p>
        </w:tc>
      </w:tr>
    </w:tbl>
    <w:p w14:paraId="7AB6418E" w14:textId="252739EC" w:rsidR="00556C20" w:rsidRDefault="00556C20" w:rsidP="003D1FBF"/>
    <w:p w14:paraId="6CE5DA97" w14:textId="48FFB41D" w:rsidR="007C095A" w:rsidRDefault="007C095A" w:rsidP="003D1FBF"/>
    <w:p w14:paraId="14AD8DAF" w14:textId="6121418C" w:rsidR="007C095A" w:rsidRDefault="007C095A" w:rsidP="003D1FBF"/>
    <w:p w14:paraId="53DC82EE" w14:textId="354DEF9A" w:rsidR="007C095A" w:rsidRDefault="007C095A" w:rsidP="003D1FBF"/>
    <w:sectPr w:rsidR="007C095A" w:rsidSect="005D46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CF2D" w14:textId="77777777" w:rsidR="00532128" w:rsidRDefault="00532128" w:rsidP="008204BE">
      <w:r>
        <w:separator/>
      </w:r>
    </w:p>
  </w:endnote>
  <w:endnote w:type="continuationSeparator" w:id="0">
    <w:p w14:paraId="21F131F6" w14:textId="77777777" w:rsidR="00532128" w:rsidRDefault="00532128" w:rsidP="008204BE">
      <w:r>
        <w:continuationSeparator/>
      </w:r>
    </w:p>
  </w:endnote>
  <w:endnote w:type="continuationNotice" w:id="1">
    <w:p w14:paraId="2253C884" w14:textId="77777777" w:rsidR="00532128" w:rsidRDefault="00532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994533"/>
      <w:docPartObj>
        <w:docPartGallery w:val="Page Numbers (Bottom of Page)"/>
        <w:docPartUnique/>
      </w:docPartObj>
    </w:sdtPr>
    <w:sdtEndPr>
      <w:rPr>
        <w:noProof/>
      </w:rPr>
    </w:sdtEndPr>
    <w:sdtContent>
      <w:p w14:paraId="277EBB0D" w14:textId="29BDC89A" w:rsidR="003B569C" w:rsidRDefault="003B56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DAA4EF" w14:textId="77777777" w:rsidR="003B569C" w:rsidRDefault="003B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3ECE" w14:textId="77777777" w:rsidR="00532128" w:rsidRDefault="00532128" w:rsidP="008204BE">
      <w:r>
        <w:separator/>
      </w:r>
    </w:p>
  </w:footnote>
  <w:footnote w:type="continuationSeparator" w:id="0">
    <w:p w14:paraId="10447E84" w14:textId="77777777" w:rsidR="00532128" w:rsidRDefault="00532128" w:rsidP="008204BE">
      <w:r>
        <w:continuationSeparator/>
      </w:r>
    </w:p>
  </w:footnote>
  <w:footnote w:type="continuationNotice" w:id="1">
    <w:p w14:paraId="24518418" w14:textId="77777777" w:rsidR="00532128" w:rsidRDefault="00532128"/>
  </w:footnote>
  <w:footnote w:id="2">
    <w:p w14:paraId="49ADC77F" w14:textId="77777777" w:rsidR="003B569C" w:rsidRDefault="003B569C" w:rsidP="008204BE">
      <w:pPr>
        <w:pStyle w:val="FootnoteText"/>
        <w:jc w:val="both"/>
      </w:pPr>
      <w:r>
        <w:rPr>
          <w:rStyle w:val="FootnoteReference"/>
        </w:rPr>
        <w:footnoteRef/>
      </w:r>
      <w:r>
        <w:t xml:space="preserve"> </w:t>
      </w:r>
      <w:r w:rsidRPr="00176015">
        <w:t>EGC status is afforded to companies having total annual gross revenues less than $1 billion.</w:t>
      </w:r>
    </w:p>
  </w:footnote>
  <w:footnote w:id="3">
    <w:p w14:paraId="2ACB1F7E" w14:textId="70B0173B" w:rsidR="003B569C" w:rsidRDefault="003B569C" w:rsidP="008204BE">
      <w:pPr>
        <w:pStyle w:val="FootnoteText"/>
        <w:jc w:val="both"/>
      </w:pPr>
      <w:r>
        <w:rPr>
          <w:rStyle w:val="FootnoteReference"/>
        </w:rPr>
        <w:footnoteRef/>
      </w:r>
      <w:r>
        <w:t xml:space="preserve"> Given formal EGC status was first introduced under the JOBS Act, we classify IPOs pre and post JOBS enactment as EGC</w:t>
      </w:r>
      <w:r w:rsidR="00844C7F">
        <w:t xml:space="preserve"> </w:t>
      </w:r>
      <w:r>
        <w:t xml:space="preserve">if they satisfy the criterion for EGC status under the JOBS Act </w:t>
      </w:r>
      <w:proofErr w:type="gramStart"/>
      <w:r>
        <w:t>in order to</w:t>
      </w:r>
      <w:proofErr w:type="gramEnd"/>
      <w:r>
        <w:t xml:space="preserve"> enable comparison.</w:t>
      </w:r>
    </w:p>
  </w:footnote>
  <w:footnote w:id="4">
    <w:p w14:paraId="5692FAD8" w14:textId="77777777" w:rsidR="003B569C" w:rsidRDefault="003B569C" w:rsidP="008204BE">
      <w:pPr>
        <w:pStyle w:val="FootnoteText"/>
      </w:pPr>
      <w:r>
        <w:rPr>
          <w:rStyle w:val="FootnoteReference"/>
        </w:rPr>
        <w:footnoteRef/>
      </w:r>
      <w:r>
        <w:t xml:space="preserve"> </w:t>
      </w:r>
      <w:r w:rsidRPr="00250F71">
        <w:t>SEC comment letters were only released publicly as of 12th May 2005.</w:t>
      </w:r>
    </w:p>
  </w:footnote>
  <w:footnote w:id="5">
    <w:p w14:paraId="32752E62" w14:textId="77777777" w:rsidR="003B569C" w:rsidRDefault="003B569C" w:rsidP="008204BE">
      <w:pPr>
        <w:pStyle w:val="FootnoteText"/>
      </w:pPr>
      <w:r>
        <w:rPr>
          <w:rStyle w:val="FootnoteReference"/>
        </w:rPr>
        <w:footnoteRef/>
      </w:r>
      <w:r>
        <w:t xml:space="preserve"> </w:t>
      </w:r>
      <w:hyperlink r:id="rId1" w:history="1">
        <w:r w:rsidRPr="00D8541A">
          <w:rPr>
            <w:rStyle w:val="Hyperlink"/>
          </w:rPr>
          <w:t>https://www.sec.gov/edgar/searchedgar/companysearch.html</w:t>
        </w:r>
      </w:hyperlink>
      <w:r>
        <w:t xml:space="preserve"> </w:t>
      </w:r>
    </w:p>
  </w:footnote>
  <w:footnote w:id="6">
    <w:p w14:paraId="5481254A" w14:textId="1A6E161F" w:rsidR="003B569C" w:rsidRDefault="003B569C" w:rsidP="008204BE">
      <w:pPr>
        <w:pStyle w:val="FootnoteText"/>
        <w:jc w:val="both"/>
      </w:pPr>
      <w:r>
        <w:rPr>
          <w:rStyle w:val="FootnoteReference"/>
        </w:rPr>
        <w:footnoteRef/>
      </w:r>
      <w:r>
        <w:t xml:space="preserve"> </w:t>
      </w:r>
      <w:r w:rsidRPr="008A1B01">
        <w:t xml:space="preserve">We restrict our focus to initial comment letters, </w:t>
      </w:r>
      <w:proofErr w:type="gramStart"/>
      <w:r w:rsidRPr="008A1B01">
        <w:t>i.e.</w:t>
      </w:r>
      <w:proofErr w:type="gramEnd"/>
      <w:r w:rsidRPr="008A1B01">
        <w:t xml:space="preserve"> the first comment letter issued by the SEC for each IPO. We do so to avoid duplication, as subsequent comment letters tend to involve ongoing discussion of issues identified in the in</w:t>
      </w:r>
      <w:r>
        <w:t>i</w:t>
      </w:r>
      <w:r w:rsidRPr="008A1B01">
        <w:t>tial letter and/or merely acknowledg</w:t>
      </w:r>
      <w:r w:rsidR="00DA33EA">
        <w:t>ing</w:t>
      </w:r>
      <w:r w:rsidRPr="008A1B01">
        <w:t xml:space="preserve"> the company’s response.</w:t>
      </w:r>
    </w:p>
  </w:footnote>
  <w:footnote w:id="7">
    <w:p w14:paraId="6C0AEB61" w14:textId="0461318A" w:rsidR="003B569C" w:rsidRPr="0011242C" w:rsidRDefault="003B569C" w:rsidP="00A02888">
      <w:pPr>
        <w:spacing w:before="240" w:after="240"/>
        <w:jc w:val="both"/>
      </w:pPr>
      <w:r w:rsidRPr="0011242C">
        <w:rPr>
          <w:rStyle w:val="FootnoteReference"/>
          <w:sz w:val="20"/>
          <w:szCs w:val="20"/>
        </w:rPr>
        <w:footnoteRef/>
      </w:r>
      <w:r w:rsidRPr="0011242C">
        <w:rPr>
          <w:sz w:val="20"/>
          <w:szCs w:val="20"/>
        </w:rPr>
        <w:t xml:space="preserve"> </w:t>
      </w:r>
      <w:r w:rsidRPr="0011242C">
        <w:rPr>
          <w:rFonts w:eastAsia="Times New Roman"/>
          <w:sz w:val="20"/>
          <w:szCs w:val="20"/>
        </w:rPr>
        <w:t xml:space="preserve">According to </w:t>
      </w:r>
      <w:proofErr w:type="spellStart"/>
      <w:r w:rsidRPr="0011242C">
        <w:rPr>
          <w:rFonts w:eastAsia="Times New Roman"/>
          <w:sz w:val="20"/>
          <w:szCs w:val="20"/>
        </w:rPr>
        <w:t>Ertimur</w:t>
      </w:r>
      <w:proofErr w:type="spellEnd"/>
      <w:r w:rsidRPr="0011242C">
        <w:rPr>
          <w:rFonts w:eastAsia="Times New Roman"/>
          <w:sz w:val="20"/>
          <w:szCs w:val="20"/>
        </w:rPr>
        <w:t xml:space="preserve"> </w:t>
      </w:r>
      <w:r w:rsidR="00091A11">
        <w:rPr>
          <w:rFonts w:eastAsia="Times New Roman"/>
          <w:sz w:val="20"/>
          <w:szCs w:val="20"/>
        </w:rPr>
        <w:t>and</w:t>
      </w:r>
      <w:r w:rsidRPr="0011242C">
        <w:rPr>
          <w:rFonts w:eastAsia="Times New Roman"/>
          <w:sz w:val="20"/>
          <w:szCs w:val="20"/>
        </w:rPr>
        <w:t xml:space="preserve"> </w:t>
      </w:r>
      <w:proofErr w:type="spellStart"/>
      <w:r w:rsidRPr="0011242C">
        <w:rPr>
          <w:rFonts w:eastAsia="Times New Roman"/>
          <w:sz w:val="20"/>
          <w:szCs w:val="20"/>
        </w:rPr>
        <w:t>Nondorf</w:t>
      </w:r>
      <w:proofErr w:type="spellEnd"/>
      <w:r w:rsidRPr="0011242C">
        <w:rPr>
          <w:rFonts w:eastAsia="Times New Roman"/>
          <w:sz w:val="20"/>
          <w:szCs w:val="20"/>
        </w:rPr>
        <w:t xml:space="preserve"> (2006), although this period covers not only the SEC review period but also other events (</w:t>
      </w:r>
      <w:proofErr w:type="gramStart"/>
      <w:r w:rsidRPr="0011242C">
        <w:rPr>
          <w:rFonts w:eastAsia="Times New Roman"/>
          <w:sz w:val="20"/>
          <w:szCs w:val="20"/>
        </w:rPr>
        <w:t>e.g.</w:t>
      </w:r>
      <w:proofErr w:type="gramEnd"/>
      <w:r w:rsidRPr="0011242C">
        <w:rPr>
          <w:rFonts w:eastAsia="Times New Roman"/>
          <w:sz w:val="20"/>
          <w:szCs w:val="20"/>
        </w:rPr>
        <w:t xml:space="preserve"> road shows, execution of underwriting agreement) in the IPO process, it is commonly considered to be a positive function of the extensiveness of SEC reviews. </w:t>
      </w:r>
      <w:proofErr w:type="spellStart"/>
      <w:r w:rsidRPr="0011242C">
        <w:rPr>
          <w:rFonts w:eastAsia="Times New Roman"/>
          <w:sz w:val="20"/>
          <w:szCs w:val="20"/>
        </w:rPr>
        <w:t>Colaco</w:t>
      </w:r>
      <w:proofErr w:type="spellEnd"/>
      <w:r w:rsidRPr="0011242C">
        <w:rPr>
          <w:rFonts w:eastAsia="Times New Roman"/>
          <w:sz w:val="20"/>
          <w:szCs w:val="20"/>
        </w:rPr>
        <w:t xml:space="preserve"> et al. (2018) suggest that IPO duration indicates multiple layers of oversight from regulators.</w:t>
      </w:r>
    </w:p>
  </w:footnote>
  <w:footnote w:id="8">
    <w:p w14:paraId="798070DB" w14:textId="159E9436" w:rsidR="003B569C" w:rsidRDefault="003B569C" w:rsidP="008204BE">
      <w:pPr>
        <w:pStyle w:val="FootnoteText"/>
        <w:jc w:val="both"/>
      </w:pPr>
      <w:r>
        <w:rPr>
          <w:rStyle w:val="FootnoteReference"/>
        </w:rPr>
        <w:footnoteRef/>
      </w:r>
      <w:r>
        <w:t xml:space="preserve"> </w:t>
      </w:r>
      <w:r w:rsidR="00751FA8">
        <w:t>T</w:t>
      </w:r>
      <w:r w:rsidR="0088146B">
        <w:t>he n</w:t>
      </w:r>
      <w:r w:rsidRPr="0059083A">
        <w:t xml:space="preserve">egative binomial regression </w:t>
      </w:r>
      <w:r w:rsidR="0088146B">
        <w:t xml:space="preserve">method is employed </w:t>
      </w:r>
      <w:r w:rsidRPr="0059083A">
        <w:t xml:space="preserve">since </w:t>
      </w:r>
      <w:r>
        <w:t xml:space="preserve">the </w:t>
      </w:r>
      <w:r w:rsidRPr="0059083A">
        <w:t>dependent variables are discrete, i.e.</w:t>
      </w:r>
      <w:r w:rsidR="00E23000">
        <w:t>,</w:t>
      </w:r>
      <w:r w:rsidRPr="0059083A">
        <w:t xml:space="preserve"> t</w:t>
      </w:r>
      <w:r>
        <w:t>hey are counts of the number of</w:t>
      </w:r>
      <w:r w:rsidRPr="0059083A">
        <w:t xml:space="preserve"> days in the IPO process; comment letters; comments; and themes. According to Rock et al. (2000), </w:t>
      </w:r>
      <w:r w:rsidR="00E23000">
        <w:t>it</w:t>
      </w:r>
      <w:r w:rsidR="00E23000" w:rsidRPr="0059083A">
        <w:t xml:space="preserve"> </w:t>
      </w:r>
      <w:r w:rsidRPr="0059083A">
        <w:t>would be statistically problematic if discrete and countable variables are employed as independent variables within conventional OLS regressions. Negative binomial regression outperforms other methods in estimating cross-sectional regression on discrete-count dependent variables.</w:t>
      </w:r>
      <w:r>
        <w:t xml:space="preserve"> Moreover, the distributions of SEC review attributes display signs of overdispersion since these variables have variances that are greater than their mean</w:t>
      </w:r>
      <w:r>
        <w:rPr>
          <w:i/>
        </w:rPr>
        <w:t xml:space="preserve"> </w:t>
      </w:r>
      <w:r>
        <w:t>values, which does not satisfy the assumption</w:t>
      </w:r>
      <w:r w:rsidR="00140FFF">
        <w:t>s</w:t>
      </w:r>
      <w:r>
        <w:t xml:space="preserve"> of Poisson regression. The alpha parameters from likelihood tests of </w:t>
      </w:r>
      <w:r w:rsidRPr="009A013C">
        <w:t xml:space="preserve">overdispersion </w:t>
      </w:r>
      <w:r>
        <w:t xml:space="preserve">also demonstrate that </w:t>
      </w:r>
      <w:r w:rsidRPr="00C40F0B">
        <w:t>negative binomial regression</w:t>
      </w:r>
      <w:r>
        <w:t xml:space="preserve">s are more appropriate than Poisson regressions </w:t>
      </w:r>
      <w:r w:rsidR="0080428A">
        <w:t>due to</w:t>
      </w:r>
      <w:r>
        <w:t xml:space="preserve"> overdispersion.</w:t>
      </w:r>
    </w:p>
  </w:footnote>
  <w:footnote w:id="9">
    <w:p w14:paraId="5D6073D5" w14:textId="77777777" w:rsidR="0082582B" w:rsidRPr="0096743B" w:rsidRDefault="0082582B" w:rsidP="0082582B">
      <w:pPr>
        <w:pStyle w:val="FootnoteText"/>
        <w:jc w:val="both"/>
        <w:rPr>
          <w:i/>
          <w:iCs/>
        </w:rPr>
      </w:pPr>
      <w:r>
        <w:rPr>
          <w:rStyle w:val="FootnoteReference"/>
        </w:rPr>
        <w:footnoteRef/>
      </w:r>
      <w:r>
        <w:t xml:space="preserve"> </w:t>
      </w:r>
      <w:r w:rsidRPr="002A0CE6">
        <w:t xml:space="preserve">The results remain consistent if </w:t>
      </w:r>
      <w:r>
        <w:t xml:space="preserve">Eq. (2) </w:t>
      </w:r>
      <w:r w:rsidRPr="002A0CE6">
        <w:t xml:space="preserve">includes the variable </w:t>
      </w:r>
      <w:r w:rsidRPr="0096743B">
        <w:rPr>
          <w:i/>
          <w:iCs/>
        </w:rPr>
        <w:t>sales growth</w:t>
      </w:r>
      <w:r w:rsidRPr="002A0CE6">
        <w:t xml:space="preserve">, which equals the percentage change in annual sales of firm </w:t>
      </w:r>
      <w:proofErr w:type="spellStart"/>
      <w:r w:rsidRPr="002A0CE6">
        <w:t>i</w:t>
      </w:r>
      <w:proofErr w:type="spellEnd"/>
      <w:r w:rsidRPr="002A0CE6">
        <w:t xml:space="preserve"> from year t-2 to year </w:t>
      </w:r>
      <w:proofErr w:type="spellStart"/>
      <w:r w:rsidRPr="002A0CE6">
        <w:t>t</w:t>
      </w:r>
      <w:proofErr w:type="spellEnd"/>
      <w:r w:rsidRPr="002A0CE6">
        <w:t xml:space="preserve"> -1. However, due to limited data availability, sales growth is omitted from the model</w:t>
      </w:r>
      <w:r>
        <w:rPr>
          <w:i/>
          <w:iCs/>
        </w:rPr>
        <w:t>.</w:t>
      </w:r>
    </w:p>
  </w:footnote>
  <w:footnote w:id="10">
    <w:p w14:paraId="744912B9" w14:textId="18A5FB6A" w:rsidR="003B569C" w:rsidRDefault="003B569C" w:rsidP="00A02888">
      <w:pPr>
        <w:pStyle w:val="FootnoteText"/>
        <w:jc w:val="both"/>
      </w:pPr>
      <w:r>
        <w:rPr>
          <w:rStyle w:val="FootnoteReference"/>
        </w:rPr>
        <w:footnoteRef/>
      </w:r>
      <w:r>
        <w:t xml:space="preserve"> </w:t>
      </w:r>
      <w:r>
        <w:rPr>
          <w:rFonts w:eastAsia="Times New Roman"/>
        </w:rPr>
        <w:t>As a result of a rise in</w:t>
      </w:r>
      <w:r w:rsidRPr="007B5EF7">
        <w:rPr>
          <w:rFonts w:eastAsia="Times New Roman"/>
        </w:rPr>
        <w:t xml:space="preserve"> the volume of IPOs</w:t>
      </w:r>
      <w:r>
        <w:rPr>
          <w:rFonts w:eastAsia="Times New Roman"/>
        </w:rPr>
        <w:t>,</w:t>
      </w:r>
      <w:r w:rsidRPr="007B5EF7">
        <w:rPr>
          <w:rFonts w:eastAsia="Times New Roman"/>
        </w:rPr>
        <w:t xml:space="preserve"> SEC staff may </w:t>
      </w:r>
      <w:r>
        <w:rPr>
          <w:rFonts w:eastAsia="Times New Roman"/>
        </w:rPr>
        <w:t>become</w:t>
      </w:r>
      <w:r w:rsidRPr="007B5EF7">
        <w:rPr>
          <w:rFonts w:eastAsia="Times New Roman"/>
        </w:rPr>
        <w:t xml:space="preserve"> too busy to adequately handle/monitor the </w:t>
      </w:r>
      <w:r>
        <w:rPr>
          <w:rFonts w:eastAsia="Times New Roman"/>
        </w:rPr>
        <w:t>each individual</w:t>
      </w:r>
      <w:r w:rsidRPr="007B5EF7">
        <w:rPr>
          <w:rFonts w:eastAsia="Times New Roman"/>
        </w:rPr>
        <w:t xml:space="preserve"> IPOs.</w:t>
      </w:r>
      <w:r>
        <w:rPr>
          <w:rFonts w:eastAsia="Times New Roman"/>
        </w:rPr>
        <w:t xml:space="preserve"> </w:t>
      </w:r>
      <w:r>
        <w:rPr>
          <w:rFonts w:eastAsia="Times New Roman"/>
        </w:rPr>
        <w:fldChar w:fldCharType="begin" w:fldLock="1"/>
      </w:r>
      <w:r>
        <w:rPr>
          <w:rFonts w:eastAsia="Times New Roman"/>
        </w:rPr>
        <w:instrText>ADDIN CSL_CITATION {"citationItems":[{"id":"ITEM-1","itemData":{"DOI":"10.2139/ssrn.3793477","ISBN":"0000000000","author":[{"dropping-particle":"","family":"Köchling","given":"G.","non-dropping-particle":"","parse-names":false,"suffix":""},{"dropping-particle":"","family":"Schmidtke","given":"P.","non-dropping-particle":"","parse-names":false,"suffix":""},{"dropping-particle":"","family":"Posch","given":"P. N.","non-dropping-particle":"","parse-names":false,"suffix":""}],"container-title":"Working paper","id":"ITEM-1","issued":{"date-parts":[["2021"]]},"title":"SEC Workload, IPO Filing Reviews, and IPO Pricing","type":"article-journal"},"uris":["http://www.mendeley.com/documents/?uuid=187287d7-4883-4aa9-8059-9fd5a07ea418"]}],"mendeley":{"formattedCitation":"(Köchling, Schmidtke, &amp; Posch, 2021)","manualFormatting":"Köchling et al. (2021)","plainTextFormattedCitation":"(Köchling, Schmidtke, &amp; Posch, 2021)"},"properties":{"noteIndex":0},"schema":"https://github.com/citation-style-language/schema/raw/master/csl-citation.json"}</w:instrText>
      </w:r>
      <w:r>
        <w:rPr>
          <w:rFonts w:eastAsia="Times New Roman"/>
        </w:rPr>
        <w:fldChar w:fldCharType="separate"/>
      </w:r>
      <w:r w:rsidRPr="007B5EF7">
        <w:rPr>
          <w:rFonts w:eastAsia="Times New Roman"/>
          <w:noProof/>
        </w:rPr>
        <w:t>Köchling</w:t>
      </w:r>
      <w:r>
        <w:rPr>
          <w:rFonts w:eastAsia="Times New Roman"/>
          <w:noProof/>
        </w:rPr>
        <w:t xml:space="preserve"> et al. (</w:t>
      </w:r>
      <w:r w:rsidRPr="007B5EF7">
        <w:rPr>
          <w:rFonts w:eastAsia="Times New Roman"/>
          <w:noProof/>
        </w:rPr>
        <w:t>2021)</w:t>
      </w:r>
      <w:r>
        <w:rPr>
          <w:rFonts w:eastAsia="Times New Roman"/>
        </w:rPr>
        <w:fldChar w:fldCharType="end"/>
      </w:r>
      <w:r>
        <w:rPr>
          <w:rFonts w:eastAsia="Times New Roman"/>
        </w:rPr>
        <w:t xml:space="preserve"> identify</w:t>
      </w:r>
      <w:r w:rsidRPr="002539BB">
        <w:t xml:space="preserve"> </w:t>
      </w:r>
      <w:r>
        <w:t xml:space="preserve">that </w:t>
      </w:r>
      <w:r>
        <w:rPr>
          <w:rFonts w:eastAsia="Times New Roman"/>
        </w:rPr>
        <w:t>h</w:t>
      </w:r>
      <w:r w:rsidRPr="002539BB">
        <w:rPr>
          <w:rFonts w:eastAsia="Times New Roman"/>
        </w:rPr>
        <w:t xml:space="preserve">igh workload </w:t>
      </w:r>
      <w:r>
        <w:rPr>
          <w:rFonts w:eastAsia="Times New Roman"/>
        </w:rPr>
        <w:t>results in</w:t>
      </w:r>
      <w:r w:rsidRPr="002539BB">
        <w:rPr>
          <w:rFonts w:eastAsia="Times New Roman"/>
        </w:rPr>
        <w:t xml:space="preserve"> fewer total comments </w:t>
      </w:r>
      <w:r>
        <w:rPr>
          <w:rFonts w:eastAsia="Times New Roman"/>
        </w:rPr>
        <w:t>in</w:t>
      </w:r>
      <w:r w:rsidRPr="002539BB">
        <w:rPr>
          <w:rFonts w:eastAsia="Times New Roman"/>
        </w:rPr>
        <w:t xml:space="preserve"> subsequent </w:t>
      </w:r>
      <w:r>
        <w:rPr>
          <w:rFonts w:eastAsia="Times New Roman"/>
        </w:rPr>
        <w:t xml:space="preserve">comment </w:t>
      </w:r>
      <w:r w:rsidRPr="002539BB">
        <w:rPr>
          <w:rFonts w:eastAsia="Times New Roman"/>
        </w:rPr>
        <w:t xml:space="preserve">letters, and the SEC issue comment letters more quickly </w:t>
      </w:r>
      <w:r>
        <w:rPr>
          <w:rFonts w:eastAsia="Times New Roman"/>
        </w:rPr>
        <w:t>during</w:t>
      </w:r>
      <w:r w:rsidRPr="002539BB">
        <w:rPr>
          <w:rFonts w:eastAsia="Times New Roman"/>
        </w:rPr>
        <w:t xml:space="preserve"> busy</w:t>
      </w:r>
      <w:r>
        <w:rPr>
          <w:rFonts w:eastAsia="Times New Roman"/>
        </w:rPr>
        <w:t xml:space="preserve"> periods</w:t>
      </w:r>
      <w:r w:rsidRPr="002539BB">
        <w:rPr>
          <w:rFonts w:eastAsia="Times New Roman"/>
        </w:rPr>
        <w:t>.</w:t>
      </w:r>
      <w:r>
        <w:rPr>
          <w:rFonts w:eastAsia="Times New Roman"/>
        </w:rPr>
        <w:t xml:space="preserve"> This study uses two-digit SIC code industry to group the number-of-IPOs deciles as </w:t>
      </w:r>
      <w:r w:rsidRPr="00BC2874">
        <w:rPr>
          <w:rFonts w:eastAsia="Times New Roman"/>
        </w:rPr>
        <w:t>S-1 filings are assigned to SEC reviewers bas</w:t>
      </w:r>
      <w:r>
        <w:rPr>
          <w:rFonts w:eastAsia="Times New Roman"/>
        </w:rPr>
        <w:t>ed</w:t>
      </w:r>
      <w:r w:rsidRPr="00BC2874">
        <w:rPr>
          <w:rFonts w:eastAsia="Times New Roman"/>
        </w:rPr>
        <w:t xml:space="preserve"> on the SIC code industry</w:t>
      </w:r>
      <w:r>
        <w:rPr>
          <w:rFonts w:eastAsia="Times New Roman"/>
        </w:rPr>
        <w:t>.</w:t>
      </w:r>
    </w:p>
  </w:footnote>
  <w:footnote w:id="11">
    <w:p w14:paraId="67F0F279" w14:textId="55FD26F5" w:rsidR="003B569C" w:rsidRDefault="003B569C" w:rsidP="00A02888">
      <w:pPr>
        <w:pStyle w:val="FootnoteText"/>
        <w:jc w:val="both"/>
      </w:pPr>
      <w:r>
        <w:rPr>
          <w:rStyle w:val="FootnoteReference"/>
        </w:rPr>
        <w:footnoteRef/>
      </w:r>
      <w:r>
        <w:t xml:space="preserve"> </w:t>
      </w:r>
      <w:r>
        <w:rPr>
          <w:rFonts w:eastAsia="Times New Roman"/>
        </w:rPr>
        <w:t xml:space="preserve">Data on underwriters </w:t>
      </w:r>
      <w:r w:rsidRPr="007203EE">
        <w:rPr>
          <w:rFonts w:eastAsia="Times New Roman"/>
        </w:rPr>
        <w:t xml:space="preserve">is </w:t>
      </w:r>
      <w:r>
        <w:rPr>
          <w:rFonts w:eastAsia="Times New Roman"/>
        </w:rPr>
        <w:t xml:space="preserve">obtained </w:t>
      </w:r>
      <w:r w:rsidRPr="007203EE">
        <w:rPr>
          <w:rFonts w:eastAsia="Times New Roman"/>
        </w:rPr>
        <w:t xml:space="preserve">from </w:t>
      </w:r>
      <w:r>
        <w:rPr>
          <w:rFonts w:eastAsia="Times New Roman"/>
        </w:rPr>
        <w:t>Refinitiv</w:t>
      </w:r>
      <w:r w:rsidRPr="007203EE">
        <w:rPr>
          <w:rFonts w:eastAsia="Times New Roman"/>
        </w:rPr>
        <w:t xml:space="preserve"> Eikon</w:t>
      </w:r>
      <w:r>
        <w:rPr>
          <w:rFonts w:eastAsia="Times New Roman"/>
        </w:rPr>
        <w:t>.</w:t>
      </w:r>
      <w:r w:rsidRPr="007203EE">
        <w:rPr>
          <w:rFonts w:eastAsia="Times New Roman"/>
        </w:rPr>
        <w:t xml:space="preserve"> </w:t>
      </w:r>
      <w:r>
        <w:rPr>
          <w:rFonts w:eastAsia="Times New Roman"/>
        </w:rPr>
        <w:t xml:space="preserve">Where data are not available, they are </w:t>
      </w:r>
      <w:r w:rsidRPr="007203EE">
        <w:rPr>
          <w:rFonts w:eastAsia="Times New Roman"/>
        </w:rPr>
        <w:t>hand collected from S-1 filings</w:t>
      </w:r>
      <w:r>
        <w:rPr>
          <w:rFonts w:eastAsia="Times New Roman"/>
        </w:rPr>
        <w:t>.</w:t>
      </w:r>
    </w:p>
  </w:footnote>
  <w:footnote w:id="12">
    <w:p w14:paraId="3ADFA58D" w14:textId="77777777" w:rsidR="004F7898" w:rsidRPr="00EC6051" w:rsidRDefault="004F7898" w:rsidP="004F7898">
      <w:pPr>
        <w:pStyle w:val="FootnoteText"/>
        <w:jc w:val="both"/>
        <w:rPr>
          <w:lang w:val="en-US"/>
        </w:rPr>
      </w:pPr>
      <w:r>
        <w:rPr>
          <w:rStyle w:val="FootnoteReference"/>
        </w:rPr>
        <w:footnoteRef/>
      </w:r>
      <w:r>
        <w:t xml:space="preserve"> Even though the JOBS Act relaxed many reporting requirements of IPO registration statement, S-1 size appears to increase after the Act. We conduct a test on a </w:t>
      </w:r>
      <w:r>
        <w:rPr>
          <w:rFonts w:eastAsia="Times New Roman"/>
        </w:rPr>
        <w:t xml:space="preserve">random sample of 130 firms and observed that </w:t>
      </w:r>
      <w:r>
        <w:t>t</w:t>
      </w:r>
      <w:r w:rsidRPr="00E84FA3">
        <w:t>he increase in S-1 filings size is derived from the increase in non-text</w:t>
      </w:r>
      <w:r>
        <w:t>ual</w:t>
      </w:r>
      <w:r w:rsidRPr="00E84FA3">
        <w:t xml:space="preserve"> content (</w:t>
      </w:r>
      <w:proofErr w:type="gramStart"/>
      <w:r w:rsidRPr="00E84FA3">
        <w:t>e.g.</w:t>
      </w:r>
      <w:proofErr w:type="gramEnd"/>
      <w:r w:rsidRPr="00E84FA3">
        <w:t xml:space="preserve"> exhibits, graphic, html).</w:t>
      </w:r>
      <w:r>
        <w:t xml:space="preserve"> Therefore, a note of caution should be provided when comparing S1 size over time.</w:t>
      </w:r>
    </w:p>
  </w:footnote>
  <w:footnote w:id="13">
    <w:p w14:paraId="26691461" w14:textId="3A30C5AB" w:rsidR="003B569C" w:rsidRDefault="003B569C" w:rsidP="008204BE">
      <w:pPr>
        <w:pStyle w:val="FootnoteText"/>
        <w:jc w:val="both"/>
      </w:pPr>
      <w:r>
        <w:rPr>
          <w:rStyle w:val="FootnoteReference"/>
        </w:rPr>
        <w:footnoteRef/>
      </w:r>
      <w:r>
        <w:t xml:space="preserve"> </w:t>
      </w:r>
      <w:r w:rsidRPr="00871D1B">
        <w:t xml:space="preserve">The </w:t>
      </w:r>
      <w:r w:rsidRPr="0048358D">
        <w:t xml:space="preserve">marginal </w:t>
      </w:r>
      <w:proofErr w:type="gramStart"/>
      <w:r w:rsidRPr="0048358D">
        <w:t>effects</w:t>
      </w:r>
      <w:proofErr w:type="gramEnd"/>
      <w:r w:rsidRPr="00871D1B">
        <w:t xml:space="preserve"> of a negative binomial regression is </w:t>
      </w:r>
      <w:r w:rsidRPr="0048358D">
        <w:t xml:space="preserve">calculated as described by </w:t>
      </w:r>
      <w:proofErr w:type="spellStart"/>
      <w:r w:rsidRPr="0048358D">
        <w:t>Hilbe</w:t>
      </w:r>
      <w:proofErr w:type="spellEnd"/>
      <w:r w:rsidRPr="0048358D">
        <w:t xml:space="preserve"> (2011</w:t>
      </w:r>
      <w:r w:rsidRPr="00871D1B">
        <w:t>)</w:t>
      </w:r>
      <w:r>
        <w:t xml:space="preserve">. </w:t>
      </w:r>
      <w:r w:rsidR="00BC0E96">
        <w:t>I</w:t>
      </w:r>
      <w:r w:rsidR="00BC0E96" w:rsidRPr="00470EAF">
        <w:t xml:space="preserve">n </w:t>
      </w:r>
      <w:r w:rsidRPr="00470EAF">
        <w:t>negative binomial regres</w:t>
      </w:r>
      <w:r>
        <w:t>sion</w:t>
      </w:r>
      <w:r w:rsidR="00602D42">
        <w:t>s</w:t>
      </w:r>
      <w:r>
        <w:t xml:space="preserve">, </w:t>
      </w:r>
      <w:r w:rsidRPr="0048358D">
        <w:t>the coefficient on an independent variable reflects a unit change in the log of the expected count of the dependent variable when the independent variable changes by one unit</w:t>
      </w:r>
      <w:r>
        <w:t>.</w:t>
      </w:r>
    </w:p>
  </w:footnote>
  <w:footnote w:id="14">
    <w:p w14:paraId="4E09976E" w14:textId="62B2AA3D" w:rsidR="003B569C" w:rsidRPr="0070053D" w:rsidRDefault="003B569C" w:rsidP="0070053D">
      <w:pPr>
        <w:pStyle w:val="FootnoteText"/>
        <w:jc w:val="both"/>
        <w:rPr>
          <w:lang w:val="en-US"/>
        </w:rPr>
      </w:pPr>
      <w:r>
        <w:rPr>
          <w:rStyle w:val="FootnoteReference"/>
        </w:rPr>
        <w:footnoteRef/>
      </w:r>
      <w:r>
        <w:t xml:space="preserve"> </w:t>
      </w:r>
      <w:proofErr w:type="spellStart"/>
      <w:r>
        <w:rPr>
          <w:lang w:val="en-US"/>
        </w:rPr>
        <w:t>Untabulated</w:t>
      </w:r>
      <w:proofErr w:type="spellEnd"/>
      <w:r>
        <w:rPr>
          <w:lang w:val="en-US"/>
        </w:rPr>
        <w:t xml:space="preserve"> marginal effects shows the coefficients on </w:t>
      </w:r>
      <w:r>
        <w:rPr>
          <w:i/>
          <w:iCs/>
          <w:lang w:val="en-US"/>
        </w:rPr>
        <w:t xml:space="preserve">JOBS Act*Herfindahl index </w:t>
      </w:r>
      <w:r>
        <w:rPr>
          <w:lang w:val="en-US"/>
        </w:rPr>
        <w:t>in model (2), (3) and (4) are 1.38, 34.29 and 1.95, respectively.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D0A"/>
    <w:multiLevelType w:val="hybridMultilevel"/>
    <w:tmpl w:val="79427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D96394"/>
    <w:multiLevelType w:val="multilevel"/>
    <w:tmpl w:val="B6242CA4"/>
    <w:lvl w:ilvl="0">
      <w:start w:val="1"/>
      <w:numFmt w:val="decimal"/>
      <w:lvlText w:val="%1."/>
      <w:lvlJc w:val="left"/>
      <w:pPr>
        <w:ind w:left="720" w:hanging="360"/>
      </w:pPr>
      <w:rPr>
        <w:rFonts w:eastAsia="Times New Roman" w:hint="default"/>
        <w:b/>
        <w:sz w:val="24"/>
      </w:rPr>
    </w:lvl>
    <w:lvl w:ilvl="1">
      <w:start w:val="1"/>
      <w:numFmt w:val="decimal"/>
      <w:isLgl/>
      <w:lvlText w:val="%1.%2."/>
      <w:lvlJc w:val="left"/>
      <w:pPr>
        <w:ind w:left="720" w:hanging="360"/>
      </w:pPr>
      <w:rPr>
        <w:rFonts w:eastAsia="Times New Roman" w:hint="default"/>
        <w:b/>
        <w:sz w:val="24"/>
      </w:rPr>
    </w:lvl>
    <w:lvl w:ilvl="2">
      <w:start w:val="1"/>
      <w:numFmt w:val="decimal"/>
      <w:isLgl/>
      <w:lvlText w:val="%1.%2.%3."/>
      <w:lvlJc w:val="left"/>
      <w:pPr>
        <w:ind w:left="1080" w:hanging="720"/>
      </w:pPr>
      <w:rPr>
        <w:rFonts w:eastAsia="Times New Roman" w:hint="default"/>
        <w:b/>
        <w:sz w:val="24"/>
      </w:rPr>
    </w:lvl>
    <w:lvl w:ilvl="3">
      <w:start w:val="1"/>
      <w:numFmt w:val="decimal"/>
      <w:isLgl/>
      <w:lvlText w:val="%1.%2.%3.%4."/>
      <w:lvlJc w:val="left"/>
      <w:pPr>
        <w:ind w:left="1080" w:hanging="720"/>
      </w:pPr>
      <w:rPr>
        <w:rFonts w:eastAsia="Times New Roman" w:hint="default"/>
        <w:b/>
        <w:sz w:val="24"/>
      </w:rPr>
    </w:lvl>
    <w:lvl w:ilvl="4">
      <w:start w:val="1"/>
      <w:numFmt w:val="decimal"/>
      <w:isLgl/>
      <w:lvlText w:val="%1.%2.%3.%4.%5."/>
      <w:lvlJc w:val="left"/>
      <w:pPr>
        <w:ind w:left="1440" w:hanging="1080"/>
      </w:pPr>
      <w:rPr>
        <w:rFonts w:eastAsia="Times New Roman" w:hint="default"/>
        <w:b/>
        <w:sz w:val="24"/>
      </w:rPr>
    </w:lvl>
    <w:lvl w:ilvl="5">
      <w:start w:val="1"/>
      <w:numFmt w:val="decimal"/>
      <w:isLgl/>
      <w:lvlText w:val="%1.%2.%3.%4.%5.%6."/>
      <w:lvlJc w:val="left"/>
      <w:pPr>
        <w:ind w:left="1440" w:hanging="1080"/>
      </w:pPr>
      <w:rPr>
        <w:rFonts w:eastAsia="Times New Roman" w:hint="default"/>
        <w:b/>
        <w:sz w:val="24"/>
      </w:rPr>
    </w:lvl>
    <w:lvl w:ilvl="6">
      <w:start w:val="1"/>
      <w:numFmt w:val="decimal"/>
      <w:isLgl/>
      <w:lvlText w:val="%1.%2.%3.%4.%5.%6.%7."/>
      <w:lvlJc w:val="left"/>
      <w:pPr>
        <w:ind w:left="1440" w:hanging="1080"/>
      </w:pPr>
      <w:rPr>
        <w:rFonts w:eastAsia="Times New Roman" w:hint="default"/>
        <w:b/>
        <w:sz w:val="24"/>
      </w:rPr>
    </w:lvl>
    <w:lvl w:ilvl="7">
      <w:start w:val="1"/>
      <w:numFmt w:val="decimal"/>
      <w:isLgl/>
      <w:lvlText w:val="%1.%2.%3.%4.%5.%6.%7.%8."/>
      <w:lvlJc w:val="left"/>
      <w:pPr>
        <w:ind w:left="1800" w:hanging="1440"/>
      </w:pPr>
      <w:rPr>
        <w:rFonts w:eastAsia="Times New Roman" w:hint="default"/>
        <w:b/>
        <w:sz w:val="24"/>
      </w:rPr>
    </w:lvl>
    <w:lvl w:ilvl="8">
      <w:start w:val="1"/>
      <w:numFmt w:val="decimal"/>
      <w:isLgl/>
      <w:lvlText w:val="%1.%2.%3.%4.%5.%6.%7.%8.%9."/>
      <w:lvlJc w:val="left"/>
      <w:pPr>
        <w:ind w:left="1800" w:hanging="1440"/>
      </w:pPr>
      <w:rPr>
        <w:rFonts w:eastAsia="Times New Roman" w:hint="default"/>
        <w:b/>
        <w:sz w:val="24"/>
      </w:rPr>
    </w:lvl>
  </w:abstractNum>
  <w:abstractNum w:abstractNumId="2" w15:restartNumberingAfterBreak="0">
    <w:nsid w:val="080A2154"/>
    <w:multiLevelType w:val="hybridMultilevel"/>
    <w:tmpl w:val="5CFE00D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94919"/>
    <w:multiLevelType w:val="hybridMultilevel"/>
    <w:tmpl w:val="F8964F5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 w15:restartNumberingAfterBreak="0">
    <w:nsid w:val="0C4852D7"/>
    <w:multiLevelType w:val="multilevel"/>
    <w:tmpl w:val="6D164696"/>
    <w:lvl w:ilvl="0">
      <w:start w:val="2"/>
      <w:numFmt w:val="decimal"/>
      <w:lvlText w:val="%1."/>
      <w:lvlJc w:val="left"/>
      <w:pPr>
        <w:ind w:left="360" w:hanging="360"/>
      </w:pPr>
      <w:rPr>
        <w:rFonts w:hint="default"/>
      </w:rPr>
    </w:lvl>
    <w:lvl w:ilvl="1">
      <w:start w:val="1"/>
      <w:numFmt w:val="decimal"/>
      <w:lvlText w:val="%1.%2."/>
      <w:lvlJc w:val="left"/>
      <w:pPr>
        <w:ind w:left="4590" w:hanging="360"/>
      </w:pPr>
      <w:rPr>
        <w:rFonts w:hint="default"/>
        <w:color w:val="000000" w:themeColor="text1"/>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381067"/>
    <w:multiLevelType w:val="hybridMultilevel"/>
    <w:tmpl w:val="D2606C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0F0A2D"/>
    <w:multiLevelType w:val="hybridMultilevel"/>
    <w:tmpl w:val="0F687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069DC"/>
    <w:multiLevelType w:val="multilevel"/>
    <w:tmpl w:val="76A29DFC"/>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4265"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D5150A"/>
    <w:multiLevelType w:val="multilevel"/>
    <w:tmpl w:val="6D164696"/>
    <w:lvl w:ilvl="0">
      <w:start w:val="2"/>
      <w:numFmt w:val="decimal"/>
      <w:lvlText w:val="%1."/>
      <w:lvlJc w:val="left"/>
      <w:pPr>
        <w:ind w:left="360" w:hanging="360"/>
      </w:pPr>
      <w:rPr>
        <w:rFonts w:hint="default"/>
      </w:rPr>
    </w:lvl>
    <w:lvl w:ilvl="1">
      <w:start w:val="1"/>
      <w:numFmt w:val="decimal"/>
      <w:lvlText w:val="%1.%2."/>
      <w:lvlJc w:val="left"/>
      <w:pPr>
        <w:ind w:left="4590" w:hanging="360"/>
      </w:pPr>
      <w:rPr>
        <w:rFonts w:hint="default"/>
        <w:color w:val="000000" w:themeColor="text1"/>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FA2A75"/>
    <w:multiLevelType w:val="hybridMultilevel"/>
    <w:tmpl w:val="47B2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27029"/>
    <w:multiLevelType w:val="hybridMultilevel"/>
    <w:tmpl w:val="7496179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5104AA"/>
    <w:multiLevelType w:val="multilevel"/>
    <w:tmpl w:val="1A7C4D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341732"/>
    <w:multiLevelType w:val="hybridMultilevel"/>
    <w:tmpl w:val="7882A614"/>
    <w:lvl w:ilvl="0" w:tplc="2032A8BA">
      <w:start w:val="90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CB5A5B"/>
    <w:multiLevelType w:val="hybridMultilevel"/>
    <w:tmpl w:val="296C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E56F9"/>
    <w:multiLevelType w:val="hybridMultilevel"/>
    <w:tmpl w:val="C3CAB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56290E"/>
    <w:multiLevelType w:val="multilevel"/>
    <w:tmpl w:val="CBE6C472"/>
    <w:lvl w:ilvl="0">
      <w:start w:val="1"/>
      <w:numFmt w:val="decimal"/>
      <w:lvlText w:val="%1."/>
      <w:lvlJc w:val="left"/>
      <w:pPr>
        <w:ind w:left="360" w:hanging="360"/>
      </w:pPr>
      <w:rPr>
        <w:rFonts w:hint="default"/>
      </w:rPr>
    </w:lvl>
    <w:lvl w:ilvl="1">
      <w:start w:val="3"/>
      <w:numFmt w:val="decimal"/>
      <w:lvlText w:val="%1.%2."/>
      <w:lvlJc w:val="left"/>
      <w:pPr>
        <w:ind w:left="1430" w:hanging="360"/>
      </w:pPr>
      <w:rPr>
        <w:rFonts w:hint="default"/>
        <w:color w:val="000000" w:themeColor="text1"/>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15:restartNumberingAfterBreak="0">
    <w:nsid w:val="25E86482"/>
    <w:multiLevelType w:val="multilevel"/>
    <w:tmpl w:val="D5885EE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b/>
        <w:bCs/>
        <w:color w:val="000000" w:themeColor="text1"/>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D1A6DB4"/>
    <w:multiLevelType w:val="multilevel"/>
    <w:tmpl w:val="C28E7AA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2328" w:hanging="1800"/>
      </w:pPr>
    </w:lvl>
  </w:abstractNum>
  <w:abstractNum w:abstractNumId="18" w15:restartNumberingAfterBreak="0">
    <w:nsid w:val="2E356224"/>
    <w:multiLevelType w:val="hybridMultilevel"/>
    <w:tmpl w:val="0A0246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ED4F37"/>
    <w:multiLevelType w:val="hybridMultilevel"/>
    <w:tmpl w:val="53EAB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723705"/>
    <w:multiLevelType w:val="hybridMultilevel"/>
    <w:tmpl w:val="139A4F1C"/>
    <w:lvl w:ilvl="0" w:tplc="6E08AB6C">
      <w:start w:val="1"/>
      <w:numFmt w:val="decimal"/>
      <w:lvlText w:val="%1."/>
      <w:lvlJc w:val="left"/>
      <w:pPr>
        <w:ind w:left="840" w:hanging="720"/>
        <w:jc w:val="right"/>
      </w:pPr>
      <w:rPr>
        <w:rFonts w:ascii="Times New Roman" w:eastAsia="Times New Roman" w:hAnsi="Times New Roman" w:cs="Times New Roman" w:hint="default"/>
        <w:spacing w:val="-2"/>
        <w:w w:val="99"/>
        <w:sz w:val="24"/>
        <w:szCs w:val="24"/>
        <w:lang w:val="en-US" w:eastAsia="en-US" w:bidi="ar-SA"/>
      </w:rPr>
    </w:lvl>
    <w:lvl w:ilvl="1" w:tplc="F1AE61C4">
      <w:numFmt w:val="bullet"/>
      <w:lvlText w:val="•"/>
      <w:lvlJc w:val="left"/>
      <w:pPr>
        <w:ind w:left="1642" w:hanging="720"/>
      </w:pPr>
      <w:rPr>
        <w:rFonts w:hint="default"/>
        <w:lang w:val="en-US" w:eastAsia="en-US" w:bidi="ar-SA"/>
      </w:rPr>
    </w:lvl>
    <w:lvl w:ilvl="2" w:tplc="2E0031D0">
      <w:numFmt w:val="bullet"/>
      <w:lvlText w:val="•"/>
      <w:lvlJc w:val="left"/>
      <w:pPr>
        <w:ind w:left="2444" w:hanging="720"/>
      </w:pPr>
      <w:rPr>
        <w:rFonts w:hint="default"/>
        <w:lang w:val="en-US" w:eastAsia="en-US" w:bidi="ar-SA"/>
      </w:rPr>
    </w:lvl>
    <w:lvl w:ilvl="3" w:tplc="57E8CF36">
      <w:numFmt w:val="bullet"/>
      <w:lvlText w:val="•"/>
      <w:lvlJc w:val="left"/>
      <w:pPr>
        <w:ind w:left="3246" w:hanging="720"/>
      </w:pPr>
      <w:rPr>
        <w:rFonts w:hint="default"/>
        <w:lang w:val="en-US" w:eastAsia="en-US" w:bidi="ar-SA"/>
      </w:rPr>
    </w:lvl>
    <w:lvl w:ilvl="4" w:tplc="CFF0A470">
      <w:numFmt w:val="bullet"/>
      <w:lvlText w:val="•"/>
      <w:lvlJc w:val="left"/>
      <w:pPr>
        <w:ind w:left="4048" w:hanging="720"/>
      </w:pPr>
      <w:rPr>
        <w:rFonts w:hint="default"/>
        <w:lang w:val="en-US" w:eastAsia="en-US" w:bidi="ar-SA"/>
      </w:rPr>
    </w:lvl>
    <w:lvl w:ilvl="5" w:tplc="04E2C6A6">
      <w:numFmt w:val="bullet"/>
      <w:lvlText w:val="•"/>
      <w:lvlJc w:val="left"/>
      <w:pPr>
        <w:ind w:left="4850" w:hanging="720"/>
      </w:pPr>
      <w:rPr>
        <w:rFonts w:hint="default"/>
        <w:lang w:val="en-US" w:eastAsia="en-US" w:bidi="ar-SA"/>
      </w:rPr>
    </w:lvl>
    <w:lvl w:ilvl="6" w:tplc="79341ACE">
      <w:numFmt w:val="bullet"/>
      <w:lvlText w:val="•"/>
      <w:lvlJc w:val="left"/>
      <w:pPr>
        <w:ind w:left="5652" w:hanging="720"/>
      </w:pPr>
      <w:rPr>
        <w:rFonts w:hint="default"/>
        <w:lang w:val="en-US" w:eastAsia="en-US" w:bidi="ar-SA"/>
      </w:rPr>
    </w:lvl>
    <w:lvl w:ilvl="7" w:tplc="C00E6A52">
      <w:numFmt w:val="bullet"/>
      <w:lvlText w:val="•"/>
      <w:lvlJc w:val="left"/>
      <w:pPr>
        <w:ind w:left="6454" w:hanging="720"/>
      </w:pPr>
      <w:rPr>
        <w:rFonts w:hint="default"/>
        <w:lang w:val="en-US" w:eastAsia="en-US" w:bidi="ar-SA"/>
      </w:rPr>
    </w:lvl>
    <w:lvl w:ilvl="8" w:tplc="5CDE4CD8">
      <w:numFmt w:val="bullet"/>
      <w:lvlText w:val="•"/>
      <w:lvlJc w:val="left"/>
      <w:pPr>
        <w:ind w:left="7256" w:hanging="720"/>
      </w:pPr>
      <w:rPr>
        <w:rFonts w:hint="default"/>
        <w:lang w:val="en-US" w:eastAsia="en-US" w:bidi="ar-SA"/>
      </w:rPr>
    </w:lvl>
  </w:abstractNum>
  <w:abstractNum w:abstractNumId="21" w15:restartNumberingAfterBreak="0">
    <w:nsid w:val="41AF23DE"/>
    <w:multiLevelType w:val="hybridMultilevel"/>
    <w:tmpl w:val="448E6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49748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7B4313"/>
    <w:multiLevelType w:val="hybridMultilevel"/>
    <w:tmpl w:val="07326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B4D68"/>
    <w:multiLevelType w:val="hybridMultilevel"/>
    <w:tmpl w:val="C4AA22CA"/>
    <w:lvl w:ilvl="0" w:tplc="1DC80572">
      <w:start w:val="1"/>
      <w:numFmt w:val="decimal"/>
      <w:lvlText w:val="Appendix %1."/>
      <w:lvlJc w:val="left"/>
      <w:pPr>
        <w:ind w:left="58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276EE"/>
    <w:multiLevelType w:val="multilevel"/>
    <w:tmpl w:val="A69C532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5D01414C"/>
    <w:multiLevelType w:val="hybridMultilevel"/>
    <w:tmpl w:val="86C83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A571DE"/>
    <w:multiLevelType w:val="hybridMultilevel"/>
    <w:tmpl w:val="1CBA7EC4"/>
    <w:lvl w:ilvl="0" w:tplc="6C3A65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132F2"/>
    <w:multiLevelType w:val="hybridMultilevel"/>
    <w:tmpl w:val="53EE56A6"/>
    <w:lvl w:ilvl="0" w:tplc="8DF6B18A">
      <w:numFmt w:val="bullet"/>
      <w:lvlText w:val=""/>
      <w:lvlJc w:val="left"/>
      <w:pPr>
        <w:ind w:left="840" w:hanging="360"/>
      </w:pPr>
      <w:rPr>
        <w:rFonts w:ascii="Symbol" w:eastAsia="Symbol" w:hAnsi="Symbol" w:cs="Symbol" w:hint="default"/>
        <w:w w:val="100"/>
        <w:sz w:val="24"/>
        <w:szCs w:val="24"/>
        <w:lang w:val="en-US" w:eastAsia="en-US" w:bidi="ar-SA"/>
      </w:rPr>
    </w:lvl>
    <w:lvl w:ilvl="1" w:tplc="6F1E5632">
      <w:numFmt w:val="bullet"/>
      <w:lvlText w:val="•"/>
      <w:lvlJc w:val="left"/>
      <w:pPr>
        <w:ind w:left="1642" w:hanging="360"/>
      </w:pPr>
      <w:rPr>
        <w:rFonts w:hint="default"/>
        <w:lang w:val="en-US" w:eastAsia="en-US" w:bidi="ar-SA"/>
      </w:rPr>
    </w:lvl>
    <w:lvl w:ilvl="2" w:tplc="350093D4">
      <w:numFmt w:val="bullet"/>
      <w:lvlText w:val="•"/>
      <w:lvlJc w:val="left"/>
      <w:pPr>
        <w:ind w:left="2444" w:hanging="360"/>
      </w:pPr>
      <w:rPr>
        <w:rFonts w:hint="default"/>
        <w:lang w:val="en-US" w:eastAsia="en-US" w:bidi="ar-SA"/>
      </w:rPr>
    </w:lvl>
    <w:lvl w:ilvl="3" w:tplc="A65CA15C">
      <w:numFmt w:val="bullet"/>
      <w:lvlText w:val="•"/>
      <w:lvlJc w:val="left"/>
      <w:pPr>
        <w:ind w:left="3246" w:hanging="360"/>
      </w:pPr>
      <w:rPr>
        <w:rFonts w:hint="default"/>
        <w:lang w:val="en-US" w:eastAsia="en-US" w:bidi="ar-SA"/>
      </w:rPr>
    </w:lvl>
    <w:lvl w:ilvl="4" w:tplc="DEEED2C4">
      <w:numFmt w:val="bullet"/>
      <w:lvlText w:val="•"/>
      <w:lvlJc w:val="left"/>
      <w:pPr>
        <w:ind w:left="4048" w:hanging="360"/>
      </w:pPr>
      <w:rPr>
        <w:rFonts w:hint="default"/>
        <w:lang w:val="en-US" w:eastAsia="en-US" w:bidi="ar-SA"/>
      </w:rPr>
    </w:lvl>
    <w:lvl w:ilvl="5" w:tplc="3680191A">
      <w:numFmt w:val="bullet"/>
      <w:lvlText w:val="•"/>
      <w:lvlJc w:val="left"/>
      <w:pPr>
        <w:ind w:left="4850" w:hanging="360"/>
      </w:pPr>
      <w:rPr>
        <w:rFonts w:hint="default"/>
        <w:lang w:val="en-US" w:eastAsia="en-US" w:bidi="ar-SA"/>
      </w:rPr>
    </w:lvl>
    <w:lvl w:ilvl="6" w:tplc="6BD89CCC">
      <w:numFmt w:val="bullet"/>
      <w:lvlText w:val="•"/>
      <w:lvlJc w:val="left"/>
      <w:pPr>
        <w:ind w:left="5652" w:hanging="360"/>
      </w:pPr>
      <w:rPr>
        <w:rFonts w:hint="default"/>
        <w:lang w:val="en-US" w:eastAsia="en-US" w:bidi="ar-SA"/>
      </w:rPr>
    </w:lvl>
    <w:lvl w:ilvl="7" w:tplc="A49C902C">
      <w:numFmt w:val="bullet"/>
      <w:lvlText w:val="•"/>
      <w:lvlJc w:val="left"/>
      <w:pPr>
        <w:ind w:left="6454" w:hanging="360"/>
      </w:pPr>
      <w:rPr>
        <w:rFonts w:hint="default"/>
        <w:lang w:val="en-US" w:eastAsia="en-US" w:bidi="ar-SA"/>
      </w:rPr>
    </w:lvl>
    <w:lvl w:ilvl="8" w:tplc="5AC0085E">
      <w:numFmt w:val="bullet"/>
      <w:lvlText w:val="•"/>
      <w:lvlJc w:val="left"/>
      <w:pPr>
        <w:ind w:left="7256" w:hanging="360"/>
      </w:pPr>
      <w:rPr>
        <w:rFonts w:hint="default"/>
        <w:lang w:val="en-US" w:eastAsia="en-US" w:bidi="ar-SA"/>
      </w:rPr>
    </w:lvl>
  </w:abstractNum>
  <w:abstractNum w:abstractNumId="29" w15:restartNumberingAfterBreak="0">
    <w:nsid w:val="64D03D7D"/>
    <w:multiLevelType w:val="multilevel"/>
    <w:tmpl w:val="39304BCA"/>
    <w:lvl w:ilvl="0">
      <w:start w:val="2"/>
      <w:numFmt w:val="decimal"/>
      <w:lvlText w:val="%1."/>
      <w:lvlJc w:val="left"/>
      <w:pPr>
        <w:ind w:left="720" w:hanging="720"/>
      </w:pPr>
      <w:rPr>
        <w:rFonts w:hint="default"/>
      </w:rPr>
    </w:lvl>
    <w:lvl w:ilvl="1">
      <w:start w:val="3"/>
      <w:numFmt w:val="decimal"/>
      <w:lvlText w:val="%1.%2."/>
      <w:lvlJc w:val="left"/>
      <w:pPr>
        <w:ind w:left="1076" w:hanging="720"/>
      </w:pPr>
      <w:rPr>
        <w:rFonts w:hint="default"/>
      </w:rPr>
    </w:lvl>
    <w:lvl w:ilvl="2">
      <w:start w:val="3"/>
      <w:numFmt w:val="decimal"/>
      <w:lvlText w:val="%1.%2.%3."/>
      <w:lvlJc w:val="left"/>
      <w:pPr>
        <w:ind w:left="1432" w:hanging="720"/>
      </w:pPr>
      <w:rPr>
        <w:rFonts w:hint="default"/>
      </w:rPr>
    </w:lvl>
    <w:lvl w:ilvl="3">
      <w:start w:val="4"/>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30" w15:restartNumberingAfterBreak="0">
    <w:nsid w:val="64D179FA"/>
    <w:multiLevelType w:val="hybridMultilevel"/>
    <w:tmpl w:val="1F28A96A"/>
    <w:lvl w:ilvl="0" w:tplc="69AC8448">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A4B10"/>
    <w:multiLevelType w:val="hybridMultilevel"/>
    <w:tmpl w:val="1ABA9CB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D549A"/>
    <w:multiLevelType w:val="hybridMultilevel"/>
    <w:tmpl w:val="A62C51AE"/>
    <w:lvl w:ilvl="0" w:tplc="1DC80572">
      <w:start w:val="1"/>
      <w:numFmt w:val="decimal"/>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050283"/>
    <w:multiLevelType w:val="hybridMultilevel"/>
    <w:tmpl w:val="0592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75085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E2A9E3"/>
    <w:multiLevelType w:val="hybridMultilevel"/>
    <w:tmpl w:val="6BAC0B6E"/>
    <w:lvl w:ilvl="0" w:tplc="ED881A8C">
      <w:start w:val="1"/>
      <w:numFmt w:val="bullet"/>
      <w:lvlText w:val="*"/>
      <w:lvlJc w:val="left"/>
    </w:lvl>
    <w:lvl w:ilvl="1" w:tplc="B7F494AE">
      <w:numFmt w:val="decimal"/>
      <w:lvlText w:val=""/>
      <w:lvlJc w:val="left"/>
    </w:lvl>
    <w:lvl w:ilvl="2" w:tplc="59D85120">
      <w:numFmt w:val="decimal"/>
      <w:lvlText w:val=""/>
      <w:lvlJc w:val="left"/>
    </w:lvl>
    <w:lvl w:ilvl="3" w:tplc="C97E603C">
      <w:numFmt w:val="decimal"/>
      <w:lvlText w:val=""/>
      <w:lvlJc w:val="left"/>
    </w:lvl>
    <w:lvl w:ilvl="4" w:tplc="5F628FAE">
      <w:numFmt w:val="decimal"/>
      <w:lvlText w:val=""/>
      <w:lvlJc w:val="left"/>
    </w:lvl>
    <w:lvl w:ilvl="5" w:tplc="A9301CF0">
      <w:numFmt w:val="decimal"/>
      <w:lvlText w:val=""/>
      <w:lvlJc w:val="left"/>
    </w:lvl>
    <w:lvl w:ilvl="6" w:tplc="72DE5392">
      <w:numFmt w:val="decimal"/>
      <w:lvlText w:val=""/>
      <w:lvlJc w:val="left"/>
    </w:lvl>
    <w:lvl w:ilvl="7" w:tplc="87E025C2">
      <w:numFmt w:val="decimal"/>
      <w:lvlText w:val=""/>
      <w:lvlJc w:val="left"/>
    </w:lvl>
    <w:lvl w:ilvl="8" w:tplc="D040B318">
      <w:numFmt w:val="decimal"/>
      <w:lvlText w:val=""/>
      <w:lvlJc w:val="left"/>
    </w:lvl>
  </w:abstractNum>
  <w:abstractNum w:abstractNumId="36" w15:restartNumberingAfterBreak="0">
    <w:nsid w:val="7BBF2941"/>
    <w:multiLevelType w:val="hybridMultilevel"/>
    <w:tmpl w:val="A236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F398C"/>
    <w:multiLevelType w:val="hybridMultilevel"/>
    <w:tmpl w:val="C464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181853">
    <w:abstractNumId w:val="7"/>
  </w:num>
  <w:num w:numId="2" w16cid:durableId="487136732">
    <w:abstractNumId w:val="33"/>
  </w:num>
  <w:num w:numId="3" w16cid:durableId="469439951">
    <w:abstractNumId w:val="18"/>
  </w:num>
  <w:num w:numId="4" w16cid:durableId="2143840260">
    <w:abstractNumId w:val="28"/>
  </w:num>
  <w:num w:numId="5" w16cid:durableId="118837849">
    <w:abstractNumId w:val="20"/>
  </w:num>
  <w:num w:numId="6" w16cid:durableId="1171291369">
    <w:abstractNumId w:val="27"/>
  </w:num>
  <w:num w:numId="7" w16cid:durableId="141117817">
    <w:abstractNumId w:val="31"/>
  </w:num>
  <w:num w:numId="8" w16cid:durableId="1600990515">
    <w:abstractNumId w:val="12"/>
  </w:num>
  <w:num w:numId="9" w16cid:durableId="1284575085">
    <w:abstractNumId w:val="6"/>
  </w:num>
  <w:num w:numId="10" w16cid:durableId="323778126">
    <w:abstractNumId w:val="21"/>
  </w:num>
  <w:num w:numId="11" w16cid:durableId="1466122405">
    <w:abstractNumId w:val="24"/>
  </w:num>
  <w:num w:numId="12" w16cid:durableId="1198859715">
    <w:abstractNumId w:val="34"/>
  </w:num>
  <w:num w:numId="13" w16cid:durableId="1670671610">
    <w:abstractNumId w:val="9"/>
  </w:num>
  <w:num w:numId="14" w16cid:durableId="866452471">
    <w:abstractNumId w:val="22"/>
  </w:num>
  <w:num w:numId="15" w16cid:durableId="989669608">
    <w:abstractNumId w:val="19"/>
  </w:num>
  <w:num w:numId="16" w16cid:durableId="1895304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5165174">
    <w:abstractNumId w:val="5"/>
  </w:num>
  <w:num w:numId="18" w16cid:durableId="1990791836">
    <w:abstractNumId w:val="32"/>
  </w:num>
  <w:num w:numId="19" w16cid:durableId="21169450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4465972">
    <w:abstractNumId w:val="3"/>
  </w:num>
  <w:num w:numId="21" w16cid:durableId="1475755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0103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5762700">
    <w:abstractNumId w:val="26"/>
  </w:num>
  <w:num w:numId="24" w16cid:durableId="1925530742">
    <w:abstractNumId w:val="23"/>
  </w:num>
  <w:num w:numId="25" w16cid:durableId="1050037444">
    <w:abstractNumId w:val="29"/>
  </w:num>
  <w:num w:numId="26" w16cid:durableId="1593394842">
    <w:abstractNumId w:val="15"/>
  </w:num>
  <w:num w:numId="27" w16cid:durableId="1562062411">
    <w:abstractNumId w:val="11"/>
  </w:num>
  <w:num w:numId="28" w16cid:durableId="1036858007">
    <w:abstractNumId w:val="0"/>
  </w:num>
  <w:num w:numId="29" w16cid:durableId="327489191">
    <w:abstractNumId w:val="16"/>
  </w:num>
  <w:num w:numId="30" w16cid:durableId="508255553">
    <w:abstractNumId w:val="10"/>
  </w:num>
  <w:num w:numId="31" w16cid:durableId="509564392">
    <w:abstractNumId w:val="4"/>
  </w:num>
  <w:num w:numId="32" w16cid:durableId="125395752">
    <w:abstractNumId w:val="8"/>
  </w:num>
  <w:num w:numId="33" w16cid:durableId="1400594846">
    <w:abstractNumId w:val="37"/>
  </w:num>
  <w:num w:numId="34" w16cid:durableId="1659068370">
    <w:abstractNumId w:val="13"/>
  </w:num>
  <w:num w:numId="35" w16cid:durableId="522479694">
    <w:abstractNumId w:val="36"/>
  </w:num>
  <w:num w:numId="36" w16cid:durableId="1402830418">
    <w:abstractNumId w:val="2"/>
  </w:num>
  <w:num w:numId="37" w16cid:durableId="41293686">
    <w:abstractNumId w:val="35"/>
  </w:num>
  <w:num w:numId="38" w16cid:durableId="488833563">
    <w:abstractNumId w:val="1"/>
  </w:num>
  <w:num w:numId="39" w16cid:durableId="797650030">
    <w:abstractNumId w:val="14"/>
  </w:num>
  <w:num w:numId="40" w16cid:durableId="26254188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DS1NDUwtjCxNDBS0lEKTi0uzszPAymwqAUADm50jiwAAAA="/>
  </w:docVars>
  <w:rsids>
    <w:rsidRoot w:val="008204BE"/>
    <w:rsid w:val="000001AE"/>
    <w:rsid w:val="0000124C"/>
    <w:rsid w:val="00001E54"/>
    <w:rsid w:val="00002177"/>
    <w:rsid w:val="000034EA"/>
    <w:rsid w:val="00004218"/>
    <w:rsid w:val="00004486"/>
    <w:rsid w:val="0000505D"/>
    <w:rsid w:val="0001273E"/>
    <w:rsid w:val="00014164"/>
    <w:rsid w:val="00014DAE"/>
    <w:rsid w:val="00015BE6"/>
    <w:rsid w:val="00015D83"/>
    <w:rsid w:val="00021837"/>
    <w:rsid w:val="00021D79"/>
    <w:rsid w:val="000236CE"/>
    <w:rsid w:val="00023ABB"/>
    <w:rsid w:val="00024969"/>
    <w:rsid w:val="000252B7"/>
    <w:rsid w:val="0003028D"/>
    <w:rsid w:val="0003259A"/>
    <w:rsid w:val="0003367F"/>
    <w:rsid w:val="000361B8"/>
    <w:rsid w:val="00036E55"/>
    <w:rsid w:val="0003722B"/>
    <w:rsid w:val="000408D8"/>
    <w:rsid w:val="00040BBE"/>
    <w:rsid w:val="000410FE"/>
    <w:rsid w:val="0004153F"/>
    <w:rsid w:val="00041552"/>
    <w:rsid w:val="00045710"/>
    <w:rsid w:val="00051BDD"/>
    <w:rsid w:val="000540DD"/>
    <w:rsid w:val="0005475C"/>
    <w:rsid w:val="00056E47"/>
    <w:rsid w:val="00057C66"/>
    <w:rsid w:val="00057D75"/>
    <w:rsid w:val="00057DF1"/>
    <w:rsid w:val="00061DC1"/>
    <w:rsid w:val="000624C6"/>
    <w:rsid w:val="000626AD"/>
    <w:rsid w:val="0006361D"/>
    <w:rsid w:val="00063BE7"/>
    <w:rsid w:val="00064372"/>
    <w:rsid w:val="000659C6"/>
    <w:rsid w:val="000660CE"/>
    <w:rsid w:val="000676CA"/>
    <w:rsid w:val="000702EB"/>
    <w:rsid w:val="00071434"/>
    <w:rsid w:val="0007270B"/>
    <w:rsid w:val="000729C7"/>
    <w:rsid w:val="00074000"/>
    <w:rsid w:val="00075C10"/>
    <w:rsid w:val="00077DDF"/>
    <w:rsid w:val="000802F5"/>
    <w:rsid w:val="00083704"/>
    <w:rsid w:val="00085325"/>
    <w:rsid w:val="00085D5B"/>
    <w:rsid w:val="00086AE9"/>
    <w:rsid w:val="00091581"/>
    <w:rsid w:val="00091A11"/>
    <w:rsid w:val="00091AD0"/>
    <w:rsid w:val="00092DC6"/>
    <w:rsid w:val="0009495C"/>
    <w:rsid w:val="00094C65"/>
    <w:rsid w:val="00096CC9"/>
    <w:rsid w:val="000A1977"/>
    <w:rsid w:val="000A2E29"/>
    <w:rsid w:val="000A39E9"/>
    <w:rsid w:val="000A7DFB"/>
    <w:rsid w:val="000B4391"/>
    <w:rsid w:val="000B63E1"/>
    <w:rsid w:val="000C0070"/>
    <w:rsid w:val="000C0920"/>
    <w:rsid w:val="000C2497"/>
    <w:rsid w:val="000C250A"/>
    <w:rsid w:val="000C351B"/>
    <w:rsid w:val="000C3C6D"/>
    <w:rsid w:val="000C4563"/>
    <w:rsid w:val="000C7691"/>
    <w:rsid w:val="000D3E49"/>
    <w:rsid w:val="000D45C2"/>
    <w:rsid w:val="000D606E"/>
    <w:rsid w:val="000D652C"/>
    <w:rsid w:val="000D677C"/>
    <w:rsid w:val="000E0073"/>
    <w:rsid w:val="000E05A1"/>
    <w:rsid w:val="000E16A9"/>
    <w:rsid w:val="000E31F7"/>
    <w:rsid w:val="000E5FBB"/>
    <w:rsid w:val="000E62C4"/>
    <w:rsid w:val="000E653C"/>
    <w:rsid w:val="000E737C"/>
    <w:rsid w:val="000F0B73"/>
    <w:rsid w:val="000F29CE"/>
    <w:rsid w:val="000F3FD8"/>
    <w:rsid w:val="000F5388"/>
    <w:rsid w:val="000F54DD"/>
    <w:rsid w:val="000F6697"/>
    <w:rsid w:val="00101683"/>
    <w:rsid w:val="00101C25"/>
    <w:rsid w:val="00104117"/>
    <w:rsid w:val="0010463A"/>
    <w:rsid w:val="00104C62"/>
    <w:rsid w:val="001079C1"/>
    <w:rsid w:val="00110222"/>
    <w:rsid w:val="00110291"/>
    <w:rsid w:val="00111106"/>
    <w:rsid w:val="0011242C"/>
    <w:rsid w:val="001128C2"/>
    <w:rsid w:val="0011304F"/>
    <w:rsid w:val="0011472A"/>
    <w:rsid w:val="00115E10"/>
    <w:rsid w:val="0012210F"/>
    <w:rsid w:val="00122871"/>
    <w:rsid w:val="00124239"/>
    <w:rsid w:val="001242D4"/>
    <w:rsid w:val="00124C23"/>
    <w:rsid w:val="0012664E"/>
    <w:rsid w:val="00126774"/>
    <w:rsid w:val="00126B43"/>
    <w:rsid w:val="001271F1"/>
    <w:rsid w:val="00130408"/>
    <w:rsid w:val="0013050F"/>
    <w:rsid w:val="001321DA"/>
    <w:rsid w:val="0013365C"/>
    <w:rsid w:val="001364E2"/>
    <w:rsid w:val="00140FFF"/>
    <w:rsid w:val="00146E5E"/>
    <w:rsid w:val="00146F6F"/>
    <w:rsid w:val="00146FA8"/>
    <w:rsid w:val="001520FD"/>
    <w:rsid w:val="001534A8"/>
    <w:rsid w:val="0015643E"/>
    <w:rsid w:val="0015751C"/>
    <w:rsid w:val="0016012B"/>
    <w:rsid w:val="001609D9"/>
    <w:rsid w:val="00160B69"/>
    <w:rsid w:val="001612E0"/>
    <w:rsid w:val="00162A73"/>
    <w:rsid w:val="00162C15"/>
    <w:rsid w:val="00163670"/>
    <w:rsid w:val="0016426E"/>
    <w:rsid w:val="00166768"/>
    <w:rsid w:val="00171C3E"/>
    <w:rsid w:val="0017206E"/>
    <w:rsid w:val="00172AAA"/>
    <w:rsid w:val="00172B04"/>
    <w:rsid w:val="00172D64"/>
    <w:rsid w:val="00173ACB"/>
    <w:rsid w:val="001741A4"/>
    <w:rsid w:val="00176B09"/>
    <w:rsid w:val="001773E5"/>
    <w:rsid w:val="00184C89"/>
    <w:rsid w:val="00186CEC"/>
    <w:rsid w:val="001908F1"/>
    <w:rsid w:val="00193BF6"/>
    <w:rsid w:val="00197899"/>
    <w:rsid w:val="00197F4F"/>
    <w:rsid w:val="001A0C42"/>
    <w:rsid w:val="001A1853"/>
    <w:rsid w:val="001A2399"/>
    <w:rsid w:val="001A3072"/>
    <w:rsid w:val="001A49B7"/>
    <w:rsid w:val="001A5057"/>
    <w:rsid w:val="001A507D"/>
    <w:rsid w:val="001A5299"/>
    <w:rsid w:val="001A5333"/>
    <w:rsid w:val="001A600E"/>
    <w:rsid w:val="001A6359"/>
    <w:rsid w:val="001A77FB"/>
    <w:rsid w:val="001B259B"/>
    <w:rsid w:val="001B283A"/>
    <w:rsid w:val="001B2C87"/>
    <w:rsid w:val="001B4748"/>
    <w:rsid w:val="001B4A4F"/>
    <w:rsid w:val="001B67C5"/>
    <w:rsid w:val="001B6B99"/>
    <w:rsid w:val="001B6DC3"/>
    <w:rsid w:val="001C0D23"/>
    <w:rsid w:val="001C5564"/>
    <w:rsid w:val="001C7880"/>
    <w:rsid w:val="001D0625"/>
    <w:rsid w:val="001D24B8"/>
    <w:rsid w:val="001D2676"/>
    <w:rsid w:val="001D7BBF"/>
    <w:rsid w:val="001E014A"/>
    <w:rsid w:val="001E1FB5"/>
    <w:rsid w:val="001E6E89"/>
    <w:rsid w:val="001E7C6F"/>
    <w:rsid w:val="001F09D1"/>
    <w:rsid w:val="001F1A93"/>
    <w:rsid w:val="001F21EC"/>
    <w:rsid w:val="001F43A4"/>
    <w:rsid w:val="001F64A3"/>
    <w:rsid w:val="001F68D0"/>
    <w:rsid w:val="001F7F3E"/>
    <w:rsid w:val="0020065F"/>
    <w:rsid w:val="00200672"/>
    <w:rsid w:val="002031AF"/>
    <w:rsid w:val="00204715"/>
    <w:rsid w:val="0020486C"/>
    <w:rsid w:val="00205762"/>
    <w:rsid w:val="0020591F"/>
    <w:rsid w:val="002113E2"/>
    <w:rsid w:val="0021275E"/>
    <w:rsid w:val="002142DA"/>
    <w:rsid w:val="0021495C"/>
    <w:rsid w:val="00215080"/>
    <w:rsid w:val="00215D1D"/>
    <w:rsid w:val="00216225"/>
    <w:rsid w:val="00220458"/>
    <w:rsid w:val="00221C8F"/>
    <w:rsid w:val="002273C5"/>
    <w:rsid w:val="00231B50"/>
    <w:rsid w:val="002370CB"/>
    <w:rsid w:val="00237CD1"/>
    <w:rsid w:val="0024017C"/>
    <w:rsid w:val="00240DB9"/>
    <w:rsid w:val="00241113"/>
    <w:rsid w:val="00242845"/>
    <w:rsid w:val="0024299B"/>
    <w:rsid w:val="00243550"/>
    <w:rsid w:val="00243947"/>
    <w:rsid w:val="002456D5"/>
    <w:rsid w:val="0024679D"/>
    <w:rsid w:val="00246917"/>
    <w:rsid w:val="00246EE1"/>
    <w:rsid w:val="00247E37"/>
    <w:rsid w:val="002526A1"/>
    <w:rsid w:val="0025374C"/>
    <w:rsid w:val="00255EEF"/>
    <w:rsid w:val="00257DB0"/>
    <w:rsid w:val="00261855"/>
    <w:rsid w:val="00261917"/>
    <w:rsid w:val="00262C99"/>
    <w:rsid w:val="00264D43"/>
    <w:rsid w:val="00270C38"/>
    <w:rsid w:val="00271213"/>
    <w:rsid w:val="00271868"/>
    <w:rsid w:val="0027348E"/>
    <w:rsid w:val="00275D58"/>
    <w:rsid w:val="002763B9"/>
    <w:rsid w:val="00276540"/>
    <w:rsid w:val="0027694E"/>
    <w:rsid w:val="00277968"/>
    <w:rsid w:val="00277A1E"/>
    <w:rsid w:val="0028289C"/>
    <w:rsid w:val="00283030"/>
    <w:rsid w:val="0028366A"/>
    <w:rsid w:val="00284C1B"/>
    <w:rsid w:val="0028685F"/>
    <w:rsid w:val="00286C2B"/>
    <w:rsid w:val="0029163B"/>
    <w:rsid w:val="00292EAC"/>
    <w:rsid w:val="00293BEE"/>
    <w:rsid w:val="00294098"/>
    <w:rsid w:val="0029448D"/>
    <w:rsid w:val="00294C10"/>
    <w:rsid w:val="0029663C"/>
    <w:rsid w:val="00296F7A"/>
    <w:rsid w:val="00297936"/>
    <w:rsid w:val="00297AC4"/>
    <w:rsid w:val="002A003A"/>
    <w:rsid w:val="002A0F99"/>
    <w:rsid w:val="002A157F"/>
    <w:rsid w:val="002A1E44"/>
    <w:rsid w:val="002A2924"/>
    <w:rsid w:val="002A4834"/>
    <w:rsid w:val="002A4D54"/>
    <w:rsid w:val="002A56ED"/>
    <w:rsid w:val="002A6177"/>
    <w:rsid w:val="002B09DD"/>
    <w:rsid w:val="002B127A"/>
    <w:rsid w:val="002B1A72"/>
    <w:rsid w:val="002B3636"/>
    <w:rsid w:val="002B389C"/>
    <w:rsid w:val="002C0799"/>
    <w:rsid w:val="002C0FF1"/>
    <w:rsid w:val="002C2078"/>
    <w:rsid w:val="002C26C7"/>
    <w:rsid w:val="002C2D95"/>
    <w:rsid w:val="002C5A20"/>
    <w:rsid w:val="002D1A35"/>
    <w:rsid w:val="002D3AA8"/>
    <w:rsid w:val="002D4060"/>
    <w:rsid w:val="002D5CFB"/>
    <w:rsid w:val="002D5EFE"/>
    <w:rsid w:val="002D7A0D"/>
    <w:rsid w:val="002E0B77"/>
    <w:rsid w:val="002E12B0"/>
    <w:rsid w:val="002E1568"/>
    <w:rsid w:val="002E1AC2"/>
    <w:rsid w:val="002E27DE"/>
    <w:rsid w:val="002E2E14"/>
    <w:rsid w:val="002E5AD5"/>
    <w:rsid w:val="002E61A1"/>
    <w:rsid w:val="002E7CDC"/>
    <w:rsid w:val="002F1F93"/>
    <w:rsid w:val="002F4010"/>
    <w:rsid w:val="00301056"/>
    <w:rsid w:val="00301136"/>
    <w:rsid w:val="00301D05"/>
    <w:rsid w:val="00303F5E"/>
    <w:rsid w:val="003040EE"/>
    <w:rsid w:val="00305286"/>
    <w:rsid w:val="0031137C"/>
    <w:rsid w:val="00315026"/>
    <w:rsid w:val="003216ED"/>
    <w:rsid w:val="00321CAA"/>
    <w:rsid w:val="00323052"/>
    <w:rsid w:val="00323E05"/>
    <w:rsid w:val="0032441D"/>
    <w:rsid w:val="00324677"/>
    <w:rsid w:val="00324B38"/>
    <w:rsid w:val="00324C5F"/>
    <w:rsid w:val="00325244"/>
    <w:rsid w:val="00326FF8"/>
    <w:rsid w:val="003317FB"/>
    <w:rsid w:val="00332780"/>
    <w:rsid w:val="00332E45"/>
    <w:rsid w:val="00334802"/>
    <w:rsid w:val="00335360"/>
    <w:rsid w:val="0033563C"/>
    <w:rsid w:val="00336970"/>
    <w:rsid w:val="00340186"/>
    <w:rsid w:val="00342CC7"/>
    <w:rsid w:val="00346359"/>
    <w:rsid w:val="00350FF7"/>
    <w:rsid w:val="003518D8"/>
    <w:rsid w:val="00353374"/>
    <w:rsid w:val="00353C2E"/>
    <w:rsid w:val="0035420A"/>
    <w:rsid w:val="00354637"/>
    <w:rsid w:val="003546B2"/>
    <w:rsid w:val="00354AE8"/>
    <w:rsid w:val="00355D66"/>
    <w:rsid w:val="003561BE"/>
    <w:rsid w:val="00361F4D"/>
    <w:rsid w:val="00366247"/>
    <w:rsid w:val="003712C0"/>
    <w:rsid w:val="00371A1C"/>
    <w:rsid w:val="00371A81"/>
    <w:rsid w:val="00371CE1"/>
    <w:rsid w:val="00374EB9"/>
    <w:rsid w:val="003765F7"/>
    <w:rsid w:val="003767B3"/>
    <w:rsid w:val="003768CD"/>
    <w:rsid w:val="00380ED6"/>
    <w:rsid w:val="00381325"/>
    <w:rsid w:val="00381D1F"/>
    <w:rsid w:val="003824EB"/>
    <w:rsid w:val="0038296C"/>
    <w:rsid w:val="00383689"/>
    <w:rsid w:val="003838F4"/>
    <w:rsid w:val="003874E2"/>
    <w:rsid w:val="00387AA0"/>
    <w:rsid w:val="00391542"/>
    <w:rsid w:val="00392E19"/>
    <w:rsid w:val="00393836"/>
    <w:rsid w:val="00393A22"/>
    <w:rsid w:val="00393ABC"/>
    <w:rsid w:val="00393BF6"/>
    <w:rsid w:val="00394224"/>
    <w:rsid w:val="003946A6"/>
    <w:rsid w:val="003A41CB"/>
    <w:rsid w:val="003A4D94"/>
    <w:rsid w:val="003A74C0"/>
    <w:rsid w:val="003A7C82"/>
    <w:rsid w:val="003B01D0"/>
    <w:rsid w:val="003B0C7C"/>
    <w:rsid w:val="003B1862"/>
    <w:rsid w:val="003B35E4"/>
    <w:rsid w:val="003B393F"/>
    <w:rsid w:val="003B4B47"/>
    <w:rsid w:val="003B4F76"/>
    <w:rsid w:val="003B569C"/>
    <w:rsid w:val="003B5BB4"/>
    <w:rsid w:val="003B6176"/>
    <w:rsid w:val="003B6261"/>
    <w:rsid w:val="003C05EF"/>
    <w:rsid w:val="003C0943"/>
    <w:rsid w:val="003C30B5"/>
    <w:rsid w:val="003D1FBF"/>
    <w:rsid w:val="003D2F41"/>
    <w:rsid w:val="003E1925"/>
    <w:rsid w:val="003E5C33"/>
    <w:rsid w:val="003E5DFB"/>
    <w:rsid w:val="003F106F"/>
    <w:rsid w:val="003F11C2"/>
    <w:rsid w:val="003F161C"/>
    <w:rsid w:val="003F2595"/>
    <w:rsid w:val="003F3AA3"/>
    <w:rsid w:val="003F5F93"/>
    <w:rsid w:val="003F60C9"/>
    <w:rsid w:val="004016DB"/>
    <w:rsid w:val="0040362E"/>
    <w:rsid w:val="004069D3"/>
    <w:rsid w:val="00406F3D"/>
    <w:rsid w:val="00407A17"/>
    <w:rsid w:val="00410481"/>
    <w:rsid w:val="004116BD"/>
    <w:rsid w:val="00411A66"/>
    <w:rsid w:val="00412F74"/>
    <w:rsid w:val="004149D3"/>
    <w:rsid w:val="004149FC"/>
    <w:rsid w:val="00414CEB"/>
    <w:rsid w:val="00415CC9"/>
    <w:rsid w:val="00416F1A"/>
    <w:rsid w:val="00417DCF"/>
    <w:rsid w:val="00420065"/>
    <w:rsid w:val="00420CDE"/>
    <w:rsid w:val="004224D9"/>
    <w:rsid w:val="004225AD"/>
    <w:rsid w:val="004264E5"/>
    <w:rsid w:val="00427907"/>
    <w:rsid w:val="00430E41"/>
    <w:rsid w:val="00433DBF"/>
    <w:rsid w:val="00434A62"/>
    <w:rsid w:val="00434B5B"/>
    <w:rsid w:val="00435576"/>
    <w:rsid w:val="00436ACE"/>
    <w:rsid w:val="00437B05"/>
    <w:rsid w:val="00440628"/>
    <w:rsid w:val="004449D9"/>
    <w:rsid w:val="0045150A"/>
    <w:rsid w:val="004536B7"/>
    <w:rsid w:val="0045488C"/>
    <w:rsid w:val="00456131"/>
    <w:rsid w:val="004571D0"/>
    <w:rsid w:val="0046008A"/>
    <w:rsid w:val="00461515"/>
    <w:rsid w:val="0046230F"/>
    <w:rsid w:val="0046311C"/>
    <w:rsid w:val="0046378C"/>
    <w:rsid w:val="004647A1"/>
    <w:rsid w:val="0046646B"/>
    <w:rsid w:val="00467E69"/>
    <w:rsid w:val="00467FA6"/>
    <w:rsid w:val="0047143C"/>
    <w:rsid w:val="00471703"/>
    <w:rsid w:val="00472157"/>
    <w:rsid w:val="00472697"/>
    <w:rsid w:val="0047512B"/>
    <w:rsid w:val="004805EA"/>
    <w:rsid w:val="00481980"/>
    <w:rsid w:val="00481B9A"/>
    <w:rsid w:val="00484A7D"/>
    <w:rsid w:val="0048631D"/>
    <w:rsid w:val="00486EA0"/>
    <w:rsid w:val="0048717C"/>
    <w:rsid w:val="004912BC"/>
    <w:rsid w:val="00491869"/>
    <w:rsid w:val="00492D55"/>
    <w:rsid w:val="00494656"/>
    <w:rsid w:val="00494F84"/>
    <w:rsid w:val="004A053B"/>
    <w:rsid w:val="004A1436"/>
    <w:rsid w:val="004A2CC4"/>
    <w:rsid w:val="004A54A2"/>
    <w:rsid w:val="004A5727"/>
    <w:rsid w:val="004A69B0"/>
    <w:rsid w:val="004A7870"/>
    <w:rsid w:val="004B2C1A"/>
    <w:rsid w:val="004B2DE8"/>
    <w:rsid w:val="004B3862"/>
    <w:rsid w:val="004B3FD4"/>
    <w:rsid w:val="004B746E"/>
    <w:rsid w:val="004C00DC"/>
    <w:rsid w:val="004C1499"/>
    <w:rsid w:val="004C2B78"/>
    <w:rsid w:val="004C5636"/>
    <w:rsid w:val="004C5735"/>
    <w:rsid w:val="004C5972"/>
    <w:rsid w:val="004C5BE4"/>
    <w:rsid w:val="004C63D2"/>
    <w:rsid w:val="004C7740"/>
    <w:rsid w:val="004D1914"/>
    <w:rsid w:val="004D2B26"/>
    <w:rsid w:val="004D537D"/>
    <w:rsid w:val="004D5A8E"/>
    <w:rsid w:val="004D5B66"/>
    <w:rsid w:val="004D6309"/>
    <w:rsid w:val="004D7E5A"/>
    <w:rsid w:val="004E136B"/>
    <w:rsid w:val="004E265F"/>
    <w:rsid w:val="004E540E"/>
    <w:rsid w:val="004E7200"/>
    <w:rsid w:val="004F261A"/>
    <w:rsid w:val="004F4523"/>
    <w:rsid w:val="004F59E7"/>
    <w:rsid w:val="004F7898"/>
    <w:rsid w:val="00501A69"/>
    <w:rsid w:val="00502C94"/>
    <w:rsid w:val="00503A97"/>
    <w:rsid w:val="00506D3A"/>
    <w:rsid w:val="00506E29"/>
    <w:rsid w:val="005100D8"/>
    <w:rsid w:val="005126B2"/>
    <w:rsid w:val="00516014"/>
    <w:rsid w:val="00516358"/>
    <w:rsid w:val="00517190"/>
    <w:rsid w:val="005223D7"/>
    <w:rsid w:val="005226DC"/>
    <w:rsid w:val="00524BC0"/>
    <w:rsid w:val="00525C18"/>
    <w:rsid w:val="0052614F"/>
    <w:rsid w:val="005312D2"/>
    <w:rsid w:val="00532128"/>
    <w:rsid w:val="005340C3"/>
    <w:rsid w:val="005350EA"/>
    <w:rsid w:val="0053646C"/>
    <w:rsid w:val="00537B43"/>
    <w:rsid w:val="0054072F"/>
    <w:rsid w:val="00544263"/>
    <w:rsid w:val="00545AE8"/>
    <w:rsid w:val="0055077A"/>
    <w:rsid w:val="00552232"/>
    <w:rsid w:val="00552E25"/>
    <w:rsid w:val="00554B23"/>
    <w:rsid w:val="00556C20"/>
    <w:rsid w:val="00557791"/>
    <w:rsid w:val="0056085E"/>
    <w:rsid w:val="00562C56"/>
    <w:rsid w:val="00564B0E"/>
    <w:rsid w:val="00567FF7"/>
    <w:rsid w:val="00572224"/>
    <w:rsid w:val="00573DD5"/>
    <w:rsid w:val="00574ED6"/>
    <w:rsid w:val="00575E20"/>
    <w:rsid w:val="00577EF2"/>
    <w:rsid w:val="00583EDB"/>
    <w:rsid w:val="0058402D"/>
    <w:rsid w:val="00584B01"/>
    <w:rsid w:val="005855B5"/>
    <w:rsid w:val="00586972"/>
    <w:rsid w:val="00587D84"/>
    <w:rsid w:val="00591CD2"/>
    <w:rsid w:val="00594DA9"/>
    <w:rsid w:val="00595E51"/>
    <w:rsid w:val="00597EFD"/>
    <w:rsid w:val="005A04FC"/>
    <w:rsid w:val="005A09B4"/>
    <w:rsid w:val="005A0AC8"/>
    <w:rsid w:val="005A0F8D"/>
    <w:rsid w:val="005A194C"/>
    <w:rsid w:val="005A1A65"/>
    <w:rsid w:val="005A4F42"/>
    <w:rsid w:val="005A5B65"/>
    <w:rsid w:val="005A5B7C"/>
    <w:rsid w:val="005A64DE"/>
    <w:rsid w:val="005A7129"/>
    <w:rsid w:val="005B0E9E"/>
    <w:rsid w:val="005B1FAE"/>
    <w:rsid w:val="005B341E"/>
    <w:rsid w:val="005B4F67"/>
    <w:rsid w:val="005B638E"/>
    <w:rsid w:val="005B65B9"/>
    <w:rsid w:val="005B6997"/>
    <w:rsid w:val="005B7FE1"/>
    <w:rsid w:val="005C04F5"/>
    <w:rsid w:val="005C25BD"/>
    <w:rsid w:val="005C520B"/>
    <w:rsid w:val="005C57DB"/>
    <w:rsid w:val="005C5AB9"/>
    <w:rsid w:val="005D205B"/>
    <w:rsid w:val="005D3E35"/>
    <w:rsid w:val="005D4628"/>
    <w:rsid w:val="005D4812"/>
    <w:rsid w:val="005D4D08"/>
    <w:rsid w:val="005E1BA3"/>
    <w:rsid w:val="005E3761"/>
    <w:rsid w:val="005E4845"/>
    <w:rsid w:val="005E53CF"/>
    <w:rsid w:val="005E57C4"/>
    <w:rsid w:val="005E63C7"/>
    <w:rsid w:val="005E65B5"/>
    <w:rsid w:val="005E6D49"/>
    <w:rsid w:val="005F1C62"/>
    <w:rsid w:val="005F2486"/>
    <w:rsid w:val="005F41BA"/>
    <w:rsid w:val="005F6252"/>
    <w:rsid w:val="00600F5E"/>
    <w:rsid w:val="0060157B"/>
    <w:rsid w:val="00601F44"/>
    <w:rsid w:val="00602686"/>
    <w:rsid w:val="00602D42"/>
    <w:rsid w:val="00603AB1"/>
    <w:rsid w:val="006042A9"/>
    <w:rsid w:val="006075D4"/>
    <w:rsid w:val="0060768D"/>
    <w:rsid w:val="0061060A"/>
    <w:rsid w:val="00614111"/>
    <w:rsid w:val="0061436A"/>
    <w:rsid w:val="006160FB"/>
    <w:rsid w:val="00616B0A"/>
    <w:rsid w:val="00617529"/>
    <w:rsid w:val="00617F37"/>
    <w:rsid w:val="006217A8"/>
    <w:rsid w:val="00623DF9"/>
    <w:rsid w:val="00627054"/>
    <w:rsid w:val="00627140"/>
    <w:rsid w:val="006356FF"/>
    <w:rsid w:val="006368EB"/>
    <w:rsid w:val="006369FD"/>
    <w:rsid w:val="00637C98"/>
    <w:rsid w:val="00643F0E"/>
    <w:rsid w:val="0064666E"/>
    <w:rsid w:val="006508C7"/>
    <w:rsid w:val="00652126"/>
    <w:rsid w:val="00653F5D"/>
    <w:rsid w:val="00655F28"/>
    <w:rsid w:val="00655FAC"/>
    <w:rsid w:val="00656221"/>
    <w:rsid w:val="00660B66"/>
    <w:rsid w:val="00661732"/>
    <w:rsid w:val="00663E7A"/>
    <w:rsid w:val="0066661D"/>
    <w:rsid w:val="0066799E"/>
    <w:rsid w:val="006709D0"/>
    <w:rsid w:val="0067156D"/>
    <w:rsid w:val="00671C37"/>
    <w:rsid w:val="00671D4F"/>
    <w:rsid w:val="006738B0"/>
    <w:rsid w:val="00674E93"/>
    <w:rsid w:val="00675656"/>
    <w:rsid w:val="00676E8F"/>
    <w:rsid w:val="006777B9"/>
    <w:rsid w:val="006803CA"/>
    <w:rsid w:val="00681265"/>
    <w:rsid w:val="0068157B"/>
    <w:rsid w:val="0068438F"/>
    <w:rsid w:val="00687450"/>
    <w:rsid w:val="006915AE"/>
    <w:rsid w:val="00691C00"/>
    <w:rsid w:val="006927BF"/>
    <w:rsid w:val="00694248"/>
    <w:rsid w:val="006946CF"/>
    <w:rsid w:val="006A0D71"/>
    <w:rsid w:val="006A3057"/>
    <w:rsid w:val="006A3278"/>
    <w:rsid w:val="006A506B"/>
    <w:rsid w:val="006A574E"/>
    <w:rsid w:val="006A6956"/>
    <w:rsid w:val="006A780A"/>
    <w:rsid w:val="006B214E"/>
    <w:rsid w:val="006B2FF7"/>
    <w:rsid w:val="006B3471"/>
    <w:rsid w:val="006B539E"/>
    <w:rsid w:val="006B79AC"/>
    <w:rsid w:val="006C0857"/>
    <w:rsid w:val="006C0B0B"/>
    <w:rsid w:val="006C5562"/>
    <w:rsid w:val="006C76B5"/>
    <w:rsid w:val="006D1AE5"/>
    <w:rsid w:val="006D22D7"/>
    <w:rsid w:val="006D303C"/>
    <w:rsid w:val="006D37A8"/>
    <w:rsid w:val="006D425A"/>
    <w:rsid w:val="006D571E"/>
    <w:rsid w:val="006D5C83"/>
    <w:rsid w:val="006D6733"/>
    <w:rsid w:val="006D6D5B"/>
    <w:rsid w:val="006D7483"/>
    <w:rsid w:val="006E082A"/>
    <w:rsid w:val="006E1F35"/>
    <w:rsid w:val="006E2772"/>
    <w:rsid w:val="006E32C6"/>
    <w:rsid w:val="006E3F84"/>
    <w:rsid w:val="006E6374"/>
    <w:rsid w:val="006E6823"/>
    <w:rsid w:val="006E780D"/>
    <w:rsid w:val="006F041C"/>
    <w:rsid w:val="006F24A0"/>
    <w:rsid w:val="006F2916"/>
    <w:rsid w:val="006F4933"/>
    <w:rsid w:val="006F4B3E"/>
    <w:rsid w:val="006F5771"/>
    <w:rsid w:val="00700156"/>
    <w:rsid w:val="0070053D"/>
    <w:rsid w:val="007028CB"/>
    <w:rsid w:val="00703319"/>
    <w:rsid w:val="0070598C"/>
    <w:rsid w:val="00705E07"/>
    <w:rsid w:val="0070739B"/>
    <w:rsid w:val="00714A99"/>
    <w:rsid w:val="00715AB4"/>
    <w:rsid w:val="0072226F"/>
    <w:rsid w:val="007228F0"/>
    <w:rsid w:val="00722E09"/>
    <w:rsid w:val="007233B0"/>
    <w:rsid w:val="00723F95"/>
    <w:rsid w:val="00724473"/>
    <w:rsid w:val="00724DAD"/>
    <w:rsid w:val="00725199"/>
    <w:rsid w:val="00725DAF"/>
    <w:rsid w:val="00726E4F"/>
    <w:rsid w:val="00727A33"/>
    <w:rsid w:val="007303B8"/>
    <w:rsid w:val="00732928"/>
    <w:rsid w:val="007329FB"/>
    <w:rsid w:val="00732C3A"/>
    <w:rsid w:val="0073543D"/>
    <w:rsid w:val="007371DD"/>
    <w:rsid w:val="0073768C"/>
    <w:rsid w:val="0074025D"/>
    <w:rsid w:val="0074037F"/>
    <w:rsid w:val="007418C8"/>
    <w:rsid w:val="00741EE2"/>
    <w:rsid w:val="00742142"/>
    <w:rsid w:val="007422DC"/>
    <w:rsid w:val="00743DC5"/>
    <w:rsid w:val="00744C65"/>
    <w:rsid w:val="00747C89"/>
    <w:rsid w:val="00751528"/>
    <w:rsid w:val="00751FA8"/>
    <w:rsid w:val="00752EA9"/>
    <w:rsid w:val="00753232"/>
    <w:rsid w:val="0075333E"/>
    <w:rsid w:val="00753568"/>
    <w:rsid w:val="0075553B"/>
    <w:rsid w:val="00755AE1"/>
    <w:rsid w:val="00757022"/>
    <w:rsid w:val="007572FD"/>
    <w:rsid w:val="007572FF"/>
    <w:rsid w:val="00757440"/>
    <w:rsid w:val="00757CB6"/>
    <w:rsid w:val="007623EE"/>
    <w:rsid w:val="00762C9E"/>
    <w:rsid w:val="00767323"/>
    <w:rsid w:val="00770CDA"/>
    <w:rsid w:val="0077274B"/>
    <w:rsid w:val="00773319"/>
    <w:rsid w:val="00782760"/>
    <w:rsid w:val="0078550F"/>
    <w:rsid w:val="007864E8"/>
    <w:rsid w:val="007907F7"/>
    <w:rsid w:val="0079179A"/>
    <w:rsid w:val="00791953"/>
    <w:rsid w:val="00792CE4"/>
    <w:rsid w:val="007933FD"/>
    <w:rsid w:val="00794912"/>
    <w:rsid w:val="00796526"/>
    <w:rsid w:val="00797CBA"/>
    <w:rsid w:val="007A0303"/>
    <w:rsid w:val="007A1160"/>
    <w:rsid w:val="007A299E"/>
    <w:rsid w:val="007A2C56"/>
    <w:rsid w:val="007A2D35"/>
    <w:rsid w:val="007A2F1C"/>
    <w:rsid w:val="007A3C90"/>
    <w:rsid w:val="007A4E45"/>
    <w:rsid w:val="007A5C2B"/>
    <w:rsid w:val="007B0548"/>
    <w:rsid w:val="007B0DE0"/>
    <w:rsid w:val="007B565E"/>
    <w:rsid w:val="007B6717"/>
    <w:rsid w:val="007B761A"/>
    <w:rsid w:val="007C095A"/>
    <w:rsid w:val="007C209C"/>
    <w:rsid w:val="007C28F3"/>
    <w:rsid w:val="007C50F5"/>
    <w:rsid w:val="007C624C"/>
    <w:rsid w:val="007C7104"/>
    <w:rsid w:val="007D12AB"/>
    <w:rsid w:val="007D20C7"/>
    <w:rsid w:val="007D241D"/>
    <w:rsid w:val="007D32BC"/>
    <w:rsid w:val="007D382D"/>
    <w:rsid w:val="007D451B"/>
    <w:rsid w:val="007D4BBC"/>
    <w:rsid w:val="007D4E66"/>
    <w:rsid w:val="007D6C9E"/>
    <w:rsid w:val="007D778A"/>
    <w:rsid w:val="007E0073"/>
    <w:rsid w:val="007E0A54"/>
    <w:rsid w:val="007E0BB1"/>
    <w:rsid w:val="007E0BFC"/>
    <w:rsid w:val="007E0D56"/>
    <w:rsid w:val="007E1863"/>
    <w:rsid w:val="007E2176"/>
    <w:rsid w:val="007E306A"/>
    <w:rsid w:val="007E367B"/>
    <w:rsid w:val="007E3B91"/>
    <w:rsid w:val="007E3F70"/>
    <w:rsid w:val="007E4422"/>
    <w:rsid w:val="007E48C4"/>
    <w:rsid w:val="007E546F"/>
    <w:rsid w:val="007E5D02"/>
    <w:rsid w:val="007E6D3C"/>
    <w:rsid w:val="007E76CC"/>
    <w:rsid w:val="007E7A86"/>
    <w:rsid w:val="007F0949"/>
    <w:rsid w:val="007F226D"/>
    <w:rsid w:val="007F2CAC"/>
    <w:rsid w:val="007F34D8"/>
    <w:rsid w:val="007F50A8"/>
    <w:rsid w:val="007F55A0"/>
    <w:rsid w:val="007F6256"/>
    <w:rsid w:val="007F641E"/>
    <w:rsid w:val="007F7EC7"/>
    <w:rsid w:val="00802585"/>
    <w:rsid w:val="00802BD5"/>
    <w:rsid w:val="0080428A"/>
    <w:rsid w:val="00804E47"/>
    <w:rsid w:val="00806C08"/>
    <w:rsid w:val="0081061E"/>
    <w:rsid w:val="0081167F"/>
    <w:rsid w:val="00811D47"/>
    <w:rsid w:val="00813B2E"/>
    <w:rsid w:val="008150FD"/>
    <w:rsid w:val="008161BA"/>
    <w:rsid w:val="008171C3"/>
    <w:rsid w:val="008177F2"/>
    <w:rsid w:val="008204BE"/>
    <w:rsid w:val="00823DD1"/>
    <w:rsid w:val="00824E41"/>
    <w:rsid w:val="0082582B"/>
    <w:rsid w:val="00825EE3"/>
    <w:rsid w:val="00826722"/>
    <w:rsid w:val="0082714E"/>
    <w:rsid w:val="00830E95"/>
    <w:rsid w:val="00831B32"/>
    <w:rsid w:val="00832FD3"/>
    <w:rsid w:val="0083417E"/>
    <w:rsid w:val="00836064"/>
    <w:rsid w:val="00840B40"/>
    <w:rsid w:val="00841675"/>
    <w:rsid w:val="00841E99"/>
    <w:rsid w:val="00842A41"/>
    <w:rsid w:val="00842A8B"/>
    <w:rsid w:val="00844152"/>
    <w:rsid w:val="00844C7F"/>
    <w:rsid w:val="00851F8B"/>
    <w:rsid w:val="00854EF9"/>
    <w:rsid w:val="00856258"/>
    <w:rsid w:val="0085724D"/>
    <w:rsid w:val="00857438"/>
    <w:rsid w:val="008603F1"/>
    <w:rsid w:val="0086105C"/>
    <w:rsid w:val="0086443D"/>
    <w:rsid w:val="0086506D"/>
    <w:rsid w:val="00871912"/>
    <w:rsid w:val="00871A10"/>
    <w:rsid w:val="0087303F"/>
    <w:rsid w:val="00874152"/>
    <w:rsid w:val="00874C9F"/>
    <w:rsid w:val="00875610"/>
    <w:rsid w:val="00880010"/>
    <w:rsid w:val="00880A9B"/>
    <w:rsid w:val="0088146B"/>
    <w:rsid w:val="008821C9"/>
    <w:rsid w:val="0088345D"/>
    <w:rsid w:val="00883851"/>
    <w:rsid w:val="00885AC6"/>
    <w:rsid w:val="00891642"/>
    <w:rsid w:val="00894479"/>
    <w:rsid w:val="008947C3"/>
    <w:rsid w:val="00894BA3"/>
    <w:rsid w:val="00896337"/>
    <w:rsid w:val="008A1C60"/>
    <w:rsid w:val="008A1CA9"/>
    <w:rsid w:val="008A2270"/>
    <w:rsid w:val="008A375F"/>
    <w:rsid w:val="008A392B"/>
    <w:rsid w:val="008A3EB4"/>
    <w:rsid w:val="008A49D6"/>
    <w:rsid w:val="008A618F"/>
    <w:rsid w:val="008A6F90"/>
    <w:rsid w:val="008A7C0C"/>
    <w:rsid w:val="008B2D3E"/>
    <w:rsid w:val="008B3C57"/>
    <w:rsid w:val="008B4A4A"/>
    <w:rsid w:val="008B5F10"/>
    <w:rsid w:val="008B7A01"/>
    <w:rsid w:val="008C156A"/>
    <w:rsid w:val="008C20A5"/>
    <w:rsid w:val="008C2215"/>
    <w:rsid w:val="008C26A2"/>
    <w:rsid w:val="008C491B"/>
    <w:rsid w:val="008C4B18"/>
    <w:rsid w:val="008C62EC"/>
    <w:rsid w:val="008C77B5"/>
    <w:rsid w:val="008D275A"/>
    <w:rsid w:val="008D48CB"/>
    <w:rsid w:val="008D62D8"/>
    <w:rsid w:val="008D6521"/>
    <w:rsid w:val="008D7A2F"/>
    <w:rsid w:val="008E28B2"/>
    <w:rsid w:val="008E3752"/>
    <w:rsid w:val="008E4908"/>
    <w:rsid w:val="008E4E3D"/>
    <w:rsid w:val="008E616D"/>
    <w:rsid w:val="008E7C81"/>
    <w:rsid w:val="008F0ECC"/>
    <w:rsid w:val="008F3732"/>
    <w:rsid w:val="008F532F"/>
    <w:rsid w:val="0090004E"/>
    <w:rsid w:val="0090042B"/>
    <w:rsid w:val="00900EC6"/>
    <w:rsid w:val="009030B7"/>
    <w:rsid w:val="00903212"/>
    <w:rsid w:val="00903276"/>
    <w:rsid w:val="00904C9A"/>
    <w:rsid w:val="00911230"/>
    <w:rsid w:val="00911617"/>
    <w:rsid w:val="00913F84"/>
    <w:rsid w:val="009154C7"/>
    <w:rsid w:val="00916D47"/>
    <w:rsid w:val="00921074"/>
    <w:rsid w:val="009211B6"/>
    <w:rsid w:val="009227F5"/>
    <w:rsid w:val="00923B8C"/>
    <w:rsid w:val="009241ED"/>
    <w:rsid w:val="0092527D"/>
    <w:rsid w:val="009277C2"/>
    <w:rsid w:val="00930AE5"/>
    <w:rsid w:val="00931E3B"/>
    <w:rsid w:val="00932992"/>
    <w:rsid w:val="00932BB0"/>
    <w:rsid w:val="00932C87"/>
    <w:rsid w:val="00932CDF"/>
    <w:rsid w:val="00933635"/>
    <w:rsid w:val="00934C88"/>
    <w:rsid w:val="00940028"/>
    <w:rsid w:val="00942AC7"/>
    <w:rsid w:val="00944061"/>
    <w:rsid w:val="009444B8"/>
    <w:rsid w:val="009450AB"/>
    <w:rsid w:val="0094572D"/>
    <w:rsid w:val="00945F9D"/>
    <w:rsid w:val="009478E4"/>
    <w:rsid w:val="009531D5"/>
    <w:rsid w:val="009532AB"/>
    <w:rsid w:val="009570EF"/>
    <w:rsid w:val="00962CEA"/>
    <w:rsid w:val="00963E28"/>
    <w:rsid w:val="00964AA8"/>
    <w:rsid w:val="0096563F"/>
    <w:rsid w:val="009668FC"/>
    <w:rsid w:val="009674B7"/>
    <w:rsid w:val="00971B6B"/>
    <w:rsid w:val="00971EA8"/>
    <w:rsid w:val="00972945"/>
    <w:rsid w:val="00974778"/>
    <w:rsid w:val="009754D5"/>
    <w:rsid w:val="00977F7F"/>
    <w:rsid w:val="009811C2"/>
    <w:rsid w:val="00986BE0"/>
    <w:rsid w:val="0098773E"/>
    <w:rsid w:val="00987831"/>
    <w:rsid w:val="00987E6A"/>
    <w:rsid w:val="0099035F"/>
    <w:rsid w:val="00991779"/>
    <w:rsid w:val="00992294"/>
    <w:rsid w:val="0099237A"/>
    <w:rsid w:val="00992990"/>
    <w:rsid w:val="00997276"/>
    <w:rsid w:val="009A0EE2"/>
    <w:rsid w:val="009A48EB"/>
    <w:rsid w:val="009A58E6"/>
    <w:rsid w:val="009B0C48"/>
    <w:rsid w:val="009B2EDC"/>
    <w:rsid w:val="009B70BF"/>
    <w:rsid w:val="009C0804"/>
    <w:rsid w:val="009C5315"/>
    <w:rsid w:val="009C6919"/>
    <w:rsid w:val="009D03EA"/>
    <w:rsid w:val="009D2026"/>
    <w:rsid w:val="009D28D1"/>
    <w:rsid w:val="009D5F38"/>
    <w:rsid w:val="009D755A"/>
    <w:rsid w:val="009E1F8E"/>
    <w:rsid w:val="009E3880"/>
    <w:rsid w:val="009E4390"/>
    <w:rsid w:val="009E665F"/>
    <w:rsid w:val="009F0A8F"/>
    <w:rsid w:val="009F42F3"/>
    <w:rsid w:val="009F477A"/>
    <w:rsid w:val="009F4B84"/>
    <w:rsid w:val="009F739E"/>
    <w:rsid w:val="009F73CF"/>
    <w:rsid w:val="00A00174"/>
    <w:rsid w:val="00A026AD"/>
    <w:rsid w:val="00A02888"/>
    <w:rsid w:val="00A03B6A"/>
    <w:rsid w:val="00A04C91"/>
    <w:rsid w:val="00A061CA"/>
    <w:rsid w:val="00A06479"/>
    <w:rsid w:val="00A10349"/>
    <w:rsid w:val="00A11039"/>
    <w:rsid w:val="00A23654"/>
    <w:rsid w:val="00A25541"/>
    <w:rsid w:val="00A25563"/>
    <w:rsid w:val="00A27B8A"/>
    <w:rsid w:val="00A31B52"/>
    <w:rsid w:val="00A337F3"/>
    <w:rsid w:val="00A40E5E"/>
    <w:rsid w:val="00A4180A"/>
    <w:rsid w:val="00A41D83"/>
    <w:rsid w:val="00A44944"/>
    <w:rsid w:val="00A46190"/>
    <w:rsid w:val="00A467E2"/>
    <w:rsid w:val="00A5213D"/>
    <w:rsid w:val="00A528C7"/>
    <w:rsid w:val="00A53253"/>
    <w:rsid w:val="00A53EB5"/>
    <w:rsid w:val="00A567DD"/>
    <w:rsid w:val="00A606F7"/>
    <w:rsid w:val="00A6161E"/>
    <w:rsid w:val="00A633C7"/>
    <w:rsid w:val="00A64304"/>
    <w:rsid w:val="00A64B5C"/>
    <w:rsid w:val="00A64DAE"/>
    <w:rsid w:val="00A65ABF"/>
    <w:rsid w:val="00A7529C"/>
    <w:rsid w:val="00A75791"/>
    <w:rsid w:val="00A775B5"/>
    <w:rsid w:val="00A7793E"/>
    <w:rsid w:val="00A77994"/>
    <w:rsid w:val="00A808CC"/>
    <w:rsid w:val="00A8115D"/>
    <w:rsid w:val="00A84A33"/>
    <w:rsid w:val="00A854D5"/>
    <w:rsid w:val="00A871BF"/>
    <w:rsid w:val="00A871EF"/>
    <w:rsid w:val="00A916DF"/>
    <w:rsid w:val="00A91E80"/>
    <w:rsid w:val="00A922EE"/>
    <w:rsid w:val="00A9331C"/>
    <w:rsid w:val="00A9433B"/>
    <w:rsid w:val="00A95732"/>
    <w:rsid w:val="00A969E5"/>
    <w:rsid w:val="00AA03EC"/>
    <w:rsid w:val="00AA1288"/>
    <w:rsid w:val="00AA30F3"/>
    <w:rsid w:val="00AA6618"/>
    <w:rsid w:val="00AA753C"/>
    <w:rsid w:val="00AB0192"/>
    <w:rsid w:val="00AB031B"/>
    <w:rsid w:val="00AB101E"/>
    <w:rsid w:val="00AB2396"/>
    <w:rsid w:val="00AB29A8"/>
    <w:rsid w:val="00AB3B7A"/>
    <w:rsid w:val="00AB4926"/>
    <w:rsid w:val="00AB4BDA"/>
    <w:rsid w:val="00AB4DED"/>
    <w:rsid w:val="00AB5855"/>
    <w:rsid w:val="00AB5E7E"/>
    <w:rsid w:val="00AC11CE"/>
    <w:rsid w:val="00AC1520"/>
    <w:rsid w:val="00AC2184"/>
    <w:rsid w:val="00AC5634"/>
    <w:rsid w:val="00AC5A81"/>
    <w:rsid w:val="00AD00AD"/>
    <w:rsid w:val="00AD184D"/>
    <w:rsid w:val="00AD3BA9"/>
    <w:rsid w:val="00AD4804"/>
    <w:rsid w:val="00AD752C"/>
    <w:rsid w:val="00AD7B6F"/>
    <w:rsid w:val="00AE15A3"/>
    <w:rsid w:val="00AE2AEF"/>
    <w:rsid w:val="00AE3ACB"/>
    <w:rsid w:val="00AE4072"/>
    <w:rsid w:val="00AE70F2"/>
    <w:rsid w:val="00AE7BDC"/>
    <w:rsid w:val="00AF2651"/>
    <w:rsid w:val="00AF2E0F"/>
    <w:rsid w:val="00AF373F"/>
    <w:rsid w:val="00AF64DF"/>
    <w:rsid w:val="00AF76B0"/>
    <w:rsid w:val="00B00C08"/>
    <w:rsid w:val="00B01B87"/>
    <w:rsid w:val="00B01C77"/>
    <w:rsid w:val="00B03CBE"/>
    <w:rsid w:val="00B04826"/>
    <w:rsid w:val="00B061F8"/>
    <w:rsid w:val="00B10558"/>
    <w:rsid w:val="00B11064"/>
    <w:rsid w:val="00B124CB"/>
    <w:rsid w:val="00B174BB"/>
    <w:rsid w:val="00B219E1"/>
    <w:rsid w:val="00B2270C"/>
    <w:rsid w:val="00B2300D"/>
    <w:rsid w:val="00B23C52"/>
    <w:rsid w:val="00B2431E"/>
    <w:rsid w:val="00B249AE"/>
    <w:rsid w:val="00B24E82"/>
    <w:rsid w:val="00B26E85"/>
    <w:rsid w:val="00B27EA5"/>
    <w:rsid w:val="00B30095"/>
    <w:rsid w:val="00B30828"/>
    <w:rsid w:val="00B33348"/>
    <w:rsid w:val="00B33802"/>
    <w:rsid w:val="00B34DD1"/>
    <w:rsid w:val="00B4224D"/>
    <w:rsid w:val="00B42273"/>
    <w:rsid w:val="00B423E5"/>
    <w:rsid w:val="00B440FD"/>
    <w:rsid w:val="00B464CE"/>
    <w:rsid w:val="00B547DA"/>
    <w:rsid w:val="00B54EE9"/>
    <w:rsid w:val="00B60F92"/>
    <w:rsid w:val="00B63B0D"/>
    <w:rsid w:val="00B640EA"/>
    <w:rsid w:val="00B641CE"/>
    <w:rsid w:val="00B647C8"/>
    <w:rsid w:val="00B64997"/>
    <w:rsid w:val="00B64B4E"/>
    <w:rsid w:val="00B66A61"/>
    <w:rsid w:val="00B66ADF"/>
    <w:rsid w:val="00B66C43"/>
    <w:rsid w:val="00B66E5B"/>
    <w:rsid w:val="00B70389"/>
    <w:rsid w:val="00B74192"/>
    <w:rsid w:val="00B74488"/>
    <w:rsid w:val="00B746CA"/>
    <w:rsid w:val="00B773FA"/>
    <w:rsid w:val="00B77EA6"/>
    <w:rsid w:val="00B823D5"/>
    <w:rsid w:val="00B833BC"/>
    <w:rsid w:val="00B83A01"/>
    <w:rsid w:val="00B933A7"/>
    <w:rsid w:val="00B937DF"/>
    <w:rsid w:val="00B93EE1"/>
    <w:rsid w:val="00B95714"/>
    <w:rsid w:val="00B95B70"/>
    <w:rsid w:val="00B97834"/>
    <w:rsid w:val="00BA290D"/>
    <w:rsid w:val="00BA5ED7"/>
    <w:rsid w:val="00BA742E"/>
    <w:rsid w:val="00BA79A4"/>
    <w:rsid w:val="00BB0E56"/>
    <w:rsid w:val="00BB1190"/>
    <w:rsid w:val="00BB2603"/>
    <w:rsid w:val="00BB6556"/>
    <w:rsid w:val="00BB70C0"/>
    <w:rsid w:val="00BB7C7A"/>
    <w:rsid w:val="00BC0E96"/>
    <w:rsid w:val="00BC1870"/>
    <w:rsid w:val="00BC2BEF"/>
    <w:rsid w:val="00BC35ED"/>
    <w:rsid w:val="00BC45D2"/>
    <w:rsid w:val="00BC4B55"/>
    <w:rsid w:val="00BC4CA7"/>
    <w:rsid w:val="00BC556C"/>
    <w:rsid w:val="00BC6D22"/>
    <w:rsid w:val="00BC6E8D"/>
    <w:rsid w:val="00BD0456"/>
    <w:rsid w:val="00BD64F5"/>
    <w:rsid w:val="00BD7ABF"/>
    <w:rsid w:val="00BE2235"/>
    <w:rsid w:val="00BE45F8"/>
    <w:rsid w:val="00BE58D8"/>
    <w:rsid w:val="00BE6E1B"/>
    <w:rsid w:val="00BE7093"/>
    <w:rsid w:val="00BF0E82"/>
    <w:rsid w:val="00BF4EAC"/>
    <w:rsid w:val="00BF692E"/>
    <w:rsid w:val="00C037C3"/>
    <w:rsid w:val="00C03980"/>
    <w:rsid w:val="00C03A4B"/>
    <w:rsid w:val="00C03AA9"/>
    <w:rsid w:val="00C04120"/>
    <w:rsid w:val="00C05240"/>
    <w:rsid w:val="00C10A03"/>
    <w:rsid w:val="00C112B7"/>
    <w:rsid w:val="00C11CED"/>
    <w:rsid w:val="00C123A9"/>
    <w:rsid w:val="00C146E7"/>
    <w:rsid w:val="00C15AF9"/>
    <w:rsid w:val="00C16836"/>
    <w:rsid w:val="00C16DCB"/>
    <w:rsid w:val="00C17925"/>
    <w:rsid w:val="00C216F4"/>
    <w:rsid w:val="00C219D7"/>
    <w:rsid w:val="00C2236D"/>
    <w:rsid w:val="00C22579"/>
    <w:rsid w:val="00C23644"/>
    <w:rsid w:val="00C243C0"/>
    <w:rsid w:val="00C2548D"/>
    <w:rsid w:val="00C272D4"/>
    <w:rsid w:val="00C30107"/>
    <w:rsid w:val="00C3362B"/>
    <w:rsid w:val="00C338D1"/>
    <w:rsid w:val="00C36CD2"/>
    <w:rsid w:val="00C36E97"/>
    <w:rsid w:val="00C37E61"/>
    <w:rsid w:val="00C4133D"/>
    <w:rsid w:val="00C4145F"/>
    <w:rsid w:val="00C42C05"/>
    <w:rsid w:val="00C44BD4"/>
    <w:rsid w:val="00C46C6A"/>
    <w:rsid w:val="00C510AF"/>
    <w:rsid w:val="00C51DDA"/>
    <w:rsid w:val="00C5230D"/>
    <w:rsid w:val="00C53CE4"/>
    <w:rsid w:val="00C54E66"/>
    <w:rsid w:val="00C5537A"/>
    <w:rsid w:val="00C56446"/>
    <w:rsid w:val="00C6022F"/>
    <w:rsid w:val="00C608DB"/>
    <w:rsid w:val="00C60AE2"/>
    <w:rsid w:val="00C61B1C"/>
    <w:rsid w:val="00C6378B"/>
    <w:rsid w:val="00C64921"/>
    <w:rsid w:val="00C66B5C"/>
    <w:rsid w:val="00C70520"/>
    <w:rsid w:val="00C709C0"/>
    <w:rsid w:val="00C70D43"/>
    <w:rsid w:val="00C70F71"/>
    <w:rsid w:val="00C717AC"/>
    <w:rsid w:val="00C739C7"/>
    <w:rsid w:val="00C73A87"/>
    <w:rsid w:val="00C7510C"/>
    <w:rsid w:val="00C81BC6"/>
    <w:rsid w:val="00C81F9E"/>
    <w:rsid w:val="00C83321"/>
    <w:rsid w:val="00C84941"/>
    <w:rsid w:val="00C866E0"/>
    <w:rsid w:val="00C86761"/>
    <w:rsid w:val="00C93CE7"/>
    <w:rsid w:val="00C93DBC"/>
    <w:rsid w:val="00CA2294"/>
    <w:rsid w:val="00CA244A"/>
    <w:rsid w:val="00CA295B"/>
    <w:rsid w:val="00CA29BE"/>
    <w:rsid w:val="00CA3575"/>
    <w:rsid w:val="00CA4CD9"/>
    <w:rsid w:val="00CA64A8"/>
    <w:rsid w:val="00CB1DB9"/>
    <w:rsid w:val="00CB24E7"/>
    <w:rsid w:val="00CB3A1C"/>
    <w:rsid w:val="00CB540A"/>
    <w:rsid w:val="00CB7303"/>
    <w:rsid w:val="00CC0E86"/>
    <w:rsid w:val="00CC11C8"/>
    <w:rsid w:val="00CC1523"/>
    <w:rsid w:val="00CC1A65"/>
    <w:rsid w:val="00CC25AA"/>
    <w:rsid w:val="00CC2E1D"/>
    <w:rsid w:val="00CC2EFF"/>
    <w:rsid w:val="00CC3294"/>
    <w:rsid w:val="00CC38EE"/>
    <w:rsid w:val="00CC47EA"/>
    <w:rsid w:val="00CC75AB"/>
    <w:rsid w:val="00CD375C"/>
    <w:rsid w:val="00CD449B"/>
    <w:rsid w:val="00CD4F51"/>
    <w:rsid w:val="00CD601B"/>
    <w:rsid w:val="00CD6F8F"/>
    <w:rsid w:val="00CE0042"/>
    <w:rsid w:val="00CE0EDE"/>
    <w:rsid w:val="00CE2792"/>
    <w:rsid w:val="00CE373E"/>
    <w:rsid w:val="00CE40BC"/>
    <w:rsid w:val="00CE4C7A"/>
    <w:rsid w:val="00CE674C"/>
    <w:rsid w:val="00CE6C1F"/>
    <w:rsid w:val="00CE734F"/>
    <w:rsid w:val="00CE7AC0"/>
    <w:rsid w:val="00CF0FC9"/>
    <w:rsid w:val="00CF30DD"/>
    <w:rsid w:val="00CF3EBA"/>
    <w:rsid w:val="00CF51C1"/>
    <w:rsid w:val="00CF61F5"/>
    <w:rsid w:val="00CF65D1"/>
    <w:rsid w:val="00CF6EF2"/>
    <w:rsid w:val="00D00195"/>
    <w:rsid w:val="00D02649"/>
    <w:rsid w:val="00D03A77"/>
    <w:rsid w:val="00D06724"/>
    <w:rsid w:val="00D1154A"/>
    <w:rsid w:val="00D11611"/>
    <w:rsid w:val="00D12D2E"/>
    <w:rsid w:val="00D13D16"/>
    <w:rsid w:val="00D14614"/>
    <w:rsid w:val="00D14F28"/>
    <w:rsid w:val="00D167D9"/>
    <w:rsid w:val="00D16E1E"/>
    <w:rsid w:val="00D2003C"/>
    <w:rsid w:val="00D20611"/>
    <w:rsid w:val="00D20BF4"/>
    <w:rsid w:val="00D20C5E"/>
    <w:rsid w:val="00D21E8E"/>
    <w:rsid w:val="00D22DF9"/>
    <w:rsid w:val="00D23E0F"/>
    <w:rsid w:val="00D253DE"/>
    <w:rsid w:val="00D25CB8"/>
    <w:rsid w:val="00D3082D"/>
    <w:rsid w:val="00D313A6"/>
    <w:rsid w:val="00D35662"/>
    <w:rsid w:val="00D36DB6"/>
    <w:rsid w:val="00D4106A"/>
    <w:rsid w:val="00D43EC0"/>
    <w:rsid w:val="00D456F0"/>
    <w:rsid w:val="00D461BA"/>
    <w:rsid w:val="00D46A98"/>
    <w:rsid w:val="00D473C3"/>
    <w:rsid w:val="00D473C7"/>
    <w:rsid w:val="00D5026C"/>
    <w:rsid w:val="00D521C5"/>
    <w:rsid w:val="00D53F97"/>
    <w:rsid w:val="00D5485B"/>
    <w:rsid w:val="00D55022"/>
    <w:rsid w:val="00D55A29"/>
    <w:rsid w:val="00D560B0"/>
    <w:rsid w:val="00D56AF1"/>
    <w:rsid w:val="00D56B95"/>
    <w:rsid w:val="00D5748B"/>
    <w:rsid w:val="00D574B8"/>
    <w:rsid w:val="00D6313B"/>
    <w:rsid w:val="00D64A05"/>
    <w:rsid w:val="00D676BD"/>
    <w:rsid w:val="00D71EB3"/>
    <w:rsid w:val="00D727D7"/>
    <w:rsid w:val="00D772BA"/>
    <w:rsid w:val="00D77F1F"/>
    <w:rsid w:val="00D8074E"/>
    <w:rsid w:val="00D84C50"/>
    <w:rsid w:val="00D873C8"/>
    <w:rsid w:val="00D87B0D"/>
    <w:rsid w:val="00D90DD6"/>
    <w:rsid w:val="00D91406"/>
    <w:rsid w:val="00D9202E"/>
    <w:rsid w:val="00D93234"/>
    <w:rsid w:val="00D93846"/>
    <w:rsid w:val="00D9714C"/>
    <w:rsid w:val="00DA2533"/>
    <w:rsid w:val="00DA33EA"/>
    <w:rsid w:val="00DA4166"/>
    <w:rsid w:val="00DA54A7"/>
    <w:rsid w:val="00DA68BC"/>
    <w:rsid w:val="00DA71CA"/>
    <w:rsid w:val="00DB076B"/>
    <w:rsid w:val="00DB1F66"/>
    <w:rsid w:val="00DB3F43"/>
    <w:rsid w:val="00DB59AC"/>
    <w:rsid w:val="00DB6043"/>
    <w:rsid w:val="00DB7261"/>
    <w:rsid w:val="00DC02A8"/>
    <w:rsid w:val="00DC234F"/>
    <w:rsid w:val="00DC2A9A"/>
    <w:rsid w:val="00DC3709"/>
    <w:rsid w:val="00DC4DBE"/>
    <w:rsid w:val="00DC6779"/>
    <w:rsid w:val="00DC6AC9"/>
    <w:rsid w:val="00DC7609"/>
    <w:rsid w:val="00DD1C13"/>
    <w:rsid w:val="00DD29EC"/>
    <w:rsid w:val="00DD2C55"/>
    <w:rsid w:val="00DD4606"/>
    <w:rsid w:val="00DD4C05"/>
    <w:rsid w:val="00DD65E3"/>
    <w:rsid w:val="00DD7357"/>
    <w:rsid w:val="00DD7E97"/>
    <w:rsid w:val="00DE2D9C"/>
    <w:rsid w:val="00DE6058"/>
    <w:rsid w:val="00DE71C9"/>
    <w:rsid w:val="00DE74F8"/>
    <w:rsid w:val="00DF014D"/>
    <w:rsid w:val="00DF02FE"/>
    <w:rsid w:val="00DF0E05"/>
    <w:rsid w:val="00DF4DA4"/>
    <w:rsid w:val="00DF5C8F"/>
    <w:rsid w:val="00DF7C4C"/>
    <w:rsid w:val="00E010B1"/>
    <w:rsid w:val="00E05241"/>
    <w:rsid w:val="00E05B75"/>
    <w:rsid w:val="00E05D96"/>
    <w:rsid w:val="00E10F67"/>
    <w:rsid w:val="00E14E63"/>
    <w:rsid w:val="00E15251"/>
    <w:rsid w:val="00E16594"/>
    <w:rsid w:val="00E17601"/>
    <w:rsid w:val="00E2159B"/>
    <w:rsid w:val="00E21618"/>
    <w:rsid w:val="00E21653"/>
    <w:rsid w:val="00E22778"/>
    <w:rsid w:val="00E23000"/>
    <w:rsid w:val="00E239B0"/>
    <w:rsid w:val="00E243AA"/>
    <w:rsid w:val="00E24880"/>
    <w:rsid w:val="00E30722"/>
    <w:rsid w:val="00E30766"/>
    <w:rsid w:val="00E3226A"/>
    <w:rsid w:val="00E3346C"/>
    <w:rsid w:val="00E4130A"/>
    <w:rsid w:val="00E4137F"/>
    <w:rsid w:val="00E46563"/>
    <w:rsid w:val="00E470C7"/>
    <w:rsid w:val="00E50363"/>
    <w:rsid w:val="00E503A5"/>
    <w:rsid w:val="00E50B7F"/>
    <w:rsid w:val="00E50BF0"/>
    <w:rsid w:val="00E50D07"/>
    <w:rsid w:val="00E532D9"/>
    <w:rsid w:val="00E53DFB"/>
    <w:rsid w:val="00E54A34"/>
    <w:rsid w:val="00E55022"/>
    <w:rsid w:val="00E55055"/>
    <w:rsid w:val="00E56641"/>
    <w:rsid w:val="00E57C6B"/>
    <w:rsid w:val="00E60DB1"/>
    <w:rsid w:val="00E61C49"/>
    <w:rsid w:val="00E65BC6"/>
    <w:rsid w:val="00E6742D"/>
    <w:rsid w:val="00E6762A"/>
    <w:rsid w:val="00E74715"/>
    <w:rsid w:val="00E753BB"/>
    <w:rsid w:val="00E75D87"/>
    <w:rsid w:val="00E779C6"/>
    <w:rsid w:val="00E813BC"/>
    <w:rsid w:val="00E81462"/>
    <w:rsid w:val="00E8310A"/>
    <w:rsid w:val="00E831B9"/>
    <w:rsid w:val="00E83676"/>
    <w:rsid w:val="00E83BE7"/>
    <w:rsid w:val="00E86178"/>
    <w:rsid w:val="00E87167"/>
    <w:rsid w:val="00E8740C"/>
    <w:rsid w:val="00E87D96"/>
    <w:rsid w:val="00E90755"/>
    <w:rsid w:val="00E920D3"/>
    <w:rsid w:val="00E933F4"/>
    <w:rsid w:val="00E94610"/>
    <w:rsid w:val="00E94F99"/>
    <w:rsid w:val="00E963BD"/>
    <w:rsid w:val="00EA2D12"/>
    <w:rsid w:val="00EB046D"/>
    <w:rsid w:val="00EB0B0A"/>
    <w:rsid w:val="00EB0D78"/>
    <w:rsid w:val="00EB25D0"/>
    <w:rsid w:val="00EB3110"/>
    <w:rsid w:val="00EB362A"/>
    <w:rsid w:val="00EB38E2"/>
    <w:rsid w:val="00EB7D3E"/>
    <w:rsid w:val="00EC26D2"/>
    <w:rsid w:val="00EC2771"/>
    <w:rsid w:val="00EC3E2B"/>
    <w:rsid w:val="00EC4597"/>
    <w:rsid w:val="00EC51F6"/>
    <w:rsid w:val="00ED0C10"/>
    <w:rsid w:val="00ED559E"/>
    <w:rsid w:val="00ED771E"/>
    <w:rsid w:val="00EE276A"/>
    <w:rsid w:val="00EE64F7"/>
    <w:rsid w:val="00EE6A8F"/>
    <w:rsid w:val="00EF1453"/>
    <w:rsid w:val="00EF4073"/>
    <w:rsid w:val="00EF4508"/>
    <w:rsid w:val="00EF4C3D"/>
    <w:rsid w:val="00EF5085"/>
    <w:rsid w:val="00EF7976"/>
    <w:rsid w:val="00F000E7"/>
    <w:rsid w:val="00F00469"/>
    <w:rsid w:val="00F0073C"/>
    <w:rsid w:val="00F00980"/>
    <w:rsid w:val="00F02A8C"/>
    <w:rsid w:val="00F0312A"/>
    <w:rsid w:val="00F032D6"/>
    <w:rsid w:val="00F04212"/>
    <w:rsid w:val="00F045A0"/>
    <w:rsid w:val="00F04A36"/>
    <w:rsid w:val="00F0531D"/>
    <w:rsid w:val="00F06236"/>
    <w:rsid w:val="00F10734"/>
    <w:rsid w:val="00F10A3A"/>
    <w:rsid w:val="00F10D3D"/>
    <w:rsid w:val="00F10F5A"/>
    <w:rsid w:val="00F114BE"/>
    <w:rsid w:val="00F1317E"/>
    <w:rsid w:val="00F15689"/>
    <w:rsid w:val="00F177AB"/>
    <w:rsid w:val="00F203C8"/>
    <w:rsid w:val="00F25DEF"/>
    <w:rsid w:val="00F272AF"/>
    <w:rsid w:val="00F31524"/>
    <w:rsid w:val="00F33751"/>
    <w:rsid w:val="00F34323"/>
    <w:rsid w:val="00F34325"/>
    <w:rsid w:val="00F35308"/>
    <w:rsid w:val="00F3590E"/>
    <w:rsid w:val="00F37682"/>
    <w:rsid w:val="00F37783"/>
    <w:rsid w:val="00F40E0F"/>
    <w:rsid w:val="00F4255F"/>
    <w:rsid w:val="00F42C8A"/>
    <w:rsid w:val="00F50DC3"/>
    <w:rsid w:val="00F522FB"/>
    <w:rsid w:val="00F53088"/>
    <w:rsid w:val="00F53572"/>
    <w:rsid w:val="00F53C96"/>
    <w:rsid w:val="00F53FDE"/>
    <w:rsid w:val="00F546AA"/>
    <w:rsid w:val="00F553BA"/>
    <w:rsid w:val="00F5665E"/>
    <w:rsid w:val="00F5743A"/>
    <w:rsid w:val="00F62100"/>
    <w:rsid w:val="00F63116"/>
    <w:rsid w:val="00F66CFD"/>
    <w:rsid w:val="00F70026"/>
    <w:rsid w:val="00F71F49"/>
    <w:rsid w:val="00F7209D"/>
    <w:rsid w:val="00F7455C"/>
    <w:rsid w:val="00F74C2D"/>
    <w:rsid w:val="00F75EC6"/>
    <w:rsid w:val="00F76187"/>
    <w:rsid w:val="00F7680D"/>
    <w:rsid w:val="00F81573"/>
    <w:rsid w:val="00F8557A"/>
    <w:rsid w:val="00F85C8C"/>
    <w:rsid w:val="00F86EC9"/>
    <w:rsid w:val="00F87616"/>
    <w:rsid w:val="00F87B26"/>
    <w:rsid w:val="00F91C51"/>
    <w:rsid w:val="00F92881"/>
    <w:rsid w:val="00F9293D"/>
    <w:rsid w:val="00F93AE1"/>
    <w:rsid w:val="00F942C0"/>
    <w:rsid w:val="00F94FDD"/>
    <w:rsid w:val="00F95E27"/>
    <w:rsid w:val="00F9628B"/>
    <w:rsid w:val="00F972AA"/>
    <w:rsid w:val="00F97413"/>
    <w:rsid w:val="00F976F7"/>
    <w:rsid w:val="00FA041C"/>
    <w:rsid w:val="00FA0A72"/>
    <w:rsid w:val="00FA1CE9"/>
    <w:rsid w:val="00FA4B8C"/>
    <w:rsid w:val="00FA6742"/>
    <w:rsid w:val="00FA721D"/>
    <w:rsid w:val="00FB2930"/>
    <w:rsid w:val="00FB5622"/>
    <w:rsid w:val="00FB7075"/>
    <w:rsid w:val="00FC12AC"/>
    <w:rsid w:val="00FC13BA"/>
    <w:rsid w:val="00FC395D"/>
    <w:rsid w:val="00FC43FC"/>
    <w:rsid w:val="00FC471A"/>
    <w:rsid w:val="00FC48AE"/>
    <w:rsid w:val="00FC6615"/>
    <w:rsid w:val="00FC6A7D"/>
    <w:rsid w:val="00FD1774"/>
    <w:rsid w:val="00FD424A"/>
    <w:rsid w:val="00FD64DF"/>
    <w:rsid w:val="00FE40E5"/>
    <w:rsid w:val="00FE4DD4"/>
    <w:rsid w:val="00FE5420"/>
    <w:rsid w:val="00FE565E"/>
    <w:rsid w:val="00FF11FE"/>
    <w:rsid w:val="00FF50AD"/>
    <w:rsid w:val="00FF590F"/>
    <w:rsid w:val="00FF64EA"/>
    <w:rsid w:val="00FF6E02"/>
    <w:rsid w:val="00FF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AA61B"/>
  <w15:chartTrackingRefBased/>
  <w15:docId w15:val="{34E90A7E-43BB-4B07-8A31-6E9CC2D6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BE"/>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8204BE"/>
    <w:pPr>
      <w:widowControl w:val="0"/>
      <w:autoSpaceDE w:val="0"/>
      <w:autoSpaceDN w:val="0"/>
      <w:ind w:left="840"/>
      <w:outlineLvl w:val="0"/>
    </w:pPr>
    <w:rPr>
      <w:rFonts w:eastAsia="Times New Roman"/>
      <w:b/>
      <w:bCs/>
      <w:lang w:val="en-US" w:eastAsia="en-US"/>
    </w:rPr>
  </w:style>
  <w:style w:type="paragraph" w:styleId="Heading2">
    <w:name w:val="heading 2"/>
    <w:basedOn w:val="Normal"/>
    <w:next w:val="Normal"/>
    <w:link w:val="Heading2Char"/>
    <w:uiPriority w:val="9"/>
    <w:unhideWhenUsed/>
    <w:qFormat/>
    <w:rsid w:val="008204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04B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04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4BE"/>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8204BE"/>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8204BE"/>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8204BE"/>
    <w:rPr>
      <w:rFonts w:asciiTheme="majorHAnsi" w:eastAsiaTheme="majorEastAsia" w:hAnsiTheme="majorHAnsi" w:cstheme="majorBidi"/>
      <w:i/>
      <w:iCs/>
      <w:color w:val="2F5496" w:themeColor="accent1" w:themeShade="BF"/>
      <w:sz w:val="24"/>
      <w:szCs w:val="24"/>
      <w:lang w:eastAsia="en-GB"/>
    </w:rPr>
  </w:style>
  <w:style w:type="paragraph" w:styleId="ListParagraph">
    <w:name w:val="List Paragraph"/>
    <w:basedOn w:val="Normal"/>
    <w:uiPriority w:val="34"/>
    <w:qFormat/>
    <w:rsid w:val="008204BE"/>
    <w:pPr>
      <w:ind w:left="720"/>
      <w:contextualSpacing/>
    </w:pPr>
  </w:style>
  <w:style w:type="paragraph" w:styleId="FootnoteText">
    <w:name w:val="footnote text"/>
    <w:basedOn w:val="Normal"/>
    <w:link w:val="FootnoteTextChar"/>
    <w:uiPriority w:val="99"/>
    <w:semiHidden/>
    <w:unhideWhenUsed/>
    <w:rsid w:val="008204BE"/>
    <w:rPr>
      <w:sz w:val="20"/>
      <w:szCs w:val="20"/>
    </w:rPr>
  </w:style>
  <w:style w:type="character" w:customStyle="1" w:styleId="FootnoteTextChar">
    <w:name w:val="Footnote Text Char"/>
    <w:basedOn w:val="DefaultParagraphFont"/>
    <w:link w:val="FootnoteText"/>
    <w:uiPriority w:val="99"/>
    <w:semiHidden/>
    <w:rsid w:val="008204BE"/>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204BE"/>
    <w:rPr>
      <w:vertAlign w:val="superscript"/>
    </w:rPr>
  </w:style>
  <w:style w:type="character" w:styleId="Hyperlink">
    <w:name w:val="Hyperlink"/>
    <w:basedOn w:val="DefaultParagraphFont"/>
    <w:uiPriority w:val="99"/>
    <w:unhideWhenUsed/>
    <w:rsid w:val="008204BE"/>
    <w:rPr>
      <w:color w:val="0563C1" w:themeColor="hyperlink"/>
      <w:u w:val="single"/>
    </w:rPr>
  </w:style>
  <w:style w:type="paragraph" w:styleId="Caption">
    <w:name w:val="caption"/>
    <w:basedOn w:val="Normal"/>
    <w:next w:val="Normal"/>
    <w:uiPriority w:val="35"/>
    <w:unhideWhenUsed/>
    <w:qFormat/>
    <w:rsid w:val="008204BE"/>
    <w:pPr>
      <w:spacing w:after="200"/>
    </w:pPr>
    <w:rPr>
      <w:i/>
      <w:iCs/>
      <w:color w:val="44546A" w:themeColor="text2"/>
      <w:sz w:val="18"/>
      <w:szCs w:val="18"/>
    </w:rPr>
  </w:style>
  <w:style w:type="paragraph" w:styleId="Header">
    <w:name w:val="header"/>
    <w:basedOn w:val="Normal"/>
    <w:link w:val="HeaderChar"/>
    <w:uiPriority w:val="99"/>
    <w:unhideWhenUsed/>
    <w:rsid w:val="008204BE"/>
    <w:pPr>
      <w:tabs>
        <w:tab w:val="center" w:pos="4513"/>
        <w:tab w:val="right" w:pos="9026"/>
      </w:tabs>
    </w:pPr>
  </w:style>
  <w:style w:type="character" w:customStyle="1" w:styleId="HeaderChar">
    <w:name w:val="Header Char"/>
    <w:basedOn w:val="DefaultParagraphFont"/>
    <w:link w:val="Header"/>
    <w:uiPriority w:val="99"/>
    <w:rsid w:val="008204BE"/>
    <w:rPr>
      <w:rFonts w:ascii="Times New Roman" w:hAnsi="Times New Roman" w:cs="Times New Roman"/>
      <w:sz w:val="24"/>
      <w:szCs w:val="24"/>
      <w:lang w:eastAsia="en-GB"/>
    </w:rPr>
  </w:style>
  <w:style w:type="paragraph" w:styleId="Footer">
    <w:name w:val="footer"/>
    <w:basedOn w:val="Normal"/>
    <w:link w:val="FooterChar"/>
    <w:uiPriority w:val="99"/>
    <w:unhideWhenUsed/>
    <w:rsid w:val="008204BE"/>
    <w:pPr>
      <w:tabs>
        <w:tab w:val="center" w:pos="4513"/>
        <w:tab w:val="right" w:pos="9026"/>
      </w:tabs>
    </w:pPr>
  </w:style>
  <w:style w:type="character" w:customStyle="1" w:styleId="FooterChar">
    <w:name w:val="Footer Char"/>
    <w:basedOn w:val="DefaultParagraphFont"/>
    <w:link w:val="Footer"/>
    <w:uiPriority w:val="99"/>
    <w:rsid w:val="008204BE"/>
    <w:rPr>
      <w:rFonts w:ascii="Times New Roman" w:hAnsi="Times New Roman" w:cs="Times New Roman"/>
      <w:sz w:val="24"/>
      <w:szCs w:val="24"/>
      <w:lang w:eastAsia="en-GB"/>
    </w:rPr>
  </w:style>
  <w:style w:type="paragraph" w:styleId="BodyText">
    <w:name w:val="Body Text"/>
    <w:basedOn w:val="Normal"/>
    <w:link w:val="BodyTextChar"/>
    <w:uiPriority w:val="1"/>
    <w:qFormat/>
    <w:rsid w:val="008204BE"/>
    <w:pPr>
      <w:widowControl w:val="0"/>
      <w:autoSpaceDE w:val="0"/>
      <w:autoSpaceDN w:val="0"/>
    </w:pPr>
    <w:rPr>
      <w:rFonts w:eastAsia="Times New Roman"/>
      <w:lang w:val="en-US" w:eastAsia="en-US"/>
    </w:rPr>
  </w:style>
  <w:style w:type="character" w:customStyle="1" w:styleId="BodyTextChar">
    <w:name w:val="Body Text Char"/>
    <w:basedOn w:val="DefaultParagraphFont"/>
    <w:link w:val="BodyText"/>
    <w:uiPriority w:val="1"/>
    <w:rsid w:val="008204BE"/>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204BE"/>
  </w:style>
  <w:style w:type="paragraph" w:styleId="TOC1">
    <w:name w:val="toc 1"/>
    <w:basedOn w:val="Normal"/>
    <w:next w:val="Normal"/>
    <w:autoRedefine/>
    <w:uiPriority w:val="39"/>
    <w:unhideWhenUsed/>
    <w:rsid w:val="008204BE"/>
    <w:pPr>
      <w:spacing w:after="100"/>
    </w:pPr>
  </w:style>
  <w:style w:type="paragraph" w:styleId="TOC2">
    <w:name w:val="toc 2"/>
    <w:basedOn w:val="Normal"/>
    <w:next w:val="Normal"/>
    <w:autoRedefine/>
    <w:uiPriority w:val="39"/>
    <w:unhideWhenUsed/>
    <w:rsid w:val="008204BE"/>
    <w:pPr>
      <w:spacing w:after="100"/>
      <w:ind w:left="240"/>
    </w:pPr>
  </w:style>
  <w:style w:type="paragraph" w:styleId="TOC3">
    <w:name w:val="toc 3"/>
    <w:basedOn w:val="Normal"/>
    <w:next w:val="Normal"/>
    <w:autoRedefine/>
    <w:uiPriority w:val="39"/>
    <w:unhideWhenUsed/>
    <w:rsid w:val="008204BE"/>
    <w:pPr>
      <w:spacing w:after="100"/>
      <w:ind w:left="480"/>
    </w:pPr>
  </w:style>
  <w:style w:type="paragraph" w:customStyle="1" w:styleId="msonormal0">
    <w:name w:val="msonormal"/>
    <w:basedOn w:val="Normal"/>
    <w:rsid w:val="008204BE"/>
    <w:pPr>
      <w:spacing w:before="100" w:beforeAutospacing="1" w:after="100" w:afterAutospacing="1"/>
    </w:pPr>
    <w:rPr>
      <w:rFonts w:eastAsia="Times New Roman"/>
    </w:rPr>
  </w:style>
  <w:style w:type="paragraph" w:customStyle="1" w:styleId="xl65">
    <w:name w:val="xl65"/>
    <w:basedOn w:val="Normal"/>
    <w:rsid w:val="008204BE"/>
    <w:pPr>
      <w:spacing w:before="100" w:beforeAutospacing="1" w:after="100" w:afterAutospacing="1"/>
      <w:jc w:val="center"/>
    </w:pPr>
    <w:rPr>
      <w:rFonts w:eastAsia="Times New Roman"/>
    </w:rPr>
  </w:style>
  <w:style w:type="paragraph" w:customStyle="1" w:styleId="xl66">
    <w:name w:val="xl66"/>
    <w:basedOn w:val="Normal"/>
    <w:rsid w:val="008204BE"/>
    <w:pPr>
      <w:shd w:val="clear" w:color="000000" w:fill="BDD7EE"/>
      <w:spacing w:before="100" w:beforeAutospacing="1" w:after="100" w:afterAutospacing="1"/>
      <w:jc w:val="center"/>
    </w:pPr>
    <w:rPr>
      <w:rFonts w:eastAsia="Times New Roman"/>
      <w:b/>
      <w:bCs/>
    </w:rPr>
  </w:style>
  <w:style w:type="paragraph" w:customStyle="1" w:styleId="xl67">
    <w:name w:val="xl67"/>
    <w:basedOn w:val="Normal"/>
    <w:rsid w:val="008204BE"/>
    <w:pPr>
      <w:pBdr>
        <w:bottom w:val="single" w:sz="4" w:space="0" w:color="auto"/>
      </w:pBdr>
      <w:shd w:val="clear" w:color="000000" w:fill="BDD7EE"/>
      <w:spacing w:before="100" w:beforeAutospacing="1" w:after="100" w:afterAutospacing="1"/>
      <w:jc w:val="center"/>
    </w:pPr>
    <w:rPr>
      <w:rFonts w:eastAsia="Times New Roman"/>
      <w:b/>
      <w:bCs/>
    </w:rPr>
  </w:style>
  <w:style w:type="paragraph" w:customStyle="1" w:styleId="xl68">
    <w:name w:val="xl68"/>
    <w:basedOn w:val="Normal"/>
    <w:rsid w:val="008204BE"/>
    <w:pPr>
      <w:shd w:val="clear" w:color="000000" w:fill="BDD7EE"/>
      <w:spacing w:before="100" w:beforeAutospacing="1" w:after="100" w:afterAutospacing="1"/>
      <w:jc w:val="center"/>
    </w:pPr>
    <w:rPr>
      <w:rFonts w:eastAsia="Times New Roman"/>
    </w:rPr>
  </w:style>
  <w:style w:type="paragraph" w:customStyle="1" w:styleId="xl69">
    <w:name w:val="xl69"/>
    <w:basedOn w:val="Normal"/>
    <w:rsid w:val="008204BE"/>
    <w:pPr>
      <w:pBdr>
        <w:bottom w:val="single" w:sz="4" w:space="0" w:color="auto"/>
      </w:pBdr>
      <w:shd w:val="clear" w:color="000000" w:fill="BDD7EE"/>
      <w:spacing w:before="100" w:beforeAutospacing="1" w:after="100" w:afterAutospacing="1"/>
      <w:jc w:val="center"/>
      <w:textAlignment w:val="center"/>
    </w:pPr>
    <w:rPr>
      <w:rFonts w:eastAsia="Times New Roman"/>
    </w:rPr>
  </w:style>
  <w:style w:type="paragraph" w:customStyle="1" w:styleId="xl70">
    <w:name w:val="xl70"/>
    <w:basedOn w:val="Normal"/>
    <w:rsid w:val="008204BE"/>
    <w:pPr>
      <w:shd w:val="clear" w:color="000000" w:fill="BDD7EE"/>
      <w:spacing w:before="100" w:beforeAutospacing="1" w:after="100" w:afterAutospacing="1"/>
      <w:jc w:val="center"/>
      <w:textAlignment w:val="center"/>
    </w:pPr>
    <w:rPr>
      <w:rFonts w:eastAsia="Times New Roman"/>
    </w:rPr>
  </w:style>
  <w:style w:type="paragraph" w:customStyle="1" w:styleId="xl71">
    <w:name w:val="xl71"/>
    <w:basedOn w:val="Normal"/>
    <w:rsid w:val="008204BE"/>
    <w:pPr>
      <w:pBdr>
        <w:top w:val="single" w:sz="4" w:space="0" w:color="auto"/>
        <w:bottom w:val="single" w:sz="4" w:space="0" w:color="auto"/>
      </w:pBdr>
      <w:shd w:val="clear" w:color="000000" w:fill="BDD7EE"/>
      <w:spacing w:before="100" w:beforeAutospacing="1" w:after="100" w:afterAutospacing="1"/>
      <w:jc w:val="center"/>
      <w:textAlignment w:val="center"/>
    </w:pPr>
    <w:rPr>
      <w:rFonts w:eastAsia="Times New Roman"/>
    </w:rPr>
  </w:style>
  <w:style w:type="paragraph" w:customStyle="1" w:styleId="xl72">
    <w:name w:val="xl72"/>
    <w:basedOn w:val="Normal"/>
    <w:rsid w:val="008204BE"/>
    <w:pPr>
      <w:shd w:val="clear" w:color="000000" w:fill="BDD7EE"/>
      <w:spacing w:before="100" w:beforeAutospacing="1" w:after="100" w:afterAutospacing="1"/>
      <w:jc w:val="center"/>
    </w:pPr>
    <w:rPr>
      <w:rFonts w:eastAsia="Times New Roman"/>
    </w:rPr>
  </w:style>
  <w:style w:type="paragraph" w:customStyle="1" w:styleId="xl73">
    <w:name w:val="xl73"/>
    <w:basedOn w:val="Normal"/>
    <w:rsid w:val="008204BE"/>
    <w:pPr>
      <w:shd w:val="clear" w:color="000000" w:fill="BDD7EE"/>
      <w:spacing w:before="100" w:beforeAutospacing="1" w:after="100" w:afterAutospacing="1"/>
    </w:pPr>
    <w:rPr>
      <w:rFonts w:eastAsia="Times New Roman"/>
    </w:rPr>
  </w:style>
  <w:style w:type="paragraph" w:customStyle="1" w:styleId="xl74">
    <w:name w:val="xl74"/>
    <w:basedOn w:val="Normal"/>
    <w:rsid w:val="008204BE"/>
    <w:pPr>
      <w:shd w:val="clear" w:color="000000" w:fill="BDD7EE"/>
      <w:spacing w:before="100" w:beforeAutospacing="1" w:after="100" w:afterAutospacing="1"/>
    </w:pPr>
    <w:rPr>
      <w:rFonts w:eastAsia="Times New Roman"/>
    </w:rPr>
  </w:style>
  <w:style w:type="paragraph" w:customStyle="1" w:styleId="xl75">
    <w:name w:val="xl75"/>
    <w:basedOn w:val="Normal"/>
    <w:rsid w:val="008204BE"/>
    <w:pPr>
      <w:shd w:val="clear" w:color="000000" w:fill="BDD7EE"/>
      <w:spacing w:before="100" w:beforeAutospacing="1" w:after="100" w:afterAutospacing="1"/>
      <w:jc w:val="center"/>
    </w:pPr>
    <w:rPr>
      <w:rFonts w:eastAsia="Times New Roman"/>
      <w:b/>
      <w:bCs/>
    </w:rPr>
  </w:style>
  <w:style w:type="paragraph" w:customStyle="1" w:styleId="xl76">
    <w:name w:val="xl76"/>
    <w:basedOn w:val="Normal"/>
    <w:rsid w:val="008204BE"/>
    <w:pPr>
      <w:pBdr>
        <w:bottom w:val="single" w:sz="4" w:space="0" w:color="auto"/>
      </w:pBdr>
      <w:shd w:val="clear" w:color="000000" w:fill="BDD7EE"/>
      <w:spacing w:before="100" w:beforeAutospacing="1" w:after="100" w:afterAutospacing="1"/>
      <w:jc w:val="center"/>
    </w:pPr>
    <w:rPr>
      <w:rFonts w:eastAsia="Times New Roman"/>
      <w:b/>
      <w:bCs/>
    </w:rPr>
  </w:style>
  <w:style w:type="paragraph" w:styleId="TOCHeading">
    <w:name w:val="TOC Heading"/>
    <w:basedOn w:val="Heading1"/>
    <w:next w:val="Normal"/>
    <w:uiPriority w:val="39"/>
    <w:unhideWhenUsed/>
    <w:qFormat/>
    <w:rsid w:val="008204B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4">
    <w:name w:val="toc 4"/>
    <w:basedOn w:val="Normal"/>
    <w:next w:val="Normal"/>
    <w:autoRedefine/>
    <w:uiPriority w:val="39"/>
    <w:unhideWhenUsed/>
    <w:rsid w:val="008204BE"/>
    <w:pPr>
      <w:spacing w:after="100"/>
      <w:ind w:left="720"/>
    </w:pPr>
  </w:style>
  <w:style w:type="paragraph" w:customStyle="1" w:styleId="xl77">
    <w:name w:val="xl77"/>
    <w:basedOn w:val="Normal"/>
    <w:rsid w:val="008204BE"/>
    <w:pPr>
      <w:shd w:val="clear" w:color="000000" w:fill="BDD7EE"/>
      <w:spacing w:before="100" w:beforeAutospacing="1" w:after="100" w:afterAutospacing="1"/>
      <w:textAlignment w:val="center"/>
    </w:pPr>
    <w:rPr>
      <w:rFonts w:eastAsia="Times New Roman"/>
    </w:rPr>
  </w:style>
  <w:style w:type="paragraph" w:customStyle="1" w:styleId="xl78">
    <w:name w:val="xl78"/>
    <w:basedOn w:val="Normal"/>
    <w:rsid w:val="008204BE"/>
    <w:pPr>
      <w:shd w:val="clear" w:color="000000" w:fill="BDD7EE"/>
      <w:spacing w:before="100" w:beforeAutospacing="1" w:after="100" w:afterAutospacing="1"/>
      <w:jc w:val="center"/>
    </w:pPr>
    <w:rPr>
      <w:rFonts w:eastAsia="Times New Roman"/>
    </w:rPr>
  </w:style>
  <w:style w:type="paragraph" w:customStyle="1" w:styleId="xl79">
    <w:name w:val="xl79"/>
    <w:basedOn w:val="Normal"/>
    <w:rsid w:val="008204BE"/>
    <w:pPr>
      <w:shd w:val="clear" w:color="000000" w:fill="BDD7EE"/>
      <w:spacing w:before="100" w:beforeAutospacing="1" w:after="100" w:afterAutospacing="1"/>
    </w:pPr>
    <w:rPr>
      <w:rFonts w:eastAsia="Times New Roman"/>
    </w:rPr>
  </w:style>
  <w:style w:type="paragraph" w:customStyle="1" w:styleId="xl80">
    <w:name w:val="xl80"/>
    <w:basedOn w:val="Normal"/>
    <w:rsid w:val="008204BE"/>
    <w:pPr>
      <w:shd w:val="clear" w:color="000000" w:fill="BDD7EE"/>
      <w:spacing w:before="100" w:beforeAutospacing="1" w:after="100" w:afterAutospacing="1"/>
    </w:pPr>
    <w:rPr>
      <w:rFonts w:eastAsia="Times New Roman"/>
    </w:rPr>
  </w:style>
  <w:style w:type="paragraph" w:styleId="TableofFigures">
    <w:name w:val="table of figures"/>
    <w:basedOn w:val="Normal"/>
    <w:next w:val="Normal"/>
    <w:uiPriority w:val="99"/>
    <w:unhideWhenUsed/>
    <w:rsid w:val="008204BE"/>
  </w:style>
  <w:style w:type="character" w:customStyle="1" w:styleId="BalloonTextChar">
    <w:name w:val="Balloon Text Char"/>
    <w:basedOn w:val="DefaultParagraphFont"/>
    <w:link w:val="BalloonText"/>
    <w:uiPriority w:val="99"/>
    <w:semiHidden/>
    <w:rsid w:val="008204BE"/>
    <w:rPr>
      <w:rFonts w:ascii="Segoe UI" w:hAnsi="Segoe UI" w:cs="Segoe UI"/>
      <w:sz w:val="18"/>
      <w:szCs w:val="18"/>
      <w:lang w:eastAsia="en-GB"/>
    </w:rPr>
  </w:style>
  <w:style w:type="paragraph" w:styleId="BalloonText">
    <w:name w:val="Balloon Text"/>
    <w:basedOn w:val="Normal"/>
    <w:link w:val="BalloonTextChar"/>
    <w:uiPriority w:val="99"/>
    <w:semiHidden/>
    <w:unhideWhenUsed/>
    <w:rsid w:val="008204BE"/>
    <w:rPr>
      <w:rFonts w:ascii="Segoe UI" w:hAnsi="Segoe UI" w:cs="Segoe UI"/>
      <w:sz w:val="18"/>
      <w:szCs w:val="18"/>
    </w:rPr>
  </w:style>
  <w:style w:type="character" w:customStyle="1" w:styleId="BalloonTextChar1">
    <w:name w:val="Balloon Text Char1"/>
    <w:basedOn w:val="DefaultParagraphFont"/>
    <w:uiPriority w:val="99"/>
    <w:semiHidden/>
    <w:rsid w:val="008204BE"/>
    <w:rPr>
      <w:rFonts w:ascii="Segoe UI" w:hAnsi="Segoe UI" w:cs="Segoe UI"/>
      <w:sz w:val="18"/>
      <w:szCs w:val="18"/>
      <w:lang w:eastAsia="en-GB"/>
    </w:rPr>
  </w:style>
  <w:style w:type="paragraph" w:customStyle="1" w:styleId="xl81">
    <w:name w:val="xl81"/>
    <w:basedOn w:val="Normal"/>
    <w:rsid w:val="008204BE"/>
    <w:pPr>
      <w:pBdr>
        <w:bottom w:val="single" w:sz="4" w:space="0" w:color="auto"/>
      </w:pBdr>
      <w:spacing w:before="100" w:beforeAutospacing="1" w:after="100" w:afterAutospacing="1"/>
      <w:textAlignment w:val="center"/>
    </w:pPr>
    <w:rPr>
      <w:rFonts w:eastAsia="Times New Roman"/>
      <w:color w:val="000000"/>
      <w:sz w:val="18"/>
      <w:szCs w:val="18"/>
    </w:rPr>
  </w:style>
  <w:style w:type="paragraph" w:customStyle="1" w:styleId="xl82">
    <w:name w:val="xl82"/>
    <w:basedOn w:val="Normal"/>
    <w:rsid w:val="008204BE"/>
    <w:pPr>
      <w:pBdr>
        <w:bottom w:val="single" w:sz="4" w:space="0" w:color="auto"/>
      </w:pBdr>
      <w:spacing w:before="100" w:beforeAutospacing="1" w:after="100" w:afterAutospacing="1"/>
    </w:pPr>
    <w:rPr>
      <w:rFonts w:eastAsia="Times New Roman"/>
      <w:sz w:val="18"/>
      <w:szCs w:val="18"/>
    </w:rPr>
  </w:style>
  <w:style w:type="paragraph" w:customStyle="1" w:styleId="xl83">
    <w:name w:val="xl83"/>
    <w:basedOn w:val="Normal"/>
    <w:rsid w:val="008204BE"/>
    <w:pPr>
      <w:pBdr>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84">
    <w:name w:val="xl84"/>
    <w:basedOn w:val="Normal"/>
    <w:rsid w:val="008204BE"/>
    <w:pPr>
      <w:spacing w:before="100" w:beforeAutospacing="1" w:after="100" w:afterAutospacing="1"/>
    </w:pPr>
    <w:rPr>
      <w:rFonts w:eastAsia="Times New Roman"/>
      <w:sz w:val="16"/>
      <w:szCs w:val="16"/>
    </w:rPr>
  </w:style>
  <w:style w:type="paragraph" w:customStyle="1" w:styleId="xl85">
    <w:name w:val="xl85"/>
    <w:basedOn w:val="Normal"/>
    <w:rsid w:val="008204BE"/>
    <w:pPr>
      <w:spacing w:before="100" w:beforeAutospacing="1" w:after="100" w:afterAutospacing="1"/>
    </w:pPr>
    <w:rPr>
      <w:rFonts w:eastAsia="Times New Roman"/>
      <w:b/>
      <w:bCs/>
      <w:color w:val="000000"/>
      <w:sz w:val="16"/>
      <w:szCs w:val="16"/>
    </w:rPr>
  </w:style>
  <w:style w:type="paragraph" w:customStyle="1" w:styleId="xl86">
    <w:name w:val="xl86"/>
    <w:basedOn w:val="Normal"/>
    <w:rsid w:val="008204BE"/>
    <w:pPr>
      <w:spacing w:before="100" w:beforeAutospacing="1" w:after="100" w:afterAutospacing="1"/>
      <w:jc w:val="center"/>
    </w:pPr>
    <w:rPr>
      <w:rFonts w:eastAsia="Times New Roman"/>
      <w:sz w:val="16"/>
      <w:szCs w:val="16"/>
    </w:rPr>
  </w:style>
  <w:style w:type="paragraph" w:customStyle="1" w:styleId="xl87">
    <w:name w:val="xl87"/>
    <w:basedOn w:val="Normal"/>
    <w:rsid w:val="008204BE"/>
    <w:pPr>
      <w:pBdr>
        <w:right w:val="single" w:sz="4" w:space="0" w:color="auto"/>
      </w:pBdr>
      <w:spacing w:before="100" w:beforeAutospacing="1" w:after="100" w:afterAutospacing="1"/>
      <w:textAlignment w:val="center"/>
    </w:pPr>
    <w:rPr>
      <w:rFonts w:eastAsia="Times New Roman"/>
      <w:sz w:val="16"/>
      <w:szCs w:val="16"/>
    </w:rPr>
  </w:style>
  <w:style w:type="paragraph" w:customStyle="1" w:styleId="xl88">
    <w:name w:val="xl88"/>
    <w:basedOn w:val="Normal"/>
    <w:rsid w:val="008204BE"/>
    <w:pPr>
      <w:spacing w:before="100" w:beforeAutospacing="1" w:after="100" w:afterAutospacing="1"/>
      <w:jc w:val="center"/>
      <w:textAlignment w:val="center"/>
    </w:pPr>
    <w:rPr>
      <w:rFonts w:eastAsia="Times New Roman"/>
      <w:sz w:val="16"/>
      <w:szCs w:val="16"/>
    </w:rPr>
  </w:style>
  <w:style w:type="paragraph" w:customStyle="1" w:styleId="xl89">
    <w:name w:val="xl89"/>
    <w:basedOn w:val="Normal"/>
    <w:rsid w:val="008204BE"/>
    <w:pPr>
      <w:spacing w:before="100" w:beforeAutospacing="1" w:after="100" w:afterAutospacing="1"/>
      <w:jc w:val="center"/>
      <w:textAlignment w:val="center"/>
    </w:pPr>
    <w:rPr>
      <w:rFonts w:eastAsia="Times New Roman"/>
      <w:sz w:val="16"/>
      <w:szCs w:val="16"/>
    </w:rPr>
  </w:style>
  <w:style w:type="paragraph" w:customStyle="1" w:styleId="xl90">
    <w:name w:val="xl90"/>
    <w:basedOn w:val="Normal"/>
    <w:rsid w:val="008204BE"/>
    <w:pPr>
      <w:spacing w:before="100" w:beforeAutospacing="1" w:after="100" w:afterAutospacing="1"/>
      <w:jc w:val="center"/>
      <w:textAlignment w:val="center"/>
    </w:pPr>
    <w:rPr>
      <w:rFonts w:eastAsia="Times New Roman"/>
      <w:color w:val="000000"/>
      <w:sz w:val="16"/>
      <w:szCs w:val="16"/>
    </w:rPr>
  </w:style>
  <w:style w:type="paragraph" w:customStyle="1" w:styleId="xl91">
    <w:name w:val="xl91"/>
    <w:basedOn w:val="Normal"/>
    <w:rsid w:val="008204BE"/>
    <w:pPr>
      <w:pBdr>
        <w:right w:val="single" w:sz="4" w:space="0" w:color="auto"/>
      </w:pBdr>
      <w:spacing w:before="100" w:beforeAutospacing="1" w:after="100" w:afterAutospacing="1"/>
      <w:textAlignment w:val="center"/>
    </w:pPr>
    <w:rPr>
      <w:rFonts w:eastAsia="Times New Roman"/>
      <w:color w:val="000000"/>
      <w:sz w:val="16"/>
      <w:szCs w:val="16"/>
    </w:rPr>
  </w:style>
  <w:style w:type="paragraph" w:customStyle="1" w:styleId="xl92">
    <w:name w:val="xl92"/>
    <w:basedOn w:val="Normal"/>
    <w:rsid w:val="008204BE"/>
    <w:pPr>
      <w:spacing w:before="100" w:beforeAutospacing="1" w:after="100" w:afterAutospacing="1"/>
    </w:pPr>
    <w:rPr>
      <w:rFonts w:eastAsia="Times New Roman"/>
      <w:sz w:val="16"/>
      <w:szCs w:val="16"/>
    </w:rPr>
  </w:style>
  <w:style w:type="paragraph" w:customStyle="1" w:styleId="xl93">
    <w:name w:val="xl93"/>
    <w:basedOn w:val="Normal"/>
    <w:rsid w:val="008204BE"/>
    <w:pPr>
      <w:pBdr>
        <w:bottom w:val="single" w:sz="4" w:space="0" w:color="auto"/>
        <w:right w:val="single" w:sz="4" w:space="0" w:color="auto"/>
      </w:pBdr>
      <w:spacing w:before="100" w:beforeAutospacing="1" w:after="100" w:afterAutospacing="1"/>
      <w:textAlignment w:val="center"/>
    </w:pPr>
    <w:rPr>
      <w:rFonts w:eastAsia="Times New Roman"/>
      <w:color w:val="000000"/>
      <w:sz w:val="16"/>
      <w:szCs w:val="16"/>
    </w:rPr>
  </w:style>
  <w:style w:type="paragraph" w:customStyle="1" w:styleId="xl94">
    <w:name w:val="xl94"/>
    <w:basedOn w:val="Normal"/>
    <w:rsid w:val="008204BE"/>
    <w:pPr>
      <w:pBdr>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
    <w:name w:val="xl95"/>
    <w:basedOn w:val="Normal"/>
    <w:rsid w:val="008204BE"/>
    <w:pPr>
      <w:pBdr>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96">
    <w:name w:val="xl96"/>
    <w:basedOn w:val="Normal"/>
    <w:rsid w:val="008204BE"/>
    <w:pPr>
      <w:pBdr>
        <w:bottom w:val="single" w:sz="4" w:space="0" w:color="auto"/>
      </w:pBdr>
      <w:spacing w:before="100" w:beforeAutospacing="1" w:after="100" w:afterAutospacing="1"/>
      <w:jc w:val="center"/>
      <w:textAlignment w:val="center"/>
    </w:pPr>
    <w:rPr>
      <w:rFonts w:eastAsia="Times New Roman"/>
      <w:color w:val="000000"/>
      <w:sz w:val="16"/>
      <w:szCs w:val="16"/>
    </w:rPr>
  </w:style>
  <w:style w:type="paragraph" w:customStyle="1" w:styleId="xl97">
    <w:name w:val="xl97"/>
    <w:basedOn w:val="Normal"/>
    <w:rsid w:val="008204BE"/>
    <w:pPr>
      <w:spacing w:before="100" w:beforeAutospacing="1" w:after="100" w:afterAutospacing="1"/>
      <w:jc w:val="center"/>
      <w:textAlignment w:val="center"/>
    </w:pPr>
    <w:rPr>
      <w:rFonts w:eastAsia="Times New Roman"/>
      <w:sz w:val="16"/>
      <w:szCs w:val="16"/>
    </w:rPr>
  </w:style>
  <w:style w:type="paragraph" w:customStyle="1" w:styleId="xl98">
    <w:name w:val="xl98"/>
    <w:basedOn w:val="Normal"/>
    <w:rsid w:val="008204BE"/>
    <w:pPr>
      <w:spacing w:before="100" w:beforeAutospacing="1" w:after="100" w:afterAutospacing="1"/>
      <w:jc w:val="center"/>
      <w:textAlignment w:val="center"/>
    </w:pPr>
    <w:rPr>
      <w:rFonts w:eastAsia="Times New Roman"/>
      <w:sz w:val="16"/>
      <w:szCs w:val="16"/>
    </w:rPr>
  </w:style>
  <w:style w:type="paragraph" w:customStyle="1" w:styleId="xl99">
    <w:name w:val="xl99"/>
    <w:basedOn w:val="Normal"/>
    <w:rsid w:val="008204BE"/>
    <w:pPr>
      <w:pBdr>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00">
    <w:name w:val="xl100"/>
    <w:basedOn w:val="Normal"/>
    <w:rsid w:val="008204BE"/>
    <w:pPr>
      <w:pBdr>
        <w:top w:val="single" w:sz="4" w:space="0" w:color="auto"/>
      </w:pBdr>
      <w:spacing w:before="100" w:beforeAutospacing="1" w:after="100" w:afterAutospacing="1"/>
    </w:pPr>
    <w:rPr>
      <w:rFonts w:eastAsia="Times New Roman"/>
      <w:sz w:val="16"/>
      <w:szCs w:val="16"/>
    </w:rPr>
  </w:style>
  <w:style w:type="paragraph" w:styleId="NoSpacing">
    <w:name w:val="No Spacing"/>
    <w:link w:val="NoSpacingChar"/>
    <w:uiPriority w:val="1"/>
    <w:qFormat/>
    <w:rsid w:val="008204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204BE"/>
    <w:rPr>
      <w:rFonts w:eastAsiaTheme="minorEastAsia"/>
      <w:lang w:val="en-US"/>
    </w:rPr>
  </w:style>
  <w:style w:type="paragraph" w:customStyle="1" w:styleId="paragraph">
    <w:name w:val="paragraph"/>
    <w:basedOn w:val="Normal"/>
    <w:rsid w:val="008204BE"/>
    <w:pPr>
      <w:spacing w:before="100" w:beforeAutospacing="1" w:after="100" w:afterAutospacing="1"/>
    </w:pPr>
    <w:rPr>
      <w:rFonts w:eastAsia="Times New Roman"/>
    </w:rPr>
  </w:style>
  <w:style w:type="character" w:customStyle="1" w:styleId="eop">
    <w:name w:val="eop"/>
    <w:basedOn w:val="DefaultParagraphFont"/>
    <w:rsid w:val="008204BE"/>
  </w:style>
  <w:style w:type="character" w:customStyle="1" w:styleId="spellingerror">
    <w:name w:val="spellingerror"/>
    <w:basedOn w:val="DefaultParagraphFont"/>
    <w:rsid w:val="008204BE"/>
  </w:style>
  <w:style w:type="paragraph" w:styleId="CommentText">
    <w:name w:val="annotation text"/>
    <w:basedOn w:val="Normal"/>
    <w:link w:val="CommentTextChar"/>
    <w:uiPriority w:val="99"/>
    <w:unhideWhenUsed/>
    <w:rsid w:val="008204BE"/>
    <w:rPr>
      <w:sz w:val="20"/>
      <w:szCs w:val="20"/>
    </w:rPr>
  </w:style>
  <w:style w:type="character" w:customStyle="1" w:styleId="CommentTextChar">
    <w:name w:val="Comment Text Char"/>
    <w:basedOn w:val="DefaultParagraphFont"/>
    <w:link w:val="CommentText"/>
    <w:uiPriority w:val="99"/>
    <w:rsid w:val="008204BE"/>
    <w:rPr>
      <w:rFonts w:ascii="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8204BE"/>
    <w:rPr>
      <w:rFonts w:ascii="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8204BE"/>
    <w:rPr>
      <w:b/>
      <w:bCs/>
    </w:rPr>
  </w:style>
  <w:style w:type="character" w:customStyle="1" w:styleId="CommentSubjectChar1">
    <w:name w:val="Comment Subject Char1"/>
    <w:basedOn w:val="CommentTextChar"/>
    <w:uiPriority w:val="99"/>
    <w:semiHidden/>
    <w:rsid w:val="008204BE"/>
    <w:rPr>
      <w:rFonts w:ascii="Times New Roman" w:hAnsi="Times New Roman" w:cs="Times New Roman"/>
      <w:b/>
      <w:bCs/>
      <w:sz w:val="20"/>
      <w:szCs w:val="20"/>
      <w:lang w:eastAsia="en-GB"/>
    </w:rPr>
  </w:style>
  <w:style w:type="paragraph" w:styleId="Title">
    <w:name w:val="Title"/>
    <w:basedOn w:val="Normal"/>
    <w:next w:val="Normal"/>
    <w:link w:val="TitleChar"/>
    <w:uiPriority w:val="10"/>
    <w:qFormat/>
    <w:rsid w:val="008204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4BE"/>
    <w:rPr>
      <w:rFonts w:asciiTheme="majorHAnsi" w:eastAsiaTheme="majorEastAsia" w:hAnsiTheme="majorHAnsi" w:cstheme="majorBidi"/>
      <w:spacing w:val="-10"/>
      <w:kern w:val="28"/>
      <w:sz w:val="56"/>
      <w:szCs w:val="56"/>
      <w:lang w:eastAsia="en-GB"/>
    </w:rPr>
  </w:style>
  <w:style w:type="character" w:customStyle="1" w:styleId="EndnoteTextChar">
    <w:name w:val="Endnote Text Char"/>
    <w:basedOn w:val="DefaultParagraphFont"/>
    <w:link w:val="EndnoteText"/>
    <w:uiPriority w:val="99"/>
    <w:semiHidden/>
    <w:rsid w:val="008204BE"/>
    <w:rPr>
      <w:sz w:val="20"/>
      <w:szCs w:val="20"/>
    </w:rPr>
  </w:style>
  <w:style w:type="paragraph" w:styleId="EndnoteText">
    <w:name w:val="endnote text"/>
    <w:basedOn w:val="Normal"/>
    <w:link w:val="EndnoteTextChar"/>
    <w:uiPriority w:val="99"/>
    <w:semiHidden/>
    <w:unhideWhenUsed/>
    <w:rsid w:val="008204BE"/>
    <w:rPr>
      <w:rFonts w:asciiTheme="minorHAnsi" w:hAnsiTheme="minorHAnsi" w:cstheme="minorBidi"/>
      <w:sz w:val="20"/>
      <w:szCs w:val="20"/>
      <w:lang w:eastAsia="en-US"/>
    </w:rPr>
  </w:style>
  <w:style w:type="character" w:customStyle="1" w:styleId="EndnoteTextChar1">
    <w:name w:val="Endnote Text Char1"/>
    <w:basedOn w:val="DefaultParagraphFont"/>
    <w:uiPriority w:val="99"/>
    <w:semiHidden/>
    <w:rsid w:val="008204BE"/>
    <w:rPr>
      <w:rFonts w:ascii="Times New Roman" w:hAnsi="Times New Roman" w:cs="Times New Roman"/>
      <w:sz w:val="20"/>
      <w:szCs w:val="20"/>
      <w:lang w:eastAsia="en-GB"/>
    </w:rPr>
  </w:style>
  <w:style w:type="character" w:styleId="Strong">
    <w:name w:val="Strong"/>
    <w:basedOn w:val="DefaultParagraphFont"/>
    <w:uiPriority w:val="22"/>
    <w:qFormat/>
    <w:rsid w:val="008204BE"/>
    <w:rPr>
      <w:b/>
      <w:bCs/>
    </w:rPr>
  </w:style>
  <w:style w:type="paragraph" w:styleId="NormalWeb">
    <w:name w:val="Normal (Web)"/>
    <w:basedOn w:val="Normal"/>
    <w:uiPriority w:val="99"/>
    <w:unhideWhenUsed/>
    <w:rsid w:val="008204BE"/>
    <w:pPr>
      <w:spacing w:before="100" w:beforeAutospacing="1" w:after="100" w:afterAutospacing="1"/>
    </w:pPr>
    <w:rPr>
      <w:rFonts w:eastAsia="Times New Roman"/>
    </w:rPr>
  </w:style>
  <w:style w:type="character" w:customStyle="1" w:styleId="acopre">
    <w:name w:val="acopre"/>
    <w:basedOn w:val="DefaultParagraphFont"/>
    <w:rsid w:val="008204BE"/>
  </w:style>
  <w:style w:type="paragraph" w:styleId="TOC5">
    <w:name w:val="toc 5"/>
    <w:basedOn w:val="Normal"/>
    <w:next w:val="Normal"/>
    <w:autoRedefine/>
    <w:uiPriority w:val="39"/>
    <w:unhideWhenUsed/>
    <w:rsid w:val="008204B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204B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204B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204B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204BE"/>
    <w:pPr>
      <w:spacing w:after="100" w:line="259"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8204BE"/>
    <w:pPr>
      <w:spacing w:after="0" w:line="240" w:lineRule="auto"/>
    </w:pPr>
    <w:rPr>
      <w:rFonts w:ascii="Times New Roman" w:eastAsiaTheme="minorEastAsia"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4BE"/>
    <w:rPr>
      <w:sz w:val="16"/>
      <w:szCs w:val="16"/>
    </w:rPr>
  </w:style>
  <w:style w:type="character" w:customStyle="1" w:styleId="UnresolvedMention1">
    <w:name w:val="Unresolved Mention1"/>
    <w:basedOn w:val="DefaultParagraphFont"/>
    <w:uiPriority w:val="99"/>
    <w:semiHidden/>
    <w:unhideWhenUsed/>
    <w:rsid w:val="00FF590F"/>
    <w:rPr>
      <w:color w:val="605E5C"/>
      <w:shd w:val="clear" w:color="auto" w:fill="E1DFDD"/>
    </w:rPr>
  </w:style>
  <w:style w:type="character" w:styleId="FollowedHyperlink">
    <w:name w:val="FollowedHyperlink"/>
    <w:basedOn w:val="DefaultParagraphFont"/>
    <w:uiPriority w:val="99"/>
    <w:semiHidden/>
    <w:unhideWhenUsed/>
    <w:rsid w:val="00C2548D"/>
    <w:rPr>
      <w:color w:val="954F72" w:themeColor="followedHyperlink"/>
      <w:u w:val="single"/>
    </w:rPr>
  </w:style>
  <w:style w:type="character" w:styleId="PlaceholderText">
    <w:name w:val="Placeholder Text"/>
    <w:basedOn w:val="DefaultParagraphFont"/>
    <w:uiPriority w:val="99"/>
    <w:semiHidden/>
    <w:rsid w:val="00130408"/>
    <w:rPr>
      <w:color w:val="808080"/>
    </w:rPr>
  </w:style>
  <w:style w:type="paragraph" w:styleId="Revision">
    <w:name w:val="Revision"/>
    <w:hidden/>
    <w:uiPriority w:val="99"/>
    <w:semiHidden/>
    <w:rsid w:val="00242845"/>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6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044317">
      <w:bodyDiv w:val="1"/>
      <w:marLeft w:val="0"/>
      <w:marRight w:val="0"/>
      <w:marTop w:val="0"/>
      <w:marBottom w:val="0"/>
      <w:divBdr>
        <w:top w:val="none" w:sz="0" w:space="0" w:color="auto"/>
        <w:left w:val="none" w:sz="0" w:space="0" w:color="auto"/>
        <w:bottom w:val="none" w:sz="0" w:space="0" w:color="auto"/>
        <w:right w:val="none" w:sz="0" w:space="0" w:color="auto"/>
      </w:divBdr>
    </w:div>
    <w:div w:id="1661696821">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77/0148558X2110465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emmings@bangor.ac.uk" TargetMode="External"/><Relationship Id="rId5" Type="http://schemas.openxmlformats.org/officeDocument/2006/relationships/numbering" Target="numbering.xml"/><Relationship Id="rId15" Type="http://schemas.openxmlformats.org/officeDocument/2006/relationships/hyperlink" Target="https://corpgov.law.harvard.edu/2016/07/18/the-jobs-act-did-it-accomplish-its-goals/?fbclid=IwAR0qRU_REbGM-J9vx8W9O6XqLZECP1imyEzSEeFRuN7k6lz-2cFPiq3d-x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pgov.law.harvard.edu/2016/07/18/the-jobs-act-did-it-accomplish-its-goals/?fbclid=IwAR0qRU_REbGM-J9vx8W9O6XqLZECP1imyEzSEeFRuN7k6lz-2cFPiq3d-x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ec.gov/edgar/searchedgar/company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A0BC5EE39FFC488E67F1AA81742209" ma:contentTypeVersion="12" ma:contentTypeDescription="Create a new document." ma:contentTypeScope="" ma:versionID="e9c4a83cb9a81c7e0086899f3962d37f">
  <xsd:schema xmlns:xsd="http://www.w3.org/2001/XMLSchema" xmlns:xs="http://www.w3.org/2001/XMLSchema" xmlns:p="http://schemas.microsoft.com/office/2006/metadata/properties" xmlns:ns3="c25614a5-ceea-4339-a22b-b071769ac43f" xmlns:ns4="247a8e0d-d6fa-48f2-b643-53365640328f" targetNamespace="http://schemas.microsoft.com/office/2006/metadata/properties" ma:root="true" ma:fieldsID="2a146781ad099498075fa8f249ed652e" ns3:_="" ns4:_="">
    <xsd:import namespace="c25614a5-ceea-4339-a22b-b071769ac43f"/>
    <xsd:import namespace="247a8e0d-d6fa-48f2-b643-533656403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614a5-ceea-4339-a22b-b071769ac4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a8e0d-d6fa-48f2-b643-53365640328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444D8-249A-4A5A-9A84-5123E77C30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F63851-B376-47BB-B6DC-AD6A4F5B9F5D}">
  <ds:schemaRefs>
    <ds:schemaRef ds:uri="http://schemas.openxmlformats.org/officeDocument/2006/bibliography"/>
  </ds:schemaRefs>
</ds:datastoreItem>
</file>

<file path=customXml/itemProps3.xml><?xml version="1.0" encoding="utf-8"?>
<ds:datastoreItem xmlns:ds="http://schemas.openxmlformats.org/officeDocument/2006/customXml" ds:itemID="{061ACB9D-BE78-4DD7-9ECB-1B879C908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614a5-ceea-4339-a22b-b071769ac43f"/>
    <ds:schemaRef ds:uri="247a8e0d-d6fa-48f2-b643-533656403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F32E6-7DFD-4A9C-99C7-0F1EC697C8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6369</TotalTime>
  <Pages>1</Pages>
  <Words>15337</Words>
  <Characters>87427</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102559</CharactersWithSpaces>
  <SharedDoc>false</SharedDoc>
  <HLinks>
    <vt:vector size="54" baseType="variant">
      <vt:variant>
        <vt:i4>4849720</vt:i4>
      </vt:variant>
      <vt:variant>
        <vt:i4>54</vt:i4>
      </vt:variant>
      <vt:variant>
        <vt:i4>0</vt:i4>
      </vt:variant>
      <vt:variant>
        <vt:i4>5</vt:i4>
      </vt:variant>
      <vt:variant>
        <vt:lpwstr>https://corpgov.law.harvard.edu/2016/07/18/the-jobs-act-did-it-accomplish-its-goals/?fbclid=IwAR0qRU_REbGM-J9vx8W9O6XqLZECP1imyEzSEeFRuN7k6lz-2cFPiq3d-xI</vt:lpwstr>
      </vt:variant>
      <vt:variant>
        <vt:lpwstr/>
      </vt:variant>
      <vt:variant>
        <vt:i4>4849720</vt:i4>
      </vt:variant>
      <vt:variant>
        <vt:i4>51</vt:i4>
      </vt:variant>
      <vt:variant>
        <vt:i4>0</vt:i4>
      </vt:variant>
      <vt:variant>
        <vt:i4>5</vt:i4>
      </vt:variant>
      <vt:variant>
        <vt:lpwstr>https://corpgov.law.harvard.edu/2016/07/18/the-jobs-act-did-it-accomplish-its-goals/?fbclid=IwAR0qRU_REbGM-J9vx8W9O6XqLZECP1imyEzSEeFRuN7k6lz-2cFPiq3d-xI</vt:lpwstr>
      </vt:variant>
      <vt:variant>
        <vt:lpwstr/>
      </vt:variant>
      <vt:variant>
        <vt:i4>4849720</vt:i4>
      </vt:variant>
      <vt:variant>
        <vt:i4>48</vt:i4>
      </vt:variant>
      <vt:variant>
        <vt:i4>0</vt:i4>
      </vt:variant>
      <vt:variant>
        <vt:i4>5</vt:i4>
      </vt:variant>
      <vt:variant>
        <vt:lpwstr>https://corpgov.law.harvard.edu/2016/07/18/the-jobs-act-did-it-accomplish-its-goals/?fbclid=IwAR0qRU_REbGM-J9vx8W9O6XqLZECP1imyEzSEeFRuN7k6lz-2cFPiq3d-xI</vt:lpwstr>
      </vt:variant>
      <vt:variant>
        <vt:lpwstr/>
      </vt:variant>
      <vt:variant>
        <vt:i4>524301</vt:i4>
      </vt:variant>
      <vt:variant>
        <vt:i4>45</vt:i4>
      </vt:variant>
      <vt:variant>
        <vt:i4>0</vt:i4>
      </vt:variant>
      <vt:variant>
        <vt:i4>5</vt:i4>
      </vt:variant>
      <vt:variant>
        <vt:lpwstr>https://www.sec.gov/Article/whatwedo.html</vt:lpwstr>
      </vt:variant>
      <vt:variant>
        <vt:lpwstr/>
      </vt:variant>
      <vt:variant>
        <vt:i4>851989</vt:i4>
      </vt:variant>
      <vt:variant>
        <vt:i4>42</vt:i4>
      </vt:variant>
      <vt:variant>
        <vt:i4>0</vt:i4>
      </vt:variant>
      <vt:variant>
        <vt:i4>5</vt:i4>
      </vt:variant>
      <vt:variant>
        <vt:lpwstr>https://www.otcmarkets.com/files/keatingWhitepaper.pdf. Accessed 3 November 2021</vt:lpwstr>
      </vt:variant>
      <vt:variant>
        <vt:lpwstr/>
      </vt:variant>
      <vt:variant>
        <vt:i4>2687081</vt:i4>
      </vt:variant>
      <vt:variant>
        <vt:i4>39</vt:i4>
      </vt:variant>
      <vt:variant>
        <vt:i4>0</vt:i4>
      </vt:variant>
      <vt:variant>
        <vt:i4>5</vt:i4>
      </vt:variant>
      <vt:variant>
        <vt:lpwstr>https://sites.temple.edu/tudsc/2017/02/07/automated-content-analysis-wheres-human/</vt:lpwstr>
      </vt:variant>
      <vt:variant>
        <vt:lpwstr/>
      </vt:variant>
      <vt:variant>
        <vt:i4>7536741</vt:i4>
      </vt:variant>
      <vt:variant>
        <vt:i4>36</vt:i4>
      </vt:variant>
      <vt:variant>
        <vt:i4>0</vt:i4>
      </vt:variant>
      <vt:variant>
        <vt:i4>5</vt:i4>
      </vt:variant>
      <vt:variant>
        <vt:lpwstr>https://www.forbes.com/sites/matthewherper/2013/07/19/why-the-jobs-act-is-a-lifesaver-for-life-sciences-companies/</vt:lpwstr>
      </vt:variant>
      <vt:variant>
        <vt:lpwstr>3fea6e467340</vt:lpwstr>
      </vt:variant>
      <vt:variant>
        <vt:i4>7143522</vt:i4>
      </vt:variant>
      <vt:variant>
        <vt:i4>33</vt:i4>
      </vt:variant>
      <vt:variant>
        <vt:i4>0</vt:i4>
      </vt:variant>
      <vt:variant>
        <vt:i4>5</vt:i4>
      </vt:variant>
      <vt:variant>
        <vt:lpwstr>https://www.forbes.com/sites/matthewherper/2013/07/19/why-the-jobs-act-is-a-lifesaver-</vt:lpwstr>
      </vt:variant>
      <vt:variant>
        <vt:lpwstr/>
      </vt:variant>
      <vt:variant>
        <vt:i4>655452</vt:i4>
      </vt:variant>
      <vt:variant>
        <vt:i4>0</vt:i4>
      </vt:variant>
      <vt:variant>
        <vt:i4>0</vt:i4>
      </vt:variant>
      <vt:variant>
        <vt:i4>5</vt:i4>
      </vt:variant>
      <vt:variant>
        <vt:lpwstr>https://www.sec.gov/edgar/searchedgar/companysearch.html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Jaafar</dc:creator>
  <cp:keywords/>
  <dc:description/>
  <cp:lastModifiedBy>Tran, Vy 4</cp:lastModifiedBy>
  <cp:revision>193</cp:revision>
  <dcterms:created xsi:type="dcterms:W3CDTF">2021-12-13T10:06:00Z</dcterms:created>
  <dcterms:modified xsi:type="dcterms:W3CDTF">2022-10-30T13:18:00Z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0x0101001EA0BC5EE39FFC488E67F1AA81742209</vt:lpwstr>
  </property>
</Properties>
</file>