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10" w:rsidRPr="004343A0" w:rsidRDefault="006C4310" w:rsidP="00633E83">
      <w:pPr>
        <w:spacing w:line="480" w:lineRule="auto"/>
        <w:jc w:val="both"/>
        <w:rPr>
          <w:rFonts w:cs="Arial"/>
          <w:b/>
          <w:sz w:val="24"/>
        </w:rPr>
      </w:pPr>
      <w:bookmarkStart w:id="0" w:name="_GoBack"/>
      <w:bookmarkEnd w:id="0"/>
      <w:r w:rsidRPr="004343A0">
        <w:rPr>
          <w:rFonts w:cs="Arial"/>
          <w:b/>
          <w:sz w:val="24"/>
        </w:rPr>
        <w:t>Promoting low carbon home adaptations and behavioural change in the Older Community</w:t>
      </w:r>
    </w:p>
    <w:p w:rsidR="006C4310" w:rsidRPr="004343A0" w:rsidRDefault="006C4310" w:rsidP="00633E83">
      <w:pPr>
        <w:spacing w:after="200" w:line="480" w:lineRule="auto"/>
        <w:jc w:val="both"/>
        <w:rPr>
          <w:rFonts w:cs="Arial"/>
          <w:sz w:val="20"/>
        </w:rPr>
      </w:pPr>
    </w:p>
    <w:p w:rsidR="006C4310" w:rsidRPr="004343A0" w:rsidRDefault="006C4310" w:rsidP="00633E83">
      <w:pPr>
        <w:spacing w:line="480" w:lineRule="auto"/>
        <w:jc w:val="both"/>
        <w:outlineLvl w:val="0"/>
        <w:rPr>
          <w:rFonts w:cs="Arial"/>
          <w:b/>
          <w:sz w:val="20"/>
          <w:szCs w:val="20"/>
          <w:vertAlign w:val="superscript"/>
        </w:rPr>
      </w:pPr>
      <w:r w:rsidRPr="004343A0">
        <w:rPr>
          <w:rFonts w:cs="Arial"/>
          <w:b/>
          <w:sz w:val="20"/>
          <w:szCs w:val="20"/>
        </w:rPr>
        <w:t>Yamuna Kaluarachchi</w:t>
      </w:r>
    </w:p>
    <w:p w:rsidR="006C4310" w:rsidRPr="004343A0" w:rsidRDefault="006C4310" w:rsidP="00633E83">
      <w:pPr>
        <w:spacing w:line="480" w:lineRule="auto"/>
        <w:jc w:val="both"/>
        <w:outlineLvl w:val="0"/>
        <w:rPr>
          <w:rFonts w:cs="Arial"/>
          <w:sz w:val="20"/>
          <w:szCs w:val="20"/>
        </w:rPr>
      </w:pPr>
      <w:r w:rsidRPr="004343A0">
        <w:rPr>
          <w:rFonts w:cs="Arial"/>
          <w:sz w:val="20"/>
          <w:szCs w:val="20"/>
        </w:rPr>
        <w:t>Reader</w:t>
      </w:r>
    </w:p>
    <w:p w:rsidR="006C4310" w:rsidRPr="004343A0" w:rsidRDefault="006C4310" w:rsidP="00633E83">
      <w:pPr>
        <w:widowControl w:val="0"/>
        <w:autoSpaceDE w:val="0"/>
        <w:autoSpaceDN w:val="0"/>
        <w:adjustRightInd w:val="0"/>
        <w:spacing w:line="480" w:lineRule="auto"/>
        <w:jc w:val="both"/>
        <w:rPr>
          <w:rFonts w:eastAsiaTheme="minorHAnsi" w:cs="Courier"/>
          <w:sz w:val="20"/>
          <w:szCs w:val="26"/>
          <w:lang w:val="en-US" w:eastAsia="en-US"/>
        </w:rPr>
      </w:pPr>
      <w:r w:rsidRPr="004343A0">
        <w:rPr>
          <w:rFonts w:eastAsiaTheme="minorHAnsi" w:cs="Courier"/>
          <w:sz w:val="20"/>
          <w:szCs w:val="26"/>
          <w:lang w:val="en-US" w:eastAsia="en-US"/>
        </w:rPr>
        <w:t>School of Surveying &amp; Planning</w:t>
      </w:r>
    </w:p>
    <w:p w:rsidR="006C4310" w:rsidRPr="004343A0" w:rsidRDefault="006C4310" w:rsidP="00633E83">
      <w:pPr>
        <w:spacing w:line="480" w:lineRule="auto"/>
        <w:jc w:val="both"/>
        <w:outlineLvl w:val="0"/>
        <w:rPr>
          <w:rFonts w:eastAsiaTheme="minorHAnsi" w:cs="Courier"/>
          <w:sz w:val="20"/>
          <w:szCs w:val="26"/>
          <w:lang w:val="en-US" w:eastAsia="en-US"/>
        </w:rPr>
      </w:pPr>
      <w:r w:rsidRPr="004343A0">
        <w:rPr>
          <w:rFonts w:eastAsiaTheme="minorHAnsi" w:cs="Courier"/>
          <w:sz w:val="20"/>
          <w:szCs w:val="26"/>
          <w:lang w:val="en-US" w:eastAsia="en-US"/>
        </w:rPr>
        <w:t>Kingston University</w:t>
      </w:r>
    </w:p>
    <w:p w:rsidR="006C4310" w:rsidRPr="004343A0" w:rsidRDefault="006C4310" w:rsidP="00633E83">
      <w:pPr>
        <w:spacing w:line="480" w:lineRule="auto"/>
        <w:jc w:val="both"/>
        <w:outlineLvl w:val="0"/>
        <w:rPr>
          <w:rFonts w:eastAsiaTheme="minorHAnsi" w:cs="Courier"/>
          <w:sz w:val="20"/>
          <w:szCs w:val="26"/>
          <w:lang w:val="en-US" w:eastAsia="en-US"/>
        </w:rPr>
      </w:pPr>
      <w:r w:rsidRPr="004343A0">
        <w:rPr>
          <w:rFonts w:eastAsiaTheme="minorHAnsi" w:cs="Courier"/>
          <w:sz w:val="20"/>
          <w:szCs w:val="26"/>
          <w:lang w:val="en-US" w:eastAsia="en-US"/>
        </w:rPr>
        <w:t>Penrhyn Road</w:t>
      </w:r>
    </w:p>
    <w:p w:rsidR="006C4310" w:rsidRPr="004343A0" w:rsidRDefault="006C4310" w:rsidP="00633E83">
      <w:pPr>
        <w:spacing w:line="480" w:lineRule="auto"/>
        <w:jc w:val="both"/>
        <w:outlineLvl w:val="0"/>
        <w:rPr>
          <w:rFonts w:eastAsiaTheme="minorHAnsi" w:cs="Courier"/>
          <w:sz w:val="20"/>
          <w:szCs w:val="26"/>
          <w:lang w:val="en-US" w:eastAsia="en-US"/>
        </w:rPr>
      </w:pPr>
      <w:r w:rsidRPr="004343A0">
        <w:rPr>
          <w:rFonts w:eastAsiaTheme="minorHAnsi" w:cs="Courier"/>
          <w:sz w:val="20"/>
          <w:szCs w:val="26"/>
          <w:lang w:val="en-US" w:eastAsia="en-US"/>
        </w:rPr>
        <w:t>Kingston Upon Thames</w:t>
      </w:r>
    </w:p>
    <w:p w:rsidR="006C4310" w:rsidRPr="004343A0" w:rsidRDefault="006C4310" w:rsidP="00633E83">
      <w:pPr>
        <w:spacing w:line="480" w:lineRule="auto"/>
        <w:jc w:val="both"/>
        <w:outlineLvl w:val="0"/>
        <w:rPr>
          <w:rFonts w:cs="Arial"/>
          <w:sz w:val="20"/>
          <w:szCs w:val="20"/>
          <w:vertAlign w:val="superscript"/>
        </w:rPr>
      </w:pPr>
      <w:r w:rsidRPr="004343A0">
        <w:rPr>
          <w:rFonts w:eastAsiaTheme="minorHAnsi" w:cs="Courier"/>
          <w:sz w:val="20"/>
          <w:szCs w:val="26"/>
          <w:lang w:val="en-US" w:eastAsia="en-US"/>
        </w:rPr>
        <w:t>KT1 2EE</w:t>
      </w:r>
    </w:p>
    <w:p w:rsidR="006C4310" w:rsidRPr="004343A0" w:rsidRDefault="006C4310" w:rsidP="00633E83">
      <w:pPr>
        <w:spacing w:line="480" w:lineRule="auto"/>
        <w:jc w:val="both"/>
        <w:rPr>
          <w:rFonts w:cs="Arial"/>
          <w:sz w:val="20"/>
          <w:szCs w:val="20"/>
        </w:rPr>
      </w:pPr>
      <w:r w:rsidRPr="004343A0">
        <w:rPr>
          <w:rFonts w:eastAsiaTheme="minorHAnsi" w:cs="Calibri"/>
          <w:sz w:val="20"/>
          <w:szCs w:val="30"/>
          <w:lang w:val="en-US" w:eastAsia="en-US"/>
        </w:rPr>
        <w:t>Tel: +44 208 417 7190</w:t>
      </w:r>
    </w:p>
    <w:p w:rsidR="006C4310" w:rsidRPr="004343A0" w:rsidRDefault="00D42A4D" w:rsidP="00633E83">
      <w:pPr>
        <w:spacing w:line="480" w:lineRule="auto"/>
        <w:jc w:val="both"/>
        <w:outlineLvl w:val="0"/>
        <w:rPr>
          <w:rFonts w:cs="Arial"/>
          <w:sz w:val="20"/>
          <w:szCs w:val="20"/>
          <w:vertAlign w:val="superscript"/>
        </w:rPr>
      </w:pPr>
      <w:r w:rsidRPr="004343A0">
        <w:rPr>
          <w:sz w:val="20"/>
        </w:rPr>
        <w:t xml:space="preserve">Fax </w:t>
      </w:r>
      <w:r w:rsidRPr="004343A0">
        <w:rPr>
          <w:rFonts w:eastAsiaTheme="minorHAnsi" w:cs="Calibri"/>
          <w:sz w:val="20"/>
          <w:szCs w:val="30"/>
          <w:lang w:val="en-US" w:eastAsia="en-US"/>
        </w:rPr>
        <w:t xml:space="preserve">+44 </w:t>
      </w:r>
      <w:r w:rsidRPr="004343A0">
        <w:rPr>
          <w:sz w:val="20"/>
        </w:rPr>
        <w:t>208 417 7078</w:t>
      </w:r>
    </w:p>
    <w:p w:rsidR="00D42A4D" w:rsidRPr="004343A0" w:rsidRDefault="00D42A4D" w:rsidP="00633E83">
      <w:pPr>
        <w:spacing w:line="480" w:lineRule="auto"/>
        <w:jc w:val="both"/>
        <w:outlineLvl w:val="0"/>
        <w:rPr>
          <w:rFonts w:cs="Arial"/>
          <w:sz w:val="20"/>
          <w:szCs w:val="20"/>
        </w:rPr>
      </w:pPr>
    </w:p>
    <w:p w:rsidR="006C4310" w:rsidRPr="004343A0" w:rsidRDefault="006C4310" w:rsidP="00633E83">
      <w:pPr>
        <w:spacing w:line="480" w:lineRule="auto"/>
        <w:jc w:val="both"/>
        <w:outlineLvl w:val="0"/>
        <w:rPr>
          <w:rFonts w:cs="Arial"/>
          <w:b/>
          <w:sz w:val="20"/>
          <w:szCs w:val="20"/>
        </w:rPr>
      </w:pPr>
      <w:r w:rsidRPr="004343A0">
        <w:rPr>
          <w:rFonts w:cs="Arial"/>
          <w:b/>
          <w:sz w:val="20"/>
          <w:szCs w:val="20"/>
        </w:rPr>
        <w:t>Y.Kaluarachchi@kingston.ac.uk</w:t>
      </w:r>
    </w:p>
    <w:p w:rsidR="006C4310" w:rsidRPr="004343A0" w:rsidRDefault="006C4310" w:rsidP="00633E83">
      <w:pPr>
        <w:spacing w:line="480" w:lineRule="auto"/>
        <w:jc w:val="both"/>
        <w:outlineLvl w:val="0"/>
        <w:rPr>
          <w:rFonts w:cs="Arial"/>
          <w:sz w:val="20"/>
          <w:szCs w:val="20"/>
          <w:vertAlign w:val="superscript"/>
        </w:rPr>
      </w:pPr>
    </w:p>
    <w:p w:rsidR="006C4310" w:rsidRPr="004343A0" w:rsidRDefault="006C4310" w:rsidP="00633E83">
      <w:pPr>
        <w:spacing w:line="480" w:lineRule="auto"/>
        <w:jc w:val="both"/>
        <w:outlineLvl w:val="0"/>
        <w:rPr>
          <w:rFonts w:cs="Arial"/>
          <w:sz w:val="20"/>
          <w:szCs w:val="20"/>
        </w:rPr>
      </w:pPr>
      <w:r w:rsidRPr="004343A0">
        <w:rPr>
          <w:rFonts w:cs="Arial"/>
          <w:sz w:val="20"/>
          <w:szCs w:val="20"/>
        </w:rPr>
        <w:t>Keith Jones</w:t>
      </w:r>
    </w:p>
    <w:p w:rsidR="006C4310" w:rsidRPr="004343A0" w:rsidRDefault="006C4310" w:rsidP="00633E83">
      <w:pPr>
        <w:widowControl w:val="0"/>
        <w:autoSpaceDE w:val="0"/>
        <w:autoSpaceDN w:val="0"/>
        <w:adjustRightInd w:val="0"/>
        <w:spacing w:line="480" w:lineRule="auto"/>
        <w:jc w:val="both"/>
        <w:rPr>
          <w:rFonts w:eastAsiaTheme="minorHAnsi" w:cs="Calibri"/>
          <w:sz w:val="20"/>
          <w:szCs w:val="30"/>
          <w:lang w:val="en-US" w:eastAsia="en-US"/>
        </w:rPr>
      </w:pPr>
      <w:r w:rsidRPr="004343A0">
        <w:rPr>
          <w:rFonts w:eastAsiaTheme="minorHAnsi" w:cs="Calibri"/>
          <w:sz w:val="20"/>
          <w:szCs w:val="30"/>
          <w:lang w:val="en-US" w:eastAsia="en-US"/>
        </w:rPr>
        <w:t>Professor of Facilities Management</w:t>
      </w:r>
    </w:p>
    <w:p w:rsidR="006C4310" w:rsidRPr="004343A0" w:rsidRDefault="006C4310" w:rsidP="00633E83">
      <w:pPr>
        <w:widowControl w:val="0"/>
        <w:autoSpaceDE w:val="0"/>
        <w:autoSpaceDN w:val="0"/>
        <w:adjustRightInd w:val="0"/>
        <w:spacing w:line="480" w:lineRule="auto"/>
        <w:jc w:val="both"/>
        <w:rPr>
          <w:rFonts w:eastAsiaTheme="minorHAnsi" w:cs="Calibri"/>
          <w:sz w:val="20"/>
          <w:szCs w:val="30"/>
          <w:lang w:val="en-US" w:eastAsia="en-US"/>
        </w:rPr>
      </w:pPr>
      <w:r w:rsidRPr="004343A0">
        <w:rPr>
          <w:rFonts w:eastAsiaTheme="minorHAnsi" w:cs="Calibri"/>
          <w:sz w:val="20"/>
          <w:szCs w:val="30"/>
          <w:lang w:val="en-US" w:eastAsia="en-US"/>
        </w:rPr>
        <w:t>School of Architecture, Design &amp; Construction</w:t>
      </w:r>
    </w:p>
    <w:p w:rsidR="006C4310" w:rsidRPr="004343A0" w:rsidRDefault="006C4310" w:rsidP="00633E83">
      <w:pPr>
        <w:widowControl w:val="0"/>
        <w:autoSpaceDE w:val="0"/>
        <w:autoSpaceDN w:val="0"/>
        <w:adjustRightInd w:val="0"/>
        <w:spacing w:line="480" w:lineRule="auto"/>
        <w:jc w:val="both"/>
        <w:rPr>
          <w:rFonts w:eastAsiaTheme="minorHAnsi" w:cs="Calibri"/>
          <w:sz w:val="20"/>
          <w:szCs w:val="30"/>
          <w:lang w:val="en-US" w:eastAsia="en-US"/>
        </w:rPr>
      </w:pPr>
      <w:r w:rsidRPr="004343A0">
        <w:rPr>
          <w:rFonts w:eastAsiaTheme="minorHAnsi" w:cs="Calibri"/>
          <w:sz w:val="20"/>
          <w:szCs w:val="30"/>
          <w:lang w:val="en-US" w:eastAsia="en-US"/>
        </w:rPr>
        <w:t>University of Greenwich</w:t>
      </w:r>
    </w:p>
    <w:p w:rsidR="006C4310" w:rsidRPr="004343A0" w:rsidRDefault="006C4310" w:rsidP="00633E83">
      <w:pPr>
        <w:widowControl w:val="0"/>
        <w:autoSpaceDE w:val="0"/>
        <w:autoSpaceDN w:val="0"/>
        <w:adjustRightInd w:val="0"/>
        <w:spacing w:line="480" w:lineRule="auto"/>
        <w:jc w:val="both"/>
        <w:rPr>
          <w:rFonts w:eastAsiaTheme="minorHAnsi" w:cs="Calibri"/>
          <w:sz w:val="20"/>
          <w:szCs w:val="30"/>
          <w:lang w:val="en-US" w:eastAsia="en-US"/>
        </w:rPr>
      </w:pPr>
      <w:r w:rsidRPr="004343A0">
        <w:rPr>
          <w:rFonts w:eastAsiaTheme="minorHAnsi" w:cs="Calibri"/>
          <w:sz w:val="20"/>
          <w:szCs w:val="30"/>
          <w:lang w:val="en-US" w:eastAsia="en-US"/>
        </w:rPr>
        <w:t>Avery Hill Campus. Mansion Site</w:t>
      </w:r>
    </w:p>
    <w:p w:rsidR="006C4310" w:rsidRPr="004343A0" w:rsidRDefault="006C4310" w:rsidP="00633E83">
      <w:pPr>
        <w:widowControl w:val="0"/>
        <w:autoSpaceDE w:val="0"/>
        <w:autoSpaceDN w:val="0"/>
        <w:adjustRightInd w:val="0"/>
        <w:spacing w:line="480" w:lineRule="auto"/>
        <w:jc w:val="both"/>
        <w:rPr>
          <w:rFonts w:eastAsiaTheme="minorHAnsi" w:cs="Calibri"/>
          <w:sz w:val="20"/>
          <w:szCs w:val="30"/>
          <w:lang w:val="en-US" w:eastAsia="en-US"/>
        </w:rPr>
      </w:pPr>
      <w:r w:rsidRPr="004343A0">
        <w:rPr>
          <w:rFonts w:eastAsiaTheme="minorHAnsi" w:cs="Calibri"/>
          <w:sz w:val="20"/>
          <w:szCs w:val="30"/>
          <w:lang w:val="en-US" w:eastAsia="en-US"/>
        </w:rPr>
        <w:t>Bexley Road</w:t>
      </w:r>
    </w:p>
    <w:p w:rsidR="006C4310" w:rsidRPr="004343A0" w:rsidRDefault="006C4310" w:rsidP="00633E83">
      <w:pPr>
        <w:widowControl w:val="0"/>
        <w:autoSpaceDE w:val="0"/>
        <w:autoSpaceDN w:val="0"/>
        <w:adjustRightInd w:val="0"/>
        <w:spacing w:line="480" w:lineRule="auto"/>
        <w:jc w:val="both"/>
        <w:rPr>
          <w:rFonts w:eastAsiaTheme="minorHAnsi" w:cs="Calibri"/>
          <w:sz w:val="20"/>
          <w:szCs w:val="30"/>
          <w:lang w:val="en-US" w:eastAsia="en-US"/>
        </w:rPr>
      </w:pPr>
      <w:r w:rsidRPr="004343A0">
        <w:rPr>
          <w:rFonts w:eastAsiaTheme="minorHAnsi" w:cs="Calibri"/>
          <w:sz w:val="20"/>
          <w:szCs w:val="30"/>
          <w:lang w:val="en-US" w:eastAsia="en-US"/>
        </w:rPr>
        <w:t>Eltham</w:t>
      </w:r>
    </w:p>
    <w:p w:rsidR="006C4310" w:rsidRPr="004343A0" w:rsidRDefault="006C4310" w:rsidP="00633E83">
      <w:pPr>
        <w:widowControl w:val="0"/>
        <w:autoSpaceDE w:val="0"/>
        <w:autoSpaceDN w:val="0"/>
        <w:adjustRightInd w:val="0"/>
        <w:spacing w:line="480" w:lineRule="auto"/>
        <w:jc w:val="both"/>
        <w:rPr>
          <w:rFonts w:eastAsiaTheme="minorHAnsi" w:cs="Calibri"/>
          <w:sz w:val="20"/>
          <w:szCs w:val="30"/>
          <w:lang w:val="en-US" w:eastAsia="en-US"/>
        </w:rPr>
      </w:pPr>
      <w:r w:rsidRPr="004343A0">
        <w:rPr>
          <w:rFonts w:eastAsiaTheme="minorHAnsi" w:cs="Calibri"/>
          <w:sz w:val="20"/>
          <w:szCs w:val="30"/>
          <w:lang w:val="en-US" w:eastAsia="en-US"/>
        </w:rPr>
        <w:t>LONDON SE9 2PQ</w:t>
      </w:r>
    </w:p>
    <w:p w:rsidR="006C4310" w:rsidRPr="004343A0" w:rsidRDefault="006C4310" w:rsidP="00633E83">
      <w:pPr>
        <w:spacing w:line="480" w:lineRule="auto"/>
        <w:jc w:val="both"/>
        <w:rPr>
          <w:rFonts w:cs="Arial"/>
          <w:sz w:val="20"/>
          <w:szCs w:val="20"/>
        </w:rPr>
      </w:pPr>
      <w:r w:rsidRPr="004343A0">
        <w:rPr>
          <w:rFonts w:eastAsiaTheme="minorHAnsi" w:cs="Calibri"/>
          <w:sz w:val="20"/>
          <w:szCs w:val="30"/>
          <w:lang w:val="en-US" w:eastAsia="en-US"/>
        </w:rPr>
        <w:t>Tel: +44 208 331 9260</w:t>
      </w:r>
    </w:p>
    <w:p w:rsidR="006C4310" w:rsidRPr="004343A0" w:rsidRDefault="006C4310" w:rsidP="00633E83">
      <w:pPr>
        <w:spacing w:after="200" w:line="480" w:lineRule="auto"/>
        <w:jc w:val="both"/>
        <w:rPr>
          <w:rFonts w:cs="Arial"/>
          <w:b/>
          <w:sz w:val="20"/>
        </w:rPr>
      </w:pPr>
    </w:p>
    <w:p w:rsidR="006A21EC" w:rsidRPr="004343A0" w:rsidRDefault="006C4310" w:rsidP="00633E83">
      <w:pPr>
        <w:spacing w:after="200" w:line="480" w:lineRule="auto"/>
        <w:jc w:val="both"/>
        <w:rPr>
          <w:rFonts w:cs="Arial"/>
          <w:b/>
          <w:sz w:val="24"/>
          <w:szCs w:val="20"/>
        </w:rPr>
      </w:pPr>
      <w:r w:rsidRPr="004343A0">
        <w:rPr>
          <w:rFonts w:cs="Arial"/>
          <w:b/>
          <w:sz w:val="20"/>
        </w:rPr>
        <w:br w:type="page"/>
      </w:r>
      <w:r w:rsidR="006A21EC" w:rsidRPr="004343A0">
        <w:rPr>
          <w:rFonts w:cs="Arial"/>
          <w:b/>
          <w:sz w:val="24"/>
          <w:szCs w:val="20"/>
        </w:rPr>
        <w:lastRenderedPageBreak/>
        <w:t>Abstract</w:t>
      </w:r>
    </w:p>
    <w:p w:rsidR="0021169C" w:rsidRPr="004343A0" w:rsidRDefault="0021169C" w:rsidP="00633E83">
      <w:pPr>
        <w:spacing w:line="480" w:lineRule="auto"/>
        <w:jc w:val="both"/>
        <w:outlineLvl w:val="0"/>
        <w:rPr>
          <w:rFonts w:cs="Arial"/>
          <w:b/>
          <w:sz w:val="20"/>
          <w:szCs w:val="20"/>
        </w:rPr>
      </w:pPr>
    </w:p>
    <w:p w:rsidR="00607FFD" w:rsidRPr="004343A0" w:rsidRDefault="00607FFD" w:rsidP="00633E83">
      <w:pPr>
        <w:spacing w:line="480" w:lineRule="auto"/>
        <w:jc w:val="both"/>
        <w:rPr>
          <w:rFonts w:eastAsiaTheme="minorHAnsi" w:cs="Arial"/>
          <w:sz w:val="20"/>
          <w:szCs w:val="22"/>
          <w:lang w:val="en-US"/>
        </w:rPr>
      </w:pPr>
      <w:r w:rsidRPr="004343A0">
        <w:rPr>
          <w:rFonts w:cs="Arial"/>
          <w:sz w:val="20"/>
          <w:szCs w:val="20"/>
        </w:rPr>
        <w:t xml:space="preserve">The Government has set an ambitious target to cut the UK’s carbon emissions by 80% by year 2050. </w:t>
      </w:r>
      <w:r w:rsidR="00147910" w:rsidRPr="004343A0">
        <w:rPr>
          <w:rFonts w:cs="Arial"/>
          <w:sz w:val="20"/>
          <w:szCs w:val="20"/>
        </w:rPr>
        <w:t xml:space="preserve">To meet </w:t>
      </w:r>
      <w:r w:rsidRPr="004343A0">
        <w:rPr>
          <w:rFonts w:cs="Arial"/>
          <w:sz w:val="20"/>
          <w:szCs w:val="20"/>
        </w:rPr>
        <w:t>these targets, action is needed in the residential sector with 27% of the UK’s CO</w:t>
      </w:r>
      <w:r w:rsidRPr="004343A0">
        <w:rPr>
          <w:rFonts w:cs="Arial"/>
          <w:sz w:val="20"/>
          <w:szCs w:val="20"/>
          <w:vertAlign w:val="subscript"/>
        </w:rPr>
        <w:t>2</w:t>
      </w:r>
      <w:r w:rsidRPr="004343A0">
        <w:rPr>
          <w:rFonts w:cs="Arial"/>
          <w:sz w:val="20"/>
          <w:szCs w:val="20"/>
        </w:rPr>
        <w:t xml:space="preserve"> emissions coming from energy use in homes. While working towards zero carbon new homes, refurbishment of the existing housing stock to advanced, low-carbon standards is essential. In this process the involvement of all stakeholders and behavioural change of occupants to low carbon life styles are primary factors. This paper presents the findings of </w:t>
      </w:r>
      <w:r w:rsidR="00147910" w:rsidRPr="004343A0">
        <w:rPr>
          <w:rFonts w:cs="Arial"/>
          <w:sz w:val="20"/>
          <w:szCs w:val="20"/>
        </w:rPr>
        <w:t xml:space="preserve">an </w:t>
      </w:r>
      <w:r w:rsidRPr="004343A0">
        <w:rPr>
          <w:rFonts w:cs="Arial"/>
          <w:sz w:val="20"/>
          <w:szCs w:val="20"/>
        </w:rPr>
        <w:t xml:space="preserve">EPSRC Public Engagement project (2009-2010) carried out to promote low carbon home adaptations and behaviour </w:t>
      </w:r>
      <w:r w:rsidR="00A25FE0" w:rsidRPr="004343A0">
        <w:rPr>
          <w:rFonts w:cs="Arial"/>
          <w:sz w:val="20"/>
          <w:szCs w:val="20"/>
        </w:rPr>
        <w:t xml:space="preserve">change </w:t>
      </w:r>
      <w:r w:rsidRPr="004343A0">
        <w:rPr>
          <w:rFonts w:cs="Arial"/>
          <w:sz w:val="20"/>
          <w:szCs w:val="20"/>
        </w:rPr>
        <w:t xml:space="preserve">among the elderly. A number of engagement events were held to increase the awareness of environmental upgrading of homes, energy efficiency measures, financial support available and low carbon life styles. A </w:t>
      </w:r>
      <w:r w:rsidRPr="004343A0">
        <w:rPr>
          <w:rFonts w:cs="Arial"/>
          <w:sz w:val="20"/>
          <w:szCs w:val="22"/>
        </w:rPr>
        <w:t xml:space="preserve">feedback process collected information on sustainable actions taken by the attendees </w:t>
      </w:r>
      <w:r w:rsidR="00147910" w:rsidRPr="004343A0">
        <w:rPr>
          <w:rFonts w:cs="Arial"/>
          <w:sz w:val="20"/>
          <w:szCs w:val="22"/>
        </w:rPr>
        <w:t xml:space="preserve">three to six months </w:t>
      </w:r>
      <w:r w:rsidR="00A25FE0" w:rsidRPr="004343A0">
        <w:rPr>
          <w:rFonts w:cs="Arial"/>
          <w:sz w:val="20"/>
          <w:szCs w:val="22"/>
        </w:rPr>
        <w:t xml:space="preserve">after </w:t>
      </w:r>
      <w:r w:rsidRPr="004343A0">
        <w:rPr>
          <w:rFonts w:cs="Arial"/>
          <w:sz w:val="20"/>
          <w:szCs w:val="22"/>
        </w:rPr>
        <w:t xml:space="preserve">the initial events. A coding method was designed to analyse the questionnaire responses. The results illustrated that many </w:t>
      </w:r>
      <w:r w:rsidRPr="004343A0">
        <w:rPr>
          <w:rFonts w:eastAsiaTheme="minorHAnsi" w:cs="Arial"/>
          <w:sz w:val="20"/>
          <w:szCs w:val="22"/>
          <w:lang w:val="en-US"/>
        </w:rPr>
        <w:t>had made changes in their lives since attending the events</w:t>
      </w:r>
      <w:r w:rsidR="00D86D91">
        <w:rPr>
          <w:rFonts w:eastAsiaTheme="minorHAnsi" w:cs="Arial"/>
          <w:sz w:val="20"/>
          <w:szCs w:val="22"/>
          <w:lang w:val="en-US"/>
        </w:rPr>
        <w:t>,</w:t>
      </w:r>
      <w:r w:rsidR="00A25FE0" w:rsidRPr="004343A0">
        <w:rPr>
          <w:rFonts w:eastAsiaTheme="minorHAnsi" w:cs="Arial"/>
          <w:sz w:val="20"/>
          <w:szCs w:val="22"/>
          <w:lang w:val="en-US"/>
        </w:rPr>
        <w:t xml:space="preserve"> </w:t>
      </w:r>
      <w:r w:rsidRPr="004343A0">
        <w:rPr>
          <w:rFonts w:eastAsiaTheme="minorHAnsi" w:cs="Arial"/>
          <w:sz w:val="20"/>
          <w:szCs w:val="22"/>
          <w:lang w:val="en-US"/>
        </w:rPr>
        <w:t>are planning to change</w:t>
      </w:r>
      <w:r w:rsidR="00D86D91">
        <w:rPr>
          <w:rFonts w:eastAsiaTheme="minorHAnsi" w:cs="Arial"/>
          <w:sz w:val="20"/>
          <w:szCs w:val="22"/>
          <w:lang w:val="en-US"/>
        </w:rPr>
        <w:t>,</w:t>
      </w:r>
      <w:r w:rsidRPr="004343A0">
        <w:rPr>
          <w:rFonts w:eastAsiaTheme="minorHAnsi" w:cs="Arial"/>
          <w:sz w:val="20"/>
          <w:szCs w:val="22"/>
          <w:lang w:val="en-US"/>
        </w:rPr>
        <w:t xml:space="preserve"> or have encouraged someone else they know to make a change in their lives to be more sustainable. </w:t>
      </w:r>
    </w:p>
    <w:p w:rsidR="006A21EC" w:rsidRPr="004343A0" w:rsidRDefault="006A21EC" w:rsidP="00633E83">
      <w:pPr>
        <w:spacing w:line="480" w:lineRule="auto"/>
        <w:jc w:val="both"/>
        <w:rPr>
          <w:rFonts w:eastAsiaTheme="minorHAnsi" w:cs="Arial"/>
          <w:sz w:val="20"/>
          <w:szCs w:val="22"/>
          <w:lang w:val="en-US"/>
        </w:rPr>
      </w:pPr>
    </w:p>
    <w:p w:rsidR="006A21EC" w:rsidRPr="004343A0" w:rsidRDefault="00580BF8" w:rsidP="00633E83">
      <w:pPr>
        <w:spacing w:line="480" w:lineRule="auto"/>
        <w:jc w:val="both"/>
        <w:rPr>
          <w:rFonts w:eastAsiaTheme="minorHAnsi" w:cs="Arial"/>
          <w:b/>
          <w:sz w:val="24"/>
          <w:szCs w:val="22"/>
          <w:lang w:val="en-US"/>
        </w:rPr>
      </w:pPr>
      <w:r w:rsidRPr="004343A0">
        <w:rPr>
          <w:rFonts w:eastAsiaTheme="minorHAnsi" w:cs="Arial"/>
          <w:b/>
          <w:sz w:val="24"/>
          <w:szCs w:val="22"/>
          <w:lang w:val="en-US"/>
        </w:rPr>
        <w:t>Key W</w:t>
      </w:r>
      <w:r w:rsidR="006A21EC" w:rsidRPr="004343A0">
        <w:rPr>
          <w:rFonts w:eastAsiaTheme="minorHAnsi" w:cs="Arial"/>
          <w:b/>
          <w:sz w:val="24"/>
          <w:szCs w:val="22"/>
          <w:lang w:val="en-US"/>
        </w:rPr>
        <w:t>ords</w:t>
      </w:r>
    </w:p>
    <w:p w:rsidR="00607FFD" w:rsidRPr="004343A0" w:rsidRDefault="00607FFD" w:rsidP="00633E83">
      <w:pPr>
        <w:spacing w:line="480" w:lineRule="auto"/>
        <w:jc w:val="both"/>
        <w:rPr>
          <w:rFonts w:eastAsiaTheme="minorHAnsi" w:cs="Arial"/>
          <w:sz w:val="20"/>
          <w:szCs w:val="22"/>
          <w:lang w:val="en-US"/>
        </w:rPr>
      </w:pPr>
    </w:p>
    <w:p w:rsidR="006D5978" w:rsidRPr="004343A0" w:rsidRDefault="00975D1A" w:rsidP="00633E83">
      <w:pPr>
        <w:spacing w:line="480" w:lineRule="auto"/>
        <w:jc w:val="both"/>
        <w:rPr>
          <w:rFonts w:cs="Arial"/>
          <w:sz w:val="20"/>
          <w:szCs w:val="20"/>
          <w:lang w:bidi="th-TH"/>
        </w:rPr>
      </w:pPr>
      <w:r w:rsidRPr="004343A0">
        <w:rPr>
          <w:rFonts w:cs="Arial"/>
          <w:sz w:val="20"/>
          <w:szCs w:val="20"/>
          <w:lang w:bidi="th-TH"/>
        </w:rPr>
        <w:t>Public</w:t>
      </w:r>
      <w:r w:rsidR="00481B0A" w:rsidRPr="004343A0">
        <w:rPr>
          <w:rFonts w:cs="Arial"/>
          <w:sz w:val="20"/>
          <w:szCs w:val="20"/>
          <w:lang w:bidi="th-TH"/>
        </w:rPr>
        <w:t xml:space="preserve"> Engagement</w:t>
      </w:r>
      <w:r w:rsidRPr="004343A0">
        <w:rPr>
          <w:rFonts w:cs="Arial"/>
          <w:sz w:val="20"/>
          <w:szCs w:val="20"/>
          <w:lang w:bidi="th-TH"/>
        </w:rPr>
        <w:t>, Older Community, Behavioural Change, Low carbon homes, Focus groups, Sustainable Living</w:t>
      </w:r>
      <w:r w:rsidR="00D86D91">
        <w:rPr>
          <w:rFonts w:cs="Arial"/>
          <w:sz w:val="20"/>
          <w:szCs w:val="20"/>
          <w:lang w:bidi="th-TH"/>
        </w:rPr>
        <w:t>, Home Adaptations</w:t>
      </w:r>
    </w:p>
    <w:p w:rsidR="006D5978" w:rsidRPr="004343A0" w:rsidRDefault="006D5978" w:rsidP="00633E83">
      <w:pPr>
        <w:spacing w:after="200" w:line="480" w:lineRule="auto"/>
        <w:jc w:val="both"/>
        <w:rPr>
          <w:rFonts w:cs="Arial"/>
          <w:sz w:val="20"/>
          <w:szCs w:val="20"/>
          <w:lang w:bidi="th-TH"/>
        </w:rPr>
      </w:pPr>
    </w:p>
    <w:p w:rsidR="0049114A" w:rsidRPr="004343A0" w:rsidRDefault="0012374A" w:rsidP="00633E83">
      <w:pPr>
        <w:spacing w:line="480" w:lineRule="auto"/>
        <w:jc w:val="both"/>
        <w:rPr>
          <w:rFonts w:cs="Arial"/>
          <w:b/>
          <w:sz w:val="24"/>
          <w:szCs w:val="20"/>
          <w:lang w:bidi="th-TH"/>
        </w:rPr>
      </w:pPr>
      <w:r w:rsidRPr="004343A0">
        <w:rPr>
          <w:rFonts w:cs="Arial"/>
          <w:b/>
          <w:sz w:val="20"/>
          <w:szCs w:val="20"/>
          <w:lang w:bidi="th-TH"/>
        </w:rPr>
        <w:br w:type="page"/>
      </w:r>
      <w:r w:rsidR="00B659EB" w:rsidRPr="004343A0">
        <w:rPr>
          <w:rFonts w:cs="Arial"/>
          <w:b/>
          <w:sz w:val="24"/>
          <w:szCs w:val="20"/>
          <w:lang w:bidi="th-TH"/>
        </w:rPr>
        <w:lastRenderedPageBreak/>
        <w:t xml:space="preserve">1.0 </w:t>
      </w:r>
      <w:r w:rsidR="00523236" w:rsidRPr="004343A0">
        <w:rPr>
          <w:rFonts w:cs="Arial"/>
          <w:b/>
          <w:sz w:val="24"/>
          <w:szCs w:val="20"/>
          <w:lang w:bidi="th-TH"/>
        </w:rPr>
        <w:t>Introduction</w:t>
      </w:r>
    </w:p>
    <w:p w:rsidR="006647EC" w:rsidRPr="004343A0" w:rsidRDefault="005F5A02" w:rsidP="00764FD1">
      <w:pPr>
        <w:spacing w:line="480" w:lineRule="auto"/>
        <w:jc w:val="both"/>
        <w:rPr>
          <w:rFonts w:cs="Arial"/>
          <w:sz w:val="20"/>
          <w:szCs w:val="20"/>
          <w:lang w:bidi="th-TH"/>
        </w:rPr>
      </w:pPr>
      <w:r w:rsidRPr="004343A0">
        <w:rPr>
          <w:sz w:val="20"/>
        </w:rPr>
        <w:t>Climate change is perceived as one of the major global challenges faced in the 21</w:t>
      </w:r>
      <w:r w:rsidRPr="004343A0">
        <w:rPr>
          <w:sz w:val="20"/>
          <w:vertAlign w:val="superscript"/>
        </w:rPr>
        <w:t>st</w:t>
      </w:r>
      <w:r w:rsidRPr="004343A0">
        <w:rPr>
          <w:sz w:val="20"/>
        </w:rPr>
        <w:t xml:space="preserve"> century</w:t>
      </w:r>
      <w:r w:rsidR="00267085" w:rsidRPr="004343A0">
        <w:rPr>
          <w:sz w:val="20"/>
        </w:rPr>
        <w:t xml:space="preserve">. </w:t>
      </w:r>
      <w:r w:rsidR="00365308" w:rsidRPr="004343A0">
        <w:rPr>
          <w:rFonts w:eastAsiaTheme="minorHAnsi" w:cs="Arial"/>
          <w:sz w:val="20"/>
          <w:lang w:val="en-US" w:eastAsia="en-US"/>
        </w:rPr>
        <w:t>The Climate Change Act 2008 stipulates that the net UK carbon account for the year 2050 is at least 80% lower than the 1990 baseline</w:t>
      </w:r>
      <w:r w:rsidR="00803FC3" w:rsidRPr="004343A0">
        <w:rPr>
          <w:rFonts w:eastAsiaTheme="minorHAnsi" w:cs="Arial"/>
          <w:sz w:val="20"/>
          <w:lang w:val="en-US" w:eastAsia="en-US"/>
        </w:rPr>
        <w:t xml:space="preserve"> (DECC</w:t>
      </w:r>
      <w:r w:rsidR="00B9780D" w:rsidRPr="004343A0">
        <w:rPr>
          <w:rFonts w:eastAsiaTheme="minorHAnsi" w:cs="Arial"/>
          <w:sz w:val="20"/>
          <w:lang w:val="en-US" w:eastAsia="en-US"/>
        </w:rPr>
        <w:t>, 2008</w:t>
      </w:r>
      <w:r w:rsidR="00803FC3" w:rsidRPr="004343A0">
        <w:rPr>
          <w:rFonts w:eastAsiaTheme="minorHAnsi" w:cs="Arial"/>
          <w:sz w:val="20"/>
          <w:lang w:val="en-US" w:eastAsia="en-US"/>
        </w:rPr>
        <w:t>)</w:t>
      </w:r>
      <w:r w:rsidR="00365308" w:rsidRPr="004343A0">
        <w:rPr>
          <w:rFonts w:eastAsiaTheme="minorHAnsi" w:cs="Arial"/>
          <w:sz w:val="20"/>
          <w:lang w:val="en-US" w:eastAsia="en-US"/>
        </w:rPr>
        <w:t>.</w:t>
      </w:r>
      <w:r w:rsidR="00365308" w:rsidRPr="004343A0">
        <w:rPr>
          <w:rFonts w:cs="Arial"/>
          <w:sz w:val="20"/>
          <w:szCs w:val="20"/>
          <w:lang w:bidi="th-TH"/>
        </w:rPr>
        <w:t xml:space="preserve"> </w:t>
      </w:r>
      <w:r w:rsidR="00080B78" w:rsidRPr="004343A0">
        <w:rPr>
          <w:rFonts w:cs="Arial"/>
          <w:sz w:val="20"/>
          <w:szCs w:val="20"/>
          <w:lang w:bidi="th-TH"/>
        </w:rPr>
        <w:t>The UK</w:t>
      </w:r>
      <w:r w:rsidR="00365308" w:rsidRPr="004343A0">
        <w:rPr>
          <w:rFonts w:cs="Arial"/>
          <w:sz w:val="20"/>
          <w:szCs w:val="20"/>
          <w:lang w:bidi="th-TH"/>
        </w:rPr>
        <w:t xml:space="preserve"> </w:t>
      </w:r>
      <w:r w:rsidR="00080B78" w:rsidRPr="004343A0">
        <w:rPr>
          <w:rFonts w:cs="Arial"/>
          <w:sz w:val="20"/>
          <w:szCs w:val="20"/>
          <w:lang w:bidi="th-TH"/>
        </w:rPr>
        <w:t xml:space="preserve">housing sector accounts for approximately </w:t>
      </w:r>
      <w:r w:rsidR="005954CC" w:rsidRPr="004343A0">
        <w:rPr>
          <w:rFonts w:cs="Arial"/>
          <w:sz w:val="20"/>
          <w:szCs w:val="20"/>
          <w:lang w:bidi="th-TH"/>
        </w:rPr>
        <w:t>28</w:t>
      </w:r>
      <w:r w:rsidR="00080B78" w:rsidRPr="004343A0">
        <w:rPr>
          <w:rFonts w:cs="Arial"/>
          <w:sz w:val="20"/>
          <w:szCs w:val="20"/>
          <w:lang w:bidi="th-TH"/>
        </w:rPr>
        <w:t>% of total UK energy</w:t>
      </w:r>
      <w:r w:rsidR="00365308" w:rsidRPr="004343A0">
        <w:rPr>
          <w:rFonts w:cs="Arial"/>
          <w:sz w:val="20"/>
          <w:szCs w:val="20"/>
          <w:lang w:bidi="th-TH"/>
        </w:rPr>
        <w:t xml:space="preserve"> </w:t>
      </w:r>
      <w:r w:rsidR="00080B78" w:rsidRPr="004343A0">
        <w:rPr>
          <w:rFonts w:cs="Arial"/>
          <w:sz w:val="20"/>
          <w:szCs w:val="20"/>
          <w:lang w:bidi="th-TH"/>
        </w:rPr>
        <w:t xml:space="preserve">demand </w:t>
      </w:r>
      <w:r w:rsidR="005954CC" w:rsidRPr="004343A0">
        <w:rPr>
          <w:rFonts w:cs="Arial"/>
          <w:sz w:val="20"/>
          <w:szCs w:val="20"/>
          <w:lang w:bidi="th-TH"/>
        </w:rPr>
        <w:t>(</w:t>
      </w:r>
      <w:r w:rsidR="00D27EF7" w:rsidRPr="004343A0">
        <w:rPr>
          <w:rFonts w:cs="Arial"/>
          <w:sz w:val="20"/>
          <w:szCs w:val="20"/>
          <w:lang w:bidi="th-TH"/>
        </w:rPr>
        <w:t xml:space="preserve">Palmer </w:t>
      </w:r>
      <w:r w:rsidR="005D4555" w:rsidRPr="004343A0">
        <w:rPr>
          <w:rFonts w:cs="Arial"/>
          <w:sz w:val="20"/>
          <w:szCs w:val="20"/>
          <w:lang w:bidi="th-TH"/>
        </w:rPr>
        <w:t>and</w:t>
      </w:r>
      <w:r w:rsidR="00D27EF7" w:rsidRPr="004343A0">
        <w:rPr>
          <w:rFonts w:cs="Arial"/>
          <w:sz w:val="20"/>
          <w:szCs w:val="20"/>
          <w:lang w:bidi="th-TH"/>
        </w:rPr>
        <w:t xml:space="preserve"> Cooper</w:t>
      </w:r>
      <w:r w:rsidR="005954CC" w:rsidRPr="004343A0">
        <w:rPr>
          <w:rFonts w:cs="Arial"/>
          <w:sz w:val="20"/>
          <w:szCs w:val="20"/>
          <w:lang w:bidi="th-TH"/>
        </w:rPr>
        <w:t>, 2011)</w:t>
      </w:r>
      <w:r w:rsidR="00080B78" w:rsidRPr="004343A0">
        <w:rPr>
          <w:rFonts w:cs="Arial"/>
          <w:sz w:val="20"/>
          <w:szCs w:val="20"/>
          <w:lang w:bidi="th-TH"/>
        </w:rPr>
        <w:t>, which accounts for 27% of</w:t>
      </w:r>
      <w:r w:rsidR="00365308" w:rsidRPr="004343A0">
        <w:rPr>
          <w:rFonts w:cs="Arial"/>
          <w:sz w:val="20"/>
          <w:szCs w:val="20"/>
          <w:lang w:bidi="th-TH"/>
        </w:rPr>
        <w:t xml:space="preserve"> </w:t>
      </w:r>
      <w:r w:rsidR="00080B78" w:rsidRPr="004343A0">
        <w:rPr>
          <w:rFonts w:cs="Arial"/>
          <w:sz w:val="20"/>
          <w:szCs w:val="20"/>
          <w:lang w:bidi="th-TH"/>
        </w:rPr>
        <w:t>the total UK CO</w:t>
      </w:r>
      <w:r w:rsidR="00080B78" w:rsidRPr="004343A0">
        <w:rPr>
          <w:rFonts w:cs="Arial"/>
          <w:sz w:val="20"/>
          <w:szCs w:val="20"/>
          <w:vertAlign w:val="subscript"/>
          <w:lang w:bidi="th-TH"/>
        </w:rPr>
        <w:t>2</w:t>
      </w:r>
      <w:r w:rsidR="00080B78" w:rsidRPr="004343A0">
        <w:rPr>
          <w:rFonts w:cs="Arial"/>
          <w:sz w:val="20"/>
          <w:szCs w:val="20"/>
          <w:lang w:bidi="th-TH"/>
        </w:rPr>
        <w:t xml:space="preserve"> level </w:t>
      </w:r>
      <w:r w:rsidR="00736ADE" w:rsidRPr="004343A0">
        <w:rPr>
          <w:rFonts w:cs="Arial"/>
          <w:sz w:val="20"/>
          <w:szCs w:val="20"/>
          <w:lang w:bidi="th-TH"/>
        </w:rPr>
        <w:t>(DECC</w:t>
      </w:r>
      <w:r w:rsidR="00D27EF7" w:rsidRPr="004343A0">
        <w:rPr>
          <w:rFonts w:cs="Arial"/>
          <w:sz w:val="20"/>
          <w:szCs w:val="20"/>
          <w:lang w:bidi="th-TH"/>
        </w:rPr>
        <w:t>,</w:t>
      </w:r>
      <w:r w:rsidR="00736ADE" w:rsidRPr="004343A0">
        <w:rPr>
          <w:rFonts w:cs="Arial"/>
          <w:sz w:val="20"/>
          <w:szCs w:val="20"/>
          <w:lang w:bidi="th-TH"/>
        </w:rPr>
        <w:t xml:space="preserve"> 2012</w:t>
      </w:r>
      <w:r w:rsidR="001227E9" w:rsidRPr="004343A0">
        <w:rPr>
          <w:rFonts w:cs="Arial"/>
          <w:sz w:val="20"/>
          <w:szCs w:val="20"/>
          <w:lang w:bidi="th-TH"/>
        </w:rPr>
        <w:t>a</w:t>
      </w:r>
      <w:r w:rsidR="00736ADE" w:rsidRPr="004343A0">
        <w:rPr>
          <w:rFonts w:cs="Arial"/>
          <w:sz w:val="20"/>
          <w:szCs w:val="20"/>
          <w:lang w:bidi="th-TH"/>
        </w:rPr>
        <w:t>)</w:t>
      </w:r>
      <w:r w:rsidR="00080B78" w:rsidRPr="004343A0">
        <w:rPr>
          <w:rFonts w:cs="Arial"/>
          <w:sz w:val="20"/>
          <w:szCs w:val="20"/>
          <w:lang w:bidi="th-TH"/>
        </w:rPr>
        <w:t>. Notwithstanding the government’s plan to increase the</w:t>
      </w:r>
      <w:r w:rsidR="002B6251" w:rsidRPr="004343A0">
        <w:rPr>
          <w:rFonts w:cs="Arial"/>
          <w:sz w:val="20"/>
          <w:szCs w:val="20"/>
          <w:lang w:bidi="th-TH"/>
        </w:rPr>
        <w:t xml:space="preserve"> </w:t>
      </w:r>
      <w:r w:rsidR="00080B78" w:rsidRPr="004343A0">
        <w:rPr>
          <w:rFonts w:cs="Arial"/>
          <w:sz w:val="20"/>
          <w:szCs w:val="20"/>
          <w:lang w:bidi="th-TH"/>
        </w:rPr>
        <w:t xml:space="preserve">UK housing stock by 240,000 homes a year, approximately </w:t>
      </w:r>
      <w:r w:rsidR="00736ADE" w:rsidRPr="004343A0">
        <w:rPr>
          <w:rFonts w:cs="Arial"/>
          <w:sz w:val="20"/>
          <w:szCs w:val="20"/>
          <w:lang w:bidi="th-TH"/>
        </w:rPr>
        <w:t>8</w:t>
      </w:r>
      <w:r w:rsidR="00080B78" w:rsidRPr="004343A0">
        <w:rPr>
          <w:rFonts w:cs="Arial"/>
          <w:sz w:val="20"/>
          <w:szCs w:val="20"/>
          <w:lang w:bidi="th-TH"/>
        </w:rPr>
        <w:t>0% of</w:t>
      </w:r>
      <w:r w:rsidR="00365308" w:rsidRPr="004343A0">
        <w:rPr>
          <w:rFonts w:cs="Arial"/>
          <w:sz w:val="20"/>
          <w:szCs w:val="20"/>
          <w:lang w:bidi="th-TH"/>
        </w:rPr>
        <w:t xml:space="preserve"> </w:t>
      </w:r>
      <w:r w:rsidR="00080B78" w:rsidRPr="004343A0">
        <w:rPr>
          <w:rFonts w:cs="Arial"/>
          <w:sz w:val="20"/>
          <w:szCs w:val="20"/>
          <w:lang w:bidi="th-TH"/>
        </w:rPr>
        <w:t xml:space="preserve">today’s dwellings </w:t>
      </w:r>
      <w:r w:rsidR="00E84645" w:rsidRPr="004343A0">
        <w:rPr>
          <w:rFonts w:cs="Arial"/>
          <w:sz w:val="20"/>
          <w:szCs w:val="20"/>
          <w:lang w:bidi="th-TH"/>
        </w:rPr>
        <w:t>will still be standing in 2050 (</w:t>
      </w:r>
      <w:r w:rsidR="00DB349B" w:rsidRPr="004343A0">
        <w:rPr>
          <w:rFonts w:cs="Arial"/>
          <w:sz w:val="20"/>
          <w:szCs w:val="20"/>
          <w:lang w:bidi="th-TH"/>
        </w:rPr>
        <w:t>Boardman</w:t>
      </w:r>
      <w:r w:rsidR="00736ADE" w:rsidRPr="004343A0">
        <w:rPr>
          <w:rFonts w:cs="Arial"/>
          <w:sz w:val="20"/>
          <w:szCs w:val="20"/>
          <w:lang w:bidi="th-TH"/>
        </w:rPr>
        <w:t>, 2008)</w:t>
      </w:r>
      <w:r w:rsidR="00080B78" w:rsidRPr="004343A0">
        <w:rPr>
          <w:rFonts w:cs="Arial"/>
          <w:sz w:val="20"/>
          <w:szCs w:val="20"/>
          <w:lang w:bidi="th-TH"/>
        </w:rPr>
        <w:t>.</w:t>
      </w:r>
      <w:r w:rsidR="002B6251" w:rsidRPr="004343A0">
        <w:rPr>
          <w:rFonts w:cs="Arial"/>
          <w:sz w:val="20"/>
          <w:szCs w:val="20"/>
          <w:lang w:bidi="th-TH"/>
        </w:rPr>
        <w:t xml:space="preserve"> </w:t>
      </w:r>
      <w:r w:rsidR="00C067EF" w:rsidRPr="004343A0">
        <w:rPr>
          <w:rFonts w:cs="Arial"/>
          <w:sz w:val="20"/>
          <w:szCs w:val="20"/>
          <w:lang w:bidi="th-TH"/>
        </w:rPr>
        <w:t>Improving the e</w:t>
      </w:r>
      <w:r w:rsidR="00080B78" w:rsidRPr="004343A0">
        <w:rPr>
          <w:rFonts w:cs="Arial"/>
          <w:sz w:val="20"/>
          <w:szCs w:val="20"/>
          <w:lang w:bidi="th-TH"/>
        </w:rPr>
        <w:t xml:space="preserve">nergy efficiency of UK existing housing stock has been </w:t>
      </w:r>
      <w:r w:rsidR="002B6251" w:rsidRPr="004343A0">
        <w:rPr>
          <w:rFonts w:cs="Arial"/>
          <w:sz w:val="20"/>
          <w:szCs w:val="20"/>
          <w:lang w:bidi="th-TH"/>
        </w:rPr>
        <w:t xml:space="preserve">made a priority </w:t>
      </w:r>
      <w:r w:rsidR="00080B78" w:rsidRPr="004343A0">
        <w:rPr>
          <w:rFonts w:cs="Arial"/>
          <w:sz w:val="20"/>
          <w:szCs w:val="20"/>
          <w:lang w:bidi="th-TH"/>
        </w:rPr>
        <w:t>within</w:t>
      </w:r>
      <w:r w:rsidR="002B6251" w:rsidRPr="004343A0">
        <w:rPr>
          <w:rFonts w:cs="Arial"/>
          <w:sz w:val="20"/>
          <w:szCs w:val="20"/>
          <w:lang w:bidi="th-TH"/>
        </w:rPr>
        <w:t xml:space="preserve"> </w:t>
      </w:r>
      <w:r w:rsidR="00080B78" w:rsidRPr="004343A0">
        <w:rPr>
          <w:rFonts w:cs="Arial"/>
          <w:sz w:val="20"/>
          <w:szCs w:val="20"/>
          <w:lang w:bidi="th-TH"/>
        </w:rPr>
        <w:t>the</w:t>
      </w:r>
      <w:r w:rsidR="002B6251" w:rsidRPr="004343A0">
        <w:rPr>
          <w:rFonts w:cs="Arial"/>
          <w:sz w:val="20"/>
          <w:szCs w:val="20"/>
          <w:lang w:bidi="th-TH"/>
        </w:rPr>
        <w:t xml:space="preserve"> </w:t>
      </w:r>
      <w:r w:rsidR="00080B78" w:rsidRPr="004343A0">
        <w:rPr>
          <w:rFonts w:cs="Arial"/>
          <w:sz w:val="20"/>
          <w:szCs w:val="20"/>
          <w:lang w:bidi="th-TH"/>
        </w:rPr>
        <w:t>UK</w:t>
      </w:r>
      <w:r w:rsidR="002B6251" w:rsidRPr="004343A0">
        <w:rPr>
          <w:rFonts w:cs="Arial"/>
          <w:sz w:val="20"/>
          <w:szCs w:val="20"/>
          <w:lang w:bidi="th-TH"/>
        </w:rPr>
        <w:t xml:space="preserve"> </w:t>
      </w:r>
      <w:r w:rsidR="00080B78" w:rsidRPr="004343A0">
        <w:rPr>
          <w:rFonts w:cs="Arial"/>
          <w:sz w:val="20"/>
          <w:szCs w:val="20"/>
          <w:lang w:bidi="th-TH"/>
        </w:rPr>
        <w:t>government’s Energy</w:t>
      </w:r>
      <w:r w:rsidR="002B6251" w:rsidRPr="004343A0">
        <w:rPr>
          <w:rFonts w:cs="Arial"/>
          <w:sz w:val="20"/>
          <w:szCs w:val="20"/>
          <w:lang w:bidi="th-TH"/>
        </w:rPr>
        <w:t xml:space="preserve"> </w:t>
      </w:r>
      <w:r w:rsidR="00580BF8" w:rsidRPr="004343A0">
        <w:rPr>
          <w:rFonts w:cs="Arial"/>
          <w:sz w:val="20"/>
          <w:szCs w:val="20"/>
          <w:lang w:bidi="th-TH"/>
        </w:rPr>
        <w:t xml:space="preserve">White Papers (DTI 2003 </w:t>
      </w:r>
      <w:r w:rsidR="005D4555" w:rsidRPr="004343A0">
        <w:rPr>
          <w:rFonts w:cs="Arial"/>
          <w:sz w:val="20"/>
          <w:szCs w:val="20"/>
          <w:lang w:bidi="th-TH"/>
        </w:rPr>
        <w:t>and</w:t>
      </w:r>
      <w:r w:rsidR="00B9780D" w:rsidRPr="004343A0">
        <w:rPr>
          <w:rFonts w:cs="Arial"/>
          <w:sz w:val="20"/>
          <w:szCs w:val="20"/>
          <w:lang w:bidi="th-TH"/>
        </w:rPr>
        <w:t xml:space="preserve"> 2007)</w:t>
      </w:r>
      <w:r w:rsidR="00080B78" w:rsidRPr="004343A0">
        <w:rPr>
          <w:rFonts w:cs="Arial"/>
          <w:sz w:val="20"/>
          <w:szCs w:val="20"/>
          <w:lang w:bidi="th-TH"/>
        </w:rPr>
        <w:t xml:space="preserve"> as </w:t>
      </w:r>
      <w:r w:rsidR="002B6251" w:rsidRPr="004343A0">
        <w:rPr>
          <w:rFonts w:cs="Arial"/>
          <w:sz w:val="20"/>
          <w:szCs w:val="20"/>
          <w:lang w:bidi="th-TH"/>
        </w:rPr>
        <w:t>an effective, clean</w:t>
      </w:r>
      <w:r w:rsidR="00080B78" w:rsidRPr="004343A0">
        <w:rPr>
          <w:rFonts w:cs="Arial"/>
          <w:sz w:val="20"/>
          <w:szCs w:val="20"/>
          <w:lang w:bidi="th-TH"/>
        </w:rPr>
        <w:t>, safe and cost effective approach to meet the carbon</w:t>
      </w:r>
      <w:r w:rsidR="002B6251" w:rsidRPr="004343A0">
        <w:rPr>
          <w:rFonts w:cs="Arial"/>
          <w:sz w:val="20"/>
          <w:szCs w:val="20"/>
          <w:lang w:bidi="th-TH"/>
        </w:rPr>
        <w:t xml:space="preserve"> </w:t>
      </w:r>
      <w:r w:rsidR="00080B78" w:rsidRPr="004343A0">
        <w:rPr>
          <w:rFonts w:cs="Arial"/>
          <w:sz w:val="20"/>
          <w:szCs w:val="20"/>
          <w:lang w:bidi="th-TH"/>
        </w:rPr>
        <w:t>reduction targets. However, the uptake of effective energy efficient strategies within the</w:t>
      </w:r>
      <w:r w:rsidR="002B6251" w:rsidRPr="004343A0">
        <w:rPr>
          <w:rFonts w:cs="Arial"/>
          <w:sz w:val="20"/>
          <w:szCs w:val="20"/>
          <w:lang w:bidi="th-TH"/>
        </w:rPr>
        <w:t xml:space="preserve"> </w:t>
      </w:r>
      <w:r w:rsidR="00080B78" w:rsidRPr="004343A0">
        <w:rPr>
          <w:rFonts w:cs="Arial"/>
          <w:sz w:val="20"/>
          <w:szCs w:val="20"/>
          <w:lang w:bidi="th-TH"/>
        </w:rPr>
        <w:t xml:space="preserve">UK is currently </w:t>
      </w:r>
      <w:r w:rsidR="007D5B46" w:rsidRPr="004343A0">
        <w:rPr>
          <w:rFonts w:cs="Arial"/>
          <w:sz w:val="20"/>
          <w:szCs w:val="20"/>
          <w:lang w:bidi="th-TH"/>
        </w:rPr>
        <w:t xml:space="preserve">slow and </w:t>
      </w:r>
      <w:r w:rsidR="00080B78" w:rsidRPr="004343A0">
        <w:rPr>
          <w:rFonts w:cs="Arial"/>
          <w:sz w:val="20"/>
          <w:szCs w:val="20"/>
          <w:lang w:bidi="th-TH"/>
        </w:rPr>
        <w:t>not sufficient to achieve the necessary</w:t>
      </w:r>
      <w:r w:rsidR="002B6251" w:rsidRPr="004343A0">
        <w:rPr>
          <w:rFonts w:cs="Arial"/>
          <w:sz w:val="20"/>
          <w:szCs w:val="20"/>
          <w:lang w:bidi="th-TH"/>
        </w:rPr>
        <w:t xml:space="preserve"> </w:t>
      </w:r>
      <w:r w:rsidR="00776847" w:rsidRPr="004343A0">
        <w:rPr>
          <w:rFonts w:cs="Arial"/>
          <w:sz w:val="20"/>
          <w:szCs w:val="20"/>
          <w:lang w:bidi="th-TH"/>
        </w:rPr>
        <w:t>CO</w:t>
      </w:r>
      <w:r w:rsidR="00776847" w:rsidRPr="004343A0">
        <w:rPr>
          <w:rFonts w:cs="Arial"/>
          <w:sz w:val="20"/>
          <w:szCs w:val="20"/>
          <w:vertAlign w:val="subscript"/>
          <w:lang w:bidi="th-TH"/>
        </w:rPr>
        <w:t>2</w:t>
      </w:r>
      <w:r w:rsidR="00080B78" w:rsidRPr="004343A0">
        <w:rPr>
          <w:rFonts w:cs="Arial"/>
          <w:sz w:val="20"/>
          <w:szCs w:val="20"/>
          <w:lang w:bidi="th-TH"/>
        </w:rPr>
        <w:t xml:space="preserve"> reduction targets</w:t>
      </w:r>
      <w:r w:rsidR="00B9780D" w:rsidRPr="004343A0">
        <w:rPr>
          <w:rFonts w:cs="Arial"/>
          <w:sz w:val="20"/>
          <w:szCs w:val="20"/>
          <w:lang w:bidi="th-TH"/>
        </w:rPr>
        <w:t xml:space="preserve"> (DECC</w:t>
      </w:r>
      <w:r w:rsidR="00123A3F" w:rsidRPr="004343A0">
        <w:rPr>
          <w:rFonts w:cs="Arial"/>
          <w:sz w:val="20"/>
          <w:szCs w:val="20"/>
          <w:lang w:bidi="th-TH"/>
        </w:rPr>
        <w:t>,</w:t>
      </w:r>
      <w:r w:rsidR="00B9780D" w:rsidRPr="004343A0">
        <w:rPr>
          <w:rFonts w:cs="Arial"/>
          <w:sz w:val="20"/>
          <w:szCs w:val="20"/>
          <w:lang w:bidi="th-TH"/>
        </w:rPr>
        <w:t xml:space="preserve"> 2009)</w:t>
      </w:r>
      <w:r w:rsidR="00080B78" w:rsidRPr="004343A0">
        <w:rPr>
          <w:rFonts w:cs="Arial"/>
          <w:sz w:val="20"/>
          <w:szCs w:val="20"/>
          <w:lang w:bidi="th-TH"/>
        </w:rPr>
        <w:t>.</w:t>
      </w:r>
    </w:p>
    <w:p w:rsidR="00AD3E4F" w:rsidRPr="004343A0" w:rsidRDefault="00224F4E" w:rsidP="00764FD1">
      <w:pPr>
        <w:spacing w:line="480" w:lineRule="auto"/>
        <w:jc w:val="both"/>
        <w:rPr>
          <w:rFonts w:cs="Arial"/>
          <w:sz w:val="20"/>
          <w:szCs w:val="20"/>
        </w:rPr>
      </w:pPr>
      <w:r w:rsidRPr="004343A0">
        <w:rPr>
          <w:sz w:val="20"/>
          <w:lang w:bidi="th-TH"/>
        </w:rPr>
        <w:t xml:space="preserve">It is now accepted that changing to low carbon life styles will only occur if technical initiatives are supported by a change in behaviour amongst UK households (DTI, 2006). </w:t>
      </w:r>
      <w:r w:rsidR="009458AB" w:rsidRPr="004343A0">
        <w:rPr>
          <w:sz w:val="20"/>
          <w:lang w:bidi="th-TH"/>
        </w:rPr>
        <w:t>I</w:t>
      </w:r>
      <w:r w:rsidRPr="004343A0">
        <w:rPr>
          <w:sz w:val="20"/>
          <w:lang w:bidi="th-TH"/>
        </w:rPr>
        <w:t xml:space="preserve">t is </w:t>
      </w:r>
      <w:r w:rsidR="0057665B" w:rsidRPr="004343A0">
        <w:rPr>
          <w:sz w:val="20"/>
          <w:lang w:bidi="th-TH"/>
        </w:rPr>
        <w:t>people;</w:t>
      </w:r>
      <w:r w:rsidRPr="004343A0">
        <w:rPr>
          <w:sz w:val="20"/>
          <w:lang w:bidi="th-TH"/>
        </w:rPr>
        <w:t xml:space="preserve"> their attitudes and behaviour towards low/zero carbon living that will ultimately be critical to the success of the low carbon agenda (</w:t>
      </w:r>
      <w:r w:rsidRPr="004343A0">
        <w:rPr>
          <w:rFonts w:cs="Arial"/>
          <w:sz w:val="20"/>
          <w:szCs w:val="20"/>
          <w:lang w:bidi="th-TH"/>
        </w:rPr>
        <w:t>Boardman, 2008</w:t>
      </w:r>
      <w:r w:rsidRPr="004343A0">
        <w:rPr>
          <w:sz w:val="20"/>
          <w:lang w:bidi="th-TH"/>
        </w:rPr>
        <w:t xml:space="preserve">). </w:t>
      </w:r>
      <w:r w:rsidRPr="004343A0">
        <w:rPr>
          <w:rFonts w:cs="Arial"/>
          <w:sz w:val="20"/>
          <w:szCs w:val="20"/>
        </w:rPr>
        <w:t xml:space="preserve">In this process the involvement of all stakeholders and behavioural change of occupants to low carbon life styles are primary factors. </w:t>
      </w:r>
      <w:r w:rsidR="006035FE" w:rsidRPr="004343A0">
        <w:rPr>
          <w:rFonts w:cs="Arial"/>
          <w:sz w:val="20"/>
          <w:szCs w:val="20"/>
        </w:rPr>
        <w:t>It is illustrated that ‘b</w:t>
      </w:r>
      <w:r w:rsidR="00F54723" w:rsidRPr="004343A0">
        <w:rPr>
          <w:rFonts w:cs="Arial"/>
          <w:sz w:val="20"/>
          <w:szCs w:val="20"/>
        </w:rPr>
        <w:t>ehaviour is influenced in complex ways by factors such as price, awareness, trust and commitment, including a sense of moral obligation</w:t>
      </w:r>
      <w:r w:rsidR="005D4555" w:rsidRPr="004343A0">
        <w:rPr>
          <w:rFonts w:cs="Arial"/>
          <w:sz w:val="20"/>
          <w:szCs w:val="20"/>
        </w:rPr>
        <w:t>’</w:t>
      </w:r>
      <w:r w:rsidR="00F54723" w:rsidRPr="004343A0">
        <w:rPr>
          <w:rFonts w:cs="Arial"/>
          <w:sz w:val="20"/>
          <w:szCs w:val="20"/>
        </w:rPr>
        <w:t xml:space="preserve"> (Devine-Wright and Devine-Wright</w:t>
      </w:r>
      <w:r w:rsidR="00D763F1" w:rsidRPr="004343A0">
        <w:rPr>
          <w:rFonts w:cs="Arial"/>
          <w:sz w:val="20"/>
          <w:szCs w:val="20"/>
        </w:rPr>
        <w:t>, 2004)</w:t>
      </w:r>
      <w:r w:rsidR="00123A3F" w:rsidRPr="004343A0">
        <w:rPr>
          <w:rFonts w:cs="Arial"/>
          <w:sz w:val="20"/>
          <w:szCs w:val="20"/>
        </w:rPr>
        <w:t>.</w:t>
      </w:r>
      <w:r w:rsidR="00D763F1" w:rsidRPr="004343A0">
        <w:rPr>
          <w:rFonts w:cs="Arial"/>
          <w:sz w:val="20"/>
          <w:szCs w:val="20"/>
        </w:rPr>
        <w:t xml:space="preserve"> </w:t>
      </w:r>
      <w:r w:rsidR="00123A3F" w:rsidRPr="004343A0">
        <w:rPr>
          <w:rFonts w:cs="Arial"/>
          <w:sz w:val="20"/>
          <w:szCs w:val="20"/>
        </w:rPr>
        <w:t>A</w:t>
      </w:r>
      <w:r w:rsidR="00D763F1" w:rsidRPr="004343A0">
        <w:rPr>
          <w:sz w:val="20"/>
        </w:rPr>
        <w:t xml:space="preserve"> recent EU report on behaviour change and energy use illustrated that up to 20% of the energy currently consumed can be saved through changing behaviour (EEA, 2013).</w:t>
      </w:r>
    </w:p>
    <w:p w:rsidR="00AD3E4F" w:rsidRPr="004343A0" w:rsidRDefault="006554D8" w:rsidP="00764FD1">
      <w:pPr>
        <w:widowControl w:val="0"/>
        <w:autoSpaceDE w:val="0"/>
        <w:autoSpaceDN w:val="0"/>
        <w:adjustRightInd w:val="0"/>
        <w:spacing w:line="480" w:lineRule="auto"/>
        <w:jc w:val="both"/>
        <w:rPr>
          <w:sz w:val="20"/>
        </w:rPr>
      </w:pPr>
      <w:r w:rsidRPr="004343A0">
        <w:rPr>
          <w:sz w:val="20"/>
        </w:rPr>
        <w:t>The current demographic challenge is known to be a rapidly increasing ageing population and the number of people aged 65 and above in the UK is predicted to increase by 81% or from 9.3 million in 2000 to 16.8 million in 2051 (J</w:t>
      </w:r>
      <w:r w:rsidR="002D0038" w:rsidRPr="004343A0">
        <w:rPr>
          <w:sz w:val="20"/>
        </w:rPr>
        <w:t xml:space="preserve">oseph </w:t>
      </w:r>
      <w:r w:rsidRPr="004343A0">
        <w:rPr>
          <w:sz w:val="20"/>
        </w:rPr>
        <w:t>R</w:t>
      </w:r>
      <w:r w:rsidR="002D0038" w:rsidRPr="004343A0">
        <w:rPr>
          <w:sz w:val="20"/>
        </w:rPr>
        <w:t xml:space="preserve">owntree </w:t>
      </w:r>
      <w:r w:rsidRPr="004343A0">
        <w:rPr>
          <w:sz w:val="20"/>
        </w:rPr>
        <w:t>F</w:t>
      </w:r>
      <w:r w:rsidR="002D0038" w:rsidRPr="004343A0">
        <w:rPr>
          <w:sz w:val="20"/>
        </w:rPr>
        <w:t>oundation</w:t>
      </w:r>
      <w:r w:rsidRPr="004343A0">
        <w:rPr>
          <w:sz w:val="20"/>
        </w:rPr>
        <w:t xml:space="preserve">, 2004). </w:t>
      </w:r>
      <w:r w:rsidRPr="004343A0">
        <w:rPr>
          <w:rFonts w:eastAsiaTheme="minorHAnsi"/>
          <w:sz w:val="20"/>
          <w:szCs w:val="22"/>
          <w:lang w:val="en-US" w:eastAsia="en-US"/>
        </w:rPr>
        <w:t xml:space="preserve">Although this group is fragmented, it does </w:t>
      </w:r>
      <w:r w:rsidR="00377B36" w:rsidRPr="004343A0">
        <w:rPr>
          <w:rFonts w:eastAsiaTheme="minorHAnsi"/>
          <w:sz w:val="20"/>
          <w:szCs w:val="22"/>
          <w:lang w:val="en-US" w:eastAsia="en-US"/>
        </w:rPr>
        <w:t>tend</w:t>
      </w:r>
      <w:r w:rsidRPr="004343A0">
        <w:rPr>
          <w:rFonts w:eastAsiaTheme="minorHAnsi"/>
          <w:sz w:val="20"/>
          <w:szCs w:val="22"/>
          <w:lang w:val="en-US" w:eastAsia="en-US"/>
        </w:rPr>
        <w:t xml:space="preserve"> to form segments around social </w:t>
      </w:r>
      <w:r w:rsidR="00D86D91">
        <w:rPr>
          <w:rFonts w:eastAsiaTheme="minorHAnsi"/>
          <w:sz w:val="20"/>
          <w:szCs w:val="22"/>
          <w:lang w:val="en-US" w:eastAsia="en-US"/>
        </w:rPr>
        <w:t>networks. Such networks involve charities, clubs and societies,</w:t>
      </w:r>
      <w:r w:rsidRPr="004343A0">
        <w:rPr>
          <w:rFonts w:eastAsiaTheme="minorHAnsi"/>
          <w:sz w:val="20"/>
          <w:szCs w:val="22"/>
          <w:lang w:val="en-US" w:eastAsia="en-US"/>
        </w:rPr>
        <w:t xml:space="preserve"> religious </w:t>
      </w:r>
      <w:r w:rsidRPr="004343A0">
        <w:rPr>
          <w:rFonts w:eastAsiaTheme="minorHAnsi"/>
          <w:sz w:val="20"/>
          <w:szCs w:val="22"/>
          <w:lang w:val="en-US" w:eastAsia="en-US"/>
        </w:rPr>
        <w:lastRenderedPageBreak/>
        <w:t>organisations and tend to focus locally within the community. An ageing population will affect the amount of energy that is consumed in the home.</w:t>
      </w:r>
      <w:r w:rsidRPr="004343A0">
        <w:rPr>
          <w:sz w:val="20"/>
        </w:rPr>
        <w:t xml:space="preserve"> Any strategy to combat climate change effects must take into account these </w:t>
      </w:r>
      <w:r w:rsidR="00D86D91">
        <w:rPr>
          <w:sz w:val="20"/>
        </w:rPr>
        <w:t>predicted demographic changes.</w:t>
      </w:r>
    </w:p>
    <w:p w:rsidR="00224F4E" w:rsidRPr="004343A0" w:rsidRDefault="00224F4E" w:rsidP="00224F4E">
      <w:pPr>
        <w:spacing w:line="480" w:lineRule="auto"/>
        <w:jc w:val="both"/>
        <w:rPr>
          <w:rFonts w:eastAsiaTheme="minorHAnsi" w:cs="Arial"/>
          <w:sz w:val="20"/>
          <w:szCs w:val="22"/>
          <w:lang w:val="en-US"/>
        </w:rPr>
      </w:pPr>
      <w:r w:rsidRPr="004343A0">
        <w:rPr>
          <w:rFonts w:cs="Arial"/>
          <w:sz w:val="20"/>
          <w:szCs w:val="20"/>
        </w:rPr>
        <w:t>This paper presents the findings of an E</w:t>
      </w:r>
      <w:r w:rsidR="00D86D91">
        <w:rPr>
          <w:rFonts w:cs="Arial"/>
          <w:sz w:val="20"/>
          <w:szCs w:val="20"/>
        </w:rPr>
        <w:t xml:space="preserve">ngineering and </w:t>
      </w:r>
      <w:r w:rsidRPr="004343A0">
        <w:rPr>
          <w:rFonts w:cs="Arial"/>
          <w:sz w:val="20"/>
          <w:szCs w:val="20"/>
        </w:rPr>
        <w:t>P</w:t>
      </w:r>
      <w:r w:rsidR="00D86D91">
        <w:rPr>
          <w:rFonts w:cs="Arial"/>
          <w:sz w:val="20"/>
          <w:szCs w:val="20"/>
        </w:rPr>
        <w:t xml:space="preserve">hysical </w:t>
      </w:r>
      <w:r w:rsidRPr="004343A0">
        <w:rPr>
          <w:rFonts w:cs="Arial"/>
          <w:sz w:val="20"/>
          <w:szCs w:val="20"/>
        </w:rPr>
        <w:t>S</w:t>
      </w:r>
      <w:r w:rsidR="00D86D91">
        <w:rPr>
          <w:rFonts w:cs="Arial"/>
          <w:sz w:val="20"/>
          <w:szCs w:val="20"/>
        </w:rPr>
        <w:t xml:space="preserve">ciences </w:t>
      </w:r>
      <w:r w:rsidRPr="004343A0">
        <w:rPr>
          <w:rFonts w:cs="Arial"/>
          <w:sz w:val="20"/>
          <w:szCs w:val="20"/>
        </w:rPr>
        <w:t>R</w:t>
      </w:r>
      <w:r w:rsidR="00D86D91">
        <w:rPr>
          <w:rFonts w:cs="Arial"/>
          <w:sz w:val="20"/>
          <w:szCs w:val="20"/>
        </w:rPr>
        <w:t xml:space="preserve">esearch </w:t>
      </w:r>
      <w:r w:rsidRPr="004343A0">
        <w:rPr>
          <w:rFonts w:cs="Arial"/>
          <w:sz w:val="20"/>
          <w:szCs w:val="20"/>
        </w:rPr>
        <w:t>C</w:t>
      </w:r>
      <w:r w:rsidR="00D86D91">
        <w:rPr>
          <w:rFonts w:cs="Arial"/>
          <w:sz w:val="20"/>
          <w:szCs w:val="20"/>
        </w:rPr>
        <w:t>ouncil (EPSRC)</w:t>
      </w:r>
      <w:r w:rsidRPr="004343A0">
        <w:rPr>
          <w:rFonts w:cs="Arial"/>
          <w:sz w:val="20"/>
          <w:szCs w:val="20"/>
        </w:rPr>
        <w:t xml:space="preserve"> Public Engagement project (2009-2010) carried out to promote low carbon home adaptations and behaviour change among the elderly. A number of engagement events were held to increase the awareness of environmental upgrading of homes, energy efficiency measures, financial support availab</w:t>
      </w:r>
      <w:r w:rsidR="004D3EA8" w:rsidRPr="004343A0">
        <w:rPr>
          <w:rFonts w:cs="Arial"/>
          <w:sz w:val="20"/>
          <w:szCs w:val="20"/>
        </w:rPr>
        <w:t xml:space="preserve">le and low carbon life styles and a </w:t>
      </w:r>
      <w:r w:rsidRPr="004343A0">
        <w:rPr>
          <w:rFonts w:cs="Arial"/>
          <w:sz w:val="20"/>
          <w:szCs w:val="22"/>
        </w:rPr>
        <w:t xml:space="preserve">feedback process collected information on sustainable actions taken by the attendees </w:t>
      </w:r>
      <w:r w:rsidR="004D3EA8" w:rsidRPr="004343A0">
        <w:rPr>
          <w:rFonts w:cs="Arial"/>
          <w:sz w:val="20"/>
          <w:szCs w:val="22"/>
        </w:rPr>
        <w:t>three</w:t>
      </w:r>
      <w:r w:rsidR="00764FD1" w:rsidRPr="004343A0">
        <w:rPr>
          <w:rFonts w:cs="Arial"/>
          <w:sz w:val="20"/>
          <w:szCs w:val="22"/>
        </w:rPr>
        <w:t xml:space="preserve"> to </w:t>
      </w:r>
      <w:r w:rsidR="004D3EA8" w:rsidRPr="004343A0">
        <w:rPr>
          <w:rFonts w:cs="Arial"/>
          <w:sz w:val="20"/>
          <w:szCs w:val="22"/>
        </w:rPr>
        <w:t>six months</w:t>
      </w:r>
      <w:r w:rsidR="009458AB" w:rsidRPr="004343A0">
        <w:rPr>
          <w:rFonts w:cs="Arial"/>
          <w:sz w:val="20"/>
          <w:szCs w:val="22"/>
        </w:rPr>
        <w:t xml:space="preserve"> </w:t>
      </w:r>
      <w:r w:rsidRPr="004343A0">
        <w:rPr>
          <w:rFonts w:cs="Arial"/>
          <w:sz w:val="20"/>
          <w:szCs w:val="22"/>
        </w:rPr>
        <w:t xml:space="preserve">after the initial events. The results illustrated that many </w:t>
      </w:r>
      <w:r w:rsidRPr="004343A0">
        <w:rPr>
          <w:rFonts w:eastAsiaTheme="minorHAnsi" w:cs="Arial"/>
          <w:sz w:val="20"/>
          <w:szCs w:val="22"/>
          <w:lang w:val="en-US"/>
        </w:rPr>
        <w:t>had made changes in their l</w:t>
      </w:r>
      <w:r w:rsidR="00D86D91">
        <w:rPr>
          <w:rFonts w:eastAsiaTheme="minorHAnsi" w:cs="Arial"/>
          <w:sz w:val="20"/>
          <w:szCs w:val="22"/>
          <w:lang w:val="en-US"/>
        </w:rPr>
        <w:t>ives since attending the events, are planning to change,</w:t>
      </w:r>
      <w:r w:rsidRPr="004343A0">
        <w:rPr>
          <w:rFonts w:eastAsiaTheme="minorHAnsi" w:cs="Arial"/>
          <w:sz w:val="20"/>
          <w:szCs w:val="22"/>
          <w:lang w:val="en-US"/>
        </w:rPr>
        <w:t xml:space="preserve"> or have encouraged someone else they know to make a change in their lives to be more sustainable. </w:t>
      </w:r>
    </w:p>
    <w:p w:rsidR="00C067EF" w:rsidRPr="004343A0" w:rsidRDefault="00C067EF" w:rsidP="00633E83">
      <w:pPr>
        <w:spacing w:line="480" w:lineRule="auto"/>
        <w:jc w:val="both"/>
        <w:rPr>
          <w:rFonts w:cs="Arial"/>
          <w:sz w:val="20"/>
          <w:szCs w:val="20"/>
          <w:lang w:bidi="th-TH"/>
        </w:rPr>
      </w:pPr>
    </w:p>
    <w:p w:rsidR="00DF25E8" w:rsidRPr="004343A0" w:rsidRDefault="00DF25E8"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outlineLvl w:val="0"/>
        <w:rPr>
          <w:rFonts w:eastAsiaTheme="minorHAnsi" w:cs="Times"/>
          <w:b/>
          <w:sz w:val="24"/>
          <w:szCs w:val="16"/>
          <w:lang w:val="en-US" w:eastAsia="en-US"/>
        </w:rPr>
      </w:pPr>
      <w:r w:rsidRPr="004343A0">
        <w:rPr>
          <w:rFonts w:eastAsiaTheme="minorHAnsi" w:cs="Times"/>
          <w:b/>
          <w:sz w:val="24"/>
          <w:szCs w:val="16"/>
          <w:lang w:val="en-US" w:eastAsia="en-US"/>
        </w:rPr>
        <w:t>2.0 Background</w:t>
      </w:r>
    </w:p>
    <w:p w:rsidR="0025116E" w:rsidRPr="004343A0" w:rsidRDefault="00136357"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Times"/>
          <w:sz w:val="20"/>
          <w:szCs w:val="16"/>
          <w:lang w:val="en-US" w:eastAsia="en-US"/>
        </w:rPr>
      </w:pPr>
      <w:r w:rsidRPr="004343A0">
        <w:rPr>
          <w:rFonts w:eastAsiaTheme="minorHAnsi" w:cs="Times"/>
          <w:sz w:val="20"/>
          <w:szCs w:val="16"/>
          <w:lang w:val="en-US" w:eastAsia="en-US"/>
        </w:rPr>
        <w:t>The condition of English housing is assessed against 4 cr</w:t>
      </w:r>
      <w:r w:rsidR="00D86D91">
        <w:rPr>
          <w:rFonts w:eastAsiaTheme="minorHAnsi" w:cs="Times"/>
          <w:sz w:val="20"/>
          <w:szCs w:val="16"/>
          <w:lang w:val="en-US" w:eastAsia="en-US"/>
        </w:rPr>
        <w:t>iteria (Housing health and Safety rating system, Thermal c</w:t>
      </w:r>
      <w:r w:rsidRPr="004343A0">
        <w:rPr>
          <w:rFonts w:eastAsiaTheme="minorHAnsi" w:cs="Times"/>
          <w:sz w:val="20"/>
          <w:szCs w:val="16"/>
          <w:lang w:val="en-US" w:eastAsia="en-US"/>
        </w:rPr>
        <w:t>omfort, Repair and Modern facilities</w:t>
      </w:r>
      <w:r w:rsidR="002E76D6" w:rsidRPr="004343A0">
        <w:rPr>
          <w:rFonts w:eastAsiaTheme="minorHAnsi" w:cs="Times"/>
          <w:sz w:val="20"/>
          <w:szCs w:val="16"/>
          <w:lang w:val="en-US" w:eastAsia="en-US"/>
        </w:rPr>
        <w:t xml:space="preserve">), failure of any one of which </w:t>
      </w:r>
      <w:r w:rsidRPr="004343A0">
        <w:rPr>
          <w:rFonts w:eastAsiaTheme="minorHAnsi" w:cs="Times"/>
          <w:sz w:val="20"/>
          <w:szCs w:val="16"/>
          <w:lang w:val="en-US" w:eastAsia="en-US"/>
        </w:rPr>
        <w:t>results in the dwelling being ca</w:t>
      </w:r>
      <w:r w:rsidR="00437BA9" w:rsidRPr="004343A0">
        <w:rPr>
          <w:rFonts w:eastAsiaTheme="minorHAnsi" w:cs="Times"/>
          <w:sz w:val="20"/>
          <w:szCs w:val="16"/>
          <w:lang w:val="en-US" w:eastAsia="en-US"/>
        </w:rPr>
        <w:t>te</w:t>
      </w:r>
      <w:r w:rsidRPr="004343A0">
        <w:rPr>
          <w:rFonts w:eastAsiaTheme="minorHAnsi" w:cs="Times"/>
          <w:sz w:val="20"/>
          <w:szCs w:val="16"/>
          <w:lang w:val="en-US" w:eastAsia="en-US"/>
        </w:rPr>
        <w:t xml:space="preserve">gorised as </w:t>
      </w:r>
      <w:r w:rsidR="00D86D91">
        <w:rPr>
          <w:rFonts w:eastAsiaTheme="minorHAnsi" w:cs="Times"/>
          <w:sz w:val="20"/>
          <w:szCs w:val="16"/>
          <w:lang w:val="en-US" w:eastAsia="en-US"/>
        </w:rPr>
        <w:t>‘</w:t>
      </w:r>
      <w:r w:rsidRPr="004343A0">
        <w:rPr>
          <w:rFonts w:eastAsiaTheme="minorHAnsi" w:cs="Times"/>
          <w:sz w:val="20"/>
          <w:szCs w:val="16"/>
          <w:lang w:val="en-US" w:eastAsia="en-US"/>
        </w:rPr>
        <w:t>non-decent</w:t>
      </w:r>
      <w:r w:rsidR="00D86D91">
        <w:rPr>
          <w:rFonts w:eastAsiaTheme="minorHAnsi" w:cs="Times"/>
          <w:sz w:val="20"/>
          <w:szCs w:val="16"/>
          <w:lang w:val="en-US" w:eastAsia="en-US"/>
        </w:rPr>
        <w:t>’</w:t>
      </w:r>
      <w:r w:rsidRPr="004343A0">
        <w:rPr>
          <w:rFonts w:eastAsiaTheme="minorHAnsi" w:cs="Times"/>
          <w:sz w:val="20"/>
          <w:szCs w:val="16"/>
          <w:lang w:val="en-US" w:eastAsia="en-US"/>
        </w:rPr>
        <w:t xml:space="preserve">. </w:t>
      </w:r>
      <w:r w:rsidR="00736ADE" w:rsidRPr="004343A0">
        <w:rPr>
          <w:rFonts w:eastAsiaTheme="minorHAnsi" w:cs="Times"/>
          <w:sz w:val="20"/>
          <w:szCs w:val="16"/>
          <w:lang w:val="en-US" w:eastAsia="en-US"/>
        </w:rPr>
        <w:t xml:space="preserve">In </w:t>
      </w:r>
      <w:r w:rsidRPr="004343A0">
        <w:rPr>
          <w:rFonts w:eastAsiaTheme="minorHAnsi" w:cs="Times"/>
          <w:sz w:val="20"/>
          <w:szCs w:val="16"/>
          <w:lang w:val="en-US" w:eastAsia="en-US"/>
        </w:rPr>
        <w:t>2010, approximately 5.9 million (26%) of the 22.4 millio</w:t>
      </w:r>
      <w:r w:rsidR="00437BA9" w:rsidRPr="004343A0">
        <w:rPr>
          <w:rFonts w:eastAsiaTheme="minorHAnsi" w:cs="Times"/>
          <w:sz w:val="20"/>
          <w:szCs w:val="16"/>
          <w:lang w:val="en-US" w:eastAsia="en-US"/>
        </w:rPr>
        <w:t>n dwellings in England were cate</w:t>
      </w:r>
      <w:r w:rsidRPr="004343A0">
        <w:rPr>
          <w:rFonts w:eastAsiaTheme="minorHAnsi" w:cs="Times"/>
          <w:sz w:val="20"/>
          <w:szCs w:val="16"/>
          <w:lang w:val="en-US" w:eastAsia="en-US"/>
        </w:rPr>
        <w:t>gorised as non-decent</w:t>
      </w:r>
      <w:r w:rsidR="003177F0" w:rsidRPr="004343A0">
        <w:rPr>
          <w:rFonts w:eastAsiaTheme="minorHAnsi" w:cs="Times"/>
          <w:sz w:val="20"/>
          <w:szCs w:val="16"/>
          <w:lang w:val="en-US" w:eastAsia="en-US"/>
        </w:rPr>
        <w:t xml:space="preserve"> and o</w:t>
      </w:r>
      <w:r w:rsidR="002314A6" w:rsidRPr="004343A0">
        <w:rPr>
          <w:rFonts w:eastAsiaTheme="minorHAnsi" w:cs="Times"/>
          <w:sz w:val="20"/>
          <w:szCs w:val="16"/>
          <w:lang w:val="en-US" w:eastAsia="en-US"/>
        </w:rPr>
        <w:t xml:space="preserve">f these, </w:t>
      </w:r>
      <w:r w:rsidR="00F1705E" w:rsidRPr="004343A0">
        <w:rPr>
          <w:rFonts w:eastAsiaTheme="minorHAnsi" w:cs="Times"/>
          <w:sz w:val="20"/>
          <w:szCs w:val="16"/>
          <w:lang w:val="en-US" w:eastAsia="en-US"/>
        </w:rPr>
        <w:t xml:space="preserve">2.2 million homes </w:t>
      </w:r>
      <w:r w:rsidR="002314A6" w:rsidRPr="004343A0">
        <w:rPr>
          <w:rFonts w:eastAsiaTheme="minorHAnsi" w:cs="Times"/>
          <w:sz w:val="20"/>
          <w:szCs w:val="16"/>
          <w:lang w:val="en-US" w:eastAsia="en-US"/>
        </w:rPr>
        <w:t>failed the thermal comfort criteria</w:t>
      </w:r>
      <w:r w:rsidR="003177F0" w:rsidRPr="004343A0">
        <w:rPr>
          <w:rFonts w:eastAsiaTheme="minorHAnsi" w:cs="Times"/>
          <w:sz w:val="20"/>
          <w:szCs w:val="16"/>
          <w:lang w:val="en-US" w:eastAsia="en-US"/>
        </w:rPr>
        <w:t xml:space="preserve"> (DCLG, 2012)</w:t>
      </w:r>
      <w:r w:rsidR="002314A6" w:rsidRPr="004343A0">
        <w:rPr>
          <w:rFonts w:eastAsiaTheme="minorHAnsi" w:cs="Times"/>
          <w:sz w:val="20"/>
          <w:szCs w:val="16"/>
          <w:lang w:val="en-US" w:eastAsia="en-US"/>
        </w:rPr>
        <w:t>. Improving the t</w:t>
      </w:r>
      <w:r w:rsidR="00736ADE" w:rsidRPr="004343A0">
        <w:rPr>
          <w:rFonts w:eastAsiaTheme="minorHAnsi" w:cs="Times"/>
          <w:sz w:val="20"/>
          <w:szCs w:val="16"/>
          <w:lang w:val="en-US" w:eastAsia="en-US"/>
        </w:rPr>
        <w:t xml:space="preserve">hermal </w:t>
      </w:r>
      <w:r w:rsidR="002314A6" w:rsidRPr="004343A0">
        <w:rPr>
          <w:rFonts w:eastAsiaTheme="minorHAnsi" w:cs="Times"/>
          <w:sz w:val="20"/>
          <w:szCs w:val="16"/>
          <w:lang w:val="en-US" w:eastAsia="en-US"/>
        </w:rPr>
        <w:t>performance</w:t>
      </w:r>
      <w:r w:rsidR="00736ADE" w:rsidRPr="004343A0">
        <w:rPr>
          <w:rFonts w:eastAsiaTheme="minorHAnsi" w:cs="Times"/>
          <w:sz w:val="20"/>
          <w:szCs w:val="16"/>
          <w:lang w:val="en-US" w:eastAsia="en-US"/>
        </w:rPr>
        <w:t xml:space="preserve"> </w:t>
      </w:r>
      <w:r w:rsidRPr="004343A0">
        <w:rPr>
          <w:rFonts w:eastAsiaTheme="minorHAnsi" w:cs="Times"/>
          <w:sz w:val="20"/>
          <w:szCs w:val="16"/>
          <w:lang w:val="en-US" w:eastAsia="en-US"/>
        </w:rPr>
        <w:t>of English housing</w:t>
      </w:r>
      <w:r w:rsidR="002314A6" w:rsidRPr="004343A0">
        <w:rPr>
          <w:rFonts w:eastAsiaTheme="minorHAnsi" w:cs="Times"/>
          <w:sz w:val="20"/>
          <w:szCs w:val="16"/>
          <w:lang w:val="en-US" w:eastAsia="en-US"/>
        </w:rPr>
        <w:t xml:space="preserve"> </w:t>
      </w:r>
      <w:r w:rsidR="000B38AF" w:rsidRPr="004343A0">
        <w:rPr>
          <w:rFonts w:eastAsiaTheme="minorHAnsi" w:cs="Times"/>
          <w:sz w:val="20"/>
          <w:szCs w:val="16"/>
          <w:lang w:val="en-US" w:eastAsia="en-US"/>
        </w:rPr>
        <w:t>(</w:t>
      </w:r>
      <w:r w:rsidRPr="004343A0">
        <w:rPr>
          <w:rFonts w:eastAsiaTheme="minorHAnsi" w:cs="Times"/>
          <w:sz w:val="20"/>
          <w:szCs w:val="16"/>
          <w:lang w:val="en-US" w:eastAsia="en-US"/>
        </w:rPr>
        <w:t xml:space="preserve">as </w:t>
      </w:r>
      <w:r w:rsidR="00736ADE" w:rsidRPr="004343A0">
        <w:rPr>
          <w:rFonts w:eastAsiaTheme="minorHAnsi" w:cs="Times"/>
          <w:sz w:val="20"/>
          <w:szCs w:val="16"/>
          <w:lang w:val="en-US" w:eastAsia="en-US"/>
        </w:rPr>
        <w:t>measured through the Standard Assessment Procedure</w:t>
      </w:r>
      <w:r w:rsidRPr="004343A0">
        <w:rPr>
          <w:rFonts w:eastAsiaTheme="minorHAnsi" w:cs="Times"/>
          <w:sz w:val="20"/>
          <w:szCs w:val="16"/>
          <w:lang w:val="en-US" w:eastAsia="en-US"/>
        </w:rPr>
        <w:t xml:space="preserve"> </w:t>
      </w:r>
      <w:r w:rsidR="00DB349B" w:rsidRPr="004343A0">
        <w:rPr>
          <w:rFonts w:eastAsiaTheme="minorHAnsi" w:cs="Times"/>
          <w:sz w:val="20"/>
          <w:szCs w:val="16"/>
          <w:lang w:val="en-US" w:eastAsia="en-US"/>
        </w:rPr>
        <w:t>–</w:t>
      </w:r>
      <w:r w:rsidR="00776847" w:rsidRPr="004343A0">
        <w:rPr>
          <w:rFonts w:eastAsiaTheme="minorHAnsi" w:cs="Times"/>
          <w:sz w:val="20"/>
          <w:szCs w:val="16"/>
          <w:lang w:val="en-US" w:eastAsia="en-US"/>
        </w:rPr>
        <w:t xml:space="preserve"> </w:t>
      </w:r>
      <w:r w:rsidR="00437BA9" w:rsidRPr="004343A0">
        <w:rPr>
          <w:rFonts w:eastAsiaTheme="minorHAnsi" w:cs="Times"/>
          <w:sz w:val="20"/>
          <w:szCs w:val="16"/>
          <w:lang w:val="en-US" w:eastAsia="en-US"/>
        </w:rPr>
        <w:t>SAP</w:t>
      </w:r>
      <w:r w:rsidR="00776847" w:rsidRPr="004343A0">
        <w:rPr>
          <w:rFonts w:eastAsiaTheme="minorHAnsi" w:cs="Times"/>
          <w:sz w:val="20"/>
          <w:szCs w:val="16"/>
          <w:lang w:val="en-US" w:eastAsia="en-US"/>
        </w:rPr>
        <w:t>)</w:t>
      </w:r>
      <w:r w:rsidR="00437BA9" w:rsidRPr="004343A0">
        <w:rPr>
          <w:rFonts w:eastAsiaTheme="minorHAnsi" w:cs="Times"/>
          <w:sz w:val="20"/>
          <w:szCs w:val="16"/>
          <w:lang w:val="en-US" w:eastAsia="en-US"/>
        </w:rPr>
        <w:t xml:space="preserve"> (</w:t>
      </w:r>
      <w:r w:rsidR="00DB349B" w:rsidRPr="004343A0">
        <w:rPr>
          <w:rFonts w:eastAsiaTheme="minorHAnsi" w:cs="Times"/>
          <w:sz w:val="20"/>
          <w:szCs w:val="16"/>
          <w:lang w:val="en-US" w:eastAsia="en-US"/>
        </w:rPr>
        <w:t>BRE, 1992</w:t>
      </w:r>
      <w:r w:rsidRPr="004343A0">
        <w:rPr>
          <w:rFonts w:eastAsiaTheme="minorHAnsi" w:cs="Times"/>
          <w:sz w:val="20"/>
          <w:szCs w:val="16"/>
          <w:lang w:val="en-US" w:eastAsia="en-US"/>
        </w:rPr>
        <w:t>)</w:t>
      </w:r>
      <w:r w:rsidR="000B38AF" w:rsidRPr="004343A0">
        <w:rPr>
          <w:rFonts w:eastAsiaTheme="minorHAnsi" w:cs="Times"/>
          <w:sz w:val="20"/>
          <w:szCs w:val="16"/>
          <w:lang w:val="en-US" w:eastAsia="en-US"/>
        </w:rPr>
        <w:t xml:space="preserve"> remains a key priority for the UK Government. Although the SAP rating of English dwellings has increased </w:t>
      </w:r>
      <w:r w:rsidR="00736ADE" w:rsidRPr="004343A0">
        <w:rPr>
          <w:rFonts w:eastAsiaTheme="minorHAnsi" w:cs="Times"/>
          <w:sz w:val="20"/>
          <w:szCs w:val="16"/>
          <w:lang w:val="en-US" w:eastAsia="en-US"/>
        </w:rPr>
        <w:t>(</w:t>
      </w:r>
      <w:r w:rsidR="00F231E7" w:rsidRPr="004343A0">
        <w:rPr>
          <w:rFonts w:eastAsiaTheme="minorHAnsi" w:cs="Times"/>
          <w:sz w:val="20"/>
          <w:szCs w:val="16"/>
          <w:lang w:val="en-US" w:eastAsia="en-US"/>
        </w:rPr>
        <w:t>DCLG</w:t>
      </w:r>
      <w:r w:rsidR="00736ADE" w:rsidRPr="004343A0">
        <w:rPr>
          <w:rFonts w:eastAsiaTheme="minorHAnsi" w:cs="Times"/>
          <w:sz w:val="20"/>
          <w:szCs w:val="16"/>
          <w:lang w:val="en-US" w:eastAsia="en-US"/>
        </w:rPr>
        <w:t>, 201</w:t>
      </w:r>
      <w:r w:rsidRPr="004343A0">
        <w:rPr>
          <w:rFonts w:eastAsiaTheme="minorHAnsi" w:cs="Times"/>
          <w:sz w:val="20"/>
          <w:szCs w:val="16"/>
          <w:lang w:val="en-US" w:eastAsia="en-US"/>
        </w:rPr>
        <w:t>2</w:t>
      </w:r>
      <w:r w:rsidR="00581587" w:rsidRPr="004343A0">
        <w:rPr>
          <w:rFonts w:eastAsiaTheme="minorHAnsi" w:cs="Times"/>
          <w:sz w:val="20"/>
          <w:szCs w:val="16"/>
          <w:lang w:val="en-US" w:eastAsia="en-US"/>
        </w:rPr>
        <w:t>)</w:t>
      </w:r>
      <w:r w:rsidR="00736ADE" w:rsidRPr="004343A0">
        <w:rPr>
          <w:rFonts w:eastAsiaTheme="minorHAnsi" w:cs="Times"/>
          <w:sz w:val="20"/>
          <w:szCs w:val="16"/>
          <w:lang w:val="en-US" w:eastAsia="en-US"/>
        </w:rPr>
        <w:t>,</w:t>
      </w:r>
      <w:r w:rsidR="00353C84" w:rsidRPr="004343A0">
        <w:rPr>
          <w:rFonts w:eastAsiaTheme="minorHAnsi" w:cs="Times"/>
          <w:sz w:val="20"/>
          <w:szCs w:val="16"/>
          <w:lang w:val="en-US" w:eastAsia="en-US"/>
        </w:rPr>
        <w:t xml:space="preserve"> the improvement has been largely due to passive measures. Cavity wall insulation has risen from 35% of the stock in 2001 to 54% in 2010: Loft spaces with more than 150 mm of insulation rose from 24% in 2003 to 43% in 2010: </w:t>
      </w:r>
      <w:r w:rsidR="00F231E7" w:rsidRPr="004343A0">
        <w:rPr>
          <w:rFonts w:eastAsiaTheme="minorHAnsi" w:cs="Times"/>
          <w:sz w:val="20"/>
          <w:szCs w:val="16"/>
          <w:lang w:val="en-US" w:eastAsia="en-US"/>
        </w:rPr>
        <w:t>D</w:t>
      </w:r>
      <w:r w:rsidR="00353C84" w:rsidRPr="004343A0">
        <w:rPr>
          <w:rFonts w:eastAsiaTheme="minorHAnsi" w:cs="Times"/>
          <w:sz w:val="20"/>
          <w:szCs w:val="16"/>
          <w:lang w:val="en-US" w:eastAsia="en-US"/>
        </w:rPr>
        <w:t xml:space="preserve">ouble glazing rose from 30% in 1996 to 74% in 2010. At the same time, central heating (mainly gas powered) rose </w:t>
      </w:r>
      <w:r w:rsidR="00F231E7" w:rsidRPr="004343A0">
        <w:rPr>
          <w:rFonts w:eastAsiaTheme="minorHAnsi" w:cs="Times"/>
          <w:sz w:val="20"/>
          <w:szCs w:val="16"/>
          <w:lang w:val="en-US" w:eastAsia="en-US"/>
        </w:rPr>
        <w:t xml:space="preserve">from </w:t>
      </w:r>
      <w:r w:rsidR="00353C84" w:rsidRPr="004343A0">
        <w:rPr>
          <w:rFonts w:eastAsiaTheme="minorHAnsi" w:cs="Times"/>
          <w:sz w:val="20"/>
          <w:szCs w:val="16"/>
          <w:lang w:val="en-US" w:eastAsia="en-US"/>
        </w:rPr>
        <w:t>75% in 1996 to 87% in 2010</w:t>
      </w:r>
      <w:r w:rsidR="0025116E" w:rsidRPr="004343A0">
        <w:rPr>
          <w:rFonts w:eastAsiaTheme="minorHAnsi" w:cs="Times"/>
          <w:sz w:val="20"/>
          <w:szCs w:val="16"/>
          <w:lang w:val="en-US" w:eastAsia="en-US"/>
        </w:rPr>
        <w:t>, of which 32% of all dwellings had either condensing or condensing combination boiler</w:t>
      </w:r>
      <w:r w:rsidR="005D4555" w:rsidRPr="004343A0">
        <w:rPr>
          <w:rFonts w:eastAsiaTheme="minorHAnsi" w:cs="Times"/>
          <w:sz w:val="20"/>
          <w:szCs w:val="16"/>
          <w:lang w:val="en-US" w:eastAsia="en-US"/>
        </w:rPr>
        <w:t>s</w:t>
      </w:r>
      <w:r w:rsidR="0025116E" w:rsidRPr="004343A0">
        <w:rPr>
          <w:rFonts w:eastAsiaTheme="minorHAnsi" w:cs="Times"/>
          <w:sz w:val="20"/>
          <w:szCs w:val="16"/>
          <w:lang w:val="en-US" w:eastAsia="en-US"/>
        </w:rPr>
        <w:t xml:space="preserve"> compared to only 2% in 2001. </w:t>
      </w:r>
    </w:p>
    <w:p w:rsidR="00736ADE" w:rsidRPr="004343A0" w:rsidRDefault="0025116E"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Arial"/>
          <w:sz w:val="20"/>
          <w:szCs w:val="20"/>
          <w:lang w:bidi="th-TH"/>
        </w:rPr>
      </w:pPr>
      <w:r w:rsidRPr="004343A0">
        <w:rPr>
          <w:rFonts w:eastAsiaTheme="minorHAnsi" w:cs="Times"/>
          <w:sz w:val="20"/>
          <w:szCs w:val="16"/>
          <w:lang w:val="en-US" w:eastAsia="en-US"/>
        </w:rPr>
        <w:lastRenderedPageBreak/>
        <w:t>What has been less effective has been the uptake of renewable energy measures, with only approximately 2% of English homes having renewable energy generation installed (</w:t>
      </w:r>
      <w:r w:rsidR="00F231E7" w:rsidRPr="004343A0">
        <w:rPr>
          <w:rFonts w:eastAsiaTheme="minorHAnsi" w:cs="Times"/>
          <w:sz w:val="20"/>
          <w:szCs w:val="16"/>
          <w:lang w:val="en-US" w:eastAsia="en-US"/>
        </w:rPr>
        <w:t>DCLG,</w:t>
      </w:r>
      <w:r w:rsidRPr="004343A0">
        <w:rPr>
          <w:rFonts w:eastAsiaTheme="minorHAnsi" w:cs="Times"/>
          <w:sz w:val="20"/>
          <w:szCs w:val="16"/>
          <w:lang w:val="en-US" w:eastAsia="en-US"/>
        </w:rPr>
        <w:t xml:space="preserve"> 2012). </w:t>
      </w:r>
      <w:r w:rsidRPr="004343A0">
        <w:rPr>
          <w:rFonts w:eastAsiaTheme="minorHAnsi" w:cs="Arial"/>
          <w:sz w:val="20"/>
          <w:szCs w:val="20"/>
          <w:lang w:val="en-US" w:eastAsia="en-US"/>
        </w:rPr>
        <w:t>However</w:t>
      </w:r>
      <w:r w:rsidR="00736ADE" w:rsidRPr="004343A0">
        <w:rPr>
          <w:rFonts w:eastAsiaTheme="minorHAnsi" w:cs="Arial"/>
          <w:sz w:val="20"/>
          <w:szCs w:val="20"/>
          <w:lang w:val="en-US" w:eastAsia="en-US"/>
        </w:rPr>
        <w:t xml:space="preserve">, </w:t>
      </w:r>
      <w:r w:rsidRPr="004343A0">
        <w:rPr>
          <w:rFonts w:eastAsiaTheme="minorHAnsi" w:cs="Arial"/>
          <w:sz w:val="20"/>
          <w:szCs w:val="20"/>
          <w:lang w:val="en-US" w:eastAsia="en-US"/>
        </w:rPr>
        <w:t>it is estimated that 1</w:t>
      </w:r>
      <w:r w:rsidR="00736ADE" w:rsidRPr="004343A0">
        <w:rPr>
          <w:rFonts w:eastAsiaTheme="minorHAnsi" w:cs="Arial"/>
          <w:sz w:val="20"/>
          <w:szCs w:val="20"/>
          <w:lang w:val="en-US" w:eastAsia="en-US"/>
        </w:rPr>
        <w:t xml:space="preserve">7.8 million dwellings could potentially benefit from one or more </w:t>
      </w:r>
      <w:r w:rsidR="004C242D" w:rsidRPr="004343A0">
        <w:rPr>
          <w:rFonts w:eastAsiaTheme="minorHAnsi" w:cs="Arial"/>
          <w:sz w:val="20"/>
          <w:szCs w:val="20"/>
          <w:lang w:val="en-US" w:eastAsia="en-US"/>
        </w:rPr>
        <w:t>energy efficiency improvement measure</w:t>
      </w:r>
      <w:r w:rsidR="0064196D" w:rsidRPr="004343A0">
        <w:rPr>
          <w:rFonts w:eastAsiaTheme="minorHAnsi" w:cs="Arial"/>
          <w:sz w:val="20"/>
          <w:szCs w:val="20"/>
          <w:lang w:val="en-US" w:eastAsia="en-US"/>
        </w:rPr>
        <w:t>s</w:t>
      </w:r>
      <w:r w:rsidR="004C242D" w:rsidRPr="004343A0">
        <w:rPr>
          <w:rFonts w:eastAsiaTheme="minorHAnsi" w:cs="Arial"/>
          <w:sz w:val="20"/>
          <w:szCs w:val="20"/>
          <w:lang w:val="en-US" w:eastAsia="en-US"/>
        </w:rPr>
        <w:t xml:space="preserve"> </w:t>
      </w:r>
      <w:r w:rsidR="00736ADE" w:rsidRPr="004343A0">
        <w:rPr>
          <w:rFonts w:eastAsiaTheme="minorHAnsi" w:cs="Arial"/>
          <w:sz w:val="20"/>
          <w:szCs w:val="20"/>
          <w:lang w:val="en-US" w:eastAsia="en-US"/>
        </w:rPr>
        <w:t>at a cost per dwelling on approximately £1100</w:t>
      </w:r>
      <w:r w:rsidR="004C242D" w:rsidRPr="004343A0">
        <w:rPr>
          <w:rFonts w:eastAsiaTheme="minorHAnsi" w:cs="Arial"/>
          <w:sz w:val="20"/>
          <w:szCs w:val="20"/>
          <w:lang w:val="en-US" w:eastAsia="en-US"/>
        </w:rPr>
        <w:t xml:space="preserve"> </w:t>
      </w:r>
      <w:r w:rsidRPr="004343A0">
        <w:rPr>
          <w:rFonts w:eastAsiaTheme="minorHAnsi" w:cs="Arial"/>
          <w:sz w:val="20"/>
          <w:szCs w:val="20"/>
          <w:lang w:val="en-US" w:eastAsia="en-US"/>
        </w:rPr>
        <w:t>(</w:t>
      </w:r>
      <w:r w:rsidR="00F231E7" w:rsidRPr="004343A0">
        <w:rPr>
          <w:rFonts w:eastAsiaTheme="minorHAnsi" w:cs="Arial"/>
          <w:sz w:val="20"/>
          <w:szCs w:val="20"/>
          <w:lang w:val="en-US" w:eastAsia="en-US"/>
        </w:rPr>
        <w:t>DCLG</w:t>
      </w:r>
      <w:r w:rsidRPr="004343A0">
        <w:rPr>
          <w:rFonts w:eastAsiaTheme="minorHAnsi" w:cs="Arial"/>
          <w:sz w:val="20"/>
          <w:szCs w:val="20"/>
          <w:lang w:val="en-US" w:eastAsia="en-US"/>
        </w:rPr>
        <w:t>, 2012)</w:t>
      </w:r>
      <w:r w:rsidR="00736ADE" w:rsidRPr="004343A0">
        <w:rPr>
          <w:rFonts w:eastAsiaTheme="minorHAnsi" w:cs="Arial"/>
          <w:sz w:val="20"/>
          <w:szCs w:val="20"/>
          <w:lang w:val="en-US" w:eastAsia="en-US"/>
        </w:rPr>
        <w:t xml:space="preserve">. </w:t>
      </w:r>
      <w:r w:rsidR="00776847" w:rsidRPr="004343A0">
        <w:rPr>
          <w:rFonts w:eastAsiaTheme="minorHAnsi" w:cs="Arial"/>
          <w:sz w:val="20"/>
          <w:szCs w:val="20"/>
          <w:lang w:val="en-US" w:eastAsia="en-US"/>
        </w:rPr>
        <w:t>E</w:t>
      </w:r>
      <w:r w:rsidR="004C242D" w:rsidRPr="004343A0">
        <w:rPr>
          <w:rFonts w:eastAsiaTheme="minorHAnsi" w:cs="Arial"/>
          <w:sz w:val="20"/>
          <w:szCs w:val="20"/>
          <w:lang w:val="en-US" w:eastAsia="en-US"/>
        </w:rPr>
        <w:t>ven with these improvements t</w:t>
      </w:r>
      <w:r w:rsidR="00736ADE" w:rsidRPr="004343A0">
        <w:rPr>
          <w:rFonts w:eastAsiaTheme="minorHAnsi" w:cs="Arial"/>
          <w:sz w:val="20"/>
          <w:szCs w:val="20"/>
          <w:lang w:val="en-US" w:eastAsia="en-US"/>
        </w:rPr>
        <w:t xml:space="preserve">he mean SAP rating would </w:t>
      </w:r>
      <w:r w:rsidR="004C242D" w:rsidRPr="004343A0">
        <w:rPr>
          <w:rFonts w:eastAsiaTheme="minorHAnsi" w:cs="Arial"/>
          <w:sz w:val="20"/>
          <w:szCs w:val="20"/>
          <w:lang w:val="en-US" w:eastAsia="en-US"/>
        </w:rPr>
        <w:t xml:space="preserve">only </w:t>
      </w:r>
      <w:r w:rsidR="00736ADE" w:rsidRPr="004343A0">
        <w:rPr>
          <w:rFonts w:eastAsiaTheme="minorHAnsi" w:cs="Arial"/>
          <w:sz w:val="20"/>
          <w:szCs w:val="20"/>
          <w:lang w:val="en-US" w:eastAsia="en-US"/>
        </w:rPr>
        <w:t>increase by 7 points</w:t>
      </w:r>
      <w:r w:rsidR="004C242D" w:rsidRPr="004343A0">
        <w:rPr>
          <w:rFonts w:eastAsiaTheme="minorHAnsi" w:cs="Arial"/>
          <w:sz w:val="20"/>
          <w:szCs w:val="20"/>
          <w:lang w:val="en-US" w:eastAsia="en-US"/>
        </w:rPr>
        <w:t xml:space="preserve"> (to 66) </w:t>
      </w:r>
      <w:r w:rsidR="00A15B16" w:rsidRPr="004343A0">
        <w:rPr>
          <w:rFonts w:eastAsiaTheme="minorHAnsi" w:cs="Arial"/>
          <w:sz w:val="20"/>
          <w:szCs w:val="20"/>
          <w:lang w:val="en-US" w:eastAsia="en-US"/>
        </w:rPr>
        <w:t xml:space="preserve">resulting in a theoretical </w:t>
      </w:r>
      <w:r w:rsidR="004C242D" w:rsidRPr="004343A0">
        <w:rPr>
          <w:rFonts w:eastAsiaTheme="minorHAnsi" w:cs="Arial"/>
          <w:sz w:val="20"/>
          <w:szCs w:val="20"/>
          <w:lang w:val="en-US" w:eastAsia="en-US"/>
        </w:rPr>
        <w:t>reduction of 20% in CO</w:t>
      </w:r>
      <w:r w:rsidR="004C242D" w:rsidRPr="004343A0">
        <w:rPr>
          <w:rFonts w:eastAsiaTheme="minorHAnsi" w:cs="Arial"/>
          <w:sz w:val="20"/>
          <w:szCs w:val="20"/>
          <w:vertAlign w:val="subscript"/>
          <w:lang w:val="en-US" w:eastAsia="en-US"/>
        </w:rPr>
        <w:t>2</w:t>
      </w:r>
      <w:r w:rsidR="00A15B16" w:rsidRPr="004343A0">
        <w:rPr>
          <w:rFonts w:eastAsiaTheme="minorHAnsi" w:cs="Arial"/>
          <w:sz w:val="20"/>
          <w:szCs w:val="20"/>
          <w:lang w:val="en-US" w:eastAsia="en-US"/>
        </w:rPr>
        <w:t xml:space="preserve"> emissions across the whole stock</w:t>
      </w:r>
      <w:r w:rsidR="004C242D" w:rsidRPr="004343A0">
        <w:rPr>
          <w:rFonts w:eastAsiaTheme="minorHAnsi" w:cs="Arial"/>
          <w:sz w:val="20"/>
          <w:szCs w:val="20"/>
          <w:lang w:val="en-US" w:eastAsia="en-US"/>
        </w:rPr>
        <w:t>.</w:t>
      </w:r>
      <w:r w:rsidR="0016129C" w:rsidRPr="004343A0">
        <w:rPr>
          <w:rFonts w:eastAsiaTheme="minorHAnsi" w:cs="Arial"/>
          <w:sz w:val="20"/>
          <w:szCs w:val="20"/>
          <w:lang w:val="en-US" w:eastAsia="en-US"/>
        </w:rPr>
        <w:t xml:space="preserve"> </w:t>
      </w:r>
      <w:r w:rsidR="00377B36" w:rsidRPr="004343A0">
        <w:rPr>
          <w:rFonts w:eastAsiaTheme="minorHAnsi" w:cs="Arial"/>
          <w:sz w:val="20"/>
          <w:szCs w:val="20"/>
          <w:lang w:val="en-US" w:eastAsia="en-US"/>
        </w:rPr>
        <w:t xml:space="preserve">If a greater reduction in </w:t>
      </w:r>
      <w:r w:rsidR="00377B36" w:rsidRPr="004343A0">
        <w:rPr>
          <w:rFonts w:cs="Arial"/>
          <w:sz w:val="20"/>
          <w:szCs w:val="20"/>
          <w:lang w:bidi="th-TH"/>
        </w:rPr>
        <w:t>CO</w:t>
      </w:r>
      <w:r w:rsidR="00377B36" w:rsidRPr="004343A0">
        <w:rPr>
          <w:rFonts w:cs="Arial"/>
          <w:sz w:val="20"/>
          <w:szCs w:val="20"/>
          <w:vertAlign w:val="subscript"/>
          <w:lang w:bidi="th-TH"/>
        </w:rPr>
        <w:t>2</w:t>
      </w:r>
      <w:r w:rsidR="00377B36" w:rsidRPr="004343A0">
        <w:rPr>
          <w:rFonts w:eastAsiaTheme="minorHAnsi" w:cs="Arial"/>
          <w:sz w:val="20"/>
          <w:szCs w:val="20"/>
          <w:lang w:val="en-US" w:eastAsia="en-US"/>
        </w:rPr>
        <w:t xml:space="preserve"> emissions </w:t>
      </w:r>
      <w:r w:rsidR="0057665B">
        <w:rPr>
          <w:rFonts w:eastAsiaTheme="minorHAnsi" w:cs="Arial"/>
          <w:sz w:val="20"/>
          <w:szCs w:val="20"/>
          <w:lang w:val="en-US" w:eastAsia="en-US"/>
        </w:rPr>
        <w:t>were</w:t>
      </w:r>
      <w:r w:rsidR="00D86D91">
        <w:rPr>
          <w:rFonts w:eastAsiaTheme="minorHAnsi" w:cs="Arial"/>
          <w:sz w:val="20"/>
          <w:szCs w:val="20"/>
          <w:lang w:val="en-US" w:eastAsia="en-US"/>
        </w:rPr>
        <w:t xml:space="preserve"> </w:t>
      </w:r>
      <w:r w:rsidR="00377B36" w:rsidRPr="004343A0">
        <w:rPr>
          <w:rFonts w:eastAsiaTheme="minorHAnsi" w:cs="Arial"/>
          <w:sz w:val="20"/>
          <w:szCs w:val="20"/>
          <w:lang w:val="en-US" w:eastAsia="en-US"/>
        </w:rPr>
        <w:t>required, more major changes to the existing housing stock would be needed.</w:t>
      </w:r>
    </w:p>
    <w:p w:rsidR="00CC6273" w:rsidRPr="004343A0" w:rsidRDefault="0062722B" w:rsidP="00CC6273">
      <w:pPr>
        <w:spacing w:line="480" w:lineRule="auto"/>
        <w:jc w:val="both"/>
        <w:rPr>
          <w:sz w:val="20"/>
        </w:rPr>
      </w:pPr>
      <w:r w:rsidRPr="004343A0">
        <w:rPr>
          <w:rFonts w:eastAsiaTheme="minorHAnsi" w:cs="Times"/>
          <w:sz w:val="20"/>
          <w:szCs w:val="16"/>
          <w:lang w:val="en-US" w:eastAsia="en-US"/>
        </w:rPr>
        <w:t>Public attitudes have come to be seen as crucial in the choice of</w:t>
      </w:r>
      <w:r w:rsidRPr="004343A0">
        <w:rPr>
          <w:rFonts w:eastAsiaTheme="minorHAnsi" w:cs="Helvetica"/>
          <w:sz w:val="20"/>
          <w:lang w:val="en-US" w:eastAsia="en-US"/>
        </w:rPr>
        <w:t xml:space="preserve"> </w:t>
      </w:r>
      <w:r w:rsidRPr="004343A0">
        <w:rPr>
          <w:rFonts w:eastAsiaTheme="minorHAnsi" w:cs="Times"/>
          <w:sz w:val="20"/>
          <w:szCs w:val="16"/>
          <w:lang w:val="en-US" w:eastAsia="en-US"/>
        </w:rPr>
        <w:t>energy futures</w:t>
      </w:r>
      <w:r w:rsidR="00775AEC" w:rsidRPr="004343A0">
        <w:rPr>
          <w:rFonts w:eastAsiaTheme="minorHAnsi" w:cs="Times"/>
          <w:sz w:val="20"/>
          <w:szCs w:val="16"/>
          <w:lang w:val="en-US" w:eastAsia="en-US"/>
        </w:rPr>
        <w:t xml:space="preserve"> and</w:t>
      </w:r>
      <w:r w:rsidRPr="004343A0">
        <w:rPr>
          <w:rFonts w:eastAsiaTheme="minorHAnsi" w:cs="Times"/>
          <w:sz w:val="20"/>
          <w:szCs w:val="16"/>
          <w:lang w:val="en-US" w:eastAsia="en-US"/>
        </w:rPr>
        <w:t xml:space="preserve"> </w:t>
      </w:r>
      <w:r w:rsidR="00775AEC" w:rsidRPr="004343A0">
        <w:rPr>
          <w:rFonts w:eastAsiaTheme="minorHAnsi" w:cs="Times"/>
          <w:sz w:val="20"/>
          <w:szCs w:val="16"/>
          <w:lang w:val="en-US" w:eastAsia="en-US"/>
        </w:rPr>
        <w:t>a</w:t>
      </w:r>
      <w:r w:rsidRPr="004343A0">
        <w:rPr>
          <w:rFonts w:eastAsiaTheme="minorHAnsi" w:cs="Times"/>
          <w:sz w:val="20"/>
          <w:szCs w:val="16"/>
          <w:lang w:val="en-US" w:eastAsia="en-US"/>
        </w:rPr>
        <w:t>ttitudes to particular technologies as well as</w:t>
      </w:r>
      <w:r w:rsidRPr="004343A0">
        <w:rPr>
          <w:rFonts w:eastAsiaTheme="minorHAnsi" w:cs="Helvetica"/>
          <w:sz w:val="20"/>
          <w:lang w:val="en-US" w:eastAsia="en-US"/>
        </w:rPr>
        <w:t xml:space="preserve"> </w:t>
      </w:r>
      <w:r w:rsidRPr="004343A0">
        <w:rPr>
          <w:rFonts w:eastAsiaTheme="minorHAnsi" w:cs="Times"/>
          <w:sz w:val="20"/>
          <w:szCs w:val="16"/>
          <w:lang w:val="en-US" w:eastAsia="en-US"/>
        </w:rPr>
        <w:t>responses to speciﬁc development proposals have been of interest.</w:t>
      </w:r>
      <w:r w:rsidRPr="004343A0">
        <w:rPr>
          <w:rFonts w:eastAsiaTheme="minorHAnsi" w:cs="Helvetica"/>
          <w:sz w:val="20"/>
          <w:lang w:val="en-US" w:eastAsia="en-US"/>
        </w:rPr>
        <w:t xml:space="preserve"> </w:t>
      </w:r>
      <w:r w:rsidRPr="004343A0">
        <w:rPr>
          <w:rFonts w:eastAsiaTheme="minorHAnsi" w:cs="Arial"/>
          <w:sz w:val="20"/>
          <w:lang w:val="en-US" w:eastAsia="en-US"/>
        </w:rPr>
        <w:t xml:space="preserve">Two themes that are becoming increasingly popular in the sustainability sector are effective communications and behaviour change. To embed behaviour change and awareness, the right knowledge and a supportive environment is needed. </w:t>
      </w:r>
      <w:r w:rsidR="00547CBF" w:rsidRPr="004343A0">
        <w:rPr>
          <w:sz w:val="20"/>
        </w:rPr>
        <w:t xml:space="preserve">Many factors such as age, </w:t>
      </w:r>
      <w:r w:rsidR="001473DF" w:rsidRPr="004343A0">
        <w:rPr>
          <w:sz w:val="20"/>
        </w:rPr>
        <w:t>beliefs, culture, social norms,</w:t>
      </w:r>
      <w:r w:rsidR="00547CBF" w:rsidRPr="004343A0">
        <w:rPr>
          <w:sz w:val="20"/>
        </w:rPr>
        <w:t xml:space="preserve"> individual preferences and habits, economic situation, and market strategies</w:t>
      </w:r>
      <w:r w:rsidR="001130F6" w:rsidRPr="004343A0">
        <w:rPr>
          <w:sz w:val="20"/>
        </w:rPr>
        <w:t xml:space="preserve"> influence consumer behaviour</w:t>
      </w:r>
      <w:r w:rsidR="00547CBF" w:rsidRPr="004343A0">
        <w:rPr>
          <w:sz w:val="20"/>
        </w:rPr>
        <w:t xml:space="preserve"> and </w:t>
      </w:r>
      <w:r w:rsidR="001130F6" w:rsidRPr="004343A0">
        <w:rPr>
          <w:rFonts w:eastAsiaTheme="minorHAnsi" w:cs="Arial"/>
          <w:sz w:val="20"/>
          <w:lang w:val="en-US" w:eastAsia="en-US"/>
        </w:rPr>
        <w:t>e</w:t>
      </w:r>
      <w:r w:rsidRPr="004343A0">
        <w:rPr>
          <w:rFonts w:eastAsiaTheme="minorHAnsi" w:cs="Arial"/>
          <w:sz w:val="20"/>
          <w:lang w:val="en-US" w:eastAsia="en-US"/>
        </w:rPr>
        <w:t xml:space="preserve">ffective behavioural changes are achieved by involvement and engagement, governed by the tools used and the reasons for doing so. </w:t>
      </w:r>
    </w:p>
    <w:p w:rsidR="0021258F" w:rsidRPr="004343A0" w:rsidRDefault="0021258F" w:rsidP="0021258F">
      <w:pPr>
        <w:spacing w:line="480" w:lineRule="auto"/>
        <w:jc w:val="both"/>
        <w:rPr>
          <w:rFonts w:eastAsiaTheme="minorHAnsi" w:cs="Arial"/>
          <w:sz w:val="20"/>
          <w:lang w:val="en-US" w:eastAsia="en-US"/>
        </w:rPr>
      </w:pPr>
      <w:r w:rsidRPr="004343A0">
        <w:rPr>
          <w:rFonts w:eastAsiaTheme="minorHAnsi" w:cs="Arial"/>
          <w:sz w:val="20"/>
          <w:lang w:val="en-US" w:eastAsia="en-US"/>
        </w:rPr>
        <w:t>The importance of community actions in combating climate change has been widely recognised and is increasingly informing government policy and academic inquiry in the last decade. Effective community engagement is located primarily in the concept of ‘social capital</w:t>
      </w:r>
      <w:r w:rsidR="00C85998" w:rsidRPr="004343A0">
        <w:rPr>
          <w:rFonts w:eastAsiaTheme="minorHAnsi" w:cs="Arial"/>
          <w:sz w:val="20"/>
          <w:lang w:val="en-US" w:eastAsia="en-US"/>
        </w:rPr>
        <w:t>’</w:t>
      </w:r>
      <w:r w:rsidRPr="004343A0">
        <w:rPr>
          <w:rFonts w:eastAsiaTheme="minorHAnsi" w:cs="Arial"/>
          <w:sz w:val="20"/>
          <w:lang w:val="en-US" w:eastAsia="en-US"/>
        </w:rPr>
        <w:t xml:space="preserve"> (Halpern, 1999) as the features of social organisation that enhance society’s productive potential. Research has suggested that it is possible to strengthen and augment a community’s levels of social capital through the encouragement of coll</w:t>
      </w:r>
      <w:r w:rsidR="00C85998" w:rsidRPr="004343A0">
        <w:rPr>
          <w:rFonts w:eastAsiaTheme="minorHAnsi" w:cs="Arial"/>
          <w:sz w:val="20"/>
          <w:lang w:val="en-US" w:eastAsia="en-US"/>
        </w:rPr>
        <w:t>ective action on climate change</w:t>
      </w:r>
      <w:r w:rsidRPr="004343A0">
        <w:rPr>
          <w:rFonts w:eastAsiaTheme="minorHAnsi" w:cs="Arial"/>
          <w:sz w:val="20"/>
          <w:lang w:val="en-US" w:eastAsia="en-US"/>
        </w:rPr>
        <w:t xml:space="preserve"> </w:t>
      </w:r>
      <w:r w:rsidR="006B38ED" w:rsidRPr="004343A0">
        <w:rPr>
          <w:rFonts w:eastAsiaTheme="minorHAnsi" w:cs="Arial"/>
          <w:sz w:val="20"/>
          <w:lang w:val="en-US" w:eastAsia="en-US"/>
        </w:rPr>
        <w:t>(</w:t>
      </w:r>
      <w:r w:rsidRPr="004343A0">
        <w:rPr>
          <w:rFonts w:eastAsiaTheme="minorHAnsi" w:cs="Arial"/>
          <w:sz w:val="20"/>
          <w:lang w:val="en-US" w:eastAsia="en-US"/>
        </w:rPr>
        <w:t>Ebi</w:t>
      </w:r>
      <w:r w:rsidR="002D0038" w:rsidRPr="004343A0">
        <w:rPr>
          <w:rFonts w:eastAsiaTheme="minorHAnsi" w:cs="Arial"/>
          <w:sz w:val="20"/>
          <w:lang w:val="en-US" w:eastAsia="en-US"/>
        </w:rPr>
        <w:t xml:space="preserve"> </w:t>
      </w:r>
      <w:r w:rsidR="005D4555" w:rsidRPr="004343A0">
        <w:rPr>
          <w:rFonts w:eastAsiaTheme="minorHAnsi" w:cs="Arial"/>
          <w:sz w:val="20"/>
          <w:lang w:val="en-US" w:eastAsia="en-US"/>
        </w:rPr>
        <w:t>and</w:t>
      </w:r>
      <w:r w:rsidR="002D0038" w:rsidRPr="004343A0">
        <w:rPr>
          <w:rFonts w:eastAsiaTheme="minorHAnsi" w:cs="Arial"/>
          <w:sz w:val="20"/>
          <w:lang w:val="en-US" w:eastAsia="en-US"/>
        </w:rPr>
        <w:t xml:space="preserve"> Semenza,</w:t>
      </w:r>
      <w:r w:rsidR="006B38ED" w:rsidRPr="004343A0">
        <w:rPr>
          <w:rFonts w:eastAsiaTheme="minorHAnsi" w:cs="Arial"/>
          <w:sz w:val="20"/>
          <w:lang w:val="en-US" w:eastAsia="en-US"/>
        </w:rPr>
        <w:t xml:space="preserve"> </w:t>
      </w:r>
      <w:r w:rsidRPr="004343A0">
        <w:rPr>
          <w:rFonts w:eastAsiaTheme="minorHAnsi" w:cs="Arial"/>
          <w:sz w:val="20"/>
          <w:lang w:val="en-US" w:eastAsia="en-US"/>
        </w:rPr>
        <w:t>2008)</w:t>
      </w:r>
      <w:r w:rsidR="00CC6273" w:rsidRPr="004343A0">
        <w:rPr>
          <w:rFonts w:eastAsiaTheme="minorHAnsi" w:cs="Arial"/>
          <w:sz w:val="20"/>
          <w:lang w:val="en-US" w:eastAsia="en-US"/>
        </w:rPr>
        <w:t xml:space="preserve">. </w:t>
      </w:r>
      <w:r w:rsidRPr="004343A0">
        <w:rPr>
          <w:rFonts w:eastAsiaTheme="minorHAnsi" w:cs="Arial"/>
          <w:sz w:val="20"/>
          <w:lang w:val="en-US" w:eastAsia="en-US"/>
        </w:rPr>
        <w:t>Insights from social research and theories suggest there are benefits from tapping into the cohesion and motivational drives, which ca</w:t>
      </w:r>
      <w:r w:rsidR="00547CBF" w:rsidRPr="004343A0">
        <w:rPr>
          <w:rFonts w:eastAsiaTheme="minorHAnsi" w:cs="Arial"/>
          <w:sz w:val="20"/>
          <w:lang w:val="en-US" w:eastAsia="en-US"/>
        </w:rPr>
        <w:t>n be improved in already estab</w:t>
      </w:r>
      <w:r w:rsidRPr="004343A0">
        <w:rPr>
          <w:rFonts w:eastAsiaTheme="minorHAnsi" w:cs="Arial"/>
          <w:sz w:val="20"/>
          <w:lang w:val="en-US" w:eastAsia="en-US"/>
        </w:rPr>
        <w:t xml:space="preserve">lished social networks and </w:t>
      </w:r>
      <w:r w:rsidR="002D0038" w:rsidRPr="004343A0">
        <w:rPr>
          <w:rFonts w:eastAsiaTheme="minorHAnsi" w:cs="Arial"/>
          <w:sz w:val="20"/>
          <w:lang w:val="en-US" w:eastAsia="en-US"/>
        </w:rPr>
        <w:t>community groups (Pe</w:t>
      </w:r>
      <w:r w:rsidR="00D8507B" w:rsidRPr="004343A0">
        <w:rPr>
          <w:rFonts w:eastAsiaTheme="minorHAnsi" w:cs="Arial"/>
          <w:sz w:val="20"/>
          <w:lang w:val="en-US" w:eastAsia="en-US"/>
        </w:rPr>
        <w:t>ters,</w:t>
      </w:r>
      <w:r w:rsidR="002D0038" w:rsidRPr="004343A0">
        <w:rPr>
          <w:rFonts w:eastAsiaTheme="minorHAnsi" w:cs="Arial"/>
          <w:sz w:val="20"/>
          <w:lang w:val="en-US" w:eastAsia="en-US"/>
        </w:rPr>
        <w:t xml:space="preserve"> Fudge </w:t>
      </w:r>
      <w:r w:rsidR="005D4555" w:rsidRPr="004343A0">
        <w:rPr>
          <w:rFonts w:eastAsiaTheme="minorHAnsi" w:cs="Arial"/>
          <w:sz w:val="20"/>
          <w:lang w:val="en-US" w:eastAsia="en-US"/>
        </w:rPr>
        <w:t>and</w:t>
      </w:r>
      <w:r w:rsidR="002D0038" w:rsidRPr="004343A0">
        <w:rPr>
          <w:rFonts w:eastAsiaTheme="minorHAnsi" w:cs="Arial"/>
          <w:sz w:val="20"/>
          <w:lang w:val="en-US" w:eastAsia="en-US"/>
        </w:rPr>
        <w:t xml:space="preserve"> Sinclair,</w:t>
      </w:r>
      <w:r w:rsidR="00D8507B" w:rsidRPr="004343A0">
        <w:rPr>
          <w:rFonts w:eastAsiaTheme="minorHAnsi" w:cs="Arial"/>
          <w:sz w:val="20"/>
          <w:lang w:val="en-US" w:eastAsia="en-US"/>
        </w:rPr>
        <w:t xml:space="preserve"> </w:t>
      </w:r>
      <w:r w:rsidR="00C85998" w:rsidRPr="004343A0">
        <w:rPr>
          <w:rFonts w:eastAsiaTheme="minorHAnsi" w:cs="Arial"/>
          <w:sz w:val="20"/>
          <w:lang w:val="en-US" w:eastAsia="en-US"/>
        </w:rPr>
        <w:t xml:space="preserve">2010, </w:t>
      </w:r>
      <w:r w:rsidRPr="004343A0">
        <w:rPr>
          <w:rFonts w:eastAsiaTheme="minorHAnsi" w:cs="Arial"/>
          <w:sz w:val="20"/>
          <w:lang w:val="en-US" w:eastAsia="en-US"/>
        </w:rPr>
        <w:t>quoting Petty and Cacioppo, 1986; Halpern</w:t>
      </w:r>
      <w:r w:rsidR="002D0038" w:rsidRPr="004343A0">
        <w:rPr>
          <w:rFonts w:eastAsiaTheme="minorHAnsi" w:cs="Helvetica"/>
          <w:sz w:val="20"/>
          <w:lang w:val="en-US" w:eastAsia="en-US"/>
        </w:rPr>
        <w:t xml:space="preserve">, Aldridge, </w:t>
      </w:r>
      <w:r w:rsidR="005D4555" w:rsidRPr="004343A0">
        <w:rPr>
          <w:rFonts w:eastAsiaTheme="minorHAnsi" w:cs="Helvetica"/>
          <w:sz w:val="20"/>
          <w:lang w:val="en-US" w:eastAsia="en-US"/>
        </w:rPr>
        <w:t>and</w:t>
      </w:r>
      <w:r w:rsidR="002D0038" w:rsidRPr="004343A0">
        <w:rPr>
          <w:rFonts w:eastAsiaTheme="minorHAnsi" w:cs="Helvetica"/>
          <w:sz w:val="20"/>
          <w:lang w:val="en-US" w:eastAsia="en-US"/>
        </w:rPr>
        <w:t xml:space="preserve"> Fitzpatrick</w:t>
      </w:r>
      <w:r w:rsidRPr="004343A0">
        <w:rPr>
          <w:rFonts w:eastAsiaTheme="minorHAnsi" w:cs="Arial"/>
          <w:sz w:val="20"/>
          <w:lang w:val="en-US" w:eastAsia="en-US"/>
        </w:rPr>
        <w:t>, 2002; Jackson, 2005).</w:t>
      </w:r>
      <w:r w:rsidR="00CC6273" w:rsidRPr="004343A0">
        <w:rPr>
          <w:rFonts w:eastAsiaTheme="minorHAnsi" w:cs="Arial"/>
          <w:sz w:val="20"/>
          <w:lang w:val="en-US" w:eastAsia="en-US"/>
        </w:rPr>
        <w:t xml:space="preserve"> </w:t>
      </w:r>
      <w:r w:rsidRPr="004343A0">
        <w:rPr>
          <w:rFonts w:eastAsiaTheme="minorHAnsi" w:cs="Arial"/>
          <w:sz w:val="20"/>
          <w:lang w:val="en-US" w:eastAsia="en-US"/>
        </w:rPr>
        <w:lastRenderedPageBreak/>
        <w:t>According to Peters</w:t>
      </w:r>
      <w:r w:rsidR="001F1E4D" w:rsidRPr="004343A0">
        <w:rPr>
          <w:rFonts w:eastAsiaTheme="minorHAnsi" w:cs="Arial"/>
          <w:sz w:val="20"/>
          <w:lang w:val="en-US" w:eastAsia="en-US"/>
        </w:rPr>
        <w:t xml:space="preserve"> et al </w:t>
      </w:r>
      <w:r w:rsidR="006035FE" w:rsidRPr="004343A0">
        <w:rPr>
          <w:rFonts w:eastAsiaTheme="minorHAnsi" w:cs="Arial"/>
          <w:sz w:val="20"/>
          <w:lang w:val="en-US" w:eastAsia="en-US"/>
        </w:rPr>
        <w:t>(2010) ‘t</w:t>
      </w:r>
      <w:r w:rsidRPr="004343A0">
        <w:rPr>
          <w:rFonts w:eastAsiaTheme="minorHAnsi" w:cs="Arial"/>
          <w:sz w:val="20"/>
          <w:lang w:val="en-US" w:eastAsia="en-US"/>
        </w:rPr>
        <w:t>rust</w:t>
      </w:r>
      <w:r w:rsidR="006035FE" w:rsidRPr="004343A0">
        <w:rPr>
          <w:rFonts w:eastAsiaTheme="minorHAnsi" w:cs="Arial"/>
          <w:sz w:val="20"/>
          <w:lang w:val="en-US" w:eastAsia="en-US"/>
        </w:rPr>
        <w:t xml:space="preserve"> and knowledge</w:t>
      </w:r>
      <w:r w:rsidRPr="004343A0">
        <w:rPr>
          <w:rFonts w:eastAsiaTheme="minorHAnsi" w:cs="Arial"/>
          <w:sz w:val="20"/>
          <w:lang w:val="en-US" w:eastAsia="en-US"/>
        </w:rPr>
        <w:t>, have been seen as crucial to the diffusion of social signals in promoting patterns of behaviour</w:t>
      </w:r>
      <w:r w:rsidR="006035FE" w:rsidRPr="004343A0">
        <w:rPr>
          <w:rFonts w:eastAsiaTheme="minorHAnsi" w:cs="Arial"/>
          <w:sz w:val="20"/>
          <w:lang w:val="en-US" w:eastAsia="en-US"/>
        </w:rPr>
        <w:t>’</w:t>
      </w:r>
      <w:r w:rsidRPr="004343A0">
        <w:rPr>
          <w:rFonts w:eastAsiaTheme="minorHAnsi" w:cs="Arial"/>
          <w:sz w:val="20"/>
          <w:lang w:val="en-US" w:eastAsia="en-US"/>
        </w:rPr>
        <w:t>.</w:t>
      </w:r>
    </w:p>
    <w:p w:rsidR="0062722B" w:rsidRPr="004343A0" w:rsidRDefault="0062722B" w:rsidP="00DE5BAA">
      <w:pPr>
        <w:spacing w:line="480" w:lineRule="auto"/>
        <w:jc w:val="both"/>
        <w:rPr>
          <w:rFonts w:cs="Palatino Linotype"/>
          <w:color w:val="000000"/>
        </w:rPr>
      </w:pPr>
      <w:r w:rsidRPr="004343A0">
        <w:rPr>
          <w:sz w:val="20"/>
        </w:rPr>
        <w:t>Resent research (</w:t>
      </w:r>
      <w:r w:rsidR="00D86D91">
        <w:rPr>
          <w:rFonts w:eastAsiaTheme="minorHAnsi" w:cs="Times"/>
          <w:sz w:val="20"/>
          <w:szCs w:val="16"/>
          <w:lang w:val="en-US" w:eastAsia="en-US"/>
        </w:rPr>
        <w:t xml:space="preserve">EC FP7 Project- </w:t>
      </w:r>
      <w:r w:rsidRPr="004343A0">
        <w:rPr>
          <w:rFonts w:eastAsiaTheme="minorHAnsi" w:cs="Times"/>
          <w:sz w:val="20"/>
          <w:szCs w:val="16"/>
          <w:lang w:val="en-US" w:eastAsia="en-US"/>
        </w:rPr>
        <w:t>Ch</w:t>
      </w:r>
      <w:r w:rsidR="006B38ED" w:rsidRPr="004343A0">
        <w:rPr>
          <w:rFonts w:eastAsiaTheme="minorHAnsi" w:cs="Times"/>
          <w:sz w:val="20"/>
          <w:szCs w:val="16"/>
          <w:lang w:val="en-US" w:eastAsia="en-US"/>
        </w:rPr>
        <w:t>an</w:t>
      </w:r>
      <w:r w:rsidRPr="004343A0">
        <w:rPr>
          <w:rFonts w:eastAsiaTheme="minorHAnsi" w:cs="Times"/>
          <w:sz w:val="20"/>
          <w:szCs w:val="16"/>
          <w:lang w:val="en-US" w:eastAsia="en-US"/>
        </w:rPr>
        <w:t>ging Behaviour</w:t>
      </w:r>
      <w:r w:rsidR="00D8507B" w:rsidRPr="004343A0">
        <w:rPr>
          <w:rFonts w:eastAsiaTheme="minorHAnsi" w:cs="Times"/>
          <w:sz w:val="20"/>
          <w:szCs w:val="16"/>
          <w:lang w:val="en-US" w:eastAsia="en-US"/>
        </w:rPr>
        <w:t>, 2010</w:t>
      </w:r>
      <w:r w:rsidRPr="004343A0">
        <w:rPr>
          <w:sz w:val="20"/>
        </w:rPr>
        <w:t>) and literature (</w:t>
      </w:r>
      <w:r w:rsidR="001F1E4D" w:rsidRPr="004343A0">
        <w:rPr>
          <w:sz w:val="20"/>
        </w:rPr>
        <w:t xml:space="preserve">Heiskanenn, </w:t>
      </w:r>
      <w:r w:rsidR="001F1E4D" w:rsidRPr="004343A0">
        <w:rPr>
          <w:rFonts w:eastAsiaTheme="minorHAnsi" w:cs="Times"/>
          <w:sz w:val="20"/>
          <w:szCs w:val="14"/>
          <w:lang w:val="en-US" w:eastAsia="en-US"/>
        </w:rPr>
        <w:t xml:space="preserve">Johnson, Robinson, Vadovics, </w:t>
      </w:r>
      <w:r w:rsidR="00927F14" w:rsidRPr="004343A0">
        <w:rPr>
          <w:rFonts w:eastAsiaTheme="minorHAnsi" w:cs="Times"/>
          <w:sz w:val="20"/>
          <w:szCs w:val="14"/>
          <w:lang w:val="en-US" w:eastAsia="en-US"/>
        </w:rPr>
        <w:t>and</w:t>
      </w:r>
      <w:r w:rsidR="001F1E4D" w:rsidRPr="004343A0">
        <w:rPr>
          <w:rFonts w:eastAsiaTheme="minorHAnsi" w:cs="Times"/>
          <w:sz w:val="20"/>
          <w:szCs w:val="14"/>
          <w:lang w:val="en-US" w:eastAsia="en-US"/>
        </w:rPr>
        <w:t xml:space="preserve"> Saastamoinen, </w:t>
      </w:r>
      <w:r w:rsidR="00D8507B" w:rsidRPr="004343A0">
        <w:rPr>
          <w:sz w:val="20"/>
        </w:rPr>
        <w:t>2010</w:t>
      </w:r>
      <w:r w:rsidR="001F1E4D" w:rsidRPr="004343A0">
        <w:rPr>
          <w:sz w:val="20"/>
        </w:rPr>
        <w:t>;</w:t>
      </w:r>
      <w:r w:rsidR="00D8507B" w:rsidRPr="004343A0">
        <w:rPr>
          <w:sz w:val="20"/>
        </w:rPr>
        <w:t xml:space="preserve"> Owens </w:t>
      </w:r>
      <w:r w:rsidR="00927F14" w:rsidRPr="004343A0">
        <w:rPr>
          <w:sz w:val="20"/>
        </w:rPr>
        <w:t>and</w:t>
      </w:r>
      <w:r w:rsidR="001F1E4D" w:rsidRPr="004343A0">
        <w:rPr>
          <w:sz w:val="20"/>
        </w:rPr>
        <w:t xml:space="preserve"> Driffill,</w:t>
      </w:r>
      <w:r w:rsidR="00D8507B" w:rsidRPr="004343A0">
        <w:rPr>
          <w:sz w:val="20"/>
        </w:rPr>
        <w:t xml:space="preserve"> 2008</w:t>
      </w:r>
      <w:r w:rsidR="001F1E4D" w:rsidRPr="004343A0">
        <w:rPr>
          <w:sz w:val="20"/>
        </w:rPr>
        <w:t>;</w:t>
      </w:r>
      <w:r w:rsidR="00D8507B" w:rsidRPr="004343A0">
        <w:rPr>
          <w:sz w:val="20"/>
        </w:rPr>
        <w:t xml:space="preserve"> </w:t>
      </w:r>
      <w:r w:rsidR="001F1E4D" w:rsidRPr="004343A0">
        <w:rPr>
          <w:rFonts w:eastAsiaTheme="minorHAnsi" w:cs="Arial"/>
          <w:sz w:val="20"/>
          <w:lang w:val="en-US" w:eastAsia="en-US"/>
        </w:rPr>
        <w:t xml:space="preserve">Peters et al, </w:t>
      </w:r>
      <w:r w:rsidR="00D8507B" w:rsidRPr="004343A0">
        <w:rPr>
          <w:rFonts w:eastAsiaTheme="minorHAnsi" w:cs="Times"/>
          <w:sz w:val="20"/>
          <w:szCs w:val="16"/>
          <w:lang w:val="en-US" w:eastAsia="en-US"/>
        </w:rPr>
        <w:t>2010)</w:t>
      </w:r>
      <w:r w:rsidRPr="004343A0">
        <w:rPr>
          <w:sz w:val="20"/>
        </w:rPr>
        <w:t xml:space="preserve"> has shown that </w:t>
      </w:r>
      <w:r w:rsidRPr="004343A0">
        <w:rPr>
          <w:rFonts w:eastAsiaTheme="minorHAnsi" w:cs="Times"/>
          <w:sz w:val="20"/>
          <w:szCs w:val="16"/>
          <w:lang w:val="en-US" w:eastAsia="en-US"/>
        </w:rPr>
        <w:t xml:space="preserve">individuals </w:t>
      </w:r>
      <w:r w:rsidR="001473DF" w:rsidRPr="004343A0">
        <w:rPr>
          <w:rFonts w:eastAsiaTheme="minorHAnsi" w:cs="Times"/>
          <w:sz w:val="20"/>
          <w:szCs w:val="16"/>
          <w:lang w:val="en-US" w:eastAsia="en-US"/>
        </w:rPr>
        <w:t>can be</w:t>
      </w:r>
      <w:r w:rsidRPr="004343A0">
        <w:rPr>
          <w:rFonts w:eastAsiaTheme="minorHAnsi" w:cs="Times"/>
          <w:sz w:val="20"/>
          <w:szCs w:val="16"/>
          <w:lang w:val="en-US" w:eastAsia="en-US"/>
        </w:rPr>
        <w:t xml:space="preserve"> more effective at community level in changing energy related behavior.</w:t>
      </w:r>
      <w:r w:rsidRPr="004343A0">
        <w:rPr>
          <w:rFonts w:eastAsiaTheme="minorHAnsi" w:cs="Times"/>
          <w:color w:val="7030A0"/>
          <w:sz w:val="20"/>
          <w:szCs w:val="16"/>
          <w:lang w:val="en-US" w:eastAsia="en-US"/>
        </w:rPr>
        <w:t xml:space="preserve"> </w:t>
      </w:r>
      <w:r w:rsidRPr="004343A0">
        <w:rPr>
          <w:rFonts w:cs="Arial"/>
          <w:sz w:val="20"/>
          <w:szCs w:val="20"/>
        </w:rPr>
        <w:t xml:space="preserve">In the area of energy consumption and related behaviour, there is a need to take account of the physical, social, cultural and institutional contexts that shape and constrain people’s choices. </w:t>
      </w:r>
      <w:r w:rsidRPr="004343A0">
        <w:rPr>
          <w:rFonts w:cs="Palatino Linotype"/>
          <w:color w:val="000000"/>
          <w:sz w:val="20"/>
          <w:szCs w:val="20"/>
        </w:rPr>
        <w:t>Community initiatives have the potential to establish ownership and responsibility for actions to improve environmental footprint/energy efficiency, even in situations where individuals may otherwise feel that their contribution is insignificant.</w:t>
      </w:r>
      <w:r w:rsidR="00CC6273" w:rsidRPr="004343A0">
        <w:rPr>
          <w:rFonts w:cs="Palatino Linotype"/>
          <w:color w:val="000000"/>
          <w:sz w:val="20"/>
          <w:szCs w:val="20"/>
        </w:rPr>
        <w:t xml:space="preserve"> </w:t>
      </w:r>
      <w:r w:rsidRPr="004343A0">
        <w:rPr>
          <w:rFonts w:cs="Palatino Linotype"/>
          <w:color w:val="000000"/>
          <w:sz w:val="20"/>
          <w:szCs w:val="20"/>
        </w:rPr>
        <w:t>Shove (2003) argues that there is evidence that routine consumption is controlled to a large extent by social norms, and is</w:t>
      </w:r>
      <w:r w:rsidRPr="004343A0">
        <w:rPr>
          <w:rFonts w:cs="Palatino Linotype"/>
          <w:color w:val="000000"/>
        </w:rPr>
        <w:t xml:space="preserve"> </w:t>
      </w:r>
      <w:r w:rsidRPr="004343A0">
        <w:rPr>
          <w:rFonts w:cs="Palatino Linotype"/>
          <w:color w:val="000000"/>
          <w:sz w:val="20"/>
          <w:szCs w:val="20"/>
        </w:rPr>
        <w:t>profoundly shaped by cultural and economic factors.</w:t>
      </w:r>
      <w:r w:rsidRPr="004343A0">
        <w:rPr>
          <w:rFonts w:cs="Palatino Linotype"/>
          <w:color w:val="000000"/>
        </w:rPr>
        <w:t xml:space="preserve"> </w:t>
      </w:r>
      <w:r w:rsidRPr="004343A0">
        <w:rPr>
          <w:rFonts w:cs="Palatino Linotype"/>
          <w:color w:val="000000"/>
          <w:sz w:val="20"/>
          <w:szCs w:val="20"/>
        </w:rPr>
        <w:t xml:space="preserve">One of the main conclusions stemming from this research is that instead of keeping the focus on individual consumption one should concentrate on the emergence and transformation of collective conventions (social norms) as they are key in locking us into consumption patterns with different consequences for resource consumption and the environment. In most of the studies reviewed, community-based initiatives were considered successful in both motivating change and maintaining this motivation over a prolonged period of time. </w:t>
      </w:r>
    </w:p>
    <w:p w:rsidR="004C6571" w:rsidRPr="004343A0" w:rsidRDefault="00423714" w:rsidP="00633E83">
      <w:pPr>
        <w:spacing w:line="480" w:lineRule="auto"/>
        <w:jc w:val="both"/>
        <w:rPr>
          <w:sz w:val="20"/>
        </w:rPr>
      </w:pPr>
      <w:r w:rsidRPr="004343A0">
        <w:rPr>
          <w:sz w:val="20"/>
          <w:lang w:bidi="th-TH"/>
        </w:rPr>
        <w:t>I</w:t>
      </w:r>
      <w:r w:rsidR="00733043" w:rsidRPr="004343A0">
        <w:rPr>
          <w:sz w:val="20"/>
        </w:rPr>
        <w:t xml:space="preserve">n </w:t>
      </w:r>
      <w:r w:rsidRPr="004343A0">
        <w:rPr>
          <w:sz w:val="20"/>
        </w:rPr>
        <w:t xml:space="preserve">2008 </w:t>
      </w:r>
      <w:r w:rsidR="00DA446B" w:rsidRPr="004343A0">
        <w:rPr>
          <w:rFonts w:eastAsiaTheme="minorHAnsi" w:cs="Arial"/>
          <w:sz w:val="20"/>
          <w:lang w:val="en-US" w:eastAsia="en-US"/>
        </w:rPr>
        <w:t>Department for Environment, Food and Rural Affairs</w:t>
      </w:r>
      <w:r w:rsidRPr="004343A0">
        <w:rPr>
          <w:sz w:val="20"/>
        </w:rPr>
        <w:t xml:space="preserve"> published a framework</w:t>
      </w:r>
      <w:r w:rsidR="00733043" w:rsidRPr="004343A0">
        <w:rPr>
          <w:sz w:val="20"/>
        </w:rPr>
        <w:t xml:space="preserve"> for pro-environmental behaviours (DEFRA, 2008) where a</w:t>
      </w:r>
      <w:r w:rsidR="00C30B60" w:rsidRPr="004343A0">
        <w:rPr>
          <w:sz w:val="20"/>
        </w:rPr>
        <w:t>n</w:t>
      </w:r>
      <w:r w:rsidR="00733043" w:rsidRPr="004343A0">
        <w:rPr>
          <w:sz w:val="20"/>
        </w:rPr>
        <w:t xml:space="preserve"> analysis of the population sought to position each segmental group on a grid of willingness to act against potential to do more. The analysis also identified the main drivers and support mechanisms required by </w:t>
      </w:r>
      <w:r w:rsidR="00F231E7" w:rsidRPr="004343A0">
        <w:rPr>
          <w:sz w:val="20"/>
        </w:rPr>
        <w:t xml:space="preserve">each </w:t>
      </w:r>
      <w:r w:rsidR="00733043" w:rsidRPr="004343A0">
        <w:rPr>
          <w:sz w:val="20"/>
        </w:rPr>
        <w:t>segmental group</w:t>
      </w:r>
      <w:r w:rsidR="00DA446B">
        <w:rPr>
          <w:sz w:val="20"/>
        </w:rPr>
        <w:t>. ‘Positive Greens’, ‘Concerned Consumers’,</w:t>
      </w:r>
      <w:r w:rsidR="00D95CC0" w:rsidRPr="004343A0">
        <w:rPr>
          <w:sz w:val="20"/>
        </w:rPr>
        <w:t xml:space="preserve"> and </w:t>
      </w:r>
      <w:r w:rsidR="00DA446B">
        <w:rPr>
          <w:sz w:val="20"/>
        </w:rPr>
        <w:t>‘</w:t>
      </w:r>
      <w:r w:rsidR="00D95CC0" w:rsidRPr="004343A0">
        <w:rPr>
          <w:sz w:val="20"/>
        </w:rPr>
        <w:t>Sideline S</w:t>
      </w:r>
      <w:r w:rsidR="00733043" w:rsidRPr="004343A0">
        <w:rPr>
          <w:sz w:val="20"/>
        </w:rPr>
        <w:t>upporters</w:t>
      </w:r>
      <w:r w:rsidR="00DA446B">
        <w:rPr>
          <w:sz w:val="20"/>
        </w:rPr>
        <w:t>’</w:t>
      </w:r>
      <w:r w:rsidR="00733043" w:rsidRPr="004343A0">
        <w:rPr>
          <w:sz w:val="20"/>
        </w:rPr>
        <w:t xml:space="preserve"> required enabling strate</w:t>
      </w:r>
      <w:r w:rsidR="00DA446B">
        <w:rPr>
          <w:sz w:val="20"/>
        </w:rPr>
        <w:t>gies and effective engagement.</w:t>
      </w:r>
      <w:r w:rsidR="00D95CC0" w:rsidRPr="004343A0">
        <w:rPr>
          <w:sz w:val="20"/>
        </w:rPr>
        <w:t xml:space="preserve"> </w:t>
      </w:r>
      <w:r w:rsidR="00DA446B">
        <w:rPr>
          <w:sz w:val="20"/>
        </w:rPr>
        <w:t>‘</w:t>
      </w:r>
      <w:r w:rsidR="00D95CC0" w:rsidRPr="004343A0">
        <w:rPr>
          <w:sz w:val="20"/>
        </w:rPr>
        <w:t>W</w:t>
      </w:r>
      <w:r w:rsidR="00733043" w:rsidRPr="004343A0">
        <w:rPr>
          <w:sz w:val="20"/>
        </w:rPr>
        <w:t>aste Watchers</w:t>
      </w:r>
      <w:r w:rsidR="00DA446B">
        <w:rPr>
          <w:sz w:val="20"/>
        </w:rPr>
        <w:t>’</w:t>
      </w:r>
      <w:r w:rsidR="00733043" w:rsidRPr="004343A0">
        <w:rPr>
          <w:sz w:val="20"/>
        </w:rPr>
        <w:t xml:space="preserve"> and </w:t>
      </w:r>
      <w:r w:rsidR="00DA446B">
        <w:rPr>
          <w:sz w:val="20"/>
        </w:rPr>
        <w:t>‘</w:t>
      </w:r>
      <w:r w:rsidR="00D95CC0" w:rsidRPr="004343A0">
        <w:rPr>
          <w:sz w:val="20"/>
        </w:rPr>
        <w:t>C</w:t>
      </w:r>
      <w:r w:rsidR="00733043" w:rsidRPr="004343A0">
        <w:rPr>
          <w:sz w:val="20"/>
        </w:rPr>
        <w:t xml:space="preserve">autious </w:t>
      </w:r>
      <w:r w:rsidR="00D95CC0" w:rsidRPr="004343A0">
        <w:rPr>
          <w:sz w:val="20"/>
        </w:rPr>
        <w:t>P</w:t>
      </w:r>
      <w:r w:rsidR="00733043" w:rsidRPr="004343A0">
        <w:rPr>
          <w:sz w:val="20"/>
        </w:rPr>
        <w:t>articipants</w:t>
      </w:r>
      <w:r w:rsidR="00DA446B">
        <w:rPr>
          <w:sz w:val="20"/>
        </w:rPr>
        <w:t>’</w:t>
      </w:r>
      <w:r w:rsidR="00733043" w:rsidRPr="004343A0">
        <w:rPr>
          <w:sz w:val="20"/>
        </w:rPr>
        <w:t xml:space="preserve"> required encouragement, e</w:t>
      </w:r>
      <w:r w:rsidR="00DA446B">
        <w:rPr>
          <w:sz w:val="20"/>
        </w:rPr>
        <w:t>xamples and enabling strategies,</w:t>
      </w:r>
      <w:r w:rsidR="00733043" w:rsidRPr="004343A0">
        <w:rPr>
          <w:sz w:val="20"/>
        </w:rPr>
        <w:t xml:space="preserve"> </w:t>
      </w:r>
      <w:r w:rsidR="00DA446B">
        <w:rPr>
          <w:sz w:val="20"/>
        </w:rPr>
        <w:t>w</w:t>
      </w:r>
      <w:r w:rsidR="00D95CC0" w:rsidRPr="004343A0">
        <w:rPr>
          <w:sz w:val="20"/>
        </w:rPr>
        <w:t>hilst the</w:t>
      </w:r>
      <w:r w:rsidR="00733043" w:rsidRPr="004343A0">
        <w:rPr>
          <w:sz w:val="20"/>
        </w:rPr>
        <w:t xml:space="preserve"> </w:t>
      </w:r>
      <w:r w:rsidR="00DA446B">
        <w:rPr>
          <w:sz w:val="20"/>
        </w:rPr>
        <w:t>‘</w:t>
      </w:r>
      <w:r w:rsidR="00D95CC0" w:rsidRPr="004343A0">
        <w:rPr>
          <w:sz w:val="20"/>
        </w:rPr>
        <w:t>Stalled Starters</w:t>
      </w:r>
      <w:r w:rsidR="00DA446B">
        <w:rPr>
          <w:sz w:val="20"/>
        </w:rPr>
        <w:t>’</w:t>
      </w:r>
      <w:r w:rsidR="00D95CC0" w:rsidRPr="004343A0">
        <w:rPr>
          <w:sz w:val="20"/>
        </w:rPr>
        <w:t xml:space="preserve"> and the </w:t>
      </w:r>
      <w:r w:rsidR="00DA446B">
        <w:rPr>
          <w:sz w:val="20"/>
        </w:rPr>
        <w:t>‘</w:t>
      </w:r>
      <w:r w:rsidR="00D95CC0" w:rsidRPr="004343A0">
        <w:rPr>
          <w:sz w:val="20"/>
        </w:rPr>
        <w:t>Honestly D</w:t>
      </w:r>
      <w:r w:rsidR="00733043" w:rsidRPr="004343A0">
        <w:rPr>
          <w:sz w:val="20"/>
        </w:rPr>
        <w:t>isengaged</w:t>
      </w:r>
      <w:r w:rsidR="00DA446B">
        <w:rPr>
          <w:sz w:val="20"/>
        </w:rPr>
        <w:t>’</w:t>
      </w:r>
      <w:r w:rsidR="00733043" w:rsidRPr="004343A0">
        <w:rPr>
          <w:sz w:val="20"/>
        </w:rPr>
        <w:t xml:space="preserve"> required encouragement and enabling strategies if they were to effectively participate in pro-environmental living. The outcome of the analysis was the </w:t>
      </w:r>
      <w:r w:rsidR="00733043" w:rsidRPr="004343A0">
        <w:rPr>
          <w:sz w:val="20"/>
        </w:rPr>
        <w:lastRenderedPageBreak/>
        <w:t xml:space="preserve">4 E’s model of pro environmental behaviour; enable, engage, exemplify and encourage. </w:t>
      </w:r>
      <w:r w:rsidR="006C3D1E" w:rsidRPr="004343A0">
        <w:rPr>
          <w:sz w:val="20"/>
        </w:rPr>
        <w:t>Whilst DEFRA’s segmental analysis did not specifically consider the impact of age on environmental attitudes, two segment groups were biased towards the</w:t>
      </w:r>
      <w:r w:rsidR="00DA446B">
        <w:rPr>
          <w:sz w:val="20"/>
        </w:rPr>
        <w:t xml:space="preserve"> older generation. The segment ‘Waste Watchers’</w:t>
      </w:r>
      <w:r w:rsidR="006C3D1E" w:rsidRPr="004343A0">
        <w:rPr>
          <w:sz w:val="20"/>
        </w:rPr>
        <w:t xml:space="preserve"> had the oldest age profile (34% aged over 65) and also h</w:t>
      </w:r>
      <w:r w:rsidR="00437BA9" w:rsidRPr="004343A0">
        <w:rPr>
          <w:sz w:val="20"/>
        </w:rPr>
        <w:t>ad a high number on low incomes who were retired</w:t>
      </w:r>
      <w:r w:rsidR="006C3D1E" w:rsidRPr="004343A0">
        <w:rPr>
          <w:sz w:val="20"/>
        </w:rPr>
        <w:t xml:space="preserve"> and who were likely to be homeowners. This segment group classed themselves as generally environmentally friendly and were happy that they were doing everything they could in this area. The segment overwhelmingly agreed that they demonstrated </w:t>
      </w:r>
      <w:r w:rsidR="00C30B60" w:rsidRPr="004343A0">
        <w:rPr>
          <w:sz w:val="20"/>
        </w:rPr>
        <w:t>‘</w:t>
      </w:r>
      <w:r w:rsidR="006C3D1E" w:rsidRPr="004343A0">
        <w:rPr>
          <w:sz w:val="20"/>
        </w:rPr>
        <w:t>a waste not, want not</w:t>
      </w:r>
      <w:r w:rsidR="00C30B60" w:rsidRPr="004343A0">
        <w:rPr>
          <w:sz w:val="20"/>
        </w:rPr>
        <w:t>’</w:t>
      </w:r>
      <w:r w:rsidR="006C3D1E" w:rsidRPr="004343A0">
        <w:rPr>
          <w:sz w:val="20"/>
        </w:rPr>
        <w:t xml:space="preserve"> approach to life and this at</w:t>
      </w:r>
      <w:r w:rsidR="00DA446B">
        <w:rPr>
          <w:sz w:val="20"/>
        </w:rPr>
        <w:t xml:space="preserve">titude drove their behaviours. </w:t>
      </w:r>
      <w:r w:rsidR="006C3D1E" w:rsidRPr="004343A0">
        <w:rPr>
          <w:sz w:val="20"/>
        </w:rPr>
        <w:t>The second segment where the over 65’s were highly represented were ‘Stalled Starters’. This segment, which also contained a hi</w:t>
      </w:r>
      <w:r w:rsidR="00803FC3" w:rsidRPr="004343A0">
        <w:rPr>
          <w:sz w:val="20"/>
        </w:rPr>
        <w:t xml:space="preserve">gh percentage of young people, </w:t>
      </w:r>
      <w:r w:rsidR="00DA446B">
        <w:rPr>
          <w:sz w:val="20"/>
        </w:rPr>
        <w:t>demonstrated the lowest socio-</w:t>
      </w:r>
      <w:r w:rsidR="006C3D1E" w:rsidRPr="004343A0">
        <w:rPr>
          <w:sz w:val="20"/>
        </w:rPr>
        <w:t>economic profile of any segment and had the highest levels living in rented (private and social) accommodation. This segment was much less likely than average to save energy and water in the home or to give much thought to sustainable living.</w:t>
      </w:r>
    </w:p>
    <w:p w:rsidR="00545D29" w:rsidRPr="004343A0" w:rsidRDefault="001D03AD" w:rsidP="00633E83">
      <w:pPr>
        <w:spacing w:line="480" w:lineRule="auto"/>
        <w:jc w:val="both"/>
        <w:rPr>
          <w:rFonts w:eastAsiaTheme="minorHAnsi" w:cs="Arial"/>
          <w:sz w:val="20"/>
          <w:lang w:val="en-US" w:eastAsia="en-US"/>
        </w:rPr>
      </w:pPr>
      <w:r w:rsidRPr="004343A0">
        <w:rPr>
          <w:rFonts w:cs="Arial"/>
          <w:sz w:val="20"/>
          <w:szCs w:val="20"/>
        </w:rPr>
        <w:t xml:space="preserve">Recent work </w:t>
      </w:r>
      <w:r w:rsidR="00CD0E43" w:rsidRPr="004343A0">
        <w:rPr>
          <w:rFonts w:cs="Arial"/>
          <w:sz w:val="20"/>
          <w:szCs w:val="20"/>
        </w:rPr>
        <w:t xml:space="preserve">(Owens </w:t>
      </w:r>
      <w:r w:rsidR="00927F14" w:rsidRPr="004343A0">
        <w:rPr>
          <w:rFonts w:cs="Arial"/>
          <w:sz w:val="20"/>
          <w:szCs w:val="20"/>
        </w:rPr>
        <w:t>and</w:t>
      </w:r>
      <w:r w:rsidR="001F1E4D" w:rsidRPr="004343A0">
        <w:rPr>
          <w:rFonts w:cs="Arial"/>
          <w:sz w:val="20"/>
          <w:szCs w:val="20"/>
        </w:rPr>
        <w:t xml:space="preserve"> Driffill, </w:t>
      </w:r>
      <w:r w:rsidR="00CD0E43" w:rsidRPr="004343A0">
        <w:rPr>
          <w:rFonts w:cs="Arial"/>
          <w:sz w:val="20"/>
          <w:szCs w:val="20"/>
        </w:rPr>
        <w:t>2008)</w:t>
      </w:r>
      <w:r w:rsidR="00A321CE" w:rsidRPr="004343A0">
        <w:rPr>
          <w:rFonts w:cs="Arial"/>
          <w:sz w:val="20"/>
          <w:szCs w:val="20"/>
        </w:rPr>
        <w:t xml:space="preserve"> also point</w:t>
      </w:r>
      <w:r w:rsidRPr="004343A0">
        <w:rPr>
          <w:rFonts w:cs="Arial"/>
          <w:sz w:val="20"/>
          <w:szCs w:val="20"/>
        </w:rPr>
        <w:t xml:space="preserve"> to the need for more deliberation and better communication between </w:t>
      </w:r>
      <w:r w:rsidR="00032B7E" w:rsidRPr="004343A0">
        <w:rPr>
          <w:rFonts w:cs="Arial"/>
          <w:sz w:val="20"/>
          <w:szCs w:val="20"/>
        </w:rPr>
        <w:t>all</w:t>
      </w:r>
      <w:r w:rsidRPr="004343A0">
        <w:rPr>
          <w:rFonts w:cs="Arial"/>
          <w:sz w:val="20"/>
          <w:szCs w:val="20"/>
        </w:rPr>
        <w:t xml:space="preserve"> stakeholders. </w:t>
      </w:r>
      <w:r w:rsidR="006330E7" w:rsidRPr="004343A0">
        <w:rPr>
          <w:rFonts w:eastAsiaTheme="minorHAnsi" w:cs="Times"/>
          <w:sz w:val="20"/>
          <w:szCs w:val="16"/>
          <w:lang w:val="en-US" w:eastAsia="en-US"/>
        </w:rPr>
        <w:t>Interesting examples can be found in the ﬁeld of domestic</w:t>
      </w:r>
      <w:r w:rsidR="006330E7" w:rsidRPr="004343A0">
        <w:rPr>
          <w:rFonts w:eastAsiaTheme="minorHAnsi" w:cs="Helvetica"/>
          <w:sz w:val="20"/>
          <w:lang w:val="en-US" w:eastAsia="en-US"/>
        </w:rPr>
        <w:t xml:space="preserve"> </w:t>
      </w:r>
      <w:r w:rsidR="006330E7" w:rsidRPr="004343A0">
        <w:rPr>
          <w:rFonts w:eastAsiaTheme="minorHAnsi" w:cs="Times"/>
          <w:sz w:val="20"/>
          <w:szCs w:val="16"/>
          <w:lang w:val="en-US" w:eastAsia="en-US"/>
        </w:rPr>
        <w:t xml:space="preserve">energy consumption where, in spite of successive campaigns </w:t>
      </w:r>
      <w:r w:rsidR="006330E7" w:rsidRPr="004343A0">
        <w:rPr>
          <w:rFonts w:eastAsiaTheme="minorHAnsi" w:cs="Times"/>
          <w:sz w:val="20"/>
          <w:szCs w:val="14"/>
          <w:lang w:val="en-US" w:eastAsia="en-US"/>
        </w:rPr>
        <w:t>(</w:t>
      </w:r>
      <w:r w:rsidR="00776847" w:rsidRPr="004343A0">
        <w:rPr>
          <w:rFonts w:eastAsiaTheme="minorHAnsi" w:cs="Times"/>
          <w:sz w:val="20"/>
          <w:szCs w:val="14"/>
          <w:lang w:val="en-US" w:eastAsia="en-US"/>
        </w:rPr>
        <w:t xml:space="preserve">Owens, 2000 </w:t>
      </w:r>
      <w:r w:rsidR="00927F14" w:rsidRPr="004343A0">
        <w:rPr>
          <w:rFonts w:eastAsiaTheme="minorHAnsi" w:cs="Times"/>
          <w:sz w:val="20"/>
          <w:szCs w:val="14"/>
          <w:lang w:val="en-US" w:eastAsia="en-US"/>
        </w:rPr>
        <w:t>and</w:t>
      </w:r>
      <w:r w:rsidR="00776847" w:rsidRPr="004343A0">
        <w:rPr>
          <w:rFonts w:eastAsiaTheme="minorHAnsi" w:cs="Times"/>
          <w:sz w:val="20"/>
          <w:szCs w:val="14"/>
          <w:lang w:val="en-US" w:eastAsia="en-US"/>
        </w:rPr>
        <w:t xml:space="preserve"> Hinchliffe, 1996) t</w:t>
      </w:r>
      <w:r w:rsidR="00437BA9" w:rsidRPr="004343A0">
        <w:rPr>
          <w:rFonts w:eastAsiaTheme="minorHAnsi" w:cs="Times"/>
          <w:sz w:val="20"/>
          <w:szCs w:val="16"/>
          <w:lang w:val="en-US" w:eastAsia="en-US"/>
        </w:rPr>
        <w:t>he</w:t>
      </w:r>
      <w:r w:rsidR="006330E7" w:rsidRPr="004343A0">
        <w:rPr>
          <w:rFonts w:eastAsiaTheme="minorHAnsi" w:cs="Helvetica"/>
          <w:sz w:val="20"/>
          <w:lang w:val="en-US" w:eastAsia="en-US"/>
        </w:rPr>
        <w:t xml:space="preserve"> </w:t>
      </w:r>
      <w:r w:rsidR="006330E7" w:rsidRPr="004343A0">
        <w:rPr>
          <w:rFonts w:eastAsiaTheme="minorHAnsi" w:cs="Times"/>
          <w:sz w:val="20"/>
          <w:szCs w:val="16"/>
          <w:lang w:val="en-US" w:eastAsia="en-US"/>
        </w:rPr>
        <w:t>up</w:t>
      </w:r>
      <w:r w:rsidR="00776847" w:rsidRPr="004343A0">
        <w:rPr>
          <w:rFonts w:eastAsiaTheme="minorHAnsi" w:cs="Times"/>
          <w:sz w:val="20"/>
          <w:szCs w:val="16"/>
          <w:lang w:val="en-US" w:eastAsia="en-US"/>
        </w:rPr>
        <w:t>-take</w:t>
      </w:r>
      <w:r w:rsidR="006330E7" w:rsidRPr="004343A0">
        <w:rPr>
          <w:rFonts w:eastAsiaTheme="minorHAnsi" w:cs="Times"/>
          <w:sz w:val="20"/>
          <w:szCs w:val="16"/>
          <w:lang w:val="en-US" w:eastAsia="en-US"/>
        </w:rPr>
        <w:t xml:space="preserve"> of energy </w:t>
      </w:r>
      <w:r w:rsidR="00437BA9" w:rsidRPr="004343A0">
        <w:rPr>
          <w:rFonts w:eastAsiaTheme="minorHAnsi" w:cs="Times"/>
          <w:sz w:val="20"/>
          <w:szCs w:val="16"/>
          <w:lang w:val="en-US" w:eastAsia="en-US"/>
        </w:rPr>
        <w:t>efficiency</w:t>
      </w:r>
      <w:r w:rsidR="006330E7" w:rsidRPr="004343A0">
        <w:rPr>
          <w:rFonts w:eastAsiaTheme="minorHAnsi" w:cs="Times"/>
          <w:sz w:val="20"/>
          <w:szCs w:val="16"/>
          <w:lang w:val="en-US" w:eastAsia="en-US"/>
        </w:rPr>
        <w:t xml:space="preserve"> measures has been disappointing and</w:t>
      </w:r>
      <w:r w:rsidR="006330E7" w:rsidRPr="004343A0">
        <w:rPr>
          <w:rFonts w:eastAsiaTheme="minorHAnsi" w:cs="Helvetica"/>
          <w:sz w:val="20"/>
          <w:lang w:val="en-US" w:eastAsia="en-US"/>
        </w:rPr>
        <w:t xml:space="preserve"> </w:t>
      </w:r>
      <w:r w:rsidR="006330E7" w:rsidRPr="004343A0">
        <w:rPr>
          <w:rFonts w:eastAsiaTheme="minorHAnsi" w:cs="Times"/>
          <w:sz w:val="20"/>
          <w:szCs w:val="16"/>
          <w:lang w:val="en-US" w:eastAsia="en-US"/>
        </w:rPr>
        <w:t>behaviours have often become</w:t>
      </w:r>
      <w:r w:rsidR="006330E7" w:rsidRPr="004343A0">
        <w:rPr>
          <w:rFonts w:eastAsiaTheme="minorHAnsi" w:cs="Helvetica"/>
          <w:sz w:val="20"/>
          <w:lang w:val="en-US" w:eastAsia="en-US"/>
        </w:rPr>
        <w:t xml:space="preserve"> </w:t>
      </w:r>
      <w:r w:rsidR="006330E7" w:rsidRPr="004343A0">
        <w:rPr>
          <w:rFonts w:eastAsiaTheme="minorHAnsi" w:cs="Times"/>
          <w:sz w:val="20"/>
          <w:szCs w:val="16"/>
          <w:lang w:val="en-US" w:eastAsia="en-US"/>
        </w:rPr>
        <w:t>more</w:t>
      </w:r>
      <w:r w:rsidR="006330E7" w:rsidRPr="004343A0">
        <w:rPr>
          <w:rFonts w:eastAsiaTheme="minorHAnsi" w:cs="Helvetica"/>
          <w:sz w:val="20"/>
          <w:lang w:val="en-US" w:eastAsia="en-US"/>
        </w:rPr>
        <w:t xml:space="preserve"> </w:t>
      </w:r>
      <w:r w:rsidR="006330E7" w:rsidRPr="004343A0">
        <w:rPr>
          <w:rFonts w:eastAsiaTheme="minorHAnsi" w:cs="Times"/>
          <w:sz w:val="20"/>
          <w:szCs w:val="16"/>
          <w:lang w:val="en-US" w:eastAsia="en-US"/>
        </w:rPr>
        <w:t xml:space="preserve">energy-intensive. </w:t>
      </w:r>
      <w:r w:rsidR="00547CBF" w:rsidRPr="004343A0">
        <w:rPr>
          <w:rFonts w:eastAsiaTheme="minorHAnsi" w:cs="Arial"/>
          <w:sz w:val="20"/>
          <w:lang w:val="en-US" w:eastAsia="en-US"/>
        </w:rPr>
        <w:t>An</w:t>
      </w:r>
      <w:r w:rsidR="00BD7BB2" w:rsidRPr="004343A0">
        <w:rPr>
          <w:rFonts w:eastAsiaTheme="minorHAnsi" w:cs="Arial"/>
          <w:sz w:val="20"/>
          <w:lang w:val="en-US" w:eastAsia="en-US"/>
        </w:rPr>
        <w:t xml:space="preserve"> international review of the effectiveness of initiatives aimed at changing behaviour towards the environment</w:t>
      </w:r>
      <w:r w:rsidR="003B0B7D" w:rsidRPr="004343A0">
        <w:rPr>
          <w:rFonts w:eastAsiaTheme="minorHAnsi" w:cs="Arial"/>
          <w:sz w:val="20"/>
          <w:lang w:val="en-US" w:eastAsia="en-US"/>
        </w:rPr>
        <w:t xml:space="preserve"> has</w:t>
      </w:r>
      <w:r w:rsidR="00BD7BB2" w:rsidRPr="004343A0">
        <w:rPr>
          <w:rFonts w:eastAsiaTheme="minorHAnsi" w:cs="Arial"/>
          <w:sz w:val="20"/>
          <w:lang w:val="en-US" w:eastAsia="en-US"/>
        </w:rPr>
        <w:t xml:space="preserve"> devel</w:t>
      </w:r>
      <w:r w:rsidR="003B0B7D" w:rsidRPr="004343A0">
        <w:rPr>
          <w:rFonts w:eastAsiaTheme="minorHAnsi" w:cs="Arial"/>
          <w:sz w:val="20"/>
          <w:lang w:val="en-US" w:eastAsia="en-US"/>
        </w:rPr>
        <w:t>oped an analytical framework that</w:t>
      </w:r>
      <w:r w:rsidR="00BD7BB2" w:rsidRPr="004343A0">
        <w:rPr>
          <w:rFonts w:eastAsiaTheme="minorHAnsi" w:cs="Arial"/>
          <w:sz w:val="20"/>
          <w:lang w:val="en-US" w:eastAsia="en-US"/>
        </w:rPr>
        <w:t xml:space="preserve"> position the mechanisms employed to achieve behaviour change in an individual, social or material context (</w:t>
      </w:r>
      <w:r w:rsidR="00EC27D1" w:rsidRPr="004343A0">
        <w:rPr>
          <w:rFonts w:eastAsiaTheme="minorHAnsi" w:cs="Times"/>
          <w:sz w:val="20"/>
          <w:szCs w:val="14"/>
          <w:lang w:val="en-US" w:eastAsia="en-US"/>
        </w:rPr>
        <w:t>Southerton</w:t>
      </w:r>
      <w:r w:rsidR="001F1E4D" w:rsidRPr="004343A0">
        <w:rPr>
          <w:rFonts w:eastAsiaTheme="minorHAnsi" w:cs="Times"/>
          <w:sz w:val="20"/>
          <w:szCs w:val="14"/>
          <w:lang w:val="en-US" w:eastAsia="en-US"/>
        </w:rPr>
        <w:t xml:space="preserve">, Meekin, </w:t>
      </w:r>
      <w:r w:rsidR="00927F14" w:rsidRPr="004343A0">
        <w:rPr>
          <w:rFonts w:eastAsiaTheme="minorHAnsi" w:cs="Times"/>
          <w:sz w:val="20"/>
          <w:szCs w:val="14"/>
          <w:lang w:val="en-US" w:eastAsia="en-US"/>
        </w:rPr>
        <w:t>and</w:t>
      </w:r>
      <w:r w:rsidR="00373DC8" w:rsidRPr="004343A0">
        <w:rPr>
          <w:rFonts w:eastAsiaTheme="minorHAnsi" w:cs="Times"/>
          <w:sz w:val="20"/>
          <w:szCs w:val="14"/>
          <w:lang w:val="en-US" w:eastAsia="en-US"/>
        </w:rPr>
        <w:t xml:space="preserve"> Evens, </w:t>
      </w:r>
      <w:r w:rsidR="00BD7BB2" w:rsidRPr="004343A0">
        <w:rPr>
          <w:rFonts w:eastAsiaTheme="minorHAnsi" w:cs="Arial"/>
          <w:sz w:val="20"/>
          <w:lang w:val="en-US" w:eastAsia="en-US"/>
        </w:rPr>
        <w:t xml:space="preserve">2012). </w:t>
      </w:r>
      <w:r w:rsidR="00545D29" w:rsidRPr="004343A0">
        <w:rPr>
          <w:rFonts w:eastAsiaTheme="minorHAnsi" w:cs="Arial"/>
          <w:sz w:val="20"/>
          <w:lang w:val="en-US" w:eastAsia="en-US"/>
        </w:rPr>
        <w:t>These initiatives include economic incentives, actively promoting enviro</w:t>
      </w:r>
      <w:r w:rsidR="00EC27D1" w:rsidRPr="004343A0">
        <w:rPr>
          <w:rFonts w:eastAsiaTheme="minorHAnsi" w:cs="Arial"/>
          <w:sz w:val="20"/>
          <w:lang w:val="en-US" w:eastAsia="en-US"/>
        </w:rPr>
        <w:t>nmentally friendly alternatives including nudge theory</w:t>
      </w:r>
      <w:r w:rsidR="00545D29" w:rsidRPr="004343A0">
        <w:rPr>
          <w:rFonts w:eastAsiaTheme="minorHAnsi" w:cs="Arial"/>
          <w:sz w:val="20"/>
          <w:lang w:val="en-US" w:eastAsia="en-US"/>
        </w:rPr>
        <w:t xml:space="preserve"> and information campaigns aimed at changing attitudes. The interventions seek to reframe the social context of </w:t>
      </w:r>
      <w:r w:rsidR="00373DC8" w:rsidRPr="004343A0">
        <w:rPr>
          <w:rFonts w:eastAsiaTheme="minorHAnsi" w:cs="Arial"/>
          <w:sz w:val="20"/>
          <w:lang w:val="en-US" w:eastAsia="en-US"/>
        </w:rPr>
        <w:t>behaviour</w:t>
      </w:r>
      <w:r w:rsidR="00545D29" w:rsidRPr="004343A0">
        <w:rPr>
          <w:rFonts w:eastAsiaTheme="minorHAnsi" w:cs="Arial"/>
          <w:sz w:val="20"/>
          <w:lang w:val="en-US" w:eastAsia="en-US"/>
        </w:rPr>
        <w:t xml:space="preserve"> through</w:t>
      </w:r>
      <w:r w:rsidR="00EC27D1" w:rsidRPr="004343A0">
        <w:rPr>
          <w:rFonts w:eastAsiaTheme="minorHAnsi" w:cs="Arial"/>
          <w:sz w:val="20"/>
          <w:lang w:val="en-US" w:eastAsia="en-US"/>
        </w:rPr>
        <w:t>:</w:t>
      </w:r>
      <w:r w:rsidR="00545D29" w:rsidRPr="004343A0">
        <w:rPr>
          <w:rFonts w:eastAsiaTheme="minorHAnsi" w:cs="Arial"/>
          <w:sz w:val="20"/>
          <w:lang w:val="en-US" w:eastAsia="en-US"/>
        </w:rPr>
        <w:t xml:space="preserve"> the social institutions the people associate with</w:t>
      </w:r>
      <w:r w:rsidR="00EC27D1" w:rsidRPr="004343A0">
        <w:rPr>
          <w:rFonts w:eastAsiaTheme="minorHAnsi" w:cs="Arial"/>
          <w:sz w:val="20"/>
          <w:lang w:val="en-US" w:eastAsia="en-US"/>
        </w:rPr>
        <w:t>;</w:t>
      </w:r>
      <w:r w:rsidR="002606EF" w:rsidRPr="004343A0">
        <w:rPr>
          <w:rFonts w:eastAsiaTheme="minorHAnsi" w:cs="Arial"/>
          <w:sz w:val="20"/>
          <w:lang w:val="en-US" w:eastAsia="en-US"/>
        </w:rPr>
        <w:t xml:space="preserve"> all the cultural tastes that people share</w:t>
      </w:r>
      <w:r w:rsidR="00545D29" w:rsidRPr="004343A0">
        <w:rPr>
          <w:rFonts w:eastAsiaTheme="minorHAnsi" w:cs="Arial"/>
          <w:sz w:val="20"/>
          <w:lang w:val="en-US" w:eastAsia="en-US"/>
        </w:rPr>
        <w:t xml:space="preserve">; </w:t>
      </w:r>
      <w:r w:rsidR="002606EF" w:rsidRPr="004343A0">
        <w:rPr>
          <w:rFonts w:eastAsiaTheme="minorHAnsi" w:cs="Arial"/>
          <w:sz w:val="20"/>
          <w:lang w:val="en-US" w:eastAsia="en-US"/>
        </w:rPr>
        <w:t xml:space="preserve">and challenge personal norms through community-based initiatives located around social networks. The material context focuses on the design of goods that support </w:t>
      </w:r>
      <w:r w:rsidR="002606EF" w:rsidRPr="004343A0">
        <w:rPr>
          <w:rFonts w:eastAsiaTheme="minorHAnsi" w:cs="Arial"/>
          <w:sz w:val="20"/>
          <w:lang w:val="en-US" w:eastAsia="en-US"/>
        </w:rPr>
        <w:lastRenderedPageBreak/>
        <w:t xml:space="preserve">consumption. Through an analysis of 30 international case studies, the research identified three specific lessons </w:t>
      </w:r>
      <w:r w:rsidR="00373BF1" w:rsidRPr="004343A0">
        <w:rPr>
          <w:rFonts w:eastAsiaTheme="minorHAnsi" w:cs="Arial"/>
          <w:sz w:val="20"/>
          <w:lang w:val="en-US" w:eastAsia="en-US"/>
        </w:rPr>
        <w:t>for</w:t>
      </w:r>
      <w:r w:rsidR="002606EF" w:rsidRPr="004343A0">
        <w:rPr>
          <w:rFonts w:eastAsiaTheme="minorHAnsi" w:cs="Arial"/>
          <w:sz w:val="20"/>
          <w:lang w:val="en-US" w:eastAsia="en-US"/>
        </w:rPr>
        <w:t xml:space="preserve"> stimulating behaviour change</w:t>
      </w:r>
      <w:r w:rsidR="00907411" w:rsidRPr="004343A0">
        <w:rPr>
          <w:rFonts w:eastAsiaTheme="minorHAnsi" w:cs="Arial"/>
          <w:sz w:val="20"/>
          <w:lang w:val="en-US" w:eastAsia="en-US"/>
        </w:rPr>
        <w:t xml:space="preserve">: </w:t>
      </w:r>
      <w:r w:rsidR="002606EF" w:rsidRPr="004343A0">
        <w:rPr>
          <w:rFonts w:eastAsiaTheme="minorHAnsi" w:cs="Arial"/>
          <w:sz w:val="20"/>
          <w:lang w:val="en-US" w:eastAsia="en-US"/>
        </w:rPr>
        <w:t>target multiple contexts</w:t>
      </w:r>
      <w:r w:rsidR="006C3D1E" w:rsidRPr="004343A0">
        <w:rPr>
          <w:rFonts w:eastAsiaTheme="minorHAnsi" w:cs="Arial"/>
          <w:sz w:val="20"/>
          <w:lang w:val="en-US" w:eastAsia="en-US"/>
        </w:rPr>
        <w:t xml:space="preserve"> and moments of lifestyle transition</w:t>
      </w:r>
      <w:r w:rsidR="002606EF" w:rsidRPr="004343A0">
        <w:rPr>
          <w:rFonts w:eastAsiaTheme="minorHAnsi" w:cs="Arial"/>
          <w:sz w:val="20"/>
          <w:lang w:val="en-US" w:eastAsia="en-US"/>
        </w:rPr>
        <w:t>; address a specific sector, domain or consumption; and use low profile or non-pro-environmental messages to affect change.</w:t>
      </w:r>
      <w:r w:rsidR="00373BF1" w:rsidRPr="004343A0">
        <w:rPr>
          <w:rFonts w:eastAsiaTheme="minorHAnsi" w:cs="Arial"/>
          <w:sz w:val="20"/>
          <w:lang w:val="en-US" w:eastAsia="en-US"/>
        </w:rPr>
        <w:t xml:space="preserve"> </w:t>
      </w:r>
    </w:p>
    <w:p w:rsidR="00746D0D" w:rsidRPr="004343A0" w:rsidRDefault="003B0B7D"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sz w:val="20"/>
          <w:szCs w:val="22"/>
          <w:lang w:val="en-US" w:eastAsia="en-US"/>
        </w:rPr>
      </w:pPr>
      <w:r w:rsidRPr="004343A0">
        <w:rPr>
          <w:rFonts w:eastAsiaTheme="minorHAnsi" w:cs="Arial"/>
          <w:sz w:val="20"/>
          <w:lang w:val="en-US" w:eastAsia="en-US"/>
        </w:rPr>
        <w:t xml:space="preserve">A </w:t>
      </w:r>
      <w:r w:rsidR="00746D0D" w:rsidRPr="004343A0">
        <w:rPr>
          <w:rFonts w:eastAsiaTheme="minorHAnsi"/>
          <w:sz w:val="20"/>
          <w:szCs w:val="22"/>
          <w:lang w:val="en-US" w:eastAsia="en-US"/>
        </w:rPr>
        <w:t xml:space="preserve">study </w:t>
      </w:r>
      <w:r w:rsidR="00793FBA" w:rsidRPr="004343A0">
        <w:rPr>
          <w:rFonts w:eastAsiaTheme="minorHAnsi"/>
          <w:sz w:val="20"/>
          <w:szCs w:val="22"/>
          <w:lang w:val="en-US" w:eastAsia="en-US"/>
        </w:rPr>
        <w:t xml:space="preserve">conducted by </w:t>
      </w:r>
      <w:r w:rsidR="00B870C8" w:rsidRPr="004343A0">
        <w:rPr>
          <w:rFonts w:eastAsiaTheme="minorHAnsi"/>
          <w:sz w:val="20"/>
          <w:szCs w:val="22"/>
          <w:lang w:val="en-US" w:eastAsia="en-US"/>
        </w:rPr>
        <w:t>the Energy Saving Trust</w:t>
      </w:r>
      <w:r w:rsidR="00746D0D" w:rsidRPr="004343A0">
        <w:rPr>
          <w:rFonts w:eastAsiaTheme="minorHAnsi"/>
          <w:sz w:val="20"/>
          <w:szCs w:val="22"/>
          <w:lang w:val="en-US" w:eastAsia="en-US"/>
        </w:rPr>
        <w:t xml:space="preserve"> </w:t>
      </w:r>
      <w:r w:rsidR="00B870C8" w:rsidRPr="004343A0">
        <w:rPr>
          <w:rFonts w:eastAsiaTheme="minorHAnsi"/>
          <w:sz w:val="20"/>
          <w:szCs w:val="22"/>
          <w:lang w:val="en-US" w:eastAsia="en-US"/>
        </w:rPr>
        <w:t>(</w:t>
      </w:r>
      <w:r w:rsidR="004950B4" w:rsidRPr="004343A0">
        <w:rPr>
          <w:rFonts w:eastAsiaTheme="minorHAnsi"/>
          <w:sz w:val="20"/>
          <w:szCs w:val="22"/>
          <w:lang w:val="en-US" w:eastAsia="en-US"/>
        </w:rPr>
        <w:t xml:space="preserve">EST, </w:t>
      </w:r>
      <w:r w:rsidR="00746D0D" w:rsidRPr="004343A0">
        <w:rPr>
          <w:rFonts w:eastAsiaTheme="minorHAnsi"/>
          <w:sz w:val="20"/>
          <w:szCs w:val="22"/>
          <w:lang w:val="en-US" w:eastAsia="en-US"/>
        </w:rPr>
        <w:t xml:space="preserve">2007) </w:t>
      </w:r>
      <w:r w:rsidRPr="004343A0">
        <w:rPr>
          <w:rFonts w:eastAsiaTheme="minorHAnsi"/>
          <w:sz w:val="20"/>
          <w:szCs w:val="22"/>
          <w:lang w:val="en-US" w:eastAsia="en-US"/>
        </w:rPr>
        <w:t>examined</w:t>
      </w:r>
      <w:r w:rsidR="00746D0D" w:rsidRPr="004343A0">
        <w:rPr>
          <w:rFonts w:eastAsiaTheme="minorHAnsi"/>
          <w:sz w:val="20"/>
          <w:szCs w:val="22"/>
          <w:lang w:val="en-US" w:eastAsia="en-US"/>
        </w:rPr>
        <w:t xml:space="preserve"> the dynamics behind social networks </w:t>
      </w:r>
      <w:r w:rsidR="00B870C8" w:rsidRPr="004343A0">
        <w:rPr>
          <w:rFonts w:eastAsiaTheme="minorHAnsi"/>
          <w:sz w:val="20"/>
          <w:szCs w:val="22"/>
          <w:lang w:val="en-US" w:eastAsia="en-US"/>
        </w:rPr>
        <w:t xml:space="preserve">of the elderly </w:t>
      </w:r>
      <w:r w:rsidR="00746D0D" w:rsidRPr="004343A0">
        <w:rPr>
          <w:rFonts w:eastAsiaTheme="minorHAnsi"/>
          <w:sz w:val="20"/>
          <w:szCs w:val="22"/>
          <w:lang w:val="en-US" w:eastAsia="en-US"/>
        </w:rPr>
        <w:t xml:space="preserve">in order to more effectively focus their advice regarding energy saving measures. Two of the </w:t>
      </w:r>
      <w:r w:rsidR="003521B7" w:rsidRPr="004343A0">
        <w:rPr>
          <w:rFonts w:eastAsiaTheme="minorHAnsi"/>
          <w:sz w:val="20"/>
          <w:szCs w:val="22"/>
          <w:lang w:val="en-US" w:eastAsia="en-US"/>
        </w:rPr>
        <w:t xml:space="preserve">community </w:t>
      </w:r>
      <w:r w:rsidR="00746D0D" w:rsidRPr="004343A0">
        <w:rPr>
          <w:rFonts w:eastAsiaTheme="minorHAnsi"/>
          <w:sz w:val="20"/>
          <w:szCs w:val="22"/>
          <w:lang w:val="en-US" w:eastAsia="en-US"/>
        </w:rPr>
        <w:t>segmen</w:t>
      </w:r>
      <w:r w:rsidR="003521B7" w:rsidRPr="004343A0">
        <w:rPr>
          <w:rFonts w:eastAsiaTheme="minorHAnsi"/>
          <w:sz w:val="20"/>
          <w:szCs w:val="22"/>
          <w:lang w:val="en-US" w:eastAsia="en-US"/>
        </w:rPr>
        <w:t>ts are directly relevant to this</w:t>
      </w:r>
      <w:r w:rsidR="00746D0D" w:rsidRPr="004343A0">
        <w:rPr>
          <w:rFonts w:eastAsiaTheme="minorHAnsi"/>
          <w:sz w:val="20"/>
          <w:szCs w:val="22"/>
          <w:lang w:val="en-US" w:eastAsia="en-US"/>
        </w:rPr>
        <w:t xml:space="preserve"> </w:t>
      </w:r>
      <w:r w:rsidR="00B870C8" w:rsidRPr="004343A0">
        <w:rPr>
          <w:rFonts w:eastAsiaTheme="minorHAnsi"/>
          <w:sz w:val="20"/>
          <w:szCs w:val="22"/>
          <w:lang w:val="en-US" w:eastAsia="en-US"/>
        </w:rPr>
        <w:t>engagement</w:t>
      </w:r>
      <w:r w:rsidRPr="004343A0">
        <w:rPr>
          <w:rFonts w:eastAsiaTheme="minorHAnsi"/>
          <w:sz w:val="20"/>
          <w:szCs w:val="22"/>
          <w:lang w:val="en-US" w:eastAsia="en-US"/>
        </w:rPr>
        <w:t xml:space="preserve"> project</w:t>
      </w:r>
      <w:r w:rsidR="00B870C8" w:rsidRPr="004343A0">
        <w:rPr>
          <w:rFonts w:eastAsiaTheme="minorHAnsi"/>
          <w:sz w:val="20"/>
          <w:szCs w:val="22"/>
          <w:lang w:val="en-US" w:eastAsia="en-US"/>
        </w:rPr>
        <w:t xml:space="preserve">. </w:t>
      </w:r>
      <w:r w:rsidR="00746D0D" w:rsidRPr="004343A0">
        <w:rPr>
          <w:rFonts w:eastAsiaTheme="minorHAnsi"/>
          <w:sz w:val="20"/>
          <w:szCs w:val="22"/>
          <w:lang w:val="en-US" w:eastAsia="en-US"/>
        </w:rPr>
        <w:t xml:space="preserve">The </w:t>
      </w:r>
      <w:r w:rsidR="00DA446B">
        <w:rPr>
          <w:rFonts w:eastAsiaTheme="minorHAnsi"/>
          <w:sz w:val="20"/>
          <w:szCs w:val="22"/>
          <w:lang w:val="en-US" w:eastAsia="en-US"/>
        </w:rPr>
        <w:t>‘</w:t>
      </w:r>
      <w:r w:rsidR="00746D0D" w:rsidRPr="004343A0">
        <w:rPr>
          <w:rFonts w:eastAsiaTheme="minorHAnsi"/>
          <w:sz w:val="20"/>
          <w:szCs w:val="22"/>
          <w:lang w:val="en-US" w:eastAsia="en-US"/>
        </w:rPr>
        <w:t xml:space="preserve">Discerning </w:t>
      </w:r>
      <w:r w:rsidR="001227E9" w:rsidRPr="004343A0">
        <w:rPr>
          <w:rFonts w:eastAsiaTheme="minorHAnsi"/>
          <w:sz w:val="20"/>
          <w:szCs w:val="22"/>
          <w:lang w:val="en-US" w:eastAsia="en-US"/>
        </w:rPr>
        <w:t>Elderly</w:t>
      </w:r>
      <w:r w:rsidR="00DA446B">
        <w:rPr>
          <w:rFonts w:eastAsiaTheme="minorHAnsi"/>
          <w:sz w:val="20"/>
          <w:szCs w:val="22"/>
          <w:lang w:val="en-US" w:eastAsia="en-US"/>
        </w:rPr>
        <w:t>’</w:t>
      </w:r>
      <w:r w:rsidR="001227E9" w:rsidRPr="004343A0">
        <w:rPr>
          <w:rFonts w:eastAsiaTheme="minorHAnsi"/>
          <w:sz w:val="20"/>
          <w:szCs w:val="22"/>
          <w:lang w:val="en-US" w:eastAsia="en-US"/>
        </w:rPr>
        <w:t xml:space="preserve"> </w:t>
      </w:r>
      <w:r w:rsidR="00746D0D" w:rsidRPr="004343A0">
        <w:rPr>
          <w:rFonts w:eastAsiaTheme="minorHAnsi"/>
          <w:sz w:val="20"/>
          <w:szCs w:val="22"/>
          <w:lang w:val="en-US" w:eastAsia="en-US"/>
        </w:rPr>
        <w:t>are professional co</w:t>
      </w:r>
      <w:r w:rsidR="00B870C8" w:rsidRPr="004343A0">
        <w:rPr>
          <w:rFonts w:eastAsiaTheme="minorHAnsi"/>
          <w:sz w:val="20"/>
          <w:szCs w:val="22"/>
          <w:lang w:val="en-US" w:eastAsia="en-US"/>
        </w:rPr>
        <w:t>uples on the cusp of retirement</w:t>
      </w:r>
      <w:r w:rsidR="00746D0D" w:rsidRPr="004343A0">
        <w:rPr>
          <w:rFonts w:eastAsiaTheme="minorHAnsi"/>
          <w:sz w:val="20"/>
          <w:szCs w:val="22"/>
          <w:lang w:val="en-US" w:eastAsia="en-US"/>
        </w:rPr>
        <w:t xml:space="preserve"> </w:t>
      </w:r>
      <w:r w:rsidR="00032B7E" w:rsidRPr="004343A0">
        <w:rPr>
          <w:rFonts w:eastAsiaTheme="minorHAnsi"/>
          <w:sz w:val="20"/>
          <w:szCs w:val="22"/>
          <w:lang w:val="en-US" w:eastAsia="en-US"/>
        </w:rPr>
        <w:t>that</w:t>
      </w:r>
      <w:r w:rsidR="00B870C8" w:rsidRPr="004343A0">
        <w:rPr>
          <w:rFonts w:eastAsiaTheme="minorHAnsi"/>
          <w:sz w:val="20"/>
          <w:szCs w:val="22"/>
          <w:lang w:val="en-US" w:eastAsia="en-US"/>
        </w:rPr>
        <w:t xml:space="preserve"> </w:t>
      </w:r>
      <w:r w:rsidR="00746D0D" w:rsidRPr="004343A0">
        <w:rPr>
          <w:rFonts w:eastAsiaTheme="minorHAnsi"/>
          <w:sz w:val="20"/>
          <w:szCs w:val="22"/>
          <w:lang w:val="en-US" w:eastAsia="en-US"/>
        </w:rPr>
        <w:t>have worked hard to attain their standard of living and take great pride in their home, which tends to be large and consequently expensive to heat. According to EST</w:t>
      </w:r>
      <w:r w:rsidR="00DA446B">
        <w:rPr>
          <w:rFonts w:eastAsiaTheme="minorHAnsi"/>
          <w:sz w:val="20"/>
          <w:szCs w:val="22"/>
          <w:lang w:val="en-US" w:eastAsia="en-US"/>
        </w:rPr>
        <w:t xml:space="preserve"> (2007),</w:t>
      </w:r>
      <w:r w:rsidR="00746D0D" w:rsidRPr="004343A0">
        <w:rPr>
          <w:rFonts w:eastAsiaTheme="minorHAnsi"/>
          <w:sz w:val="20"/>
          <w:szCs w:val="22"/>
          <w:lang w:val="en-US" w:eastAsia="en-US"/>
        </w:rPr>
        <w:t xml:space="preserve"> </w:t>
      </w:r>
      <w:r w:rsidR="0057665B" w:rsidRPr="004343A0">
        <w:rPr>
          <w:rFonts w:eastAsiaTheme="minorHAnsi"/>
          <w:sz w:val="20"/>
          <w:szCs w:val="22"/>
          <w:lang w:val="en-US" w:eastAsia="en-US"/>
        </w:rPr>
        <w:t>this group offers</w:t>
      </w:r>
      <w:r w:rsidR="00746D0D" w:rsidRPr="004343A0">
        <w:rPr>
          <w:rFonts w:eastAsiaTheme="minorHAnsi"/>
          <w:sz w:val="20"/>
          <w:szCs w:val="22"/>
          <w:lang w:val="en-US" w:eastAsia="en-US"/>
        </w:rPr>
        <w:t xml:space="preserve"> a significan</w:t>
      </w:r>
      <w:r w:rsidR="00DA446B">
        <w:rPr>
          <w:rFonts w:eastAsiaTheme="minorHAnsi"/>
          <w:sz w:val="20"/>
          <w:szCs w:val="22"/>
          <w:lang w:val="en-US" w:eastAsia="en-US"/>
        </w:rPr>
        <w:t xml:space="preserve">t opportunity for energy </w:t>
      </w:r>
      <w:r w:rsidR="0057665B">
        <w:rPr>
          <w:rFonts w:eastAsiaTheme="minorHAnsi"/>
          <w:sz w:val="20"/>
          <w:szCs w:val="22"/>
          <w:lang w:val="en-US" w:eastAsia="en-US"/>
        </w:rPr>
        <w:t>saving,</w:t>
      </w:r>
      <w:r w:rsidR="00746D0D" w:rsidRPr="004343A0">
        <w:rPr>
          <w:rFonts w:eastAsiaTheme="minorHAnsi"/>
          <w:sz w:val="20"/>
          <w:szCs w:val="22"/>
          <w:lang w:val="en-US" w:eastAsia="en-US"/>
        </w:rPr>
        <w:t xml:space="preserve"> as they are generally interested in environmental issues and at a point in their lives where they have few ongoing </w:t>
      </w:r>
      <w:r w:rsidR="000B2D61" w:rsidRPr="004343A0">
        <w:rPr>
          <w:rFonts w:eastAsiaTheme="minorHAnsi"/>
          <w:sz w:val="20"/>
          <w:szCs w:val="22"/>
          <w:lang w:val="en-US" w:eastAsia="en-US"/>
        </w:rPr>
        <w:t>f</w:t>
      </w:r>
      <w:r w:rsidR="00746D0D" w:rsidRPr="004343A0">
        <w:rPr>
          <w:rFonts w:eastAsiaTheme="minorHAnsi"/>
          <w:sz w:val="20"/>
          <w:szCs w:val="22"/>
          <w:lang w:val="en-US" w:eastAsia="en-US"/>
        </w:rPr>
        <w:t xml:space="preserve">inancial commitments. They are amongst the highest energy users and account for 5% of UK households. The </w:t>
      </w:r>
      <w:r w:rsidR="00DA446B">
        <w:rPr>
          <w:rFonts w:eastAsiaTheme="minorHAnsi"/>
          <w:sz w:val="20"/>
          <w:szCs w:val="22"/>
          <w:lang w:val="en-US" w:eastAsia="en-US"/>
        </w:rPr>
        <w:t>‘</w:t>
      </w:r>
      <w:r w:rsidR="001227E9" w:rsidRPr="004343A0">
        <w:rPr>
          <w:rFonts w:eastAsiaTheme="minorHAnsi"/>
          <w:sz w:val="20"/>
          <w:szCs w:val="22"/>
          <w:lang w:val="en-US" w:eastAsia="en-US"/>
        </w:rPr>
        <w:t>R</w:t>
      </w:r>
      <w:r w:rsidR="00746D0D" w:rsidRPr="004343A0">
        <w:rPr>
          <w:rFonts w:eastAsiaTheme="minorHAnsi"/>
          <w:sz w:val="20"/>
          <w:szCs w:val="22"/>
          <w:lang w:val="en-US" w:eastAsia="en-US"/>
        </w:rPr>
        <w:t xml:space="preserve">estful </w:t>
      </w:r>
      <w:r w:rsidR="001227E9" w:rsidRPr="004343A0">
        <w:rPr>
          <w:rFonts w:eastAsiaTheme="minorHAnsi"/>
          <w:sz w:val="20"/>
          <w:szCs w:val="22"/>
          <w:lang w:val="en-US" w:eastAsia="en-US"/>
        </w:rPr>
        <w:t>R</w:t>
      </w:r>
      <w:r w:rsidR="00746D0D" w:rsidRPr="004343A0">
        <w:rPr>
          <w:rFonts w:eastAsiaTheme="minorHAnsi"/>
          <w:sz w:val="20"/>
          <w:szCs w:val="22"/>
          <w:lang w:val="en-US" w:eastAsia="en-US"/>
        </w:rPr>
        <w:t>etired</w:t>
      </w:r>
      <w:r w:rsidR="00DA446B">
        <w:rPr>
          <w:rFonts w:eastAsiaTheme="minorHAnsi"/>
          <w:sz w:val="20"/>
          <w:szCs w:val="22"/>
          <w:lang w:val="en-US" w:eastAsia="en-US"/>
        </w:rPr>
        <w:t>’</w:t>
      </w:r>
      <w:r w:rsidR="00746D0D" w:rsidRPr="004343A0">
        <w:rPr>
          <w:rFonts w:eastAsiaTheme="minorHAnsi"/>
          <w:sz w:val="20"/>
          <w:szCs w:val="22"/>
          <w:lang w:val="en-US" w:eastAsia="en-US"/>
        </w:rPr>
        <w:t xml:space="preserve"> are elderly people, often </w:t>
      </w:r>
      <w:r w:rsidR="007735B5" w:rsidRPr="004343A0">
        <w:rPr>
          <w:rFonts w:eastAsiaTheme="minorHAnsi"/>
          <w:sz w:val="20"/>
          <w:szCs w:val="22"/>
          <w:lang w:val="en-US" w:eastAsia="en-US"/>
        </w:rPr>
        <w:t>widowed</w:t>
      </w:r>
      <w:r w:rsidR="00746D0D" w:rsidRPr="004343A0">
        <w:rPr>
          <w:rFonts w:eastAsiaTheme="minorHAnsi"/>
          <w:sz w:val="20"/>
          <w:szCs w:val="22"/>
          <w:lang w:val="en-US" w:eastAsia="en-US"/>
        </w:rPr>
        <w:t xml:space="preserve"> who are still living independently or have moved to housing that caters for the elderly. For those living independently, the key driver for change in behaviour is likely to be financial. This segment is most likely to qualify for grants to implement energy saving changes. This group accounts for 6% of total UK households. Allied to this group, are those elderly who are living in fuel poverty. </w:t>
      </w:r>
      <w:r w:rsidR="00916323" w:rsidRPr="004343A0">
        <w:rPr>
          <w:rFonts w:eastAsiaTheme="minorHAnsi" w:cs="Arial"/>
          <w:sz w:val="20"/>
          <w:szCs w:val="22"/>
          <w:lang w:eastAsia="en-US"/>
        </w:rPr>
        <w:t>In 2003, there were 1.0 million vulnerable households in fuel poverty, increasing to 2.8 million in 2010</w:t>
      </w:r>
      <w:r w:rsidR="00EA3FF3">
        <w:rPr>
          <w:rFonts w:eastAsiaTheme="minorHAnsi" w:cs="Arial"/>
          <w:sz w:val="20"/>
          <w:szCs w:val="22"/>
          <w:lang w:eastAsia="en-US"/>
        </w:rPr>
        <w:t xml:space="preserve"> </w:t>
      </w:r>
      <w:r w:rsidR="00EA3FF3" w:rsidRPr="004343A0">
        <w:rPr>
          <w:rFonts w:eastAsiaTheme="minorHAnsi" w:cs="Arial"/>
          <w:sz w:val="20"/>
          <w:szCs w:val="22"/>
          <w:lang w:eastAsia="en-US"/>
        </w:rPr>
        <w:t>(DECC, 2012b)</w:t>
      </w:r>
      <w:r w:rsidR="00916323" w:rsidRPr="004343A0">
        <w:rPr>
          <w:rFonts w:eastAsiaTheme="minorHAnsi" w:cs="Arial"/>
          <w:sz w:val="20"/>
          <w:szCs w:val="22"/>
          <w:lang w:eastAsia="en-US"/>
        </w:rPr>
        <w:t xml:space="preserve">. The number of fuel poor households </w:t>
      </w:r>
      <w:r w:rsidR="00EA3FF3">
        <w:rPr>
          <w:rFonts w:eastAsiaTheme="minorHAnsi" w:cs="Arial"/>
          <w:sz w:val="20"/>
          <w:szCs w:val="22"/>
          <w:lang w:eastAsia="en-US"/>
        </w:rPr>
        <w:t xml:space="preserve">have </w:t>
      </w:r>
      <w:r w:rsidR="00916323" w:rsidRPr="004343A0">
        <w:rPr>
          <w:rFonts w:eastAsiaTheme="minorHAnsi" w:cs="Arial"/>
          <w:sz w:val="20"/>
          <w:szCs w:val="22"/>
          <w:lang w:eastAsia="en-US"/>
        </w:rPr>
        <w:t xml:space="preserve">more than doubled across all household age groups with the largest increase seen in the group where the household reference person was aged 60 to 74. </w:t>
      </w:r>
      <w:r w:rsidR="00746D0D" w:rsidRPr="004343A0">
        <w:rPr>
          <w:rFonts w:eastAsiaTheme="minorHAnsi" w:cs="Arial"/>
          <w:sz w:val="20"/>
          <w:szCs w:val="22"/>
          <w:lang w:val="en-US" w:eastAsia="en-US"/>
        </w:rPr>
        <w:t>According to Help the Aged</w:t>
      </w:r>
      <w:r w:rsidR="00EA3FF3">
        <w:rPr>
          <w:rFonts w:eastAsiaTheme="minorHAnsi" w:cs="Arial"/>
          <w:sz w:val="20"/>
          <w:szCs w:val="22"/>
          <w:lang w:val="en-US" w:eastAsia="en-US"/>
        </w:rPr>
        <w:t xml:space="preserve"> (now AgeUK)</w:t>
      </w:r>
      <w:r w:rsidR="00916323" w:rsidRPr="004343A0">
        <w:rPr>
          <w:rFonts w:eastAsiaTheme="minorHAnsi" w:cs="Arial"/>
          <w:sz w:val="20"/>
          <w:szCs w:val="22"/>
          <w:lang w:val="en-US" w:eastAsia="en-US"/>
        </w:rPr>
        <w:t xml:space="preserve"> (2007)</w:t>
      </w:r>
      <w:r w:rsidR="00746D0D" w:rsidRPr="004343A0">
        <w:rPr>
          <w:rFonts w:eastAsiaTheme="minorHAnsi" w:cs="Arial"/>
          <w:sz w:val="20"/>
          <w:szCs w:val="22"/>
          <w:lang w:val="en-US" w:eastAsia="en-US"/>
        </w:rPr>
        <w:t>, 1</w:t>
      </w:r>
      <w:r w:rsidR="003F26C3" w:rsidRPr="004343A0">
        <w:rPr>
          <w:rFonts w:eastAsiaTheme="minorHAnsi" w:cs="Arial"/>
          <w:sz w:val="20"/>
          <w:szCs w:val="22"/>
          <w:lang w:val="en-US" w:eastAsia="en-US"/>
        </w:rPr>
        <w:t xml:space="preserve"> </w:t>
      </w:r>
      <w:r w:rsidR="00746D0D" w:rsidRPr="004343A0">
        <w:rPr>
          <w:rFonts w:eastAsiaTheme="minorHAnsi" w:cs="Arial"/>
          <w:sz w:val="20"/>
          <w:szCs w:val="22"/>
          <w:lang w:val="en-US" w:eastAsia="en-US"/>
        </w:rPr>
        <w:t>in 5 older people in</w:t>
      </w:r>
      <w:r w:rsidR="00746D0D" w:rsidRPr="004343A0">
        <w:rPr>
          <w:rFonts w:eastAsiaTheme="minorHAnsi"/>
          <w:sz w:val="20"/>
          <w:szCs w:val="22"/>
          <w:lang w:val="en-US" w:eastAsia="en-US"/>
        </w:rPr>
        <w:t xml:space="preserve"> the UK live in one room to keep warm and save costs. </w:t>
      </w:r>
    </w:p>
    <w:p w:rsidR="00547CBF" w:rsidRPr="004343A0" w:rsidRDefault="00547CBF" w:rsidP="00547CBF">
      <w:pPr>
        <w:spacing w:line="480" w:lineRule="auto"/>
        <w:jc w:val="both"/>
        <w:rPr>
          <w:rFonts w:cs="Arial"/>
          <w:color w:val="000000"/>
          <w:sz w:val="20"/>
          <w:szCs w:val="20"/>
        </w:rPr>
      </w:pPr>
      <w:r w:rsidRPr="004343A0">
        <w:rPr>
          <w:rFonts w:cs="Arial"/>
          <w:sz w:val="20"/>
          <w:szCs w:val="20"/>
        </w:rPr>
        <w:t xml:space="preserve">Based on the EST model </w:t>
      </w:r>
      <w:r w:rsidR="00EA3FF3">
        <w:rPr>
          <w:rFonts w:cs="Arial"/>
          <w:sz w:val="20"/>
          <w:szCs w:val="20"/>
        </w:rPr>
        <w:t xml:space="preserve">(2007) </w:t>
      </w:r>
      <w:r w:rsidRPr="004343A0">
        <w:rPr>
          <w:rFonts w:cs="Arial"/>
          <w:sz w:val="20"/>
          <w:szCs w:val="20"/>
        </w:rPr>
        <w:t xml:space="preserve">it was hypothesised that the main differences in opinion across the target group would coincide with age and wealth differences (Figure 1). Within the retired population there were at least two distinct generations identified, “younger old” and the “older old”. The younger old were more mobile and </w:t>
      </w:r>
      <w:r w:rsidRPr="004343A0">
        <w:rPr>
          <w:rFonts w:cs="Arial"/>
          <w:sz w:val="20"/>
          <w:szCs w:val="20"/>
        </w:rPr>
        <w:lastRenderedPageBreak/>
        <w:t>active, and had perhaps been exposed to the sustainability debate and related issues through their work and media. The ‘older old’ had more mobility problems and depending on the options that have been available to them, were slightly more isolated from the current political and social agendas. Across this age range there were also differences in the disposable income of individuals.  Residents over 65 who were living in fuel poverty and e</w:t>
      </w:r>
      <w:r w:rsidRPr="004343A0">
        <w:rPr>
          <w:rFonts w:cs="Arial"/>
          <w:color w:val="000000"/>
          <w:sz w:val="20"/>
          <w:szCs w:val="20"/>
        </w:rPr>
        <w:t xml:space="preserve">lderly with plenty of disposable income. </w:t>
      </w:r>
    </w:p>
    <w:p w:rsidR="00C7662A" w:rsidRPr="004343A0" w:rsidRDefault="00C7662A" w:rsidP="00633E83">
      <w:pPr>
        <w:spacing w:line="480" w:lineRule="auto"/>
        <w:jc w:val="both"/>
        <w:rPr>
          <w:sz w:val="20"/>
          <w:lang w:bidi="th-TH"/>
        </w:rPr>
      </w:pPr>
    </w:p>
    <w:p w:rsidR="00D91361" w:rsidRPr="004343A0" w:rsidRDefault="00DF25E8" w:rsidP="00633E83">
      <w:pPr>
        <w:spacing w:line="480" w:lineRule="auto"/>
        <w:jc w:val="both"/>
        <w:rPr>
          <w:b/>
          <w:sz w:val="24"/>
        </w:rPr>
      </w:pPr>
      <w:r w:rsidRPr="004343A0">
        <w:rPr>
          <w:b/>
          <w:sz w:val="24"/>
        </w:rPr>
        <w:t>3</w:t>
      </w:r>
      <w:r w:rsidR="00D91361" w:rsidRPr="004343A0">
        <w:rPr>
          <w:b/>
          <w:sz w:val="24"/>
        </w:rPr>
        <w:t xml:space="preserve">.0 </w:t>
      </w:r>
      <w:r w:rsidRPr="004343A0">
        <w:rPr>
          <w:b/>
          <w:sz w:val="24"/>
        </w:rPr>
        <w:t>Rese</w:t>
      </w:r>
      <w:r w:rsidR="00486556" w:rsidRPr="004343A0">
        <w:rPr>
          <w:b/>
          <w:sz w:val="24"/>
        </w:rPr>
        <w:t>ar</w:t>
      </w:r>
      <w:r w:rsidRPr="004343A0">
        <w:rPr>
          <w:b/>
          <w:sz w:val="24"/>
        </w:rPr>
        <w:t xml:space="preserve">ch </w:t>
      </w:r>
      <w:r w:rsidR="00D91361" w:rsidRPr="004343A0">
        <w:rPr>
          <w:b/>
          <w:sz w:val="24"/>
        </w:rPr>
        <w:t>Methodology</w:t>
      </w:r>
    </w:p>
    <w:p w:rsidR="00C7662A" w:rsidRPr="004343A0" w:rsidRDefault="00D91361" w:rsidP="00633E83">
      <w:pPr>
        <w:spacing w:line="480" w:lineRule="auto"/>
        <w:jc w:val="both"/>
        <w:rPr>
          <w:sz w:val="20"/>
        </w:rPr>
      </w:pPr>
      <w:r w:rsidRPr="004343A0">
        <w:rPr>
          <w:sz w:val="20"/>
        </w:rPr>
        <w:t xml:space="preserve">Focus groups and a variety of engagement methods were implemented to promote a dialogue with the elderly. </w:t>
      </w:r>
      <w:r w:rsidR="00CC6273" w:rsidRPr="004343A0">
        <w:rPr>
          <w:sz w:val="20"/>
        </w:rPr>
        <w:t>A</w:t>
      </w:r>
      <w:r w:rsidR="00E54949" w:rsidRPr="004343A0">
        <w:rPr>
          <w:sz w:val="20"/>
        </w:rPr>
        <w:t xml:space="preserve">n attempt was made to include a sample from each </w:t>
      </w:r>
      <w:r w:rsidR="00CC6273" w:rsidRPr="004343A0">
        <w:rPr>
          <w:sz w:val="20"/>
        </w:rPr>
        <w:t xml:space="preserve">identified segment </w:t>
      </w:r>
      <w:r w:rsidR="00E54949" w:rsidRPr="004343A0">
        <w:rPr>
          <w:sz w:val="20"/>
        </w:rPr>
        <w:t xml:space="preserve">in the focus groups as well as the engagement process as each group </w:t>
      </w:r>
      <w:r w:rsidR="003F26C3" w:rsidRPr="004343A0">
        <w:rPr>
          <w:sz w:val="20"/>
        </w:rPr>
        <w:t>had a</w:t>
      </w:r>
      <w:r w:rsidR="00E54949" w:rsidRPr="004343A0">
        <w:rPr>
          <w:sz w:val="20"/>
        </w:rPr>
        <w:t xml:space="preserve"> different set of priorities and needs.</w:t>
      </w:r>
    </w:p>
    <w:p w:rsidR="00C7662A" w:rsidRPr="004343A0" w:rsidRDefault="00C7662A" w:rsidP="00633E83">
      <w:pPr>
        <w:numPr>
          <w:ilvl w:val="0"/>
          <w:numId w:val="5"/>
        </w:numPr>
        <w:spacing w:line="480" w:lineRule="auto"/>
        <w:jc w:val="both"/>
        <w:rPr>
          <w:sz w:val="20"/>
        </w:rPr>
      </w:pPr>
      <w:r w:rsidRPr="004343A0">
        <w:rPr>
          <w:sz w:val="20"/>
        </w:rPr>
        <w:t xml:space="preserve">Younger </w:t>
      </w:r>
      <w:r w:rsidR="00887C24" w:rsidRPr="004343A0">
        <w:rPr>
          <w:sz w:val="20"/>
        </w:rPr>
        <w:t>o</w:t>
      </w:r>
      <w:r w:rsidR="00032B7E" w:rsidRPr="004343A0">
        <w:rPr>
          <w:sz w:val="20"/>
        </w:rPr>
        <w:t xml:space="preserve">ld </w:t>
      </w:r>
      <w:r w:rsidRPr="004343A0">
        <w:rPr>
          <w:sz w:val="20"/>
        </w:rPr>
        <w:t>(poor) living with fuel poverty &lt;75</w:t>
      </w:r>
      <w:r w:rsidR="00032B7E" w:rsidRPr="004343A0">
        <w:rPr>
          <w:sz w:val="20"/>
        </w:rPr>
        <w:t xml:space="preserve"> years old</w:t>
      </w:r>
    </w:p>
    <w:p w:rsidR="00C7662A" w:rsidRPr="004343A0" w:rsidRDefault="00C7662A" w:rsidP="00633E83">
      <w:pPr>
        <w:numPr>
          <w:ilvl w:val="0"/>
          <w:numId w:val="5"/>
        </w:numPr>
        <w:autoSpaceDE w:val="0"/>
        <w:autoSpaceDN w:val="0"/>
        <w:adjustRightInd w:val="0"/>
        <w:spacing w:line="480" w:lineRule="auto"/>
        <w:jc w:val="both"/>
        <w:rPr>
          <w:sz w:val="20"/>
        </w:rPr>
      </w:pPr>
      <w:r w:rsidRPr="004343A0">
        <w:rPr>
          <w:sz w:val="20"/>
        </w:rPr>
        <w:t xml:space="preserve">Younger </w:t>
      </w:r>
      <w:r w:rsidR="00887C24" w:rsidRPr="004343A0">
        <w:rPr>
          <w:sz w:val="20"/>
        </w:rPr>
        <w:t>o</w:t>
      </w:r>
      <w:r w:rsidR="00032B7E" w:rsidRPr="004343A0">
        <w:rPr>
          <w:sz w:val="20"/>
        </w:rPr>
        <w:t xml:space="preserve">ld </w:t>
      </w:r>
      <w:r w:rsidRPr="004343A0">
        <w:rPr>
          <w:sz w:val="20"/>
        </w:rPr>
        <w:t>(financially independent/ comfortable) who have got the resources to carry out actions &lt;75</w:t>
      </w:r>
      <w:r w:rsidR="00032B7E" w:rsidRPr="004343A0">
        <w:rPr>
          <w:sz w:val="20"/>
        </w:rPr>
        <w:t xml:space="preserve"> years old</w:t>
      </w:r>
    </w:p>
    <w:p w:rsidR="00C7662A" w:rsidRPr="004343A0" w:rsidRDefault="00C7662A" w:rsidP="00633E83">
      <w:pPr>
        <w:numPr>
          <w:ilvl w:val="0"/>
          <w:numId w:val="5"/>
        </w:numPr>
        <w:autoSpaceDE w:val="0"/>
        <w:autoSpaceDN w:val="0"/>
        <w:adjustRightInd w:val="0"/>
        <w:spacing w:line="480" w:lineRule="auto"/>
        <w:jc w:val="both"/>
        <w:rPr>
          <w:sz w:val="20"/>
        </w:rPr>
      </w:pPr>
      <w:r w:rsidRPr="004343A0">
        <w:rPr>
          <w:sz w:val="20"/>
        </w:rPr>
        <w:t xml:space="preserve">Older </w:t>
      </w:r>
      <w:r w:rsidR="00887C24" w:rsidRPr="004343A0">
        <w:rPr>
          <w:sz w:val="20"/>
        </w:rPr>
        <w:t>o</w:t>
      </w:r>
      <w:r w:rsidR="00032B7E" w:rsidRPr="004343A0">
        <w:rPr>
          <w:sz w:val="20"/>
        </w:rPr>
        <w:t xml:space="preserve">ld </w:t>
      </w:r>
      <w:r w:rsidRPr="004343A0">
        <w:rPr>
          <w:sz w:val="20"/>
        </w:rPr>
        <w:t>(poor) living with fuel poverty &gt; 75</w:t>
      </w:r>
      <w:r w:rsidR="00032B7E" w:rsidRPr="004343A0">
        <w:rPr>
          <w:sz w:val="20"/>
        </w:rPr>
        <w:t xml:space="preserve"> years old</w:t>
      </w:r>
    </w:p>
    <w:p w:rsidR="00C7662A" w:rsidRPr="004343A0" w:rsidRDefault="00C7662A" w:rsidP="00633E83">
      <w:pPr>
        <w:numPr>
          <w:ilvl w:val="0"/>
          <w:numId w:val="5"/>
        </w:numPr>
        <w:autoSpaceDE w:val="0"/>
        <w:autoSpaceDN w:val="0"/>
        <w:adjustRightInd w:val="0"/>
        <w:spacing w:line="480" w:lineRule="auto"/>
        <w:jc w:val="both"/>
        <w:rPr>
          <w:sz w:val="20"/>
        </w:rPr>
      </w:pPr>
      <w:r w:rsidRPr="004343A0">
        <w:rPr>
          <w:sz w:val="20"/>
        </w:rPr>
        <w:t xml:space="preserve">Older </w:t>
      </w:r>
      <w:r w:rsidR="00887C24" w:rsidRPr="004343A0">
        <w:rPr>
          <w:sz w:val="20"/>
        </w:rPr>
        <w:t>o</w:t>
      </w:r>
      <w:r w:rsidR="00032B7E" w:rsidRPr="004343A0">
        <w:rPr>
          <w:sz w:val="20"/>
        </w:rPr>
        <w:t xml:space="preserve">ld </w:t>
      </w:r>
      <w:r w:rsidRPr="004343A0">
        <w:rPr>
          <w:sz w:val="20"/>
        </w:rPr>
        <w:t>(financially independent/ comfortable) who have got the resources to carry out actions &gt;75</w:t>
      </w:r>
      <w:r w:rsidR="00032B7E" w:rsidRPr="004343A0">
        <w:rPr>
          <w:sz w:val="20"/>
        </w:rPr>
        <w:t xml:space="preserve"> years old</w:t>
      </w:r>
    </w:p>
    <w:p w:rsidR="00C7662A" w:rsidRPr="004343A0" w:rsidRDefault="00C7662A" w:rsidP="00633E83">
      <w:pPr>
        <w:numPr>
          <w:ilvl w:val="0"/>
          <w:numId w:val="5"/>
        </w:numPr>
        <w:autoSpaceDE w:val="0"/>
        <w:autoSpaceDN w:val="0"/>
        <w:adjustRightInd w:val="0"/>
        <w:spacing w:line="480" w:lineRule="auto"/>
        <w:jc w:val="both"/>
        <w:rPr>
          <w:sz w:val="20"/>
        </w:rPr>
      </w:pPr>
      <w:r w:rsidRPr="004343A0">
        <w:rPr>
          <w:sz w:val="20"/>
        </w:rPr>
        <w:t>65+</w:t>
      </w:r>
      <w:r w:rsidR="00032B7E" w:rsidRPr="004343A0">
        <w:rPr>
          <w:sz w:val="20"/>
        </w:rPr>
        <w:t xml:space="preserve"> years old</w:t>
      </w:r>
      <w:r w:rsidRPr="004343A0">
        <w:rPr>
          <w:sz w:val="20"/>
        </w:rPr>
        <w:t xml:space="preserve"> resident</w:t>
      </w:r>
      <w:r w:rsidR="00887C24" w:rsidRPr="004343A0">
        <w:rPr>
          <w:sz w:val="20"/>
        </w:rPr>
        <w:t>s</w:t>
      </w:r>
      <w:r w:rsidRPr="004343A0">
        <w:rPr>
          <w:sz w:val="20"/>
        </w:rPr>
        <w:t xml:space="preserve"> in care homes (mainly for behavioural changes</w:t>
      </w:r>
      <w:r w:rsidR="00887C24" w:rsidRPr="004343A0">
        <w:rPr>
          <w:sz w:val="20"/>
        </w:rPr>
        <w:t xml:space="preserve"> as they are not able to physically adapt their accommodation</w:t>
      </w:r>
      <w:r w:rsidRPr="004343A0">
        <w:rPr>
          <w:sz w:val="20"/>
        </w:rPr>
        <w:t>)</w:t>
      </w:r>
    </w:p>
    <w:p w:rsidR="00C7662A" w:rsidRPr="004343A0" w:rsidRDefault="00C7662A" w:rsidP="00633E83">
      <w:pPr>
        <w:spacing w:line="480" w:lineRule="auto"/>
        <w:jc w:val="both"/>
        <w:rPr>
          <w:sz w:val="20"/>
          <w:lang w:bidi="th-TH"/>
        </w:rPr>
      </w:pPr>
    </w:p>
    <w:p w:rsidR="00895D8D" w:rsidRPr="004343A0" w:rsidRDefault="00CC6273" w:rsidP="00633E83">
      <w:pPr>
        <w:spacing w:line="480" w:lineRule="auto"/>
        <w:jc w:val="both"/>
        <w:rPr>
          <w:rFonts w:cs="Arial"/>
          <w:b/>
          <w:sz w:val="22"/>
          <w:szCs w:val="20"/>
          <w:lang w:bidi="th-TH"/>
        </w:rPr>
      </w:pPr>
      <w:r w:rsidRPr="004343A0">
        <w:rPr>
          <w:rFonts w:cs="Arial"/>
          <w:b/>
          <w:sz w:val="22"/>
          <w:szCs w:val="20"/>
          <w:lang w:bidi="th-TH"/>
        </w:rPr>
        <w:t>3</w:t>
      </w:r>
      <w:r w:rsidR="007735B5" w:rsidRPr="004343A0">
        <w:rPr>
          <w:rFonts w:cs="Arial"/>
          <w:b/>
          <w:sz w:val="22"/>
          <w:szCs w:val="20"/>
          <w:lang w:bidi="th-TH"/>
        </w:rPr>
        <w:t>.</w:t>
      </w:r>
      <w:r w:rsidR="005E71E4" w:rsidRPr="004343A0">
        <w:rPr>
          <w:rFonts w:cs="Arial"/>
          <w:b/>
          <w:sz w:val="22"/>
          <w:szCs w:val="20"/>
          <w:lang w:bidi="th-TH"/>
        </w:rPr>
        <w:t>1</w:t>
      </w:r>
      <w:r w:rsidR="007735B5" w:rsidRPr="004343A0">
        <w:rPr>
          <w:rFonts w:cs="Arial"/>
          <w:b/>
          <w:sz w:val="22"/>
          <w:szCs w:val="20"/>
          <w:lang w:bidi="th-TH"/>
        </w:rPr>
        <w:t xml:space="preserve"> Focus </w:t>
      </w:r>
      <w:r w:rsidR="005E71E4" w:rsidRPr="004343A0">
        <w:rPr>
          <w:rFonts w:cs="Arial"/>
          <w:b/>
          <w:sz w:val="22"/>
          <w:szCs w:val="20"/>
          <w:lang w:bidi="th-TH"/>
        </w:rPr>
        <w:t>Groups</w:t>
      </w:r>
    </w:p>
    <w:p w:rsidR="00E54949" w:rsidRPr="004343A0" w:rsidRDefault="005E71E4" w:rsidP="00633E83">
      <w:pPr>
        <w:spacing w:line="480" w:lineRule="auto"/>
        <w:jc w:val="both"/>
        <w:rPr>
          <w:rFonts w:cs="Arial"/>
          <w:sz w:val="20"/>
          <w:szCs w:val="20"/>
        </w:rPr>
      </w:pPr>
      <w:r w:rsidRPr="004343A0">
        <w:rPr>
          <w:rFonts w:cs="Arial"/>
          <w:sz w:val="20"/>
          <w:szCs w:val="20"/>
          <w:lang w:bidi="th-TH"/>
        </w:rPr>
        <w:t>T</w:t>
      </w:r>
      <w:r w:rsidRPr="004343A0">
        <w:rPr>
          <w:rFonts w:cs="Arial"/>
          <w:sz w:val="20"/>
          <w:szCs w:val="20"/>
        </w:rPr>
        <w:t xml:space="preserve">o ensure that the engagement </w:t>
      </w:r>
      <w:r w:rsidR="003F26C3" w:rsidRPr="004343A0">
        <w:rPr>
          <w:rFonts w:cs="Arial"/>
          <w:sz w:val="20"/>
          <w:szCs w:val="20"/>
        </w:rPr>
        <w:t xml:space="preserve">was </w:t>
      </w:r>
      <w:r w:rsidRPr="004343A0">
        <w:rPr>
          <w:rFonts w:cs="Arial"/>
          <w:sz w:val="20"/>
          <w:szCs w:val="20"/>
        </w:rPr>
        <w:t>timely, useful and effective</w:t>
      </w:r>
      <w:r w:rsidR="00EA3FF3">
        <w:rPr>
          <w:rFonts w:cs="Arial"/>
          <w:sz w:val="20"/>
          <w:szCs w:val="20"/>
        </w:rPr>
        <w:t>,</w:t>
      </w:r>
      <w:r w:rsidRPr="004343A0">
        <w:rPr>
          <w:rFonts w:cs="Arial"/>
          <w:sz w:val="20"/>
          <w:szCs w:val="20"/>
        </w:rPr>
        <w:t xml:space="preserve"> five focus groups were conducted in four different locations</w:t>
      </w:r>
      <w:r w:rsidR="00EC27D1" w:rsidRPr="004343A0">
        <w:rPr>
          <w:rFonts w:cs="Arial"/>
          <w:sz w:val="20"/>
          <w:szCs w:val="20"/>
        </w:rPr>
        <w:t>,</w:t>
      </w:r>
      <w:r w:rsidRPr="004343A0">
        <w:rPr>
          <w:rFonts w:cs="Arial"/>
          <w:sz w:val="20"/>
          <w:szCs w:val="20"/>
        </w:rPr>
        <w:t xml:space="preserve"> typically consisting of six to eight participants. These sought to identify the topics within the sustainability agenda that </w:t>
      </w:r>
      <w:r w:rsidR="003F26C3" w:rsidRPr="004343A0">
        <w:rPr>
          <w:rFonts w:cs="Arial"/>
          <w:sz w:val="20"/>
          <w:szCs w:val="20"/>
        </w:rPr>
        <w:t xml:space="preserve">were </w:t>
      </w:r>
      <w:r w:rsidRPr="004343A0">
        <w:rPr>
          <w:rFonts w:cs="Arial"/>
          <w:sz w:val="20"/>
          <w:szCs w:val="20"/>
        </w:rPr>
        <w:t xml:space="preserve">of most interest and concern to the older community as well as engagement formats that </w:t>
      </w:r>
      <w:r w:rsidR="003F26C3" w:rsidRPr="004343A0">
        <w:rPr>
          <w:rFonts w:cs="Arial"/>
          <w:sz w:val="20"/>
          <w:szCs w:val="20"/>
        </w:rPr>
        <w:t>we</w:t>
      </w:r>
      <w:r w:rsidRPr="004343A0">
        <w:rPr>
          <w:rFonts w:cs="Arial"/>
          <w:sz w:val="20"/>
          <w:szCs w:val="20"/>
        </w:rPr>
        <w:t>re desirable</w:t>
      </w:r>
      <w:r w:rsidR="00E54949" w:rsidRPr="004343A0">
        <w:rPr>
          <w:rFonts w:cs="Arial"/>
          <w:sz w:val="20"/>
          <w:szCs w:val="20"/>
        </w:rPr>
        <w:t>.</w:t>
      </w:r>
      <w:r w:rsidRPr="004343A0">
        <w:rPr>
          <w:rFonts w:cs="Arial"/>
          <w:sz w:val="20"/>
          <w:szCs w:val="20"/>
        </w:rPr>
        <w:t xml:space="preserve"> The questioning route was specifically designed for the elderly and the methods employed to order and prioritise information changed a number of times to accommodate specific requirements like mobility, disability and ease of understanding. Given the heterogeneous nature and the range of ages and </w:t>
      </w:r>
      <w:r w:rsidRPr="004343A0">
        <w:rPr>
          <w:rFonts w:cs="Arial"/>
          <w:sz w:val="20"/>
          <w:szCs w:val="20"/>
        </w:rPr>
        <w:lastRenderedPageBreak/>
        <w:t>affluence of this target group, it was important to make sure that all segments identified in the research methodology were included in the focus groups. Five volunteer groups were selected from different locations and covered the</w:t>
      </w:r>
      <w:r w:rsidR="0018732D" w:rsidRPr="004343A0">
        <w:rPr>
          <w:rFonts w:cs="Arial"/>
          <w:sz w:val="20"/>
          <w:szCs w:val="20"/>
        </w:rPr>
        <w:t xml:space="preserve"> range of age groups and wealth</w:t>
      </w:r>
      <w:r w:rsidR="00E54949" w:rsidRPr="004343A0">
        <w:rPr>
          <w:rFonts w:cs="Arial"/>
          <w:sz w:val="20"/>
          <w:szCs w:val="20"/>
        </w:rPr>
        <w:t xml:space="preserve">. </w:t>
      </w:r>
    </w:p>
    <w:p w:rsidR="005E71E4" w:rsidRPr="004343A0" w:rsidRDefault="005E71E4" w:rsidP="00633E83">
      <w:pPr>
        <w:spacing w:line="480" w:lineRule="auto"/>
        <w:jc w:val="both"/>
        <w:rPr>
          <w:rFonts w:cs="Arial"/>
          <w:sz w:val="20"/>
          <w:szCs w:val="20"/>
        </w:rPr>
      </w:pPr>
      <w:r w:rsidRPr="004343A0">
        <w:rPr>
          <w:rFonts w:cs="Arial"/>
          <w:sz w:val="20"/>
          <w:szCs w:val="20"/>
        </w:rPr>
        <w:t xml:space="preserve">Groups 1 </w:t>
      </w:r>
      <w:r w:rsidR="00E54949" w:rsidRPr="004343A0">
        <w:rPr>
          <w:rFonts w:cs="Arial"/>
          <w:sz w:val="20"/>
          <w:szCs w:val="20"/>
        </w:rPr>
        <w:t>&amp; 2</w:t>
      </w:r>
      <w:r w:rsidRPr="004343A0">
        <w:rPr>
          <w:rFonts w:cs="Arial"/>
          <w:sz w:val="20"/>
          <w:szCs w:val="20"/>
        </w:rPr>
        <w:t xml:space="preserve">- </w:t>
      </w:r>
      <w:r w:rsidR="00E54949" w:rsidRPr="004343A0">
        <w:rPr>
          <w:rFonts w:cs="Arial"/>
          <w:sz w:val="20"/>
          <w:szCs w:val="20"/>
        </w:rPr>
        <w:t>O</w:t>
      </w:r>
      <w:r w:rsidRPr="004343A0">
        <w:rPr>
          <w:rFonts w:cs="Arial"/>
          <w:sz w:val="20"/>
          <w:szCs w:val="20"/>
        </w:rPr>
        <w:t>lder old people with a range of affluence.</w:t>
      </w:r>
    </w:p>
    <w:p w:rsidR="005E71E4" w:rsidRPr="004343A0" w:rsidRDefault="005E71E4" w:rsidP="00633E83">
      <w:pPr>
        <w:spacing w:line="480" w:lineRule="auto"/>
        <w:jc w:val="both"/>
        <w:rPr>
          <w:rFonts w:cs="Arial"/>
          <w:sz w:val="20"/>
          <w:szCs w:val="20"/>
        </w:rPr>
      </w:pPr>
      <w:r w:rsidRPr="004343A0">
        <w:rPr>
          <w:rFonts w:cs="Arial"/>
          <w:sz w:val="20"/>
          <w:szCs w:val="20"/>
        </w:rPr>
        <w:t xml:space="preserve">Group 3- </w:t>
      </w:r>
      <w:r w:rsidR="00E54949" w:rsidRPr="004343A0">
        <w:rPr>
          <w:rFonts w:cs="Arial"/>
          <w:sz w:val="20"/>
          <w:szCs w:val="20"/>
        </w:rPr>
        <w:t>Y</w:t>
      </w:r>
      <w:r w:rsidRPr="004343A0">
        <w:rPr>
          <w:rFonts w:cs="Arial"/>
          <w:sz w:val="20"/>
          <w:szCs w:val="20"/>
        </w:rPr>
        <w:t>ounger old people with a majority of people more to the “</w:t>
      </w:r>
      <w:r w:rsidR="00A549E5" w:rsidRPr="004343A0">
        <w:rPr>
          <w:rFonts w:cs="Arial"/>
          <w:sz w:val="20"/>
          <w:szCs w:val="20"/>
        </w:rPr>
        <w:t>w</w:t>
      </w:r>
      <w:r w:rsidRPr="004343A0">
        <w:rPr>
          <w:rFonts w:cs="Arial"/>
          <w:sz w:val="20"/>
          <w:szCs w:val="20"/>
        </w:rPr>
        <w:t>ell off” wealth range.</w:t>
      </w:r>
    </w:p>
    <w:p w:rsidR="005E71E4" w:rsidRPr="004343A0" w:rsidRDefault="005E71E4" w:rsidP="00633E83">
      <w:pPr>
        <w:spacing w:line="480" w:lineRule="auto"/>
        <w:jc w:val="both"/>
        <w:rPr>
          <w:rFonts w:cs="Arial"/>
          <w:sz w:val="20"/>
          <w:szCs w:val="20"/>
        </w:rPr>
      </w:pPr>
      <w:r w:rsidRPr="004343A0">
        <w:rPr>
          <w:rFonts w:cs="Arial"/>
          <w:sz w:val="20"/>
          <w:szCs w:val="20"/>
        </w:rPr>
        <w:t xml:space="preserve">Group 4- </w:t>
      </w:r>
      <w:r w:rsidR="00B82232" w:rsidRPr="004343A0">
        <w:rPr>
          <w:rFonts w:cs="Arial"/>
          <w:sz w:val="20"/>
          <w:szCs w:val="20"/>
        </w:rPr>
        <w:t>Elderly</w:t>
      </w:r>
      <w:r w:rsidRPr="004343A0">
        <w:rPr>
          <w:rFonts w:cs="Arial"/>
          <w:sz w:val="20"/>
          <w:szCs w:val="20"/>
        </w:rPr>
        <w:t xml:space="preserve"> from a varied range of ages and affluence.</w:t>
      </w:r>
    </w:p>
    <w:p w:rsidR="005E71E4" w:rsidRPr="004343A0" w:rsidRDefault="005E71E4" w:rsidP="00633E83">
      <w:pPr>
        <w:spacing w:line="480" w:lineRule="auto"/>
        <w:jc w:val="both"/>
        <w:rPr>
          <w:rFonts w:cs="Arial"/>
          <w:sz w:val="20"/>
          <w:szCs w:val="20"/>
        </w:rPr>
      </w:pPr>
      <w:r w:rsidRPr="004343A0">
        <w:rPr>
          <w:rFonts w:cs="Arial"/>
          <w:sz w:val="20"/>
          <w:szCs w:val="20"/>
        </w:rPr>
        <w:t xml:space="preserve">Group 5- </w:t>
      </w:r>
      <w:r w:rsidR="00B82232" w:rsidRPr="004343A0">
        <w:rPr>
          <w:rFonts w:cs="Arial"/>
          <w:sz w:val="20"/>
          <w:szCs w:val="20"/>
        </w:rPr>
        <w:t>O</w:t>
      </w:r>
      <w:r w:rsidRPr="004343A0">
        <w:rPr>
          <w:rFonts w:cs="Arial"/>
          <w:sz w:val="20"/>
          <w:szCs w:val="20"/>
        </w:rPr>
        <w:t>lder old and generally very well off.</w:t>
      </w:r>
    </w:p>
    <w:p w:rsidR="005E71E4" w:rsidRPr="004343A0" w:rsidRDefault="00EC27D1" w:rsidP="00373DC8">
      <w:pPr>
        <w:spacing w:line="480" w:lineRule="auto"/>
        <w:jc w:val="both"/>
        <w:rPr>
          <w:rFonts w:cs="Arial"/>
          <w:sz w:val="20"/>
          <w:szCs w:val="20"/>
        </w:rPr>
      </w:pPr>
      <w:r w:rsidRPr="004343A0">
        <w:rPr>
          <w:rFonts w:cs="Arial"/>
          <w:sz w:val="20"/>
          <w:szCs w:val="20"/>
        </w:rPr>
        <w:t xml:space="preserve">Table 1 &amp; </w:t>
      </w:r>
      <w:r w:rsidR="005E71E4" w:rsidRPr="004343A0">
        <w:rPr>
          <w:rFonts w:cs="Arial"/>
          <w:sz w:val="20"/>
          <w:szCs w:val="20"/>
        </w:rPr>
        <w:t>Figure</w:t>
      </w:r>
      <w:r w:rsidR="00BE196C" w:rsidRPr="004343A0">
        <w:rPr>
          <w:rFonts w:cs="Arial"/>
          <w:sz w:val="20"/>
          <w:szCs w:val="20"/>
        </w:rPr>
        <w:t>s</w:t>
      </w:r>
      <w:r w:rsidRPr="004343A0">
        <w:rPr>
          <w:rFonts w:cs="Arial"/>
          <w:sz w:val="20"/>
          <w:szCs w:val="20"/>
        </w:rPr>
        <w:t xml:space="preserve"> 2</w:t>
      </w:r>
      <w:r w:rsidR="005E71E4" w:rsidRPr="004343A0">
        <w:rPr>
          <w:rFonts w:cs="Arial"/>
          <w:sz w:val="20"/>
          <w:szCs w:val="20"/>
        </w:rPr>
        <w:t xml:space="preserve"> illustrate the ages and occupation determined wealth of the 38 focus group participants. 58% of the participants were 75</w:t>
      </w:r>
      <w:r w:rsidR="00BE196C" w:rsidRPr="004343A0">
        <w:rPr>
          <w:rFonts w:cs="Arial"/>
          <w:sz w:val="20"/>
          <w:szCs w:val="20"/>
        </w:rPr>
        <w:t xml:space="preserve"> years</w:t>
      </w:r>
      <w:r w:rsidR="005E71E4" w:rsidRPr="004343A0">
        <w:rPr>
          <w:rFonts w:cs="Arial"/>
          <w:sz w:val="20"/>
          <w:szCs w:val="20"/>
        </w:rPr>
        <w:t xml:space="preserve"> or </w:t>
      </w:r>
      <w:r w:rsidR="0018732D" w:rsidRPr="004343A0">
        <w:rPr>
          <w:rFonts w:cs="Arial"/>
          <w:sz w:val="20"/>
          <w:szCs w:val="20"/>
        </w:rPr>
        <w:t xml:space="preserve">over, while 31% were under 75. </w:t>
      </w:r>
      <w:r w:rsidR="005E71E4" w:rsidRPr="004343A0">
        <w:rPr>
          <w:rFonts w:cs="Arial"/>
          <w:sz w:val="20"/>
          <w:szCs w:val="20"/>
        </w:rPr>
        <w:t>11% declined to give this information but from observations the majority of those who declined were under 75</w:t>
      </w:r>
      <w:r w:rsidR="00BE196C" w:rsidRPr="004343A0">
        <w:rPr>
          <w:rFonts w:cs="Arial"/>
          <w:sz w:val="20"/>
          <w:szCs w:val="20"/>
        </w:rPr>
        <w:t xml:space="preserve"> years</w:t>
      </w:r>
      <w:r w:rsidR="002127CA" w:rsidRPr="004343A0">
        <w:rPr>
          <w:rFonts w:cs="Arial"/>
          <w:sz w:val="20"/>
          <w:szCs w:val="20"/>
        </w:rPr>
        <w:t>,</w:t>
      </w:r>
      <w:r w:rsidR="005E71E4" w:rsidRPr="004343A0">
        <w:rPr>
          <w:rFonts w:cs="Arial"/>
          <w:sz w:val="20"/>
          <w:szCs w:val="20"/>
        </w:rPr>
        <w:t xml:space="preserve"> thus leading to an almost even split across the age groups being achieved. Defining wealth through occupation is an established sociological statistical technique but many methods exist to quantify this Socio-Economic Status (SES). The method used here was described by Raftery (2000) and has been used to split the participants by their main occupation into one of 4 categories Upper non-manual, Lower non-manual, Upper manual, Lower manual. Upper non-manual would include doctors, lawyers and managing directors. Lower non-manual included all non-manual work with no management component. Upper manual covered manual work where training or qualifications were required such as plumbers or electricians. Lower manual included all workers on a mi</w:t>
      </w:r>
      <w:r w:rsidR="00373DC8" w:rsidRPr="004343A0">
        <w:rPr>
          <w:rFonts w:cs="Arial"/>
          <w:sz w:val="20"/>
          <w:szCs w:val="20"/>
        </w:rPr>
        <w:t xml:space="preserve">nimum wage such as cleaners. </w:t>
      </w:r>
      <w:r w:rsidR="005E71E4" w:rsidRPr="004343A0">
        <w:rPr>
          <w:rFonts w:cs="Arial"/>
          <w:sz w:val="20"/>
          <w:szCs w:val="20"/>
        </w:rPr>
        <w:t>The fifth ca</w:t>
      </w:r>
      <w:r w:rsidR="00887C24" w:rsidRPr="004343A0">
        <w:rPr>
          <w:rFonts w:cs="Arial"/>
          <w:sz w:val="20"/>
          <w:szCs w:val="20"/>
        </w:rPr>
        <w:t xml:space="preserve">tegory of Farm was eliminated. </w:t>
      </w:r>
      <w:r w:rsidR="00373DC8" w:rsidRPr="004343A0">
        <w:rPr>
          <w:rFonts w:cs="Arial"/>
          <w:sz w:val="20"/>
          <w:szCs w:val="20"/>
        </w:rPr>
        <w:t xml:space="preserve">Instead </w:t>
      </w:r>
      <w:r w:rsidR="005E71E4" w:rsidRPr="004343A0">
        <w:rPr>
          <w:rFonts w:cs="Arial"/>
          <w:sz w:val="20"/>
          <w:szCs w:val="20"/>
        </w:rPr>
        <w:t>Homemaker/</w:t>
      </w:r>
      <w:r w:rsidR="00373DC8" w:rsidRPr="004343A0">
        <w:rPr>
          <w:rFonts w:cs="Arial"/>
          <w:sz w:val="20"/>
          <w:szCs w:val="20"/>
        </w:rPr>
        <w:t xml:space="preserve"> </w:t>
      </w:r>
      <w:r w:rsidR="005E71E4" w:rsidRPr="004343A0">
        <w:rPr>
          <w:rFonts w:cs="Arial"/>
          <w:sz w:val="20"/>
          <w:szCs w:val="20"/>
        </w:rPr>
        <w:t xml:space="preserve">Housewife was included as a separate category. This new category was created due to the number of participants who gave this as their </w:t>
      </w:r>
      <w:r w:rsidR="00887C24" w:rsidRPr="004343A0">
        <w:rPr>
          <w:rFonts w:cs="Arial"/>
          <w:sz w:val="20"/>
          <w:szCs w:val="20"/>
        </w:rPr>
        <w:t>occupation</w:t>
      </w:r>
      <w:r w:rsidR="005E71E4" w:rsidRPr="004343A0">
        <w:rPr>
          <w:rFonts w:cs="Arial"/>
          <w:sz w:val="20"/>
          <w:szCs w:val="20"/>
        </w:rPr>
        <w:t xml:space="preserve"> but also due to it not being possible to include this response i</w:t>
      </w:r>
      <w:r w:rsidR="0018732D" w:rsidRPr="004343A0">
        <w:rPr>
          <w:rFonts w:cs="Arial"/>
          <w:sz w:val="20"/>
          <w:szCs w:val="20"/>
        </w:rPr>
        <w:t xml:space="preserve">n any of the other categories. </w:t>
      </w:r>
      <w:r w:rsidR="005E71E4" w:rsidRPr="004343A0">
        <w:rPr>
          <w:rFonts w:cs="Arial"/>
          <w:sz w:val="20"/>
          <w:szCs w:val="20"/>
        </w:rPr>
        <w:t>Homemakers could be either very afflue</w:t>
      </w:r>
      <w:r w:rsidR="00EA3FF3">
        <w:rPr>
          <w:rFonts w:cs="Arial"/>
          <w:sz w:val="20"/>
          <w:szCs w:val="20"/>
        </w:rPr>
        <w:t>nt so were not required to work</w:t>
      </w:r>
      <w:r w:rsidR="005E71E4" w:rsidRPr="004343A0">
        <w:rPr>
          <w:rFonts w:cs="Arial"/>
          <w:sz w:val="20"/>
          <w:szCs w:val="20"/>
        </w:rPr>
        <w:t xml:space="preserve"> or less well off but from a generation where it was more usual for women to stay at home.</w:t>
      </w:r>
    </w:p>
    <w:p w:rsidR="005E71E4" w:rsidRPr="004343A0" w:rsidRDefault="005E71E4" w:rsidP="00633E83">
      <w:pPr>
        <w:spacing w:line="480" w:lineRule="auto"/>
        <w:jc w:val="both"/>
        <w:rPr>
          <w:rFonts w:cs="Arial"/>
          <w:sz w:val="20"/>
          <w:szCs w:val="20"/>
        </w:rPr>
      </w:pPr>
      <w:r w:rsidRPr="004343A0">
        <w:rPr>
          <w:rFonts w:cs="Arial"/>
          <w:sz w:val="20"/>
          <w:szCs w:val="20"/>
        </w:rPr>
        <w:t>The female participants number were three times more than men. This is a common factor when dealing with the o</w:t>
      </w:r>
      <w:r w:rsidR="00887C24" w:rsidRPr="004343A0">
        <w:rPr>
          <w:rFonts w:cs="Arial"/>
          <w:sz w:val="20"/>
          <w:szCs w:val="20"/>
        </w:rPr>
        <w:t>ver 65</w:t>
      </w:r>
      <w:r w:rsidRPr="004343A0">
        <w:rPr>
          <w:rFonts w:cs="Arial"/>
          <w:sz w:val="20"/>
          <w:szCs w:val="20"/>
        </w:rPr>
        <w:t xml:space="preserve"> age group and can be explained by the Office of </w:t>
      </w:r>
      <w:r w:rsidRPr="004343A0">
        <w:rPr>
          <w:rFonts w:cs="Arial"/>
          <w:sz w:val="20"/>
          <w:szCs w:val="20"/>
        </w:rPr>
        <w:lastRenderedPageBreak/>
        <w:t xml:space="preserve">National </w:t>
      </w:r>
      <w:r w:rsidR="00741BA8" w:rsidRPr="004343A0">
        <w:rPr>
          <w:rFonts w:cs="Arial"/>
          <w:sz w:val="20"/>
          <w:szCs w:val="20"/>
        </w:rPr>
        <w:t xml:space="preserve">Statistics (2012) </w:t>
      </w:r>
      <w:r w:rsidRPr="004343A0">
        <w:rPr>
          <w:rFonts w:cs="Arial"/>
          <w:sz w:val="20"/>
          <w:szCs w:val="20"/>
        </w:rPr>
        <w:t>observation that there are significantly more women than men in the over 72 population. In the over 60 population women do currently outnumber men though this trend is decreasing in strength as male life expectancy increases and the effect of the male mortality rates during the World War</w:t>
      </w:r>
      <w:r w:rsidR="00887C24" w:rsidRPr="004343A0">
        <w:rPr>
          <w:rFonts w:cs="Arial"/>
          <w:sz w:val="20"/>
          <w:szCs w:val="20"/>
        </w:rPr>
        <w:t xml:space="preserve">s are removed from the system. </w:t>
      </w:r>
      <w:r w:rsidRPr="004343A0">
        <w:rPr>
          <w:rFonts w:cs="Arial"/>
          <w:sz w:val="20"/>
          <w:szCs w:val="20"/>
        </w:rPr>
        <w:t xml:space="preserve">As a range of ages and wealth groups were covered and topics were being repeated by the fifth focus group, it </w:t>
      </w:r>
      <w:r w:rsidR="00741BA8" w:rsidRPr="004343A0">
        <w:rPr>
          <w:rFonts w:cs="Arial"/>
          <w:sz w:val="20"/>
          <w:szCs w:val="20"/>
        </w:rPr>
        <w:t>wa</w:t>
      </w:r>
      <w:r w:rsidRPr="004343A0">
        <w:rPr>
          <w:rFonts w:cs="Arial"/>
          <w:sz w:val="20"/>
          <w:szCs w:val="20"/>
        </w:rPr>
        <w:t>s unlikely that many different opinions would have been found if more groups ha</w:t>
      </w:r>
      <w:r w:rsidR="00DB415C" w:rsidRPr="004343A0">
        <w:rPr>
          <w:rFonts w:cs="Arial"/>
          <w:sz w:val="20"/>
          <w:szCs w:val="20"/>
        </w:rPr>
        <w:t>d been conducted (Krueger, 1998</w:t>
      </w:r>
      <w:r w:rsidRPr="004343A0">
        <w:rPr>
          <w:rFonts w:cs="Arial"/>
          <w:sz w:val="20"/>
          <w:szCs w:val="20"/>
        </w:rPr>
        <w:t xml:space="preserve">).  Krueger and Casey (2009) described </w:t>
      </w:r>
      <w:r w:rsidR="0018732D" w:rsidRPr="004343A0">
        <w:rPr>
          <w:rFonts w:cs="Arial"/>
          <w:sz w:val="20"/>
          <w:szCs w:val="20"/>
        </w:rPr>
        <w:t xml:space="preserve">this concept as “Saturation, </w:t>
      </w:r>
      <w:r w:rsidRPr="004343A0">
        <w:rPr>
          <w:rFonts w:cs="Arial"/>
          <w:sz w:val="20"/>
          <w:szCs w:val="20"/>
        </w:rPr>
        <w:t>the point where you have heard the range of ideas and aren’t getting new information”.</w:t>
      </w:r>
    </w:p>
    <w:p w:rsidR="0012374A" w:rsidRPr="004343A0" w:rsidRDefault="005E71E4" w:rsidP="00633E83">
      <w:pPr>
        <w:spacing w:line="480" w:lineRule="auto"/>
        <w:jc w:val="both"/>
        <w:rPr>
          <w:rFonts w:cs="Arial"/>
          <w:sz w:val="20"/>
          <w:szCs w:val="20"/>
        </w:rPr>
      </w:pPr>
      <w:r w:rsidRPr="004343A0">
        <w:rPr>
          <w:rFonts w:cs="Arial"/>
          <w:sz w:val="20"/>
          <w:szCs w:val="20"/>
        </w:rPr>
        <w:t>The aims of th</w:t>
      </w:r>
      <w:r w:rsidR="00B82232" w:rsidRPr="004343A0">
        <w:rPr>
          <w:rFonts w:cs="Arial"/>
          <w:sz w:val="20"/>
          <w:szCs w:val="20"/>
        </w:rPr>
        <w:t>e focus groups were to discover</w:t>
      </w:r>
      <w:r w:rsidRPr="004343A0">
        <w:rPr>
          <w:rFonts w:cs="Arial"/>
          <w:sz w:val="20"/>
          <w:szCs w:val="20"/>
        </w:rPr>
        <w:t xml:space="preserve"> firstly, the aspects of sustainability that </w:t>
      </w:r>
      <w:r w:rsidR="00754FE0" w:rsidRPr="004343A0">
        <w:rPr>
          <w:rFonts w:cs="Arial"/>
          <w:sz w:val="20"/>
          <w:szCs w:val="20"/>
        </w:rPr>
        <w:t xml:space="preserve">were </w:t>
      </w:r>
      <w:r w:rsidRPr="004343A0">
        <w:rPr>
          <w:rFonts w:cs="Arial"/>
          <w:sz w:val="20"/>
          <w:szCs w:val="20"/>
        </w:rPr>
        <w:t xml:space="preserve">of most interest and use and second, the format in which they would prefer to receive </w:t>
      </w:r>
      <w:r w:rsidR="0050188A" w:rsidRPr="004343A0">
        <w:rPr>
          <w:rFonts w:cs="Arial"/>
          <w:sz w:val="20"/>
          <w:szCs w:val="20"/>
        </w:rPr>
        <w:t xml:space="preserve">any relevant </w:t>
      </w:r>
      <w:r w:rsidRPr="004343A0">
        <w:rPr>
          <w:rFonts w:cs="Arial"/>
          <w:sz w:val="20"/>
          <w:szCs w:val="20"/>
        </w:rPr>
        <w:t xml:space="preserve">information. The questioning route opened with all participants introducing themselves before the introductory question of “What does sustainability mean to you?” </w:t>
      </w:r>
      <w:r w:rsidR="00231586" w:rsidRPr="004343A0">
        <w:rPr>
          <w:rFonts w:cs="Arial"/>
          <w:sz w:val="20"/>
          <w:szCs w:val="20"/>
        </w:rPr>
        <w:t xml:space="preserve">The participants as a group attempted to place a selection of potential sustainable actions into a preference order, a tool often used within focus groups to expand discussions. This exercise was not effective due to decreased mobility and difficulty of understanding technical terms. An alternative approach of individuals nominating which of the actions that they “always do”, “sometimes do” or “never do” </w:t>
      </w:r>
      <w:r w:rsidR="00887C24" w:rsidRPr="004343A0">
        <w:rPr>
          <w:rFonts w:cs="Arial"/>
          <w:sz w:val="20"/>
          <w:szCs w:val="20"/>
        </w:rPr>
        <w:t>s</w:t>
      </w:r>
      <w:r w:rsidR="00231586" w:rsidRPr="004343A0">
        <w:rPr>
          <w:rFonts w:cs="Arial"/>
          <w:sz w:val="20"/>
          <w:szCs w:val="20"/>
        </w:rPr>
        <w:t xml:space="preserve">eemed to be more effective. Methods of obtaining and communicating relevant information </w:t>
      </w:r>
      <w:r w:rsidR="00306428" w:rsidRPr="004343A0">
        <w:rPr>
          <w:rFonts w:cs="Arial"/>
          <w:sz w:val="20"/>
          <w:szCs w:val="20"/>
        </w:rPr>
        <w:t>were discussed. T</w:t>
      </w:r>
      <w:r w:rsidRPr="004343A0">
        <w:rPr>
          <w:rFonts w:cs="Arial"/>
          <w:sz w:val="20"/>
          <w:szCs w:val="20"/>
        </w:rPr>
        <w:t xml:space="preserve">he group discussed which </w:t>
      </w:r>
      <w:r w:rsidR="00306428" w:rsidRPr="004343A0">
        <w:rPr>
          <w:rFonts w:cs="Arial"/>
          <w:sz w:val="20"/>
          <w:szCs w:val="20"/>
        </w:rPr>
        <w:t>methods they generally prefer in communicating information</w:t>
      </w:r>
      <w:r w:rsidRPr="004343A0">
        <w:rPr>
          <w:rFonts w:cs="Arial"/>
          <w:sz w:val="20"/>
          <w:szCs w:val="20"/>
        </w:rPr>
        <w:t xml:space="preserve"> both from the options given and from other paths they regularly employed. The data was recorded and content analysis was carried out to</w:t>
      </w:r>
      <w:r w:rsidR="0018732D" w:rsidRPr="004343A0">
        <w:rPr>
          <w:rFonts w:cs="Arial"/>
          <w:sz w:val="20"/>
          <w:szCs w:val="20"/>
        </w:rPr>
        <w:t xml:space="preserve"> identify the aspects of sustainability that were highlighted as important in their lives.</w:t>
      </w:r>
      <w:r w:rsidR="00B36256" w:rsidRPr="004343A0">
        <w:rPr>
          <w:rFonts w:cs="Arial"/>
          <w:sz w:val="20"/>
          <w:szCs w:val="20"/>
        </w:rPr>
        <w:t xml:space="preserve"> The results are presented in Table </w:t>
      </w:r>
      <w:r w:rsidR="00DB415C" w:rsidRPr="004343A0">
        <w:rPr>
          <w:rFonts w:cs="Arial"/>
          <w:sz w:val="20"/>
          <w:szCs w:val="20"/>
        </w:rPr>
        <w:t>2</w:t>
      </w:r>
      <w:r w:rsidR="00B36256" w:rsidRPr="004343A0">
        <w:rPr>
          <w:rFonts w:cs="Arial"/>
          <w:sz w:val="20"/>
          <w:szCs w:val="20"/>
        </w:rPr>
        <w:t>.</w:t>
      </w:r>
    </w:p>
    <w:p w:rsidR="00B36256" w:rsidRPr="004343A0" w:rsidRDefault="00B36256" w:rsidP="00633E83">
      <w:pPr>
        <w:spacing w:line="480" w:lineRule="auto"/>
        <w:jc w:val="both"/>
        <w:rPr>
          <w:rFonts w:cs="Arial"/>
          <w:sz w:val="20"/>
          <w:szCs w:val="20"/>
        </w:rPr>
      </w:pPr>
    </w:p>
    <w:p w:rsidR="002240D1" w:rsidRPr="004343A0" w:rsidRDefault="002127CA" w:rsidP="00633E83">
      <w:pPr>
        <w:spacing w:line="480" w:lineRule="auto"/>
        <w:jc w:val="both"/>
        <w:rPr>
          <w:b/>
          <w:sz w:val="24"/>
        </w:rPr>
      </w:pPr>
      <w:r w:rsidRPr="004343A0">
        <w:rPr>
          <w:b/>
          <w:sz w:val="24"/>
        </w:rPr>
        <w:t>3</w:t>
      </w:r>
      <w:r w:rsidR="00AA0999" w:rsidRPr="004343A0">
        <w:rPr>
          <w:b/>
          <w:sz w:val="24"/>
        </w:rPr>
        <w:t>.2</w:t>
      </w:r>
      <w:r w:rsidR="00AC1B50" w:rsidRPr="004343A0">
        <w:rPr>
          <w:b/>
          <w:sz w:val="24"/>
        </w:rPr>
        <w:t xml:space="preserve"> </w:t>
      </w:r>
      <w:r w:rsidR="00DB415C" w:rsidRPr="004343A0">
        <w:rPr>
          <w:b/>
          <w:sz w:val="24"/>
        </w:rPr>
        <w:t>Public</w:t>
      </w:r>
      <w:r w:rsidR="00AA0999" w:rsidRPr="004343A0">
        <w:rPr>
          <w:b/>
          <w:sz w:val="24"/>
        </w:rPr>
        <w:t xml:space="preserve"> E</w:t>
      </w:r>
      <w:r w:rsidR="002240D1" w:rsidRPr="004343A0">
        <w:rPr>
          <w:b/>
          <w:sz w:val="24"/>
        </w:rPr>
        <w:t>ngagement</w:t>
      </w:r>
    </w:p>
    <w:p w:rsidR="0005101F" w:rsidRPr="004343A0" w:rsidRDefault="00AC1B50" w:rsidP="00633E83">
      <w:pPr>
        <w:spacing w:line="480" w:lineRule="auto"/>
        <w:jc w:val="both"/>
        <w:rPr>
          <w:sz w:val="20"/>
          <w:lang w:bidi="th-TH"/>
        </w:rPr>
      </w:pPr>
      <w:r w:rsidRPr="004343A0">
        <w:rPr>
          <w:rFonts w:cs="Arial"/>
          <w:sz w:val="20"/>
        </w:rPr>
        <w:t>During the year long initiative the following engagement events were conducted with the aims of stimulating behavioural change, collecting ideas for sustainable actions and identifying optimum engagement methods for people over 65</w:t>
      </w:r>
      <w:r w:rsidR="003A31BE">
        <w:rPr>
          <w:rFonts w:cs="Arial"/>
          <w:sz w:val="20"/>
        </w:rPr>
        <w:t xml:space="preserve"> years</w:t>
      </w:r>
      <w:r w:rsidRPr="004343A0">
        <w:rPr>
          <w:rFonts w:cs="Arial"/>
          <w:sz w:val="20"/>
        </w:rPr>
        <w:t xml:space="preserve">: focus groups (38 people), 38 presentations (1,125 people), 12 information sessions/stands (479 </w:t>
      </w:r>
      <w:r w:rsidRPr="004343A0">
        <w:rPr>
          <w:rFonts w:cs="Arial"/>
          <w:sz w:val="20"/>
        </w:rPr>
        <w:lastRenderedPageBreak/>
        <w:t>people), 6 discussion groups (79 people).</w:t>
      </w:r>
      <w:r w:rsidRPr="004343A0">
        <w:rPr>
          <w:sz w:val="20"/>
          <w:lang w:bidi="th-TH"/>
        </w:rPr>
        <w:t xml:space="preserve"> </w:t>
      </w:r>
      <w:r w:rsidR="00B62569" w:rsidRPr="004343A0">
        <w:rPr>
          <w:sz w:val="20"/>
          <w:lang w:bidi="th-TH"/>
        </w:rPr>
        <w:t>From the attendees who v</w:t>
      </w:r>
      <w:r w:rsidR="001640E1" w:rsidRPr="004343A0">
        <w:rPr>
          <w:sz w:val="20"/>
          <w:lang w:bidi="th-TH"/>
        </w:rPr>
        <w:t>oluntarily gave information</w:t>
      </w:r>
      <w:r w:rsidR="00AA0999" w:rsidRPr="004343A0">
        <w:rPr>
          <w:sz w:val="20"/>
          <w:lang w:bidi="th-TH"/>
        </w:rPr>
        <w:t>,</w:t>
      </w:r>
      <w:r w:rsidR="001640E1" w:rsidRPr="004343A0">
        <w:rPr>
          <w:sz w:val="20"/>
          <w:lang w:bidi="th-TH"/>
        </w:rPr>
        <w:t xml:space="preserve"> </w:t>
      </w:r>
      <w:r w:rsidR="00B62569" w:rsidRPr="004343A0">
        <w:rPr>
          <w:sz w:val="20"/>
          <w:lang w:bidi="th-TH"/>
        </w:rPr>
        <w:t xml:space="preserve">it was illustrated that all </w:t>
      </w:r>
      <w:r w:rsidR="0005101F" w:rsidRPr="004343A0">
        <w:rPr>
          <w:sz w:val="20"/>
          <w:lang w:bidi="th-TH"/>
        </w:rPr>
        <w:t>age</w:t>
      </w:r>
      <w:r w:rsidR="003A31BE">
        <w:rPr>
          <w:sz w:val="20"/>
          <w:lang w:bidi="th-TH"/>
        </w:rPr>
        <w:t xml:space="preserve"> groups </w:t>
      </w:r>
      <w:r w:rsidR="00635B13" w:rsidRPr="004343A0">
        <w:rPr>
          <w:sz w:val="20"/>
          <w:lang w:bidi="th-TH"/>
        </w:rPr>
        <w:t>(542</w:t>
      </w:r>
      <w:r w:rsidR="00AA0999" w:rsidRPr="004343A0">
        <w:rPr>
          <w:sz w:val="20"/>
          <w:lang w:bidi="th-TH"/>
        </w:rPr>
        <w:t xml:space="preserve"> respondents</w:t>
      </w:r>
      <w:r w:rsidR="00635B13" w:rsidRPr="004343A0">
        <w:rPr>
          <w:sz w:val="20"/>
          <w:lang w:bidi="th-TH"/>
        </w:rPr>
        <w:t xml:space="preserve">) </w:t>
      </w:r>
      <w:r w:rsidR="0005101F" w:rsidRPr="004343A0">
        <w:rPr>
          <w:sz w:val="20"/>
          <w:lang w:bidi="th-TH"/>
        </w:rPr>
        <w:t xml:space="preserve">and wealth </w:t>
      </w:r>
      <w:r w:rsidR="003A31BE" w:rsidRPr="004343A0">
        <w:rPr>
          <w:sz w:val="20"/>
          <w:lang w:bidi="th-TH"/>
        </w:rPr>
        <w:t xml:space="preserve">segments </w:t>
      </w:r>
      <w:r w:rsidR="00635B13" w:rsidRPr="004343A0">
        <w:rPr>
          <w:sz w:val="20"/>
          <w:lang w:bidi="th-TH"/>
        </w:rPr>
        <w:t xml:space="preserve">(323 </w:t>
      </w:r>
      <w:r w:rsidR="00AA0999" w:rsidRPr="004343A0">
        <w:rPr>
          <w:sz w:val="20"/>
          <w:lang w:bidi="th-TH"/>
        </w:rPr>
        <w:t>respondents</w:t>
      </w:r>
      <w:r w:rsidR="00635B13" w:rsidRPr="004343A0">
        <w:rPr>
          <w:sz w:val="20"/>
          <w:lang w:bidi="th-TH"/>
        </w:rPr>
        <w:t xml:space="preserve">) </w:t>
      </w:r>
      <w:r w:rsidR="003A31BE">
        <w:rPr>
          <w:sz w:val="20"/>
          <w:lang w:bidi="th-TH"/>
        </w:rPr>
        <w:t>identified</w:t>
      </w:r>
      <w:r w:rsidR="003A31BE" w:rsidRPr="004343A0">
        <w:rPr>
          <w:sz w:val="20"/>
          <w:lang w:bidi="th-TH"/>
        </w:rPr>
        <w:t xml:space="preserve"> </w:t>
      </w:r>
      <w:r w:rsidR="0005101F" w:rsidRPr="004343A0">
        <w:rPr>
          <w:sz w:val="20"/>
          <w:lang w:bidi="th-TH"/>
        </w:rPr>
        <w:t>were covered by the engagement.</w:t>
      </w:r>
      <w:r w:rsidR="00B62569" w:rsidRPr="004343A0">
        <w:rPr>
          <w:sz w:val="20"/>
          <w:lang w:bidi="th-TH"/>
        </w:rPr>
        <w:t xml:space="preserve"> </w:t>
      </w:r>
      <w:r w:rsidR="00AA0999" w:rsidRPr="004343A0">
        <w:rPr>
          <w:sz w:val="20"/>
          <w:lang w:bidi="th-TH"/>
        </w:rPr>
        <w:t xml:space="preserve">The majority of the attendees were in the </w:t>
      </w:r>
      <w:r w:rsidR="00437BA9" w:rsidRPr="004343A0">
        <w:rPr>
          <w:sz w:val="20"/>
          <w:lang w:bidi="th-TH"/>
        </w:rPr>
        <w:t>65-85-age</w:t>
      </w:r>
      <w:r w:rsidR="00AA0999" w:rsidRPr="004343A0">
        <w:rPr>
          <w:sz w:val="20"/>
          <w:lang w:bidi="th-TH"/>
        </w:rPr>
        <w:t xml:space="preserve"> category </w:t>
      </w:r>
      <w:r w:rsidR="003661C9" w:rsidRPr="004343A0">
        <w:rPr>
          <w:sz w:val="20"/>
          <w:lang w:bidi="th-TH"/>
        </w:rPr>
        <w:t>(</w:t>
      </w:r>
      <w:r w:rsidR="00DB415C" w:rsidRPr="004343A0">
        <w:rPr>
          <w:sz w:val="20"/>
          <w:lang w:bidi="th-TH"/>
        </w:rPr>
        <w:t>Table 3</w:t>
      </w:r>
      <w:r w:rsidR="003661C9" w:rsidRPr="004343A0">
        <w:rPr>
          <w:sz w:val="20"/>
          <w:lang w:bidi="th-TH"/>
        </w:rPr>
        <w:t xml:space="preserve">) </w:t>
      </w:r>
      <w:r w:rsidR="00AA0999" w:rsidRPr="004343A0">
        <w:rPr>
          <w:sz w:val="20"/>
          <w:lang w:bidi="th-TH"/>
        </w:rPr>
        <w:t>and belonged to lower and upper non-manual wealth spectrums</w:t>
      </w:r>
      <w:r w:rsidR="003661C9" w:rsidRPr="004343A0">
        <w:rPr>
          <w:sz w:val="20"/>
          <w:lang w:bidi="th-TH"/>
        </w:rPr>
        <w:t xml:space="preserve"> (Figure </w:t>
      </w:r>
      <w:r w:rsidR="00DB415C" w:rsidRPr="004343A0">
        <w:rPr>
          <w:sz w:val="20"/>
          <w:lang w:bidi="th-TH"/>
        </w:rPr>
        <w:t>3</w:t>
      </w:r>
      <w:r w:rsidR="003661C9" w:rsidRPr="004343A0">
        <w:rPr>
          <w:sz w:val="20"/>
          <w:lang w:bidi="th-TH"/>
        </w:rPr>
        <w:t>)</w:t>
      </w:r>
      <w:r w:rsidR="00AA0999" w:rsidRPr="004343A0">
        <w:rPr>
          <w:sz w:val="20"/>
          <w:lang w:bidi="th-TH"/>
        </w:rPr>
        <w:t>. S</w:t>
      </w:r>
      <w:r w:rsidR="00635B13" w:rsidRPr="004343A0">
        <w:rPr>
          <w:sz w:val="20"/>
          <w:lang w:bidi="th-TH"/>
        </w:rPr>
        <w:t xml:space="preserve">ome respondents </w:t>
      </w:r>
      <w:r w:rsidR="00AA0999" w:rsidRPr="004343A0">
        <w:rPr>
          <w:sz w:val="20"/>
          <w:lang w:bidi="th-TH"/>
        </w:rPr>
        <w:t>stated</w:t>
      </w:r>
      <w:r w:rsidR="003A31BE">
        <w:rPr>
          <w:sz w:val="20"/>
          <w:lang w:bidi="th-TH"/>
        </w:rPr>
        <w:t xml:space="preserve"> ‘r</w:t>
      </w:r>
      <w:r w:rsidR="00635B13" w:rsidRPr="004343A0">
        <w:rPr>
          <w:sz w:val="20"/>
          <w:lang w:bidi="th-TH"/>
        </w:rPr>
        <w:t>etired</w:t>
      </w:r>
      <w:r w:rsidR="003661C9" w:rsidRPr="004343A0">
        <w:rPr>
          <w:sz w:val="20"/>
          <w:lang w:bidi="th-TH"/>
        </w:rPr>
        <w:t>’</w:t>
      </w:r>
      <w:r w:rsidR="00635B13" w:rsidRPr="004343A0">
        <w:rPr>
          <w:sz w:val="20"/>
          <w:lang w:bidi="th-TH"/>
        </w:rPr>
        <w:t xml:space="preserve"> </w:t>
      </w:r>
      <w:r w:rsidR="00AA0999" w:rsidRPr="004343A0">
        <w:rPr>
          <w:sz w:val="20"/>
          <w:lang w:bidi="th-TH"/>
        </w:rPr>
        <w:t>for previous/ current occupation</w:t>
      </w:r>
      <w:r w:rsidR="00635B13" w:rsidRPr="004343A0">
        <w:rPr>
          <w:sz w:val="20"/>
          <w:lang w:bidi="th-TH"/>
        </w:rPr>
        <w:t>.</w:t>
      </w:r>
    </w:p>
    <w:p w:rsidR="00AC1B50" w:rsidRPr="000B3F61" w:rsidRDefault="00AC1B50" w:rsidP="00633E83">
      <w:pPr>
        <w:spacing w:line="480" w:lineRule="auto"/>
        <w:jc w:val="both"/>
        <w:rPr>
          <w:rFonts w:cs="Arial"/>
          <w:sz w:val="20"/>
        </w:rPr>
      </w:pPr>
      <w:r w:rsidRPr="004343A0">
        <w:rPr>
          <w:rFonts w:cs="Arial"/>
          <w:sz w:val="20"/>
        </w:rPr>
        <w:t>As well as face to face engagement, articles in newsletters and publications aimed at the older community such as the Age Concern London “London Age” magazine were used to disseminate research information on sustainability issues to a further 15,050 people. The initiative included a project website and the publication of information leaflets that were distributed through Age Concern centres and libraries across London</w:t>
      </w:r>
      <w:r w:rsidR="000B3F61">
        <w:rPr>
          <w:rFonts w:cs="Arial"/>
          <w:sz w:val="20"/>
        </w:rPr>
        <w:t xml:space="preserve">. </w:t>
      </w:r>
      <w:r w:rsidRPr="004343A0">
        <w:rPr>
          <w:rFonts w:cs="Arial"/>
          <w:sz w:val="20"/>
        </w:rPr>
        <w:t xml:space="preserve">Through these varied methods a total of 17,720 people were engaged with. </w:t>
      </w:r>
      <w:r w:rsidR="009156D3" w:rsidRPr="004343A0">
        <w:rPr>
          <w:rFonts w:cs="Arial"/>
          <w:sz w:val="20"/>
          <w:szCs w:val="20"/>
        </w:rPr>
        <w:t xml:space="preserve">Table </w:t>
      </w:r>
      <w:r w:rsidR="00DB415C" w:rsidRPr="004343A0">
        <w:rPr>
          <w:rFonts w:cs="Arial"/>
          <w:sz w:val="20"/>
          <w:szCs w:val="20"/>
        </w:rPr>
        <w:t>4</w:t>
      </w:r>
      <w:r w:rsidR="009156D3" w:rsidRPr="004343A0">
        <w:rPr>
          <w:rFonts w:cs="Arial"/>
          <w:sz w:val="20"/>
          <w:szCs w:val="20"/>
        </w:rPr>
        <w:t xml:space="preserve"> illustrates the number of people engaged or reached through a variety of methods.</w:t>
      </w:r>
      <w:r w:rsidR="009156D3" w:rsidRPr="004343A0">
        <w:rPr>
          <w:sz w:val="20"/>
        </w:rPr>
        <w:t xml:space="preserve"> </w:t>
      </w:r>
      <w:r w:rsidRPr="004343A0">
        <w:rPr>
          <w:sz w:val="20"/>
        </w:rPr>
        <w:t>To conclude the project, a booklet of information and suggestions of sustainable actions was published and 3000 copies distributed among the elderly free of charge. Each booklet also contained a questionnaire to complete and return which measured the extent of the engagement and related behaviour change. The success of the engagement in stimulating behavioural change was measured through a questionnaire posed to 354 event attendees by post or telephone depending on the attendee’s preference. This follow-up engagement occurred at least 3 months after the initial contact and collected information on the sustainable actions taken by the attendees since the initial event.</w:t>
      </w:r>
      <w:r w:rsidR="0005101F" w:rsidRPr="004343A0">
        <w:rPr>
          <w:sz w:val="20"/>
        </w:rPr>
        <w:t xml:space="preserve"> </w:t>
      </w:r>
    </w:p>
    <w:p w:rsidR="002127CA" w:rsidRPr="004343A0" w:rsidRDefault="002127CA" w:rsidP="00633E83">
      <w:pPr>
        <w:spacing w:line="480" w:lineRule="auto"/>
        <w:jc w:val="both"/>
        <w:outlineLvl w:val="0"/>
        <w:rPr>
          <w:b/>
          <w:sz w:val="22"/>
        </w:rPr>
      </w:pPr>
    </w:p>
    <w:p w:rsidR="00175EFF" w:rsidRPr="004343A0" w:rsidRDefault="002127CA" w:rsidP="00633E83">
      <w:pPr>
        <w:spacing w:line="480" w:lineRule="auto"/>
        <w:jc w:val="both"/>
        <w:outlineLvl w:val="0"/>
        <w:rPr>
          <w:b/>
          <w:sz w:val="22"/>
        </w:rPr>
      </w:pPr>
      <w:r w:rsidRPr="004343A0">
        <w:rPr>
          <w:b/>
          <w:sz w:val="22"/>
        </w:rPr>
        <w:t>3</w:t>
      </w:r>
      <w:r w:rsidR="00BD1EE4" w:rsidRPr="004343A0">
        <w:rPr>
          <w:b/>
          <w:sz w:val="22"/>
        </w:rPr>
        <w:t>.2</w:t>
      </w:r>
      <w:r w:rsidR="00AC1B50" w:rsidRPr="004343A0">
        <w:rPr>
          <w:b/>
          <w:sz w:val="22"/>
        </w:rPr>
        <w:t>.1</w:t>
      </w:r>
      <w:r w:rsidR="00815BC5" w:rsidRPr="004343A0">
        <w:rPr>
          <w:b/>
          <w:sz w:val="22"/>
        </w:rPr>
        <w:t xml:space="preserve"> Presentations</w:t>
      </w:r>
    </w:p>
    <w:p w:rsidR="00D36481" w:rsidRPr="004343A0" w:rsidRDefault="00D36481" w:rsidP="00633E83">
      <w:pPr>
        <w:spacing w:line="480" w:lineRule="auto"/>
        <w:jc w:val="both"/>
        <w:rPr>
          <w:rFonts w:cs="Arial"/>
          <w:sz w:val="20"/>
          <w:szCs w:val="20"/>
        </w:rPr>
      </w:pPr>
      <w:r w:rsidRPr="004343A0">
        <w:rPr>
          <w:rFonts w:cs="Arial"/>
          <w:sz w:val="20"/>
          <w:szCs w:val="20"/>
        </w:rPr>
        <w:t xml:space="preserve">The focus group attendees showed an interest in a wide range of topics in the sustainability debate and a presentation was created to </w:t>
      </w:r>
      <w:r w:rsidR="00E77A0E" w:rsidRPr="004343A0">
        <w:rPr>
          <w:rFonts w:cs="Arial"/>
          <w:sz w:val="20"/>
          <w:szCs w:val="20"/>
        </w:rPr>
        <w:t>address these,</w:t>
      </w:r>
      <w:r w:rsidRPr="004343A0">
        <w:rPr>
          <w:rFonts w:cs="Arial"/>
          <w:sz w:val="20"/>
          <w:szCs w:val="20"/>
        </w:rPr>
        <w:t xml:space="preserve"> at least briefly. The same presentation was to be </w:t>
      </w:r>
      <w:r w:rsidR="00E77A0E" w:rsidRPr="004343A0">
        <w:rPr>
          <w:rFonts w:cs="Arial"/>
          <w:sz w:val="20"/>
          <w:szCs w:val="20"/>
        </w:rPr>
        <w:t>repeated to maintain</w:t>
      </w:r>
      <w:r w:rsidRPr="004343A0">
        <w:rPr>
          <w:rFonts w:cs="Arial"/>
          <w:sz w:val="20"/>
          <w:szCs w:val="20"/>
        </w:rPr>
        <w:t xml:space="preserve"> continu</w:t>
      </w:r>
      <w:r w:rsidR="00E77A0E" w:rsidRPr="004343A0">
        <w:rPr>
          <w:rFonts w:cs="Arial"/>
          <w:sz w:val="20"/>
          <w:szCs w:val="20"/>
        </w:rPr>
        <w:t xml:space="preserve">ity throughout the engagement. </w:t>
      </w:r>
      <w:r w:rsidRPr="004343A0">
        <w:rPr>
          <w:rFonts w:cs="Arial"/>
          <w:sz w:val="20"/>
          <w:szCs w:val="20"/>
        </w:rPr>
        <w:t xml:space="preserve">Attendees </w:t>
      </w:r>
      <w:r w:rsidR="00E77A0E" w:rsidRPr="004343A0">
        <w:rPr>
          <w:rFonts w:cs="Arial"/>
          <w:sz w:val="20"/>
          <w:szCs w:val="20"/>
        </w:rPr>
        <w:t>were</w:t>
      </w:r>
      <w:r w:rsidRPr="004343A0">
        <w:rPr>
          <w:rFonts w:cs="Arial"/>
          <w:sz w:val="20"/>
          <w:szCs w:val="20"/>
        </w:rPr>
        <w:t xml:space="preserve"> encouraged to ask questions during and after the talk allowing more time to be spent on the topics contained within the talk that were of interest to each individual group.  Notes were made on the topics on which questions </w:t>
      </w:r>
      <w:r w:rsidRPr="004343A0">
        <w:rPr>
          <w:rFonts w:cs="Arial"/>
          <w:sz w:val="20"/>
          <w:szCs w:val="20"/>
        </w:rPr>
        <w:lastRenderedPageBreak/>
        <w:t xml:space="preserve">were raised to gather further information of interest areas and opinions of the older community. A 30 minute </w:t>
      </w:r>
      <w:r w:rsidR="00E77A0E" w:rsidRPr="004343A0">
        <w:rPr>
          <w:rFonts w:cs="Arial"/>
          <w:sz w:val="20"/>
          <w:szCs w:val="20"/>
        </w:rPr>
        <w:t>presentation</w:t>
      </w:r>
      <w:r w:rsidRPr="004343A0">
        <w:rPr>
          <w:rFonts w:cs="Arial"/>
          <w:sz w:val="20"/>
          <w:szCs w:val="20"/>
        </w:rPr>
        <w:t xml:space="preserve"> was created starting with an explanation of sustainability as a concept linked into some basic information o</w:t>
      </w:r>
      <w:r w:rsidR="00E77A0E" w:rsidRPr="004343A0">
        <w:rPr>
          <w:rFonts w:cs="Arial"/>
          <w:sz w:val="20"/>
          <w:szCs w:val="20"/>
        </w:rPr>
        <w:t xml:space="preserve">n the subject of climate change. </w:t>
      </w:r>
      <w:r w:rsidRPr="004343A0">
        <w:rPr>
          <w:rFonts w:cs="Arial"/>
          <w:sz w:val="20"/>
          <w:szCs w:val="20"/>
        </w:rPr>
        <w:t>The talk furthered into more practical advice presented as suggestions for consideration or prompts for the attendees to adapt to their own lives. The energy saving and general lifestyle suggestions were small everyday actions that most people should be able to undertake such as using energy saving light bulbs and using pu</w:t>
      </w:r>
      <w:r w:rsidR="00DB415C" w:rsidRPr="004343A0">
        <w:rPr>
          <w:rFonts w:cs="Arial"/>
          <w:sz w:val="20"/>
          <w:szCs w:val="20"/>
        </w:rPr>
        <w:t xml:space="preserve">blic transport where possible. </w:t>
      </w:r>
      <w:r w:rsidRPr="004343A0">
        <w:rPr>
          <w:rFonts w:cs="Arial"/>
          <w:sz w:val="20"/>
          <w:szCs w:val="20"/>
        </w:rPr>
        <w:t>The home adaptation suggestions were larger, potentially more disruptive tips such as considering double-glazing and insulation to raise th</w:t>
      </w:r>
      <w:r w:rsidR="00E77A0E" w:rsidRPr="004343A0">
        <w:rPr>
          <w:rFonts w:cs="Arial"/>
          <w:sz w:val="20"/>
          <w:szCs w:val="20"/>
        </w:rPr>
        <w:t xml:space="preserve">e thermal comfort of the home. </w:t>
      </w:r>
      <w:r w:rsidRPr="004343A0">
        <w:rPr>
          <w:rFonts w:cs="Arial"/>
          <w:sz w:val="20"/>
          <w:szCs w:val="20"/>
        </w:rPr>
        <w:t>Information on the costs of these larger actions and grants to help in paying for these typ</w:t>
      </w:r>
      <w:r w:rsidR="00DB415C" w:rsidRPr="004343A0">
        <w:rPr>
          <w:rFonts w:cs="Arial"/>
          <w:sz w:val="20"/>
          <w:szCs w:val="20"/>
        </w:rPr>
        <w:t xml:space="preserve">es of works was also included. </w:t>
      </w:r>
      <w:r w:rsidRPr="004343A0">
        <w:rPr>
          <w:rFonts w:cs="Arial"/>
          <w:sz w:val="20"/>
          <w:szCs w:val="20"/>
        </w:rPr>
        <w:t xml:space="preserve">The talk was trialled </w:t>
      </w:r>
      <w:r w:rsidR="00E77A0E" w:rsidRPr="004343A0">
        <w:rPr>
          <w:rFonts w:cs="Arial"/>
          <w:sz w:val="20"/>
          <w:szCs w:val="20"/>
        </w:rPr>
        <w:t xml:space="preserve">to an audience of 45 people and the feedback included: some information already </w:t>
      </w:r>
      <w:r w:rsidR="00BD1EE4" w:rsidRPr="004343A0">
        <w:rPr>
          <w:rFonts w:cs="Arial"/>
          <w:sz w:val="20"/>
          <w:szCs w:val="20"/>
        </w:rPr>
        <w:t xml:space="preserve">known; information not relevant to </w:t>
      </w:r>
      <w:r w:rsidRPr="004343A0">
        <w:rPr>
          <w:rFonts w:cs="Arial"/>
          <w:sz w:val="20"/>
          <w:szCs w:val="20"/>
        </w:rPr>
        <w:t xml:space="preserve">sheltered accommodation </w:t>
      </w:r>
      <w:r w:rsidR="00BD1EE4" w:rsidRPr="004343A0">
        <w:rPr>
          <w:rFonts w:cs="Arial"/>
          <w:sz w:val="20"/>
          <w:szCs w:val="20"/>
        </w:rPr>
        <w:t xml:space="preserve">tenants </w:t>
      </w:r>
      <w:r w:rsidRPr="004343A0">
        <w:rPr>
          <w:rFonts w:cs="Arial"/>
          <w:sz w:val="20"/>
          <w:szCs w:val="20"/>
        </w:rPr>
        <w:t xml:space="preserve">having limited control </w:t>
      </w:r>
      <w:r w:rsidR="00BD1EE4" w:rsidRPr="004343A0">
        <w:rPr>
          <w:rFonts w:cs="Arial"/>
          <w:sz w:val="20"/>
          <w:szCs w:val="20"/>
        </w:rPr>
        <w:t xml:space="preserve">over the fabric of their home. </w:t>
      </w:r>
      <w:r w:rsidRPr="004343A0">
        <w:rPr>
          <w:rFonts w:cs="Arial"/>
          <w:sz w:val="20"/>
          <w:szCs w:val="20"/>
        </w:rPr>
        <w:t xml:space="preserve">The </w:t>
      </w:r>
      <w:r w:rsidR="00BD1EE4" w:rsidRPr="004343A0">
        <w:rPr>
          <w:rFonts w:cs="Arial"/>
          <w:sz w:val="20"/>
          <w:szCs w:val="20"/>
        </w:rPr>
        <w:t>master presentation was thus changed to suit the attendees in different venues</w:t>
      </w:r>
      <w:r w:rsidRPr="004343A0">
        <w:rPr>
          <w:rFonts w:cs="Arial"/>
          <w:sz w:val="20"/>
          <w:szCs w:val="20"/>
        </w:rPr>
        <w:t>. This format allowed the flexibility to give the same information to each group while also allowing the group to focus on the particular areas that they were interested in.</w:t>
      </w:r>
    </w:p>
    <w:p w:rsidR="005262BB" w:rsidRDefault="005262BB" w:rsidP="00633E83">
      <w:pPr>
        <w:spacing w:line="480" w:lineRule="auto"/>
        <w:jc w:val="both"/>
        <w:rPr>
          <w:sz w:val="20"/>
          <w:lang w:bidi="th-TH"/>
        </w:rPr>
      </w:pPr>
    </w:p>
    <w:p w:rsidR="0099049E" w:rsidRPr="004343A0" w:rsidRDefault="002127CA" w:rsidP="00633E83">
      <w:pPr>
        <w:spacing w:line="480" w:lineRule="auto"/>
        <w:jc w:val="both"/>
        <w:rPr>
          <w:rFonts w:cs="Arial"/>
          <w:b/>
          <w:sz w:val="22"/>
        </w:rPr>
      </w:pPr>
      <w:r w:rsidRPr="004343A0">
        <w:rPr>
          <w:b/>
          <w:sz w:val="22"/>
          <w:lang w:bidi="th-TH"/>
        </w:rPr>
        <w:t>3</w:t>
      </w:r>
      <w:r w:rsidR="003A2558" w:rsidRPr="004343A0">
        <w:rPr>
          <w:b/>
          <w:sz w:val="22"/>
          <w:lang w:bidi="th-TH"/>
        </w:rPr>
        <w:t>.2</w:t>
      </w:r>
      <w:r w:rsidR="0099049E" w:rsidRPr="004343A0">
        <w:rPr>
          <w:b/>
          <w:sz w:val="22"/>
          <w:lang w:bidi="th-TH"/>
        </w:rPr>
        <w:t>.</w:t>
      </w:r>
      <w:r w:rsidR="00AC1B50" w:rsidRPr="004343A0">
        <w:rPr>
          <w:b/>
          <w:sz w:val="22"/>
          <w:lang w:bidi="th-TH"/>
        </w:rPr>
        <w:t>2</w:t>
      </w:r>
      <w:r w:rsidR="0099049E" w:rsidRPr="004343A0">
        <w:rPr>
          <w:b/>
          <w:sz w:val="22"/>
          <w:lang w:bidi="th-TH"/>
        </w:rPr>
        <w:t xml:space="preserve"> </w:t>
      </w:r>
      <w:r w:rsidR="003661C9" w:rsidRPr="004343A0">
        <w:rPr>
          <w:rFonts w:cs="Arial"/>
          <w:b/>
          <w:sz w:val="22"/>
        </w:rPr>
        <w:t xml:space="preserve">information sessions/stands </w:t>
      </w:r>
    </w:p>
    <w:p w:rsidR="00CA7DCA" w:rsidRPr="004343A0" w:rsidRDefault="00D36481" w:rsidP="00633E83">
      <w:pPr>
        <w:spacing w:line="480" w:lineRule="auto"/>
        <w:jc w:val="both"/>
        <w:rPr>
          <w:rFonts w:cs="Arial"/>
          <w:sz w:val="20"/>
          <w:szCs w:val="20"/>
        </w:rPr>
      </w:pPr>
      <w:r w:rsidRPr="004343A0">
        <w:rPr>
          <w:sz w:val="20"/>
        </w:rPr>
        <w:t xml:space="preserve">The </w:t>
      </w:r>
      <w:r w:rsidR="003A2558" w:rsidRPr="004343A0">
        <w:rPr>
          <w:sz w:val="20"/>
        </w:rPr>
        <w:t>information</w:t>
      </w:r>
      <w:r w:rsidRPr="004343A0">
        <w:rPr>
          <w:sz w:val="20"/>
        </w:rPr>
        <w:t xml:space="preserve"> session format was utilised when groups were </w:t>
      </w:r>
      <w:r w:rsidR="00742145" w:rsidRPr="004343A0">
        <w:rPr>
          <w:sz w:val="20"/>
        </w:rPr>
        <w:t xml:space="preserve">not </w:t>
      </w:r>
      <w:r w:rsidRPr="004343A0">
        <w:rPr>
          <w:sz w:val="20"/>
        </w:rPr>
        <w:t>used to formal presentation</w:t>
      </w:r>
      <w:r w:rsidR="003A2558" w:rsidRPr="004343A0">
        <w:rPr>
          <w:sz w:val="20"/>
        </w:rPr>
        <w:t>s</w:t>
      </w:r>
      <w:r w:rsidRPr="004343A0">
        <w:rPr>
          <w:sz w:val="20"/>
        </w:rPr>
        <w:t xml:space="preserve"> or when </w:t>
      </w:r>
      <w:r w:rsidR="003A2558" w:rsidRPr="004343A0">
        <w:rPr>
          <w:sz w:val="20"/>
        </w:rPr>
        <w:t xml:space="preserve">already established </w:t>
      </w:r>
      <w:r w:rsidRPr="004343A0">
        <w:rPr>
          <w:sz w:val="20"/>
        </w:rPr>
        <w:t xml:space="preserve">groups </w:t>
      </w:r>
      <w:r w:rsidR="003A2558" w:rsidRPr="004343A0">
        <w:rPr>
          <w:sz w:val="20"/>
        </w:rPr>
        <w:t>met</w:t>
      </w:r>
      <w:r w:rsidRPr="004343A0">
        <w:rPr>
          <w:sz w:val="20"/>
        </w:rPr>
        <w:t xml:space="preserve"> to debate </w:t>
      </w:r>
      <w:r w:rsidR="003A2558" w:rsidRPr="004343A0">
        <w:rPr>
          <w:sz w:val="20"/>
        </w:rPr>
        <w:t>current affairs. In such</w:t>
      </w:r>
      <w:r w:rsidRPr="004343A0">
        <w:rPr>
          <w:sz w:val="20"/>
        </w:rPr>
        <w:t xml:space="preserve"> cases a short introduction to the topic was given and the discussion progress</w:t>
      </w:r>
      <w:r w:rsidR="003A2558" w:rsidRPr="004343A0">
        <w:rPr>
          <w:sz w:val="20"/>
        </w:rPr>
        <w:t>ed</w:t>
      </w:r>
      <w:r w:rsidRPr="004343A0">
        <w:rPr>
          <w:sz w:val="20"/>
        </w:rPr>
        <w:t xml:space="preserve"> around sustainability issues with answers to questions and addressing confusions. </w:t>
      </w:r>
      <w:r w:rsidR="003A2558" w:rsidRPr="004343A0">
        <w:rPr>
          <w:sz w:val="20"/>
        </w:rPr>
        <w:t>In t</w:t>
      </w:r>
      <w:r w:rsidRPr="004343A0">
        <w:rPr>
          <w:sz w:val="20"/>
        </w:rPr>
        <w:t>hese events the participants determine</w:t>
      </w:r>
      <w:r w:rsidR="003A2558" w:rsidRPr="004343A0">
        <w:rPr>
          <w:sz w:val="20"/>
        </w:rPr>
        <w:t>d</w:t>
      </w:r>
      <w:r w:rsidRPr="004343A0">
        <w:rPr>
          <w:sz w:val="20"/>
        </w:rPr>
        <w:t xml:space="preserve"> the content of the session themselves. </w:t>
      </w:r>
      <w:r w:rsidR="003A2558" w:rsidRPr="004343A0">
        <w:rPr>
          <w:rFonts w:cs="Arial"/>
          <w:sz w:val="20"/>
          <w:szCs w:val="20"/>
        </w:rPr>
        <w:t>Information stands were held at a variety of events where groups of older people were attending. A larger audience were reached in this manner and raised awareness of sustainability issues that might exist in their lives. Day centres, clubs, street fairs and health fairs were attended with a suite of free informative material.</w:t>
      </w:r>
    </w:p>
    <w:p w:rsidR="00D36481" w:rsidRPr="004343A0" w:rsidRDefault="00D36481" w:rsidP="00633E83">
      <w:pPr>
        <w:spacing w:line="480" w:lineRule="auto"/>
        <w:jc w:val="both"/>
        <w:rPr>
          <w:rFonts w:cs="Arial"/>
          <w:sz w:val="20"/>
          <w:szCs w:val="20"/>
        </w:rPr>
      </w:pPr>
    </w:p>
    <w:p w:rsidR="00895D8D" w:rsidRPr="004343A0" w:rsidRDefault="002127CA" w:rsidP="00633E83">
      <w:pPr>
        <w:spacing w:line="480" w:lineRule="auto"/>
        <w:jc w:val="both"/>
        <w:outlineLvl w:val="0"/>
        <w:rPr>
          <w:rFonts w:cs="Arial"/>
          <w:b/>
          <w:sz w:val="24"/>
          <w:szCs w:val="26"/>
        </w:rPr>
      </w:pPr>
      <w:r w:rsidRPr="004343A0">
        <w:rPr>
          <w:rFonts w:cs="Arial"/>
          <w:b/>
          <w:sz w:val="24"/>
          <w:szCs w:val="26"/>
        </w:rPr>
        <w:t>4</w:t>
      </w:r>
      <w:r w:rsidR="003A5F83" w:rsidRPr="004343A0">
        <w:rPr>
          <w:rFonts w:cs="Arial"/>
          <w:b/>
          <w:sz w:val="24"/>
          <w:szCs w:val="26"/>
        </w:rPr>
        <w:t xml:space="preserve">.0 </w:t>
      </w:r>
      <w:r w:rsidR="00895D8D" w:rsidRPr="004343A0">
        <w:rPr>
          <w:rFonts w:cs="Arial"/>
          <w:b/>
          <w:sz w:val="24"/>
          <w:szCs w:val="26"/>
        </w:rPr>
        <w:t>Feedback</w:t>
      </w:r>
      <w:r w:rsidR="00CA7DCA" w:rsidRPr="004343A0">
        <w:rPr>
          <w:rFonts w:cs="Arial"/>
          <w:b/>
          <w:sz w:val="24"/>
          <w:szCs w:val="26"/>
        </w:rPr>
        <w:t xml:space="preserve"> </w:t>
      </w:r>
      <w:r w:rsidR="000B0B19" w:rsidRPr="004343A0">
        <w:rPr>
          <w:rFonts w:cs="Arial"/>
          <w:b/>
          <w:sz w:val="24"/>
          <w:szCs w:val="26"/>
        </w:rPr>
        <w:t>in relation to</w:t>
      </w:r>
      <w:r w:rsidR="00895D8D" w:rsidRPr="004343A0">
        <w:rPr>
          <w:rFonts w:cs="Arial"/>
          <w:b/>
          <w:sz w:val="24"/>
          <w:szCs w:val="26"/>
        </w:rPr>
        <w:t xml:space="preserve"> </w:t>
      </w:r>
      <w:r w:rsidR="000B0B19" w:rsidRPr="004343A0">
        <w:rPr>
          <w:rFonts w:cs="Arial"/>
          <w:b/>
          <w:sz w:val="24"/>
          <w:szCs w:val="26"/>
        </w:rPr>
        <w:t>b</w:t>
      </w:r>
      <w:r w:rsidR="00C06D68" w:rsidRPr="004343A0">
        <w:rPr>
          <w:rFonts w:cs="Arial"/>
          <w:b/>
          <w:sz w:val="24"/>
          <w:szCs w:val="26"/>
        </w:rPr>
        <w:t>ehavioural change</w:t>
      </w:r>
    </w:p>
    <w:p w:rsidR="00895D8D" w:rsidRPr="004343A0" w:rsidRDefault="00895D8D" w:rsidP="00633E83">
      <w:pPr>
        <w:spacing w:line="480" w:lineRule="auto"/>
        <w:jc w:val="both"/>
        <w:rPr>
          <w:rFonts w:cs="Arial"/>
          <w:b/>
          <w:sz w:val="20"/>
          <w:szCs w:val="26"/>
          <w:u w:val="single"/>
        </w:rPr>
      </w:pPr>
      <w:r w:rsidRPr="004343A0">
        <w:rPr>
          <w:sz w:val="20"/>
        </w:rPr>
        <w:lastRenderedPageBreak/>
        <w:t>The success of the engagement in stimulating behavioural change was measured through a questionnaire posed to 354 event attendees by post or telephone depending on the attendee’s preference</w:t>
      </w:r>
      <w:r w:rsidR="00A638AD" w:rsidRPr="004343A0">
        <w:rPr>
          <w:sz w:val="20"/>
        </w:rPr>
        <w:t>. The</w:t>
      </w:r>
      <w:r w:rsidRPr="004343A0">
        <w:rPr>
          <w:sz w:val="20"/>
        </w:rPr>
        <w:t xml:space="preserve"> f</w:t>
      </w:r>
      <w:r w:rsidR="003A5F83" w:rsidRPr="004343A0">
        <w:rPr>
          <w:sz w:val="20"/>
        </w:rPr>
        <w:t xml:space="preserve">ollow-up </w:t>
      </w:r>
      <w:r w:rsidR="00A638AD" w:rsidRPr="004343A0">
        <w:rPr>
          <w:sz w:val="20"/>
        </w:rPr>
        <w:t>feedback process,</w:t>
      </w:r>
      <w:r w:rsidR="003A5F83" w:rsidRPr="004343A0">
        <w:rPr>
          <w:sz w:val="20"/>
        </w:rPr>
        <w:t xml:space="preserve"> </w:t>
      </w:r>
      <w:r w:rsidRPr="004343A0">
        <w:rPr>
          <w:sz w:val="20"/>
        </w:rPr>
        <w:t>3 months after the initial contact, collected information on the sustainable actions taken by the attendees since the initial event.</w:t>
      </w:r>
      <w:r w:rsidR="00C06D68" w:rsidRPr="004343A0">
        <w:rPr>
          <w:sz w:val="20"/>
        </w:rPr>
        <w:t xml:space="preserve"> This feedback, analysis and evaluation process ensured all behavioural changes </w:t>
      </w:r>
      <w:r w:rsidR="003A5F83" w:rsidRPr="004343A0">
        <w:rPr>
          <w:sz w:val="20"/>
        </w:rPr>
        <w:t>we</w:t>
      </w:r>
      <w:r w:rsidR="00C06D68" w:rsidRPr="004343A0">
        <w:rPr>
          <w:sz w:val="20"/>
        </w:rPr>
        <w:t>re captured in a systematic manner.</w:t>
      </w:r>
    </w:p>
    <w:p w:rsidR="00A638AD" w:rsidRPr="004343A0" w:rsidRDefault="00A638AD" w:rsidP="00633E83">
      <w:pPr>
        <w:spacing w:line="480" w:lineRule="auto"/>
        <w:jc w:val="both"/>
        <w:rPr>
          <w:rFonts w:cs="Arial"/>
          <w:b/>
          <w:sz w:val="20"/>
          <w:szCs w:val="26"/>
        </w:rPr>
      </w:pPr>
    </w:p>
    <w:p w:rsidR="005A69E4" w:rsidRPr="004343A0" w:rsidRDefault="002127CA" w:rsidP="00633E83">
      <w:pPr>
        <w:spacing w:line="480" w:lineRule="auto"/>
        <w:jc w:val="both"/>
        <w:outlineLvl w:val="0"/>
        <w:rPr>
          <w:rFonts w:cs="Arial"/>
          <w:b/>
          <w:sz w:val="22"/>
          <w:szCs w:val="26"/>
        </w:rPr>
      </w:pPr>
      <w:r w:rsidRPr="004343A0">
        <w:rPr>
          <w:rFonts w:cs="Arial"/>
          <w:b/>
          <w:sz w:val="22"/>
          <w:szCs w:val="26"/>
        </w:rPr>
        <w:t>4</w:t>
      </w:r>
      <w:r w:rsidR="009243B5" w:rsidRPr="004343A0">
        <w:rPr>
          <w:rFonts w:cs="Arial"/>
          <w:b/>
          <w:sz w:val="22"/>
          <w:szCs w:val="26"/>
        </w:rPr>
        <w:t>.</w:t>
      </w:r>
      <w:r w:rsidR="003A5F83" w:rsidRPr="004343A0">
        <w:rPr>
          <w:rFonts w:cs="Arial"/>
          <w:b/>
          <w:sz w:val="22"/>
          <w:szCs w:val="26"/>
        </w:rPr>
        <w:t xml:space="preserve">1 Feedback </w:t>
      </w:r>
      <w:r w:rsidR="002F4322" w:rsidRPr="004343A0">
        <w:rPr>
          <w:rFonts w:cs="Arial"/>
          <w:b/>
          <w:sz w:val="22"/>
          <w:szCs w:val="26"/>
        </w:rPr>
        <w:t>Analysis</w:t>
      </w:r>
    </w:p>
    <w:p w:rsidR="009243B5" w:rsidRPr="004343A0" w:rsidRDefault="005A69E4" w:rsidP="00633E83">
      <w:pPr>
        <w:spacing w:line="480" w:lineRule="auto"/>
        <w:jc w:val="both"/>
        <w:rPr>
          <w:rFonts w:cs="Arial"/>
          <w:sz w:val="20"/>
          <w:szCs w:val="20"/>
        </w:rPr>
      </w:pPr>
      <w:r w:rsidRPr="004343A0">
        <w:rPr>
          <w:rFonts w:cs="Arial"/>
          <w:sz w:val="20"/>
          <w:szCs w:val="20"/>
        </w:rPr>
        <w:t>A coding method was designed to analyse the questionnaire responses in a way that the impact of the engagement in terms of stimulating interest and actions in susta</w:t>
      </w:r>
      <w:r w:rsidR="003A5F83" w:rsidRPr="004343A0">
        <w:rPr>
          <w:rFonts w:cs="Arial"/>
          <w:sz w:val="20"/>
          <w:szCs w:val="20"/>
        </w:rPr>
        <w:t xml:space="preserve">inability could be quantified. </w:t>
      </w:r>
      <w:r w:rsidRPr="004343A0">
        <w:rPr>
          <w:rFonts w:cs="Arial"/>
          <w:sz w:val="20"/>
          <w:szCs w:val="20"/>
        </w:rPr>
        <w:t>Four categories of impact were chosen namely:  None = 0, Weak = 1, Strong = 2, Very Strong = 3</w:t>
      </w:r>
      <w:r w:rsidR="00A638AD" w:rsidRPr="004343A0">
        <w:rPr>
          <w:rFonts w:cs="Arial"/>
          <w:sz w:val="20"/>
          <w:szCs w:val="20"/>
        </w:rPr>
        <w:t xml:space="preserve">. </w:t>
      </w:r>
      <w:r w:rsidRPr="004343A0">
        <w:rPr>
          <w:rFonts w:cs="Arial"/>
          <w:sz w:val="20"/>
          <w:szCs w:val="20"/>
        </w:rPr>
        <w:t>The answers given to questions 1-5 on the feedback questionnaire were coded to place each respondent in one of the four categories for each question</w:t>
      </w:r>
      <w:r w:rsidR="00A638AD" w:rsidRPr="004343A0">
        <w:rPr>
          <w:rFonts w:cs="Arial"/>
          <w:sz w:val="20"/>
          <w:szCs w:val="20"/>
        </w:rPr>
        <w:t xml:space="preserve"> (Table </w:t>
      </w:r>
      <w:r w:rsidR="00742145" w:rsidRPr="004343A0">
        <w:rPr>
          <w:rFonts w:cs="Arial"/>
          <w:sz w:val="20"/>
          <w:szCs w:val="20"/>
        </w:rPr>
        <w:t>5</w:t>
      </w:r>
      <w:r w:rsidR="00A638AD" w:rsidRPr="004343A0">
        <w:rPr>
          <w:rFonts w:cs="Arial"/>
          <w:sz w:val="20"/>
          <w:szCs w:val="20"/>
        </w:rPr>
        <w:t>)</w:t>
      </w:r>
      <w:r w:rsidRPr="004343A0">
        <w:rPr>
          <w:rFonts w:cs="Arial"/>
          <w:sz w:val="20"/>
          <w:szCs w:val="20"/>
        </w:rPr>
        <w:t>. If a respondent fell between two categories, the lower impact option was chosen.</w:t>
      </w:r>
    </w:p>
    <w:p w:rsidR="00895D8D" w:rsidRPr="004343A0" w:rsidRDefault="00895D8D" w:rsidP="00633E83">
      <w:pPr>
        <w:spacing w:line="480" w:lineRule="auto"/>
        <w:jc w:val="both"/>
        <w:rPr>
          <w:rFonts w:cs="Arial"/>
          <w:sz w:val="20"/>
          <w:szCs w:val="20"/>
        </w:rPr>
      </w:pPr>
      <w:r w:rsidRPr="004343A0">
        <w:rPr>
          <w:rFonts w:cs="Arial"/>
          <w:sz w:val="20"/>
          <w:szCs w:val="20"/>
        </w:rPr>
        <w:t xml:space="preserve">The numeric values of each category for each respondent </w:t>
      </w:r>
      <w:r w:rsidR="005A69E4" w:rsidRPr="004343A0">
        <w:rPr>
          <w:rFonts w:cs="Arial"/>
          <w:sz w:val="20"/>
          <w:szCs w:val="20"/>
        </w:rPr>
        <w:t>were</w:t>
      </w:r>
      <w:r w:rsidRPr="004343A0">
        <w:rPr>
          <w:rFonts w:cs="Arial"/>
          <w:sz w:val="20"/>
          <w:szCs w:val="20"/>
        </w:rPr>
        <w:t xml:space="preserve"> summed to create the final impact coding value</w:t>
      </w:r>
      <w:r w:rsidR="005A69E4" w:rsidRPr="004343A0">
        <w:rPr>
          <w:rFonts w:cs="Arial"/>
          <w:sz w:val="20"/>
          <w:szCs w:val="20"/>
        </w:rPr>
        <w:t>.  The final coding categories we</w:t>
      </w:r>
      <w:r w:rsidR="00437BA9" w:rsidRPr="004343A0">
        <w:rPr>
          <w:rFonts w:cs="Arial"/>
          <w:sz w:val="20"/>
          <w:szCs w:val="20"/>
        </w:rPr>
        <w:t xml:space="preserve">re: </w:t>
      </w:r>
      <w:r w:rsidRPr="004343A0">
        <w:rPr>
          <w:rFonts w:cs="Arial"/>
          <w:sz w:val="20"/>
          <w:szCs w:val="20"/>
        </w:rPr>
        <w:t>None = 0-2</w:t>
      </w:r>
      <w:r w:rsidR="009243B5" w:rsidRPr="004343A0">
        <w:rPr>
          <w:rFonts w:cs="Arial"/>
          <w:sz w:val="20"/>
          <w:szCs w:val="20"/>
        </w:rPr>
        <w:t xml:space="preserve">, </w:t>
      </w:r>
      <w:r w:rsidRPr="004343A0">
        <w:rPr>
          <w:rFonts w:cs="Arial"/>
          <w:sz w:val="20"/>
          <w:szCs w:val="20"/>
        </w:rPr>
        <w:t>Weak = 3-5</w:t>
      </w:r>
      <w:r w:rsidR="009243B5" w:rsidRPr="004343A0">
        <w:rPr>
          <w:rFonts w:cs="Arial"/>
          <w:sz w:val="20"/>
          <w:szCs w:val="20"/>
        </w:rPr>
        <w:t xml:space="preserve">, </w:t>
      </w:r>
      <w:r w:rsidRPr="004343A0">
        <w:rPr>
          <w:rFonts w:cs="Arial"/>
          <w:sz w:val="20"/>
          <w:szCs w:val="20"/>
        </w:rPr>
        <w:t>Strong = 6-8</w:t>
      </w:r>
      <w:r w:rsidR="009243B5" w:rsidRPr="004343A0">
        <w:rPr>
          <w:rFonts w:cs="Arial"/>
          <w:sz w:val="20"/>
          <w:szCs w:val="20"/>
        </w:rPr>
        <w:t xml:space="preserve">, </w:t>
      </w:r>
      <w:r w:rsidRPr="004343A0">
        <w:rPr>
          <w:rFonts w:cs="Arial"/>
          <w:sz w:val="20"/>
          <w:szCs w:val="20"/>
        </w:rPr>
        <w:t>Very Strong = 9-12</w:t>
      </w:r>
      <w:r w:rsidR="009243B5" w:rsidRPr="004343A0">
        <w:rPr>
          <w:rFonts w:cs="Arial"/>
          <w:sz w:val="20"/>
          <w:szCs w:val="20"/>
        </w:rPr>
        <w:t xml:space="preserve">. </w:t>
      </w:r>
      <w:r w:rsidRPr="004343A0">
        <w:rPr>
          <w:rFonts w:cs="Arial"/>
          <w:sz w:val="20"/>
          <w:szCs w:val="20"/>
        </w:rPr>
        <w:t xml:space="preserve">Percentages of respondents that fall into each category </w:t>
      </w:r>
      <w:r w:rsidR="00D65E2D" w:rsidRPr="004343A0">
        <w:rPr>
          <w:rFonts w:cs="Arial"/>
          <w:sz w:val="20"/>
          <w:szCs w:val="20"/>
        </w:rPr>
        <w:t>were</w:t>
      </w:r>
      <w:r w:rsidRPr="004343A0">
        <w:rPr>
          <w:rFonts w:cs="Arial"/>
          <w:sz w:val="20"/>
          <w:szCs w:val="20"/>
        </w:rPr>
        <w:t xml:space="preserve"> calculated </w:t>
      </w:r>
      <w:r w:rsidR="00C06D68" w:rsidRPr="004343A0">
        <w:rPr>
          <w:rFonts w:cs="Arial"/>
          <w:sz w:val="20"/>
          <w:szCs w:val="20"/>
        </w:rPr>
        <w:t>according this coding.</w:t>
      </w:r>
      <w:r w:rsidR="00CA7DCA" w:rsidRPr="004343A0">
        <w:rPr>
          <w:rFonts w:cs="Arial"/>
          <w:sz w:val="20"/>
          <w:szCs w:val="20"/>
        </w:rPr>
        <w:t xml:space="preserve"> The results show that it is mainly the </w:t>
      </w:r>
      <w:r w:rsidR="00437BA9" w:rsidRPr="004343A0">
        <w:rPr>
          <w:rFonts w:cs="Arial"/>
          <w:sz w:val="20"/>
          <w:szCs w:val="20"/>
        </w:rPr>
        <w:t>65-85</w:t>
      </w:r>
      <w:r w:rsidR="005540D3" w:rsidRPr="004343A0">
        <w:rPr>
          <w:rFonts w:cs="Arial"/>
          <w:sz w:val="20"/>
          <w:szCs w:val="20"/>
        </w:rPr>
        <w:t xml:space="preserve"> </w:t>
      </w:r>
      <w:r w:rsidR="00437BA9" w:rsidRPr="004343A0">
        <w:rPr>
          <w:rFonts w:cs="Arial"/>
          <w:sz w:val="20"/>
          <w:szCs w:val="20"/>
        </w:rPr>
        <w:t>age</w:t>
      </w:r>
      <w:r w:rsidR="00CA7DCA" w:rsidRPr="004343A0">
        <w:rPr>
          <w:rFonts w:cs="Arial"/>
          <w:sz w:val="20"/>
          <w:szCs w:val="20"/>
        </w:rPr>
        <w:t xml:space="preserve"> category</w:t>
      </w:r>
      <w:r w:rsidR="002F4322" w:rsidRPr="004343A0">
        <w:rPr>
          <w:rFonts w:cs="Arial"/>
          <w:sz w:val="20"/>
          <w:szCs w:val="20"/>
        </w:rPr>
        <w:t xml:space="preserve">, a </w:t>
      </w:r>
      <w:r w:rsidR="00203824">
        <w:rPr>
          <w:rFonts w:cs="Arial"/>
          <w:sz w:val="20"/>
          <w:szCs w:val="20"/>
        </w:rPr>
        <w:t>combined middle segment of the younger old (&gt;75) and the older o</w:t>
      </w:r>
      <w:r w:rsidR="002F4322" w:rsidRPr="004343A0">
        <w:rPr>
          <w:rFonts w:cs="Arial"/>
          <w:sz w:val="20"/>
          <w:szCs w:val="20"/>
        </w:rPr>
        <w:t>ld (&lt;75</w:t>
      </w:r>
      <w:r w:rsidR="00437BA9" w:rsidRPr="004343A0">
        <w:rPr>
          <w:rFonts w:cs="Arial"/>
          <w:sz w:val="20"/>
          <w:szCs w:val="20"/>
        </w:rPr>
        <w:t>) that</w:t>
      </w:r>
      <w:r w:rsidR="00CA7DCA" w:rsidRPr="004343A0">
        <w:rPr>
          <w:rFonts w:cs="Arial"/>
          <w:sz w:val="20"/>
          <w:szCs w:val="20"/>
        </w:rPr>
        <w:t xml:space="preserve"> has responded</w:t>
      </w:r>
      <w:r w:rsidR="002F4322" w:rsidRPr="004343A0">
        <w:rPr>
          <w:rFonts w:cs="Arial"/>
          <w:sz w:val="20"/>
          <w:szCs w:val="20"/>
        </w:rPr>
        <w:t xml:space="preserve"> to the engagement and taken actions or changed behaviour</w:t>
      </w:r>
      <w:r w:rsidR="00203824">
        <w:rPr>
          <w:rFonts w:cs="Arial"/>
          <w:sz w:val="20"/>
          <w:szCs w:val="20"/>
        </w:rPr>
        <w:t>. From these two segments, the younger o</w:t>
      </w:r>
      <w:r w:rsidR="002F4322" w:rsidRPr="004343A0">
        <w:rPr>
          <w:rFonts w:cs="Arial"/>
          <w:sz w:val="20"/>
          <w:szCs w:val="20"/>
        </w:rPr>
        <w:t>ld have responded in a positive manner making substantial changes couple</w:t>
      </w:r>
      <w:r w:rsidR="00754FE0" w:rsidRPr="004343A0">
        <w:rPr>
          <w:rFonts w:cs="Arial"/>
          <w:sz w:val="20"/>
          <w:szCs w:val="20"/>
        </w:rPr>
        <w:t>d</w:t>
      </w:r>
      <w:r w:rsidR="002F4322" w:rsidRPr="004343A0">
        <w:rPr>
          <w:rFonts w:cs="Arial"/>
          <w:sz w:val="20"/>
          <w:szCs w:val="20"/>
        </w:rPr>
        <w:t xml:space="preserve"> with behavioural changes</w:t>
      </w:r>
      <w:r w:rsidR="0094002E" w:rsidRPr="004343A0">
        <w:rPr>
          <w:rFonts w:cs="Arial"/>
          <w:sz w:val="20"/>
          <w:szCs w:val="20"/>
        </w:rPr>
        <w:t xml:space="preserve"> (Figure </w:t>
      </w:r>
      <w:r w:rsidR="00927F14" w:rsidRPr="004343A0">
        <w:rPr>
          <w:rFonts w:cs="Arial"/>
          <w:sz w:val="20"/>
          <w:szCs w:val="20"/>
        </w:rPr>
        <w:t>4</w:t>
      </w:r>
      <w:r w:rsidR="0094002E" w:rsidRPr="004343A0">
        <w:rPr>
          <w:rFonts w:cs="Arial"/>
          <w:sz w:val="20"/>
          <w:szCs w:val="20"/>
        </w:rPr>
        <w:t>)</w:t>
      </w:r>
      <w:r w:rsidR="002F4322" w:rsidRPr="004343A0">
        <w:rPr>
          <w:rFonts w:cs="Arial"/>
          <w:sz w:val="20"/>
          <w:szCs w:val="20"/>
        </w:rPr>
        <w:t>.</w:t>
      </w:r>
    </w:p>
    <w:p w:rsidR="009803A2" w:rsidRPr="004343A0" w:rsidRDefault="002F4322" w:rsidP="009803A2">
      <w:pPr>
        <w:spacing w:line="480" w:lineRule="auto"/>
        <w:jc w:val="both"/>
        <w:rPr>
          <w:rFonts w:cs="Arial"/>
          <w:sz w:val="20"/>
          <w:szCs w:val="20"/>
        </w:rPr>
      </w:pPr>
      <w:r w:rsidRPr="004343A0">
        <w:rPr>
          <w:rFonts w:cs="Arial"/>
          <w:sz w:val="20"/>
          <w:szCs w:val="20"/>
        </w:rPr>
        <w:t xml:space="preserve">The feedback results </w:t>
      </w:r>
      <w:r w:rsidR="0094002E" w:rsidRPr="004343A0">
        <w:rPr>
          <w:rFonts w:cs="Arial"/>
          <w:sz w:val="20"/>
          <w:szCs w:val="20"/>
        </w:rPr>
        <w:t xml:space="preserve">(Table </w:t>
      </w:r>
      <w:r w:rsidR="005540D3" w:rsidRPr="004343A0">
        <w:rPr>
          <w:rFonts w:cs="Arial"/>
          <w:sz w:val="20"/>
          <w:szCs w:val="20"/>
        </w:rPr>
        <w:t>6</w:t>
      </w:r>
      <w:r w:rsidR="0094002E" w:rsidRPr="004343A0">
        <w:rPr>
          <w:rFonts w:cs="Arial"/>
          <w:sz w:val="20"/>
          <w:szCs w:val="20"/>
        </w:rPr>
        <w:t xml:space="preserve">) </w:t>
      </w:r>
      <w:r w:rsidRPr="004343A0">
        <w:rPr>
          <w:rFonts w:cs="Arial"/>
          <w:sz w:val="20"/>
          <w:szCs w:val="20"/>
        </w:rPr>
        <w:t>illustrate that the awareness of sustainability has increased since the event attendance and actions have been taken in relation to this awareness.</w:t>
      </w:r>
      <w:r w:rsidR="005540D3" w:rsidRPr="004343A0">
        <w:rPr>
          <w:rFonts w:cs="Arial"/>
          <w:sz w:val="20"/>
          <w:szCs w:val="20"/>
        </w:rPr>
        <w:t xml:space="preserve"> </w:t>
      </w:r>
      <w:r w:rsidR="009803A2">
        <w:rPr>
          <w:rFonts w:eastAsiaTheme="minorHAnsi" w:cstheme="minorBidi"/>
          <w:sz w:val="20"/>
          <w:lang w:val="en-US"/>
        </w:rPr>
        <w:t>Some</w:t>
      </w:r>
      <w:r w:rsidR="009803A2" w:rsidRPr="004343A0">
        <w:rPr>
          <w:rFonts w:eastAsiaTheme="minorHAnsi" w:cstheme="minorBidi"/>
          <w:sz w:val="20"/>
          <w:lang w:val="en-US"/>
        </w:rPr>
        <w:t xml:space="preserve"> made change</w:t>
      </w:r>
      <w:r w:rsidR="009803A2">
        <w:rPr>
          <w:rFonts w:eastAsiaTheme="minorHAnsi" w:cstheme="minorBidi"/>
          <w:sz w:val="20"/>
          <w:lang w:val="en-US"/>
        </w:rPr>
        <w:t>s</w:t>
      </w:r>
      <w:r w:rsidR="009803A2" w:rsidRPr="004343A0">
        <w:rPr>
          <w:rFonts w:eastAsiaTheme="minorHAnsi" w:cstheme="minorBidi"/>
          <w:sz w:val="20"/>
          <w:lang w:val="en-US"/>
        </w:rPr>
        <w:t xml:space="preserve"> in t</w:t>
      </w:r>
      <w:r w:rsidR="009803A2">
        <w:rPr>
          <w:rFonts w:eastAsiaTheme="minorHAnsi" w:cstheme="minorBidi"/>
          <w:sz w:val="20"/>
          <w:lang w:val="en-US"/>
        </w:rPr>
        <w:t>heir lives since attending the</w:t>
      </w:r>
      <w:r w:rsidR="009803A2" w:rsidRPr="004343A0">
        <w:rPr>
          <w:rFonts w:eastAsiaTheme="minorHAnsi" w:cstheme="minorBidi"/>
          <w:sz w:val="20"/>
          <w:lang w:val="en-US"/>
        </w:rPr>
        <w:t xml:space="preserve"> event</w:t>
      </w:r>
      <w:r w:rsidR="009803A2">
        <w:rPr>
          <w:rFonts w:eastAsiaTheme="minorHAnsi" w:cstheme="minorBidi"/>
          <w:sz w:val="20"/>
          <w:lang w:val="en-US"/>
        </w:rPr>
        <w:t>s</w:t>
      </w:r>
      <w:r w:rsidR="009803A2" w:rsidRPr="004343A0">
        <w:rPr>
          <w:rFonts w:eastAsiaTheme="minorHAnsi" w:cstheme="minorBidi"/>
          <w:sz w:val="20"/>
          <w:lang w:val="en-US"/>
        </w:rPr>
        <w:t xml:space="preserve">, </w:t>
      </w:r>
      <w:r w:rsidR="009803A2">
        <w:rPr>
          <w:rFonts w:eastAsiaTheme="minorHAnsi" w:cstheme="minorBidi"/>
          <w:sz w:val="20"/>
          <w:lang w:val="en-US"/>
        </w:rPr>
        <w:t>some</w:t>
      </w:r>
      <w:r w:rsidR="009803A2" w:rsidRPr="004343A0">
        <w:rPr>
          <w:rFonts w:eastAsiaTheme="minorHAnsi" w:cstheme="minorBidi"/>
          <w:sz w:val="20"/>
          <w:lang w:val="en-US"/>
        </w:rPr>
        <w:t xml:space="preserve"> were planning to change something specific in the future, </w:t>
      </w:r>
      <w:r w:rsidR="009803A2">
        <w:rPr>
          <w:rFonts w:eastAsiaTheme="minorHAnsi" w:cstheme="minorBidi"/>
          <w:sz w:val="20"/>
          <w:lang w:val="en-US"/>
        </w:rPr>
        <w:t>some</w:t>
      </w:r>
      <w:r w:rsidR="009803A2" w:rsidRPr="004343A0">
        <w:rPr>
          <w:rFonts w:eastAsiaTheme="minorHAnsi" w:cstheme="minorBidi"/>
          <w:sz w:val="20"/>
          <w:lang w:val="en-US"/>
        </w:rPr>
        <w:t xml:space="preserve"> had encouraged </w:t>
      </w:r>
      <w:r w:rsidR="009803A2">
        <w:rPr>
          <w:rFonts w:eastAsiaTheme="minorHAnsi" w:cstheme="minorBidi"/>
          <w:sz w:val="20"/>
          <w:lang w:val="en-US"/>
        </w:rPr>
        <w:t xml:space="preserve">others </w:t>
      </w:r>
      <w:r w:rsidR="009803A2" w:rsidRPr="004343A0">
        <w:rPr>
          <w:rFonts w:eastAsiaTheme="minorHAnsi" w:cstheme="minorBidi"/>
          <w:sz w:val="20"/>
          <w:lang w:val="en-US"/>
        </w:rPr>
        <w:t>to make a change in their lives to be more sustainable and 62% of the people encouraged definitely made the change suggested.</w:t>
      </w:r>
    </w:p>
    <w:p w:rsidR="002F4322" w:rsidRPr="004343A0" w:rsidRDefault="006938BD" w:rsidP="00633E83">
      <w:pPr>
        <w:spacing w:line="480" w:lineRule="auto"/>
        <w:jc w:val="both"/>
        <w:rPr>
          <w:rFonts w:cs="Arial"/>
          <w:bCs/>
          <w:noProof/>
          <w:sz w:val="20"/>
          <w:szCs w:val="20"/>
        </w:rPr>
      </w:pPr>
      <w:r w:rsidRPr="004343A0">
        <w:rPr>
          <w:rFonts w:cs="Arial"/>
          <w:sz w:val="20"/>
          <w:szCs w:val="20"/>
        </w:rPr>
        <w:lastRenderedPageBreak/>
        <w:t xml:space="preserve">The individuals actions taken </w:t>
      </w:r>
      <w:r w:rsidR="0094002E" w:rsidRPr="004343A0">
        <w:rPr>
          <w:rFonts w:cs="Arial"/>
          <w:sz w:val="20"/>
          <w:szCs w:val="20"/>
        </w:rPr>
        <w:t xml:space="preserve">(Figure </w:t>
      </w:r>
      <w:r w:rsidR="00927F14" w:rsidRPr="004343A0">
        <w:rPr>
          <w:rFonts w:cs="Arial"/>
          <w:sz w:val="20"/>
          <w:szCs w:val="20"/>
        </w:rPr>
        <w:t>5</w:t>
      </w:r>
      <w:r w:rsidR="0094002E" w:rsidRPr="004343A0">
        <w:rPr>
          <w:rFonts w:cs="Arial"/>
          <w:sz w:val="20"/>
          <w:szCs w:val="20"/>
        </w:rPr>
        <w:t xml:space="preserve">) </w:t>
      </w:r>
      <w:r w:rsidRPr="004343A0">
        <w:rPr>
          <w:rFonts w:cs="Arial"/>
          <w:sz w:val="20"/>
          <w:szCs w:val="20"/>
        </w:rPr>
        <w:t>show that energy saving and reducing wastage were the most common actions</w:t>
      </w:r>
      <w:r w:rsidR="00A97E34" w:rsidRPr="004343A0">
        <w:rPr>
          <w:rFonts w:cs="Arial"/>
          <w:sz w:val="20"/>
          <w:szCs w:val="20"/>
        </w:rPr>
        <w:t xml:space="preserve"> taken by the event attendees. The pattern of </w:t>
      </w:r>
      <w:r w:rsidR="005540D3" w:rsidRPr="004343A0">
        <w:rPr>
          <w:rFonts w:cs="Arial"/>
          <w:sz w:val="20"/>
          <w:szCs w:val="20"/>
        </w:rPr>
        <w:t>‘</w:t>
      </w:r>
      <w:r w:rsidR="00A97E34" w:rsidRPr="004343A0">
        <w:rPr>
          <w:rFonts w:cs="Arial"/>
          <w:sz w:val="20"/>
          <w:szCs w:val="20"/>
        </w:rPr>
        <w:t xml:space="preserve">65-85 </w:t>
      </w:r>
      <w:r w:rsidR="009156D3" w:rsidRPr="004343A0">
        <w:rPr>
          <w:rFonts w:cs="Arial"/>
          <w:sz w:val="20"/>
          <w:szCs w:val="20"/>
        </w:rPr>
        <w:t xml:space="preserve">age </w:t>
      </w:r>
      <w:r w:rsidR="00A97E34" w:rsidRPr="004343A0">
        <w:rPr>
          <w:rFonts w:cs="Arial"/>
          <w:sz w:val="20"/>
          <w:szCs w:val="20"/>
        </w:rPr>
        <w:t>group being the most pro-active</w:t>
      </w:r>
      <w:r w:rsidR="005540D3" w:rsidRPr="004343A0">
        <w:rPr>
          <w:rFonts w:cs="Arial"/>
          <w:sz w:val="20"/>
          <w:szCs w:val="20"/>
        </w:rPr>
        <w:t>’</w:t>
      </w:r>
      <w:r w:rsidR="00A97E34" w:rsidRPr="004343A0">
        <w:rPr>
          <w:rFonts w:cs="Arial"/>
          <w:sz w:val="20"/>
          <w:szCs w:val="20"/>
        </w:rPr>
        <w:t xml:space="preserve"> is again repeated</w:t>
      </w:r>
      <w:r w:rsidR="00064028" w:rsidRPr="004343A0">
        <w:rPr>
          <w:rFonts w:cs="Arial"/>
          <w:sz w:val="20"/>
          <w:szCs w:val="20"/>
        </w:rPr>
        <w:t xml:space="preserve"> and most popular actions (saving electricity and water etc.) </w:t>
      </w:r>
      <w:r w:rsidR="00A97E34" w:rsidRPr="004343A0">
        <w:rPr>
          <w:rFonts w:cs="Arial"/>
          <w:sz w:val="20"/>
          <w:szCs w:val="20"/>
        </w:rPr>
        <w:t xml:space="preserve">are </w:t>
      </w:r>
      <w:r w:rsidR="00064028" w:rsidRPr="004343A0">
        <w:rPr>
          <w:rFonts w:cs="Arial"/>
          <w:sz w:val="20"/>
          <w:szCs w:val="20"/>
        </w:rPr>
        <w:t>always money savers.</w:t>
      </w:r>
      <w:r w:rsidR="009156D3" w:rsidRPr="004343A0">
        <w:rPr>
          <w:rFonts w:eastAsiaTheme="minorHAnsi" w:cstheme="minorBidi"/>
          <w:sz w:val="20"/>
          <w:lang w:val="en-US"/>
        </w:rPr>
        <w:t xml:space="preserve"> </w:t>
      </w:r>
      <w:r w:rsidR="00F26E86" w:rsidRPr="004343A0">
        <w:rPr>
          <w:rFonts w:cs="Arial"/>
          <w:sz w:val="20"/>
          <w:szCs w:val="20"/>
        </w:rPr>
        <w:t>The same coding method was implemented to assign o</w:t>
      </w:r>
      <w:r w:rsidR="006A311A" w:rsidRPr="004343A0">
        <w:rPr>
          <w:rFonts w:cs="Arial"/>
          <w:sz w:val="20"/>
          <w:szCs w:val="20"/>
        </w:rPr>
        <w:t>verall impact value</w:t>
      </w:r>
      <w:r w:rsidR="00F26E86" w:rsidRPr="004343A0">
        <w:rPr>
          <w:rFonts w:cs="Arial"/>
          <w:sz w:val="20"/>
          <w:szCs w:val="20"/>
        </w:rPr>
        <w:t xml:space="preserve">s </w:t>
      </w:r>
      <w:r w:rsidR="006A311A" w:rsidRPr="004343A0">
        <w:rPr>
          <w:rFonts w:cs="Arial"/>
          <w:sz w:val="20"/>
          <w:szCs w:val="20"/>
        </w:rPr>
        <w:t>to each complete</w:t>
      </w:r>
      <w:r w:rsidR="00F26E86" w:rsidRPr="004343A0">
        <w:rPr>
          <w:rFonts w:cs="Arial"/>
          <w:sz w:val="20"/>
          <w:szCs w:val="20"/>
        </w:rPr>
        <w:t>d</w:t>
      </w:r>
      <w:r w:rsidR="006A311A" w:rsidRPr="004343A0">
        <w:rPr>
          <w:rFonts w:cs="Arial"/>
          <w:sz w:val="20"/>
          <w:szCs w:val="20"/>
        </w:rPr>
        <w:t xml:space="preserve"> questionnaire response</w:t>
      </w:r>
      <w:r w:rsidR="00F26E86" w:rsidRPr="004343A0">
        <w:rPr>
          <w:rFonts w:cs="Arial"/>
          <w:sz w:val="20"/>
          <w:szCs w:val="20"/>
        </w:rPr>
        <w:t>.</w:t>
      </w:r>
      <w:r w:rsidR="002F4322" w:rsidRPr="004343A0">
        <w:rPr>
          <w:rFonts w:cs="Arial"/>
          <w:sz w:val="20"/>
          <w:szCs w:val="20"/>
        </w:rPr>
        <w:t xml:space="preserve"> </w:t>
      </w:r>
      <w:r w:rsidR="002F4322" w:rsidRPr="004343A0">
        <w:rPr>
          <w:rFonts w:cs="Arial"/>
          <w:bCs/>
          <w:noProof/>
          <w:sz w:val="20"/>
          <w:szCs w:val="20"/>
        </w:rPr>
        <w:t>From the coded data it can be illustrated that 70% of the questionnaire respondents felt that the impact of the enagagement was very strong or strong</w:t>
      </w:r>
      <w:r w:rsidR="00580BF8" w:rsidRPr="004343A0">
        <w:rPr>
          <w:rFonts w:cs="Arial"/>
          <w:bCs/>
          <w:noProof/>
          <w:sz w:val="20"/>
          <w:szCs w:val="20"/>
        </w:rPr>
        <w:t xml:space="preserve"> (Figure </w:t>
      </w:r>
      <w:r w:rsidR="00927F14" w:rsidRPr="004343A0">
        <w:rPr>
          <w:rFonts w:cs="Arial"/>
          <w:bCs/>
          <w:noProof/>
          <w:sz w:val="20"/>
          <w:szCs w:val="20"/>
        </w:rPr>
        <w:t>6</w:t>
      </w:r>
      <w:r w:rsidR="00580BF8" w:rsidRPr="004343A0">
        <w:rPr>
          <w:rFonts w:cs="Arial"/>
          <w:bCs/>
          <w:noProof/>
          <w:sz w:val="20"/>
          <w:szCs w:val="20"/>
        </w:rPr>
        <w:t>)</w:t>
      </w:r>
      <w:r w:rsidR="002F4322" w:rsidRPr="004343A0">
        <w:rPr>
          <w:rFonts w:cs="Arial"/>
          <w:bCs/>
          <w:noProof/>
          <w:sz w:val="20"/>
          <w:szCs w:val="20"/>
        </w:rPr>
        <w:t xml:space="preserve">. </w:t>
      </w:r>
    </w:p>
    <w:p w:rsidR="00EE53E9" w:rsidRPr="004343A0" w:rsidRDefault="00EE53E9" w:rsidP="00633E83">
      <w:pPr>
        <w:spacing w:line="480" w:lineRule="auto"/>
        <w:jc w:val="both"/>
        <w:rPr>
          <w:rFonts w:cs="Arial"/>
          <w:bCs/>
          <w:noProof/>
          <w:sz w:val="20"/>
          <w:szCs w:val="20"/>
        </w:rPr>
      </w:pPr>
    </w:p>
    <w:p w:rsidR="0064196D" w:rsidRPr="004343A0" w:rsidRDefault="000B0B19" w:rsidP="0064196D">
      <w:pPr>
        <w:spacing w:line="480" w:lineRule="auto"/>
        <w:jc w:val="both"/>
        <w:rPr>
          <w:rFonts w:cs="Arial"/>
          <w:b/>
          <w:sz w:val="24"/>
          <w:szCs w:val="20"/>
          <w:lang w:bidi="th-TH"/>
        </w:rPr>
      </w:pPr>
      <w:r w:rsidRPr="004343A0">
        <w:rPr>
          <w:rFonts w:cs="Arial"/>
          <w:b/>
          <w:sz w:val="24"/>
          <w:szCs w:val="20"/>
          <w:lang w:bidi="th-TH"/>
        </w:rPr>
        <w:t>5.0 Discussion</w:t>
      </w:r>
    </w:p>
    <w:p w:rsidR="0064196D" w:rsidRPr="004343A0" w:rsidRDefault="0064196D" w:rsidP="0064196D">
      <w:pPr>
        <w:pStyle w:val="PlainText"/>
        <w:spacing w:line="480" w:lineRule="auto"/>
        <w:jc w:val="both"/>
        <w:rPr>
          <w:rFonts w:ascii="Arial" w:hAnsi="Arial"/>
          <w:sz w:val="20"/>
          <w:lang w:val="en-US"/>
        </w:rPr>
      </w:pPr>
      <w:r w:rsidRPr="004343A0">
        <w:rPr>
          <w:rFonts w:ascii="Arial" w:hAnsi="Arial"/>
          <w:sz w:val="20"/>
          <w:lang w:val="en-US"/>
        </w:rPr>
        <w:t>The engagement achieved m</w:t>
      </w:r>
      <w:r w:rsidRPr="004343A0">
        <w:rPr>
          <w:rFonts w:ascii="Arial" w:hAnsi="Arial"/>
          <w:color w:val="000000"/>
          <w:sz w:val="20"/>
        </w:rPr>
        <w:t xml:space="preserve">any environmental, social </w:t>
      </w:r>
      <w:r w:rsidR="00867B67">
        <w:rPr>
          <w:rFonts w:ascii="Arial" w:hAnsi="Arial"/>
          <w:color w:val="000000"/>
          <w:sz w:val="20"/>
        </w:rPr>
        <w:t>and</w:t>
      </w:r>
      <w:r w:rsidRPr="004343A0">
        <w:rPr>
          <w:rFonts w:ascii="Arial" w:hAnsi="Arial"/>
          <w:color w:val="000000"/>
          <w:sz w:val="20"/>
        </w:rPr>
        <w:t xml:space="preserve"> economic benefits.</w:t>
      </w:r>
      <w:r w:rsidRPr="004343A0">
        <w:rPr>
          <w:rFonts w:ascii="Arial" w:hAnsi="Arial"/>
          <w:sz w:val="20"/>
          <w:lang w:val="en-US"/>
        </w:rPr>
        <w:t xml:space="preserve"> Environmentally information and tips given to the attendees were simple, easy to carry out actions that save energy, save money and contribute to green living habits.</w:t>
      </w:r>
      <w:r w:rsidRPr="004343A0">
        <w:rPr>
          <w:rFonts w:ascii="Arial" w:hAnsi="Arial" w:cs="Arial"/>
          <w:sz w:val="20"/>
          <w:szCs w:val="20"/>
          <w:lang w:bidi="th-TH"/>
        </w:rPr>
        <w:t xml:space="preserve"> </w:t>
      </w:r>
      <w:r w:rsidRPr="004343A0">
        <w:rPr>
          <w:rFonts w:ascii="Arial" w:hAnsi="Arial"/>
          <w:sz w:val="20"/>
          <w:lang w:val="en-US"/>
        </w:rPr>
        <w:t xml:space="preserve">Socially engaging in debates, focus groups, discussions and seminars related to Sustainability and Climate Change provided the elderly a platform to express their views about the current issues. Economically the project aimed to educate the elderly in energy saving and energy efficient technologies </w:t>
      </w:r>
      <w:r w:rsidR="00927F14" w:rsidRPr="004343A0">
        <w:rPr>
          <w:rFonts w:ascii="Arial" w:hAnsi="Arial"/>
          <w:sz w:val="20"/>
          <w:lang w:val="en-US"/>
        </w:rPr>
        <w:t>as well as</w:t>
      </w:r>
      <w:r w:rsidRPr="004343A0">
        <w:rPr>
          <w:rFonts w:ascii="Arial" w:hAnsi="Arial"/>
          <w:sz w:val="20"/>
          <w:lang w:val="en-US"/>
        </w:rPr>
        <w:t xml:space="preserve"> minimise fuel poverty</w:t>
      </w:r>
      <w:r w:rsidR="00C00A35">
        <w:rPr>
          <w:rFonts w:ascii="Arial" w:hAnsi="Arial"/>
          <w:sz w:val="20"/>
          <w:lang w:val="en-US"/>
        </w:rPr>
        <w:t xml:space="preserve"> where relevant</w:t>
      </w:r>
      <w:r w:rsidRPr="004343A0">
        <w:rPr>
          <w:rFonts w:ascii="Arial" w:hAnsi="Arial"/>
          <w:sz w:val="20"/>
          <w:lang w:val="en-US"/>
        </w:rPr>
        <w:t xml:space="preserve">. </w:t>
      </w:r>
    </w:p>
    <w:p w:rsidR="000828DD" w:rsidRPr="004343A0" w:rsidRDefault="000828DD" w:rsidP="005540D3">
      <w:pPr>
        <w:spacing w:line="480" w:lineRule="auto"/>
        <w:jc w:val="both"/>
        <w:rPr>
          <w:sz w:val="20"/>
        </w:rPr>
      </w:pPr>
      <w:r w:rsidRPr="004343A0">
        <w:rPr>
          <w:sz w:val="20"/>
        </w:rPr>
        <w:t>Throughout the engagement activities a number of cross cutting themes emerged. Generally the older community we</w:t>
      </w:r>
      <w:r w:rsidR="005540D3" w:rsidRPr="004343A0">
        <w:rPr>
          <w:sz w:val="20"/>
        </w:rPr>
        <w:t>re</w:t>
      </w:r>
      <w:r w:rsidRPr="004343A0">
        <w:rPr>
          <w:sz w:val="20"/>
        </w:rPr>
        <w:t xml:space="preserve"> keen to engage with the subject and in many cases believed that they had valuable life lessons the younger community could benefit from. In particular they felt their life experiences, especially from times of war, were very useful in finding</w:t>
      </w:r>
      <w:r w:rsidR="00927F14" w:rsidRPr="004343A0">
        <w:rPr>
          <w:sz w:val="20"/>
        </w:rPr>
        <w:t xml:space="preserve"> solutions to the current socio-</w:t>
      </w:r>
      <w:r w:rsidR="00A1132A" w:rsidRPr="004343A0">
        <w:rPr>
          <w:sz w:val="20"/>
        </w:rPr>
        <w:t>economic</w:t>
      </w:r>
      <w:r w:rsidRPr="004343A0">
        <w:rPr>
          <w:sz w:val="20"/>
        </w:rPr>
        <w:t xml:space="preserve"> problems. They </w:t>
      </w:r>
      <w:r w:rsidR="00A1132A" w:rsidRPr="004343A0">
        <w:rPr>
          <w:sz w:val="20"/>
        </w:rPr>
        <w:t xml:space="preserve">also </w:t>
      </w:r>
      <w:r w:rsidRPr="004343A0">
        <w:rPr>
          <w:sz w:val="20"/>
        </w:rPr>
        <w:t xml:space="preserve">felt that their experiences were often unvalued by modern society and many expressed an interest in actively engaging in the debate with the younger generation, especially their children and grandchildren. </w:t>
      </w:r>
      <w:r w:rsidR="00C00A35">
        <w:rPr>
          <w:sz w:val="20"/>
        </w:rPr>
        <w:t>A resistant to accept grants and financial support was also prevalent in this group unless it was offered via tax rebates or Local Authority initiated home upgrades.</w:t>
      </w:r>
    </w:p>
    <w:p w:rsidR="000828DD" w:rsidRPr="004343A0" w:rsidRDefault="000828DD" w:rsidP="000828DD">
      <w:pPr>
        <w:spacing w:line="480" w:lineRule="auto"/>
        <w:jc w:val="both"/>
        <w:rPr>
          <w:rFonts w:cs="Arial"/>
          <w:b/>
          <w:sz w:val="24"/>
          <w:szCs w:val="20"/>
          <w:lang w:bidi="th-TH"/>
        </w:rPr>
      </w:pPr>
      <w:r w:rsidRPr="004343A0">
        <w:rPr>
          <w:sz w:val="20"/>
        </w:rPr>
        <w:t xml:space="preserve">The younger old members were more aware of global implications of sustainable living such as global food distribution and transport systems while the older old tended </w:t>
      </w:r>
      <w:r w:rsidRPr="004343A0">
        <w:rPr>
          <w:sz w:val="20"/>
        </w:rPr>
        <w:lastRenderedPageBreak/>
        <w:t>to be more concerned about local community issues and improving local quality of life. This was illustrated with the older age group being more willing and able to take the lead on sustainable issues in their social groups and wider communities through independently forming groups and initialising schemes that could prove to be a hugely valuable resource in addressing sustainability that could be utilised more often by the sector.</w:t>
      </w:r>
      <w:r w:rsidR="00C00A35">
        <w:rPr>
          <w:sz w:val="20"/>
        </w:rPr>
        <w:t xml:space="preserve"> Contrary to the older old, this group was more willing to accept grants and financial support in assisting their home upgrades.</w:t>
      </w:r>
    </w:p>
    <w:p w:rsidR="0064196D" w:rsidRPr="004343A0" w:rsidRDefault="0064196D" w:rsidP="0064196D">
      <w:pPr>
        <w:pStyle w:val="PlainText"/>
        <w:spacing w:line="480" w:lineRule="auto"/>
        <w:jc w:val="both"/>
        <w:rPr>
          <w:rFonts w:ascii="Arial" w:hAnsi="Arial"/>
          <w:sz w:val="20"/>
          <w:lang w:val="en-US"/>
        </w:rPr>
      </w:pPr>
      <w:r w:rsidRPr="004343A0">
        <w:rPr>
          <w:rFonts w:ascii="Arial" w:hAnsi="Arial"/>
          <w:sz w:val="20"/>
          <w:lang w:val="en-US"/>
        </w:rPr>
        <w:t>The engagement directly encouraged independent changes within the operations of the groups providing examples for the segments identified in the DEFRA 2008 study:</w:t>
      </w:r>
    </w:p>
    <w:p w:rsidR="0064196D" w:rsidRPr="004343A0" w:rsidRDefault="0064196D" w:rsidP="0064196D">
      <w:pPr>
        <w:pStyle w:val="PlainText"/>
        <w:numPr>
          <w:ilvl w:val="0"/>
          <w:numId w:val="22"/>
        </w:numPr>
        <w:spacing w:line="480" w:lineRule="auto"/>
        <w:jc w:val="both"/>
        <w:rPr>
          <w:rFonts w:ascii="Arial" w:hAnsi="Arial" w:cs="Times New Roman"/>
          <w:sz w:val="20"/>
          <w:szCs w:val="24"/>
        </w:rPr>
      </w:pPr>
      <w:r w:rsidRPr="004343A0">
        <w:rPr>
          <w:rFonts w:ascii="Arial" w:hAnsi="Arial"/>
          <w:sz w:val="20"/>
          <w:lang w:val="en-US"/>
        </w:rPr>
        <w:t xml:space="preserve">Instigating recycling systems that increased recycling rates and reduce the cost of waste disposal- Waste watchers; </w:t>
      </w:r>
    </w:p>
    <w:p w:rsidR="0064196D" w:rsidRPr="004343A0" w:rsidRDefault="0064196D" w:rsidP="0064196D">
      <w:pPr>
        <w:pStyle w:val="PlainText"/>
        <w:numPr>
          <w:ilvl w:val="0"/>
          <w:numId w:val="22"/>
        </w:numPr>
        <w:spacing w:line="480" w:lineRule="auto"/>
        <w:jc w:val="both"/>
        <w:rPr>
          <w:rFonts w:ascii="Arial" w:hAnsi="Arial" w:cs="Times New Roman"/>
          <w:sz w:val="20"/>
          <w:szCs w:val="24"/>
        </w:rPr>
      </w:pPr>
      <w:r w:rsidRPr="004343A0">
        <w:rPr>
          <w:rFonts w:ascii="Arial" w:hAnsi="Arial"/>
          <w:sz w:val="20"/>
          <w:lang w:val="en-US"/>
        </w:rPr>
        <w:t>Shifting to buying reusable plates, cups instead of t</w:t>
      </w:r>
      <w:r w:rsidR="00C00A35">
        <w:rPr>
          <w:rFonts w:ascii="Arial" w:hAnsi="Arial"/>
          <w:sz w:val="20"/>
          <w:lang w:val="en-US"/>
        </w:rPr>
        <w:t>hrow away varieties- Concerned c</w:t>
      </w:r>
      <w:r w:rsidRPr="004343A0">
        <w:rPr>
          <w:rFonts w:ascii="Arial" w:hAnsi="Arial"/>
          <w:sz w:val="20"/>
          <w:lang w:val="en-US"/>
        </w:rPr>
        <w:t xml:space="preserve">onsumers; </w:t>
      </w:r>
    </w:p>
    <w:p w:rsidR="00EF1EFF" w:rsidRPr="004343A0" w:rsidRDefault="0064196D" w:rsidP="0064196D">
      <w:pPr>
        <w:pStyle w:val="PlainText"/>
        <w:numPr>
          <w:ilvl w:val="0"/>
          <w:numId w:val="22"/>
        </w:numPr>
        <w:spacing w:line="480" w:lineRule="auto"/>
        <w:jc w:val="both"/>
        <w:rPr>
          <w:rFonts w:ascii="Arial" w:hAnsi="Arial" w:cs="Times New Roman"/>
          <w:sz w:val="20"/>
          <w:szCs w:val="24"/>
        </w:rPr>
      </w:pPr>
      <w:r w:rsidRPr="004343A0">
        <w:rPr>
          <w:rFonts w:ascii="Arial" w:hAnsi="Arial"/>
          <w:sz w:val="20"/>
          <w:lang w:val="en-US"/>
        </w:rPr>
        <w:t>Formed “Green” groups in churches a</w:t>
      </w:r>
      <w:r w:rsidR="00C00A35">
        <w:rPr>
          <w:rFonts w:ascii="Arial" w:hAnsi="Arial"/>
          <w:sz w:val="20"/>
          <w:lang w:val="en-US"/>
        </w:rPr>
        <w:t>nd local communities- Positive g</w:t>
      </w:r>
      <w:r w:rsidRPr="004343A0">
        <w:rPr>
          <w:rFonts w:ascii="Arial" w:hAnsi="Arial"/>
          <w:sz w:val="20"/>
          <w:lang w:val="en-US"/>
        </w:rPr>
        <w:t xml:space="preserve">reens. </w:t>
      </w:r>
    </w:p>
    <w:p w:rsidR="0064196D" w:rsidRPr="004343A0" w:rsidRDefault="0064196D" w:rsidP="00A1132A">
      <w:pPr>
        <w:pStyle w:val="PlainText"/>
        <w:numPr>
          <w:ilvl w:val="0"/>
          <w:numId w:val="22"/>
        </w:numPr>
        <w:spacing w:line="480" w:lineRule="auto"/>
        <w:jc w:val="both"/>
        <w:rPr>
          <w:rFonts w:ascii="Arial" w:hAnsi="Arial" w:cs="Times New Roman"/>
          <w:sz w:val="20"/>
          <w:szCs w:val="24"/>
        </w:rPr>
      </w:pPr>
      <w:r w:rsidRPr="004343A0">
        <w:rPr>
          <w:rFonts w:ascii="Arial" w:hAnsi="Arial"/>
          <w:sz w:val="20"/>
          <w:lang w:val="en-US"/>
        </w:rPr>
        <w:t xml:space="preserve">The project offered events to smaller groups than would not normally be targeted, even in cases where English was not the primary language spoken by the attendees (Somalian </w:t>
      </w:r>
      <w:r w:rsidR="00C00A35">
        <w:rPr>
          <w:rFonts w:ascii="Arial" w:hAnsi="Arial"/>
          <w:sz w:val="20"/>
          <w:lang w:val="en-US"/>
        </w:rPr>
        <w:t>and</w:t>
      </w:r>
      <w:r w:rsidRPr="004343A0">
        <w:rPr>
          <w:rFonts w:ascii="Arial" w:hAnsi="Arial"/>
          <w:sz w:val="20"/>
          <w:lang w:val="en-US"/>
        </w:rPr>
        <w:t xml:space="preserve"> Ethiopian groups). The feedback illustrated these smaller groups gained most from the engagement. These groups highlighted the quality of the engagement and appreciations of the opportunity to clarify long held questions on sustainability (According to DEFRA 2008 grouping- Sideline supporters).</w:t>
      </w:r>
    </w:p>
    <w:p w:rsidR="0064196D" w:rsidRPr="004343A0" w:rsidRDefault="0064196D" w:rsidP="0064196D">
      <w:pPr>
        <w:spacing w:line="480" w:lineRule="auto"/>
        <w:jc w:val="both"/>
        <w:rPr>
          <w:rFonts w:cs="Arial"/>
          <w:sz w:val="20"/>
          <w:szCs w:val="20"/>
          <w:lang w:bidi="th-TH"/>
        </w:rPr>
      </w:pPr>
      <w:r w:rsidRPr="004343A0">
        <w:rPr>
          <w:sz w:val="20"/>
          <w:szCs w:val="21"/>
        </w:rPr>
        <w:t>The engagement has further strengthened the 4Es model of pre-environmental behaviour (DEFRA 2008): enable, engage, exemplify and encourage.</w:t>
      </w:r>
    </w:p>
    <w:p w:rsidR="000828DD" w:rsidRPr="004343A0" w:rsidRDefault="000828DD" w:rsidP="000828DD">
      <w:pPr>
        <w:spacing w:line="480" w:lineRule="auto"/>
        <w:jc w:val="both"/>
        <w:rPr>
          <w:sz w:val="20"/>
          <w:szCs w:val="21"/>
        </w:rPr>
      </w:pPr>
    </w:p>
    <w:p w:rsidR="00EF1EFF" w:rsidRPr="004343A0" w:rsidRDefault="00377B36" w:rsidP="00EF1EFF">
      <w:pPr>
        <w:spacing w:line="480" w:lineRule="auto"/>
        <w:ind w:left="34"/>
        <w:jc w:val="both"/>
        <w:rPr>
          <w:b/>
          <w:sz w:val="24"/>
          <w:lang w:bidi="th-TH"/>
        </w:rPr>
      </w:pPr>
      <w:r w:rsidRPr="004343A0">
        <w:rPr>
          <w:b/>
          <w:sz w:val="24"/>
          <w:lang w:bidi="th-TH"/>
        </w:rPr>
        <w:t xml:space="preserve">6.0 </w:t>
      </w:r>
      <w:r w:rsidR="00EF1EFF" w:rsidRPr="004343A0">
        <w:rPr>
          <w:b/>
          <w:sz w:val="24"/>
          <w:lang w:bidi="th-TH"/>
        </w:rPr>
        <w:t>Conclusions</w:t>
      </w:r>
    </w:p>
    <w:p w:rsidR="00EF1EFF" w:rsidRPr="004343A0" w:rsidRDefault="00EF1EFF" w:rsidP="00EF1EFF">
      <w:pPr>
        <w:spacing w:line="480" w:lineRule="auto"/>
        <w:ind w:left="34"/>
        <w:jc w:val="both"/>
        <w:rPr>
          <w:sz w:val="20"/>
          <w:szCs w:val="20"/>
          <w:lang w:bidi="th-TH"/>
        </w:rPr>
      </w:pPr>
      <w:r w:rsidRPr="004343A0">
        <w:rPr>
          <w:sz w:val="20"/>
          <w:szCs w:val="20"/>
          <w:lang w:bidi="th-TH"/>
        </w:rPr>
        <w:t>The aim of the study was to measure the impact of public engagement in the sustainability debate on behaviour amongst the older community. A second aim was to assess whether there was a difference in impact between the younger old and older old communities.</w:t>
      </w:r>
    </w:p>
    <w:p w:rsidR="00EF1EFF" w:rsidRPr="004343A0" w:rsidRDefault="00EF1EFF" w:rsidP="00EF1EFF">
      <w:pPr>
        <w:spacing w:line="480" w:lineRule="auto"/>
        <w:ind w:left="34"/>
        <w:jc w:val="both"/>
        <w:rPr>
          <w:sz w:val="20"/>
          <w:szCs w:val="20"/>
          <w:lang w:bidi="th-TH"/>
        </w:rPr>
      </w:pPr>
      <w:r w:rsidRPr="004343A0">
        <w:rPr>
          <w:sz w:val="20"/>
          <w:szCs w:val="20"/>
          <w:lang w:bidi="th-TH"/>
        </w:rPr>
        <w:lastRenderedPageBreak/>
        <w:t>Effective dialogue and engagement of research knowledge and information, in clear simple communication methods can achieve adaptive behavioural changes. Of the people directly engaged by the study, 54% made actual changes to their lifestyle, 47% are planning to make changes and 57% have encouraged other</w:t>
      </w:r>
      <w:r w:rsidR="00927F14" w:rsidRPr="004343A0">
        <w:rPr>
          <w:sz w:val="20"/>
          <w:szCs w:val="20"/>
          <w:lang w:bidi="th-TH"/>
        </w:rPr>
        <w:t>s</w:t>
      </w:r>
      <w:r w:rsidRPr="004343A0">
        <w:rPr>
          <w:sz w:val="20"/>
          <w:szCs w:val="20"/>
          <w:lang w:bidi="th-TH"/>
        </w:rPr>
        <w:t xml:space="preserve"> to make changes. This trend doesn’t appear to be related to the age of the citizen with both the younger old, and older old demonstrating similar behaviour change patterns.</w:t>
      </w:r>
    </w:p>
    <w:p w:rsidR="00C077B0" w:rsidRPr="004343A0" w:rsidRDefault="00EF1EFF" w:rsidP="00C077B0">
      <w:pPr>
        <w:pStyle w:val="PlainText"/>
        <w:spacing w:line="480" w:lineRule="auto"/>
        <w:jc w:val="both"/>
        <w:rPr>
          <w:rFonts w:ascii="Arial" w:hAnsi="Arial" w:cs="Times New Roman"/>
          <w:sz w:val="20"/>
          <w:szCs w:val="24"/>
        </w:rPr>
      </w:pPr>
      <w:r w:rsidRPr="004343A0">
        <w:rPr>
          <w:rFonts w:ascii="Arial" w:hAnsi="Arial" w:cs="Times New Roman"/>
          <w:sz w:val="20"/>
          <w:szCs w:val="24"/>
        </w:rPr>
        <w:t xml:space="preserve">Where age does appear to play a part is in the focus that older community have on the focus of the sustainability debate and on their willingness to accept financial support in the form of grants to enable change. The younger old appear to adopt a more global view of sustainability, citing issues associated with global food distribution and transportation whilst the older old take a more local view over quality of local life. The younger old also appear more inclined to take advantage of grants to support a change in, lifestyle whilst the older old do not. These conclusions are useful in targeting information to different age groups. The reluctance or inability of older old people to be given or accept grants is an issue that should be considered when advertising these schemes, as presently there are more grants available for the older old people who from the results of this study would be less likely to apply for them. Making grants more available to the younger old could gain a higher take up rate and could lead to the next generation of older old people being more receptive to energy saving financial help. </w:t>
      </w:r>
      <w:r w:rsidR="0057665B">
        <w:rPr>
          <w:rFonts w:ascii="Arial" w:hAnsi="Arial" w:cs="Arial"/>
          <w:sz w:val="20"/>
          <w:szCs w:val="20"/>
          <w:lang w:bidi="th-TH"/>
        </w:rPr>
        <w:t>T</w:t>
      </w:r>
      <w:r w:rsidR="00C077B0" w:rsidRPr="004343A0">
        <w:rPr>
          <w:rFonts w:ascii="Arial" w:hAnsi="Arial" w:cs="Arial"/>
          <w:sz w:val="20"/>
          <w:szCs w:val="20"/>
          <w:lang w:bidi="th-TH"/>
        </w:rPr>
        <w:t xml:space="preserve">he engagement </w:t>
      </w:r>
      <w:r w:rsidR="0057665B">
        <w:rPr>
          <w:rFonts w:ascii="Arial" w:hAnsi="Arial" w:cs="Arial"/>
          <w:sz w:val="20"/>
          <w:szCs w:val="20"/>
          <w:lang w:bidi="th-TH"/>
        </w:rPr>
        <w:t xml:space="preserve">has </w:t>
      </w:r>
      <w:r w:rsidR="00C077B0" w:rsidRPr="004343A0">
        <w:rPr>
          <w:rFonts w:ascii="Arial" w:hAnsi="Arial" w:cs="Arial"/>
          <w:sz w:val="20"/>
          <w:szCs w:val="20"/>
          <w:lang w:bidi="th-TH"/>
        </w:rPr>
        <w:t>stimulated interest in and resulted i</w:t>
      </w:r>
      <w:r w:rsidR="0057665B">
        <w:rPr>
          <w:rFonts w:ascii="Arial" w:hAnsi="Arial" w:cs="Arial"/>
          <w:sz w:val="20"/>
          <w:szCs w:val="20"/>
          <w:lang w:bidi="th-TH"/>
        </w:rPr>
        <w:t>n low carbon behavioural change as t</w:t>
      </w:r>
      <w:r w:rsidR="00C077B0" w:rsidRPr="004343A0">
        <w:rPr>
          <w:rFonts w:ascii="Arial" w:hAnsi="Arial" w:cs="Arial"/>
          <w:sz w:val="20"/>
          <w:szCs w:val="20"/>
          <w:lang w:bidi="th-TH"/>
        </w:rPr>
        <w:t>his stakeholder group is both vulnerable to climate change and is in a position to have an impac</w:t>
      </w:r>
      <w:r w:rsidR="00A1132A" w:rsidRPr="004343A0">
        <w:rPr>
          <w:rFonts w:ascii="Arial" w:hAnsi="Arial" w:cs="Arial"/>
          <w:sz w:val="20"/>
          <w:szCs w:val="20"/>
          <w:lang w:bidi="th-TH"/>
        </w:rPr>
        <w:t>t on CO</w:t>
      </w:r>
      <w:r w:rsidR="00C077B0" w:rsidRPr="004343A0">
        <w:rPr>
          <w:rFonts w:ascii="Arial" w:hAnsi="Arial" w:cs="Arial"/>
          <w:sz w:val="20"/>
          <w:szCs w:val="20"/>
          <w:vertAlign w:val="subscript"/>
          <w:lang w:bidi="th-TH"/>
        </w:rPr>
        <w:t>2</w:t>
      </w:r>
      <w:r w:rsidR="00C077B0" w:rsidRPr="004343A0">
        <w:rPr>
          <w:rFonts w:ascii="Arial" w:hAnsi="Arial" w:cs="Arial"/>
          <w:sz w:val="20"/>
          <w:szCs w:val="20"/>
          <w:lang w:bidi="th-TH"/>
        </w:rPr>
        <w:t xml:space="preserve"> </w:t>
      </w:r>
      <w:r w:rsidR="00957A13" w:rsidRPr="004343A0">
        <w:rPr>
          <w:rFonts w:ascii="Arial" w:hAnsi="Arial" w:cs="Arial"/>
          <w:sz w:val="20"/>
          <w:szCs w:val="20"/>
          <w:lang w:bidi="th-TH"/>
        </w:rPr>
        <w:t xml:space="preserve">emission </w:t>
      </w:r>
      <w:r w:rsidR="00C077B0" w:rsidRPr="004343A0">
        <w:rPr>
          <w:rFonts w:ascii="Arial" w:hAnsi="Arial" w:cs="Arial"/>
          <w:sz w:val="20"/>
          <w:szCs w:val="20"/>
          <w:lang w:bidi="th-TH"/>
        </w:rPr>
        <w:t xml:space="preserve">levels. </w:t>
      </w:r>
    </w:p>
    <w:p w:rsidR="00EF1EFF" w:rsidRPr="004343A0" w:rsidRDefault="00EF1EFF" w:rsidP="00633E83">
      <w:pPr>
        <w:spacing w:line="480" w:lineRule="auto"/>
        <w:jc w:val="both"/>
        <w:rPr>
          <w:sz w:val="20"/>
          <w:szCs w:val="21"/>
        </w:rPr>
      </w:pPr>
    </w:p>
    <w:p w:rsidR="003661C9" w:rsidRPr="004343A0" w:rsidRDefault="003661C9" w:rsidP="00633E83">
      <w:pPr>
        <w:spacing w:line="480" w:lineRule="auto"/>
        <w:jc w:val="both"/>
        <w:outlineLvl w:val="0"/>
        <w:rPr>
          <w:b/>
          <w:sz w:val="22"/>
        </w:rPr>
      </w:pPr>
      <w:r w:rsidRPr="004343A0">
        <w:rPr>
          <w:b/>
          <w:sz w:val="22"/>
        </w:rPr>
        <w:t>Acknowledgements</w:t>
      </w:r>
    </w:p>
    <w:p w:rsidR="003661C9" w:rsidRPr="004343A0" w:rsidRDefault="003661C9" w:rsidP="00633E83">
      <w:pPr>
        <w:spacing w:line="480" w:lineRule="auto"/>
        <w:jc w:val="both"/>
        <w:rPr>
          <w:sz w:val="20"/>
        </w:rPr>
      </w:pPr>
      <w:r w:rsidRPr="004343A0">
        <w:rPr>
          <w:sz w:val="20"/>
        </w:rPr>
        <w:t xml:space="preserve">The authors would like to acknowledge the EPSRC for </w:t>
      </w:r>
      <w:r w:rsidR="0057665B">
        <w:rPr>
          <w:sz w:val="20"/>
        </w:rPr>
        <w:t>funding the</w:t>
      </w:r>
      <w:r w:rsidRPr="004343A0">
        <w:rPr>
          <w:sz w:val="20"/>
        </w:rPr>
        <w:t xml:space="preserve"> “Partnerships for Public Engagement Project</w:t>
      </w:r>
      <w:r w:rsidR="0057665B">
        <w:rPr>
          <w:sz w:val="20"/>
        </w:rPr>
        <w:t>- Sustainable Living and the Older Community</w:t>
      </w:r>
      <w:r w:rsidRPr="004343A0">
        <w:rPr>
          <w:sz w:val="20"/>
        </w:rPr>
        <w:t>” &amp; the collaborators Age Concern, Friends of the Elderly, and The Energy Saving Trust for their support and advice throughout the project.</w:t>
      </w:r>
      <w:r w:rsidR="000B3F61">
        <w:rPr>
          <w:sz w:val="20"/>
        </w:rPr>
        <w:t xml:space="preserve"> Project website </w:t>
      </w:r>
      <w:r w:rsidR="000B3F61" w:rsidRPr="000B3F61">
        <w:rPr>
          <w:sz w:val="20"/>
        </w:rPr>
        <w:t>http://research.kingston.ac.uk/sus_living/</w:t>
      </w:r>
      <w:r w:rsidR="000B3F61">
        <w:rPr>
          <w:sz w:val="20"/>
        </w:rPr>
        <w:t xml:space="preserve"> formerly </w:t>
      </w:r>
      <w:hyperlink r:id="rId8" w:history="1">
        <w:r w:rsidR="000B3F61" w:rsidRPr="004B363D">
          <w:rPr>
            <w:rStyle w:val="Hyperlink"/>
            <w:rFonts w:cs="Arial"/>
            <w:sz w:val="20"/>
          </w:rPr>
          <w:t>www.sustainablelivingandtheoldercommunity.co.uk</w:t>
        </w:r>
      </w:hyperlink>
      <w:r w:rsidR="000B3F61">
        <w:rPr>
          <w:rFonts w:cs="Arial"/>
          <w:sz w:val="20"/>
        </w:rPr>
        <w:t>.</w:t>
      </w:r>
    </w:p>
    <w:p w:rsidR="003661C9" w:rsidRPr="004343A0" w:rsidRDefault="003661C9" w:rsidP="00633E83">
      <w:pPr>
        <w:spacing w:line="480" w:lineRule="auto"/>
        <w:jc w:val="both"/>
        <w:rPr>
          <w:sz w:val="20"/>
          <w:szCs w:val="21"/>
        </w:rPr>
      </w:pPr>
    </w:p>
    <w:p w:rsidR="007C4708" w:rsidRPr="004343A0" w:rsidRDefault="003F2D42"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b/>
          <w:sz w:val="24"/>
          <w:lang w:val="en-US" w:eastAsia="en-US"/>
        </w:rPr>
      </w:pPr>
      <w:r w:rsidRPr="004343A0">
        <w:rPr>
          <w:rFonts w:eastAsiaTheme="minorHAnsi" w:cs="Helvetica"/>
          <w:b/>
          <w:sz w:val="24"/>
          <w:lang w:val="en-US" w:eastAsia="en-US"/>
        </w:rPr>
        <w:t>References</w:t>
      </w:r>
    </w:p>
    <w:p w:rsidR="003F2D42" w:rsidRPr="004343A0" w:rsidRDefault="008B1D03" w:rsidP="00633E83">
      <w:pPr>
        <w:spacing w:line="480" w:lineRule="auto"/>
        <w:jc w:val="both"/>
        <w:rPr>
          <w:sz w:val="20"/>
          <w:szCs w:val="21"/>
        </w:rPr>
      </w:pPr>
      <w:r w:rsidRPr="004343A0">
        <w:rPr>
          <w:sz w:val="20"/>
          <w:szCs w:val="21"/>
        </w:rPr>
        <w:t xml:space="preserve">Boardman </w:t>
      </w:r>
      <w:r w:rsidR="003F2D42" w:rsidRPr="004343A0">
        <w:rPr>
          <w:sz w:val="20"/>
          <w:szCs w:val="21"/>
        </w:rPr>
        <w:t xml:space="preserve">B., </w:t>
      </w:r>
      <w:r w:rsidR="00A746D6" w:rsidRPr="004343A0">
        <w:rPr>
          <w:sz w:val="20"/>
          <w:szCs w:val="21"/>
        </w:rPr>
        <w:t xml:space="preserve">(2008), </w:t>
      </w:r>
      <w:r w:rsidR="003F2D42" w:rsidRPr="004343A0">
        <w:rPr>
          <w:i/>
          <w:sz w:val="20"/>
          <w:szCs w:val="21"/>
        </w:rPr>
        <w:t>Home Truths</w:t>
      </w:r>
      <w:r w:rsidR="003F2D42" w:rsidRPr="004343A0">
        <w:rPr>
          <w:sz w:val="20"/>
          <w:szCs w:val="21"/>
        </w:rPr>
        <w:t xml:space="preserve">, University of Oxford’s Environmental Change Institute, </w:t>
      </w:r>
      <w:r w:rsidR="003F2D42" w:rsidRPr="004343A0">
        <w:rPr>
          <w:rFonts w:eastAsiaTheme="minorHAnsi" w:cs="Arial"/>
          <w:sz w:val="20"/>
          <w:szCs w:val="20"/>
          <w:lang w:val="en-US" w:eastAsia="en-US"/>
        </w:rPr>
        <w:t>University of Oxford, ISBN 1 874370 43 5</w:t>
      </w:r>
    </w:p>
    <w:p w:rsidR="003F2D42" w:rsidRPr="004343A0" w:rsidRDefault="003F2D42" w:rsidP="00633E83">
      <w:pPr>
        <w:spacing w:line="480" w:lineRule="auto"/>
        <w:jc w:val="both"/>
        <w:rPr>
          <w:sz w:val="20"/>
          <w:szCs w:val="21"/>
        </w:rPr>
      </w:pPr>
      <w:r w:rsidRPr="004343A0">
        <w:rPr>
          <w:sz w:val="20"/>
          <w:szCs w:val="21"/>
        </w:rPr>
        <w:t xml:space="preserve">Building Research Establishment, </w:t>
      </w:r>
      <w:r w:rsidR="00A746D6" w:rsidRPr="004343A0">
        <w:rPr>
          <w:sz w:val="20"/>
          <w:szCs w:val="21"/>
        </w:rPr>
        <w:t xml:space="preserve">(2009), </w:t>
      </w:r>
      <w:r w:rsidRPr="004343A0">
        <w:rPr>
          <w:i/>
          <w:sz w:val="20"/>
          <w:szCs w:val="21"/>
        </w:rPr>
        <w:t>STANDARD ASSESSMENT PROCEDURE</w:t>
      </w:r>
      <w:r w:rsidRPr="004343A0">
        <w:rPr>
          <w:sz w:val="20"/>
          <w:szCs w:val="21"/>
        </w:rPr>
        <w:t xml:space="preserve"> </w:t>
      </w:r>
      <w:r w:rsidRPr="004343A0">
        <w:rPr>
          <w:i/>
          <w:sz w:val="20"/>
          <w:szCs w:val="21"/>
        </w:rPr>
        <w:t>(SAP)</w:t>
      </w:r>
      <w:r w:rsidRPr="004343A0">
        <w:rPr>
          <w:sz w:val="20"/>
          <w:szCs w:val="21"/>
        </w:rPr>
        <w:t>, Department of the Environment</w:t>
      </w:r>
    </w:p>
    <w:p w:rsidR="00385CCC" w:rsidRPr="004343A0" w:rsidRDefault="00F231E7" w:rsidP="00633E83">
      <w:pPr>
        <w:spacing w:line="480" w:lineRule="auto"/>
        <w:jc w:val="both"/>
        <w:rPr>
          <w:i/>
          <w:sz w:val="20"/>
          <w:szCs w:val="21"/>
        </w:rPr>
      </w:pPr>
      <w:r w:rsidRPr="004343A0">
        <w:rPr>
          <w:sz w:val="20"/>
          <w:szCs w:val="21"/>
        </w:rPr>
        <w:t>D</w:t>
      </w:r>
      <w:r w:rsidR="00A746D6" w:rsidRPr="004343A0">
        <w:rPr>
          <w:sz w:val="20"/>
          <w:szCs w:val="21"/>
        </w:rPr>
        <w:t xml:space="preserve">epartment of </w:t>
      </w:r>
      <w:r w:rsidRPr="004343A0">
        <w:rPr>
          <w:sz w:val="20"/>
          <w:szCs w:val="21"/>
        </w:rPr>
        <w:t>C</w:t>
      </w:r>
      <w:r w:rsidR="00A746D6" w:rsidRPr="004343A0">
        <w:rPr>
          <w:sz w:val="20"/>
          <w:szCs w:val="21"/>
        </w:rPr>
        <w:t xml:space="preserve">ommunities and Local </w:t>
      </w:r>
      <w:r w:rsidRPr="004343A0">
        <w:rPr>
          <w:sz w:val="20"/>
          <w:szCs w:val="21"/>
        </w:rPr>
        <w:t>G</w:t>
      </w:r>
      <w:r w:rsidR="00A746D6" w:rsidRPr="004343A0">
        <w:rPr>
          <w:sz w:val="20"/>
          <w:szCs w:val="21"/>
        </w:rPr>
        <w:t>overnment</w:t>
      </w:r>
      <w:r w:rsidR="00D27EF7" w:rsidRPr="004343A0">
        <w:rPr>
          <w:sz w:val="20"/>
          <w:szCs w:val="21"/>
        </w:rPr>
        <w:t xml:space="preserve"> (2012)</w:t>
      </w:r>
      <w:r w:rsidR="00385CCC" w:rsidRPr="004343A0">
        <w:rPr>
          <w:sz w:val="20"/>
          <w:szCs w:val="21"/>
        </w:rPr>
        <w:t xml:space="preserve">, </w:t>
      </w:r>
      <w:r w:rsidR="00385CCC" w:rsidRPr="004343A0">
        <w:rPr>
          <w:i/>
          <w:sz w:val="20"/>
          <w:szCs w:val="21"/>
        </w:rPr>
        <w:t>The English H</w:t>
      </w:r>
      <w:r w:rsidR="008B1D03" w:rsidRPr="004343A0">
        <w:rPr>
          <w:i/>
          <w:sz w:val="20"/>
          <w:szCs w:val="21"/>
        </w:rPr>
        <w:t>ousing Survey Homes Report 2010</w:t>
      </w:r>
      <w:r w:rsidR="00385CCC" w:rsidRPr="004343A0">
        <w:rPr>
          <w:i/>
          <w:sz w:val="20"/>
          <w:szCs w:val="21"/>
        </w:rPr>
        <w:t xml:space="preserve"> </w:t>
      </w:r>
    </w:p>
    <w:p w:rsidR="008B1D03" w:rsidRPr="004343A0" w:rsidRDefault="008B1D03" w:rsidP="008B1D03">
      <w:pPr>
        <w:spacing w:line="480" w:lineRule="auto"/>
        <w:jc w:val="both"/>
        <w:rPr>
          <w:sz w:val="20"/>
          <w:szCs w:val="21"/>
        </w:rPr>
      </w:pPr>
      <w:r w:rsidRPr="004343A0">
        <w:rPr>
          <w:sz w:val="20"/>
          <w:szCs w:val="21"/>
        </w:rPr>
        <w:t xml:space="preserve">Department of Energy and Climate Change (DECC), </w:t>
      </w:r>
      <w:r w:rsidRPr="004343A0">
        <w:rPr>
          <w:rFonts w:eastAsiaTheme="minorHAnsi" w:cs="Arial"/>
          <w:i/>
          <w:sz w:val="20"/>
          <w:lang w:val="en-US" w:eastAsia="en-US"/>
        </w:rPr>
        <w:t>The Climate Change Act 2008</w:t>
      </w:r>
      <w:r w:rsidR="008617C1" w:rsidRPr="004343A0">
        <w:rPr>
          <w:rFonts w:eastAsiaTheme="minorHAnsi" w:cs="Arial"/>
          <w:i/>
          <w:sz w:val="20"/>
          <w:lang w:val="en-US" w:eastAsia="en-US"/>
        </w:rPr>
        <w:t>.</w:t>
      </w:r>
    </w:p>
    <w:p w:rsidR="00277D1F" w:rsidRPr="004343A0" w:rsidRDefault="00277D1F"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Times"/>
          <w:sz w:val="20"/>
          <w:szCs w:val="14"/>
          <w:lang w:val="en-US" w:eastAsia="en-US"/>
        </w:rPr>
        <w:t>Department of E</w:t>
      </w:r>
      <w:r w:rsidR="008B1D03" w:rsidRPr="004343A0">
        <w:rPr>
          <w:rFonts w:eastAsiaTheme="minorHAnsi" w:cs="Times"/>
          <w:sz w:val="20"/>
          <w:szCs w:val="14"/>
          <w:lang w:val="en-US" w:eastAsia="en-US"/>
        </w:rPr>
        <w:t>nergy and Climate Change,</w:t>
      </w:r>
      <w:r w:rsidRPr="004343A0">
        <w:rPr>
          <w:rFonts w:eastAsiaTheme="minorHAnsi" w:cs="Times"/>
          <w:sz w:val="20"/>
          <w:szCs w:val="14"/>
          <w:lang w:val="en-US" w:eastAsia="en-US"/>
        </w:rPr>
        <w:t xml:space="preserve"> </w:t>
      </w:r>
      <w:r w:rsidRPr="004343A0">
        <w:rPr>
          <w:rFonts w:eastAsiaTheme="minorHAnsi" w:cs="Times"/>
          <w:i/>
          <w:sz w:val="20"/>
          <w:szCs w:val="14"/>
          <w:lang w:val="en-US" w:eastAsia="en-US"/>
        </w:rPr>
        <w:t>The UK renewable energy</w:t>
      </w:r>
      <w:r w:rsidRPr="004343A0">
        <w:rPr>
          <w:rFonts w:eastAsiaTheme="minorHAnsi" w:cs="Helvetica"/>
          <w:i/>
          <w:sz w:val="20"/>
          <w:lang w:val="en-US" w:eastAsia="en-US"/>
        </w:rPr>
        <w:t xml:space="preserve"> </w:t>
      </w:r>
      <w:r w:rsidR="008B1D03" w:rsidRPr="004343A0">
        <w:rPr>
          <w:rFonts w:eastAsiaTheme="minorHAnsi" w:cs="Times"/>
          <w:i/>
          <w:sz w:val="20"/>
          <w:szCs w:val="14"/>
          <w:lang w:val="en-US" w:eastAsia="en-US"/>
        </w:rPr>
        <w:t>strategy</w:t>
      </w:r>
      <w:r w:rsidR="008B1D03" w:rsidRPr="004343A0">
        <w:rPr>
          <w:rFonts w:eastAsiaTheme="minorHAnsi" w:cs="Times"/>
          <w:sz w:val="20"/>
          <w:szCs w:val="14"/>
          <w:lang w:val="en-US" w:eastAsia="en-US"/>
        </w:rPr>
        <w:t>, London,</w:t>
      </w:r>
      <w:r w:rsidRPr="004343A0">
        <w:rPr>
          <w:rFonts w:eastAsiaTheme="minorHAnsi" w:cs="Times"/>
          <w:sz w:val="20"/>
          <w:szCs w:val="14"/>
          <w:lang w:val="en-US" w:eastAsia="en-US"/>
        </w:rPr>
        <w:t xml:space="preserve"> The Stationary Of</w:t>
      </w:r>
      <w:r w:rsidRPr="004343A0">
        <w:rPr>
          <w:rFonts w:eastAsiaTheme="minorHAnsi" w:cs="Helvetica"/>
          <w:sz w:val="20"/>
          <w:szCs w:val="14"/>
          <w:lang w:val="en-US" w:eastAsia="en-US"/>
        </w:rPr>
        <w:t>ﬁ</w:t>
      </w:r>
      <w:r w:rsidR="008B1D03" w:rsidRPr="004343A0">
        <w:rPr>
          <w:rFonts w:eastAsiaTheme="minorHAnsi" w:cs="Times"/>
          <w:sz w:val="20"/>
          <w:szCs w:val="14"/>
          <w:lang w:val="en-US" w:eastAsia="en-US"/>
        </w:rPr>
        <w:t>ce,</w:t>
      </w:r>
      <w:r w:rsidRPr="004343A0">
        <w:rPr>
          <w:rFonts w:eastAsiaTheme="minorHAnsi" w:cs="Times"/>
          <w:sz w:val="20"/>
          <w:szCs w:val="14"/>
          <w:lang w:val="en-US" w:eastAsia="en-US"/>
        </w:rPr>
        <w:t xml:space="preserve"> 2009.</w:t>
      </w:r>
      <w:r w:rsidRPr="004343A0">
        <w:rPr>
          <w:rFonts w:eastAsiaTheme="minorHAnsi" w:cs="Helvetica"/>
          <w:sz w:val="20"/>
          <w:lang w:val="en-US" w:eastAsia="en-US"/>
        </w:rPr>
        <w:t xml:space="preserve"> </w:t>
      </w:r>
    </w:p>
    <w:p w:rsidR="008B1D03" w:rsidRPr="004343A0" w:rsidRDefault="008B1D03" w:rsidP="00633E83">
      <w:pPr>
        <w:spacing w:line="480" w:lineRule="auto"/>
        <w:jc w:val="both"/>
        <w:rPr>
          <w:rFonts w:eastAsiaTheme="minorHAnsi" w:cs="Times"/>
          <w:sz w:val="20"/>
          <w:szCs w:val="16"/>
          <w:lang w:val="en-US" w:eastAsia="en-US"/>
        </w:rPr>
      </w:pPr>
      <w:r w:rsidRPr="004343A0">
        <w:rPr>
          <w:sz w:val="20"/>
          <w:szCs w:val="21"/>
        </w:rPr>
        <w:t xml:space="preserve">Department of Energy and Climate Change (2012a), </w:t>
      </w:r>
      <w:r w:rsidRPr="004343A0">
        <w:rPr>
          <w:rFonts w:eastAsiaTheme="minorHAnsi" w:cs="Times"/>
          <w:i/>
          <w:sz w:val="20"/>
          <w:szCs w:val="16"/>
          <w:lang w:val="en-US" w:eastAsia="en-US"/>
        </w:rPr>
        <w:t>Statistical Release: 2011 UK Greenhouse Gas Emissions</w:t>
      </w:r>
      <w:r w:rsidRPr="004343A0">
        <w:rPr>
          <w:rFonts w:eastAsiaTheme="minorHAnsi" w:cs="Times"/>
          <w:sz w:val="20"/>
          <w:szCs w:val="16"/>
          <w:lang w:val="en-US" w:eastAsia="en-US"/>
        </w:rPr>
        <w:t>, Provisional Figures and 2010 UK Greenhouse Gas Emissions</w:t>
      </w:r>
      <w:r w:rsidR="00A746D6" w:rsidRPr="004343A0">
        <w:rPr>
          <w:rFonts w:eastAsiaTheme="minorHAnsi" w:cs="Times"/>
          <w:sz w:val="20"/>
          <w:szCs w:val="16"/>
          <w:lang w:val="en-US" w:eastAsia="en-US"/>
        </w:rPr>
        <w:t>.</w:t>
      </w:r>
    </w:p>
    <w:p w:rsidR="003F2D42" w:rsidRPr="004343A0" w:rsidRDefault="003F2D42" w:rsidP="00633E83">
      <w:pPr>
        <w:spacing w:line="480" w:lineRule="auto"/>
        <w:jc w:val="both"/>
        <w:rPr>
          <w:sz w:val="20"/>
          <w:szCs w:val="21"/>
        </w:rPr>
      </w:pPr>
      <w:r w:rsidRPr="004343A0">
        <w:rPr>
          <w:sz w:val="20"/>
          <w:szCs w:val="21"/>
        </w:rPr>
        <w:t xml:space="preserve">Department of Energy and Climate Change </w:t>
      </w:r>
      <w:r w:rsidR="003F26C3" w:rsidRPr="004343A0">
        <w:rPr>
          <w:sz w:val="20"/>
          <w:szCs w:val="21"/>
        </w:rPr>
        <w:t>(</w:t>
      </w:r>
      <w:r w:rsidRPr="004343A0">
        <w:rPr>
          <w:sz w:val="20"/>
          <w:szCs w:val="21"/>
        </w:rPr>
        <w:t>2012</w:t>
      </w:r>
      <w:r w:rsidR="003F26C3" w:rsidRPr="004343A0">
        <w:rPr>
          <w:sz w:val="20"/>
          <w:szCs w:val="21"/>
        </w:rPr>
        <w:t>b)</w:t>
      </w:r>
      <w:r w:rsidRPr="004343A0">
        <w:rPr>
          <w:sz w:val="20"/>
          <w:szCs w:val="21"/>
        </w:rPr>
        <w:t xml:space="preserve">, </w:t>
      </w:r>
      <w:r w:rsidRPr="004343A0">
        <w:rPr>
          <w:i/>
          <w:sz w:val="20"/>
          <w:szCs w:val="21"/>
        </w:rPr>
        <w:t>Fuel poverty statistics</w:t>
      </w:r>
      <w:r w:rsidR="00A746D6" w:rsidRPr="004343A0">
        <w:rPr>
          <w:sz w:val="20"/>
          <w:szCs w:val="21"/>
        </w:rPr>
        <w:t>.</w:t>
      </w:r>
    </w:p>
    <w:p w:rsidR="00277D1F" w:rsidRPr="004343A0" w:rsidRDefault="00277D1F" w:rsidP="00633E83">
      <w:pPr>
        <w:spacing w:line="480" w:lineRule="auto"/>
        <w:jc w:val="both"/>
        <w:rPr>
          <w:i/>
          <w:sz w:val="20"/>
        </w:rPr>
      </w:pPr>
      <w:r w:rsidRPr="004343A0">
        <w:rPr>
          <w:rFonts w:eastAsiaTheme="minorHAnsi" w:cs="Arial"/>
          <w:sz w:val="20"/>
          <w:lang w:val="en-US" w:eastAsia="en-US"/>
        </w:rPr>
        <w:t>Department for Environment, Food and Rural Affairs</w:t>
      </w:r>
      <w:r w:rsidR="008B1D03" w:rsidRPr="004343A0">
        <w:rPr>
          <w:rFonts w:eastAsiaTheme="minorHAnsi" w:cs="Arial"/>
          <w:sz w:val="20"/>
          <w:lang w:val="en-US" w:eastAsia="en-US"/>
        </w:rPr>
        <w:t xml:space="preserve"> (DEFRA)</w:t>
      </w:r>
      <w:r w:rsidRPr="004343A0">
        <w:rPr>
          <w:rFonts w:eastAsiaTheme="minorHAnsi" w:cs="Arial"/>
          <w:sz w:val="20"/>
          <w:szCs w:val="28"/>
          <w:lang w:val="en-US" w:eastAsia="en-US"/>
        </w:rPr>
        <w:t xml:space="preserve">, </w:t>
      </w:r>
      <w:r w:rsidR="00A746D6" w:rsidRPr="004343A0">
        <w:rPr>
          <w:sz w:val="20"/>
        </w:rPr>
        <w:t>(</w:t>
      </w:r>
      <w:r w:rsidRPr="004343A0">
        <w:rPr>
          <w:sz w:val="20"/>
        </w:rPr>
        <w:t>2008</w:t>
      </w:r>
      <w:r w:rsidR="00A746D6" w:rsidRPr="004343A0">
        <w:rPr>
          <w:sz w:val="20"/>
        </w:rPr>
        <w:t>)</w:t>
      </w:r>
      <w:r w:rsidRPr="004343A0">
        <w:rPr>
          <w:sz w:val="20"/>
        </w:rPr>
        <w:t xml:space="preserve">, </w:t>
      </w:r>
      <w:r w:rsidRPr="004343A0">
        <w:rPr>
          <w:i/>
          <w:sz w:val="20"/>
        </w:rPr>
        <w:t xml:space="preserve">A FRAMEWORK FOR PRO- ENVIRONMENTAL BEHAVIOURS REPORT </w:t>
      </w:r>
    </w:p>
    <w:p w:rsidR="003F2D42" w:rsidRPr="004343A0" w:rsidRDefault="003F2D42"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Times"/>
          <w:sz w:val="20"/>
          <w:szCs w:val="14"/>
          <w:lang w:val="en-US" w:eastAsia="en-US"/>
        </w:rPr>
        <w:t>Departm</w:t>
      </w:r>
      <w:r w:rsidR="00385CCC" w:rsidRPr="004343A0">
        <w:rPr>
          <w:rFonts w:eastAsiaTheme="minorHAnsi" w:cs="Times"/>
          <w:sz w:val="20"/>
          <w:szCs w:val="14"/>
          <w:lang w:val="en-US" w:eastAsia="en-US"/>
        </w:rPr>
        <w:t>ent of Trade and Industry (DTI),</w:t>
      </w:r>
      <w:r w:rsidRPr="004343A0">
        <w:rPr>
          <w:rFonts w:eastAsiaTheme="minorHAnsi" w:cs="Times"/>
          <w:sz w:val="20"/>
          <w:szCs w:val="14"/>
          <w:lang w:val="en-US" w:eastAsia="en-US"/>
        </w:rPr>
        <w:t xml:space="preserve"> </w:t>
      </w:r>
      <w:r w:rsidR="00A746D6" w:rsidRPr="004343A0">
        <w:rPr>
          <w:rFonts w:eastAsiaTheme="minorHAnsi" w:cs="Times"/>
          <w:sz w:val="20"/>
          <w:szCs w:val="14"/>
          <w:lang w:val="en-US" w:eastAsia="en-US"/>
        </w:rPr>
        <w:t xml:space="preserve">(2003), </w:t>
      </w:r>
      <w:r w:rsidRPr="004343A0">
        <w:rPr>
          <w:rFonts w:eastAsiaTheme="minorHAnsi" w:cs="Times"/>
          <w:i/>
          <w:sz w:val="20"/>
          <w:szCs w:val="14"/>
          <w:lang w:val="en-US" w:eastAsia="en-US"/>
        </w:rPr>
        <w:t>Energy white paper: our energy</w:t>
      </w:r>
      <w:r w:rsidRPr="004343A0">
        <w:rPr>
          <w:rFonts w:eastAsiaTheme="minorHAnsi" w:cs="Helvetica"/>
          <w:i/>
          <w:sz w:val="20"/>
          <w:lang w:val="en-US" w:eastAsia="en-US"/>
        </w:rPr>
        <w:t xml:space="preserve"> </w:t>
      </w:r>
      <w:r w:rsidRPr="004343A0">
        <w:rPr>
          <w:rFonts w:eastAsiaTheme="minorHAnsi" w:cs="Times"/>
          <w:i/>
          <w:sz w:val="20"/>
          <w:szCs w:val="14"/>
          <w:lang w:val="en-US" w:eastAsia="en-US"/>
        </w:rPr>
        <w:t>future-creating a low carbon econom</w:t>
      </w:r>
      <w:r w:rsidR="00A746D6" w:rsidRPr="004343A0">
        <w:rPr>
          <w:rFonts w:eastAsiaTheme="minorHAnsi" w:cs="Times"/>
          <w:sz w:val="20"/>
          <w:szCs w:val="14"/>
          <w:lang w:val="en-US" w:eastAsia="en-US"/>
        </w:rPr>
        <w:t>y, Norwich,</w:t>
      </w:r>
      <w:r w:rsidRPr="004343A0">
        <w:rPr>
          <w:rFonts w:eastAsiaTheme="minorHAnsi" w:cs="Times"/>
          <w:sz w:val="20"/>
          <w:szCs w:val="14"/>
          <w:lang w:val="en-US" w:eastAsia="en-US"/>
        </w:rPr>
        <w:t xml:space="preserve"> The Stationary </w:t>
      </w:r>
      <w:r w:rsidR="00377B36" w:rsidRPr="004343A0">
        <w:rPr>
          <w:rFonts w:eastAsiaTheme="minorHAnsi" w:cs="Times"/>
          <w:sz w:val="20"/>
          <w:szCs w:val="14"/>
          <w:lang w:val="en-US" w:eastAsia="en-US"/>
        </w:rPr>
        <w:t>Of</w:t>
      </w:r>
      <w:r w:rsidR="00377B36" w:rsidRPr="004343A0">
        <w:rPr>
          <w:rFonts w:eastAsiaTheme="minorHAnsi" w:cs="Helvetica"/>
          <w:sz w:val="20"/>
          <w:szCs w:val="14"/>
          <w:lang w:val="en-US" w:eastAsia="en-US"/>
        </w:rPr>
        <w:t>f</w:t>
      </w:r>
      <w:r w:rsidR="00377B36" w:rsidRPr="004343A0">
        <w:rPr>
          <w:rFonts w:eastAsiaTheme="minorHAnsi" w:cs="Times"/>
          <w:sz w:val="20"/>
          <w:szCs w:val="14"/>
          <w:lang w:val="en-US" w:eastAsia="en-US"/>
        </w:rPr>
        <w:t>ice</w:t>
      </w:r>
      <w:r w:rsidRPr="004343A0">
        <w:rPr>
          <w:rFonts w:eastAsiaTheme="minorHAnsi" w:cs="Times"/>
          <w:sz w:val="20"/>
          <w:szCs w:val="14"/>
          <w:lang w:val="en-US" w:eastAsia="en-US"/>
        </w:rPr>
        <w:t>.</w:t>
      </w:r>
      <w:r w:rsidRPr="004343A0">
        <w:rPr>
          <w:rFonts w:eastAsiaTheme="minorHAnsi" w:cs="Helvetica"/>
          <w:sz w:val="20"/>
          <w:lang w:val="en-US" w:eastAsia="en-US"/>
        </w:rPr>
        <w:t xml:space="preserve"> </w:t>
      </w:r>
    </w:p>
    <w:p w:rsidR="003F2D42" w:rsidRPr="004343A0" w:rsidRDefault="003F2D42"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Times"/>
          <w:sz w:val="20"/>
          <w:szCs w:val="14"/>
          <w:lang w:val="en-US" w:eastAsia="en-US"/>
        </w:rPr>
      </w:pPr>
      <w:r w:rsidRPr="004343A0">
        <w:rPr>
          <w:rFonts w:eastAsiaTheme="minorHAnsi" w:cs="Times"/>
          <w:sz w:val="20"/>
          <w:szCs w:val="14"/>
          <w:lang w:val="en-US" w:eastAsia="en-US"/>
        </w:rPr>
        <w:t>Department of Trade and Industry (DTI)</w:t>
      </w:r>
      <w:r w:rsidR="00385CCC" w:rsidRPr="004343A0">
        <w:rPr>
          <w:rFonts w:eastAsiaTheme="minorHAnsi" w:cs="Times"/>
          <w:sz w:val="20"/>
          <w:szCs w:val="14"/>
          <w:lang w:val="en-US" w:eastAsia="en-US"/>
        </w:rPr>
        <w:t>,</w:t>
      </w:r>
      <w:r w:rsidRPr="004343A0">
        <w:rPr>
          <w:rFonts w:eastAsiaTheme="minorHAnsi" w:cs="Times"/>
          <w:sz w:val="20"/>
          <w:szCs w:val="14"/>
          <w:lang w:val="en-US" w:eastAsia="en-US"/>
        </w:rPr>
        <w:t xml:space="preserve"> </w:t>
      </w:r>
      <w:r w:rsidR="00A746D6" w:rsidRPr="004343A0">
        <w:rPr>
          <w:rFonts w:eastAsiaTheme="minorHAnsi" w:cs="Times"/>
          <w:sz w:val="20"/>
          <w:szCs w:val="14"/>
          <w:lang w:val="en-US" w:eastAsia="en-US"/>
        </w:rPr>
        <w:t>(</w:t>
      </w:r>
      <w:r w:rsidR="00385CCC" w:rsidRPr="004343A0">
        <w:rPr>
          <w:sz w:val="20"/>
        </w:rPr>
        <w:t>2006</w:t>
      </w:r>
      <w:r w:rsidR="00A746D6" w:rsidRPr="004343A0">
        <w:rPr>
          <w:sz w:val="20"/>
        </w:rPr>
        <w:t>)</w:t>
      </w:r>
      <w:r w:rsidR="00385CCC" w:rsidRPr="004343A0">
        <w:rPr>
          <w:sz w:val="20"/>
        </w:rPr>
        <w:t>,</w:t>
      </w:r>
      <w:r w:rsidRPr="004343A0">
        <w:rPr>
          <w:sz w:val="20"/>
        </w:rPr>
        <w:t xml:space="preserve"> </w:t>
      </w:r>
      <w:r w:rsidRPr="004343A0">
        <w:rPr>
          <w:i/>
          <w:sz w:val="20"/>
        </w:rPr>
        <w:t>“Energy – its Impact on the Environment and Society</w:t>
      </w:r>
      <w:r w:rsidRPr="004343A0">
        <w:rPr>
          <w:sz w:val="20"/>
        </w:rPr>
        <w:t>” Department for Business Enterprise and Regulatory Reform, http://www.dti.gov.uk/energy/environment/energy-impact/page29982.html</w:t>
      </w:r>
    </w:p>
    <w:p w:rsidR="003F2D42" w:rsidRPr="004343A0" w:rsidRDefault="003F2D42"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Times"/>
          <w:sz w:val="20"/>
          <w:szCs w:val="14"/>
          <w:lang w:val="en-US" w:eastAsia="en-US"/>
        </w:rPr>
        <w:t>Department of Tra</w:t>
      </w:r>
      <w:r w:rsidR="008B1D03" w:rsidRPr="004343A0">
        <w:rPr>
          <w:rFonts w:eastAsiaTheme="minorHAnsi" w:cs="Times"/>
          <w:sz w:val="20"/>
          <w:szCs w:val="14"/>
          <w:lang w:val="en-US" w:eastAsia="en-US"/>
        </w:rPr>
        <w:t>de and Industry (DTI),</w:t>
      </w:r>
      <w:r w:rsidRPr="004343A0">
        <w:rPr>
          <w:rFonts w:eastAsiaTheme="minorHAnsi" w:cs="Times"/>
          <w:sz w:val="20"/>
          <w:szCs w:val="14"/>
          <w:lang w:val="en-US" w:eastAsia="en-US"/>
        </w:rPr>
        <w:t xml:space="preserve"> </w:t>
      </w:r>
      <w:r w:rsidR="00A746D6" w:rsidRPr="004343A0">
        <w:rPr>
          <w:rFonts w:eastAsiaTheme="minorHAnsi" w:cs="Times"/>
          <w:sz w:val="20"/>
          <w:szCs w:val="14"/>
          <w:lang w:val="en-US" w:eastAsia="en-US"/>
        </w:rPr>
        <w:t xml:space="preserve">(2007), </w:t>
      </w:r>
      <w:r w:rsidRPr="004343A0">
        <w:rPr>
          <w:rFonts w:eastAsiaTheme="minorHAnsi" w:cs="Times"/>
          <w:i/>
          <w:sz w:val="20"/>
          <w:szCs w:val="14"/>
          <w:lang w:val="en-US" w:eastAsia="en-US"/>
        </w:rPr>
        <w:t>Meeting the energy challenge:</w:t>
      </w:r>
      <w:r w:rsidRPr="004343A0">
        <w:rPr>
          <w:rFonts w:eastAsiaTheme="minorHAnsi" w:cs="Helvetica"/>
          <w:i/>
          <w:sz w:val="20"/>
          <w:lang w:val="en-US" w:eastAsia="en-US"/>
        </w:rPr>
        <w:t xml:space="preserve"> </w:t>
      </w:r>
      <w:r w:rsidRPr="004343A0">
        <w:rPr>
          <w:rFonts w:eastAsiaTheme="minorHAnsi" w:cs="Times"/>
          <w:i/>
          <w:sz w:val="20"/>
          <w:szCs w:val="14"/>
          <w:lang w:val="en-US" w:eastAsia="en-US"/>
        </w:rPr>
        <w:t>a white paper on energy</w:t>
      </w:r>
      <w:r w:rsidRPr="004343A0">
        <w:rPr>
          <w:rFonts w:eastAsiaTheme="minorHAnsi" w:cs="Times"/>
          <w:sz w:val="20"/>
          <w:szCs w:val="14"/>
          <w:lang w:val="en-US" w:eastAsia="en-US"/>
        </w:rPr>
        <w:t xml:space="preserve">, Norwich: The Stationary </w:t>
      </w:r>
      <w:r w:rsidR="00377B36" w:rsidRPr="004343A0">
        <w:rPr>
          <w:rFonts w:eastAsiaTheme="minorHAnsi" w:cs="Times"/>
          <w:sz w:val="20"/>
          <w:szCs w:val="14"/>
          <w:lang w:val="en-US" w:eastAsia="en-US"/>
        </w:rPr>
        <w:t>Of</w:t>
      </w:r>
      <w:r w:rsidR="00377B36" w:rsidRPr="004343A0">
        <w:rPr>
          <w:rFonts w:eastAsiaTheme="minorHAnsi" w:cs="Helvetica"/>
          <w:sz w:val="20"/>
          <w:szCs w:val="14"/>
          <w:lang w:val="en-US" w:eastAsia="en-US"/>
        </w:rPr>
        <w:t>f</w:t>
      </w:r>
      <w:r w:rsidR="00377B36" w:rsidRPr="004343A0">
        <w:rPr>
          <w:rFonts w:eastAsiaTheme="minorHAnsi" w:cs="Times"/>
          <w:sz w:val="20"/>
          <w:szCs w:val="14"/>
          <w:lang w:val="en-US" w:eastAsia="en-US"/>
        </w:rPr>
        <w:t>ice</w:t>
      </w:r>
      <w:r w:rsidRPr="004343A0">
        <w:rPr>
          <w:rFonts w:eastAsiaTheme="minorHAnsi" w:cs="Times"/>
          <w:sz w:val="20"/>
          <w:szCs w:val="14"/>
          <w:lang w:val="en-US" w:eastAsia="en-US"/>
        </w:rPr>
        <w:t>.</w:t>
      </w:r>
      <w:r w:rsidRPr="004343A0">
        <w:rPr>
          <w:rFonts w:eastAsiaTheme="minorHAnsi" w:cs="Helvetica"/>
          <w:sz w:val="20"/>
          <w:lang w:val="en-US" w:eastAsia="en-US"/>
        </w:rPr>
        <w:t xml:space="preserve"> </w:t>
      </w:r>
    </w:p>
    <w:p w:rsidR="00385CCC" w:rsidRPr="004343A0" w:rsidRDefault="008B1D03"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Times"/>
          <w:sz w:val="20"/>
          <w:szCs w:val="14"/>
          <w:lang w:val="en-US" w:eastAsia="en-US"/>
        </w:rPr>
        <w:t>Devine-Wright, H. &amp;</w:t>
      </w:r>
      <w:r w:rsidR="00385CCC" w:rsidRPr="004343A0">
        <w:rPr>
          <w:rFonts w:eastAsiaTheme="minorHAnsi" w:cs="Times"/>
          <w:sz w:val="20"/>
          <w:szCs w:val="14"/>
          <w:lang w:val="en-US" w:eastAsia="en-US"/>
        </w:rPr>
        <w:t xml:space="preserve"> Devine-Wright, P., </w:t>
      </w:r>
      <w:r w:rsidRPr="004343A0">
        <w:rPr>
          <w:rFonts w:eastAsiaTheme="minorHAnsi" w:cs="Times"/>
          <w:sz w:val="20"/>
          <w:szCs w:val="14"/>
          <w:lang w:val="en-US" w:eastAsia="en-US"/>
        </w:rPr>
        <w:t>(2004),</w:t>
      </w:r>
      <w:r w:rsidR="00385CCC" w:rsidRPr="004343A0">
        <w:rPr>
          <w:rFonts w:eastAsiaTheme="minorHAnsi" w:cs="Times"/>
          <w:sz w:val="20"/>
          <w:szCs w:val="14"/>
          <w:lang w:val="en-US" w:eastAsia="en-US"/>
        </w:rPr>
        <w:t xml:space="preserve"> From demand side management to</w:t>
      </w:r>
      <w:r w:rsidR="00385CCC" w:rsidRPr="004343A0">
        <w:rPr>
          <w:rFonts w:eastAsiaTheme="minorHAnsi" w:cs="Helvetica"/>
          <w:sz w:val="20"/>
          <w:lang w:val="en-US" w:eastAsia="en-US"/>
        </w:rPr>
        <w:t xml:space="preserve"> </w:t>
      </w:r>
      <w:r w:rsidR="00385CCC" w:rsidRPr="004343A0">
        <w:rPr>
          <w:rFonts w:eastAsiaTheme="minorHAnsi" w:cs="Times"/>
          <w:sz w:val="20"/>
          <w:szCs w:val="14"/>
          <w:lang w:val="en-US" w:eastAsia="en-US"/>
        </w:rPr>
        <w:t>demand side participation: towards an environmental psychology of sustainab</w:t>
      </w:r>
      <w:r w:rsidRPr="004343A0">
        <w:rPr>
          <w:rFonts w:eastAsiaTheme="minorHAnsi" w:cs="Times"/>
          <w:sz w:val="20"/>
          <w:szCs w:val="14"/>
          <w:lang w:val="en-US" w:eastAsia="en-US"/>
        </w:rPr>
        <w:t>le electricity system evolution,</w:t>
      </w:r>
      <w:r w:rsidR="00385CCC" w:rsidRPr="004343A0">
        <w:rPr>
          <w:rFonts w:eastAsiaTheme="minorHAnsi" w:cs="Times"/>
          <w:sz w:val="20"/>
          <w:szCs w:val="14"/>
          <w:lang w:val="en-US" w:eastAsia="en-US"/>
        </w:rPr>
        <w:t xml:space="preserve"> </w:t>
      </w:r>
      <w:r w:rsidR="00385CCC" w:rsidRPr="004343A0">
        <w:rPr>
          <w:rFonts w:eastAsiaTheme="minorHAnsi" w:cs="Times"/>
          <w:i/>
          <w:sz w:val="20"/>
          <w:szCs w:val="14"/>
          <w:lang w:val="en-US" w:eastAsia="en-US"/>
        </w:rPr>
        <w:t>Journal of Applied Psychology 6</w:t>
      </w:r>
      <w:r w:rsidR="00385CCC" w:rsidRPr="004343A0">
        <w:rPr>
          <w:rFonts w:eastAsiaTheme="minorHAnsi" w:cs="Times"/>
          <w:sz w:val="20"/>
          <w:szCs w:val="14"/>
          <w:lang w:val="en-US" w:eastAsia="en-US"/>
        </w:rPr>
        <w:t xml:space="preserve"> (3–4),</w:t>
      </w:r>
      <w:r w:rsidR="00385CCC" w:rsidRPr="004343A0">
        <w:rPr>
          <w:rFonts w:eastAsiaTheme="minorHAnsi" w:cs="Helvetica"/>
          <w:sz w:val="20"/>
          <w:lang w:val="en-US" w:eastAsia="en-US"/>
        </w:rPr>
        <w:t xml:space="preserve"> </w:t>
      </w:r>
      <w:r w:rsidR="00385CCC" w:rsidRPr="004343A0">
        <w:rPr>
          <w:rFonts w:eastAsiaTheme="minorHAnsi" w:cs="Times"/>
          <w:sz w:val="20"/>
          <w:szCs w:val="14"/>
          <w:lang w:val="en-US" w:eastAsia="en-US"/>
        </w:rPr>
        <w:t>167–177.</w:t>
      </w:r>
      <w:r w:rsidR="00385CCC" w:rsidRPr="004343A0">
        <w:rPr>
          <w:rFonts w:eastAsiaTheme="minorHAnsi" w:cs="Helvetica"/>
          <w:sz w:val="20"/>
          <w:lang w:val="en-US" w:eastAsia="en-US"/>
        </w:rPr>
        <w:t xml:space="preserve"> </w:t>
      </w:r>
    </w:p>
    <w:p w:rsidR="00C85998" w:rsidRPr="004343A0" w:rsidRDefault="008B1D03" w:rsidP="00633E83">
      <w:pPr>
        <w:spacing w:line="480" w:lineRule="auto"/>
        <w:jc w:val="both"/>
        <w:rPr>
          <w:sz w:val="20"/>
        </w:rPr>
      </w:pPr>
      <w:r w:rsidRPr="004343A0">
        <w:rPr>
          <w:sz w:val="20"/>
        </w:rPr>
        <w:t>Ebi, K.L. &amp; Semenza</w:t>
      </w:r>
      <w:r w:rsidR="00C85998" w:rsidRPr="004343A0">
        <w:rPr>
          <w:sz w:val="20"/>
        </w:rPr>
        <w:t xml:space="preserve">, J.C., </w:t>
      </w:r>
      <w:r w:rsidRPr="004343A0">
        <w:rPr>
          <w:sz w:val="20"/>
        </w:rPr>
        <w:t>(</w:t>
      </w:r>
      <w:r w:rsidR="00C85998" w:rsidRPr="004343A0">
        <w:rPr>
          <w:sz w:val="20"/>
        </w:rPr>
        <w:t>2008</w:t>
      </w:r>
      <w:r w:rsidRPr="004343A0">
        <w:rPr>
          <w:sz w:val="20"/>
        </w:rPr>
        <w:t>),</w:t>
      </w:r>
      <w:r w:rsidR="00C85998" w:rsidRPr="004343A0">
        <w:rPr>
          <w:sz w:val="20"/>
        </w:rPr>
        <w:t xml:space="preserve"> Community-based adaptation to the health impacts of climate change</w:t>
      </w:r>
      <w:r w:rsidR="00027CF0" w:rsidRPr="004343A0">
        <w:rPr>
          <w:sz w:val="20"/>
        </w:rPr>
        <w:t>,</w:t>
      </w:r>
      <w:r w:rsidR="00C85998" w:rsidRPr="004343A0">
        <w:rPr>
          <w:sz w:val="20"/>
        </w:rPr>
        <w:t xml:space="preserve"> </w:t>
      </w:r>
      <w:r w:rsidR="00C85998" w:rsidRPr="004343A0">
        <w:rPr>
          <w:i/>
          <w:sz w:val="20"/>
        </w:rPr>
        <w:t>American Journal of Preventative Medicine 35</w:t>
      </w:r>
      <w:r w:rsidR="00C85998" w:rsidRPr="004343A0">
        <w:rPr>
          <w:sz w:val="20"/>
        </w:rPr>
        <w:t xml:space="preserve"> (5), 501–507. </w:t>
      </w:r>
    </w:p>
    <w:p w:rsidR="008B1D03" w:rsidRPr="004343A0" w:rsidRDefault="00027CF0" w:rsidP="003177F0">
      <w:pPr>
        <w:spacing w:line="480" w:lineRule="auto"/>
        <w:jc w:val="both"/>
        <w:rPr>
          <w:rFonts w:eastAsiaTheme="minorHAnsi" w:cs="Verdana"/>
          <w:sz w:val="20"/>
          <w:szCs w:val="16"/>
          <w:lang w:val="en-US" w:eastAsia="en-US"/>
        </w:rPr>
      </w:pPr>
      <w:r w:rsidRPr="004343A0">
        <w:rPr>
          <w:sz w:val="20"/>
        </w:rPr>
        <w:lastRenderedPageBreak/>
        <w:t>EEA Technical R</w:t>
      </w:r>
      <w:r w:rsidR="003177F0" w:rsidRPr="004343A0">
        <w:rPr>
          <w:sz w:val="20"/>
        </w:rPr>
        <w:t>eport</w:t>
      </w:r>
      <w:r w:rsidRPr="004343A0">
        <w:rPr>
          <w:sz w:val="20"/>
        </w:rPr>
        <w:t>,</w:t>
      </w:r>
      <w:r w:rsidR="003177F0" w:rsidRPr="004343A0">
        <w:rPr>
          <w:sz w:val="20"/>
        </w:rPr>
        <w:t xml:space="preserve"> (2013)</w:t>
      </w:r>
      <w:r w:rsidRPr="004343A0">
        <w:rPr>
          <w:sz w:val="20"/>
        </w:rPr>
        <w:t>,</w:t>
      </w:r>
      <w:r w:rsidR="003177F0" w:rsidRPr="004343A0">
        <w:rPr>
          <w:sz w:val="20"/>
        </w:rPr>
        <w:t xml:space="preserve"> </w:t>
      </w:r>
      <w:r w:rsidR="003177F0" w:rsidRPr="004343A0">
        <w:rPr>
          <w:i/>
          <w:sz w:val="20"/>
        </w:rPr>
        <w:t>‘Achieving energy efficiency through behaviour change: what does it take?</w:t>
      </w:r>
      <w:r w:rsidRPr="004343A0">
        <w:rPr>
          <w:i/>
          <w:sz w:val="20"/>
        </w:rPr>
        <w:t>’</w:t>
      </w:r>
      <w:r w:rsidR="003177F0" w:rsidRPr="004343A0">
        <w:rPr>
          <w:sz w:val="20"/>
        </w:rPr>
        <w:t xml:space="preserve"> No 5/2013</w:t>
      </w:r>
      <w:r w:rsidR="001130F6" w:rsidRPr="004343A0">
        <w:rPr>
          <w:sz w:val="20"/>
        </w:rPr>
        <w:t xml:space="preserve">, </w:t>
      </w:r>
      <w:r w:rsidR="001130F6" w:rsidRPr="004343A0">
        <w:rPr>
          <w:rFonts w:eastAsiaTheme="minorHAnsi" w:cs="Verdana"/>
          <w:sz w:val="20"/>
          <w:szCs w:val="16"/>
          <w:lang w:val="en-US" w:eastAsia="en-US"/>
        </w:rPr>
        <w:t>ISSN 1725-2237</w:t>
      </w:r>
    </w:p>
    <w:p w:rsidR="008B1D03" w:rsidRPr="004343A0" w:rsidRDefault="008B1D03" w:rsidP="008B1D03">
      <w:pPr>
        <w:spacing w:line="480" w:lineRule="auto"/>
        <w:jc w:val="both"/>
        <w:outlineLvl w:val="0"/>
        <w:rPr>
          <w:sz w:val="20"/>
          <w:szCs w:val="20"/>
          <w:lang w:bidi="th-TH"/>
        </w:rPr>
      </w:pPr>
      <w:r w:rsidRPr="004343A0">
        <w:rPr>
          <w:sz w:val="20"/>
          <w:szCs w:val="20"/>
          <w:lang w:bidi="th-TH"/>
        </w:rPr>
        <w:t xml:space="preserve">Energy Savings Trust, </w:t>
      </w:r>
      <w:r w:rsidR="00027CF0" w:rsidRPr="004343A0">
        <w:rPr>
          <w:sz w:val="20"/>
          <w:szCs w:val="20"/>
          <w:lang w:bidi="th-TH"/>
        </w:rPr>
        <w:t xml:space="preserve">(2007), </w:t>
      </w:r>
      <w:r w:rsidR="00027CF0" w:rsidRPr="004343A0">
        <w:rPr>
          <w:i/>
          <w:sz w:val="20"/>
          <w:szCs w:val="20"/>
          <w:lang w:bidi="th-TH"/>
        </w:rPr>
        <w:t>The Green Barometer</w:t>
      </w:r>
    </w:p>
    <w:p w:rsidR="00D86D91" w:rsidRDefault="00D86D91" w:rsidP="00C85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Pr>
          <w:rFonts w:eastAsiaTheme="minorHAnsi" w:cs="Times"/>
          <w:sz w:val="20"/>
          <w:szCs w:val="16"/>
          <w:lang w:val="en-US" w:eastAsia="en-US"/>
        </w:rPr>
        <w:t xml:space="preserve">EC FP7 Project- </w:t>
      </w:r>
      <w:r w:rsidRPr="004343A0">
        <w:rPr>
          <w:rFonts w:eastAsiaTheme="minorHAnsi" w:cs="Times"/>
          <w:sz w:val="20"/>
          <w:szCs w:val="16"/>
          <w:lang w:val="en-US" w:eastAsia="en-US"/>
        </w:rPr>
        <w:t xml:space="preserve">Changing Behaviour, </w:t>
      </w:r>
      <w:r>
        <w:rPr>
          <w:rFonts w:eastAsiaTheme="minorHAnsi" w:cs="Times"/>
          <w:sz w:val="20"/>
          <w:szCs w:val="16"/>
          <w:lang w:val="en-US" w:eastAsia="en-US"/>
        </w:rPr>
        <w:t>(</w:t>
      </w:r>
      <w:r w:rsidRPr="004343A0">
        <w:rPr>
          <w:rFonts w:eastAsiaTheme="minorHAnsi" w:cs="Times"/>
          <w:sz w:val="20"/>
          <w:szCs w:val="16"/>
          <w:lang w:val="en-US" w:eastAsia="en-US"/>
        </w:rPr>
        <w:t>2010</w:t>
      </w:r>
      <w:r>
        <w:rPr>
          <w:rFonts w:eastAsiaTheme="minorHAnsi" w:cs="Times"/>
          <w:sz w:val="20"/>
          <w:szCs w:val="16"/>
          <w:lang w:val="en-US" w:eastAsia="en-US"/>
        </w:rPr>
        <w:t xml:space="preserve">), </w:t>
      </w:r>
      <w:r w:rsidRPr="00D86D91">
        <w:rPr>
          <w:rFonts w:eastAsiaTheme="minorHAnsi" w:cs="Helvetica"/>
          <w:sz w:val="20"/>
          <w:lang w:val="en-US" w:eastAsia="en-US"/>
        </w:rPr>
        <w:t>http://www.energychange.info/</w:t>
      </w:r>
    </w:p>
    <w:p w:rsidR="00474337" w:rsidRPr="004343A0" w:rsidRDefault="00C85998" w:rsidP="00C85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Helvetica"/>
          <w:sz w:val="20"/>
          <w:lang w:val="en-US" w:eastAsia="en-US"/>
        </w:rPr>
        <w:t xml:space="preserve">Halpern, D., </w:t>
      </w:r>
      <w:r w:rsidR="00027CF0" w:rsidRPr="004343A0">
        <w:rPr>
          <w:rFonts w:eastAsiaTheme="minorHAnsi" w:cs="Helvetica"/>
          <w:sz w:val="20"/>
          <w:lang w:val="en-US" w:eastAsia="en-US"/>
        </w:rPr>
        <w:t>(</w:t>
      </w:r>
      <w:r w:rsidRPr="004343A0">
        <w:rPr>
          <w:rFonts w:eastAsiaTheme="minorHAnsi" w:cs="Helvetica"/>
          <w:sz w:val="20"/>
          <w:lang w:val="en-US" w:eastAsia="en-US"/>
        </w:rPr>
        <w:t>1999</w:t>
      </w:r>
      <w:r w:rsidR="00027CF0" w:rsidRPr="004343A0">
        <w:rPr>
          <w:rFonts w:eastAsiaTheme="minorHAnsi" w:cs="Helvetica"/>
          <w:sz w:val="20"/>
          <w:lang w:val="en-US" w:eastAsia="en-US"/>
        </w:rPr>
        <w:t>),</w:t>
      </w:r>
      <w:r w:rsidRPr="004343A0">
        <w:rPr>
          <w:rFonts w:eastAsiaTheme="minorHAnsi" w:cs="Helvetica"/>
          <w:sz w:val="20"/>
          <w:lang w:val="en-US" w:eastAsia="en-US"/>
        </w:rPr>
        <w:t xml:space="preserve"> </w:t>
      </w:r>
      <w:r w:rsidRPr="004343A0">
        <w:rPr>
          <w:rFonts w:eastAsiaTheme="minorHAnsi" w:cs="Helvetica"/>
          <w:i/>
          <w:sz w:val="20"/>
          <w:lang w:val="en-US" w:eastAsia="en-US"/>
        </w:rPr>
        <w:t>Social capital: the new golden goose</w:t>
      </w:r>
      <w:r w:rsidR="00027CF0" w:rsidRPr="004343A0">
        <w:rPr>
          <w:rFonts w:eastAsiaTheme="minorHAnsi" w:cs="Helvetica"/>
          <w:sz w:val="20"/>
          <w:lang w:val="en-US" w:eastAsia="en-US"/>
        </w:rPr>
        <w:t>,</w:t>
      </w:r>
      <w:r w:rsidRPr="004343A0">
        <w:rPr>
          <w:rFonts w:eastAsiaTheme="minorHAnsi" w:cs="Helvetica"/>
          <w:sz w:val="20"/>
          <w:lang w:val="en-US" w:eastAsia="en-US"/>
        </w:rPr>
        <w:t xml:space="preserve"> Faculty of Social and Political</w:t>
      </w:r>
      <w:r w:rsidR="00027CF0" w:rsidRPr="004343A0">
        <w:rPr>
          <w:rFonts w:eastAsiaTheme="minorHAnsi" w:cs="Helvetica"/>
          <w:sz w:val="20"/>
          <w:lang w:val="en-US" w:eastAsia="en-US"/>
        </w:rPr>
        <w:t xml:space="preserve"> Sciences, Cambridge University,</w:t>
      </w:r>
      <w:r w:rsidRPr="004343A0">
        <w:rPr>
          <w:rFonts w:eastAsiaTheme="minorHAnsi" w:cs="Helvetica"/>
          <w:sz w:val="20"/>
          <w:lang w:val="en-US" w:eastAsia="en-US"/>
        </w:rPr>
        <w:t xml:space="preserve"> Unpublished review</w:t>
      </w:r>
      <w:r w:rsidR="00474337" w:rsidRPr="004343A0">
        <w:rPr>
          <w:rFonts w:eastAsiaTheme="minorHAnsi" w:cs="Helvetica"/>
          <w:sz w:val="20"/>
          <w:lang w:val="en-US" w:eastAsia="en-US"/>
        </w:rPr>
        <w:t>.</w:t>
      </w:r>
    </w:p>
    <w:p w:rsidR="00474337" w:rsidRPr="004343A0" w:rsidRDefault="00474337" w:rsidP="00474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Helvetica"/>
          <w:sz w:val="20"/>
          <w:lang w:val="en-US" w:eastAsia="en-US"/>
        </w:rPr>
        <w:t xml:space="preserve">Halpern, D., Aldridge, S. and Fitzpatrick, S., </w:t>
      </w:r>
      <w:r w:rsidR="00027CF0" w:rsidRPr="004343A0">
        <w:rPr>
          <w:rFonts w:eastAsiaTheme="minorHAnsi" w:cs="Helvetica"/>
          <w:sz w:val="20"/>
          <w:lang w:val="en-US" w:eastAsia="en-US"/>
        </w:rPr>
        <w:t>(</w:t>
      </w:r>
      <w:r w:rsidRPr="004343A0">
        <w:rPr>
          <w:rFonts w:eastAsiaTheme="minorHAnsi" w:cs="Helvetica"/>
          <w:sz w:val="20"/>
          <w:lang w:val="en-US" w:eastAsia="en-US"/>
        </w:rPr>
        <w:t>2002</w:t>
      </w:r>
      <w:r w:rsidR="00027CF0" w:rsidRPr="004343A0">
        <w:rPr>
          <w:rFonts w:eastAsiaTheme="minorHAnsi" w:cs="Helvetica"/>
          <w:sz w:val="20"/>
          <w:lang w:val="en-US" w:eastAsia="en-US"/>
        </w:rPr>
        <w:t>),</w:t>
      </w:r>
      <w:r w:rsidRPr="004343A0">
        <w:rPr>
          <w:rFonts w:eastAsiaTheme="minorHAnsi" w:cs="Helvetica"/>
          <w:sz w:val="20"/>
          <w:lang w:val="en-US" w:eastAsia="en-US"/>
        </w:rPr>
        <w:t xml:space="preserve"> </w:t>
      </w:r>
      <w:r w:rsidRPr="004343A0">
        <w:rPr>
          <w:rFonts w:eastAsiaTheme="minorHAnsi" w:cs="Helvetica"/>
          <w:i/>
          <w:sz w:val="20"/>
          <w:lang w:val="en-US" w:eastAsia="en-US"/>
        </w:rPr>
        <w:t>Social Capital: a discussion paper</w:t>
      </w:r>
      <w:r w:rsidR="00027CF0" w:rsidRPr="004343A0">
        <w:rPr>
          <w:rFonts w:eastAsiaTheme="minorHAnsi" w:cs="Helvetica"/>
          <w:sz w:val="20"/>
          <w:lang w:val="en-US" w:eastAsia="en-US"/>
        </w:rPr>
        <w:t xml:space="preserve">, </w:t>
      </w:r>
      <w:r w:rsidRPr="004343A0">
        <w:rPr>
          <w:rFonts w:eastAsiaTheme="minorHAnsi" w:cs="Helvetica"/>
          <w:sz w:val="20"/>
          <w:lang w:val="en-US" w:eastAsia="en-US"/>
        </w:rPr>
        <w:t xml:space="preserve">Performance and Innovation Unit, London. </w:t>
      </w:r>
    </w:p>
    <w:p w:rsidR="00F96D23" w:rsidRDefault="00385CCC" w:rsidP="00692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Times"/>
          <w:sz w:val="20"/>
          <w:szCs w:val="14"/>
          <w:lang w:val="en-US" w:eastAsia="en-US"/>
        </w:rPr>
      </w:pPr>
      <w:r w:rsidRPr="004343A0">
        <w:rPr>
          <w:rFonts w:eastAsiaTheme="minorHAnsi" w:cs="Times"/>
          <w:sz w:val="20"/>
          <w:szCs w:val="14"/>
          <w:lang w:val="en-US" w:eastAsia="en-US"/>
        </w:rPr>
        <w:t xml:space="preserve">Heiskanen, E., Johnson, M., Robinson, S., Vadovics, E. and Saastamoinen, M., </w:t>
      </w:r>
      <w:r w:rsidR="00692783" w:rsidRPr="004343A0">
        <w:rPr>
          <w:rFonts w:eastAsiaTheme="minorHAnsi" w:cs="Times"/>
          <w:sz w:val="20"/>
          <w:szCs w:val="14"/>
          <w:lang w:val="en-US" w:eastAsia="en-US"/>
        </w:rPr>
        <w:t>(</w:t>
      </w:r>
      <w:r w:rsidRPr="004343A0">
        <w:rPr>
          <w:rFonts w:eastAsiaTheme="minorHAnsi" w:cs="Times"/>
          <w:sz w:val="20"/>
          <w:szCs w:val="14"/>
          <w:lang w:val="en-US" w:eastAsia="en-US"/>
        </w:rPr>
        <w:t>20</w:t>
      </w:r>
      <w:r w:rsidR="00692783" w:rsidRPr="004343A0">
        <w:rPr>
          <w:rFonts w:eastAsiaTheme="minorHAnsi" w:cs="Times"/>
          <w:sz w:val="20"/>
          <w:szCs w:val="14"/>
          <w:lang w:val="en-US" w:eastAsia="en-US"/>
        </w:rPr>
        <w:t>10)</w:t>
      </w:r>
      <w:r w:rsidRPr="004343A0">
        <w:rPr>
          <w:rFonts w:eastAsiaTheme="minorHAnsi" w:cs="Times"/>
          <w:sz w:val="20"/>
          <w:szCs w:val="14"/>
          <w:lang w:val="en-US" w:eastAsia="en-US"/>
        </w:rPr>
        <w:t xml:space="preserve">, </w:t>
      </w:r>
      <w:r w:rsidR="003661C9" w:rsidRPr="004343A0">
        <w:rPr>
          <w:rFonts w:eastAsiaTheme="minorHAnsi" w:cs="Times"/>
          <w:sz w:val="20"/>
          <w:szCs w:val="14"/>
          <w:lang w:val="en-US" w:eastAsia="en-US"/>
        </w:rPr>
        <w:t xml:space="preserve">Low </w:t>
      </w:r>
      <w:r w:rsidRPr="004343A0">
        <w:rPr>
          <w:rFonts w:eastAsiaTheme="minorHAnsi" w:cs="Times"/>
          <w:sz w:val="20"/>
          <w:szCs w:val="14"/>
          <w:lang w:val="en-US" w:eastAsia="en-US"/>
        </w:rPr>
        <w:t xml:space="preserve">carbon communities as a context for individual behavioural change, </w:t>
      </w:r>
      <w:r w:rsidRPr="004343A0">
        <w:rPr>
          <w:rFonts w:eastAsiaTheme="minorHAnsi" w:cs="Times"/>
          <w:i/>
          <w:sz w:val="20"/>
          <w:szCs w:val="14"/>
          <w:lang w:val="en-US" w:eastAsia="en-US"/>
        </w:rPr>
        <w:t>Energy</w:t>
      </w:r>
      <w:r w:rsidRPr="004343A0">
        <w:rPr>
          <w:rFonts w:eastAsiaTheme="minorHAnsi" w:cs="Helvetica"/>
          <w:i/>
          <w:sz w:val="20"/>
          <w:lang w:val="en-US" w:eastAsia="en-US"/>
        </w:rPr>
        <w:t xml:space="preserve"> </w:t>
      </w:r>
      <w:r w:rsidR="00027CF0" w:rsidRPr="004343A0">
        <w:rPr>
          <w:rFonts w:eastAsiaTheme="minorHAnsi" w:cs="Times"/>
          <w:i/>
          <w:sz w:val="20"/>
          <w:szCs w:val="14"/>
          <w:lang w:val="en-US" w:eastAsia="en-US"/>
        </w:rPr>
        <w:t>Policy</w:t>
      </w:r>
      <w:r w:rsidRPr="004343A0">
        <w:rPr>
          <w:rFonts w:eastAsiaTheme="minorHAnsi" w:cs="Times"/>
          <w:i/>
          <w:sz w:val="20"/>
          <w:szCs w:val="14"/>
          <w:lang w:val="en-US" w:eastAsia="en-US"/>
        </w:rPr>
        <w:t xml:space="preserve"> 38</w:t>
      </w:r>
      <w:r w:rsidR="00692783" w:rsidRPr="004343A0">
        <w:rPr>
          <w:rFonts w:eastAsiaTheme="minorHAnsi" w:cs="Times"/>
          <w:sz w:val="20"/>
          <w:szCs w:val="14"/>
          <w:lang w:val="en-US" w:eastAsia="en-US"/>
        </w:rPr>
        <w:t>,</w:t>
      </w:r>
      <w:r w:rsidRPr="004343A0">
        <w:rPr>
          <w:rFonts w:eastAsiaTheme="minorHAnsi" w:cs="Times"/>
          <w:sz w:val="20"/>
          <w:szCs w:val="14"/>
          <w:lang w:val="en-US" w:eastAsia="en-US"/>
        </w:rPr>
        <w:t xml:space="preserve"> 7586–7595</w:t>
      </w:r>
    </w:p>
    <w:p w:rsidR="00385CCC" w:rsidRPr="004343A0" w:rsidRDefault="00EA3FF3" w:rsidP="00692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Arial"/>
          <w:sz w:val="20"/>
          <w:szCs w:val="22"/>
          <w:lang w:val="en-US" w:eastAsia="en-US"/>
        </w:rPr>
        <w:t>Help the Aged</w:t>
      </w:r>
      <w:r w:rsidR="0057665B">
        <w:rPr>
          <w:rFonts w:eastAsiaTheme="minorHAnsi" w:cs="Arial"/>
          <w:sz w:val="20"/>
          <w:szCs w:val="22"/>
          <w:lang w:val="en-US" w:eastAsia="en-US"/>
        </w:rPr>
        <w:t xml:space="preserve"> (</w:t>
      </w:r>
      <w:r>
        <w:rPr>
          <w:rFonts w:eastAsiaTheme="minorHAnsi" w:cs="Arial"/>
          <w:sz w:val="20"/>
          <w:szCs w:val="22"/>
          <w:lang w:val="en-US" w:eastAsia="en-US"/>
        </w:rPr>
        <w:t xml:space="preserve">2007) (now AgeUK), </w:t>
      </w:r>
      <w:r w:rsidR="00F96D23" w:rsidRPr="00F96D23">
        <w:rPr>
          <w:rFonts w:eastAsiaTheme="minorHAnsi" w:cs="Helvetica"/>
          <w:sz w:val="20"/>
          <w:lang w:val="en-US" w:eastAsia="en-US"/>
        </w:rPr>
        <w:t>http://www.helptheaged.org.uk</w:t>
      </w:r>
    </w:p>
    <w:p w:rsidR="00385CCC" w:rsidRPr="004343A0" w:rsidRDefault="00385CCC"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Times"/>
          <w:sz w:val="20"/>
          <w:szCs w:val="14"/>
          <w:lang w:val="en-US" w:eastAsia="en-US"/>
        </w:rPr>
        <w:t xml:space="preserve">Hinchliffe, S., </w:t>
      </w:r>
      <w:r w:rsidR="00027CF0" w:rsidRPr="004343A0">
        <w:rPr>
          <w:rFonts w:eastAsiaTheme="minorHAnsi" w:cs="Times"/>
          <w:sz w:val="20"/>
          <w:szCs w:val="14"/>
          <w:lang w:val="en-US" w:eastAsia="en-US"/>
        </w:rPr>
        <w:t>(1996),</w:t>
      </w:r>
      <w:r w:rsidRPr="004343A0">
        <w:rPr>
          <w:rFonts w:eastAsiaTheme="minorHAnsi" w:cs="Times"/>
          <w:sz w:val="20"/>
          <w:szCs w:val="14"/>
          <w:lang w:val="en-US" w:eastAsia="en-US"/>
        </w:rPr>
        <w:t xml:space="preserve"> Helping the earth begins at home: the social construction of</w:t>
      </w:r>
      <w:r w:rsidRPr="004343A0">
        <w:rPr>
          <w:rFonts w:eastAsiaTheme="minorHAnsi" w:cs="Helvetica"/>
          <w:sz w:val="20"/>
          <w:lang w:val="en-US" w:eastAsia="en-US"/>
        </w:rPr>
        <w:t xml:space="preserve"> </w:t>
      </w:r>
      <w:r w:rsidRPr="004343A0">
        <w:rPr>
          <w:rFonts w:eastAsiaTheme="minorHAnsi" w:cs="Times"/>
          <w:sz w:val="20"/>
          <w:szCs w:val="14"/>
          <w:lang w:val="en-US" w:eastAsia="en-US"/>
        </w:rPr>
        <w:t>socio</w:t>
      </w:r>
      <w:r w:rsidR="00027CF0" w:rsidRPr="004343A0">
        <w:rPr>
          <w:rFonts w:eastAsiaTheme="minorHAnsi" w:cs="Times"/>
          <w:sz w:val="20"/>
          <w:szCs w:val="14"/>
          <w:lang w:val="en-US" w:eastAsia="en-US"/>
        </w:rPr>
        <w:t>-environmental responsibilities,</w:t>
      </w:r>
      <w:r w:rsidRPr="004343A0">
        <w:rPr>
          <w:rFonts w:eastAsiaTheme="minorHAnsi" w:cs="Times"/>
          <w:sz w:val="20"/>
          <w:szCs w:val="14"/>
          <w:lang w:val="en-US" w:eastAsia="en-US"/>
        </w:rPr>
        <w:t xml:space="preserve"> </w:t>
      </w:r>
      <w:r w:rsidRPr="004343A0">
        <w:rPr>
          <w:rFonts w:eastAsiaTheme="minorHAnsi" w:cs="Times"/>
          <w:i/>
          <w:sz w:val="20"/>
          <w:szCs w:val="14"/>
          <w:lang w:val="en-US" w:eastAsia="en-US"/>
        </w:rPr>
        <w:t>Global Environmental Change 6</w:t>
      </w:r>
      <w:r w:rsidRPr="004343A0">
        <w:rPr>
          <w:rFonts w:eastAsiaTheme="minorHAnsi" w:cs="Times"/>
          <w:sz w:val="20"/>
          <w:szCs w:val="14"/>
          <w:lang w:val="en-US" w:eastAsia="en-US"/>
        </w:rPr>
        <w:t xml:space="preserve"> (1),</w:t>
      </w:r>
      <w:r w:rsidRPr="004343A0">
        <w:rPr>
          <w:rFonts w:eastAsiaTheme="minorHAnsi" w:cs="Helvetica"/>
          <w:sz w:val="20"/>
          <w:lang w:val="en-US" w:eastAsia="en-US"/>
        </w:rPr>
        <w:t xml:space="preserve"> </w:t>
      </w:r>
      <w:r w:rsidRPr="004343A0">
        <w:rPr>
          <w:rFonts w:eastAsiaTheme="minorHAnsi" w:cs="Times"/>
          <w:sz w:val="20"/>
          <w:szCs w:val="14"/>
          <w:lang w:val="en-US" w:eastAsia="en-US"/>
        </w:rPr>
        <w:t>53–62.</w:t>
      </w:r>
    </w:p>
    <w:p w:rsidR="00474337" w:rsidRPr="004343A0" w:rsidRDefault="00474337" w:rsidP="00474337">
      <w:pPr>
        <w:spacing w:line="480" w:lineRule="auto"/>
        <w:jc w:val="both"/>
        <w:rPr>
          <w:rFonts w:cs="Arial"/>
          <w:sz w:val="20"/>
          <w:szCs w:val="20"/>
          <w:lang w:bidi="th-TH"/>
        </w:rPr>
      </w:pPr>
      <w:r w:rsidRPr="004343A0">
        <w:rPr>
          <w:rFonts w:cs="Arial"/>
          <w:sz w:val="20"/>
          <w:szCs w:val="20"/>
          <w:lang w:bidi="th-TH"/>
        </w:rPr>
        <w:t xml:space="preserve">Jackson, T., </w:t>
      </w:r>
      <w:r w:rsidR="00027CF0" w:rsidRPr="004343A0">
        <w:rPr>
          <w:rFonts w:cs="Arial"/>
          <w:sz w:val="20"/>
          <w:szCs w:val="20"/>
          <w:lang w:bidi="th-TH"/>
        </w:rPr>
        <w:t>(</w:t>
      </w:r>
      <w:r w:rsidRPr="004343A0">
        <w:rPr>
          <w:rFonts w:cs="Arial"/>
          <w:sz w:val="20"/>
          <w:szCs w:val="20"/>
          <w:lang w:bidi="th-TH"/>
        </w:rPr>
        <w:t>2005</w:t>
      </w:r>
      <w:r w:rsidR="00027CF0" w:rsidRPr="004343A0">
        <w:rPr>
          <w:rFonts w:cs="Arial"/>
          <w:sz w:val="20"/>
          <w:szCs w:val="20"/>
          <w:lang w:bidi="th-TH"/>
        </w:rPr>
        <w:t>),</w:t>
      </w:r>
      <w:r w:rsidRPr="004343A0">
        <w:rPr>
          <w:rFonts w:cs="Arial"/>
          <w:sz w:val="20"/>
          <w:szCs w:val="20"/>
          <w:lang w:bidi="th-TH"/>
        </w:rPr>
        <w:t xml:space="preserve"> </w:t>
      </w:r>
      <w:r w:rsidRPr="004343A0">
        <w:rPr>
          <w:rFonts w:cs="Arial"/>
          <w:i/>
          <w:sz w:val="20"/>
          <w:szCs w:val="20"/>
          <w:lang w:bidi="th-TH"/>
        </w:rPr>
        <w:t>Motivating sustainable consumption: a review of the evidence on consumer behaviour and behavioural change</w:t>
      </w:r>
      <w:r w:rsidRPr="004343A0">
        <w:rPr>
          <w:rFonts w:cs="Arial"/>
          <w:sz w:val="20"/>
          <w:szCs w:val="20"/>
          <w:lang w:bidi="th-TH"/>
        </w:rPr>
        <w:t xml:space="preserve">. </w:t>
      </w:r>
      <w:r w:rsidR="00027CF0" w:rsidRPr="004343A0">
        <w:rPr>
          <w:rFonts w:cs="Arial"/>
          <w:sz w:val="20"/>
          <w:szCs w:val="20"/>
          <w:lang w:bidi="th-TH"/>
        </w:rPr>
        <w:t>A</w:t>
      </w:r>
      <w:r w:rsidRPr="004343A0">
        <w:rPr>
          <w:rFonts w:cs="Arial"/>
          <w:sz w:val="20"/>
          <w:szCs w:val="20"/>
          <w:lang w:bidi="th-TH"/>
        </w:rPr>
        <w:t xml:space="preserve"> report to the sustainable development research network. London: Policy Studies Institute.</w:t>
      </w:r>
    </w:p>
    <w:p w:rsidR="00474337" w:rsidRPr="004343A0" w:rsidRDefault="00474337" w:rsidP="00474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0"/>
          <w:lang w:val="en-US"/>
        </w:rPr>
      </w:pPr>
      <w:r w:rsidRPr="004343A0">
        <w:rPr>
          <w:sz w:val="20"/>
          <w:lang w:val="en-US"/>
        </w:rPr>
        <w:t>Joseph Rown Tree Foundation</w:t>
      </w:r>
      <w:r w:rsidR="00027CF0" w:rsidRPr="004343A0">
        <w:rPr>
          <w:sz w:val="20"/>
          <w:lang w:val="en-US"/>
        </w:rPr>
        <w:t xml:space="preserve"> (JRF)</w:t>
      </w:r>
      <w:r w:rsidRPr="004343A0">
        <w:rPr>
          <w:sz w:val="20"/>
          <w:lang w:val="en-US"/>
        </w:rPr>
        <w:t xml:space="preserve">, February 2004, </w:t>
      </w:r>
      <w:r w:rsidRPr="004343A0">
        <w:rPr>
          <w:i/>
          <w:sz w:val="20"/>
          <w:lang w:val="en-US"/>
        </w:rPr>
        <w:t>Findings</w:t>
      </w:r>
      <w:r w:rsidR="00027CF0" w:rsidRPr="004343A0">
        <w:rPr>
          <w:sz w:val="20"/>
          <w:lang w:val="en-US"/>
        </w:rPr>
        <w:t>-</w:t>
      </w:r>
      <w:r w:rsidRPr="004343A0">
        <w:rPr>
          <w:sz w:val="20"/>
          <w:lang w:val="en-US"/>
        </w:rPr>
        <w:t xml:space="preserve"> </w:t>
      </w:r>
      <w:r w:rsidRPr="004343A0">
        <w:rPr>
          <w:i/>
          <w:sz w:val="20"/>
          <w:lang w:val="en-US"/>
        </w:rPr>
        <w:t>Future costs of long-term care for older people</w:t>
      </w:r>
    </w:p>
    <w:p w:rsidR="00027CF0" w:rsidRPr="004343A0" w:rsidRDefault="00027CF0" w:rsidP="00027CF0">
      <w:pPr>
        <w:spacing w:line="480" w:lineRule="auto"/>
        <w:jc w:val="both"/>
        <w:rPr>
          <w:sz w:val="20"/>
        </w:rPr>
      </w:pPr>
      <w:r w:rsidRPr="004343A0">
        <w:rPr>
          <w:sz w:val="20"/>
        </w:rPr>
        <w:t xml:space="preserve">Krueger, R.A. (1998), </w:t>
      </w:r>
      <w:r w:rsidRPr="004343A0">
        <w:rPr>
          <w:i/>
          <w:sz w:val="20"/>
        </w:rPr>
        <w:t>Analyzing and Reporting Focus Group Results. Focus Group Kit 6</w:t>
      </w:r>
      <w:r w:rsidRPr="004343A0">
        <w:rPr>
          <w:sz w:val="20"/>
        </w:rPr>
        <w:t>, SAGE Publications, London</w:t>
      </w:r>
    </w:p>
    <w:p w:rsidR="00277D1F" w:rsidRPr="004343A0" w:rsidRDefault="00277D1F" w:rsidP="00027CF0">
      <w:pPr>
        <w:spacing w:line="480" w:lineRule="auto"/>
        <w:ind w:right="-426"/>
        <w:jc w:val="both"/>
        <w:rPr>
          <w:sz w:val="20"/>
        </w:rPr>
      </w:pPr>
      <w:r w:rsidRPr="004343A0">
        <w:rPr>
          <w:sz w:val="20"/>
        </w:rPr>
        <w:t>Krueger</w:t>
      </w:r>
      <w:r w:rsidR="00027CF0" w:rsidRPr="004343A0">
        <w:rPr>
          <w:sz w:val="20"/>
        </w:rPr>
        <w:t xml:space="preserve">, R.A., and M.A. Casey (2009), </w:t>
      </w:r>
      <w:r w:rsidRPr="004343A0">
        <w:rPr>
          <w:i/>
          <w:sz w:val="20"/>
        </w:rPr>
        <w:t>Focus Groups: A Practical Guide for Applied Research</w:t>
      </w:r>
      <w:r w:rsidRPr="004343A0">
        <w:rPr>
          <w:sz w:val="20"/>
        </w:rPr>
        <w:t xml:space="preserve"> (4</w:t>
      </w:r>
      <w:r w:rsidRPr="004343A0">
        <w:rPr>
          <w:sz w:val="20"/>
          <w:vertAlign w:val="superscript"/>
        </w:rPr>
        <w:t>th</w:t>
      </w:r>
      <w:r w:rsidR="00027CF0" w:rsidRPr="004343A0">
        <w:rPr>
          <w:sz w:val="20"/>
        </w:rPr>
        <w:t xml:space="preserve"> Edition), </w:t>
      </w:r>
      <w:r w:rsidRPr="004343A0">
        <w:rPr>
          <w:sz w:val="20"/>
        </w:rPr>
        <w:t>SAGE Publications, Inc, London</w:t>
      </w:r>
    </w:p>
    <w:p w:rsidR="00474337" w:rsidRPr="004343A0" w:rsidRDefault="00474337" w:rsidP="00474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0"/>
          <w:lang w:val="en-US"/>
        </w:rPr>
      </w:pPr>
      <w:r w:rsidRPr="004343A0">
        <w:rPr>
          <w:sz w:val="20"/>
          <w:szCs w:val="22"/>
          <w:lang w:val="en-US"/>
        </w:rPr>
        <w:t xml:space="preserve">Office of National Statistics UK, </w:t>
      </w:r>
      <w:r w:rsidR="0085763F" w:rsidRPr="004343A0">
        <w:rPr>
          <w:sz w:val="20"/>
          <w:szCs w:val="22"/>
          <w:lang w:val="en-US"/>
        </w:rPr>
        <w:t>(</w:t>
      </w:r>
      <w:r w:rsidRPr="004343A0">
        <w:rPr>
          <w:sz w:val="20"/>
          <w:szCs w:val="22"/>
          <w:lang w:val="en-US"/>
        </w:rPr>
        <w:t>2012</w:t>
      </w:r>
      <w:r w:rsidR="0085763F" w:rsidRPr="004343A0">
        <w:rPr>
          <w:sz w:val="20"/>
          <w:szCs w:val="22"/>
          <w:lang w:val="en-US"/>
        </w:rPr>
        <w:t>)</w:t>
      </w:r>
      <w:r w:rsidRPr="004343A0">
        <w:rPr>
          <w:sz w:val="20"/>
          <w:szCs w:val="22"/>
          <w:lang w:val="en-US"/>
        </w:rPr>
        <w:t xml:space="preserve">, </w:t>
      </w:r>
      <w:r w:rsidRPr="004343A0">
        <w:rPr>
          <w:rFonts w:cs="Helvetica"/>
          <w:i/>
          <w:iCs/>
          <w:sz w:val="20"/>
          <w:szCs w:val="19"/>
          <w:lang w:val="en-US"/>
        </w:rPr>
        <w:t>National population projections, 2010-based</w:t>
      </w:r>
      <w:r w:rsidRPr="004343A0">
        <w:rPr>
          <w:rFonts w:cs="Helvetica"/>
          <w:sz w:val="20"/>
          <w:szCs w:val="19"/>
          <w:lang w:val="en-US"/>
        </w:rPr>
        <w:t xml:space="preserve">, </w:t>
      </w:r>
    </w:p>
    <w:p w:rsidR="00474337" w:rsidRPr="004343A0" w:rsidRDefault="00474337" w:rsidP="00474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Times"/>
          <w:sz w:val="20"/>
          <w:szCs w:val="14"/>
          <w:lang w:val="en-US" w:eastAsia="en-US"/>
        </w:rPr>
      </w:pPr>
      <w:r w:rsidRPr="004343A0">
        <w:rPr>
          <w:rFonts w:eastAsiaTheme="minorHAnsi" w:cs="Times"/>
          <w:sz w:val="20"/>
          <w:szCs w:val="14"/>
          <w:lang w:val="en-US" w:eastAsia="en-US"/>
        </w:rPr>
        <w:t xml:space="preserve">Owens, S., </w:t>
      </w:r>
      <w:r w:rsidR="0085763F" w:rsidRPr="004343A0">
        <w:rPr>
          <w:rFonts w:eastAsiaTheme="minorHAnsi" w:cs="Times"/>
          <w:sz w:val="20"/>
          <w:szCs w:val="14"/>
          <w:lang w:val="en-US" w:eastAsia="en-US"/>
        </w:rPr>
        <w:t>(</w:t>
      </w:r>
      <w:r w:rsidRPr="004343A0">
        <w:rPr>
          <w:rFonts w:eastAsiaTheme="minorHAnsi" w:cs="Times"/>
          <w:sz w:val="20"/>
          <w:szCs w:val="14"/>
          <w:lang w:val="en-US" w:eastAsia="en-US"/>
        </w:rPr>
        <w:t>2000</w:t>
      </w:r>
      <w:r w:rsidR="0085763F" w:rsidRPr="004343A0">
        <w:rPr>
          <w:rFonts w:eastAsiaTheme="minorHAnsi" w:cs="Times"/>
          <w:sz w:val="20"/>
          <w:szCs w:val="14"/>
          <w:lang w:val="en-US" w:eastAsia="en-US"/>
        </w:rPr>
        <w:t>)</w:t>
      </w:r>
      <w:r w:rsidRPr="004343A0">
        <w:rPr>
          <w:rFonts w:eastAsiaTheme="minorHAnsi" w:cs="Times"/>
          <w:sz w:val="20"/>
          <w:szCs w:val="14"/>
          <w:lang w:val="en-US" w:eastAsia="en-US"/>
        </w:rPr>
        <w:t>, Engaging the public: information and deliberation in environ-</w:t>
      </w:r>
      <w:r w:rsidRPr="004343A0">
        <w:rPr>
          <w:rFonts w:eastAsiaTheme="minorHAnsi" w:cs="Helvetica"/>
          <w:sz w:val="20"/>
          <w:lang w:val="en-US" w:eastAsia="en-US"/>
        </w:rPr>
        <w:t xml:space="preserve"> </w:t>
      </w:r>
      <w:r w:rsidRPr="004343A0">
        <w:rPr>
          <w:rFonts w:eastAsiaTheme="minorHAnsi" w:cs="Times"/>
          <w:sz w:val="20"/>
          <w:szCs w:val="14"/>
          <w:lang w:val="en-US" w:eastAsia="en-US"/>
        </w:rPr>
        <w:t xml:space="preserve">mental policy, </w:t>
      </w:r>
      <w:r w:rsidRPr="004343A0">
        <w:rPr>
          <w:rFonts w:eastAsiaTheme="minorHAnsi" w:cs="Times"/>
          <w:i/>
          <w:sz w:val="20"/>
          <w:szCs w:val="14"/>
          <w:lang w:val="en-US" w:eastAsia="en-US"/>
        </w:rPr>
        <w:t>Environment and Planning A 32</w:t>
      </w:r>
      <w:r w:rsidRPr="004343A0">
        <w:rPr>
          <w:rFonts w:eastAsiaTheme="minorHAnsi" w:cs="Times"/>
          <w:sz w:val="20"/>
          <w:szCs w:val="14"/>
          <w:lang w:val="en-US" w:eastAsia="en-US"/>
        </w:rPr>
        <w:t>, 1141–1148.</w:t>
      </w:r>
    </w:p>
    <w:p w:rsidR="00474337" w:rsidRPr="004343A0" w:rsidRDefault="00474337" w:rsidP="00474337">
      <w:pPr>
        <w:spacing w:line="480" w:lineRule="auto"/>
        <w:jc w:val="both"/>
        <w:rPr>
          <w:rFonts w:eastAsiaTheme="minorHAnsi" w:cs="Times"/>
          <w:sz w:val="20"/>
          <w:szCs w:val="14"/>
          <w:lang w:val="en-US" w:eastAsia="en-US"/>
        </w:rPr>
      </w:pPr>
      <w:r w:rsidRPr="004343A0">
        <w:rPr>
          <w:rFonts w:cs="Arial"/>
          <w:sz w:val="20"/>
          <w:szCs w:val="20"/>
          <w:lang w:bidi="th-TH"/>
        </w:rPr>
        <w:t>Owens S.</w:t>
      </w:r>
      <w:r w:rsidR="00377B36" w:rsidRPr="004343A0">
        <w:rPr>
          <w:rFonts w:cs="Arial"/>
          <w:sz w:val="20"/>
          <w:szCs w:val="20"/>
          <w:lang w:bidi="th-TH"/>
        </w:rPr>
        <w:t>, &amp;</w:t>
      </w:r>
      <w:r w:rsidRPr="004343A0">
        <w:rPr>
          <w:rFonts w:cs="Arial"/>
          <w:sz w:val="20"/>
          <w:szCs w:val="20"/>
          <w:lang w:bidi="th-TH"/>
        </w:rPr>
        <w:t xml:space="preserve"> Drifﬁll L., </w:t>
      </w:r>
      <w:r w:rsidR="0085763F" w:rsidRPr="004343A0">
        <w:rPr>
          <w:rFonts w:cs="Arial"/>
          <w:sz w:val="20"/>
          <w:szCs w:val="20"/>
          <w:lang w:bidi="th-TH"/>
        </w:rPr>
        <w:t>(</w:t>
      </w:r>
      <w:r w:rsidRPr="004343A0">
        <w:rPr>
          <w:rFonts w:cs="Arial"/>
          <w:sz w:val="20"/>
          <w:szCs w:val="20"/>
          <w:lang w:bidi="th-TH"/>
        </w:rPr>
        <w:t>2008</w:t>
      </w:r>
      <w:r w:rsidR="0085763F" w:rsidRPr="004343A0">
        <w:rPr>
          <w:rFonts w:cs="Arial"/>
          <w:sz w:val="20"/>
          <w:szCs w:val="20"/>
          <w:lang w:bidi="th-TH"/>
        </w:rPr>
        <w:t>)</w:t>
      </w:r>
      <w:r w:rsidRPr="004343A0">
        <w:rPr>
          <w:rFonts w:cs="Arial"/>
          <w:sz w:val="20"/>
          <w:szCs w:val="20"/>
          <w:lang w:bidi="th-TH"/>
        </w:rPr>
        <w:t>, How to change attitudes and behaviours in the context of energy,</w:t>
      </w:r>
      <w:r w:rsidRPr="004343A0">
        <w:rPr>
          <w:rFonts w:eastAsiaTheme="minorHAnsi" w:cs="Times"/>
          <w:sz w:val="20"/>
          <w:szCs w:val="14"/>
          <w:lang w:val="en-US" w:eastAsia="en-US"/>
        </w:rPr>
        <w:t xml:space="preserve"> </w:t>
      </w:r>
      <w:r w:rsidRPr="004343A0">
        <w:rPr>
          <w:rFonts w:eastAsiaTheme="minorHAnsi" w:cs="Times"/>
          <w:i/>
          <w:sz w:val="20"/>
          <w:szCs w:val="14"/>
          <w:lang w:val="en-US" w:eastAsia="en-US"/>
        </w:rPr>
        <w:t>Energy Policy 36</w:t>
      </w:r>
      <w:r w:rsidRPr="004343A0">
        <w:rPr>
          <w:rFonts w:eastAsiaTheme="minorHAnsi" w:cs="Times"/>
          <w:sz w:val="20"/>
          <w:szCs w:val="14"/>
          <w:lang w:val="en-US" w:eastAsia="en-US"/>
        </w:rPr>
        <w:t xml:space="preserve"> (2008) 4412–4418</w:t>
      </w:r>
    </w:p>
    <w:p w:rsidR="00474337" w:rsidRPr="004343A0" w:rsidRDefault="00385CCC" w:rsidP="00633E83">
      <w:pPr>
        <w:spacing w:line="480" w:lineRule="auto"/>
        <w:jc w:val="both"/>
        <w:rPr>
          <w:sz w:val="20"/>
          <w:szCs w:val="21"/>
        </w:rPr>
      </w:pPr>
      <w:r w:rsidRPr="004343A0">
        <w:rPr>
          <w:sz w:val="20"/>
          <w:szCs w:val="21"/>
        </w:rPr>
        <w:t xml:space="preserve">Palmer J. &amp; Cooper I., </w:t>
      </w:r>
      <w:r w:rsidR="0085763F" w:rsidRPr="004343A0">
        <w:rPr>
          <w:sz w:val="20"/>
          <w:szCs w:val="21"/>
        </w:rPr>
        <w:t xml:space="preserve">(2011) </w:t>
      </w:r>
      <w:r w:rsidRPr="004343A0">
        <w:rPr>
          <w:i/>
          <w:sz w:val="20"/>
          <w:szCs w:val="21"/>
        </w:rPr>
        <w:t>Great Britain’s housing energy fact file</w:t>
      </w:r>
      <w:r w:rsidRPr="004343A0">
        <w:rPr>
          <w:sz w:val="20"/>
          <w:szCs w:val="21"/>
        </w:rPr>
        <w:t>, Department of Energy and Climate Change</w:t>
      </w:r>
    </w:p>
    <w:p w:rsidR="00385CCC" w:rsidRPr="004343A0" w:rsidRDefault="00474337" w:rsidP="00474337">
      <w:pPr>
        <w:spacing w:line="480" w:lineRule="auto"/>
        <w:jc w:val="both"/>
        <w:rPr>
          <w:sz w:val="20"/>
          <w:szCs w:val="21"/>
        </w:rPr>
      </w:pPr>
      <w:r w:rsidRPr="004343A0">
        <w:rPr>
          <w:sz w:val="20"/>
          <w:szCs w:val="21"/>
        </w:rPr>
        <w:lastRenderedPageBreak/>
        <w:t xml:space="preserve">Petty, R. and Cacioppo, J., </w:t>
      </w:r>
      <w:r w:rsidR="0085763F" w:rsidRPr="004343A0">
        <w:rPr>
          <w:sz w:val="20"/>
          <w:szCs w:val="21"/>
        </w:rPr>
        <w:t>(1981)</w:t>
      </w:r>
      <w:r w:rsidRPr="004343A0">
        <w:rPr>
          <w:sz w:val="20"/>
          <w:szCs w:val="21"/>
        </w:rPr>
        <w:t xml:space="preserve"> </w:t>
      </w:r>
      <w:r w:rsidRPr="004343A0">
        <w:rPr>
          <w:i/>
          <w:sz w:val="20"/>
          <w:szCs w:val="21"/>
        </w:rPr>
        <w:t>Attitudes and Persuasion: classic and contemporary approaches</w:t>
      </w:r>
      <w:r w:rsidR="0085763F" w:rsidRPr="004343A0">
        <w:rPr>
          <w:sz w:val="20"/>
          <w:szCs w:val="21"/>
        </w:rPr>
        <w:t>,</w:t>
      </w:r>
      <w:r w:rsidRPr="004343A0">
        <w:rPr>
          <w:sz w:val="20"/>
          <w:szCs w:val="21"/>
        </w:rPr>
        <w:t xml:space="preserve"> Dubuque, IA: William C Brown.</w:t>
      </w:r>
    </w:p>
    <w:p w:rsidR="00BA5077" w:rsidRPr="004343A0" w:rsidRDefault="00BA5077"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Times"/>
          <w:sz w:val="20"/>
          <w:szCs w:val="22"/>
          <w:lang w:val="en-US" w:eastAsia="en-US"/>
        </w:rPr>
        <w:t>Peters</w:t>
      </w:r>
      <w:r w:rsidRPr="004343A0">
        <w:rPr>
          <w:rFonts w:eastAsiaTheme="minorHAnsi" w:cs="Helvetica"/>
          <w:sz w:val="20"/>
          <w:lang w:val="en-US" w:eastAsia="en-US"/>
        </w:rPr>
        <w:t xml:space="preserve"> </w:t>
      </w:r>
      <w:r w:rsidR="00277D1F" w:rsidRPr="004343A0">
        <w:rPr>
          <w:rFonts w:eastAsiaTheme="minorHAnsi" w:cs="Times"/>
          <w:sz w:val="20"/>
          <w:szCs w:val="14"/>
          <w:lang w:val="en-US" w:eastAsia="en-US"/>
        </w:rPr>
        <w:t>M.</w:t>
      </w:r>
      <w:r w:rsidRPr="004343A0">
        <w:rPr>
          <w:rFonts w:eastAsiaTheme="minorHAnsi" w:cs="Times"/>
          <w:sz w:val="20"/>
          <w:szCs w:val="14"/>
          <w:lang w:val="en-US" w:eastAsia="en-US"/>
        </w:rPr>
        <w:t>,</w:t>
      </w:r>
      <w:r w:rsidRPr="004343A0">
        <w:rPr>
          <w:rFonts w:eastAsiaTheme="minorHAnsi" w:cs="Helvetica"/>
          <w:sz w:val="20"/>
          <w:lang w:val="en-US" w:eastAsia="en-US"/>
        </w:rPr>
        <w:t xml:space="preserve"> </w:t>
      </w:r>
      <w:r w:rsidRPr="004343A0">
        <w:rPr>
          <w:rFonts w:eastAsiaTheme="minorHAnsi" w:cs="Times"/>
          <w:sz w:val="20"/>
          <w:szCs w:val="22"/>
          <w:lang w:val="en-US" w:eastAsia="en-US"/>
        </w:rPr>
        <w:t>Fudge</w:t>
      </w:r>
      <w:r w:rsidRPr="004343A0">
        <w:rPr>
          <w:rFonts w:eastAsiaTheme="minorHAnsi" w:cs="Helvetica"/>
          <w:sz w:val="20"/>
          <w:lang w:val="en-US" w:eastAsia="en-US"/>
        </w:rPr>
        <w:t xml:space="preserve"> </w:t>
      </w:r>
      <w:r w:rsidR="00277D1F" w:rsidRPr="004343A0">
        <w:rPr>
          <w:rFonts w:eastAsiaTheme="minorHAnsi" w:cs="Times"/>
          <w:sz w:val="20"/>
          <w:szCs w:val="14"/>
          <w:lang w:val="en-US" w:eastAsia="en-US"/>
        </w:rPr>
        <w:t xml:space="preserve">S. </w:t>
      </w:r>
      <w:r w:rsidR="00277D1F" w:rsidRPr="004343A0">
        <w:rPr>
          <w:rFonts w:eastAsiaTheme="minorHAnsi" w:cs="Times"/>
          <w:sz w:val="20"/>
          <w:szCs w:val="22"/>
          <w:lang w:val="en-US" w:eastAsia="en-US"/>
        </w:rPr>
        <w:t>&amp;</w:t>
      </w:r>
      <w:r w:rsidRPr="004343A0">
        <w:rPr>
          <w:rFonts w:eastAsiaTheme="minorHAnsi" w:cs="Times"/>
          <w:sz w:val="20"/>
          <w:szCs w:val="22"/>
          <w:lang w:val="en-US" w:eastAsia="en-US"/>
        </w:rPr>
        <w:t xml:space="preserve"> Sinclair</w:t>
      </w:r>
      <w:r w:rsidRPr="004343A0">
        <w:rPr>
          <w:rFonts w:eastAsiaTheme="minorHAnsi" w:cs="Helvetica"/>
          <w:sz w:val="20"/>
          <w:lang w:val="en-US" w:eastAsia="en-US"/>
        </w:rPr>
        <w:t xml:space="preserve"> </w:t>
      </w:r>
      <w:r w:rsidR="00277D1F" w:rsidRPr="004343A0">
        <w:rPr>
          <w:rFonts w:eastAsiaTheme="minorHAnsi" w:cs="Times"/>
          <w:sz w:val="20"/>
          <w:szCs w:val="14"/>
          <w:lang w:val="en-US" w:eastAsia="en-US"/>
        </w:rPr>
        <w:t xml:space="preserve">P., </w:t>
      </w:r>
      <w:r w:rsidR="0085763F" w:rsidRPr="004343A0">
        <w:rPr>
          <w:rFonts w:eastAsiaTheme="minorHAnsi" w:cs="Times"/>
          <w:sz w:val="20"/>
          <w:szCs w:val="14"/>
          <w:lang w:val="en-US" w:eastAsia="en-US"/>
        </w:rPr>
        <w:t>(</w:t>
      </w:r>
      <w:r w:rsidR="00277D1F" w:rsidRPr="004343A0">
        <w:rPr>
          <w:rFonts w:eastAsiaTheme="minorHAnsi" w:cs="Times"/>
          <w:sz w:val="20"/>
          <w:szCs w:val="14"/>
          <w:lang w:val="en-US" w:eastAsia="en-US"/>
        </w:rPr>
        <w:t>2010</w:t>
      </w:r>
      <w:r w:rsidR="0085763F" w:rsidRPr="004343A0">
        <w:rPr>
          <w:rFonts w:eastAsiaTheme="minorHAnsi" w:cs="Times"/>
          <w:sz w:val="20"/>
          <w:szCs w:val="14"/>
          <w:lang w:val="en-US" w:eastAsia="en-US"/>
        </w:rPr>
        <w:t>)</w:t>
      </w:r>
      <w:r w:rsidR="00277D1F" w:rsidRPr="004343A0">
        <w:rPr>
          <w:rFonts w:eastAsiaTheme="minorHAnsi" w:cs="Times"/>
          <w:sz w:val="20"/>
          <w:szCs w:val="14"/>
          <w:lang w:val="en-US" w:eastAsia="en-US"/>
        </w:rPr>
        <w:t xml:space="preserve">, </w:t>
      </w:r>
      <w:r w:rsidR="00277D1F" w:rsidRPr="004343A0">
        <w:rPr>
          <w:rFonts w:eastAsiaTheme="minorHAnsi" w:cs="Times"/>
          <w:sz w:val="20"/>
          <w:szCs w:val="26"/>
          <w:lang w:val="en-US" w:eastAsia="en-US"/>
        </w:rPr>
        <w:t>Mobilising community action towards a low-carbon future:</w:t>
      </w:r>
      <w:r w:rsidR="00277D1F" w:rsidRPr="004343A0">
        <w:rPr>
          <w:rFonts w:eastAsiaTheme="minorHAnsi" w:cs="Helvetica"/>
          <w:sz w:val="20"/>
          <w:lang w:val="en-US" w:eastAsia="en-US"/>
        </w:rPr>
        <w:t xml:space="preserve"> </w:t>
      </w:r>
      <w:r w:rsidR="00277D1F" w:rsidRPr="004343A0">
        <w:rPr>
          <w:rFonts w:eastAsiaTheme="minorHAnsi" w:cs="Times"/>
          <w:sz w:val="20"/>
          <w:szCs w:val="26"/>
          <w:lang w:val="en-US" w:eastAsia="en-US"/>
        </w:rPr>
        <w:t>Opportunities and challenges for local government in the UK</w:t>
      </w:r>
      <w:r w:rsidR="00277D1F" w:rsidRPr="004343A0">
        <w:rPr>
          <w:rFonts w:eastAsiaTheme="minorHAnsi" w:cs="Helvetica"/>
          <w:sz w:val="20"/>
          <w:lang w:val="en-US" w:eastAsia="en-US"/>
        </w:rPr>
        <w:t xml:space="preserve">, </w:t>
      </w:r>
      <w:r w:rsidRPr="004343A0">
        <w:rPr>
          <w:rFonts w:eastAsiaTheme="minorHAnsi" w:cs="Times"/>
          <w:i/>
          <w:sz w:val="20"/>
          <w:szCs w:val="14"/>
          <w:lang w:val="en-US" w:eastAsia="en-US"/>
        </w:rPr>
        <w:t>Energy Policy 38 (2010)</w:t>
      </w:r>
      <w:r w:rsidRPr="004343A0">
        <w:rPr>
          <w:rFonts w:eastAsiaTheme="minorHAnsi" w:cs="Times"/>
          <w:sz w:val="20"/>
          <w:szCs w:val="14"/>
          <w:lang w:val="en-US" w:eastAsia="en-US"/>
        </w:rPr>
        <w:t xml:space="preserve"> 7596–7603</w:t>
      </w:r>
    </w:p>
    <w:p w:rsidR="005C4CA2" w:rsidRPr="004343A0" w:rsidRDefault="005C4CA2" w:rsidP="00633E83">
      <w:pPr>
        <w:spacing w:line="480" w:lineRule="auto"/>
        <w:jc w:val="both"/>
        <w:rPr>
          <w:sz w:val="20"/>
          <w:lang w:bidi="th-TH"/>
        </w:rPr>
      </w:pPr>
      <w:r w:rsidRPr="004343A0">
        <w:rPr>
          <w:sz w:val="20"/>
          <w:lang w:bidi="th-TH"/>
        </w:rPr>
        <w:t>Raftery, A.E.</w:t>
      </w:r>
      <w:r w:rsidR="0085763F" w:rsidRPr="004343A0">
        <w:rPr>
          <w:sz w:val="20"/>
          <w:lang w:bidi="th-TH"/>
        </w:rPr>
        <w:t>, (2000), Statistics in Sociology 1950-2000,</w:t>
      </w:r>
      <w:r w:rsidRPr="004343A0">
        <w:rPr>
          <w:sz w:val="20"/>
          <w:lang w:bidi="th-TH"/>
        </w:rPr>
        <w:t xml:space="preserve"> </w:t>
      </w:r>
      <w:r w:rsidRPr="004343A0">
        <w:rPr>
          <w:i/>
          <w:sz w:val="20"/>
          <w:lang w:bidi="th-TH"/>
        </w:rPr>
        <w:t>Journal of the American Statistical Association. Vol. 95</w:t>
      </w:r>
      <w:r w:rsidRPr="004343A0">
        <w:rPr>
          <w:sz w:val="20"/>
          <w:lang w:bidi="th-TH"/>
        </w:rPr>
        <w:t>, No. 450 (Jun., 2000), Pgs 654-661</w:t>
      </w:r>
    </w:p>
    <w:p w:rsidR="00277D1F" w:rsidRPr="004343A0" w:rsidRDefault="00277D1F" w:rsidP="00633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eastAsiaTheme="minorHAnsi" w:cs="Helvetica"/>
          <w:sz w:val="20"/>
          <w:lang w:val="en-US" w:eastAsia="en-US"/>
        </w:rPr>
      </w:pPr>
      <w:r w:rsidRPr="004343A0">
        <w:rPr>
          <w:rFonts w:eastAsiaTheme="minorHAnsi" w:cs="Times"/>
          <w:sz w:val="20"/>
          <w:szCs w:val="14"/>
          <w:lang w:val="en-US" w:eastAsia="en-US"/>
        </w:rPr>
        <w:t>Shove, E., 2003. Converging conventions of comfort, cleanliness and convenience.</w:t>
      </w:r>
      <w:r w:rsidRPr="004343A0">
        <w:rPr>
          <w:rFonts w:eastAsiaTheme="minorHAnsi" w:cs="Helvetica"/>
          <w:sz w:val="20"/>
          <w:lang w:val="en-US" w:eastAsia="en-US"/>
        </w:rPr>
        <w:t xml:space="preserve"> </w:t>
      </w:r>
      <w:r w:rsidRPr="004343A0">
        <w:rPr>
          <w:rFonts w:eastAsiaTheme="minorHAnsi" w:cs="Times"/>
          <w:sz w:val="20"/>
          <w:szCs w:val="14"/>
          <w:lang w:val="en-US" w:eastAsia="en-US"/>
        </w:rPr>
        <w:t>Journal of Consumer Policy 26, 395–418.</w:t>
      </w:r>
    </w:p>
    <w:p w:rsidR="00646726" w:rsidRPr="004343A0" w:rsidRDefault="0048326E" w:rsidP="00633E83">
      <w:pPr>
        <w:spacing w:line="480" w:lineRule="auto"/>
        <w:jc w:val="both"/>
        <w:rPr>
          <w:rFonts w:eastAsiaTheme="minorHAnsi" w:cs="Times"/>
          <w:sz w:val="20"/>
          <w:szCs w:val="14"/>
          <w:lang w:val="en-US" w:eastAsia="en-US"/>
        </w:rPr>
      </w:pPr>
      <w:r w:rsidRPr="004343A0">
        <w:rPr>
          <w:rFonts w:eastAsiaTheme="minorHAnsi" w:cs="Times"/>
          <w:sz w:val="20"/>
          <w:szCs w:val="14"/>
          <w:lang w:val="en-US" w:eastAsia="en-US"/>
        </w:rPr>
        <w:t>Southerton, D.</w:t>
      </w:r>
      <w:r w:rsidR="004950B4" w:rsidRPr="004343A0">
        <w:rPr>
          <w:rFonts w:eastAsiaTheme="minorHAnsi" w:cs="Times"/>
          <w:sz w:val="20"/>
          <w:szCs w:val="14"/>
          <w:lang w:val="en-US" w:eastAsia="en-US"/>
        </w:rPr>
        <w:t xml:space="preserve">, </w:t>
      </w:r>
      <w:r w:rsidRPr="004343A0">
        <w:rPr>
          <w:rFonts w:eastAsiaTheme="minorHAnsi" w:cs="Times"/>
          <w:sz w:val="20"/>
          <w:szCs w:val="14"/>
          <w:lang w:val="en-US" w:eastAsia="en-US"/>
        </w:rPr>
        <w:t>Meekin, A. and Evens, D. (</w:t>
      </w:r>
      <w:r w:rsidR="004950B4" w:rsidRPr="004343A0">
        <w:rPr>
          <w:rFonts w:eastAsiaTheme="minorHAnsi" w:cs="Times"/>
          <w:sz w:val="20"/>
          <w:szCs w:val="14"/>
          <w:lang w:val="en-US" w:eastAsia="en-US"/>
        </w:rPr>
        <w:t>2011</w:t>
      </w:r>
      <w:r w:rsidRPr="004343A0">
        <w:rPr>
          <w:rFonts w:eastAsiaTheme="minorHAnsi" w:cs="Times"/>
          <w:sz w:val="20"/>
          <w:szCs w:val="14"/>
          <w:lang w:val="en-US" w:eastAsia="en-US"/>
        </w:rPr>
        <w:t>)</w:t>
      </w:r>
      <w:r w:rsidR="004950B4" w:rsidRPr="004343A0">
        <w:rPr>
          <w:rFonts w:eastAsiaTheme="minorHAnsi" w:cs="Times"/>
          <w:sz w:val="20"/>
          <w:szCs w:val="14"/>
          <w:lang w:val="en-US" w:eastAsia="en-US"/>
        </w:rPr>
        <w:t>, International Review of Behaviour Change Initiatives</w:t>
      </w:r>
      <w:r w:rsidRPr="004343A0">
        <w:rPr>
          <w:rFonts w:eastAsiaTheme="minorHAnsi" w:cs="Times"/>
          <w:sz w:val="20"/>
          <w:szCs w:val="14"/>
          <w:lang w:val="en-US" w:eastAsia="en-US"/>
        </w:rPr>
        <w:t>, available online at http://www.s</w:t>
      </w:r>
      <w:r w:rsidR="0057665B">
        <w:rPr>
          <w:rFonts w:eastAsiaTheme="minorHAnsi" w:cs="Times"/>
          <w:sz w:val="20"/>
          <w:szCs w:val="14"/>
          <w:lang w:val="en-US" w:eastAsia="en-US"/>
        </w:rPr>
        <w:t>cotlamd.gov.uk/social research.</w:t>
      </w:r>
    </w:p>
    <w:p w:rsidR="00913C73" w:rsidRPr="004343A0" w:rsidRDefault="00913C73" w:rsidP="00633E83">
      <w:pPr>
        <w:spacing w:line="480" w:lineRule="auto"/>
        <w:jc w:val="both"/>
        <w:rPr>
          <w:rFonts w:cs="Arial"/>
          <w:sz w:val="20"/>
          <w:szCs w:val="20"/>
          <w:lang w:bidi="th-TH"/>
        </w:rPr>
      </w:pPr>
    </w:p>
    <w:p w:rsidR="0012374A" w:rsidRPr="004343A0" w:rsidRDefault="0012374A" w:rsidP="00633E83">
      <w:pPr>
        <w:spacing w:line="480" w:lineRule="auto"/>
        <w:jc w:val="both"/>
        <w:rPr>
          <w:rFonts w:cs="Arial"/>
          <w:sz w:val="20"/>
          <w:szCs w:val="20"/>
          <w:lang w:bidi="th-TH"/>
        </w:rPr>
      </w:pPr>
    </w:p>
    <w:p w:rsidR="0012374A" w:rsidRPr="004343A0" w:rsidRDefault="0012374A" w:rsidP="00633E83">
      <w:pPr>
        <w:spacing w:line="480" w:lineRule="auto"/>
        <w:jc w:val="both"/>
        <w:rPr>
          <w:rFonts w:cs="Arial"/>
          <w:sz w:val="20"/>
          <w:szCs w:val="20"/>
          <w:lang w:bidi="th-TH"/>
        </w:rPr>
      </w:pPr>
    </w:p>
    <w:p w:rsidR="0012374A" w:rsidRPr="004343A0" w:rsidRDefault="0012374A" w:rsidP="00633E83">
      <w:pPr>
        <w:spacing w:after="200" w:line="480" w:lineRule="auto"/>
        <w:jc w:val="both"/>
        <w:rPr>
          <w:rFonts w:cs="Arial"/>
          <w:sz w:val="20"/>
          <w:szCs w:val="20"/>
          <w:lang w:bidi="th-TH"/>
        </w:rPr>
      </w:pPr>
      <w:r w:rsidRPr="004343A0">
        <w:rPr>
          <w:rFonts w:cs="Arial"/>
          <w:sz w:val="20"/>
          <w:szCs w:val="20"/>
          <w:lang w:bidi="th-TH"/>
        </w:rPr>
        <w:br w:type="page"/>
      </w:r>
      <w:r w:rsidRPr="004343A0">
        <w:rPr>
          <w:rFonts w:cs="Arial"/>
          <w:sz w:val="20"/>
          <w:szCs w:val="20"/>
          <w:lang w:bidi="th-TH"/>
        </w:rPr>
        <w:lastRenderedPageBreak/>
        <w:t>Yamuna Kaluarachchi</w:t>
      </w:r>
    </w:p>
    <w:p w:rsidR="0012374A" w:rsidRPr="004343A0" w:rsidRDefault="003A047B" w:rsidP="00633E83">
      <w:pPr>
        <w:spacing w:line="480" w:lineRule="auto"/>
        <w:jc w:val="both"/>
        <w:rPr>
          <w:rFonts w:cs="Arial"/>
          <w:sz w:val="20"/>
          <w:szCs w:val="20"/>
          <w:lang w:bidi="th-TH"/>
        </w:rPr>
      </w:pPr>
      <w:r>
        <w:rPr>
          <w:rFonts w:cs="Arial"/>
          <w:noProof/>
          <w:sz w:val="20"/>
          <w:szCs w:val="20"/>
        </w:rPr>
        <mc:AlternateContent>
          <mc:Choice Requires="wpg">
            <w:drawing>
              <wp:inline distT="0" distB="0" distL="0" distR="0">
                <wp:extent cx="4572000" cy="2352675"/>
                <wp:effectExtent l="0" t="0" r="0" b="9525"/>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352675"/>
                          <a:chOff x="0" y="1571625"/>
                          <a:chExt cx="8890002" cy="4821555"/>
                        </a:xfrm>
                      </wpg:grpSpPr>
                      <wps:wsp>
                        <wps:cNvPr id="6" name="TextBox 14"/>
                        <wps:cNvSpPr txBox="1">
                          <a:spLocks noChangeArrowheads="1"/>
                        </wps:cNvSpPr>
                        <wps:spPr bwMode="auto">
                          <a:xfrm>
                            <a:off x="3786188" y="1571625"/>
                            <a:ext cx="1534159" cy="535304"/>
                          </a:xfrm>
                          <a:prstGeom prst="rect">
                            <a:avLst/>
                          </a:prstGeom>
                          <a:noFill/>
                          <a:ln w="9525">
                            <a:noFill/>
                            <a:miter lim="800000"/>
                            <a:headEnd/>
                            <a:tailEnd/>
                          </a:ln>
                        </wps:spPr>
                        <wps:txb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Older old</w:t>
                              </w:r>
                            </w:p>
                          </w:txbxContent>
                        </wps:txbx>
                        <wps:bodyPr wrap="square">
                          <a:noAutofit/>
                        </wps:bodyPr>
                      </wps:wsp>
                      <wps:wsp>
                        <wps:cNvPr id="8" name="TextBox 16"/>
                        <wps:cNvSpPr txBox="1">
                          <a:spLocks noChangeArrowheads="1"/>
                        </wps:cNvSpPr>
                        <wps:spPr bwMode="auto">
                          <a:xfrm>
                            <a:off x="3786188" y="5857875"/>
                            <a:ext cx="1950083" cy="535305"/>
                          </a:xfrm>
                          <a:prstGeom prst="rect">
                            <a:avLst/>
                          </a:prstGeom>
                          <a:noFill/>
                          <a:ln w="9525">
                            <a:noFill/>
                            <a:miter lim="800000"/>
                            <a:headEnd/>
                            <a:tailEnd/>
                          </a:ln>
                        </wps:spPr>
                        <wps:txb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Younger Old</w:t>
                              </w:r>
                            </w:p>
                          </w:txbxContent>
                        </wps:txbx>
                        <wps:bodyPr wrap="square">
                          <a:noAutofit/>
                        </wps:bodyPr>
                      </wps:wsp>
                      <wps:wsp>
                        <wps:cNvPr id="9" name="TextBox 17"/>
                        <wps:cNvSpPr txBox="1">
                          <a:spLocks noChangeArrowheads="1"/>
                        </wps:cNvSpPr>
                        <wps:spPr bwMode="auto">
                          <a:xfrm>
                            <a:off x="7572378" y="3714737"/>
                            <a:ext cx="1317624" cy="535304"/>
                          </a:xfrm>
                          <a:prstGeom prst="rect">
                            <a:avLst/>
                          </a:prstGeom>
                          <a:noFill/>
                          <a:ln w="9525">
                            <a:noFill/>
                            <a:miter lim="800000"/>
                            <a:headEnd/>
                            <a:tailEnd/>
                          </a:ln>
                        </wps:spPr>
                        <wps:txb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Well off</w:t>
                              </w:r>
                            </w:p>
                          </w:txbxContent>
                        </wps:txbx>
                        <wps:bodyPr wrap="square">
                          <a:noAutofit/>
                        </wps:bodyPr>
                      </wps:wsp>
                      <wps:wsp>
                        <wps:cNvPr id="10" name="TextBox 18"/>
                        <wps:cNvSpPr txBox="1">
                          <a:spLocks noChangeArrowheads="1"/>
                        </wps:cNvSpPr>
                        <wps:spPr bwMode="auto">
                          <a:xfrm>
                            <a:off x="0" y="3714735"/>
                            <a:ext cx="1557654" cy="535304"/>
                          </a:xfrm>
                          <a:prstGeom prst="rect">
                            <a:avLst/>
                          </a:prstGeom>
                          <a:noFill/>
                          <a:ln w="9525">
                            <a:noFill/>
                            <a:miter lim="800000"/>
                            <a:headEnd/>
                            <a:tailEnd/>
                          </a:ln>
                        </wps:spPr>
                        <wps:txb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Fuel Poor</w:t>
                              </w:r>
                            </w:p>
                          </w:txbxContent>
                        </wps:txbx>
                        <wps:bodyPr wrap="square">
                          <a:noAutofit/>
                        </wps:bodyPr>
                      </wps:wsp>
                      <wps:wsp>
                        <wps:cNvPr id="12" name="Quad Arrow 10"/>
                        <wps:cNvSpPr/>
                        <wps:spPr>
                          <a:xfrm>
                            <a:off x="1643063" y="2071688"/>
                            <a:ext cx="5929312" cy="3786187"/>
                          </a:xfrm>
                          <a:prstGeom prst="quadArrow">
                            <a:avLst>
                              <a:gd name="adj1" fmla="val 11353"/>
                              <a:gd name="adj2" fmla="val 13211"/>
                              <a:gd name="adj3" fmla="val 1568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0A35" w:rsidRDefault="00C00A35" w:rsidP="0012374A">
                              <w:pPr>
                                <w:pStyle w:val="NormalWeb"/>
                                <w:spacing w:before="0" w:beforeAutospacing="0" w:after="0" w:afterAutospacing="0"/>
                                <w:jc w:val="center"/>
                              </w:pPr>
                              <w:r>
                                <w:rPr>
                                  <w:rFonts w:ascii="Arial" w:hAnsi="Arial" w:cs="Arial"/>
                                  <w:color w:val="FFFFFF" w:themeColor="light1"/>
                                  <w:kern w:val="24"/>
                                  <w:sz w:val="36"/>
                                  <w:szCs w:val="36"/>
                                </w:rPr>
                                <w:t>Quakers</w:t>
                              </w:r>
                            </w:p>
                          </w:txbxContent>
                        </wps:txbx>
                        <wps:bodyPr anchor="ctr"/>
                      </wps:wsp>
                    </wpg:wgp>
                  </a:graphicData>
                </a:graphic>
              </wp:inline>
            </w:drawing>
          </mc:Choice>
          <mc:Fallback>
            <w:pict>
              <v:group id="Group 32" o:spid="_x0000_s1026" style="width:5in;height:185.25pt;mso-position-horizontal-relative:char;mso-position-vertical-relative:line" coordorigin=",15716" coordsize="88900,4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">
                <v:shapetype id="_x0000_t202" coordsize="21600,21600" o:spt="202" path="m,l,21600r21600,l21600,xe">
                  <v:stroke joinstyle="miter"/>
                  <v:path gradientshapeok="t" o:connecttype="rect"/>
                </v:shapetype>
                <v:shape id="TextBox 14" o:spid="_x0000_s1027" type="#_x0000_t202" style="position:absolute;left:37861;top:15716;width:15342;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Older old</w:t>
                        </w:r>
                      </w:p>
                    </w:txbxContent>
                  </v:textbox>
                </v:shape>
                <v:shape id="TextBox 16" o:spid="_x0000_s1028" type="#_x0000_t202" style="position:absolute;left:37861;top:58578;width:19501;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Younger Old</w:t>
                        </w:r>
                      </w:p>
                    </w:txbxContent>
                  </v:textbox>
                </v:shape>
                <v:shape id="TextBox 17" o:spid="_x0000_s1029" type="#_x0000_t202" style="position:absolute;left:75723;top:37147;width:13177;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Well off</w:t>
                        </w:r>
                      </w:p>
                    </w:txbxContent>
                  </v:textbox>
                </v:shape>
                <v:shape id="TextBox 18" o:spid="_x0000_s1030" type="#_x0000_t202" style="position:absolute;top:37147;width:1557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00A35" w:rsidRPr="00820551" w:rsidRDefault="00C00A35" w:rsidP="0012374A">
                        <w:pPr>
                          <w:pStyle w:val="NormalWeb"/>
                          <w:spacing w:before="0" w:beforeAutospacing="0" w:after="0" w:afterAutospacing="0"/>
                        </w:pPr>
                        <w:r w:rsidRPr="00820551">
                          <w:rPr>
                            <w:rFonts w:asciiTheme="minorHAnsi" w:hAnsi="Calibri" w:cstheme="minorBidi"/>
                            <w:color w:val="000000" w:themeColor="text1"/>
                            <w:kern w:val="24"/>
                          </w:rPr>
                          <w:t>Fuel Poor</w:t>
                        </w:r>
                      </w:p>
                    </w:txbxContent>
                  </v:textbox>
                </v:shape>
                <v:shape id="Quad Arrow 10" o:spid="_x0000_s1031" style="position:absolute;left:16430;top:20716;width:59293;height:37862;visibility:visible;mso-wrap-style:square;v-text-anchor:middle" coordsize="5929312,37861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" adj="-11796480,,5400" path="m,1893094l593977,1392900r,285271l2749733,1678171r,-1084194l2464463,593977,2964656,r500193,593977l3179579,593977r,1084194l5335335,1678171r,-285271l5929312,1893094r-593977,500193l5335335,2108016r-2155756,l3179579,3192210r285270,l2964656,3786187,2464463,3192210r285270,l2749733,2108016r-2155756,l593977,2393287,,1893094xe" fillcolor="white [3212]" strokecolor="black [3213]" strokeweight="2pt">
                  <v:stroke joinstyle="miter"/>
                  <v:formulas/>
                  <v:path arrowok="t" o:connecttype="custom" o:connectlocs="0,1893094;593977,1392900;593977,1678171;2749733,1678171;2749733,593977;2464463,593977;2964656,0;3464849,593977;3179579,593977;3179579,1678171;5335335,1678171;5335335,1392900;5929312,1893094;5335335,2393287;5335335,2108016;3179579,2108016;3179579,3192210;3464849,3192210;2964656,3786187;2464463,3192210;2749733,3192210;2749733,2108016;593977,2108016;593977,2393287;0,1893094" o:connectangles="0,0,0,0,0,0,0,0,0,0,0,0,0,0,0,0,0,0,0,0,0,0,0,0,0" textboxrect="0,0,5929312,3786187"/>
                  <v:textbox>
                    <w:txbxContent>
                      <w:p w:rsidR="00C00A35" w:rsidRDefault="00C00A35" w:rsidP="0012374A">
                        <w:pPr>
                          <w:pStyle w:val="NormalWeb"/>
                          <w:spacing w:before="0" w:beforeAutospacing="0" w:after="0" w:afterAutospacing="0"/>
                          <w:jc w:val="center"/>
                        </w:pPr>
                        <w:r>
                          <w:rPr>
                            <w:rFonts w:ascii="Arial" w:hAnsi="Arial" w:cs="Arial"/>
                            <w:color w:val="FFFFFF" w:themeColor="light1"/>
                            <w:kern w:val="24"/>
                            <w:sz w:val="36"/>
                            <w:szCs w:val="36"/>
                          </w:rPr>
                          <w:t>Quakers</w:t>
                        </w:r>
                      </w:p>
                    </w:txbxContent>
                  </v:textbox>
                </v:shape>
                <w10:anchorlock/>
              </v:group>
            </w:pict>
          </mc:Fallback>
        </mc:AlternateContent>
      </w:r>
    </w:p>
    <w:p w:rsidR="0012374A" w:rsidRPr="004343A0" w:rsidRDefault="0012374A" w:rsidP="00633E83">
      <w:pPr>
        <w:spacing w:line="480" w:lineRule="auto"/>
        <w:jc w:val="both"/>
        <w:rPr>
          <w:rFonts w:cs="Arial"/>
          <w:sz w:val="20"/>
          <w:szCs w:val="20"/>
        </w:rPr>
      </w:pPr>
      <w:r w:rsidRPr="004343A0">
        <w:rPr>
          <w:rFonts w:cs="Arial"/>
          <w:sz w:val="20"/>
          <w:szCs w:val="20"/>
        </w:rPr>
        <w:t>Figure 1. Different age and wealth spectra to be considered existing within the older community.</w:t>
      </w:r>
    </w:p>
    <w:p w:rsidR="0012374A" w:rsidRPr="004343A0" w:rsidRDefault="0012374A" w:rsidP="00917152">
      <w:pPr>
        <w:spacing w:after="200" w:line="480" w:lineRule="auto"/>
        <w:jc w:val="both"/>
        <w:rPr>
          <w:rFonts w:cs="Arial"/>
          <w:sz w:val="20"/>
          <w:szCs w:val="20"/>
          <w:lang w:bidi="th-TH"/>
        </w:rPr>
      </w:pPr>
      <w:r w:rsidRPr="004343A0">
        <w:rPr>
          <w:rFonts w:cs="Arial"/>
          <w:sz w:val="20"/>
          <w:szCs w:val="20"/>
          <w:lang w:bidi="th-TH"/>
        </w:rPr>
        <w:br w:type="page"/>
      </w:r>
      <w:r w:rsidRPr="004343A0">
        <w:rPr>
          <w:rFonts w:cs="Arial"/>
          <w:sz w:val="20"/>
          <w:szCs w:val="20"/>
          <w:lang w:bidi="th-TH"/>
        </w:rPr>
        <w:lastRenderedPageBreak/>
        <w:t>Yamuna Kaluarachchi</w:t>
      </w:r>
    </w:p>
    <w:tbl>
      <w:tblPr>
        <w:tblStyle w:val="TableGrid"/>
        <w:tblW w:w="7699" w:type="dxa"/>
        <w:tblLook w:val="00A0" w:firstRow="1" w:lastRow="0" w:firstColumn="1" w:lastColumn="0" w:noHBand="0" w:noVBand="0"/>
      </w:tblPr>
      <w:tblGrid>
        <w:gridCol w:w="2717"/>
        <w:gridCol w:w="2491"/>
        <w:gridCol w:w="2491"/>
      </w:tblGrid>
      <w:tr w:rsidR="00EA3FF3" w:rsidRPr="004343A0">
        <w:tc>
          <w:tcPr>
            <w:tcW w:w="2717" w:type="dxa"/>
          </w:tcPr>
          <w:p w:rsidR="00EA3FF3" w:rsidRPr="004343A0" w:rsidRDefault="00EA3FF3" w:rsidP="001841D1">
            <w:pPr>
              <w:spacing w:line="480" w:lineRule="auto"/>
              <w:jc w:val="center"/>
              <w:rPr>
                <w:b/>
                <w:sz w:val="20"/>
              </w:rPr>
            </w:pPr>
            <w:r w:rsidRPr="004343A0">
              <w:rPr>
                <w:b/>
                <w:sz w:val="20"/>
              </w:rPr>
              <w:t>Age Group</w:t>
            </w:r>
          </w:p>
        </w:tc>
        <w:tc>
          <w:tcPr>
            <w:tcW w:w="2491" w:type="dxa"/>
          </w:tcPr>
          <w:p w:rsidR="00EA3FF3" w:rsidRPr="004343A0" w:rsidRDefault="00EA3FF3" w:rsidP="001841D1">
            <w:pPr>
              <w:spacing w:line="480" w:lineRule="auto"/>
              <w:jc w:val="center"/>
              <w:rPr>
                <w:b/>
                <w:sz w:val="20"/>
              </w:rPr>
            </w:pPr>
            <w:r w:rsidRPr="004343A0">
              <w:rPr>
                <w:b/>
                <w:sz w:val="20"/>
              </w:rPr>
              <w:t>%</w:t>
            </w:r>
          </w:p>
        </w:tc>
        <w:tc>
          <w:tcPr>
            <w:tcW w:w="2491" w:type="dxa"/>
          </w:tcPr>
          <w:p w:rsidR="00EA3FF3" w:rsidRPr="004343A0" w:rsidRDefault="003A31BE" w:rsidP="003A31BE">
            <w:pPr>
              <w:spacing w:line="480" w:lineRule="auto"/>
              <w:jc w:val="center"/>
              <w:rPr>
                <w:b/>
                <w:sz w:val="20"/>
              </w:rPr>
            </w:pPr>
            <w:r>
              <w:rPr>
                <w:b/>
                <w:sz w:val="20"/>
              </w:rPr>
              <w:t>Profile Group</w:t>
            </w:r>
          </w:p>
        </w:tc>
      </w:tr>
      <w:tr w:rsidR="003A31BE" w:rsidRPr="004343A0">
        <w:tc>
          <w:tcPr>
            <w:tcW w:w="2717" w:type="dxa"/>
          </w:tcPr>
          <w:p w:rsidR="003A31BE" w:rsidRPr="004343A0" w:rsidRDefault="003A31BE" w:rsidP="00BB1956">
            <w:pPr>
              <w:spacing w:line="240" w:lineRule="auto"/>
              <w:jc w:val="center"/>
              <w:rPr>
                <w:sz w:val="20"/>
              </w:rPr>
            </w:pPr>
            <w:r w:rsidRPr="004343A0">
              <w:rPr>
                <w:sz w:val="20"/>
              </w:rPr>
              <w:t>Under 55</w:t>
            </w:r>
          </w:p>
        </w:tc>
        <w:tc>
          <w:tcPr>
            <w:tcW w:w="2491" w:type="dxa"/>
          </w:tcPr>
          <w:p w:rsidR="003A31BE" w:rsidRPr="004343A0" w:rsidRDefault="003A31BE" w:rsidP="00BB1956">
            <w:pPr>
              <w:spacing w:line="240" w:lineRule="auto"/>
              <w:jc w:val="center"/>
              <w:rPr>
                <w:sz w:val="20"/>
              </w:rPr>
            </w:pPr>
            <w:r w:rsidRPr="004343A0">
              <w:rPr>
                <w:sz w:val="20"/>
              </w:rPr>
              <w:t>5%</w:t>
            </w:r>
          </w:p>
        </w:tc>
        <w:tc>
          <w:tcPr>
            <w:tcW w:w="2491" w:type="dxa"/>
            <w:vMerge w:val="restart"/>
          </w:tcPr>
          <w:p w:rsidR="003A31BE" w:rsidRPr="004343A0" w:rsidRDefault="003A31BE" w:rsidP="00BB1956">
            <w:pPr>
              <w:spacing w:line="480" w:lineRule="auto"/>
              <w:jc w:val="center"/>
              <w:rPr>
                <w:sz w:val="20"/>
              </w:rPr>
            </w:pPr>
            <w:r w:rsidRPr="004343A0">
              <w:rPr>
                <w:sz w:val="20"/>
              </w:rPr>
              <w:t>Younger old group</w:t>
            </w:r>
          </w:p>
          <w:p w:rsidR="003A31BE" w:rsidRPr="004343A0" w:rsidRDefault="003A31BE" w:rsidP="00BB1956">
            <w:pPr>
              <w:spacing w:line="480" w:lineRule="auto"/>
              <w:jc w:val="center"/>
              <w:rPr>
                <w:sz w:val="20"/>
              </w:rPr>
            </w:pPr>
            <w:r>
              <w:rPr>
                <w:sz w:val="20"/>
              </w:rPr>
              <w:t>31</w:t>
            </w:r>
            <w:r w:rsidRPr="004343A0">
              <w:rPr>
                <w:sz w:val="20"/>
              </w:rPr>
              <w:t>%</w:t>
            </w:r>
          </w:p>
        </w:tc>
      </w:tr>
      <w:tr w:rsidR="003A31BE" w:rsidRPr="004343A0">
        <w:tc>
          <w:tcPr>
            <w:tcW w:w="2717" w:type="dxa"/>
          </w:tcPr>
          <w:p w:rsidR="003A31BE" w:rsidRPr="004343A0" w:rsidRDefault="003A31BE" w:rsidP="00BB1956">
            <w:pPr>
              <w:spacing w:line="240" w:lineRule="auto"/>
              <w:jc w:val="center"/>
              <w:rPr>
                <w:sz w:val="20"/>
              </w:rPr>
            </w:pPr>
            <w:r w:rsidRPr="004343A0">
              <w:rPr>
                <w:sz w:val="20"/>
              </w:rPr>
              <w:t>55-64</w:t>
            </w:r>
          </w:p>
        </w:tc>
        <w:tc>
          <w:tcPr>
            <w:tcW w:w="2491" w:type="dxa"/>
          </w:tcPr>
          <w:p w:rsidR="003A31BE" w:rsidRPr="004343A0" w:rsidRDefault="003A31BE" w:rsidP="00BB1956">
            <w:pPr>
              <w:spacing w:line="240" w:lineRule="auto"/>
              <w:jc w:val="center"/>
              <w:rPr>
                <w:sz w:val="20"/>
              </w:rPr>
            </w:pPr>
            <w:r w:rsidRPr="004343A0">
              <w:rPr>
                <w:sz w:val="20"/>
              </w:rPr>
              <w:t>18%</w:t>
            </w:r>
          </w:p>
        </w:tc>
        <w:tc>
          <w:tcPr>
            <w:tcW w:w="2491" w:type="dxa"/>
            <w:vMerge/>
          </w:tcPr>
          <w:p w:rsidR="003A31BE" w:rsidRPr="004343A0" w:rsidRDefault="003A31BE" w:rsidP="00BB1956">
            <w:pPr>
              <w:spacing w:line="480" w:lineRule="auto"/>
              <w:jc w:val="center"/>
              <w:rPr>
                <w:sz w:val="20"/>
              </w:rPr>
            </w:pPr>
          </w:p>
        </w:tc>
      </w:tr>
      <w:tr w:rsidR="003A31BE" w:rsidRPr="004343A0">
        <w:tc>
          <w:tcPr>
            <w:tcW w:w="2717" w:type="dxa"/>
          </w:tcPr>
          <w:p w:rsidR="003A31BE" w:rsidRPr="004343A0" w:rsidRDefault="003A31BE" w:rsidP="00BB1956">
            <w:pPr>
              <w:spacing w:line="240" w:lineRule="auto"/>
              <w:jc w:val="center"/>
              <w:rPr>
                <w:sz w:val="20"/>
              </w:rPr>
            </w:pPr>
            <w:r w:rsidRPr="004343A0">
              <w:rPr>
                <w:sz w:val="20"/>
              </w:rPr>
              <w:t>65-74</w:t>
            </w:r>
          </w:p>
        </w:tc>
        <w:tc>
          <w:tcPr>
            <w:tcW w:w="2491" w:type="dxa"/>
          </w:tcPr>
          <w:p w:rsidR="003A31BE" w:rsidRPr="004343A0" w:rsidRDefault="003A31BE" w:rsidP="00BB1956">
            <w:pPr>
              <w:spacing w:line="240" w:lineRule="auto"/>
              <w:jc w:val="center"/>
              <w:rPr>
                <w:sz w:val="20"/>
              </w:rPr>
            </w:pPr>
            <w:r w:rsidRPr="004343A0">
              <w:rPr>
                <w:sz w:val="20"/>
              </w:rPr>
              <w:t>8%</w:t>
            </w:r>
          </w:p>
        </w:tc>
        <w:tc>
          <w:tcPr>
            <w:tcW w:w="2491" w:type="dxa"/>
            <w:vMerge/>
          </w:tcPr>
          <w:p w:rsidR="003A31BE" w:rsidRPr="004343A0" w:rsidRDefault="003A31BE" w:rsidP="00BB1956">
            <w:pPr>
              <w:spacing w:line="480" w:lineRule="auto"/>
              <w:jc w:val="center"/>
              <w:rPr>
                <w:sz w:val="20"/>
              </w:rPr>
            </w:pPr>
          </w:p>
        </w:tc>
      </w:tr>
      <w:tr w:rsidR="003A31BE" w:rsidRPr="004343A0">
        <w:tc>
          <w:tcPr>
            <w:tcW w:w="2717" w:type="dxa"/>
          </w:tcPr>
          <w:p w:rsidR="003A31BE" w:rsidRPr="004343A0" w:rsidRDefault="003A31BE" w:rsidP="00BB1956">
            <w:pPr>
              <w:spacing w:line="240" w:lineRule="auto"/>
              <w:jc w:val="center"/>
              <w:rPr>
                <w:sz w:val="20"/>
              </w:rPr>
            </w:pPr>
            <w:r w:rsidRPr="004343A0">
              <w:rPr>
                <w:sz w:val="20"/>
              </w:rPr>
              <w:t>75-84</w:t>
            </w:r>
          </w:p>
        </w:tc>
        <w:tc>
          <w:tcPr>
            <w:tcW w:w="2491" w:type="dxa"/>
          </w:tcPr>
          <w:p w:rsidR="003A31BE" w:rsidRPr="004343A0" w:rsidRDefault="003A31BE" w:rsidP="00BB1956">
            <w:pPr>
              <w:spacing w:line="240" w:lineRule="auto"/>
              <w:jc w:val="center"/>
              <w:rPr>
                <w:sz w:val="20"/>
              </w:rPr>
            </w:pPr>
            <w:r w:rsidRPr="004343A0">
              <w:rPr>
                <w:sz w:val="20"/>
              </w:rPr>
              <w:t>26%</w:t>
            </w:r>
          </w:p>
        </w:tc>
        <w:tc>
          <w:tcPr>
            <w:tcW w:w="2491" w:type="dxa"/>
            <w:vMerge w:val="restart"/>
          </w:tcPr>
          <w:p w:rsidR="003A31BE" w:rsidRPr="004343A0" w:rsidRDefault="003A31BE" w:rsidP="00BB1956">
            <w:pPr>
              <w:spacing w:line="480" w:lineRule="auto"/>
              <w:jc w:val="center"/>
              <w:rPr>
                <w:sz w:val="20"/>
              </w:rPr>
            </w:pPr>
            <w:r w:rsidRPr="004343A0">
              <w:rPr>
                <w:sz w:val="20"/>
              </w:rPr>
              <w:t>Older old group</w:t>
            </w:r>
          </w:p>
          <w:p w:rsidR="003A31BE" w:rsidRPr="004343A0" w:rsidRDefault="003A31BE" w:rsidP="00BB1956">
            <w:pPr>
              <w:spacing w:line="480" w:lineRule="auto"/>
              <w:jc w:val="center"/>
              <w:rPr>
                <w:sz w:val="20"/>
              </w:rPr>
            </w:pPr>
            <w:r>
              <w:rPr>
                <w:sz w:val="20"/>
              </w:rPr>
              <w:t>58</w:t>
            </w:r>
            <w:r w:rsidRPr="004343A0">
              <w:rPr>
                <w:sz w:val="20"/>
              </w:rPr>
              <w:t>%</w:t>
            </w:r>
          </w:p>
        </w:tc>
      </w:tr>
      <w:tr w:rsidR="003A31BE" w:rsidRPr="004343A0">
        <w:tc>
          <w:tcPr>
            <w:tcW w:w="2717" w:type="dxa"/>
          </w:tcPr>
          <w:p w:rsidR="003A31BE" w:rsidRPr="004343A0" w:rsidRDefault="003A31BE" w:rsidP="00BB1956">
            <w:pPr>
              <w:spacing w:line="240" w:lineRule="auto"/>
              <w:jc w:val="center"/>
              <w:rPr>
                <w:sz w:val="20"/>
              </w:rPr>
            </w:pPr>
            <w:r w:rsidRPr="004343A0">
              <w:rPr>
                <w:sz w:val="20"/>
              </w:rPr>
              <w:t>Over 85</w:t>
            </w:r>
          </w:p>
        </w:tc>
        <w:tc>
          <w:tcPr>
            <w:tcW w:w="2491" w:type="dxa"/>
          </w:tcPr>
          <w:p w:rsidR="003A31BE" w:rsidRPr="004343A0" w:rsidRDefault="003A31BE" w:rsidP="00BB1956">
            <w:pPr>
              <w:spacing w:line="240" w:lineRule="auto"/>
              <w:jc w:val="center"/>
              <w:rPr>
                <w:sz w:val="20"/>
              </w:rPr>
            </w:pPr>
            <w:r w:rsidRPr="004343A0">
              <w:rPr>
                <w:sz w:val="20"/>
              </w:rPr>
              <w:t>32%</w:t>
            </w:r>
          </w:p>
        </w:tc>
        <w:tc>
          <w:tcPr>
            <w:tcW w:w="2491" w:type="dxa"/>
            <w:vMerge/>
          </w:tcPr>
          <w:p w:rsidR="003A31BE" w:rsidRPr="004343A0" w:rsidRDefault="003A31BE" w:rsidP="00633E83">
            <w:pPr>
              <w:spacing w:line="480" w:lineRule="auto"/>
              <w:jc w:val="both"/>
              <w:rPr>
                <w:sz w:val="20"/>
              </w:rPr>
            </w:pPr>
          </w:p>
        </w:tc>
      </w:tr>
      <w:tr w:rsidR="00EA3FF3" w:rsidRPr="004343A0">
        <w:tc>
          <w:tcPr>
            <w:tcW w:w="2717" w:type="dxa"/>
          </w:tcPr>
          <w:p w:rsidR="00EA3FF3" w:rsidRPr="004343A0" w:rsidRDefault="00EA3FF3" w:rsidP="00BB1956">
            <w:pPr>
              <w:spacing w:line="240" w:lineRule="auto"/>
              <w:jc w:val="center"/>
              <w:rPr>
                <w:sz w:val="20"/>
              </w:rPr>
            </w:pPr>
            <w:r w:rsidRPr="004343A0">
              <w:rPr>
                <w:sz w:val="20"/>
              </w:rPr>
              <w:t>No data</w:t>
            </w:r>
          </w:p>
        </w:tc>
        <w:tc>
          <w:tcPr>
            <w:tcW w:w="2491" w:type="dxa"/>
          </w:tcPr>
          <w:p w:rsidR="00EA3FF3" w:rsidRPr="004343A0" w:rsidRDefault="00EA3FF3" w:rsidP="00BB1956">
            <w:pPr>
              <w:spacing w:line="240" w:lineRule="auto"/>
              <w:jc w:val="center"/>
              <w:rPr>
                <w:sz w:val="20"/>
              </w:rPr>
            </w:pPr>
            <w:r w:rsidRPr="004343A0">
              <w:rPr>
                <w:sz w:val="20"/>
              </w:rPr>
              <w:t>11%</w:t>
            </w:r>
          </w:p>
        </w:tc>
        <w:tc>
          <w:tcPr>
            <w:tcW w:w="2491" w:type="dxa"/>
          </w:tcPr>
          <w:p w:rsidR="00EA3FF3" w:rsidRPr="004343A0" w:rsidRDefault="00EA3FF3" w:rsidP="00BB1956">
            <w:pPr>
              <w:spacing w:line="240" w:lineRule="auto"/>
              <w:jc w:val="center"/>
              <w:rPr>
                <w:sz w:val="20"/>
              </w:rPr>
            </w:pPr>
          </w:p>
        </w:tc>
      </w:tr>
    </w:tbl>
    <w:p w:rsidR="00917152" w:rsidRPr="004343A0" w:rsidRDefault="00917152" w:rsidP="001841D1">
      <w:pPr>
        <w:spacing w:line="480" w:lineRule="auto"/>
        <w:jc w:val="both"/>
        <w:rPr>
          <w:sz w:val="20"/>
        </w:rPr>
      </w:pPr>
    </w:p>
    <w:p w:rsidR="001841D1" w:rsidRPr="004343A0" w:rsidRDefault="001841D1" w:rsidP="001841D1">
      <w:pPr>
        <w:spacing w:line="480" w:lineRule="auto"/>
        <w:jc w:val="both"/>
        <w:rPr>
          <w:sz w:val="20"/>
        </w:rPr>
      </w:pPr>
      <w:r w:rsidRPr="004343A0">
        <w:rPr>
          <w:sz w:val="20"/>
        </w:rPr>
        <w:t>Table 1</w:t>
      </w:r>
      <w:r w:rsidR="00917152" w:rsidRPr="004343A0">
        <w:rPr>
          <w:sz w:val="20"/>
        </w:rPr>
        <w:t>.</w:t>
      </w:r>
      <w:r w:rsidRPr="004343A0">
        <w:rPr>
          <w:sz w:val="20"/>
        </w:rPr>
        <w:t xml:space="preserve"> Demographic profiling of the focus group participants</w:t>
      </w:r>
    </w:p>
    <w:p w:rsidR="001841D1" w:rsidRPr="004343A0" w:rsidRDefault="001841D1" w:rsidP="00633E83">
      <w:pPr>
        <w:spacing w:line="480" w:lineRule="auto"/>
        <w:jc w:val="both"/>
        <w:rPr>
          <w:sz w:val="20"/>
        </w:rPr>
      </w:pPr>
    </w:p>
    <w:p w:rsidR="001841D1" w:rsidRPr="004343A0" w:rsidRDefault="001841D1" w:rsidP="00633E83">
      <w:pPr>
        <w:spacing w:line="480" w:lineRule="auto"/>
        <w:jc w:val="both"/>
        <w:rPr>
          <w:sz w:val="20"/>
        </w:rPr>
      </w:pPr>
    </w:p>
    <w:p w:rsidR="0012374A" w:rsidRPr="004343A0" w:rsidRDefault="0012374A" w:rsidP="00633E83">
      <w:pPr>
        <w:spacing w:after="200" w:line="480" w:lineRule="auto"/>
        <w:jc w:val="both"/>
        <w:rPr>
          <w:rFonts w:cs="Arial"/>
          <w:sz w:val="20"/>
          <w:szCs w:val="20"/>
          <w:lang w:bidi="th-TH"/>
        </w:rPr>
      </w:pPr>
      <w:r w:rsidRPr="004343A0">
        <w:rPr>
          <w:sz w:val="20"/>
        </w:rPr>
        <w:br w:type="page"/>
      </w:r>
      <w:r w:rsidRPr="004343A0">
        <w:rPr>
          <w:rFonts w:cs="Arial"/>
          <w:sz w:val="20"/>
          <w:szCs w:val="20"/>
          <w:lang w:bidi="th-TH"/>
        </w:rPr>
        <w:lastRenderedPageBreak/>
        <w:t>Yamuna Kaluarachchi</w:t>
      </w:r>
    </w:p>
    <w:p w:rsidR="0012374A" w:rsidRPr="004343A0" w:rsidRDefault="0012374A" w:rsidP="00633E83">
      <w:pPr>
        <w:spacing w:after="200" w:line="480" w:lineRule="auto"/>
        <w:jc w:val="both"/>
        <w:rPr>
          <w:sz w:val="20"/>
        </w:rPr>
      </w:pPr>
      <w:r w:rsidRPr="004343A0">
        <w:rPr>
          <w:noProof/>
          <w:sz w:val="20"/>
        </w:rPr>
        <w:drawing>
          <wp:inline distT="0" distB="0" distL="0" distR="0">
            <wp:extent cx="4543425" cy="2794000"/>
            <wp:effectExtent l="25400" t="0" r="317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374A" w:rsidRPr="004343A0" w:rsidRDefault="0012374A" w:rsidP="00633E83">
      <w:pPr>
        <w:spacing w:after="200" w:line="480" w:lineRule="auto"/>
        <w:jc w:val="both"/>
        <w:rPr>
          <w:sz w:val="20"/>
        </w:rPr>
      </w:pPr>
    </w:p>
    <w:p w:rsidR="0012374A" w:rsidRPr="004343A0" w:rsidRDefault="0012374A" w:rsidP="00633E83">
      <w:pPr>
        <w:spacing w:after="200" w:line="480" w:lineRule="auto"/>
        <w:jc w:val="both"/>
        <w:rPr>
          <w:sz w:val="20"/>
        </w:rPr>
      </w:pPr>
      <w:r w:rsidRPr="004343A0">
        <w:rPr>
          <w:sz w:val="20"/>
        </w:rPr>
        <w:t xml:space="preserve">Figure </w:t>
      </w:r>
      <w:r w:rsidR="00BB1956" w:rsidRPr="004343A0">
        <w:rPr>
          <w:sz w:val="20"/>
        </w:rPr>
        <w:t>2</w:t>
      </w:r>
      <w:r w:rsidR="00917152" w:rsidRPr="004343A0">
        <w:rPr>
          <w:sz w:val="20"/>
        </w:rPr>
        <w:t>.</w:t>
      </w:r>
      <w:r w:rsidRPr="004343A0">
        <w:rPr>
          <w:sz w:val="20"/>
        </w:rPr>
        <w:t xml:space="preserve"> Wealth profiling of the focus group participants</w:t>
      </w:r>
      <w:r w:rsidRPr="004343A0">
        <w:rPr>
          <w:sz w:val="20"/>
        </w:rPr>
        <w:tab/>
      </w:r>
      <w:r w:rsidRPr="004343A0">
        <w:rPr>
          <w:sz w:val="20"/>
        </w:rPr>
        <w:tab/>
      </w:r>
      <w:r w:rsidRPr="004343A0">
        <w:rPr>
          <w:sz w:val="20"/>
        </w:rPr>
        <w:tab/>
      </w:r>
    </w:p>
    <w:p w:rsidR="0012374A" w:rsidRPr="004343A0" w:rsidRDefault="0012374A" w:rsidP="00633E83">
      <w:pPr>
        <w:spacing w:after="200" w:line="480" w:lineRule="auto"/>
        <w:jc w:val="both"/>
        <w:rPr>
          <w:rFonts w:cs="Arial"/>
          <w:sz w:val="20"/>
          <w:szCs w:val="20"/>
          <w:lang w:bidi="th-TH"/>
        </w:rPr>
      </w:pPr>
      <w:r w:rsidRPr="004343A0">
        <w:rPr>
          <w:rFonts w:cs="Arial"/>
          <w:sz w:val="20"/>
          <w:szCs w:val="20"/>
          <w:lang w:bidi="th-TH"/>
        </w:rPr>
        <w:br w:type="page"/>
      </w:r>
      <w:r w:rsidRPr="004343A0">
        <w:rPr>
          <w:rFonts w:cs="Arial"/>
          <w:sz w:val="20"/>
          <w:szCs w:val="20"/>
          <w:lang w:bidi="th-TH"/>
        </w:rPr>
        <w:lastRenderedPageBreak/>
        <w:t>Yamuna Kaluarachchi</w:t>
      </w:r>
    </w:p>
    <w:tbl>
      <w:tblPr>
        <w:tblStyle w:val="TableGrid"/>
        <w:tblW w:w="0" w:type="auto"/>
        <w:tblLook w:val="00A0" w:firstRow="1" w:lastRow="0" w:firstColumn="1" w:lastColumn="0" w:noHBand="0" w:noVBand="0"/>
      </w:tblPr>
      <w:tblGrid>
        <w:gridCol w:w="2123"/>
        <w:gridCol w:w="3109"/>
        <w:gridCol w:w="2615"/>
      </w:tblGrid>
      <w:tr w:rsidR="0012374A" w:rsidRPr="004343A0">
        <w:trPr>
          <w:trHeight w:val="229"/>
        </w:trPr>
        <w:tc>
          <w:tcPr>
            <w:tcW w:w="2235" w:type="dxa"/>
            <w:vMerge w:val="restart"/>
          </w:tcPr>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r w:rsidRPr="004343A0">
              <w:rPr>
                <w:b/>
                <w:sz w:val="20"/>
              </w:rPr>
              <w:t>Understanding Sustainability</w:t>
            </w:r>
          </w:p>
        </w:tc>
        <w:tc>
          <w:tcPr>
            <w:tcW w:w="3423" w:type="dxa"/>
          </w:tcPr>
          <w:p w:rsidR="0012374A" w:rsidRPr="004343A0" w:rsidRDefault="0012374A" w:rsidP="00633E83">
            <w:pPr>
              <w:spacing w:line="240" w:lineRule="auto"/>
              <w:jc w:val="center"/>
              <w:outlineLvl w:val="0"/>
              <w:rPr>
                <w:b/>
                <w:sz w:val="20"/>
              </w:rPr>
            </w:pPr>
            <w:r w:rsidRPr="004343A0">
              <w:rPr>
                <w:b/>
                <w:sz w:val="20"/>
              </w:rPr>
              <w:t>All ages and wealth spectrums</w:t>
            </w:r>
          </w:p>
        </w:tc>
        <w:tc>
          <w:tcPr>
            <w:tcW w:w="2857" w:type="dxa"/>
          </w:tcPr>
          <w:p w:rsidR="0012374A" w:rsidRPr="004343A0" w:rsidRDefault="0012374A" w:rsidP="00633E83">
            <w:pPr>
              <w:spacing w:line="240" w:lineRule="auto"/>
              <w:ind w:left="317" w:hanging="284"/>
              <w:jc w:val="center"/>
              <w:outlineLvl w:val="0"/>
              <w:rPr>
                <w:b/>
                <w:sz w:val="20"/>
              </w:rPr>
            </w:pPr>
            <w:r w:rsidRPr="004343A0">
              <w:rPr>
                <w:b/>
                <w:sz w:val="20"/>
              </w:rPr>
              <w:t>Older old</w:t>
            </w:r>
          </w:p>
        </w:tc>
      </w:tr>
      <w:tr w:rsidR="0012374A" w:rsidRPr="004343A0">
        <w:trPr>
          <w:trHeight w:val="2112"/>
        </w:trPr>
        <w:tc>
          <w:tcPr>
            <w:tcW w:w="2235" w:type="dxa"/>
            <w:vMerge/>
          </w:tcPr>
          <w:p w:rsidR="0012374A" w:rsidRPr="004343A0" w:rsidRDefault="0012374A" w:rsidP="00633E83">
            <w:pPr>
              <w:spacing w:line="240" w:lineRule="auto"/>
              <w:jc w:val="both"/>
              <w:rPr>
                <w:sz w:val="20"/>
              </w:rPr>
            </w:pPr>
          </w:p>
        </w:tc>
        <w:tc>
          <w:tcPr>
            <w:tcW w:w="3423" w:type="dxa"/>
          </w:tcPr>
          <w:p w:rsidR="0012374A" w:rsidRPr="004343A0" w:rsidRDefault="0012374A" w:rsidP="00633E83">
            <w:pPr>
              <w:pStyle w:val="ListParagraph"/>
              <w:numPr>
                <w:ilvl w:val="0"/>
                <w:numId w:val="17"/>
              </w:numPr>
              <w:spacing w:after="0" w:line="240" w:lineRule="auto"/>
              <w:ind w:left="317" w:hanging="284"/>
              <w:jc w:val="both"/>
              <w:rPr>
                <w:rFonts w:ascii="Arial" w:hAnsi="Arial"/>
                <w:sz w:val="20"/>
              </w:rPr>
            </w:pPr>
            <w:r w:rsidRPr="004343A0">
              <w:rPr>
                <w:rFonts w:ascii="Arial" w:hAnsi="Arial"/>
                <w:sz w:val="20"/>
              </w:rPr>
              <w:t>Lack of awareness of the term “sustainability”</w:t>
            </w:r>
          </w:p>
          <w:p w:rsidR="0012374A" w:rsidRPr="004343A0" w:rsidRDefault="0012374A" w:rsidP="00633E83">
            <w:pPr>
              <w:pStyle w:val="ListParagraph"/>
              <w:numPr>
                <w:ilvl w:val="0"/>
                <w:numId w:val="17"/>
              </w:numPr>
              <w:spacing w:after="0" w:line="240" w:lineRule="auto"/>
              <w:ind w:left="317" w:hanging="284"/>
              <w:jc w:val="both"/>
              <w:rPr>
                <w:rFonts w:ascii="Arial" w:hAnsi="Arial"/>
                <w:sz w:val="20"/>
              </w:rPr>
            </w:pPr>
            <w:r w:rsidRPr="004343A0">
              <w:rPr>
                <w:rFonts w:ascii="Arial" w:hAnsi="Arial"/>
                <w:sz w:val="20"/>
              </w:rPr>
              <w:t>Recycling &amp; wastage are key issues</w:t>
            </w:r>
          </w:p>
          <w:p w:rsidR="0012374A" w:rsidRPr="004343A0" w:rsidRDefault="0012374A" w:rsidP="00633E83">
            <w:pPr>
              <w:pStyle w:val="ListParagraph"/>
              <w:numPr>
                <w:ilvl w:val="0"/>
                <w:numId w:val="17"/>
              </w:numPr>
              <w:spacing w:after="0" w:line="240" w:lineRule="auto"/>
              <w:ind w:left="317" w:hanging="284"/>
              <w:jc w:val="both"/>
              <w:rPr>
                <w:rFonts w:ascii="Arial" w:hAnsi="Arial"/>
                <w:sz w:val="20"/>
              </w:rPr>
            </w:pPr>
            <w:r w:rsidRPr="004343A0">
              <w:rPr>
                <w:rFonts w:ascii="Arial" w:hAnsi="Arial"/>
                <w:sz w:val="20"/>
              </w:rPr>
              <w:t xml:space="preserve">Clear symbols and communication needed regarding products recycling </w:t>
            </w:r>
          </w:p>
          <w:p w:rsidR="0012374A" w:rsidRPr="004343A0" w:rsidRDefault="0012374A" w:rsidP="00633E83">
            <w:pPr>
              <w:pStyle w:val="ListParagraph"/>
              <w:numPr>
                <w:ilvl w:val="0"/>
                <w:numId w:val="17"/>
              </w:numPr>
              <w:spacing w:after="0" w:line="240" w:lineRule="auto"/>
              <w:ind w:left="317" w:hanging="284"/>
              <w:jc w:val="both"/>
              <w:outlineLvl w:val="0"/>
              <w:rPr>
                <w:rFonts w:ascii="Arial" w:hAnsi="Arial"/>
                <w:sz w:val="20"/>
              </w:rPr>
            </w:pPr>
            <w:r w:rsidRPr="004343A0">
              <w:rPr>
                <w:rFonts w:ascii="Arial" w:hAnsi="Arial"/>
                <w:sz w:val="20"/>
              </w:rPr>
              <w:t>Improvement of waste and recycling collections by the local councils needed</w:t>
            </w:r>
          </w:p>
          <w:p w:rsidR="0012374A" w:rsidRPr="004343A0" w:rsidRDefault="0012374A" w:rsidP="00633E83">
            <w:pPr>
              <w:pStyle w:val="ListParagraph"/>
              <w:numPr>
                <w:ilvl w:val="0"/>
                <w:numId w:val="17"/>
              </w:numPr>
              <w:spacing w:after="0" w:line="240" w:lineRule="auto"/>
              <w:ind w:left="317" w:hanging="284"/>
              <w:jc w:val="both"/>
              <w:rPr>
                <w:rFonts w:ascii="Arial" w:hAnsi="Arial"/>
                <w:sz w:val="20"/>
              </w:rPr>
            </w:pPr>
            <w:r w:rsidRPr="004343A0">
              <w:rPr>
                <w:rFonts w:ascii="Arial" w:hAnsi="Arial"/>
                <w:sz w:val="20"/>
              </w:rPr>
              <w:t xml:space="preserve">Energy saving light bulbs not popular as they emit a hue </w:t>
            </w:r>
          </w:p>
          <w:p w:rsidR="0012374A" w:rsidRPr="004343A0" w:rsidRDefault="0012374A" w:rsidP="00633E83">
            <w:pPr>
              <w:pStyle w:val="ListParagraph"/>
              <w:numPr>
                <w:ilvl w:val="0"/>
                <w:numId w:val="17"/>
              </w:numPr>
              <w:spacing w:after="0" w:line="240" w:lineRule="auto"/>
              <w:ind w:left="317" w:hanging="284"/>
              <w:jc w:val="both"/>
              <w:rPr>
                <w:rFonts w:ascii="Arial" w:hAnsi="Arial"/>
                <w:sz w:val="20"/>
              </w:rPr>
            </w:pPr>
            <w:r w:rsidRPr="004343A0">
              <w:rPr>
                <w:rFonts w:ascii="Arial" w:hAnsi="Arial"/>
                <w:sz w:val="20"/>
              </w:rPr>
              <w:t>Ceiling and cavity wall insulation making a big difference to heating bills.</w:t>
            </w:r>
          </w:p>
        </w:tc>
        <w:tc>
          <w:tcPr>
            <w:tcW w:w="2857" w:type="dxa"/>
          </w:tcPr>
          <w:p w:rsidR="0012374A" w:rsidRPr="004343A0" w:rsidRDefault="0012374A" w:rsidP="00633E83">
            <w:pPr>
              <w:pStyle w:val="ListParagraph"/>
              <w:numPr>
                <w:ilvl w:val="0"/>
                <w:numId w:val="17"/>
              </w:numPr>
              <w:spacing w:after="0" w:line="240" w:lineRule="auto"/>
              <w:jc w:val="both"/>
              <w:outlineLvl w:val="0"/>
              <w:rPr>
                <w:rFonts w:ascii="Arial" w:hAnsi="Arial"/>
                <w:sz w:val="20"/>
              </w:rPr>
            </w:pPr>
            <w:r w:rsidRPr="004343A0">
              <w:rPr>
                <w:rFonts w:ascii="Arial" w:hAnsi="Arial"/>
                <w:sz w:val="20"/>
              </w:rPr>
              <w:t>More focus on personal aspects and issues of sustainability that had more local impact</w:t>
            </w:r>
          </w:p>
          <w:p w:rsidR="0012374A" w:rsidRPr="004343A0" w:rsidRDefault="0012374A" w:rsidP="00633E83">
            <w:pPr>
              <w:pStyle w:val="ListParagraph"/>
              <w:numPr>
                <w:ilvl w:val="0"/>
                <w:numId w:val="17"/>
              </w:numPr>
              <w:spacing w:after="0" w:line="240" w:lineRule="auto"/>
              <w:ind w:left="317" w:hanging="284"/>
              <w:jc w:val="both"/>
              <w:rPr>
                <w:rFonts w:ascii="Arial" w:hAnsi="Arial"/>
                <w:sz w:val="20"/>
              </w:rPr>
            </w:pPr>
            <w:r w:rsidRPr="004343A0">
              <w:rPr>
                <w:rFonts w:ascii="Arial" w:hAnsi="Arial"/>
                <w:sz w:val="20"/>
              </w:rPr>
              <w:t>Less aware of the term “sustainability”</w:t>
            </w:r>
          </w:p>
        </w:tc>
      </w:tr>
      <w:tr w:rsidR="0012374A" w:rsidRPr="004343A0">
        <w:trPr>
          <w:trHeight w:val="227"/>
        </w:trPr>
        <w:tc>
          <w:tcPr>
            <w:tcW w:w="2235" w:type="dxa"/>
            <w:vMerge w:val="restart"/>
          </w:tcPr>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r w:rsidRPr="004343A0">
              <w:rPr>
                <w:sz w:val="20"/>
              </w:rPr>
              <w:t>The motivators for change</w:t>
            </w:r>
          </w:p>
          <w:p w:rsidR="0012374A" w:rsidRPr="004343A0" w:rsidRDefault="0012374A" w:rsidP="00633E83">
            <w:pPr>
              <w:spacing w:line="240" w:lineRule="auto"/>
              <w:jc w:val="both"/>
              <w:rPr>
                <w:sz w:val="20"/>
              </w:rPr>
            </w:pPr>
          </w:p>
        </w:tc>
        <w:tc>
          <w:tcPr>
            <w:tcW w:w="3423" w:type="dxa"/>
          </w:tcPr>
          <w:p w:rsidR="0012374A" w:rsidRPr="004343A0" w:rsidRDefault="0012374A" w:rsidP="00633E83">
            <w:pPr>
              <w:spacing w:line="240" w:lineRule="auto"/>
              <w:jc w:val="center"/>
              <w:rPr>
                <w:b/>
                <w:sz w:val="20"/>
              </w:rPr>
            </w:pPr>
            <w:r w:rsidRPr="004343A0">
              <w:rPr>
                <w:b/>
                <w:sz w:val="20"/>
              </w:rPr>
              <w:t>Younger old</w:t>
            </w:r>
          </w:p>
        </w:tc>
        <w:tc>
          <w:tcPr>
            <w:tcW w:w="2857" w:type="dxa"/>
          </w:tcPr>
          <w:p w:rsidR="0012374A" w:rsidRPr="004343A0" w:rsidRDefault="0012374A" w:rsidP="00633E83">
            <w:pPr>
              <w:spacing w:line="240" w:lineRule="auto"/>
              <w:ind w:left="317" w:hanging="284"/>
              <w:jc w:val="center"/>
              <w:outlineLvl w:val="0"/>
              <w:rPr>
                <w:b/>
                <w:sz w:val="20"/>
              </w:rPr>
            </w:pPr>
            <w:r w:rsidRPr="004343A0">
              <w:rPr>
                <w:b/>
                <w:sz w:val="20"/>
              </w:rPr>
              <w:t>Older old</w:t>
            </w:r>
          </w:p>
        </w:tc>
      </w:tr>
      <w:tr w:rsidR="0012374A" w:rsidRPr="004343A0">
        <w:trPr>
          <w:trHeight w:val="1730"/>
        </w:trPr>
        <w:tc>
          <w:tcPr>
            <w:tcW w:w="2235" w:type="dxa"/>
            <w:vMerge/>
          </w:tcPr>
          <w:p w:rsidR="0012374A" w:rsidRPr="004343A0" w:rsidRDefault="0012374A" w:rsidP="00633E83">
            <w:pPr>
              <w:spacing w:line="240" w:lineRule="auto"/>
              <w:jc w:val="both"/>
              <w:rPr>
                <w:sz w:val="20"/>
              </w:rPr>
            </w:pPr>
          </w:p>
        </w:tc>
        <w:tc>
          <w:tcPr>
            <w:tcW w:w="3423" w:type="dxa"/>
          </w:tcPr>
          <w:p w:rsidR="0012374A" w:rsidRPr="004343A0" w:rsidRDefault="0012374A" w:rsidP="00633E83">
            <w:pPr>
              <w:pStyle w:val="ListParagraph"/>
              <w:numPr>
                <w:ilvl w:val="0"/>
                <w:numId w:val="19"/>
              </w:numPr>
              <w:spacing w:after="0" w:line="240" w:lineRule="auto"/>
              <w:jc w:val="both"/>
              <w:outlineLvl w:val="0"/>
              <w:rPr>
                <w:rFonts w:ascii="Arial" w:hAnsi="Arial"/>
                <w:sz w:val="20"/>
              </w:rPr>
            </w:pPr>
            <w:r w:rsidRPr="004343A0">
              <w:rPr>
                <w:rFonts w:ascii="Arial" w:hAnsi="Arial"/>
                <w:sz w:val="20"/>
              </w:rPr>
              <w:t>Awareness of global implications of food distribution and transport systems</w:t>
            </w:r>
          </w:p>
          <w:p w:rsidR="0012374A" w:rsidRPr="004343A0" w:rsidRDefault="0012374A" w:rsidP="00633E83">
            <w:pPr>
              <w:spacing w:line="240" w:lineRule="auto"/>
              <w:jc w:val="both"/>
              <w:outlineLvl w:val="0"/>
              <w:rPr>
                <w:sz w:val="20"/>
              </w:rPr>
            </w:pPr>
          </w:p>
        </w:tc>
        <w:tc>
          <w:tcPr>
            <w:tcW w:w="2857" w:type="dxa"/>
          </w:tcPr>
          <w:p w:rsidR="0012374A" w:rsidRPr="004343A0" w:rsidRDefault="0012374A" w:rsidP="00633E83">
            <w:pPr>
              <w:pStyle w:val="ListParagraph"/>
              <w:numPr>
                <w:ilvl w:val="0"/>
                <w:numId w:val="18"/>
              </w:numPr>
              <w:spacing w:after="0" w:line="240" w:lineRule="auto"/>
              <w:jc w:val="both"/>
              <w:rPr>
                <w:rFonts w:ascii="Arial" w:hAnsi="Arial"/>
                <w:sz w:val="20"/>
              </w:rPr>
            </w:pPr>
            <w:r w:rsidRPr="004343A0">
              <w:rPr>
                <w:rFonts w:ascii="Arial" w:hAnsi="Arial"/>
                <w:sz w:val="20"/>
              </w:rPr>
              <w:t>Local community issues and improving local life important.</w:t>
            </w:r>
          </w:p>
          <w:p w:rsidR="0012374A" w:rsidRPr="004343A0" w:rsidRDefault="0012374A" w:rsidP="00633E83">
            <w:pPr>
              <w:pStyle w:val="ListParagraph"/>
              <w:numPr>
                <w:ilvl w:val="0"/>
                <w:numId w:val="18"/>
              </w:numPr>
              <w:spacing w:after="0" w:line="240" w:lineRule="auto"/>
              <w:jc w:val="both"/>
              <w:rPr>
                <w:rFonts w:ascii="Arial" w:hAnsi="Arial"/>
                <w:sz w:val="20"/>
              </w:rPr>
            </w:pPr>
            <w:r w:rsidRPr="004343A0">
              <w:rPr>
                <w:rFonts w:ascii="Arial" w:hAnsi="Arial"/>
                <w:sz w:val="20"/>
              </w:rPr>
              <w:t xml:space="preserve">Saving money, improving comfort and security while maintaining independence. </w:t>
            </w:r>
          </w:p>
          <w:p w:rsidR="0012374A" w:rsidRPr="004343A0" w:rsidRDefault="0012374A" w:rsidP="00633E83">
            <w:pPr>
              <w:pStyle w:val="ListParagraph"/>
              <w:numPr>
                <w:ilvl w:val="0"/>
                <w:numId w:val="18"/>
              </w:numPr>
              <w:spacing w:after="0" w:line="240" w:lineRule="auto"/>
              <w:jc w:val="both"/>
              <w:rPr>
                <w:rFonts w:ascii="Arial" w:hAnsi="Arial"/>
                <w:sz w:val="20"/>
              </w:rPr>
            </w:pPr>
            <w:r w:rsidRPr="004343A0">
              <w:rPr>
                <w:rFonts w:ascii="Arial" w:hAnsi="Arial"/>
                <w:sz w:val="20"/>
              </w:rPr>
              <w:t xml:space="preserve">Saving energy is useful but not to interfere with daily life or habits. </w:t>
            </w:r>
          </w:p>
          <w:p w:rsidR="0012374A" w:rsidRPr="004343A0" w:rsidRDefault="0012374A" w:rsidP="00633E83">
            <w:pPr>
              <w:pStyle w:val="ListParagraph"/>
              <w:numPr>
                <w:ilvl w:val="0"/>
                <w:numId w:val="18"/>
              </w:numPr>
              <w:spacing w:after="0" w:line="240" w:lineRule="auto"/>
              <w:jc w:val="both"/>
              <w:outlineLvl w:val="0"/>
              <w:rPr>
                <w:rFonts w:ascii="Arial" w:hAnsi="Arial"/>
                <w:sz w:val="20"/>
              </w:rPr>
            </w:pPr>
            <w:r w:rsidRPr="004343A0">
              <w:rPr>
                <w:rFonts w:ascii="Arial" w:hAnsi="Arial"/>
                <w:sz w:val="20"/>
              </w:rPr>
              <w:t>Trust and follow government advice readily.</w:t>
            </w:r>
          </w:p>
        </w:tc>
      </w:tr>
      <w:tr w:rsidR="0012374A" w:rsidRPr="004343A0">
        <w:trPr>
          <w:trHeight w:val="227"/>
        </w:trPr>
        <w:tc>
          <w:tcPr>
            <w:tcW w:w="2235" w:type="dxa"/>
            <w:vMerge w:val="restart"/>
          </w:tcPr>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r w:rsidRPr="004343A0">
              <w:rPr>
                <w:sz w:val="20"/>
              </w:rPr>
              <w:t>Financial Support in upgrading homes</w:t>
            </w:r>
          </w:p>
        </w:tc>
        <w:tc>
          <w:tcPr>
            <w:tcW w:w="3423" w:type="dxa"/>
          </w:tcPr>
          <w:p w:rsidR="0012374A" w:rsidRPr="004343A0" w:rsidRDefault="0012374A" w:rsidP="00633E83">
            <w:pPr>
              <w:spacing w:line="240" w:lineRule="auto"/>
              <w:jc w:val="center"/>
              <w:rPr>
                <w:b/>
                <w:sz w:val="20"/>
              </w:rPr>
            </w:pPr>
            <w:r w:rsidRPr="004343A0">
              <w:rPr>
                <w:b/>
                <w:sz w:val="20"/>
              </w:rPr>
              <w:t>Younger old</w:t>
            </w:r>
          </w:p>
        </w:tc>
        <w:tc>
          <w:tcPr>
            <w:tcW w:w="2857" w:type="dxa"/>
          </w:tcPr>
          <w:p w:rsidR="0012374A" w:rsidRPr="004343A0" w:rsidRDefault="0012374A" w:rsidP="00633E83">
            <w:pPr>
              <w:pStyle w:val="PlainText"/>
              <w:jc w:val="center"/>
              <w:rPr>
                <w:rFonts w:ascii="Arial" w:hAnsi="Arial" w:cs="Times New Roman"/>
                <w:b/>
                <w:sz w:val="20"/>
                <w:szCs w:val="24"/>
              </w:rPr>
            </w:pPr>
            <w:r w:rsidRPr="004343A0">
              <w:rPr>
                <w:rFonts w:ascii="Arial" w:hAnsi="Arial" w:cs="Times New Roman"/>
                <w:b/>
                <w:sz w:val="20"/>
                <w:szCs w:val="24"/>
              </w:rPr>
              <w:t>Older old</w:t>
            </w:r>
          </w:p>
        </w:tc>
      </w:tr>
      <w:tr w:rsidR="0012374A" w:rsidRPr="004343A0">
        <w:trPr>
          <w:trHeight w:val="920"/>
        </w:trPr>
        <w:tc>
          <w:tcPr>
            <w:tcW w:w="2235" w:type="dxa"/>
            <w:vMerge/>
          </w:tcPr>
          <w:p w:rsidR="0012374A" w:rsidRPr="004343A0" w:rsidRDefault="0012374A" w:rsidP="00633E83">
            <w:pPr>
              <w:spacing w:line="240" w:lineRule="auto"/>
              <w:jc w:val="both"/>
              <w:rPr>
                <w:sz w:val="20"/>
              </w:rPr>
            </w:pPr>
          </w:p>
        </w:tc>
        <w:tc>
          <w:tcPr>
            <w:tcW w:w="3423" w:type="dxa"/>
          </w:tcPr>
          <w:p w:rsidR="0012374A" w:rsidRPr="004343A0" w:rsidRDefault="0012374A" w:rsidP="00633E83">
            <w:pPr>
              <w:pStyle w:val="PlainText"/>
              <w:numPr>
                <w:ilvl w:val="0"/>
                <w:numId w:val="20"/>
              </w:numPr>
              <w:jc w:val="both"/>
              <w:rPr>
                <w:rFonts w:ascii="Arial" w:hAnsi="Arial" w:cs="Times New Roman"/>
                <w:sz w:val="20"/>
                <w:szCs w:val="24"/>
              </w:rPr>
            </w:pPr>
            <w:r w:rsidRPr="004343A0">
              <w:rPr>
                <w:rFonts w:ascii="Arial" w:hAnsi="Arial" w:cs="Times New Roman"/>
                <w:sz w:val="20"/>
                <w:szCs w:val="24"/>
              </w:rPr>
              <w:t xml:space="preserve">Interested in making substantial changes to homes </w:t>
            </w:r>
          </w:p>
          <w:p w:rsidR="0012374A" w:rsidRPr="004343A0" w:rsidRDefault="0012374A" w:rsidP="00633E83">
            <w:pPr>
              <w:pStyle w:val="ListParagraph"/>
              <w:numPr>
                <w:ilvl w:val="0"/>
                <w:numId w:val="20"/>
              </w:numPr>
              <w:spacing w:after="0" w:line="240" w:lineRule="auto"/>
              <w:jc w:val="both"/>
              <w:rPr>
                <w:rFonts w:ascii="Arial" w:hAnsi="Arial"/>
                <w:sz w:val="20"/>
              </w:rPr>
            </w:pPr>
            <w:r w:rsidRPr="004343A0">
              <w:rPr>
                <w:rFonts w:ascii="Arial" w:hAnsi="Arial"/>
                <w:sz w:val="20"/>
              </w:rPr>
              <w:t>Receptive to receiving support and financial grants.</w:t>
            </w:r>
          </w:p>
        </w:tc>
        <w:tc>
          <w:tcPr>
            <w:tcW w:w="2857" w:type="dxa"/>
          </w:tcPr>
          <w:p w:rsidR="0012374A" w:rsidRPr="004343A0" w:rsidRDefault="0012374A" w:rsidP="00633E83">
            <w:pPr>
              <w:pStyle w:val="ListParagraph"/>
              <w:numPr>
                <w:ilvl w:val="0"/>
                <w:numId w:val="20"/>
              </w:numPr>
              <w:spacing w:after="0" w:line="240" w:lineRule="auto"/>
              <w:jc w:val="both"/>
              <w:rPr>
                <w:rFonts w:ascii="Arial" w:hAnsi="Arial"/>
                <w:sz w:val="20"/>
              </w:rPr>
            </w:pPr>
            <w:r w:rsidRPr="004343A0">
              <w:rPr>
                <w:rFonts w:ascii="Arial" w:hAnsi="Arial"/>
                <w:sz w:val="20"/>
              </w:rPr>
              <w:t>Resistant as g</w:t>
            </w:r>
            <w:r w:rsidR="00C00A35">
              <w:rPr>
                <w:rFonts w:ascii="Arial" w:hAnsi="Arial"/>
                <w:sz w:val="20"/>
              </w:rPr>
              <w:t>rants are perceived as handouts.</w:t>
            </w:r>
          </w:p>
          <w:p w:rsidR="0012374A" w:rsidRPr="004343A0" w:rsidRDefault="0012374A" w:rsidP="00633E83">
            <w:pPr>
              <w:pStyle w:val="ListParagraph"/>
              <w:numPr>
                <w:ilvl w:val="0"/>
                <w:numId w:val="20"/>
              </w:numPr>
              <w:spacing w:after="0" w:line="240" w:lineRule="auto"/>
              <w:jc w:val="both"/>
              <w:rPr>
                <w:rFonts w:ascii="Arial" w:hAnsi="Arial"/>
                <w:sz w:val="20"/>
              </w:rPr>
            </w:pPr>
            <w:r w:rsidRPr="004343A0">
              <w:rPr>
                <w:rFonts w:ascii="Arial" w:hAnsi="Arial" w:cs="Times New Roman"/>
                <w:sz w:val="20"/>
                <w:szCs w:val="24"/>
              </w:rPr>
              <w:t>Exceptions were grants available as reduction in council tax for people living on their own or energy upgrades that were carried out by the local councils</w:t>
            </w:r>
          </w:p>
        </w:tc>
      </w:tr>
      <w:tr w:rsidR="0012374A" w:rsidRPr="004343A0">
        <w:trPr>
          <w:trHeight w:val="227"/>
        </w:trPr>
        <w:tc>
          <w:tcPr>
            <w:tcW w:w="2235" w:type="dxa"/>
            <w:vMerge w:val="restart"/>
          </w:tcPr>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p>
          <w:p w:rsidR="0012374A" w:rsidRPr="004343A0" w:rsidRDefault="0012374A" w:rsidP="00633E83">
            <w:pPr>
              <w:spacing w:line="240" w:lineRule="auto"/>
              <w:jc w:val="both"/>
              <w:rPr>
                <w:sz w:val="20"/>
              </w:rPr>
            </w:pPr>
            <w:r w:rsidRPr="004343A0">
              <w:rPr>
                <w:sz w:val="20"/>
                <w:szCs w:val="24"/>
              </w:rPr>
              <w:t>Preferred methods of communication</w:t>
            </w:r>
          </w:p>
        </w:tc>
        <w:tc>
          <w:tcPr>
            <w:tcW w:w="6280" w:type="dxa"/>
            <w:gridSpan w:val="2"/>
          </w:tcPr>
          <w:p w:rsidR="0012374A" w:rsidRPr="004343A0" w:rsidRDefault="0012374A" w:rsidP="00633E83">
            <w:pPr>
              <w:pStyle w:val="PlainText"/>
              <w:jc w:val="center"/>
              <w:rPr>
                <w:rFonts w:ascii="Arial" w:hAnsi="Arial"/>
                <w:b/>
                <w:sz w:val="20"/>
              </w:rPr>
            </w:pPr>
            <w:r w:rsidRPr="004343A0">
              <w:rPr>
                <w:rFonts w:ascii="Arial" w:hAnsi="Arial"/>
                <w:b/>
                <w:sz w:val="20"/>
              </w:rPr>
              <w:t>All ages and wealth spectrums</w:t>
            </w:r>
          </w:p>
        </w:tc>
      </w:tr>
      <w:tr w:rsidR="0012374A" w:rsidRPr="004343A0">
        <w:trPr>
          <w:trHeight w:val="728"/>
        </w:trPr>
        <w:tc>
          <w:tcPr>
            <w:tcW w:w="2235" w:type="dxa"/>
            <w:vMerge/>
          </w:tcPr>
          <w:p w:rsidR="0012374A" w:rsidRPr="004343A0" w:rsidRDefault="0012374A" w:rsidP="00633E83">
            <w:pPr>
              <w:spacing w:line="240" w:lineRule="auto"/>
              <w:jc w:val="both"/>
              <w:rPr>
                <w:sz w:val="20"/>
              </w:rPr>
            </w:pPr>
          </w:p>
        </w:tc>
        <w:tc>
          <w:tcPr>
            <w:tcW w:w="6280" w:type="dxa"/>
            <w:gridSpan w:val="2"/>
          </w:tcPr>
          <w:p w:rsidR="0012374A" w:rsidRPr="004343A0" w:rsidRDefault="0012374A" w:rsidP="00633E83">
            <w:pPr>
              <w:pStyle w:val="PlainText"/>
              <w:numPr>
                <w:ilvl w:val="0"/>
                <w:numId w:val="21"/>
              </w:numPr>
              <w:jc w:val="both"/>
              <w:rPr>
                <w:rFonts w:ascii="Arial" w:hAnsi="Arial" w:cs="Times New Roman"/>
                <w:sz w:val="20"/>
                <w:szCs w:val="24"/>
              </w:rPr>
            </w:pPr>
            <w:r w:rsidRPr="004343A0">
              <w:rPr>
                <w:rFonts w:ascii="Arial" w:hAnsi="Arial" w:cs="Times New Roman"/>
                <w:sz w:val="20"/>
                <w:szCs w:val="24"/>
              </w:rPr>
              <w:t>Information leaflets and booklets to refer back</w:t>
            </w:r>
          </w:p>
          <w:p w:rsidR="0012374A" w:rsidRPr="004343A0" w:rsidRDefault="0012374A" w:rsidP="00633E83">
            <w:pPr>
              <w:pStyle w:val="PlainText"/>
              <w:numPr>
                <w:ilvl w:val="0"/>
                <w:numId w:val="21"/>
              </w:numPr>
              <w:jc w:val="both"/>
              <w:rPr>
                <w:rFonts w:ascii="Arial" w:hAnsi="Arial" w:cs="Times New Roman"/>
                <w:sz w:val="20"/>
                <w:szCs w:val="24"/>
              </w:rPr>
            </w:pPr>
            <w:r w:rsidRPr="004343A0">
              <w:rPr>
                <w:rFonts w:ascii="Arial" w:hAnsi="Arial" w:cs="Times New Roman"/>
                <w:sz w:val="20"/>
                <w:szCs w:val="24"/>
              </w:rPr>
              <w:t xml:space="preserve">CD or DVD was not popular other than in communal use. </w:t>
            </w:r>
          </w:p>
          <w:p w:rsidR="0012374A" w:rsidRPr="004343A0" w:rsidRDefault="0012374A" w:rsidP="00633E83">
            <w:pPr>
              <w:pStyle w:val="PlainText"/>
              <w:numPr>
                <w:ilvl w:val="0"/>
                <w:numId w:val="21"/>
              </w:numPr>
              <w:jc w:val="both"/>
              <w:rPr>
                <w:rFonts w:ascii="Arial" w:hAnsi="Arial" w:cs="Times New Roman"/>
                <w:sz w:val="20"/>
                <w:szCs w:val="24"/>
              </w:rPr>
            </w:pPr>
            <w:r w:rsidRPr="004343A0">
              <w:rPr>
                <w:rFonts w:ascii="Arial" w:hAnsi="Arial" w:cs="Times New Roman"/>
                <w:sz w:val="20"/>
                <w:szCs w:val="24"/>
              </w:rPr>
              <w:t xml:space="preserve">A single point of contact for information </w:t>
            </w:r>
          </w:p>
          <w:p w:rsidR="0012374A" w:rsidRPr="004343A0" w:rsidRDefault="0012374A" w:rsidP="00633E83">
            <w:pPr>
              <w:pStyle w:val="PlainText"/>
              <w:numPr>
                <w:ilvl w:val="0"/>
                <w:numId w:val="21"/>
              </w:numPr>
              <w:jc w:val="both"/>
              <w:rPr>
                <w:rFonts w:ascii="Arial" w:hAnsi="Arial" w:cs="Times New Roman"/>
                <w:sz w:val="20"/>
                <w:szCs w:val="24"/>
              </w:rPr>
            </w:pPr>
            <w:r w:rsidRPr="004343A0">
              <w:rPr>
                <w:rFonts w:ascii="Arial" w:hAnsi="Arial" w:cs="Times New Roman"/>
                <w:sz w:val="20"/>
                <w:szCs w:val="24"/>
              </w:rPr>
              <w:t>One to one discussions with trusted people or agencies.</w:t>
            </w:r>
          </w:p>
        </w:tc>
      </w:tr>
    </w:tbl>
    <w:p w:rsidR="0012374A" w:rsidRPr="004343A0" w:rsidRDefault="0012374A" w:rsidP="00633E83">
      <w:pPr>
        <w:spacing w:line="480" w:lineRule="auto"/>
        <w:jc w:val="both"/>
        <w:rPr>
          <w:sz w:val="20"/>
        </w:rPr>
      </w:pPr>
    </w:p>
    <w:p w:rsidR="0012374A" w:rsidRPr="004343A0" w:rsidRDefault="0012374A" w:rsidP="00633E83">
      <w:pPr>
        <w:spacing w:line="480" w:lineRule="auto"/>
        <w:jc w:val="both"/>
        <w:rPr>
          <w:sz w:val="20"/>
        </w:rPr>
      </w:pPr>
      <w:r w:rsidRPr="004343A0">
        <w:rPr>
          <w:sz w:val="20"/>
        </w:rPr>
        <w:t xml:space="preserve">Table </w:t>
      </w:r>
      <w:r w:rsidR="00BB1956" w:rsidRPr="004343A0">
        <w:rPr>
          <w:sz w:val="20"/>
        </w:rPr>
        <w:t>2</w:t>
      </w:r>
      <w:r w:rsidR="00917152" w:rsidRPr="004343A0">
        <w:rPr>
          <w:sz w:val="20"/>
        </w:rPr>
        <w:t>.</w:t>
      </w:r>
      <w:r w:rsidRPr="004343A0">
        <w:rPr>
          <w:sz w:val="20"/>
        </w:rPr>
        <w:t xml:space="preserve"> Results of the focus group discussions</w:t>
      </w:r>
    </w:p>
    <w:p w:rsidR="0012374A" w:rsidRPr="004343A0" w:rsidRDefault="0012374A" w:rsidP="00633E83">
      <w:pPr>
        <w:spacing w:line="480" w:lineRule="auto"/>
        <w:jc w:val="both"/>
        <w:rPr>
          <w:sz w:val="20"/>
        </w:rPr>
      </w:pPr>
    </w:p>
    <w:p w:rsidR="007C4520" w:rsidRPr="004343A0" w:rsidRDefault="0012374A" w:rsidP="00917152">
      <w:pPr>
        <w:spacing w:after="200" w:line="480" w:lineRule="auto"/>
        <w:jc w:val="both"/>
        <w:rPr>
          <w:rFonts w:cs="Arial"/>
          <w:sz w:val="20"/>
          <w:szCs w:val="20"/>
          <w:lang w:bidi="th-TH"/>
        </w:rPr>
      </w:pPr>
      <w:r w:rsidRPr="004343A0">
        <w:rPr>
          <w:rFonts w:cs="Arial"/>
          <w:sz w:val="20"/>
          <w:szCs w:val="20"/>
          <w:lang w:bidi="th-TH"/>
        </w:rPr>
        <w:br w:type="page"/>
      </w:r>
      <w:r w:rsidRPr="004343A0">
        <w:rPr>
          <w:rFonts w:cs="Arial"/>
          <w:sz w:val="20"/>
          <w:szCs w:val="20"/>
          <w:lang w:bidi="th-TH"/>
        </w:rPr>
        <w:lastRenderedPageBreak/>
        <w:t>Yamuna Kaluarachchi</w:t>
      </w:r>
    </w:p>
    <w:tbl>
      <w:tblPr>
        <w:tblStyle w:val="TableGrid"/>
        <w:tblW w:w="0" w:type="auto"/>
        <w:tblLook w:val="04A0" w:firstRow="1" w:lastRow="0" w:firstColumn="1" w:lastColumn="0" w:noHBand="0" w:noVBand="1"/>
      </w:tblPr>
      <w:tblGrid>
        <w:gridCol w:w="2706"/>
        <w:gridCol w:w="2647"/>
        <w:gridCol w:w="2494"/>
      </w:tblGrid>
      <w:tr w:rsidR="003A31BE" w:rsidRPr="004343A0">
        <w:trPr>
          <w:trHeight w:val="609"/>
        </w:trPr>
        <w:tc>
          <w:tcPr>
            <w:tcW w:w="2706" w:type="dxa"/>
          </w:tcPr>
          <w:p w:rsidR="003A31BE" w:rsidRPr="004343A0" w:rsidRDefault="003A31BE" w:rsidP="00BB1956">
            <w:pPr>
              <w:spacing w:line="480" w:lineRule="auto"/>
              <w:jc w:val="center"/>
              <w:rPr>
                <w:b/>
                <w:sz w:val="20"/>
              </w:rPr>
            </w:pPr>
          </w:p>
          <w:p w:rsidR="003A31BE" w:rsidRPr="004343A0" w:rsidRDefault="003A31BE" w:rsidP="00BB1956">
            <w:pPr>
              <w:spacing w:line="480" w:lineRule="auto"/>
              <w:jc w:val="center"/>
              <w:rPr>
                <w:b/>
                <w:sz w:val="20"/>
              </w:rPr>
            </w:pPr>
            <w:r w:rsidRPr="004343A0">
              <w:rPr>
                <w:b/>
                <w:sz w:val="20"/>
              </w:rPr>
              <w:t>Age Group</w:t>
            </w:r>
          </w:p>
        </w:tc>
        <w:tc>
          <w:tcPr>
            <w:tcW w:w="2647" w:type="dxa"/>
          </w:tcPr>
          <w:p w:rsidR="003A31BE" w:rsidRPr="004343A0" w:rsidRDefault="003A31BE" w:rsidP="00BB1956">
            <w:pPr>
              <w:spacing w:line="480" w:lineRule="auto"/>
              <w:jc w:val="center"/>
              <w:rPr>
                <w:b/>
                <w:sz w:val="20"/>
              </w:rPr>
            </w:pPr>
          </w:p>
          <w:p w:rsidR="003A31BE" w:rsidRPr="004343A0" w:rsidRDefault="003A31BE" w:rsidP="00BB1956">
            <w:pPr>
              <w:spacing w:line="480" w:lineRule="auto"/>
              <w:jc w:val="center"/>
              <w:rPr>
                <w:b/>
                <w:sz w:val="20"/>
              </w:rPr>
            </w:pPr>
            <w:r w:rsidRPr="004343A0">
              <w:rPr>
                <w:b/>
                <w:sz w:val="20"/>
              </w:rPr>
              <w:t>%</w:t>
            </w:r>
          </w:p>
        </w:tc>
        <w:tc>
          <w:tcPr>
            <w:tcW w:w="2494" w:type="dxa"/>
            <w:shd w:val="clear" w:color="auto" w:fill="auto"/>
          </w:tcPr>
          <w:p w:rsidR="003A31BE" w:rsidRPr="004343A0" w:rsidRDefault="003A31BE" w:rsidP="003A31BE">
            <w:pPr>
              <w:spacing w:line="480" w:lineRule="auto"/>
              <w:jc w:val="center"/>
              <w:rPr>
                <w:b/>
                <w:sz w:val="20"/>
              </w:rPr>
            </w:pPr>
            <w:r>
              <w:rPr>
                <w:b/>
                <w:sz w:val="20"/>
              </w:rPr>
              <w:t>Profile Group</w:t>
            </w:r>
          </w:p>
        </w:tc>
      </w:tr>
      <w:tr w:rsidR="003A31BE" w:rsidRPr="004343A0">
        <w:tc>
          <w:tcPr>
            <w:tcW w:w="2706" w:type="dxa"/>
          </w:tcPr>
          <w:p w:rsidR="003A31BE" w:rsidRPr="004343A0" w:rsidRDefault="003A31BE" w:rsidP="00BB1956">
            <w:pPr>
              <w:spacing w:line="480" w:lineRule="auto"/>
              <w:jc w:val="center"/>
              <w:rPr>
                <w:sz w:val="20"/>
              </w:rPr>
            </w:pPr>
            <w:r w:rsidRPr="004343A0">
              <w:rPr>
                <w:sz w:val="20"/>
              </w:rPr>
              <w:t>Below 55 years</w:t>
            </w:r>
          </w:p>
        </w:tc>
        <w:tc>
          <w:tcPr>
            <w:tcW w:w="2647" w:type="dxa"/>
          </w:tcPr>
          <w:p w:rsidR="003A31BE" w:rsidRPr="004343A0" w:rsidRDefault="003A31BE" w:rsidP="00BB1956">
            <w:pPr>
              <w:spacing w:line="480" w:lineRule="auto"/>
              <w:jc w:val="center"/>
              <w:rPr>
                <w:sz w:val="20"/>
              </w:rPr>
            </w:pPr>
            <w:r w:rsidRPr="004343A0">
              <w:rPr>
                <w:sz w:val="20"/>
              </w:rPr>
              <w:t>2%</w:t>
            </w:r>
          </w:p>
        </w:tc>
        <w:tc>
          <w:tcPr>
            <w:tcW w:w="2494" w:type="dxa"/>
            <w:shd w:val="clear" w:color="auto" w:fill="auto"/>
          </w:tcPr>
          <w:p w:rsidR="003A31BE" w:rsidRPr="004343A0" w:rsidRDefault="003A31BE" w:rsidP="00BB1956">
            <w:pPr>
              <w:spacing w:line="480" w:lineRule="auto"/>
              <w:jc w:val="center"/>
              <w:rPr>
                <w:sz w:val="20"/>
              </w:rPr>
            </w:pPr>
          </w:p>
        </w:tc>
      </w:tr>
      <w:tr w:rsidR="00665A8F" w:rsidRPr="004343A0">
        <w:tc>
          <w:tcPr>
            <w:tcW w:w="2706" w:type="dxa"/>
          </w:tcPr>
          <w:p w:rsidR="00665A8F" w:rsidRPr="004343A0" w:rsidRDefault="00665A8F" w:rsidP="00BB1956">
            <w:pPr>
              <w:spacing w:line="480" w:lineRule="auto"/>
              <w:jc w:val="center"/>
              <w:rPr>
                <w:sz w:val="20"/>
              </w:rPr>
            </w:pPr>
            <w:r w:rsidRPr="004343A0">
              <w:rPr>
                <w:sz w:val="20"/>
              </w:rPr>
              <w:t>55-64 years</w:t>
            </w:r>
          </w:p>
        </w:tc>
        <w:tc>
          <w:tcPr>
            <w:tcW w:w="2647" w:type="dxa"/>
          </w:tcPr>
          <w:p w:rsidR="00665A8F" w:rsidRPr="004343A0" w:rsidRDefault="00665A8F" w:rsidP="00BB1956">
            <w:pPr>
              <w:spacing w:line="480" w:lineRule="auto"/>
              <w:jc w:val="center"/>
              <w:rPr>
                <w:sz w:val="20"/>
              </w:rPr>
            </w:pPr>
            <w:r w:rsidRPr="004343A0">
              <w:rPr>
                <w:sz w:val="20"/>
              </w:rPr>
              <w:t>12%</w:t>
            </w:r>
          </w:p>
        </w:tc>
        <w:tc>
          <w:tcPr>
            <w:tcW w:w="2494" w:type="dxa"/>
            <w:vMerge w:val="restart"/>
          </w:tcPr>
          <w:p w:rsidR="00665A8F" w:rsidRPr="004343A0" w:rsidRDefault="00665A8F" w:rsidP="00BB1956">
            <w:pPr>
              <w:spacing w:line="480" w:lineRule="auto"/>
              <w:jc w:val="center"/>
              <w:rPr>
                <w:sz w:val="20"/>
              </w:rPr>
            </w:pPr>
            <w:r w:rsidRPr="004343A0">
              <w:rPr>
                <w:sz w:val="20"/>
              </w:rPr>
              <w:t>Younger old group</w:t>
            </w:r>
          </w:p>
          <w:p w:rsidR="00665A8F" w:rsidRPr="004343A0" w:rsidRDefault="00665A8F" w:rsidP="00BB1956">
            <w:pPr>
              <w:spacing w:line="480" w:lineRule="auto"/>
              <w:jc w:val="center"/>
              <w:rPr>
                <w:sz w:val="20"/>
              </w:rPr>
            </w:pPr>
            <w:r w:rsidRPr="004343A0">
              <w:rPr>
                <w:sz w:val="20"/>
              </w:rPr>
              <w:t>52%</w:t>
            </w:r>
          </w:p>
        </w:tc>
      </w:tr>
      <w:tr w:rsidR="00665A8F" w:rsidRPr="004343A0">
        <w:tc>
          <w:tcPr>
            <w:tcW w:w="2706" w:type="dxa"/>
          </w:tcPr>
          <w:p w:rsidR="00665A8F" w:rsidRPr="004343A0" w:rsidRDefault="00665A8F" w:rsidP="00BB1956">
            <w:pPr>
              <w:spacing w:line="480" w:lineRule="auto"/>
              <w:jc w:val="center"/>
              <w:rPr>
                <w:sz w:val="20"/>
              </w:rPr>
            </w:pPr>
            <w:r w:rsidRPr="004343A0">
              <w:rPr>
                <w:sz w:val="20"/>
              </w:rPr>
              <w:t>65-74 years</w:t>
            </w:r>
          </w:p>
        </w:tc>
        <w:tc>
          <w:tcPr>
            <w:tcW w:w="2647" w:type="dxa"/>
          </w:tcPr>
          <w:p w:rsidR="00665A8F" w:rsidRPr="004343A0" w:rsidRDefault="00665A8F" w:rsidP="00BB1956">
            <w:pPr>
              <w:spacing w:line="480" w:lineRule="auto"/>
              <w:jc w:val="center"/>
              <w:rPr>
                <w:sz w:val="20"/>
              </w:rPr>
            </w:pPr>
            <w:r w:rsidRPr="004343A0">
              <w:rPr>
                <w:sz w:val="20"/>
              </w:rPr>
              <w:t>40%</w:t>
            </w:r>
          </w:p>
        </w:tc>
        <w:tc>
          <w:tcPr>
            <w:tcW w:w="2494" w:type="dxa"/>
            <w:vMerge/>
          </w:tcPr>
          <w:p w:rsidR="00665A8F" w:rsidRPr="004343A0" w:rsidRDefault="00665A8F" w:rsidP="00BB1956">
            <w:pPr>
              <w:spacing w:line="480" w:lineRule="auto"/>
              <w:jc w:val="center"/>
              <w:rPr>
                <w:sz w:val="20"/>
              </w:rPr>
            </w:pPr>
          </w:p>
        </w:tc>
      </w:tr>
      <w:tr w:rsidR="00665A8F" w:rsidRPr="004343A0">
        <w:tc>
          <w:tcPr>
            <w:tcW w:w="2706" w:type="dxa"/>
          </w:tcPr>
          <w:p w:rsidR="00665A8F" w:rsidRPr="004343A0" w:rsidRDefault="00665A8F" w:rsidP="00BB1956">
            <w:pPr>
              <w:spacing w:line="480" w:lineRule="auto"/>
              <w:jc w:val="center"/>
              <w:rPr>
                <w:sz w:val="20"/>
              </w:rPr>
            </w:pPr>
            <w:r w:rsidRPr="004343A0">
              <w:rPr>
                <w:sz w:val="20"/>
              </w:rPr>
              <w:t>75-84 years</w:t>
            </w:r>
          </w:p>
        </w:tc>
        <w:tc>
          <w:tcPr>
            <w:tcW w:w="2647" w:type="dxa"/>
          </w:tcPr>
          <w:p w:rsidR="00665A8F" w:rsidRPr="004343A0" w:rsidRDefault="00665A8F" w:rsidP="00BB1956">
            <w:pPr>
              <w:spacing w:line="480" w:lineRule="auto"/>
              <w:jc w:val="center"/>
              <w:rPr>
                <w:sz w:val="20"/>
              </w:rPr>
            </w:pPr>
            <w:r w:rsidRPr="004343A0">
              <w:rPr>
                <w:sz w:val="20"/>
              </w:rPr>
              <w:t>37%</w:t>
            </w:r>
          </w:p>
        </w:tc>
        <w:tc>
          <w:tcPr>
            <w:tcW w:w="2494" w:type="dxa"/>
            <w:vMerge w:val="restart"/>
          </w:tcPr>
          <w:p w:rsidR="00BB1956" w:rsidRPr="004343A0" w:rsidRDefault="00665A8F" w:rsidP="00BB1956">
            <w:pPr>
              <w:spacing w:line="480" w:lineRule="auto"/>
              <w:jc w:val="center"/>
              <w:rPr>
                <w:sz w:val="20"/>
              </w:rPr>
            </w:pPr>
            <w:r w:rsidRPr="004343A0">
              <w:rPr>
                <w:sz w:val="20"/>
              </w:rPr>
              <w:t>Older old group</w:t>
            </w:r>
          </w:p>
          <w:p w:rsidR="00665A8F" w:rsidRPr="004343A0" w:rsidRDefault="00665A8F" w:rsidP="00BB1956">
            <w:pPr>
              <w:spacing w:line="480" w:lineRule="auto"/>
              <w:jc w:val="center"/>
              <w:rPr>
                <w:sz w:val="20"/>
              </w:rPr>
            </w:pPr>
            <w:r w:rsidRPr="004343A0">
              <w:rPr>
                <w:sz w:val="20"/>
              </w:rPr>
              <w:t>47%</w:t>
            </w:r>
          </w:p>
        </w:tc>
      </w:tr>
      <w:tr w:rsidR="00665A8F" w:rsidRPr="004343A0">
        <w:tc>
          <w:tcPr>
            <w:tcW w:w="2706" w:type="dxa"/>
          </w:tcPr>
          <w:p w:rsidR="00665A8F" w:rsidRPr="004343A0" w:rsidRDefault="00665A8F" w:rsidP="00BB1956">
            <w:pPr>
              <w:spacing w:line="480" w:lineRule="auto"/>
              <w:jc w:val="center"/>
              <w:rPr>
                <w:sz w:val="20"/>
              </w:rPr>
            </w:pPr>
            <w:r w:rsidRPr="004343A0">
              <w:rPr>
                <w:sz w:val="20"/>
              </w:rPr>
              <w:t>Over 85 years</w:t>
            </w:r>
          </w:p>
        </w:tc>
        <w:tc>
          <w:tcPr>
            <w:tcW w:w="2647" w:type="dxa"/>
          </w:tcPr>
          <w:p w:rsidR="00665A8F" w:rsidRPr="004343A0" w:rsidRDefault="00665A8F" w:rsidP="00BB1956">
            <w:pPr>
              <w:spacing w:line="480" w:lineRule="auto"/>
              <w:jc w:val="center"/>
              <w:rPr>
                <w:sz w:val="20"/>
              </w:rPr>
            </w:pPr>
            <w:r w:rsidRPr="004343A0">
              <w:rPr>
                <w:sz w:val="20"/>
              </w:rPr>
              <w:t>10%</w:t>
            </w:r>
          </w:p>
        </w:tc>
        <w:tc>
          <w:tcPr>
            <w:tcW w:w="2494" w:type="dxa"/>
            <w:vMerge/>
          </w:tcPr>
          <w:p w:rsidR="00665A8F" w:rsidRPr="004343A0" w:rsidRDefault="00665A8F" w:rsidP="00633E83">
            <w:pPr>
              <w:spacing w:line="480" w:lineRule="auto"/>
              <w:jc w:val="both"/>
              <w:rPr>
                <w:sz w:val="20"/>
              </w:rPr>
            </w:pPr>
          </w:p>
        </w:tc>
      </w:tr>
    </w:tbl>
    <w:p w:rsidR="00D60EC1" w:rsidRPr="004343A0" w:rsidRDefault="00BB1956" w:rsidP="00633E83">
      <w:pPr>
        <w:spacing w:line="480" w:lineRule="auto"/>
        <w:jc w:val="both"/>
        <w:rPr>
          <w:sz w:val="20"/>
        </w:rPr>
      </w:pPr>
      <w:r w:rsidRPr="004343A0">
        <w:rPr>
          <w:sz w:val="20"/>
        </w:rPr>
        <w:t>Table 3</w:t>
      </w:r>
      <w:r w:rsidR="00917152" w:rsidRPr="004343A0">
        <w:rPr>
          <w:sz w:val="20"/>
        </w:rPr>
        <w:t>.</w:t>
      </w:r>
      <w:r w:rsidRPr="004343A0">
        <w:rPr>
          <w:sz w:val="20"/>
        </w:rPr>
        <w:t xml:space="preserve"> Demographic profiling of the engagement participants</w:t>
      </w:r>
    </w:p>
    <w:p w:rsidR="00D60EC1" w:rsidRPr="004343A0" w:rsidRDefault="00D60EC1" w:rsidP="00633E83">
      <w:pPr>
        <w:spacing w:line="480" w:lineRule="auto"/>
        <w:jc w:val="both"/>
        <w:rPr>
          <w:sz w:val="20"/>
        </w:rPr>
      </w:pPr>
    </w:p>
    <w:p w:rsidR="00D60EC1" w:rsidRPr="004343A0" w:rsidRDefault="00D60EC1" w:rsidP="00633E83">
      <w:pPr>
        <w:spacing w:line="480" w:lineRule="auto"/>
        <w:jc w:val="both"/>
        <w:rPr>
          <w:sz w:val="20"/>
        </w:rPr>
      </w:pPr>
    </w:p>
    <w:p w:rsidR="007C4520" w:rsidRPr="004343A0" w:rsidRDefault="007C4520" w:rsidP="00633E83">
      <w:pPr>
        <w:spacing w:after="200" w:line="480" w:lineRule="auto"/>
        <w:jc w:val="both"/>
        <w:rPr>
          <w:sz w:val="20"/>
        </w:rPr>
      </w:pPr>
      <w:r w:rsidRPr="004343A0">
        <w:rPr>
          <w:sz w:val="20"/>
        </w:rPr>
        <w:br w:type="page"/>
      </w:r>
      <w:r w:rsidRPr="004343A0">
        <w:rPr>
          <w:sz w:val="20"/>
        </w:rPr>
        <w:lastRenderedPageBreak/>
        <w:t>Yamuna Kaluarachchi</w:t>
      </w:r>
    </w:p>
    <w:p w:rsidR="007C4520" w:rsidRPr="004343A0" w:rsidRDefault="007C4520" w:rsidP="00633E83">
      <w:pPr>
        <w:spacing w:line="480" w:lineRule="auto"/>
        <w:jc w:val="both"/>
        <w:rPr>
          <w:rFonts w:cs="Arial"/>
          <w:sz w:val="20"/>
          <w:szCs w:val="20"/>
          <w:lang w:bidi="th-TH"/>
        </w:rPr>
      </w:pPr>
      <w:r w:rsidRPr="004343A0">
        <w:rPr>
          <w:rFonts w:cs="Arial"/>
          <w:noProof/>
          <w:sz w:val="20"/>
          <w:szCs w:val="20"/>
        </w:rPr>
        <w:drawing>
          <wp:inline distT="0" distB="0" distL="0" distR="0">
            <wp:extent cx="5372100" cy="2895600"/>
            <wp:effectExtent l="2540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7F17" w:rsidRPr="004343A0" w:rsidRDefault="007C4520" w:rsidP="00633E83">
      <w:pPr>
        <w:spacing w:line="480" w:lineRule="auto"/>
        <w:jc w:val="both"/>
        <w:rPr>
          <w:sz w:val="20"/>
        </w:rPr>
      </w:pPr>
      <w:r w:rsidRPr="004343A0">
        <w:rPr>
          <w:sz w:val="20"/>
        </w:rPr>
        <w:t xml:space="preserve">Figure </w:t>
      </w:r>
      <w:r w:rsidR="00BB1956" w:rsidRPr="004343A0">
        <w:rPr>
          <w:sz w:val="20"/>
        </w:rPr>
        <w:t>3</w:t>
      </w:r>
      <w:r w:rsidR="00917152" w:rsidRPr="004343A0">
        <w:rPr>
          <w:sz w:val="20"/>
        </w:rPr>
        <w:t>.</w:t>
      </w:r>
      <w:r w:rsidRPr="004343A0">
        <w:rPr>
          <w:sz w:val="20"/>
        </w:rPr>
        <w:t xml:space="preserve"> Wealth profiling of the engagement participants</w:t>
      </w:r>
    </w:p>
    <w:p w:rsidR="00D47F17" w:rsidRPr="004343A0" w:rsidRDefault="00D47F17" w:rsidP="00633E83">
      <w:pPr>
        <w:spacing w:line="480" w:lineRule="auto"/>
        <w:jc w:val="both"/>
        <w:rPr>
          <w:sz w:val="20"/>
        </w:rPr>
      </w:pPr>
    </w:p>
    <w:p w:rsidR="00D47F17" w:rsidRPr="004343A0" w:rsidRDefault="00D47F17" w:rsidP="00633E83">
      <w:pPr>
        <w:spacing w:line="480" w:lineRule="auto"/>
        <w:jc w:val="both"/>
        <w:rPr>
          <w:sz w:val="20"/>
        </w:rPr>
      </w:pPr>
    </w:p>
    <w:p w:rsidR="00D47F17" w:rsidRPr="004343A0" w:rsidRDefault="00D47F17" w:rsidP="00633E83">
      <w:pPr>
        <w:spacing w:after="200" w:line="480" w:lineRule="auto"/>
        <w:jc w:val="both"/>
        <w:rPr>
          <w:sz w:val="20"/>
        </w:rPr>
      </w:pPr>
      <w:r w:rsidRPr="004343A0">
        <w:rPr>
          <w:rFonts w:cs="Arial"/>
          <w:sz w:val="20"/>
          <w:szCs w:val="20"/>
          <w:lang w:bidi="th-TH"/>
        </w:rPr>
        <w:br w:type="page"/>
      </w:r>
      <w:r w:rsidRPr="004343A0">
        <w:rPr>
          <w:sz w:val="20"/>
        </w:rPr>
        <w:lastRenderedPageBreak/>
        <w:t>Yamuna Kaluarachchi</w:t>
      </w:r>
    </w:p>
    <w:p w:rsidR="00D47F17" w:rsidRPr="004343A0" w:rsidRDefault="00D47F17" w:rsidP="00633E83">
      <w:pPr>
        <w:spacing w:after="200" w:line="480" w:lineRule="auto"/>
        <w:jc w:val="both"/>
        <w:rPr>
          <w:rFonts w:cs="Arial"/>
          <w:sz w:val="20"/>
          <w:szCs w:val="20"/>
          <w:lang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5"/>
        <w:gridCol w:w="3882"/>
      </w:tblGrid>
      <w:tr w:rsidR="00D47F17" w:rsidRPr="004343A0">
        <w:tc>
          <w:tcPr>
            <w:tcW w:w="4621" w:type="dxa"/>
          </w:tcPr>
          <w:p w:rsidR="00D47F17" w:rsidRPr="004343A0" w:rsidRDefault="00D47F17" w:rsidP="00633E83">
            <w:pPr>
              <w:spacing w:line="240" w:lineRule="auto"/>
              <w:jc w:val="both"/>
              <w:rPr>
                <w:rFonts w:cs="Arial"/>
                <w:b/>
                <w:sz w:val="20"/>
                <w:szCs w:val="20"/>
              </w:rPr>
            </w:pPr>
            <w:r w:rsidRPr="004343A0">
              <w:rPr>
                <w:rFonts w:cs="Arial"/>
                <w:b/>
                <w:sz w:val="20"/>
                <w:szCs w:val="20"/>
              </w:rPr>
              <w:t>Method</w:t>
            </w:r>
          </w:p>
        </w:tc>
        <w:tc>
          <w:tcPr>
            <w:tcW w:w="4621" w:type="dxa"/>
          </w:tcPr>
          <w:p w:rsidR="00D47F17" w:rsidRPr="004343A0" w:rsidRDefault="00D47F17" w:rsidP="00633E83">
            <w:pPr>
              <w:spacing w:line="240" w:lineRule="auto"/>
              <w:jc w:val="both"/>
              <w:rPr>
                <w:rFonts w:cs="Arial"/>
                <w:b/>
                <w:sz w:val="20"/>
                <w:szCs w:val="20"/>
              </w:rPr>
            </w:pPr>
            <w:r w:rsidRPr="004343A0">
              <w:rPr>
                <w:rFonts w:cs="Arial"/>
                <w:b/>
                <w:sz w:val="20"/>
                <w:szCs w:val="20"/>
              </w:rPr>
              <w:t>Number of people engaged with</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Focus groups</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38</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Presentations</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1,125</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Information Stands</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480</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Discussions</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79</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Articles</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3,340</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Adverts for sessions</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12,210</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Website</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387</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Leaflets</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561</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Booklets so far</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2,000</w:t>
            </w:r>
          </w:p>
        </w:tc>
      </w:tr>
      <w:tr w:rsidR="00D47F17" w:rsidRPr="004343A0">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Total</w:t>
            </w:r>
          </w:p>
        </w:tc>
        <w:tc>
          <w:tcPr>
            <w:tcW w:w="4621" w:type="dxa"/>
          </w:tcPr>
          <w:p w:rsidR="00D47F17" w:rsidRPr="004343A0" w:rsidRDefault="00D47F17" w:rsidP="00633E83">
            <w:pPr>
              <w:spacing w:line="240" w:lineRule="auto"/>
              <w:jc w:val="both"/>
              <w:rPr>
                <w:rFonts w:cs="Arial"/>
                <w:sz w:val="20"/>
                <w:szCs w:val="20"/>
              </w:rPr>
            </w:pPr>
            <w:r w:rsidRPr="004343A0">
              <w:rPr>
                <w:rFonts w:cs="Arial"/>
                <w:sz w:val="20"/>
                <w:szCs w:val="20"/>
              </w:rPr>
              <w:t>20,220</w:t>
            </w:r>
          </w:p>
        </w:tc>
      </w:tr>
    </w:tbl>
    <w:p w:rsidR="00D47F17" w:rsidRPr="004343A0" w:rsidRDefault="00D47F17" w:rsidP="00633E83">
      <w:pPr>
        <w:spacing w:line="480" w:lineRule="auto"/>
        <w:jc w:val="both"/>
        <w:rPr>
          <w:b/>
          <w:sz w:val="20"/>
        </w:rPr>
      </w:pPr>
    </w:p>
    <w:p w:rsidR="00D47F17" w:rsidRPr="004343A0" w:rsidRDefault="00D47F17" w:rsidP="00633E83">
      <w:pPr>
        <w:spacing w:line="480" w:lineRule="auto"/>
        <w:jc w:val="both"/>
        <w:rPr>
          <w:sz w:val="20"/>
        </w:rPr>
      </w:pPr>
      <w:r w:rsidRPr="004343A0">
        <w:rPr>
          <w:sz w:val="20"/>
        </w:rPr>
        <w:t xml:space="preserve">Table </w:t>
      </w:r>
      <w:r w:rsidR="00BB1956" w:rsidRPr="004343A0">
        <w:rPr>
          <w:sz w:val="20"/>
        </w:rPr>
        <w:t>4</w:t>
      </w:r>
      <w:r w:rsidR="00917152" w:rsidRPr="004343A0">
        <w:rPr>
          <w:sz w:val="20"/>
        </w:rPr>
        <w:t>.</w:t>
      </w:r>
      <w:r w:rsidRPr="004343A0">
        <w:rPr>
          <w:sz w:val="20"/>
        </w:rPr>
        <w:t xml:space="preserve"> </w:t>
      </w:r>
      <w:r w:rsidRPr="004343A0">
        <w:rPr>
          <w:rFonts w:cs="Arial"/>
          <w:sz w:val="20"/>
          <w:szCs w:val="20"/>
        </w:rPr>
        <w:t>Number of people reached or engaged with</w:t>
      </w:r>
    </w:p>
    <w:p w:rsidR="003A2E54" w:rsidRPr="004343A0" w:rsidRDefault="003A2E54" w:rsidP="00633E83">
      <w:pPr>
        <w:spacing w:line="480" w:lineRule="auto"/>
        <w:jc w:val="both"/>
        <w:rPr>
          <w:rFonts w:cs="Arial"/>
          <w:sz w:val="20"/>
          <w:szCs w:val="20"/>
          <w:lang w:bidi="th-TH"/>
        </w:rPr>
      </w:pPr>
    </w:p>
    <w:p w:rsidR="003A2E54" w:rsidRPr="004343A0" w:rsidRDefault="003A2E54" w:rsidP="00633E83">
      <w:pPr>
        <w:spacing w:line="480" w:lineRule="auto"/>
        <w:jc w:val="both"/>
        <w:rPr>
          <w:rFonts w:cs="Arial"/>
          <w:sz w:val="20"/>
          <w:szCs w:val="20"/>
          <w:lang w:bidi="th-TH"/>
        </w:rPr>
      </w:pPr>
    </w:p>
    <w:p w:rsidR="003A2E54" w:rsidRPr="004343A0" w:rsidRDefault="003A2E54" w:rsidP="00633E83">
      <w:pPr>
        <w:spacing w:after="200" w:line="480" w:lineRule="auto"/>
        <w:jc w:val="both"/>
        <w:rPr>
          <w:sz w:val="20"/>
        </w:rPr>
      </w:pPr>
      <w:r w:rsidRPr="004343A0">
        <w:rPr>
          <w:rFonts w:cs="Arial"/>
          <w:sz w:val="20"/>
          <w:szCs w:val="20"/>
          <w:lang w:bidi="th-TH"/>
        </w:rPr>
        <w:br w:type="page"/>
      </w:r>
      <w:r w:rsidRPr="004343A0">
        <w:rPr>
          <w:sz w:val="20"/>
        </w:rPr>
        <w:lastRenderedPageBreak/>
        <w:t>Yamuna Kaluarachchi</w:t>
      </w:r>
    </w:p>
    <w:p w:rsidR="003A2E54" w:rsidRPr="004343A0" w:rsidRDefault="003A2E54" w:rsidP="00633E83">
      <w:pPr>
        <w:spacing w:line="480" w:lineRule="auto"/>
        <w:jc w:val="both"/>
        <w:rPr>
          <w:rFonts w:cs="Arial"/>
          <w:sz w:val="20"/>
          <w:szCs w:val="2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4"/>
        <w:gridCol w:w="4536"/>
      </w:tblGrid>
      <w:tr w:rsidR="003A2E54" w:rsidRPr="004343A0">
        <w:tc>
          <w:tcPr>
            <w:tcW w:w="2235" w:type="dxa"/>
          </w:tcPr>
          <w:p w:rsidR="003A2E54" w:rsidRPr="004343A0" w:rsidRDefault="003A2E54" w:rsidP="00633E83">
            <w:pPr>
              <w:spacing w:line="240" w:lineRule="auto"/>
              <w:jc w:val="both"/>
              <w:rPr>
                <w:rFonts w:cs="Arial"/>
                <w:b/>
                <w:sz w:val="20"/>
                <w:szCs w:val="20"/>
              </w:rPr>
            </w:pPr>
            <w:r w:rsidRPr="004343A0">
              <w:rPr>
                <w:rFonts w:cs="Arial"/>
                <w:b/>
                <w:sz w:val="20"/>
                <w:szCs w:val="20"/>
              </w:rPr>
              <w:t>Question</w:t>
            </w:r>
          </w:p>
        </w:tc>
        <w:tc>
          <w:tcPr>
            <w:tcW w:w="1134" w:type="dxa"/>
          </w:tcPr>
          <w:p w:rsidR="003A2E54" w:rsidRPr="004343A0" w:rsidRDefault="003A2E54" w:rsidP="00633E83">
            <w:pPr>
              <w:spacing w:line="240" w:lineRule="auto"/>
              <w:jc w:val="both"/>
              <w:rPr>
                <w:rFonts w:cs="Arial"/>
                <w:b/>
                <w:sz w:val="20"/>
                <w:szCs w:val="20"/>
              </w:rPr>
            </w:pPr>
            <w:r w:rsidRPr="004343A0">
              <w:rPr>
                <w:rFonts w:cs="Arial"/>
                <w:b/>
                <w:sz w:val="20"/>
                <w:szCs w:val="20"/>
              </w:rPr>
              <w:t>Category</w:t>
            </w:r>
          </w:p>
        </w:tc>
        <w:tc>
          <w:tcPr>
            <w:tcW w:w="4536" w:type="dxa"/>
          </w:tcPr>
          <w:p w:rsidR="003A2E54" w:rsidRPr="004343A0" w:rsidRDefault="003A2E54" w:rsidP="00633E83">
            <w:pPr>
              <w:spacing w:line="240" w:lineRule="auto"/>
              <w:jc w:val="both"/>
              <w:rPr>
                <w:rFonts w:cs="Arial"/>
                <w:b/>
                <w:sz w:val="20"/>
                <w:szCs w:val="20"/>
              </w:rPr>
            </w:pPr>
            <w:r w:rsidRPr="004343A0">
              <w:rPr>
                <w:rFonts w:cs="Arial"/>
                <w:b/>
                <w:sz w:val="20"/>
                <w:szCs w:val="20"/>
              </w:rPr>
              <w:t>Response</w:t>
            </w:r>
          </w:p>
        </w:tc>
      </w:tr>
      <w:tr w:rsidR="003A2E54" w:rsidRPr="004343A0">
        <w:tc>
          <w:tcPr>
            <w:tcW w:w="2235" w:type="dxa"/>
            <w:vMerge w:val="restart"/>
          </w:tcPr>
          <w:p w:rsidR="003A2E54" w:rsidRPr="004343A0" w:rsidRDefault="003A2E54" w:rsidP="00633E83">
            <w:pPr>
              <w:spacing w:line="240" w:lineRule="auto"/>
              <w:jc w:val="both"/>
              <w:rPr>
                <w:rFonts w:cs="Arial"/>
                <w:sz w:val="20"/>
                <w:szCs w:val="20"/>
              </w:rPr>
            </w:pPr>
            <w:r w:rsidRPr="004343A0">
              <w:rPr>
                <w:rFonts w:cs="Arial"/>
                <w:sz w:val="20"/>
                <w:szCs w:val="20"/>
              </w:rPr>
              <w:t>Q1 Have you thought about any of the issues spoken about in the talk and discussion session since the talk? Do you have any further comments?</w:t>
            </w: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None</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No to Q1 and no further comments given</w:t>
            </w:r>
          </w:p>
        </w:tc>
      </w:tr>
      <w:tr w:rsidR="003A2E54" w:rsidRPr="004343A0">
        <w:tc>
          <w:tcPr>
            <w:tcW w:w="2235" w:type="dxa"/>
            <w:vMerge/>
          </w:tcPr>
          <w:p w:rsidR="003A2E54" w:rsidRPr="004343A0" w:rsidRDefault="003A2E54" w:rsidP="00633E83">
            <w:pPr>
              <w:spacing w:line="240" w:lineRule="auto"/>
              <w:jc w:val="both"/>
              <w:rPr>
                <w:rFonts w:cs="Arial"/>
                <w:sz w:val="20"/>
                <w:szCs w:val="20"/>
              </w:rPr>
            </w:pP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Weak</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Yes to Q1 and no further comments given or No and many comments given</w:t>
            </w:r>
          </w:p>
        </w:tc>
      </w:tr>
      <w:tr w:rsidR="003A2E54" w:rsidRPr="004343A0">
        <w:tc>
          <w:tcPr>
            <w:tcW w:w="2235" w:type="dxa"/>
            <w:vMerge/>
          </w:tcPr>
          <w:p w:rsidR="003A2E54" w:rsidRPr="004343A0" w:rsidRDefault="003A2E54" w:rsidP="00633E83">
            <w:pPr>
              <w:spacing w:line="240" w:lineRule="auto"/>
              <w:jc w:val="both"/>
              <w:rPr>
                <w:rFonts w:cs="Arial"/>
                <w:sz w:val="20"/>
                <w:szCs w:val="20"/>
              </w:rPr>
            </w:pP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Strong</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Yes to Q1 and comments given</w:t>
            </w:r>
          </w:p>
        </w:tc>
      </w:tr>
      <w:tr w:rsidR="003A2E54" w:rsidRPr="004343A0">
        <w:tc>
          <w:tcPr>
            <w:tcW w:w="2235" w:type="dxa"/>
            <w:vMerge/>
          </w:tcPr>
          <w:p w:rsidR="003A2E54" w:rsidRPr="004343A0" w:rsidRDefault="003A2E54" w:rsidP="00633E83">
            <w:pPr>
              <w:spacing w:line="240" w:lineRule="auto"/>
              <w:jc w:val="both"/>
              <w:rPr>
                <w:rFonts w:cs="Arial"/>
                <w:sz w:val="20"/>
                <w:szCs w:val="20"/>
              </w:rPr>
            </w:pP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Very Strong</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Yes to Q1 and detailed comments about wider implications of climate change</w:t>
            </w:r>
          </w:p>
        </w:tc>
      </w:tr>
    </w:tbl>
    <w:p w:rsidR="003A2E54" w:rsidRPr="004343A0" w:rsidRDefault="003A2E54" w:rsidP="00633E83">
      <w:pPr>
        <w:spacing w:line="240" w:lineRule="auto"/>
        <w:jc w:val="both"/>
        <w:rPr>
          <w:rFonts w:cs="Arial"/>
          <w:sz w:val="20"/>
          <w:szCs w:val="2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1102"/>
        <w:gridCol w:w="4746"/>
      </w:tblGrid>
      <w:tr w:rsidR="003A2E54" w:rsidRPr="004343A0">
        <w:tc>
          <w:tcPr>
            <w:tcW w:w="2057" w:type="dxa"/>
            <w:vMerge w:val="restart"/>
          </w:tcPr>
          <w:p w:rsidR="003A2E54" w:rsidRPr="004343A0" w:rsidRDefault="003A2E54" w:rsidP="00633E83">
            <w:pPr>
              <w:spacing w:line="240" w:lineRule="auto"/>
              <w:jc w:val="both"/>
              <w:rPr>
                <w:rFonts w:cs="Arial"/>
                <w:sz w:val="20"/>
                <w:szCs w:val="20"/>
              </w:rPr>
            </w:pPr>
            <w:r w:rsidRPr="004343A0">
              <w:rPr>
                <w:rFonts w:cs="Arial"/>
                <w:sz w:val="20"/>
                <w:szCs w:val="20"/>
              </w:rPr>
              <w:t>Q2. Have you changed anything in your life to be more environmentally friendly since the talk? If Yes what?</w:t>
            </w:r>
          </w:p>
        </w:tc>
        <w:tc>
          <w:tcPr>
            <w:tcW w:w="1102" w:type="dxa"/>
          </w:tcPr>
          <w:p w:rsidR="003A2E54" w:rsidRPr="004343A0" w:rsidRDefault="003A2E54" w:rsidP="00633E83">
            <w:pPr>
              <w:spacing w:line="240" w:lineRule="auto"/>
              <w:jc w:val="both"/>
              <w:rPr>
                <w:rFonts w:cs="Arial"/>
                <w:b/>
                <w:sz w:val="20"/>
                <w:szCs w:val="20"/>
              </w:rPr>
            </w:pPr>
            <w:r w:rsidRPr="004343A0">
              <w:rPr>
                <w:rFonts w:cs="Arial"/>
                <w:b/>
                <w:sz w:val="20"/>
                <w:szCs w:val="20"/>
              </w:rPr>
              <w:t>Category</w:t>
            </w:r>
          </w:p>
        </w:tc>
        <w:tc>
          <w:tcPr>
            <w:tcW w:w="4746" w:type="dxa"/>
          </w:tcPr>
          <w:p w:rsidR="003A2E54" w:rsidRPr="004343A0" w:rsidRDefault="003A2E54" w:rsidP="00633E83">
            <w:pPr>
              <w:spacing w:line="240" w:lineRule="auto"/>
              <w:jc w:val="both"/>
              <w:rPr>
                <w:rFonts w:cs="Arial"/>
                <w:b/>
                <w:sz w:val="20"/>
                <w:szCs w:val="20"/>
              </w:rPr>
            </w:pPr>
            <w:r w:rsidRPr="004343A0">
              <w:rPr>
                <w:rFonts w:cs="Arial"/>
                <w:b/>
                <w:sz w:val="20"/>
                <w:szCs w:val="20"/>
              </w:rPr>
              <w:t>Response</w:t>
            </w:r>
          </w:p>
        </w:tc>
      </w:tr>
      <w:tr w:rsidR="003A2E54" w:rsidRPr="004343A0">
        <w:tc>
          <w:tcPr>
            <w:tcW w:w="2057" w:type="dxa"/>
            <w:vMerge/>
          </w:tcPr>
          <w:p w:rsidR="003A2E54" w:rsidRPr="004343A0" w:rsidRDefault="003A2E54" w:rsidP="00633E83">
            <w:pPr>
              <w:spacing w:line="240" w:lineRule="auto"/>
              <w:jc w:val="both"/>
              <w:rPr>
                <w:rFonts w:cs="Arial"/>
                <w:sz w:val="20"/>
                <w:szCs w:val="20"/>
              </w:rPr>
            </w:pPr>
          </w:p>
        </w:tc>
        <w:tc>
          <w:tcPr>
            <w:tcW w:w="1102" w:type="dxa"/>
          </w:tcPr>
          <w:p w:rsidR="003A2E54" w:rsidRPr="004343A0" w:rsidRDefault="003A2E54" w:rsidP="00633E83">
            <w:pPr>
              <w:spacing w:line="240" w:lineRule="auto"/>
              <w:jc w:val="both"/>
              <w:rPr>
                <w:rFonts w:cs="Arial"/>
                <w:sz w:val="20"/>
                <w:szCs w:val="20"/>
              </w:rPr>
            </w:pPr>
            <w:r w:rsidRPr="004343A0">
              <w:rPr>
                <w:rFonts w:cs="Arial"/>
                <w:sz w:val="20"/>
                <w:szCs w:val="20"/>
              </w:rPr>
              <w:t>None</w:t>
            </w:r>
          </w:p>
        </w:tc>
        <w:tc>
          <w:tcPr>
            <w:tcW w:w="4746" w:type="dxa"/>
          </w:tcPr>
          <w:p w:rsidR="003A2E54" w:rsidRPr="004343A0" w:rsidRDefault="003A2E54" w:rsidP="00633E83">
            <w:pPr>
              <w:spacing w:line="240" w:lineRule="auto"/>
              <w:jc w:val="both"/>
              <w:rPr>
                <w:rFonts w:cs="Arial"/>
                <w:sz w:val="20"/>
                <w:szCs w:val="20"/>
              </w:rPr>
            </w:pPr>
            <w:r w:rsidRPr="004343A0">
              <w:rPr>
                <w:rFonts w:cs="Arial"/>
                <w:sz w:val="20"/>
                <w:szCs w:val="20"/>
              </w:rPr>
              <w:t>No</w:t>
            </w:r>
          </w:p>
        </w:tc>
      </w:tr>
      <w:tr w:rsidR="003A2E54" w:rsidRPr="004343A0">
        <w:tc>
          <w:tcPr>
            <w:tcW w:w="2057" w:type="dxa"/>
            <w:vMerge/>
          </w:tcPr>
          <w:p w:rsidR="003A2E54" w:rsidRPr="004343A0" w:rsidRDefault="003A2E54" w:rsidP="00633E83">
            <w:pPr>
              <w:spacing w:line="240" w:lineRule="auto"/>
              <w:jc w:val="both"/>
              <w:rPr>
                <w:rFonts w:cs="Arial"/>
                <w:sz w:val="20"/>
                <w:szCs w:val="20"/>
              </w:rPr>
            </w:pPr>
          </w:p>
        </w:tc>
        <w:tc>
          <w:tcPr>
            <w:tcW w:w="1102" w:type="dxa"/>
          </w:tcPr>
          <w:p w:rsidR="003A2E54" w:rsidRPr="004343A0" w:rsidRDefault="003A2E54" w:rsidP="00633E83">
            <w:pPr>
              <w:spacing w:line="240" w:lineRule="auto"/>
              <w:jc w:val="both"/>
              <w:rPr>
                <w:rFonts w:cs="Arial"/>
                <w:sz w:val="20"/>
                <w:szCs w:val="20"/>
              </w:rPr>
            </w:pPr>
            <w:r w:rsidRPr="004343A0">
              <w:rPr>
                <w:rFonts w:cs="Arial"/>
                <w:sz w:val="20"/>
                <w:szCs w:val="20"/>
              </w:rPr>
              <w:t>Weak</w:t>
            </w:r>
          </w:p>
        </w:tc>
        <w:tc>
          <w:tcPr>
            <w:tcW w:w="4746" w:type="dxa"/>
          </w:tcPr>
          <w:p w:rsidR="003A2E54" w:rsidRPr="004343A0" w:rsidRDefault="003A2E54" w:rsidP="00633E83">
            <w:pPr>
              <w:spacing w:line="240" w:lineRule="auto"/>
              <w:jc w:val="both"/>
              <w:rPr>
                <w:rFonts w:cs="Arial"/>
                <w:sz w:val="20"/>
                <w:szCs w:val="20"/>
              </w:rPr>
            </w:pPr>
            <w:r w:rsidRPr="004343A0">
              <w:rPr>
                <w:rFonts w:cs="Arial"/>
                <w:sz w:val="20"/>
                <w:szCs w:val="20"/>
              </w:rPr>
              <w:t>Done one or two easy changes e.g. change 1 light bulb</w:t>
            </w:r>
          </w:p>
        </w:tc>
      </w:tr>
      <w:tr w:rsidR="003A2E54" w:rsidRPr="004343A0">
        <w:tc>
          <w:tcPr>
            <w:tcW w:w="2057" w:type="dxa"/>
            <w:vMerge/>
          </w:tcPr>
          <w:p w:rsidR="003A2E54" w:rsidRPr="004343A0" w:rsidRDefault="003A2E54" w:rsidP="00633E83">
            <w:pPr>
              <w:spacing w:line="240" w:lineRule="auto"/>
              <w:jc w:val="both"/>
              <w:rPr>
                <w:rFonts w:cs="Arial"/>
                <w:sz w:val="20"/>
                <w:szCs w:val="20"/>
              </w:rPr>
            </w:pPr>
          </w:p>
        </w:tc>
        <w:tc>
          <w:tcPr>
            <w:tcW w:w="1102" w:type="dxa"/>
          </w:tcPr>
          <w:p w:rsidR="003A2E54" w:rsidRPr="004343A0" w:rsidRDefault="003A2E54" w:rsidP="00633E83">
            <w:pPr>
              <w:spacing w:line="240" w:lineRule="auto"/>
              <w:jc w:val="both"/>
              <w:rPr>
                <w:rFonts w:cs="Arial"/>
                <w:sz w:val="20"/>
                <w:szCs w:val="20"/>
              </w:rPr>
            </w:pPr>
            <w:r w:rsidRPr="004343A0">
              <w:rPr>
                <w:rFonts w:cs="Arial"/>
                <w:sz w:val="20"/>
                <w:szCs w:val="20"/>
              </w:rPr>
              <w:t>Strong</w:t>
            </w:r>
          </w:p>
        </w:tc>
        <w:tc>
          <w:tcPr>
            <w:tcW w:w="4746" w:type="dxa"/>
          </w:tcPr>
          <w:p w:rsidR="003A2E54" w:rsidRPr="004343A0" w:rsidRDefault="003A2E54" w:rsidP="00633E83">
            <w:pPr>
              <w:spacing w:line="240" w:lineRule="auto"/>
              <w:jc w:val="both"/>
              <w:rPr>
                <w:rFonts w:cs="Arial"/>
                <w:sz w:val="20"/>
                <w:szCs w:val="20"/>
              </w:rPr>
            </w:pPr>
            <w:r w:rsidRPr="004343A0">
              <w:rPr>
                <w:rFonts w:cs="Arial"/>
                <w:sz w:val="20"/>
                <w:szCs w:val="20"/>
              </w:rPr>
              <w:t>Done lots of little things or some small structural or behavioural change</w:t>
            </w:r>
          </w:p>
        </w:tc>
      </w:tr>
      <w:tr w:rsidR="003A2E54" w:rsidRPr="004343A0">
        <w:tc>
          <w:tcPr>
            <w:tcW w:w="2057" w:type="dxa"/>
            <w:vMerge/>
          </w:tcPr>
          <w:p w:rsidR="003A2E54" w:rsidRPr="004343A0" w:rsidRDefault="003A2E54" w:rsidP="00633E83">
            <w:pPr>
              <w:spacing w:line="240" w:lineRule="auto"/>
              <w:jc w:val="both"/>
              <w:rPr>
                <w:rFonts w:cs="Arial"/>
                <w:sz w:val="20"/>
                <w:szCs w:val="20"/>
              </w:rPr>
            </w:pPr>
          </w:p>
        </w:tc>
        <w:tc>
          <w:tcPr>
            <w:tcW w:w="1102" w:type="dxa"/>
          </w:tcPr>
          <w:p w:rsidR="003A2E54" w:rsidRPr="004343A0" w:rsidRDefault="003A2E54" w:rsidP="00633E83">
            <w:pPr>
              <w:spacing w:line="240" w:lineRule="auto"/>
              <w:jc w:val="both"/>
              <w:rPr>
                <w:rFonts w:cs="Arial"/>
                <w:sz w:val="20"/>
                <w:szCs w:val="20"/>
              </w:rPr>
            </w:pPr>
            <w:r w:rsidRPr="004343A0">
              <w:rPr>
                <w:rFonts w:cs="Arial"/>
                <w:sz w:val="20"/>
                <w:szCs w:val="20"/>
              </w:rPr>
              <w:t>Very Strong</w:t>
            </w:r>
          </w:p>
        </w:tc>
        <w:tc>
          <w:tcPr>
            <w:tcW w:w="4746" w:type="dxa"/>
          </w:tcPr>
          <w:p w:rsidR="003A2E54" w:rsidRPr="004343A0" w:rsidRDefault="003A2E54" w:rsidP="00633E83">
            <w:pPr>
              <w:spacing w:line="240" w:lineRule="auto"/>
              <w:jc w:val="both"/>
              <w:rPr>
                <w:rFonts w:cs="Arial"/>
                <w:sz w:val="20"/>
                <w:szCs w:val="20"/>
              </w:rPr>
            </w:pPr>
            <w:r w:rsidRPr="004343A0">
              <w:rPr>
                <w:rFonts w:cs="Arial"/>
                <w:sz w:val="20"/>
                <w:szCs w:val="20"/>
              </w:rPr>
              <w:t>Large structural change or behavioural change e.g. new boiler or getting rid of car</w:t>
            </w:r>
          </w:p>
        </w:tc>
      </w:tr>
    </w:tbl>
    <w:p w:rsidR="003A2E54" w:rsidRPr="004343A0" w:rsidRDefault="003A2E54" w:rsidP="00633E83">
      <w:pPr>
        <w:spacing w:line="240" w:lineRule="auto"/>
        <w:jc w:val="both"/>
        <w:rPr>
          <w:rFonts w:cs="Arial"/>
          <w:sz w:val="20"/>
          <w:szCs w:val="2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4"/>
        <w:gridCol w:w="4536"/>
      </w:tblGrid>
      <w:tr w:rsidR="003A2E54" w:rsidRPr="004343A0">
        <w:tc>
          <w:tcPr>
            <w:tcW w:w="2235" w:type="dxa"/>
            <w:vMerge w:val="restart"/>
          </w:tcPr>
          <w:p w:rsidR="003A2E54" w:rsidRPr="004343A0" w:rsidRDefault="003A2E54" w:rsidP="00633E83">
            <w:pPr>
              <w:spacing w:line="240" w:lineRule="auto"/>
              <w:jc w:val="both"/>
              <w:rPr>
                <w:rFonts w:cs="Arial"/>
                <w:sz w:val="20"/>
                <w:szCs w:val="20"/>
              </w:rPr>
            </w:pPr>
            <w:r w:rsidRPr="004343A0">
              <w:rPr>
                <w:rFonts w:cs="Arial"/>
                <w:sz w:val="20"/>
                <w:szCs w:val="20"/>
              </w:rPr>
              <w:t>Q3. Are you planning to change anything in your life to be more environmentally friendly?</w:t>
            </w:r>
          </w:p>
          <w:p w:rsidR="003A2E54" w:rsidRPr="004343A0" w:rsidRDefault="003A2E54" w:rsidP="00633E83">
            <w:pPr>
              <w:spacing w:line="240" w:lineRule="auto"/>
              <w:jc w:val="both"/>
              <w:rPr>
                <w:rFonts w:cs="Arial"/>
                <w:b/>
                <w:sz w:val="20"/>
                <w:szCs w:val="20"/>
              </w:rPr>
            </w:pPr>
          </w:p>
        </w:tc>
        <w:tc>
          <w:tcPr>
            <w:tcW w:w="1134" w:type="dxa"/>
          </w:tcPr>
          <w:p w:rsidR="003A2E54" w:rsidRPr="004343A0" w:rsidRDefault="003A2E54" w:rsidP="00633E83">
            <w:pPr>
              <w:spacing w:line="240" w:lineRule="auto"/>
              <w:jc w:val="both"/>
              <w:rPr>
                <w:rFonts w:cs="Arial"/>
                <w:b/>
                <w:sz w:val="20"/>
                <w:szCs w:val="20"/>
              </w:rPr>
            </w:pPr>
            <w:r w:rsidRPr="004343A0">
              <w:rPr>
                <w:rFonts w:cs="Arial"/>
                <w:b/>
                <w:sz w:val="20"/>
                <w:szCs w:val="20"/>
              </w:rPr>
              <w:t>Category</w:t>
            </w:r>
          </w:p>
        </w:tc>
        <w:tc>
          <w:tcPr>
            <w:tcW w:w="4536" w:type="dxa"/>
          </w:tcPr>
          <w:p w:rsidR="003A2E54" w:rsidRPr="004343A0" w:rsidRDefault="003A2E54" w:rsidP="00633E83">
            <w:pPr>
              <w:spacing w:line="240" w:lineRule="auto"/>
              <w:jc w:val="both"/>
              <w:rPr>
                <w:rFonts w:cs="Arial"/>
                <w:b/>
                <w:sz w:val="20"/>
                <w:szCs w:val="20"/>
              </w:rPr>
            </w:pPr>
            <w:r w:rsidRPr="004343A0">
              <w:rPr>
                <w:rFonts w:cs="Arial"/>
                <w:b/>
                <w:sz w:val="20"/>
                <w:szCs w:val="20"/>
              </w:rPr>
              <w:t>Response</w:t>
            </w:r>
          </w:p>
        </w:tc>
      </w:tr>
      <w:tr w:rsidR="003A2E54" w:rsidRPr="004343A0">
        <w:tc>
          <w:tcPr>
            <w:tcW w:w="2235" w:type="dxa"/>
            <w:vMerge/>
          </w:tcPr>
          <w:p w:rsidR="003A2E54" w:rsidRPr="004343A0" w:rsidRDefault="003A2E54" w:rsidP="00633E83">
            <w:pPr>
              <w:spacing w:line="240" w:lineRule="auto"/>
              <w:jc w:val="both"/>
              <w:rPr>
                <w:rFonts w:cs="Arial"/>
                <w:sz w:val="20"/>
                <w:szCs w:val="20"/>
              </w:rPr>
            </w:pP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None</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No</w:t>
            </w:r>
          </w:p>
        </w:tc>
      </w:tr>
      <w:tr w:rsidR="003A2E54" w:rsidRPr="004343A0">
        <w:tc>
          <w:tcPr>
            <w:tcW w:w="2235" w:type="dxa"/>
            <w:vMerge/>
          </w:tcPr>
          <w:p w:rsidR="003A2E54" w:rsidRPr="004343A0" w:rsidRDefault="003A2E54" w:rsidP="00633E83">
            <w:pPr>
              <w:spacing w:line="240" w:lineRule="auto"/>
              <w:jc w:val="both"/>
              <w:rPr>
                <w:rFonts w:cs="Arial"/>
                <w:sz w:val="20"/>
                <w:szCs w:val="20"/>
              </w:rPr>
            </w:pP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Weak</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Yes but none specified or No but mentioned looking for new things to do</w:t>
            </w:r>
          </w:p>
        </w:tc>
      </w:tr>
      <w:tr w:rsidR="003A2E54" w:rsidRPr="004343A0">
        <w:tc>
          <w:tcPr>
            <w:tcW w:w="2235" w:type="dxa"/>
            <w:vMerge/>
          </w:tcPr>
          <w:p w:rsidR="003A2E54" w:rsidRPr="004343A0" w:rsidRDefault="003A2E54" w:rsidP="00633E83">
            <w:pPr>
              <w:spacing w:line="240" w:lineRule="auto"/>
              <w:jc w:val="both"/>
              <w:rPr>
                <w:rFonts w:cs="Arial"/>
                <w:sz w:val="20"/>
                <w:szCs w:val="20"/>
              </w:rPr>
            </w:pP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Strong</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 xml:space="preserve">Yes but only small actions specified </w:t>
            </w:r>
          </w:p>
        </w:tc>
      </w:tr>
      <w:tr w:rsidR="003A2E54" w:rsidRPr="004343A0">
        <w:tc>
          <w:tcPr>
            <w:tcW w:w="2235" w:type="dxa"/>
            <w:vMerge/>
          </w:tcPr>
          <w:p w:rsidR="003A2E54" w:rsidRPr="004343A0" w:rsidRDefault="003A2E54" w:rsidP="00633E83">
            <w:pPr>
              <w:spacing w:line="240" w:lineRule="auto"/>
              <w:jc w:val="both"/>
              <w:rPr>
                <w:rFonts w:cs="Arial"/>
                <w:sz w:val="20"/>
                <w:szCs w:val="20"/>
              </w:rPr>
            </w:pPr>
          </w:p>
        </w:tc>
        <w:tc>
          <w:tcPr>
            <w:tcW w:w="1134" w:type="dxa"/>
          </w:tcPr>
          <w:p w:rsidR="003A2E54" w:rsidRPr="004343A0" w:rsidRDefault="003A2E54" w:rsidP="00633E83">
            <w:pPr>
              <w:spacing w:line="240" w:lineRule="auto"/>
              <w:jc w:val="both"/>
              <w:rPr>
                <w:rFonts w:cs="Arial"/>
                <w:sz w:val="20"/>
                <w:szCs w:val="20"/>
              </w:rPr>
            </w:pPr>
            <w:r w:rsidRPr="004343A0">
              <w:rPr>
                <w:rFonts w:cs="Arial"/>
                <w:sz w:val="20"/>
                <w:szCs w:val="20"/>
              </w:rPr>
              <w:t>Very Strong</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Yes and large action specified</w:t>
            </w:r>
          </w:p>
        </w:tc>
      </w:tr>
    </w:tbl>
    <w:p w:rsidR="003A2E54" w:rsidRPr="004343A0" w:rsidRDefault="003A2E54" w:rsidP="00633E83">
      <w:pPr>
        <w:spacing w:line="240" w:lineRule="auto"/>
        <w:jc w:val="both"/>
        <w:rPr>
          <w:rFonts w:cs="Arial"/>
          <w:sz w:val="20"/>
          <w:szCs w:val="20"/>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1090"/>
        <w:gridCol w:w="4536"/>
      </w:tblGrid>
      <w:tr w:rsidR="003A2E54" w:rsidRPr="004343A0">
        <w:tc>
          <w:tcPr>
            <w:tcW w:w="2279" w:type="dxa"/>
            <w:vMerge w:val="restart"/>
          </w:tcPr>
          <w:p w:rsidR="003A2E54" w:rsidRPr="004343A0" w:rsidRDefault="003A2E54" w:rsidP="00633E83">
            <w:pPr>
              <w:spacing w:line="240" w:lineRule="auto"/>
              <w:jc w:val="both"/>
              <w:rPr>
                <w:rFonts w:cs="Arial"/>
                <w:sz w:val="20"/>
                <w:szCs w:val="20"/>
              </w:rPr>
            </w:pPr>
            <w:r w:rsidRPr="004343A0">
              <w:rPr>
                <w:rFonts w:cs="Arial"/>
                <w:sz w:val="20"/>
                <w:szCs w:val="20"/>
              </w:rPr>
              <w:t xml:space="preserve">Q4. Have you encouraged anyone else to change anything? </w:t>
            </w:r>
          </w:p>
          <w:p w:rsidR="003A2E54" w:rsidRPr="004343A0" w:rsidRDefault="003A2E54" w:rsidP="00633E83">
            <w:pPr>
              <w:spacing w:line="240" w:lineRule="auto"/>
              <w:jc w:val="both"/>
              <w:rPr>
                <w:rFonts w:cs="Arial"/>
                <w:sz w:val="20"/>
                <w:szCs w:val="20"/>
              </w:rPr>
            </w:pPr>
            <w:r w:rsidRPr="004343A0">
              <w:rPr>
                <w:rFonts w:cs="Arial"/>
                <w:sz w:val="20"/>
                <w:szCs w:val="20"/>
              </w:rPr>
              <w:t>Q5. Did the person you encouraged actually make the change you suggested?</w:t>
            </w:r>
          </w:p>
          <w:p w:rsidR="003A2E54" w:rsidRPr="004343A0" w:rsidRDefault="003A2E54" w:rsidP="00633E83">
            <w:pPr>
              <w:spacing w:line="240" w:lineRule="auto"/>
              <w:jc w:val="both"/>
              <w:rPr>
                <w:rFonts w:cs="Arial"/>
                <w:b/>
                <w:sz w:val="20"/>
                <w:szCs w:val="20"/>
              </w:rPr>
            </w:pPr>
          </w:p>
        </w:tc>
        <w:tc>
          <w:tcPr>
            <w:tcW w:w="1090" w:type="dxa"/>
          </w:tcPr>
          <w:p w:rsidR="003A2E54" w:rsidRPr="004343A0" w:rsidRDefault="003A2E54" w:rsidP="00633E83">
            <w:pPr>
              <w:spacing w:line="240" w:lineRule="auto"/>
              <w:jc w:val="both"/>
              <w:rPr>
                <w:rFonts w:cs="Arial"/>
                <w:b/>
                <w:sz w:val="20"/>
                <w:szCs w:val="20"/>
              </w:rPr>
            </w:pPr>
            <w:r w:rsidRPr="004343A0">
              <w:rPr>
                <w:rFonts w:cs="Arial"/>
                <w:b/>
                <w:sz w:val="20"/>
                <w:szCs w:val="20"/>
              </w:rPr>
              <w:t>Category</w:t>
            </w:r>
          </w:p>
        </w:tc>
        <w:tc>
          <w:tcPr>
            <w:tcW w:w="4536" w:type="dxa"/>
          </w:tcPr>
          <w:p w:rsidR="003A2E54" w:rsidRPr="004343A0" w:rsidRDefault="003A2E54" w:rsidP="00633E83">
            <w:pPr>
              <w:spacing w:line="240" w:lineRule="auto"/>
              <w:jc w:val="both"/>
              <w:rPr>
                <w:rFonts w:cs="Arial"/>
                <w:b/>
                <w:sz w:val="20"/>
                <w:szCs w:val="20"/>
              </w:rPr>
            </w:pPr>
            <w:r w:rsidRPr="004343A0">
              <w:rPr>
                <w:rFonts w:cs="Arial"/>
                <w:b/>
                <w:sz w:val="20"/>
                <w:szCs w:val="20"/>
              </w:rPr>
              <w:t>Response</w:t>
            </w:r>
          </w:p>
        </w:tc>
      </w:tr>
      <w:tr w:rsidR="003A2E54" w:rsidRPr="004343A0">
        <w:tc>
          <w:tcPr>
            <w:tcW w:w="2279" w:type="dxa"/>
            <w:vMerge/>
          </w:tcPr>
          <w:p w:rsidR="003A2E54" w:rsidRPr="004343A0" w:rsidRDefault="003A2E54" w:rsidP="00633E83">
            <w:pPr>
              <w:spacing w:line="240" w:lineRule="auto"/>
              <w:jc w:val="both"/>
              <w:rPr>
                <w:rFonts w:cs="Arial"/>
                <w:sz w:val="20"/>
                <w:szCs w:val="20"/>
              </w:rPr>
            </w:pPr>
          </w:p>
        </w:tc>
        <w:tc>
          <w:tcPr>
            <w:tcW w:w="1090" w:type="dxa"/>
          </w:tcPr>
          <w:p w:rsidR="003A2E54" w:rsidRPr="004343A0" w:rsidRDefault="003A2E54" w:rsidP="00633E83">
            <w:pPr>
              <w:spacing w:line="240" w:lineRule="auto"/>
              <w:jc w:val="both"/>
              <w:rPr>
                <w:rFonts w:cs="Arial"/>
                <w:sz w:val="20"/>
                <w:szCs w:val="20"/>
              </w:rPr>
            </w:pPr>
            <w:r w:rsidRPr="004343A0">
              <w:rPr>
                <w:rFonts w:cs="Arial"/>
                <w:sz w:val="20"/>
                <w:szCs w:val="20"/>
              </w:rPr>
              <w:t>None</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No to both questions</w:t>
            </w:r>
          </w:p>
        </w:tc>
      </w:tr>
      <w:tr w:rsidR="003A2E54" w:rsidRPr="004343A0">
        <w:tc>
          <w:tcPr>
            <w:tcW w:w="2279" w:type="dxa"/>
            <w:vMerge/>
          </w:tcPr>
          <w:p w:rsidR="003A2E54" w:rsidRPr="004343A0" w:rsidRDefault="003A2E54" w:rsidP="00633E83">
            <w:pPr>
              <w:spacing w:line="240" w:lineRule="auto"/>
              <w:jc w:val="both"/>
              <w:rPr>
                <w:rFonts w:cs="Arial"/>
                <w:sz w:val="20"/>
                <w:szCs w:val="20"/>
              </w:rPr>
            </w:pPr>
          </w:p>
        </w:tc>
        <w:tc>
          <w:tcPr>
            <w:tcW w:w="1090" w:type="dxa"/>
          </w:tcPr>
          <w:p w:rsidR="003A2E54" w:rsidRPr="004343A0" w:rsidRDefault="003A2E54" w:rsidP="00633E83">
            <w:pPr>
              <w:spacing w:line="240" w:lineRule="auto"/>
              <w:jc w:val="both"/>
              <w:rPr>
                <w:rFonts w:cs="Arial"/>
                <w:sz w:val="20"/>
                <w:szCs w:val="20"/>
              </w:rPr>
            </w:pPr>
            <w:r w:rsidRPr="004343A0">
              <w:rPr>
                <w:rFonts w:cs="Arial"/>
                <w:sz w:val="20"/>
                <w:szCs w:val="20"/>
              </w:rPr>
              <w:t>Weak</w:t>
            </w:r>
          </w:p>
        </w:tc>
        <w:tc>
          <w:tcPr>
            <w:tcW w:w="4536" w:type="dxa"/>
          </w:tcPr>
          <w:p w:rsidR="003A2E54" w:rsidRPr="004343A0" w:rsidRDefault="003A2E54" w:rsidP="00633E83">
            <w:pPr>
              <w:spacing w:line="240" w:lineRule="auto"/>
              <w:jc w:val="both"/>
              <w:rPr>
                <w:rFonts w:cs="Arial"/>
                <w:sz w:val="20"/>
                <w:szCs w:val="20"/>
              </w:rPr>
            </w:pPr>
            <w:bookmarkStart w:id="1" w:name="OLE_LINK1"/>
            <w:bookmarkStart w:id="2" w:name="OLE_LINK2"/>
            <w:r w:rsidRPr="004343A0">
              <w:rPr>
                <w:rFonts w:cs="Arial"/>
                <w:sz w:val="20"/>
                <w:szCs w:val="20"/>
              </w:rPr>
              <w:t>Yes to encouragement but no to action.  Action was a small action</w:t>
            </w:r>
            <w:bookmarkEnd w:id="1"/>
            <w:bookmarkEnd w:id="2"/>
          </w:p>
        </w:tc>
      </w:tr>
      <w:tr w:rsidR="003A2E54" w:rsidRPr="004343A0">
        <w:tc>
          <w:tcPr>
            <w:tcW w:w="2279" w:type="dxa"/>
            <w:vMerge/>
          </w:tcPr>
          <w:p w:rsidR="003A2E54" w:rsidRPr="004343A0" w:rsidRDefault="003A2E54" w:rsidP="00633E83">
            <w:pPr>
              <w:spacing w:line="240" w:lineRule="auto"/>
              <w:jc w:val="both"/>
              <w:rPr>
                <w:rFonts w:cs="Arial"/>
                <w:sz w:val="20"/>
                <w:szCs w:val="20"/>
              </w:rPr>
            </w:pPr>
          </w:p>
        </w:tc>
        <w:tc>
          <w:tcPr>
            <w:tcW w:w="1090" w:type="dxa"/>
          </w:tcPr>
          <w:p w:rsidR="003A2E54" w:rsidRPr="004343A0" w:rsidRDefault="003A2E54" w:rsidP="00633E83">
            <w:pPr>
              <w:spacing w:line="240" w:lineRule="auto"/>
              <w:jc w:val="both"/>
              <w:rPr>
                <w:rFonts w:cs="Arial"/>
                <w:sz w:val="20"/>
                <w:szCs w:val="20"/>
              </w:rPr>
            </w:pPr>
            <w:r w:rsidRPr="004343A0">
              <w:rPr>
                <w:rFonts w:cs="Arial"/>
                <w:sz w:val="20"/>
                <w:szCs w:val="20"/>
              </w:rPr>
              <w:t>Strong</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Yes to encouragement but no to action.  Action was a large action</w:t>
            </w:r>
          </w:p>
        </w:tc>
      </w:tr>
      <w:tr w:rsidR="003A2E54" w:rsidRPr="004343A0">
        <w:tc>
          <w:tcPr>
            <w:tcW w:w="2279" w:type="dxa"/>
            <w:vMerge/>
          </w:tcPr>
          <w:p w:rsidR="003A2E54" w:rsidRPr="004343A0" w:rsidRDefault="003A2E54" w:rsidP="00633E83">
            <w:pPr>
              <w:spacing w:line="240" w:lineRule="auto"/>
              <w:jc w:val="both"/>
              <w:rPr>
                <w:rFonts w:cs="Arial"/>
                <w:sz w:val="20"/>
                <w:szCs w:val="20"/>
              </w:rPr>
            </w:pPr>
          </w:p>
        </w:tc>
        <w:tc>
          <w:tcPr>
            <w:tcW w:w="1090" w:type="dxa"/>
          </w:tcPr>
          <w:p w:rsidR="003A2E54" w:rsidRPr="004343A0" w:rsidRDefault="003A2E54" w:rsidP="00633E83">
            <w:pPr>
              <w:spacing w:line="240" w:lineRule="auto"/>
              <w:jc w:val="both"/>
              <w:rPr>
                <w:rFonts w:cs="Arial"/>
                <w:sz w:val="20"/>
                <w:szCs w:val="20"/>
              </w:rPr>
            </w:pPr>
            <w:r w:rsidRPr="004343A0">
              <w:rPr>
                <w:rFonts w:cs="Arial"/>
                <w:sz w:val="20"/>
                <w:szCs w:val="20"/>
              </w:rPr>
              <w:t>Very Strong</w:t>
            </w:r>
          </w:p>
        </w:tc>
        <w:tc>
          <w:tcPr>
            <w:tcW w:w="4536" w:type="dxa"/>
          </w:tcPr>
          <w:p w:rsidR="003A2E54" w:rsidRPr="004343A0" w:rsidRDefault="003A2E54" w:rsidP="00633E83">
            <w:pPr>
              <w:spacing w:line="240" w:lineRule="auto"/>
              <w:jc w:val="both"/>
              <w:rPr>
                <w:rFonts w:cs="Arial"/>
                <w:sz w:val="20"/>
                <w:szCs w:val="20"/>
              </w:rPr>
            </w:pPr>
            <w:r w:rsidRPr="004343A0">
              <w:rPr>
                <w:rFonts w:cs="Arial"/>
                <w:sz w:val="20"/>
                <w:szCs w:val="20"/>
              </w:rPr>
              <w:t>Yes to both questions</w:t>
            </w:r>
          </w:p>
        </w:tc>
      </w:tr>
    </w:tbl>
    <w:p w:rsidR="003A2E54" w:rsidRPr="004343A0" w:rsidRDefault="003A2E54" w:rsidP="00633E83">
      <w:pPr>
        <w:spacing w:line="480" w:lineRule="auto"/>
        <w:jc w:val="both"/>
        <w:rPr>
          <w:rFonts w:cs="Arial"/>
          <w:b/>
          <w:sz w:val="20"/>
          <w:szCs w:val="20"/>
        </w:rPr>
      </w:pPr>
    </w:p>
    <w:p w:rsidR="003A2E54" w:rsidRPr="004343A0" w:rsidRDefault="003A2E54" w:rsidP="00633E83">
      <w:pPr>
        <w:spacing w:line="480" w:lineRule="auto"/>
        <w:jc w:val="both"/>
        <w:rPr>
          <w:rFonts w:cs="Arial"/>
          <w:sz w:val="20"/>
          <w:szCs w:val="20"/>
        </w:rPr>
      </w:pPr>
      <w:r w:rsidRPr="004343A0">
        <w:rPr>
          <w:rFonts w:cs="Arial"/>
          <w:sz w:val="20"/>
          <w:szCs w:val="20"/>
        </w:rPr>
        <w:t xml:space="preserve">Table </w:t>
      </w:r>
      <w:r w:rsidR="00BB1956" w:rsidRPr="004343A0">
        <w:rPr>
          <w:rFonts w:cs="Arial"/>
          <w:sz w:val="20"/>
          <w:szCs w:val="20"/>
        </w:rPr>
        <w:t>5</w:t>
      </w:r>
      <w:r w:rsidRPr="004343A0">
        <w:rPr>
          <w:rFonts w:cs="Arial"/>
          <w:sz w:val="20"/>
          <w:szCs w:val="20"/>
        </w:rPr>
        <w:t>- Questionnaire Coding Criteria</w:t>
      </w:r>
    </w:p>
    <w:p w:rsidR="003A2E54" w:rsidRPr="004343A0" w:rsidRDefault="003A2E54" w:rsidP="00633E83">
      <w:pPr>
        <w:spacing w:after="200" w:line="480" w:lineRule="auto"/>
        <w:jc w:val="both"/>
        <w:rPr>
          <w:rFonts w:cs="Arial"/>
          <w:sz w:val="20"/>
          <w:szCs w:val="20"/>
          <w:lang w:bidi="th-TH"/>
        </w:rPr>
      </w:pPr>
    </w:p>
    <w:p w:rsidR="0094002E" w:rsidRPr="004343A0" w:rsidRDefault="0094002E" w:rsidP="00633E83">
      <w:pPr>
        <w:spacing w:after="200" w:line="480" w:lineRule="auto"/>
        <w:jc w:val="both"/>
        <w:rPr>
          <w:sz w:val="20"/>
        </w:rPr>
      </w:pPr>
      <w:r w:rsidRPr="004343A0">
        <w:rPr>
          <w:rFonts w:cs="Arial"/>
          <w:sz w:val="20"/>
          <w:szCs w:val="20"/>
          <w:lang w:bidi="th-TH"/>
        </w:rPr>
        <w:br w:type="page"/>
      </w:r>
      <w:r w:rsidRPr="004343A0">
        <w:rPr>
          <w:sz w:val="20"/>
        </w:rPr>
        <w:lastRenderedPageBreak/>
        <w:t>Yamuna Kaluarachchi</w:t>
      </w:r>
    </w:p>
    <w:p w:rsidR="0094002E" w:rsidRPr="004343A0" w:rsidRDefault="0094002E" w:rsidP="00633E83">
      <w:pPr>
        <w:spacing w:after="200" w:line="480" w:lineRule="auto"/>
        <w:jc w:val="both"/>
        <w:rPr>
          <w:rFonts w:cs="Arial"/>
          <w:sz w:val="20"/>
          <w:szCs w:val="20"/>
          <w:lang w:bidi="th-TH"/>
        </w:rPr>
      </w:pPr>
    </w:p>
    <w:p w:rsidR="0094002E" w:rsidRPr="004343A0" w:rsidRDefault="0094002E" w:rsidP="00633E83">
      <w:pPr>
        <w:spacing w:line="480" w:lineRule="auto"/>
        <w:jc w:val="both"/>
        <w:rPr>
          <w:rFonts w:cs="Arial"/>
          <w:sz w:val="20"/>
          <w:szCs w:val="20"/>
          <w:lang w:bidi="th-TH"/>
        </w:rPr>
      </w:pPr>
      <w:r w:rsidRPr="004343A0">
        <w:rPr>
          <w:rFonts w:cs="Arial"/>
          <w:noProof/>
          <w:sz w:val="20"/>
          <w:szCs w:val="20"/>
        </w:rPr>
        <w:drawing>
          <wp:inline distT="0" distB="0" distL="0" distR="0">
            <wp:extent cx="4657725" cy="2698750"/>
            <wp:effectExtent l="25400" t="25400" r="15875" b="0"/>
            <wp:docPr id="4"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002E" w:rsidRPr="004343A0" w:rsidRDefault="0094002E" w:rsidP="00633E83">
      <w:pPr>
        <w:spacing w:line="480" w:lineRule="auto"/>
        <w:jc w:val="both"/>
        <w:rPr>
          <w:rFonts w:cs="Arial"/>
          <w:sz w:val="20"/>
          <w:szCs w:val="20"/>
          <w:lang w:bidi="th-TH"/>
        </w:rPr>
      </w:pPr>
    </w:p>
    <w:p w:rsidR="0094002E" w:rsidRPr="004343A0" w:rsidRDefault="0094002E" w:rsidP="00633E83">
      <w:pPr>
        <w:spacing w:line="480" w:lineRule="auto"/>
        <w:jc w:val="both"/>
        <w:rPr>
          <w:rFonts w:cs="Arial"/>
          <w:sz w:val="20"/>
          <w:szCs w:val="26"/>
        </w:rPr>
      </w:pPr>
      <w:r w:rsidRPr="004343A0">
        <w:rPr>
          <w:rFonts w:cs="Arial"/>
          <w:sz w:val="20"/>
          <w:szCs w:val="26"/>
        </w:rPr>
        <w:t xml:space="preserve">Fig </w:t>
      </w:r>
      <w:r w:rsidR="00BB1956" w:rsidRPr="004343A0">
        <w:rPr>
          <w:rFonts w:cs="Arial"/>
          <w:sz w:val="20"/>
          <w:szCs w:val="26"/>
        </w:rPr>
        <w:t>4</w:t>
      </w:r>
      <w:r w:rsidRPr="004343A0">
        <w:rPr>
          <w:rFonts w:cs="Arial"/>
          <w:sz w:val="20"/>
          <w:szCs w:val="26"/>
        </w:rPr>
        <w:t>- Age profiles in relation to sustainability actions and behavioural changes.</w:t>
      </w:r>
    </w:p>
    <w:p w:rsidR="0094002E" w:rsidRPr="004343A0" w:rsidRDefault="0094002E" w:rsidP="00633E83">
      <w:pPr>
        <w:spacing w:after="200" w:line="480" w:lineRule="auto"/>
        <w:jc w:val="both"/>
        <w:rPr>
          <w:sz w:val="20"/>
        </w:rPr>
      </w:pPr>
      <w:r w:rsidRPr="004343A0">
        <w:rPr>
          <w:rFonts w:cs="Arial"/>
          <w:sz w:val="20"/>
          <w:szCs w:val="20"/>
          <w:lang w:bidi="th-TH"/>
        </w:rPr>
        <w:br w:type="page"/>
      </w:r>
      <w:r w:rsidRPr="004343A0">
        <w:rPr>
          <w:sz w:val="20"/>
        </w:rPr>
        <w:lastRenderedPageBreak/>
        <w:t>Yamuna Kaluarachchi</w:t>
      </w:r>
    </w:p>
    <w:p w:rsidR="0094002E" w:rsidRPr="004343A0" w:rsidRDefault="0094002E" w:rsidP="00633E83">
      <w:pPr>
        <w:spacing w:after="200" w:line="480" w:lineRule="auto"/>
        <w:jc w:val="both"/>
        <w:rPr>
          <w:rFonts w:cs="Arial"/>
          <w:sz w:val="20"/>
          <w:szCs w:val="20"/>
          <w:lang w:bidi="th-TH"/>
        </w:rPr>
      </w:pPr>
    </w:p>
    <w:tbl>
      <w:tblPr>
        <w:tblStyle w:val="TableGrid"/>
        <w:tblW w:w="0" w:type="auto"/>
        <w:tblLook w:val="00A0" w:firstRow="1" w:lastRow="0" w:firstColumn="1" w:lastColumn="0" w:noHBand="0" w:noVBand="0"/>
      </w:tblPr>
      <w:tblGrid>
        <w:gridCol w:w="4854"/>
        <w:gridCol w:w="899"/>
        <w:gridCol w:w="900"/>
        <w:gridCol w:w="1194"/>
      </w:tblGrid>
      <w:tr w:rsidR="0094002E" w:rsidRPr="004343A0">
        <w:tc>
          <w:tcPr>
            <w:tcW w:w="5920" w:type="dxa"/>
          </w:tcPr>
          <w:p w:rsidR="0094002E" w:rsidRPr="004343A0" w:rsidRDefault="0094002E" w:rsidP="00633E83">
            <w:pPr>
              <w:spacing w:line="240" w:lineRule="auto"/>
              <w:jc w:val="center"/>
              <w:rPr>
                <w:rFonts w:cs="Arial"/>
                <w:b/>
                <w:sz w:val="20"/>
                <w:szCs w:val="20"/>
              </w:rPr>
            </w:pPr>
            <w:r w:rsidRPr="004343A0">
              <w:rPr>
                <w:rFonts w:cs="Arial"/>
                <w:b/>
                <w:sz w:val="20"/>
                <w:szCs w:val="20"/>
              </w:rPr>
              <w:t>Question</w:t>
            </w:r>
          </w:p>
        </w:tc>
        <w:tc>
          <w:tcPr>
            <w:tcW w:w="992" w:type="dxa"/>
          </w:tcPr>
          <w:p w:rsidR="0094002E" w:rsidRPr="004343A0" w:rsidRDefault="0094002E" w:rsidP="00633E83">
            <w:pPr>
              <w:spacing w:line="240" w:lineRule="auto"/>
              <w:jc w:val="center"/>
              <w:rPr>
                <w:rFonts w:cs="Arial"/>
                <w:b/>
                <w:noProof/>
                <w:sz w:val="20"/>
                <w:szCs w:val="20"/>
              </w:rPr>
            </w:pPr>
            <w:r w:rsidRPr="004343A0">
              <w:rPr>
                <w:rFonts w:cs="Arial"/>
                <w:b/>
                <w:noProof/>
                <w:sz w:val="20"/>
                <w:szCs w:val="20"/>
              </w:rPr>
              <w:t>Yes</w:t>
            </w:r>
          </w:p>
        </w:tc>
        <w:tc>
          <w:tcPr>
            <w:tcW w:w="993" w:type="dxa"/>
          </w:tcPr>
          <w:p w:rsidR="0094002E" w:rsidRPr="004343A0" w:rsidRDefault="0094002E" w:rsidP="00633E83">
            <w:pPr>
              <w:spacing w:line="240" w:lineRule="auto"/>
              <w:jc w:val="center"/>
              <w:rPr>
                <w:rFonts w:cs="Arial"/>
                <w:b/>
                <w:noProof/>
                <w:sz w:val="20"/>
                <w:szCs w:val="20"/>
              </w:rPr>
            </w:pPr>
            <w:r w:rsidRPr="004343A0">
              <w:rPr>
                <w:rFonts w:cs="Arial"/>
                <w:b/>
                <w:noProof/>
                <w:sz w:val="20"/>
                <w:szCs w:val="20"/>
              </w:rPr>
              <w:t>No</w:t>
            </w:r>
          </w:p>
        </w:tc>
        <w:tc>
          <w:tcPr>
            <w:tcW w:w="1337" w:type="dxa"/>
          </w:tcPr>
          <w:p w:rsidR="0094002E" w:rsidRPr="004343A0" w:rsidRDefault="0094002E" w:rsidP="00633E83">
            <w:pPr>
              <w:spacing w:line="240" w:lineRule="auto"/>
              <w:jc w:val="center"/>
              <w:rPr>
                <w:rFonts w:cs="Arial"/>
                <w:b/>
                <w:noProof/>
                <w:sz w:val="20"/>
                <w:szCs w:val="20"/>
              </w:rPr>
            </w:pPr>
            <w:r w:rsidRPr="004343A0">
              <w:rPr>
                <w:rFonts w:cs="Arial"/>
                <w:b/>
                <w:noProof/>
                <w:sz w:val="20"/>
                <w:szCs w:val="20"/>
              </w:rPr>
              <w:t>Don’t Know</w:t>
            </w:r>
          </w:p>
        </w:tc>
      </w:tr>
      <w:tr w:rsidR="0094002E" w:rsidRPr="004343A0">
        <w:tc>
          <w:tcPr>
            <w:tcW w:w="5920" w:type="dxa"/>
          </w:tcPr>
          <w:p w:rsidR="0094002E" w:rsidRPr="004343A0" w:rsidRDefault="0094002E" w:rsidP="00633E83">
            <w:pPr>
              <w:spacing w:line="240" w:lineRule="auto"/>
              <w:jc w:val="both"/>
              <w:rPr>
                <w:rFonts w:cs="Arial"/>
                <w:noProof/>
                <w:sz w:val="20"/>
                <w:szCs w:val="20"/>
              </w:rPr>
            </w:pPr>
            <w:r w:rsidRPr="004343A0">
              <w:rPr>
                <w:rFonts w:cs="Arial"/>
                <w:sz w:val="20"/>
                <w:szCs w:val="20"/>
              </w:rPr>
              <w:t>Q1 Have you thought about any of the issues spoken about in the talk and discussion session since the talk?</w:t>
            </w:r>
          </w:p>
        </w:tc>
        <w:tc>
          <w:tcPr>
            <w:tcW w:w="992"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84%</w:t>
            </w:r>
          </w:p>
        </w:tc>
        <w:tc>
          <w:tcPr>
            <w:tcW w:w="993"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16%</w:t>
            </w:r>
          </w:p>
        </w:tc>
        <w:tc>
          <w:tcPr>
            <w:tcW w:w="1337"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0%</w:t>
            </w:r>
          </w:p>
        </w:tc>
      </w:tr>
      <w:tr w:rsidR="0094002E" w:rsidRPr="004343A0">
        <w:tc>
          <w:tcPr>
            <w:tcW w:w="5920" w:type="dxa"/>
          </w:tcPr>
          <w:p w:rsidR="0094002E" w:rsidRPr="004343A0" w:rsidRDefault="0094002E" w:rsidP="00633E83">
            <w:pPr>
              <w:spacing w:line="240" w:lineRule="auto"/>
              <w:jc w:val="both"/>
              <w:rPr>
                <w:rFonts w:cs="Arial"/>
                <w:sz w:val="20"/>
                <w:szCs w:val="20"/>
              </w:rPr>
            </w:pPr>
            <w:r w:rsidRPr="004343A0">
              <w:rPr>
                <w:rFonts w:cs="Arial"/>
                <w:sz w:val="20"/>
                <w:szCs w:val="20"/>
              </w:rPr>
              <w:t xml:space="preserve">Q2. Have you changed anything in your life to be more environmentally friendly since the talk? </w:t>
            </w:r>
          </w:p>
        </w:tc>
        <w:tc>
          <w:tcPr>
            <w:tcW w:w="992"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54%</w:t>
            </w:r>
          </w:p>
        </w:tc>
        <w:tc>
          <w:tcPr>
            <w:tcW w:w="993"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46%</w:t>
            </w:r>
          </w:p>
        </w:tc>
        <w:tc>
          <w:tcPr>
            <w:tcW w:w="1337"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0%</w:t>
            </w:r>
          </w:p>
        </w:tc>
      </w:tr>
      <w:tr w:rsidR="0094002E" w:rsidRPr="004343A0">
        <w:tc>
          <w:tcPr>
            <w:tcW w:w="5920" w:type="dxa"/>
          </w:tcPr>
          <w:p w:rsidR="0094002E" w:rsidRPr="004343A0" w:rsidRDefault="0094002E" w:rsidP="00633E83">
            <w:pPr>
              <w:spacing w:line="240" w:lineRule="auto"/>
              <w:jc w:val="both"/>
              <w:rPr>
                <w:rFonts w:cs="Arial"/>
                <w:sz w:val="20"/>
                <w:szCs w:val="20"/>
              </w:rPr>
            </w:pPr>
            <w:r w:rsidRPr="004343A0">
              <w:rPr>
                <w:rFonts w:cs="Arial"/>
                <w:sz w:val="20"/>
                <w:szCs w:val="20"/>
              </w:rPr>
              <w:t>Q3. Are you planning to change anything in your life to be more environmentally friendly?</w:t>
            </w:r>
          </w:p>
        </w:tc>
        <w:tc>
          <w:tcPr>
            <w:tcW w:w="992"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47%</w:t>
            </w:r>
          </w:p>
        </w:tc>
        <w:tc>
          <w:tcPr>
            <w:tcW w:w="993"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53%</w:t>
            </w:r>
          </w:p>
        </w:tc>
        <w:tc>
          <w:tcPr>
            <w:tcW w:w="1337"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0%</w:t>
            </w:r>
          </w:p>
        </w:tc>
      </w:tr>
      <w:tr w:rsidR="0094002E" w:rsidRPr="004343A0">
        <w:tc>
          <w:tcPr>
            <w:tcW w:w="5920" w:type="dxa"/>
          </w:tcPr>
          <w:p w:rsidR="0094002E" w:rsidRPr="004343A0" w:rsidRDefault="0094002E" w:rsidP="00633E83">
            <w:pPr>
              <w:spacing w:line="240" w:lineRule="auto"/>
              <w:jc w:val="both"/>
              <w:rPr>
                <w:rFonts w:cs="Arial"/>
                <w:sz w:val="20"/>
                <w:szCs w:val="20"/>
              </w:rPr>
            </w:pPr>
            <w:r w:rsidRPr="004343A0">
              <w:rPr>
                <w:rFonts w:cs="Arial"/>
                <w:sz w:val="20"/>
                <w:szCs w:val="20"/>
              </w:rPr>
              <w:t>Q4. Have you encouraged anyone else to change anything?</w:t>
            </w:r>
          </w:p>
        </w:tc>
        <w:tc>
          <w:tcPr>
            <w:tcW w:w="992"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57%</w:t>
            </w:r>
          </w:p>
        </w:tc>
        <w:tc>
          <w:tcPr>
            <w:tcW w:w="993"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43%</w:t>
            </w:r>
          </w:p>
        </w:tc>
        <w:tc>
          <w:tcPr>
            <w:tcW w:w="1337"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0%</w:t>
            </w:r>
          </w:p>
        </w:tc>
      </w:tr>
      <w:tr w:rsidR="0094002E" w:rsidRPr="004343A0">
        <w:tc>
          <w:tcPr>
            <w:tcW w:w="5920" w:type="dxa"/>
          </w:tcPr>
          <w:p w:rsidR="0094002E" w:rsidRPr="004343A0" w:rsidRDefault="0094002E" w:rsidP="00633E83">
            <w:pPr>
              <w:spacing w:line="240" w:lineRule="auto"/>
              <w:jc w:val="both"/>
              <w:rPr>
                <w:rFonts w:cs="Arial"/>
                <w:noProof/>
                <w:sz w:val="20"/>
                <w:szCs w:val="20"/>
              </w:rPr>
            </w:pPr>
            <w:r w:rsidRPr="004343A0">
              <w:rPr>
                <w:rFonts w:cs="Arial"/>
                <w:sz w:val="20"/>
                <w:szCs w:val="20"/>
              </w:rPr>
              <w:t>Q5. Did the person you encouraged actually make the change you suggested?</w:t>
            </w:r>
          </w:p>
        </w:tc>
        <w:tc>
          <w:tcPr>
            <w:tcW w:w="992"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62%</w:t>
            </w:r>
          </w:p>
        </w:tc>
        <w:tc>
          <w:tcPr>
            <w:tcW w:w="993"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18%</w:t>
            </w:r>
          </w:p>
        </w:tc>
        <w:tc>
          <w:tcPr>
            <w:tcW w:w="1337" w:type="dxa"/>
          </w:tcPr>
          <w:p w:rsidR="0094002E" w:rsidRPr="004343A0" w:rsidRDefault="0094002E" w:rsidP="00633E83">
            <w:pPr>
              <w:spacing w:line="240" w:lineRule="auto"/>
              <w:jc w:val="center"/>
              <w:rPr>
                <w:rFonts w:cs="Arial"/>
                <w:noProof/>
                <w:sz w:val="20"/>
                <w:szCs w:val="20"/>
              </w:rPr>
            </w:pPr>
            <w:r w:rsidRPr="004343A0">
              <w:rPr>
                <w:rFonts w:cs="Arial"/>
                <w:noProof/>
                <w:sz w:val="20"/>
                <w:szCs w:val="20"/>
              </w:rPr>
              <w:t>20%</w:t>
            </w:r>
          </w:p>
        </w:tc>
      </w:tr>
    </w:tbl>
    <w:p w:rsidR="0094002E" w:rsidRPr="004343A0" w:rsidRDefault="0094002E" w:rsidP="00633E83">
      <w:pPr>
        <w:spacing w:line="480" w:lineRule="auto"/>
        <w:jc w:val="both"/>
        <w:rPr>
          <w:rFonts w:cs="Arial"/>
          <w:b/>
          <w:sz w:val="20"/>
          <w:szCs w:val="20"/>
        </w:rPr>
      </w:pPr>
    </w:p>
    <w:p w:rsidR="0094002E" w:rsidRPr="004343A0" w:rsidRDefault="0094002E" w:rsidP="00633E83">
      <w:pPr>
        <w:spacing w:line="480" w:lineRule="auto"/>
        <w:jc w:val="both"/>
        <w:rPr>
          <w:rFonts w:cs="Arial"/>
          <w:sz w:val="20"/>
          <w:szCs w:val="20"/>
        </w:rPr>
      </w:pPr>
      <w:r w:rsidRPr="004343A0">
        <w:rPr>
          <w:rFonts w:cs="Arial"/>
          <w:sz w:val="20"/>
          <w:szCs w:val="20"/>
        </w:rPr>
        <w:t xml:space="preserve">Table </w:t>
      </w:r>
      <w:r w:rsidR="00BB1956" w:rsidRPr="004343A0">
        <w:rPr>
          <w:rFonts w:cs="Arial"/>
          <w:sz w:val="20"/>
          <w:szCs w:val="20"/>
        </w:rPr>
        <w:t>6</w:t>
      </w:r>
      <w:r w:rsidRPr="004343A0">
        <w:rPr>
          <w:rFonts w:cs="Arial"/>
          <w:sz w:val="20"/>
          <w:szCs w:val="20"/>
        </w:rPr>
        <w:t xml:space="preserve">- </w:t>
      </w:r>
      <w:r w:rsidRPr="004343A0">
        <w:rPr>
          <w:rFonts w:cs="Arial"/>
          <w:sz w:val="20"/>
          <w:szCs w:val="26"/>
        </w:rPr>
        <w:t>Questionnaire feedback results for all respondents</w:t>
      </w:r>
    </w:p>
    <w:p w:rsidR="0094002E" w:rsidRPr="004343A0" w:rsidRDefault="0094002E" w:rsidP="00633E83">
      <w:pPr>
        <w:spacing w:line="480" w:lineRule="auto"/>
        <w:jc w:val="both"/>
        <w:rPr>
          <w:rFonts w:cs="Arial"/>
          <w:sz w:val="20"/>
          <w:szCs w:val="20"/>
          <w:lang w:bidi="th-TH"/>
        </w:rPr>
      </w:pPr>
    </w:p>
    <w:p w:rsidR="0094002E" w:rsidRPr="004343A0" w:rsidRDefault="0094002E" w:rsidP="00633E83">
      <w:pPr>
        <w:spacing w:line="480" w:lineRule="auto"/>
        <w:jc w:val="both"/>
        <w:rPr>
          <w:rFonts w:cs="Arial"/>
          <w:sz w:val="20"/>
          <w:szCs w:val="20"/>
          <w:lang w:bidi="th-TH"/>
        </w:rPr>
      </w:pPr>
    </w:p>
    <w:p w:rsidR="0094002E" w:rsidRPr="004343A0" w:rsidRDefault="0094002E" w:rsidP="00633E83">
      <w:pPr>
        <w:spacing w:after="200" w:line="480" w:lineRule="auto"/>
        <w:jc w:val="both"/>
        <w:rPr>
          <w:sz w:val="20"/>
        </w:rPr>
      </w:pPr>
      <w:r w:rsidRPr="004343A0">
        <w:rPr>
          <w:rFonts w:cs="Arial"/>
          <w:sz w:val="20"/>
          <w:szCs w:val="20"/>
          <w:lang w:bidi="th-TH"/>
        </w:rPr>
        <w:br w:type="page"/>
      </w:r>
      <w:r w:rsidRPr="004343A0">
        <w:rPr>
          <w:sz w:val="20"/>
        </w:rPr>
        <w:lastRenderedPageBreak/>
        <w:t>Yamuna Kaluarachchi</w:t>
      </w:r>
    </w:p>
    <w:p w:rsidR="00580BF8" w:rsidRPr="004343A0" w:rsidRDefault="00580BF8" w:rsidP="00633E83">
      <w:pPr>
        <w:spacing w:line="480" w:lineRule="auto"/>
        <w:jc w:val="both"/>
        <w:rPr>
          <w:rFonts w:cs="Arial"/>
          <w:sz w:val="20"/>
          <w:szCs w:val="20"/>
          <w:lang w:bidi="th-TH"/>
        </w:rPr>
      </w:pPr>
    </w:p>
    <w:p w:rsidR="00580BF8" w:rsidRPr="004343A0" w:rsidRDefault="00580BF8" w:rsidP="00633E83">
      <w:pPr>
        <w:spacing w:line="480" w:lineRule="auto"/>
        <w:jc w:val="both"/>
        <w:rPr>
          <w:rFonts w:cs="Arial"/>
          <w:sz w:val="20"/>
          <w:szCs w:val="20"/>
          <w:lang w:bidi="th-TH"/>
        </w:rPr>
      </w:pPr>
    </w:p>
    <w:p w:rsidR="00580BF8" w:rsidRPr="004343A0" w:rsidRDefault="00580BF8" w:rsidP="00633E83">
      <w:pPr>
        <w:spacing w:line="480" w:lineRule="auto"/>
        <w:jc w:val="both"/>
        <w:rPr>
          <w:rFonts w:cs="Arial"/>
          <w:sz w:val="20"/>
          <w:szCs w:val="20"/>
          <w:lang w:bidi="th-TH"/>
        </w:rPr>
      </w:pPr>
    </w:p>
    <w:p w:rsidR="00580BF8" w:rsidRPr="004343A0" w:rsidRDefault="003A047B" w:rsidP="00633E83">
      <w:pPr>
        <w:spacing w:line="480" w:lineRule="auto"/>
        <w:jc w:val="both"/>
        <w:rPr>
          <w:rFonts w:cs="Arial"/>
          <w:sz w:val="20"/>
          <w:szCs w:val="20"/>
          <w:lang w:bidi="th-TH"/>
        </w:rPr>
      </w:pPr>
      <w:r>
        <w:rPr>
          <w:rFonts w:cs="Arial"/>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753735" cy="3048000"/>
            <wp:effectExtent l="0" t="0" r="12065" b="0"/>
            <wp:wrapTight wrapText="bothSides">
              <wp:wrapPolygon edited="0">
                <wp:start x="0" y="0"/>
                <wp:lineTo x="0" y="21420"/>
                <wp:lineTo x="21550" y="21420"/>
                <wp:lineTo x="2155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3048000"/>
                    </a:xfrm>
                    <a:prstGeom prst="rect">
                      <a:avLst/>
                    </a:prstGeom>
                    <a:noFill/>
                  </pic:spPr>
                </pic:pic>
              </a:graphicData>
            </a:graphic>
            <wp14:sizeRelH relativeFrom="page">
              <wp14:pctWidth>0</wp14:pctWidth>
            </wp14:sizeRelH>
            <wp14:sizeRelV relativeFrom="page">
              <wp14:pctHeight>0</wp14:pctHeight>
            </wp14:sizeRelV>
          </wp:anchor>
        </w:drawing>
      </w:r>
    </w:p>
    <w:p w:rsidR="00A97E34" w:rsidRPr="004343A0" w:rsidRDefault="00A97E34" w:rsidP="00A97E34">
      <w:pPr>
        <w:spacing w:line="480" w:lineRule="auto"/>
        <w:jc w:val="both"/>
        <w:outlineLvl w:val="0"/>
        <w:rPr>
          <w:rFonts w:cs="Arial"/>
          <w:sz w:val="20"/>
          <w:szCs w:val="20"/>
        </w:rPr>
      </w:pPr>
      <w:r w:rsidRPr="004343A0">
        <w:rPr>
          <w:rFonts w:cs="Arial"/>
          <w:sz w:val="20"/>
          <w:szCs w:val="20"/>
        </w:rPr>
        <w:t xml:space="preserve">Figure </w:t>
      </w:r>
      <w:r w:rsidR="00BB1956" w:rsidRPr="004343A0">
        <w:rPr>
          <w:rFonts w:cs="Arial"/>
          <w:sz w:val="20"/>
          <w:szCs w:val="20"/>
        </w:rPr>
        <w:t>5</w:t>
      </w:r>
      <w:r w:rsidR="00917152" w:rsidRPr="004343A0">
        <w:rPr>
          <w:rFonts w:cs="Arial"/>
          <w:sz w:val="20"/>
          <w:szCs w:val="20"/>
        </w:rPr>
        <w:t>.</w:t>
      </w:r>
      <w:r w:rsidRPr="004343A0">
        <w:rPr>
          <w:rFonts w:cs="Arial"/>
          <w:sz w:val="20"/>
          <w:szCs w:val="20"/>
        </w:rPr>
        <w:t xml:space="preserve"> Individual actions taken after attending the engagement according to the age groups</w:t>
      </w:r>
    </w:p>
    <w:p w:rsidR="00A97E34" w:rsidRPr="004343A0" w:rsidRDefault="00A97E34" w:rsidP="00633E83">
      <w:pPr>
        <w:spacing w:after="200" w:line="480" w:lineRule="auto"/>
        <w:jc w:val="both"/>
        <w:rPr>
          <w:rFonts w:cs="Arial"/>
          <w:sz w:val="20"/>
          <w:szCs w:val="20"/>
          <w:lang w:bidi="th-TH"/>
        </w:rPr>
      </w:pPr>
    </w:p>
    <w:p w:rsidR="00A97E34" w:rsidRPr="004343A0" w:rsidRDefault="00A97E34" w:rsidP="00633E83">
      <w:pPr>
        <w:spacing w:after="200" w:line="480" w:lineRule="auto"/>
        <w:jc w:val="both"/>
        <w:rPr>
          <w:rFonts w:cs="Arial"/>
          <w:sz w:val="20"/>
          <w:szCs w:val="20"/>
          <w:lang w:bidi="th-TH"/>
        </w:rPr>
      </w:pPr>
    </w:p>
    <w:p w:rsidR="00580BF8" w:rsidRPr="004343A0" w:rsidRDefault="00580BF8" w:rsidP="00633E83">
      <w:pPr>
        <w:spacing w:after="200" w:line="480" w:lineRule="auto"/>
        <w:jc w:val="both"/>
        <w:rPr>
          <w:rFonts w:cs="Arial"/>
          <w:sz w:val="20"/>
          <w:szCs w:val="20"/>
          <w:lang w:bidi="th-TH"/>
        </w:rPr>
      </w:pPr>
      <w:r w:rsidRPr="004343A0">
        <w:rPr>
          <w:rFonts w:cs="Arial"/>
          <w:sz w:val="20"/>
          <w:szCs w:val="20"/>
          <w:lang w:bidi="th-TH"/>
        </w:rPr>
        <w:br w:type="page"/>
      </w:r>
      <w:r w:rsidRPr="004343A0">
        <w:rPr>
          <w:rFonts w:cs="Arial"/>
          <w:sz w:val="20"/>
          <w:szCs w:val="20"/>
          <w:lang w:bidi="th-TH"/>
        </w:rPr>
        <w:lastRenderedPageBreak/>
        <w:t>Yamuna Kaluarachchi</w:t>
      </w:r>
    </w:p>
    <w:p w:rsidR="00580BF8" w:rsidRPr="004343A0" w:rsidRDefault="00580BF8" w:rsidP="00633E83">
      <w:pPr>
        <w:spacing w:line="480" w:lineRule="auto"/>
        <w:jc w:val="both"/>
        <w:rPr>
          <w:rFonts w:cs="Arial"/>
          <w:sz w:val="20"/>
          <w:szCs w:val="20"/>
          <w:lang w:bidi="th-TH"/>
        </w:rPr>
      </w:pPr>
      <w:r w:rsidRPr="004343A0">
        <w:rPr>
          <w:rFonts w:cs="Arial"/>
          <w:noProof/>
          <w:sz w:val="20"/>
          <w:szCs w:val="20"/>
        </w:rPr>
        <w:drawing>
          <wp:inline distT="0" distB="0" distL="0" distR="0">
            <wp:extent cx="4429125" cy="2654300"/>
            <wp:effectExtent l="25400" t="25400" r="15875" b="0"/>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0BF8" w:rsidRPr="004343A0" w:rsidRDefault="00580BF8" w:rsidP="00633E83">
      <w:pPr>
        <w:spacing w:line="480" w:lineRule="auto"/>
        <w:jc w:val="both"/>
        <w:rPr>
          <w:rFonts w:cs="Arial"/>
          <w:sz w:val="20"/>
          <w:szCs w:val="20"/>
          <w:lang w:bidi="th-TH"/>
        </w:rPr>
      </w:pPr>
    </w:p>
    <w:p w:rsidR="00580BF8" w:rsidRPr="004343A0" w:rsidRDefault="00580BF8" w:rsidP="00633E83">
      <w:pPr>
        <w:spacing w:line="480" w:lineRule="auto"/>
        <w:jc w:val="both"/>
        <w:outlineLvl w:val="0"/>
        <w:rPr>
          <w:rFonts w:cs="Arial"/>
          <w:bCs/>
          <w:noProof/>
          <w:sz w:val="20"/>
          <w:szCs w:val="20"/>
        </w:rPr>
      </w:pPr>
      <w:r w:rsidRPr="004343A0">
        <w:rPr>
          <w:rFonts w:cs="Arial"/>
          <w:bCs/>
          <w:noProof/>
          <w:sz w:val="20"/>
          <w:szCs w:val="20"/>
        </w:rPr>
        <w:t xml:space="preserve">Figure </w:t>
      </w:r>
      <w:r w:rsidR="00742145" w:rsidRPr="004343A0">
        <w:rPr>
          <w:rFonts w:cs="Arial"/>
          <w:bCs/>
          <w:noProof/>
          <w:sz w:val="20"/>
          <w:szCs w:val="20"/>
        </w:rPr>
        <w:t>6</w:t>
      </w:r>
      <w:r w:rsidRPr="004343A0">
        <w:rPr>
          <w:rFonts w:cs="Arial"/>
          <w:bCs/>
          <w:noProof/>
          <w:sz w:val="20"/>
          <w:szCs w:val="20"/>
        </w:rPr>
        <w:t>- Overall impact of engagement</w:t>
      </w:r>
    </w:p>
    <w:p w:rsidR="002D0038" w:rsidRPr="004343A0" w:rsidRDefault="002D0038" w:rsidP="00633E83">
      <w:pPr>
        <w:spacing w:line="480" w:lineRule="auto"/>
        <w:jc w:val="both"/>
        <w:rPr>
          <w:rFonts w:cs="Arial"/>
          <w:sz w:val="20"/>
          <w:szCs w:val="20"/>
          <w:lang w:bidi="th-TH"/>
        </w:rPr>
      </w:pPr>
    </w:p>
    <w:p w:rsidR="006C3D1E" w:rsidRPr="004343A0" w:rsidRDefault="006C3D1E" w:rsidP="00633E83">
      <w:pPr>
        <w:spacing w:line="480" w:lineRule="auto"/>
        <w:jc w:val="both"/>
        <w:rPr>
          <w:rFonts w:cs="Arial"/>
          <w:sz w:val="20"/>
          <w:szCs w:val="20"/>
          <w:lang w:bidi="th-TH"/>
        </w:rPr>
      </w:pPr>
    </w:p>
    <w:sectPr w:rsidR="006C3D1E" w:rsidRPr="004343A0" w:rsidSect="00A1132A">
      <w:footerReference w:type="even" r:id="rId14"/>
      <w:footerReference w:type="default" r:id="rId15"/>
      <w:pgSz w:w="11906" w:h="16838"/>
      <w:pgMar w:top="1440" w:right="1440" w:bottom="1440"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35" w:rsidRDefault="00C00A35" w:rsidP="00EC2943">
      <w:pPr>
        <w:spacing w:line="240" w:lineRule="auto"/>
      </w:pPr>
      <w:r>
        <w:separator/>
      </w:r>
    </w:p>
  </w:endnote>
  <w:endnote w:type="continuationSeparator" w:id="0">
    <w:p w:rsidR="00C00A35" w:rsidRDefault="00C00A35" w:rsidP="00EC2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35" w:rsidRDefault="00C00A35" w:rsidP="00950855">
    <w:pPr>
      <w:pStyle w:val="Footer"/>
      <w:framePr w:wrap="around" w:vAnchor="text" w:hAnchor="margin" w:xAlign="right" w:y="1"/>
      <w:rPr>
        <w:rStyle w:val="PageNumber"/>
        <w:rFonts w:ascii="Arial" w:hAnsi="Arial" w:cs="Times New Roman"/>
        <w:sz w:val="21"/>
        <w:szCs w:val="24"/>
        <w:lang w:eastAsia="en-GB"/>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C00A35" w:rsidRDefault="00C00A35" w:rsidP="00950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35" w:rsidRDefault="00C00A35" w:rsidP="00950855">
    <w:pPr>
      <w:pStyle w:val="Footer"/>
      <w:framePr w:wrap="around" w:vAnchor="text" w:hAnchor="margin" w:xAlign="right" w:y="1"/>
      <w:rPr>
        <w:rStyle w:val="PageNumber"/>
        <w:rFonts w:ascii="Arial" w:hAnsi="Arial" w:cs="Times New Roman"/>
        <w:sz w:val="21"/>
        <w:szCs w:val="24"/>
        <w:lang w:eastAsia="en-GB"/>
      </w:rPr>
    </w:pPr>
    <w:r>
      <w:rPr>
        <w:rStyle w:val="PageNumber"/>
      </w:rPr>
      <w:fldChar w:fldCharType="begin"/>
    </w:r>
    <w:r>
      <w:rPr>
        <w:rStyle w:val="PageNumber"/>
      </w:rPr>
      <w:instrText xml:space="preserve">PAGE  </w:instrText>
    </w:r>
    <w:r>
      <w:rPr>
        <w:rStyle w:val="PageNumber"/>
      </w:rPr>
      <w:fldChar w:fldCharType="separate"/>
    </w:r>
    <w:r w:rsidR="00CA1E82">
      <w:rPr>
        <w:rStyle w:val="PageNumber"/>
        <w:noProof/>
      </w:rPr>
      <w:t>1</w:t>
    </w:r>
    <w:r>
      <w:rPr>
        <w:rStyle w:val="PageNumber"/>
      </w:rPr>
      <w:fldChar w:fldCharType="end"/>
    </w:r>
  </w:p>
  <w:p w:rsidR="00C00A35" w:rsidRDefault="00C00A35" w:rsidP="009508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35" w:rsidRDefault="00C00A35" w:rsidP="00EC2943">
      <w:pPr>
        <w:spacing w:line="240" w:lineRule="auto"/>
      </w:pPr>
      <w:r>
        <w:separator/>
      </w:r>
    </w:p>
  </w:footnote>
  <w:footnote w:type="continuationSeparator" w:id="0">
    <w:p w:rsidR="00C00A35" w:rsidRDefault="00C00A35" w:rsidP="00EC29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6EA"/>
    <w:multiLevelType w:val="hybridMultilevel"/>
    <w:tmpl w:val="D7BA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63C2"/>
    <w:multiLevelType w:val="hybridMultilevel"/>
    <w:tmpl w:val="9C16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A1C5C"/>
    <w:multiLevelType w:val="hybridMultilevel"/>
    <w:tmpl w:val="6246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03BD2"/>
    <w:multiLevelType w:val="hybridMultilevel"/>
    <w:tmpl w:val="485C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A3526"/>
    <w:multiLevelType w:val="hybridMultilevel"/>
    <w:tmpl w:val="C96A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558BB"/>
    <w:multiLevelType w:val="hybridMultilevel"/>
    <w:tmpl w:val="7658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40FB2"/>
    <w:multiLevelType w:val="hybridMultilevel"/>
    <w:tmpl w:val="9FC60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E0CC8"/>
    <w:multiLevelType w:val="hybridMultilevel"/>
    <w:tmpl w:val="F0D2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403E3"/>
    <w:multiLevelType w:val="hybridMultilevel"/>
    <w:tmpl w:val="8954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A0508"/>
    <w:multiLevelType w:val="hybridMultilevel"/>
    <w:tmpl w:val="5442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D457A"/>
    <w:multiLevelType w:val="hybridMultilevel"/>
    <w:tmpl w:val="3B545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FD6392"/>
    <w:multiLevelType w:val="hybridMultilevel"/>
    <w:tmpl w:val="5E5EA35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AC7058"/>
    <w:multiLevelType w:val="hybridMultilevel"/>
    <w:tmpl w:val="52F4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F1139"/>
    <w:multiLevelType w:val="hybridMultilevel"/>
    <w:tmpl w:val="BC6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66763"/>
    <w:multiLevelType w:val="hybridMultilevel"/>
    <w:tmpl w:val="FCE2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17B1F"/>
    <w:multiLevelType w:val="hybridMultilevel"/>
    <w:tmpl w:val="D402C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55791"/>
    <w:multiLevelType w:val="hybridMultilevel"/>
    <w:tmpl w:val="340E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EF66DD"/>
    <w:multiLevelType w:val="hybridMultilevel"/>
    <w:tmpl w:val="AD925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40691E"/>
    <w:multiLevelType w:val="hybridMultilevel"/>
    <w:tmpl w:val="E9EE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36C73"/>
    <w:multiLevelType w:val="hybridMultilevel"/>
    <w:tmpl w:val="B07C0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7748CC"/>
    <w:multiLevelType w:val="hybridMultilevel"/>
    <w:tmpl w:val="076E5F66"/>
    <w:lvl w:ilvl="0" w:tplc="34B8D5FE">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7CDC6290"/>
    <w:multiLevelType w:val="hybridMultilevel"/>
    <w:tmpl w:val="7F6A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0"/>
  </w:num>
  <w:num w:numId="4">
    <w:abstractNumId w:val="15"/>
  </w:num>
  <w:num w:numId="5">
    <w:abstractNumId w:val="11"/>
  </w:num>
  <w:num w:numId="6">
    <w:abstractNumId w:val="7"/>
  </w:num>
  <w:num w:numId="7">
    <w:abstractNumId w:val="3"/>
  </w:num>
  <w:num w:numId="8">
    <w:abstractNumId w:val="5"/>
  </w:num>
  <w:num w:numId="9">
    <w:abstractNumId w:val="21"/>
  </w:num>
  <w:num w:numId="10">
    <w:abstractNumId w:val="1"/>
  </w:num>
  <w:num w:numId="11">
    <w:abstractNumId w:val="2"/>
  </w:num>
  <w:num w:numId="12">
    <w:abstractNumId w:val="18"/>
  </w:num>
  <w:num w:numId="13">
    <w:abstractNumId w:val="13"/>
  </w:num>
  <w:num w:numId="14">
    <w:abstractNumId w:val="8"/>
  </w:num>
  <w:num w:numId="15">
    <w:abstractNumId w:val="12"/>
  </w:num>
  <w:num w:numId="16">
    <w:abstractNumId w:val="9"/>
  </w:num>
  <w:num w:numId="17">
    <w:abstractNumId w:val="16"/>
  </w:num>
  <w:num w:numId="18">
    <w:abstractNumId w:val="17"/>
  </w:num>
  <w:num w:numId="19">
    <w:abstractNumId w:val="6"/>
  </w:num>
  <w:num w:numId="20">
    <w:abstractNumId w:val="10"/>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735868A-88C4-453E-9EE4-AEE81C70E753}"/>
    <w:docVar w:name="dgnword-eventsink" w:val="240683136"/>
  </w:docVars>
  <w:rsids>
    <w:rsidRoot w:val="00332C4F"/>
    <w:rsid w:val="00012118"/>
    <w:rsid w:val="000270E4"/>
    <w:rsid w:val="00027CF0"/>
    <w:rsid w:val="00031CFE"/>
    <w:rsid w:val="00032836"/>
    <w:rsid w:val="00032B7E"/>
    <w:rsid w:val="00036BE7"/>
    <w:rsid w:val="00037B4B"/>
    <w:rsid w:val="0005101F"/>
    <w:rsid w:val="00057DF3"/>
    <w:rsid w:val="00062362"/>
    <w:rsid w:val="00064028"/>
    <w:rsid w:val="00075D82"/>
    <w:rsid w:val="00080B78"/>
    <w:rsid w:val="000828DD"/>
    <w:rsid w:val="000B0B19"/>
    <w:rsid w:val="000B2D61"/>
    <w:rsid w:val="000B38AF"/>
    <w:rsid w:val="000B3F61"/>
    <w:rsid w:val="000B7C75"/>
    <w:rsid w:val="000C22D6"/>
    <w:rsid w:val="000D0399"/>
    <w:rsid w:val="000D3D49"/>
    <w:rsid w:val="000D547B"/>
    <w:rsid w:val="000F1292"/>
    <w:rsid w:val="000F16D2"/>
    <w:rsid w:val="000F7696"/>
    <w:rsid w:val="00100E77"/>
    <w:rsid w:val="0010319D"/>
    <w:rsid w:val="00105459"/>
    <w:rsid w:val="00105654"/>
    <w:rsid w:val="001130F6"/>
    <w:rsid w:val="00117D97"/>
    <w:rsid w:val="001227E9"/>
    <w:rsid w:val="0012374A"/>
    <w:rsid w:val="00123A3F"/>
    <w:rsid w:val="00136357"/>
    <w:rsid w:val="00136924"/>
    <w:rsid w:val="0014085C"/>
    <w:rsid w:val="00144302"/>
    <w:rsid w:val="001450D2"/>
    <w:rsid w:val="001473DF"/>
    <w:rsid w:val="00147910"/>
    <w:rsid w:val="00154D24"/>
    <w:rsid w:val="0016129C"/>
    <w:rsid w:val="00161F32"/>
    <w:rsid w:val="001640E1"/>
    <w:rsid w:val="00166911"/>
    <w:rsid w:val="00175EFF"/>
    <w:rsid w:val="001841D1"/>
    <w:rsid w:val="0018732D"/>
    <w:rsid w:val="0019610A"/>
    <w:rsid w:val="001D03AD"/>
    <w:rsid w:val="001D6309"/>
    <w:rsid w:val="001F1E4D"/>
    <w:rsid w:val="001F6965"/>
    <w:rsid w:val="002032AF"/>
    <w:rsid w:val="00203824"/>
    <w:rsid w:val="00205EC0"/>
    <w:rsid w:val="0020678B"/>
    <w:rsid w:val="002070F1"/>
    <w:rsid w:val="00207AF5"/>
    <w:rsid w:val="00210A09"/>
    <w:rsid w:val="0021169C"/>
    <w:rsid w:val="0021258F"/>
    <w:rsid w:val="002127CA"/>
    <w:rsid w:val="002140FE"/>
    <w:rsid w:val="002171D6"/>
    <w:rsid w:val="002240D1"/>
    <w:rsid w:val="00224F4E"/>
    <w:rsid w:val="002314A6"/>
    <w:rsid w:val="00231586"/>
    <w:rsid w:val="0025116E"/>
    <w:rsid w:val="002606EF"/>
    <w:rsid w:val="00267085"/>
    <w:rsid w:val="00267089"/>
    <w:rsid w:val="002777F2"/>
    <w:rsid w:val="00277D1F"/>
    <w:rsid w:val="00283CF6"/>
    <w:rsid w:val="002908DD"/>
    <w:rsid w:val="00293BF2"/>
    <w:rsid w:val="002B422A"/>
    <w:rsid w:val="002B6251"/>
    <w:rsid w:val="002C3144"/>
    <w:rsid w:val="002C508A"/>
    <w:rsid w:val="002D0038"/>
    <w:rsid w:val="002E37D8"/>
    <w:rsid w:val="002E3D6E"/>
    <w:rsid w:val="002E4B4C"/>
    <w:rsid w:val="002E5122"/>
    <w:rsid w:val="002E76D6"/>
    <w:rsid w:val="002F36D6"/>
    <w:rsid w:val="002F4322"/>
    <w:rsid w:val="00306428"/>
    <w:rsid w:val="00314B95"/>
    <w:rsid w:val="003177F0"/>
    <w:rsid w:val="00332C4F"/>
    <w:rsid w:val="003521B7"/>
    <w:rsid w:val="00353C84"/>
    <w:rsid w:val="0036378D"/>
    <w:rsid w:val="00365308"/>
    <w:rsid w:val="003661C9"/>
    <w:rsid w:val="00373BF1"/>
    <w:rsid w:val="00373DC8"/>
    <w:rsid w:val="00377B36"/>
    <w:rsid w:val="00385749"/>
    <w:rsid w:val="00385CCC"/>
    <w:rsid w:val="003A047B"/>
    <w:rsid w:val="003A2558"/>
    <w:rsid w:val="003A2E54"/>
    <w:rsid w:val="003A31BE"/>
    <w:rsid w:val="003A3EDF"/>
    <w:rsid w:val="003A4898"/>
    <w:rsid w:val="003A5F83"/>
    <w:rsid w:val="003B0B7D"/>
    <w:rsid w:val="003C110B"/>
    <w:rsid w:val="003E6F89"/>
    <w:rsid w:val="003F0DFD"/>
    <w:rsid w:val="003F26C3"/>
    <w:rsid w:val="003F2D42"/>
    <w:rsid w:val="00402FE9"/>
    <w:rsid w:val="00412076"/>
    <w:rsid w:val="00423714"/>
    <w:rsid w:val="00430AAE"/>
    <w:rsid w:val="004343A0"/>
    <w:rsid w:val="00437BA9"/>
    <w:rsid w:val="004438EE"/>
    <w:rsid w:val="004575F0"/>
    <w:rsid w:val="00457E8E"/>
    <w:rsid w:val="004711A0"/>
    <w:rsid w:val="00474337"/>
    <w:rsid w:val="0047509D"/>
    <w:rsid w:val="00475B39"/>
    <w:rsid w:val="00481B0A"/>
    <w:rsid w:val="0048326E"/>
    <w:rsid w:val="00486556"/>
    <w:rsid w:val="0049114A"/>
    <w:rsid w:val="00493059"/>
    <w:rsid w:val="004950B4"/>
    <w:rsid w:val="00495D4A"/>
    <w:rsid w:val="004B67F4"/>
    <w:rsid w:val="004C1512"/>
    <w:rsid w:val="004C242D"/>
    <w:rsid w:val="004C4F72"/>
    <w:rsid w:val="004C5788"/>
    <w:rsid w:val="004C6571"/>
    <w:rsid w:val="004D3EA8"/>
    <w:rsid w:val="004F5E02"/>
    <w:rsid w:val="0050188A"/>
    <w:rsid w:val="00512061"/>
    <w:rsid w:val="00523236"/>
    <w:rsid w:val="00525E02"/>
    <w:rsid w:val="005262BB"/>
    <w:rsid w:val="0054588E"/>
    <w:rsid w:val="00545D29"/>
    <w:rsid w:val="00545F4B"/>
    <w:rsid w:val="00547CBF"/>
    <w:rsid w:val="00552ADC"/>
    <w:rsid w:val="00553AB8"/>
    <w:rsid w:val="005540D3"/>
    <w:rsid w:val="00575050"/>
    <w:rsid w:val="0057665B"/>
    <w:rsid w:val="00580774"/>
    <w:rsid w:val="00580BF8"/>
    <w:rsid w:val="00581587"/>
    <w:rsid w:val="00590E5C"/>
    <w:rsid w:val="00591AE4"/>
    <w:rsid w:val="00593FFF"/>
    <w:rsid w:val="005954CC"/>
    <w:rsid w:val="005A69E4"/>
    <w:rsid w:val="005B34D8"/>
    <w:rsid w:val="005B4753"/>
    <w:rsid w:val="005B5CC7"/>
    <w:rsid w:val="005C2C6E"/>
    <w:rsid w:val="005C40CC"/>
    <w:rsid w:val="005C4CA2"/>
    <w:rsid w:val="005D4555"/>
    <w:rsid w:val="005D62E6"/>
    <w:rsid w:val="005E71E4"/>
    <w:rsid w:val="005F5A02"/>
    <w:rsid w:val="005F6198"/>
    <w:rsid w:val="006005DB"/>
    <w:rsid w:val="006035FE"/>
    <w:rsid w:val="00607FFD"/>
    <w:rsid w:val="00610AAD"/>
    <w:rsid w:val="00623F44"/>
    <w:rsid w:val="0062722B"/>
    <w:rsid w:val="006330E7"/>
    <w:rsid w:val="00633E83"/>
    <w:rsid w:val="00635B13"/>
    <w:rsid w:val="00640D75"/>
    <w:rsid w:val="0064196D"/>
    <w:rsid w:val="00646726"/>
    <w:rsid w:val="00653B27"/>
    <w:rsid w:val="006554D8"/>
    <w:rsid w:val="006647EC"/>
    <w:rsid w:val="00665A8F"/>
    <w:rsid w:val="00666CE5"/>
    <w:rsid w:val="0068057C"/>
    <w:rsid w:val="00680CB7"/>
    <w:rsid w:val="00692783"/>
    <w:rsid w:val="006938BD"/>
    <w:rsid w:val="006A21EC"/>
    <w:rsid w:val="006A311A"/>
    <w:rsid w:val="006A6E74"/>
    <w:rsid w:val="006B38ED"/>
    <w:rsid w:val="006B5728"/>
    <w:rsid w:val="006C3D1E"/>
    <w:rsid w:val="006C4310"/>
    <w:rsid w:val="006D5978"/>
    <w:rsid w:val="006F2EEE"/>
    <w:rsid w:val="0070249D"/>
    <w:rsid w:val="00703466"/>
    <w:rsid w:val="007067E0"/>
    <w:rsid w:val="00716329"/>
    <w:rsid w:val="007230C5"/>
    <w:rsid w:val="00725EB5"/>
    <w:rsid w:val="00733043"/>
    <w:rsid w:val="00734FD2"/>
    <w:rsid w:val="00735340"/>
    <w:rsid w:val="00736ADE"/>
    <w:rsid w:val="00741BA8"/>
    <w:rsid w:val="00742145"/>
    <w:rsid w:val="00746D0D"/>
    <w:rsid w:val="00754FE0"/>
    <w:rsid w:val="007609FC"/>
    <w:rsid w:val="00764FD1"/>
    <w:rsid w:val="007735B5"/>
    <w:rsid w:val="00775AEC"/>
    <w:rsid w:val="00776847"/>
    <w:rsid w:val="00777F33"/>
    <w:rsid w:val="00780645"/>
    <w:rsid w:val="00782F31"/>
    <w:rsid w:val="0078614D"/>
    <w:rsid w:val="00793FBA"/>
    <w:rsid w:val="007A5512"/>
    <w:rsid w:val="007B0239"/>
    <w:rsid w:val="007B3A5C"/>
    <w:rsid w:val="007C4520"/>
    <w:rsid w:val="007C4708"/>
    <w:rsid w:val="007C54A4"/>
    <w:rsid w:val="007D5B46"/>
    <w:rsid w:val="008026B6"/>
    <w:rsid w:val="00803D8F"/>
    <w:rsid w:val="00803FC3"/>
    <w:rsid w:val="00815BC5"/>
    <w:rsid w:val="00820551"/>
    <w:rsid w:val="008268AA"/>
    <w:rsid w:val="00837002"/>
    <w:rsid w:val="0085763F"/>
    <w:rsid w:val="00857D12"/>
    <w:rsid w:val="008617C1"/>
    <w:rsid w:val="00867B67"/>
    <w:rsid w:val="008733DD"/>
    <w:rsid w:val="00876B0D"/>
    <w:rsid w:val="00887C24"/>
    <w:rsid w:val="00895D8D"/>
    <w:rsid w:val="00896A5F"/>
    <w:rsid w:val="008A048F"/>
    <w:rsid w:val="008A29B2"/>
    <w:rsid w:val="008B1D03"/>
    <w:rsid w:val="008B5D2D"/>
    <w:rsid w:val="008F1961"/>
    <w:rsid w:val="00903364"/>
    <w:rsid w:val="00907411"/>
    <w:rsid w:val="00913C73"/>
    <w:rsid w:val="00914226"/>
    <w:rsid w:val="009156D3"/>
    <w:rsid w:val="00916323"/>
    <w:rsid w:val="00917152"/>
    <w:rsid w:val="009243B5"/>
    <w:rsid w:val="00927F14"/>
    <w:rsid w:val="009371CA"/>
    <w:rsid w:val="0094002E"/>
    <w:rsid w:val="009416CD"/>
    <w:rsid w:val="009458AB"/>
    <w:rsid w:val="009462C6"/>
    <w:rsid w:val="00950855"/>
    <w:rsid w:val="009559DF"/>
    <w:rsid w:val="00957A13"/>
    <w:rsid w:val="00961284"/>
    <w:rsid w:val="00972039"/>
    <w:rsid w:val="00975D1A"/>
    <w:rsid w:val="009803A2"/>
    <w:rsid w:val="00980C5A"/>
    <w:rsid w:val="0099049E"/>
    <w:rsid w:val="009930ED"/>
    <w:rsid w:val="009A7702"/>
    <w:rsid w:val="009B1A7F"/>
    <w:rsid w:val="009B30DC"/>
    <w:rsid w:val="009B55D9"/>
    <w:rsid w:val="009C0AFD"/>
    <w:rsid w:val="009C1CAE"/>
    <w:rsid w:val="009D6AFC"/>
    <w:rsid w:val="009E1B9E"/>
    <w:rsid w:val="009E3A52"/>
    <w:rsid w:val="009F10DF"/>
    <w:rsid w:val="00A07221"/>
    <w:rsid w:val="00A1132A"/>
    <w:rsid w:val="00A15B16"/>
    <w:rsid w:val="00A25FE0"/>
    <w:rsid w:val="00A27591"/>
    <w:rsid w:val="00A321CE"/>
    <w:rsid w:val="00A4416C"/>
    <w:rsid w:val="00A44EB4"/>
    <w:rsid w:val="00A549E5"/>
    <w:rsid w:val="00A638AD"/>
    <w:rsid w:val="00A746D6"/>
    <w:rsid w:val="00A85C5E"/>
    <w:rsid w:val="00A9141D"/>
    <w:rsid w:val="00A97E34"/>
    <w:rsid w:val="00AA0999"/>
    <w:rsid w:val="00AA13A6"/>
    <w:rsid w:val="00AB7046"/>
    <w:rsid w:val="00AC1B50"/>
    <w:rsid w:val="00AC2403"/>
    <w:rsid w:val="00AC5171"/>
    <w:rsid w:val="00AD3E4F"/>
    <w:rsid w:val="00AD40EF"/>
    <w:rsid w:val="00AD72F8"/>
    <w:rsid w:val="00AD7402"/>
    <w:rsid w:val="00AE35DA"/>
    <w:rsid w:val="00AE3F0E"/>
    <w:rsid w:val="00AE5B10"/>
    <w:rsid w:val="00AF191E"/>
    <w:rsid w:val="00B05CD3"/>
    <w:rsid w:val="00B1357B"/>
    <w:rsid w:val="00B13E50"/>
    <w:rsid w:val="00B17506"/>
    <w:rsid w:val="00B3241B"/>
    <w:rsid w:val="00B332CD"/>
    <w:rsid w:val="00B36256"/>
    <w:rsid w:val="00B417D1"/>
    <w:rsid w:val="00B44DE2"/>
    <w:rsid w:val="00B451EF"/>
    <w:rsid w:val="00B45C8D"/>
    <w:rsid w:val="00B56C44"/>
    <w:rsid w:val="00B62569"/>
    <w:rsid w:val="00B659EB"/>
    <w:rsid w:val="00B764BE"/>
    <w:rsid w:val="00B80DD7"/>
    <w:rsid w:val="00B82232"/>
    <w:rsid w:val="00B870C8"/>
    <w:rsid w:val="00B9780D"/>
    <w:rsid w:val="00BA05E8"/>
    <w:rsid w:val="00BA5077"/>
    <w:rsid w:val="00BA6CFF"/>
    <w:rsid w:val="00BB1956"/>
    <w:rsid w:val="00BB4F0B"/>
    <w:rsid w:val="00BD1EE4"/>
    <w:rsid w:val="00BD6BEB"/>
    <w:rsid w:val="00BD7BB2"/>
    <w:rsid w:val="00BE196C"/>
    <w:rsid w:val="00BE44B6"/>
    <w:rsid w:val="00BF415E"/>
    <w:rsid w:val="00C00A35"/>
    <w:rsid w:val="00C067EF"/>
    <w:rsid w:val="00C06D68"/>
    <w:rsid w:val="00C077B0"/>
    <w:rsid w:val="00C30B60"/>
    <w:rsid w:val="00C53A7E"/>
    <w:rsid w:val="00C60691"/>
    <w:rsid w:val="00C65180"/>
    <w:rsid w:val="00C7379E"/>
    <w:rsid w:val="00C7662A"/>
    <w:rsid w:val="00C77349"/>
    <w:rsid w:val="00C80E38"/>
    <w:rsid w:val="00C8198D"/>
    <w:rsid w:val="00C85998"/>
    <w:rsid w:val="00C94226"/>
    <w:rsid w:val="00CA1E82"/>
    <w:rsid w:val="00CA7DCA"/>
    <w:rsid w:val="00CC6273"/>
    <w:rsid w:val="00CD0E43"/>
    <w:rsid w:val="00D11293"/>
    <w:rsid w:val="00D1303D"/>
    <w:rsid w:val="00D21EB1"/>
    <w:rsid w:val="00D22723"/>
    <w:rsid w:val="00D27EF7"/>
    <w:rsid w:val="00D36481"/>
    <w:rsid w:val="00D42A4D"/>
    <w:rsid w:val="00D4414D"/>
    <w:rsid w:val="00D47F17"/>
    <w:rsid w:val="00D516CD"/>
    <w:rsid w:val="00D60EC1"/>
    <w:rsid w:val="00D65E2D"/>
    <w:rsid w:val="00D7069F"/>
    <w:rsid w:val="00D721C2"/>
    <w:rsid w:val="00D75B6D"/>
    <w:rsid w:val="00D763F1"/>
    <w:rsid w:val="00D82929"/>
    <w:rsid w:val="00D8507B"/>
    <w:rsid w:val="00D86D91"/>
    <w:rsid w:val="00D91361"/>
    <w:rsid w:val="00D95CC0"/>
    <w:rsid w:val="00DA446B"/>
    <w:rsid w:val="00DB349B"/>
    <w:rsid w:val="00DB415C"/>
    <w:rsid w:val="00DB69B2"/>
    <w:rsid w:val="00DC645E"/>
    <w:rsid w:val="00DE3446"/>
    <w:rsid w:val="00DE4AD1"/>
    <w:rsid w:val="00DE5BAA"/>
    <w:rsid w:val="00DE5FB9"/>
    <w:rsid w:val="00DE6522"/>
    <w:rsid w:val="00DF25E8"/>
    <w:rsid w:val="00E11E90"/>
    <w:rsid w:val="00E156D9"/>
    <w:rsid w:val="00E416FE"/>
    <w:rsid w:val="00E4328F"/>
    <w:rsid w:val="00E54949"/>
    <w:rsid w:val="00E61B1A"/>
    <w:rsid w:val="00E61BFE"/>
    <w:rsid w:val="00E77A0E"/>
    <w:rsid w:val="00E84645"/>
    <w:rsid w:val="00E910EF"/>
    <w:rsid w:val="00EA3FF3"/>
    <w:rsid w:val="00EA44D3"/>
    <w:rsid w:val="00EB2760"/>
    <w:rsid w:val="00EC27D1"/>
    <w:rsid w:val="00EC2943"/>
    <w:rsid w:val="00ED46BB"/>
    <w:rsid w:val="00EE53E9"/>
    <w:rsid w:val="00EE7367"/>
    <w:rsid w:val="00EF1EFF"/>
    <w:rsid w:val="00F06BDA"/>
    <w:rsid w:val="00F1328B"/>
    <w:rsid w:val="00F16817"/>
    <w:rsid w:val="00F1705E"/>
    <w:rsid w:val="00F21A95"/>
    <w:rsid w:val="00F231E7"/>
    <w:rsid w:val="00F26E86"/>
    <w:rsid w:val="00F326F4"/>
    <w:rsid w:val="00F46914"/>
    <w:rsid w:val="00F54723"/>
    <w:rsid w:val="00F57B64"/>
    <w:rsid w:val="00F6550A"/>
    <w:rsid w:val="00F67DA8"/>
    <w:rsid w:val="00F840D9"/>
    <w:rsid w:val="00F96D23"/>
    <w:rsid w:val="00FA66B1"/>
    <w:rsid w:val="00FB15A6"/>
    <w:rsid w:val="00FE16D8"/>
    <w:rsid w:val="00FF354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99C718F-3037-426F-8CDF-6C9C8F38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2C4F"/>
    <w:pPr>
      <w:spacing w:after="0" w:line="300" w:lineRule="atLeast"/>
    </w:pPr>
    <w:rPr>
      <w:rFonts w:ascii="Arial" w:eastAsia="Times New Roman" w:hAnsi="Arial" w:cs="Times New Roman"/>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B6D"/>
    <w:pPr>
      <w:autoSpaceDE w:val="0"/>
      <w:autoSpaceDN w:val="0"/>
      <w:adjustRightInd w:val="0"/>
      <w:spacing w:after="0" w:line="240" w:lineRule="auto"/>
    </w:pPr>
    <w:rPr>
      <w:rFonts w:ascii="Times New Roman" w:hAnsi="Times New Roman" w:cs="Times New Roman"/>
      <w:color w:val="000000"/>
    </w:rPr>
  </w:style>
  <w:style w:type="character" w:styleId="Hyperlink">
    <w:name w:val="Hyperlink"/>
    <w:basedOn w:val="DefaultParagraphFont"/>
    <w:uiPriority w:val="99"/>
    <w:rsid w:val="0047509D"/>
    <w:rPr>
      <w:color w:val="0000FF" w:themeColor="hyperlink"/>
      <w:u w:val="single"/>
    </w:rPr>
  </w:style>
  <w:style w:type="paragraph" w:styleId="BalloonText">
    <w:name w:val="Balloon Text"/>
    <w:basedOn w:val="Normal"/>
    <w:link w:val="BalloonTextChar"/>
    <w:uiPriority w:val="99"/>
    <w:unhideWhenUsed/>
    <w:rsid w:val="00895D8D"/>
    <w:pPr>
      <w:spacing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895D8D"/>
    <w:rPr>
      <w:rFonts w:ascii="Tahoma" w:hAnsi="Tahoma" w:cs="Tahoma"/>
      <w:sz w:val="16"/>
      <w:szCs w:val="16"/>
    </w:rPr>
  </w:style>
  <w:style w:type="paragraph" w:styleId="PlainText">
    <w:name w:val="Plain Text"/>
    <w:basedOn w:val="Normal"/>
    <w:link w:val="PlainTextChar"/>
    <w:uiPriority w:val="99"/>
    <w:unhideWhenUsed/>
    <w:rsid w:val="00895D8D"/>
    <w:pPr>
      <w:spacing w:line="240" w:lineRule="auto"/>
    </w:pPr>
    <w:rPr>
      <w:rFonts w:ascii="Consolas" w:eastAsiaTheme="minorHAnsi" w:hAnsi="Consolas" w:cstheme="minorBidi"/>
      <w:szCs w:val="21"/>
      <w:lang w:eastAsia="en-US"/>
    </w:rPr>
  </w:style>
  <w:style w:type="character" w:customStyle="1" w:styleId="PlainTextChar">
    <w:name w:val="Plain Text Char"/>
    <w:basedOn w:val="DefaultParagraphFont"/>
    <w:link w:val="PlainText"/>
    <w:uiPriority w:val="99"/>
    <w:rsid w:val="00895D8D"/>
    <w:rPr>
      <w:rFonts w:ascii="Consolas" w:hAnsi="Consolas"/>
      <w:sz w:val="21"/>
      <w:szCs w:val="21"/>
    </w:rPr>
  </w:style>
  <w:style w:type="table" w:styleId="TableGrid">
    <w:name w:val="Table Grid"/>
    <w:basedOn w:val="TableNormal"/>
    <w:uiPriority w:val="59"/>
    <w:rsid w:val="00895D8D"/>
    <w:pPr>
      <w:spacing w:after="0" w:line="240" w:lineRule="auto"/>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895D8D"/>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895D8D"/>
    <w:pPr>
      <w:tabs>
        <w:tab w:val="center" w:pos="4513"/>
        <w:tab w:val="right" w:pos="9026"/>
      </w:tabs>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5D8D"/>
    <w:rPr>
      <w:rFonts w:asciiTheme="minorHAnsi" w:hAnsiTheme="minorHAnsi"/>
      <w:sz w:val="22"/>
      <w:szCs w:val="22"/>
    </w:rPr>
  </w:style>
  <w:style w:type="paragraph" w:styleId="Footer">
    <w:name w:val="footer"/>
    <w:basedOn w:val="Normal"/>
    <w:link w:val="FooterChar"/>
    <w:uiPriority w:val="99"/>
    <w:unhideWhenUsed/>
    <w:rsid w:val="00895D8D"/>
    <w:pPr>
      <w:tabs>
        <w:tab w:val="center" w:pos="4513"/>
        <w:tab w:val="right" w:pos="9026"/>
      </w:tabs>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5D8D"/>
    <w:rPr>
      <w:rFonts w:asciiTheme="minorHAnsi" w:hAnsiTheme="minorHAnsi"/>
      <w:sz w:val="22"/>
      <w:szCs w:val="22"/>
    </w:rPr>
  </w:style>
  <w:style w:type="character" w:styleId="PageNumber">
    <w:name w:val="page number"/>
    <w:basedOn w:val="DefaultParagraphFont"/>
    <w:rsid w:val="00950855"/>
  </w:style>
  <w:style w:type="paragraph" w:styleId="NormalWeb">
    <w:name w:val="Normal (Web)"/>
    <w:basedOn w:val="Normal"/>
    <w:uiPriority w:val="99"/>
    <w:unhideWhenUsed/>
    <w:rsid w:val="00D21EB1"/>
    <w:pPr>
      <w:spacing w:before="100" w:beforeAutospacing="1" w:after="100" w:afterAutospacing="1" w:line="240" w:lineRule="auto"/>
    </w:pPr>
    <w:rPr>
      <w:rFonts w:ascii="Times New Roman" w:eastAsiaTheme="minorEastAsia" w:hAnsi="Times New Roman"/>
      <w:sz w:val="24"/>
    </w:rPr>
  </w:style>
  <w:style w:type="character" w:styleId="CommentReference">
    <w:name w:val="annotation reference"/>
    <w:basedOn w:val="DefaultParagraphFont"/>
    <w:rsid w:val="005C40CC"/>
    <w:rPr>
      <w:sz w:val="16"/>
      <w:szCs w:val="16"/>
    </w:rPr>
  </w:style>
  <w:style w:type="paragraph" w:styleId="CommentText">
    <w:name w:val="annotation text"/>
    <w:basedOn w:val="Normal"/>
    <w:link w:val="CommentTextChar"/>
    <w:rsid w:val="005C40CC"/>
    <w:pPr>
      <w:spacing w:line="240" w:lineRule="auto"/>
    </w:pPr>
    <w:rPr>
      <w:sz w:val="20"/>
      <w:szCs w:val="20"/>
    </w:rPr>
  </w:style>
  <w:style w:type="character" w:customStyle="1" w:styleId="CommentTextChar">
    <w:name w:val="Comment Text Char"/>
    <w:basedOn w:val="DefaultParagraphFont"/>
    <w:link w:val="CommentText"/>
    <w:rsid w:val="005C40C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5C40CC"/>
    <w:rPr>
      <w:b/>
      <w:bCs/>
    </w:rPr>
  </w:style>
  <w:style w:type="character" w:customStyle="1" w:styleId="CommentSubjectChar">
    <w:name w:val="Comment Subject Char"/>
    <w:basedOn w:val="CommentTextChar"/>
    <w:link w:val="CommentSubject"/>
    <w:rsid w:val="005C40CC"/>
    <w:rPr>
      <w:rFonts w:ascii="Arial" w:eastAsia="Times New Roman" w:hAnsi="Arial" w:cs="Times New Roman"/>
      <w:b/>
      <w:bCs/>
      <w:sz w:val="20"/>
      <w:szCs w:val="20"/>
      <w:lang w:eastAsia="en-GB"/>
    </w:rPr>
  </w:style>
  <w:style w:type="paragraph" w:styleId="DocumentMap">
    <w:name w:val="Document Map"/>
    <w:basedOn w:val="Normal"/>
    <w:link w:val="DocumentMapChar"/>
    <w:rsid w:val="00F21A95"/>
    <w:pPr>
      <w:spacing w:line="240" w:lineRule="auto"/>
    </w:pPr>
    <w:rPr>
      <w:rFonts w:ascii="Lucida Grande" w:hAnsi="Lucida Grande"/>
      <w:sz w:val="24"/>
    </w:rPr>
  </w:style>
  <w:style w:type="character" w:customStyle="1" w:styleId="DocumentMapChar">
    <w:name w:val="Document Map Char"/>
    <w:basedOn w:val="DefaultParagraphFont"/>
    <w:link w:val="DocumentMap"/>
    <w:rsid w:val="00F21A95"/>
    <w:rPr>
      <w:rFonts w:ascii="Lucida Grande" w:eastAsia="Times New Roman" w:hAnsi="Lucida Grande" w:cs="Times New Roman"/>
      <w:lang w:eastAsia="en-GB"/>
    </w:rPr>
  </w:style>
  <w:style w:type="paragraph" w:styleId="Caption">
    <w:name w:val="caption"/>
    <w:basedOn w:val="Normal"/>
    <w:next w:val="Normal"/>
    <w:rsid w:val="00E910EF"/>
    <w:pPr>
      <w:spacing w:after="200" w:line="240" w:lineRule="auto"/>
    </w:pPr>
    <w:rPr>
      <w:b/>
      <w:bCs/>
      <w:color w:val="4F81BD" w:themeColor="accent1"/>
      <w:sz w:val="18"/>
      <w:szCs w:val="18"/>
    </w:rPr>
  </w:style>
  <w:style w:type="character" w:styleId="FollowedHyperlink">
    <w:name w:val="FollowedHyperlink"/>
    <w:basedOn w:val="DefaultParagraphFont"/>
    <w:rsid w:val="00123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28316">
      <w:bodyDiv w:val="1"/>
      <w:marLeft w:val="0"/>
      <w:marRight w:val="0"/>
      <w:marTop w:val="0"/>
      <w:marBottom w:val="0"/>
      <w:divBdr>
        <w:top w:val="none" w:sz="0" w:space="0" w:color="auto"/>
        <w:left w:val="none" w:sz="0" w:space="0" w:color="auto"/>
        <w:bottom w:val="none" w:sz="0" w:space="0" w:color="auto"/>
        <w:right w:val="none" w:sz="0" w:space="0" w:color="auto"/>
      </w:divBdr>
    </w:div>
    <w:div w:id="2088336781">
      <w:bodyDiv w:val="1"/>
      <w:marLeft w:val="0"/>
      <w:marRight w:val="0"/>
      <w:marTop w:val="0"/>
      <w:marBottom w:val="0"/>
      <w:divBdr>
        <w:top w:val="none" w:sz="0" w:space="0" w:color="auto"/>
        <w:left w:val="none" w:sz="0" w:space="0" w:color="auto"/>
        <w:bottom w:val="none" w:sz="0" w:space="0" w:color="auto"/>
        <w:right w:val="none" w:sz="0" w:space="0" w:color="auto"/>
      </w:divBdr>
      <w:divsChild>
        <w:div w:id="1730420815">
          <w:marLeft w:val="0"/>
          <w:marRight w:val="0"/>
          <w:marTop w:val="0"/>
          <w:marBottom w:val="0"/>
          <w:divBdr>
            <w:top w:val="none" w:sz="0" w:space="0" w:color="auto"/>
            <w:left w:val="none" w:sz="0" w:space="0" w:color="auto"/>
            <w:bottom w:val="none" w:sz="0" w:space="0" w:color="auto"/>
            <w:right w:val="none" w:sz="0" w:space="0" w:color="auto"/>
          </w:divBdr>
          <w:divsChild>
            <w:div w:id="419565768">
              <w:marLeft w:val="2050"/>
              <w:marRight w:val="0"/>
              <w:marTop w:val="0"/>
              <w:marBottom w:val="0"/>
              <w:divBdr>
                <w:top w:val="none" w:sz="0" w:space="0" w:color="auto"/>
                <w:left w:val="none" w:sz="0" w:space="0" w:color="auto"/>
                <w:bottom w:val="none" w:sz="0" w:space="0" w:color="auto"/>
                <w:right w:val="none" w:sz="0" w:space="0" w:color="auto"/>
              </w:divBdr>
              <w:divsChild>
                <w:div w:id="92630625">
                  <w:marLeft w:val="0"/>
                  <w:marRight w:val="0"/>
                  <w:marTop w:val="0"/>
                  <w:marBottom w:val="0"/>
                  <w:divBdr>
                    <w:top w:val="none" w:sz="0" w:space="0" w:color="auto"/>
                    <w:left w:val="single" w:sz="36" w:space="0" w:color="EEEEEE"/>
                    <w:bottom w:val="none" w:sz="0" w:space="0" w:color="auto"/>
                    <w:right w:val="single" w:sz="36" w:space="0" w:color="EEEEEE"/>
                  </w:divBdr>
                  <w:divsChild>
                    <w:div w:id="2122802066">
                      <w:marLeft w:val="0"/>
                      <w:marRight w:val="2350"/>
                      <w:marTop w:val="0"/>
                      <w:marBottom w:val="0"/>
                      <w:divBdr>
                        <w:top w:val="none" w:sz="0" w:space="0" w:color="auto"/>
                        <w:left w:val="none" w:sz="0" w:space="0" w:color="auto"/>
                        <w:bottom w:val="none" w:sz="0" w:space="0" w:color="auto"/>
                        <w:right w:val="none" w:sz="0" w:space="0" w:color="auto"/>
                      </w:divBdr>
                      <w:divsChild>
                        <w:div w:id="2026863911">
                          <w:marLeft w:val="0"/>
                          <w:marRight w:val="0"/>
                          <w:marTop w:val="0"/>
                          <w:marBottom w:val="0"/>
                          <w:divBdr>
                            <w:top w:val="none" w:sz="0" w:space="0" w:color="auto"/>
                            <w:left w:val="none" w:sz="0" w:space="0" w:color="auto"/>
                            <w:bottom w:val="none" w:sz="0" w:space="0" w:color="auto"/>
                            <w:right w:val="none" w:sz="0" w:space="0" w:color="auto"/>
                          </w:divBdr>
                          <w:divsChild>
                            <w:div w:id="1991902308">
                              <w:marLeft w:val="0"/>
                              <w:marRight w:val="0"/>
                              <w:marTop w:val="0"/>
                              <w:marBottom w:val="0"/>
                              <w:divBdr>
                                <w:top w:val="none" w:sz="0" w:space="0" w:color="auto"/>
                                <w:left w:val="none" w:sz="0" w:space="0" w:color="auto"/>
                                <w:bottom w:val="none" w:sz="0" w:space="0" w:color="auto"/>
                                <w:right w:val="none" w:sz="0" w:space="0" w:color="auto"/>
                              </w:divBdr>
                              <w:divsChild>
                                <w:div w:id="857621205">
                                  <w:marLeft w:val="0"/>
                                  <w:marRight w:val="0"/>
                                  <w:marTop w:val="0"/>
                                  <w:marBottom w:val="0"/>
                                  <w:divBdr>
                                    <w:top w:val="none" w:sz="0" w:space="0" w:color="auto"/>
                                    <w:left w:val="none" w:sz="0" w:space="0" w:color="auto"/>
                                    <w:bottom w:val="none" w:sz="0" w:space="0" w:color="auto"/>
                                    <w:right w:val="none" w:sz="0" w:space="0" w:color="auto"/>
                                  </w:divBdr>
                                  <w:divsChild>
                                    <w:div w:id="1858233672">
                                      <w:marLeft w:val="0"/>
                                      <w:marRight w:val="0"/>
                                      <w:marTop w:val="0"/>
                                      <w:marBottom w:val="0"/>
                                      <w:divBdr>
                                        <w:top w:val="none" w:sz="0" w:space="0" w:color="auto"/>
                                        <w:left w:val="none" w:sz="0" w:space="0" w:color="auto"/>
                                        <w:bottom w:val="none" w:sz="0" w:space="0" w:color="auto"/>
                                        <w:right w:val="none" w:sz="0" w:space="0" w:color="auto"/>
                                      </w:divBdr>
                                      <w:divsChild>
                                        <w:div w:id="727607346">
                                          <w:marLeft w:val="0"/>
                                          <w:marRight w:val="0"/>
                                          <w:marTop w:val="0"/>
                                          <w:marBottom w:val="0"/>
                                          <w:divBdr>
                                            <w:top w:val="none" w:sz="0" w:space="0" w:color="auto"/>
                                            <w:left w:val="none" w:sz="0" w:space="0" w:color="auto"/>
                                            <w:bottom w:val="none" w:sz="0" w:space="0" w:color="auto"/>
                                            <w:right w:val="none" w:sz="0" w:space="0" w:color="auto"/>
                                          </w:divBdr>
                                          <w:divsChild>
                                            <w:div w:id="366948903">
                                              <w:marLeft w:val="0"/>
                                              <w:marRight w:val="0"/>
                                              <w:marTop w:val="0"/>
                                              <w:marBottom w:val="0"/>
                                              <w:divBdr>
                                                <w:top w:val="none" w:sz="0" w:space="0" w:color="auto"/>
                                                <w:left w:val="none" w:sz="0" w:space="0" w:color="auto"/>
                                                <w:bottom w:val="none" w:sz="0" w:space="0" w:color="auto"/>
                                                <w:right w:val="none" w:sz="0" w:space="0" w:color="auto"/>
                                              </w:divBdr>
                                              <w:divsChild>
                                                <w:div w:id="1087381410">
                                                  <w:marLeft w:val="0"/>
                                                  <w:marRight w:val="0"/>
                                                  <w:marTop w:val="0"/>
                                                  <w:marBottom w:val="0"/>
                                                  <w:divBdr>
                                                    <w:top w:val="none" w:sz="0" w:space="0" w:color="auto"/>
                                                    <w:left w:val="none" w:sz="0" w:space="0" w:color="auto"/>
                                                    <w:bottom w:val="none" w:sz="0" w:space="0" w:color="auto"/>
                                                    <w:right w:val="none" w:sz="0" w:space="0" w:color="auto"/>
                                                  </w:divBdr>
                                                  <w:divsChild>
                                                    <w:div w:id="2071228602">
                                                      <w:marLeft w:val="0"/>
                                                      <w:marRight w:val="0"/>
                                                      <w:marTop w:val="0"/>
                                                      <w:marBottom w:val="0"/>
                                                      <w:divBdr>
                                                        <w:top w:val="none" w:sz="0" w:space="0" w:color="auto"/>
                                                        <w:left w:val="none" w:sz="0" w:space="0" w:color="auto"/>
                                                        <w:bottom w:val="none" w:sz="0" w:space="0" w:color="auto"/>
                                                        <w:right w:val="none" w:sz="0" w:space="0" w:color="auto"/>
                                                      </w:divBdr>
                                                      <w:divsChild>
                                                        <w:div w:id="423232482">
                                                          <w:marLeft w:val="0"/>
                                                          <w:marRight w:val="-90"/>
                                                          <w:marTop w:val="0"/>
                                                          <w:marBottom w:val="0"/>
                                                          <w:divBdr>
                                                            <w:top w:val="none" w:sz="0" w:space="0" w:color="auto"/>
                                                            <w:left w:val="none" w:sz="0" w:space="0" w:color="auto"/>
                                                            <w:bottom w:val="none" w:sz="0" w:space="0" w:color="auto"/>
                                                            <w:right w:val="none" w:sz="0" w:space="0" w:color="auto"/>
                                                          </w:divBdr>
                                                          <w:divsChild>
                                                            <w:div w:id="134759820">
                                                              <w:marLeft w:val="-90"/>
                                                              <w:marRight w:val="0"/>
                                                              <w:marTop w:val="0"/>
                                                              <w:marBottom w:val="0"/>
                                                              <w:divBdr>
                                                                <w:top w:val="none" w:sz="0" w:space="0" w:color="auto"/>
                                                                <w:left w:val="none" w:sz="0" w:space="0" w:color="auto"/>
                                                                <w:bottom w:val="none" w:sz="0" w:space="0" w:color="auto"/>
                                                                <w:right w:val="none" w:sz="0" w:space="0" w:color="auto"/>
                                                              </w:divBdr>
                                                              <w:divsChild>
                                                                <w:div w:id="1920089960">
                                                                  <w:marLeft w:val="0"/>
                                                                  <w:marRight w:val="0"/>
                                                                  <w:marTop w:val="0"/>
                                                                  <w:marBottom w:val="0"/>
                                                                  <w:divBdr>
                                                                    <w:top w:val="single" w:sz="2" w:space="8" w:color="3C6B93"/>
                                                                    <w:left w:val="single" w:sz="2" w:space="8" w:color="3C6B93"/>
                                                                    <w:bottom w:val="single" w:sz="2" w:space="0" w:color="3C6B93"/>
                                                                    <w:right w:val="single" w:sz="2" w:space="0" w:color="3C6B93"/>
                                                                  </w:divBdr>
                                                                  <w:divsChild>
                                                                    <w:div w:id="2014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livingandtheoldercommunity.co.uk"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ydk:Desktop:Work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OME2\VOL1\USERS\KU41874\Questionnaire%20responses%20June%2020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pieChart>
        <c:varyColors val="1"/>
        <c:ser>
          <c:idx val="0"/>
          <c:order val="0"/>
          <c:dPt>
            <c:idx val="1"/>
            <c:bubble3D val="0"/>
            <c:spPr>
              <a:solidFill>
                <a:schemeClr val="accent6">
                  <a:lumMod val="60000"/>
                  <a:lumOff val="40000"/>
                </a:schemeClr>
              </a:solidFill>
            </c:spPr>
            <c:extLst>
              <c:ext xmlns:c16="http://schemas.microsoft.com/office/drawing/2014/chart" uri="{C3380CC4-5D6E-409C-BE32-E72D297353CC}">
                <c16:uniqueId val="{00000001-190E-4C95-B264-12A0882FEBB6}"/>
              </c:ext>
            </c:extLst>
          </c:dPt>
          <c:dPt>
            <c:idx val="2"/>
            <c:bubble3D val="0"/>
            <c:spPr>
              <a:solidFill>
                <a:schemeClr val="accent4"/>
              </a:solidFill>
            </c:spPr>
            <c:extLst>
              <c:ext xmlns:c16="http://schemas.microsoft.com/office/drawing/2014/chart" uri="{C3380CC4-5D6E-409C-BE32-E72D297353CC}">
                <c16:uniqueId val="{00000003-190E-4C95-B264-12A0882FEBB6}"/>
              </c:ext>
            </c:extLst>
          </c:dPt>
          <c:dPt>
            <c:idx val="3"/>
            <c:bubble3D val="0"/>
            <c:spPr>
              <a:solidFill>
                <a:schemeClr val="accent5">
                  <a:lumMod val="75000"/>
                </a:schemeClr>
              </a:solidFill>
            </c:spPr>
            <c:extLst>
              <c:ext xmlns:c16="http://schemas.microsoft.com/office/drawing/2014/chart" uri="{C3380CC4-5D6E-409C-BE32-E72D297353CC}">
                <c16:uniqueId val="{00000005-190E-4C95-B264-12A0882FEBB6}"/>
              </c:ext>
            </c:extLst>
          </c:dPt>
          <c:dPt>
            <c:idx val="4"/>
            <c:bubble3D val="0"/>
            <c:spPr>
              <a:solidFill>
                <a:schemeClr val="tx2">
                  <a:lumMod val="60000"/>
                  <a:lumOff val="40000"/>
                </a:schemeClr>
              </a:solidFill>
            </c:spPr>
            <c:extLst>
              <c:ext xmlns:c16="http://schemas.microsoft.com/office/drawing/2014/chart" uri="{C3380CC4-5D6E-409C-BE32-E72D297353CC}">
                <c16:uniqueId val="{00000007-190E-4C95-B264-12A0882FEBB6}"/>
              </c:ext>
            </c:extLst>
          </c:dPt>
          <c:dLbls>
            <c:spPr>
              <a:noFill/>
              <a:ln>
                <a:noFill/>
              </a:ln>
              <a:effectLst/>
            </c:spPr>
            <c:txPr>
              <a:bodyPr/>
              <a:lstStyle/>
              <a:p>
                <a:pPr>
                  <a:defRPr lang="en-GB" sz="8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Sheet1!$B$12:$B$17</c:f>
              <c:strCache>
                <c:ptCount val="6"/>
                <c:pt idx="0">
                  <c:v>Upper nonmanual</c:v>
                </c:pt>
                <c:pt idx="1">
                  <c:v>Lower nonmanual</c:v>
                </c:pt>
                <c:pt idx="2">
                  <c:v>Upper manual</c:v>
                </c:pt>
                <c:pt idx="3">
                  <c:v>Lower manual</c:v>
                </c:pt>
                <c:pt idx="4">
                  <c:v>homemaker</c:v>
                </c:pt>
                <c:pt idx="5">
                  <c:v>no data</c:v>
                </c:pt>
              </c:strCache>
            </c:strRef>
          </c:cat>
          <c:val>
            <c:numRef>
              <c:f>Sheet1!$C$12:$C$17</c:f>
              <c:numCache>
                <c:formatCode>General</c:formatCode>
                <c:ptCount val="6"/>
                <c:pt idx="0">
                  <c:v>8</c:v>
                </c:pt>
                <c:pt idx="1">
                  <c:v>8</c:v>
                </c:pt>
                <c:pt idx="2">
                  <c:v>2</c:v>
                </c:pt>
                <c:pt idx="3">
                  <c:v>3</c:v>
                </c:pt>
                <c:pt idx="4">
                  <c:v>9</c:v>
                </c:pt>
                <c:pt idx="5">
                  <c:v>8</c:v>
                </c:pt>
              </c:numCache>
            </c:numRef>
          </c:val>
          <c:extLst>
            <c:ext xmlns:c16="http://schemas.microsoft.com/office/drawing/2014/chart" uri="{C3380CC4-5D6E-409C-BE32-E72D297353CC}">
              <c16:uniqueId val="{00000008-190E-4C95-B264-12A0882FEBB6}"/>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GB" sz="800"/>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21191523853635899"/>
          <c:y val="2.4242424242424201E-2"/>
          <c:w val="0.48522193916936801"/>
          <c:h val="0.58649367692674803"/>
        </c:manualLayout>
      </c:layout>
      <c:barChart>
        <c:barDir val="col"/>
        <c:grouping val="clustered"/>
        <c:varyColors val="0"/>
        <c:ser>
          <c:idx val="0"/>
          <c:order val="0"/>
          <c:tx>
            <c:strRef>
              <c:f>Sheet1!$G$2</c:f>
              <c:strCache>
                <c:ptCount val="1"/>
                <c:pt idx="0">
                  <c:v>Below 55</c:v>
                </c:pt>
              </c:strCache>
            </c:strRef>
          </c:tx>
          <c:invertIfNegative val="0"/>
          <c:cat>
            <c:strRef>
              <c:f>Sheet1!$H$1:$M$1</c:f>
              <c:strCache>
                <c:ptCount val="6"/>
                <c:pt idx="0">
                  <c:v>Lower Non-manual</c:v>
                </c:pt>
                <c:pt idx="1">
                  <c:v>Upper Non-manual</c:v>
                </c:pt>
                <c:pt idx="2">
                  <c:v>Upper manual</c:v>
                </c:pt>
                <c:pt idx="3">
                  <c:v>Lower manual</c:v>
                </c:pt>
                <c:pt idx="4">
                  <c:v>Housewife</c:v>
                </c:pt>
                <c:pt idx="5">
                  <c:v>Retired</c:v>
                </c:pt>
              </c:strCache>
            </c:strRef>
          </c:cat>
          <c:val>
            <c:numRef>
              <c:f>Sheet1!$H$2:$M$2</c:f>
              <c:numCache>
                <c:formatCode>General</c:formatCode>
                <c:ptCount val="6"/>
                <c:pt idx="0">
                  <c:v>2</c:v>
                </c:pt>
                <c:pt idx="1">
                  <c:v>1</c:v>
                </c:pt>
                <c:pt idx="4">
                  <c:v>1</c:v>
                </c:pt>
              </c:numCache>
            </c:numRef>
          </c:val>
          <c:extLst>
            <c:ext xmlns:c16="http://schemas.microsoft.com/office/drawing/2014/chart" uri="{C3380CC4-5D6E-409C-BE32-E72D297353CC}">
              <c16:uniqueId val="{00000000-BC3D-43C7-8F16-1FA3BEE1FD9A}"/>
            </c:ext>
          </c:extLst>
        </c:ser>
        <c:ser>
          <c:idx val="1"/>
          <c:order val="1"/>
          <c:tx>
            <c:strRef>
              <c:f>Sheet1!$G$3</c:f>
              <c:strCache>
                <c:ptCount val="1"/>
                <c:pt idx="0">
                  <c:v>55-64</c:v>
                </c:pt>
              </c:strCache>
            </c:strRef>
          </c:tx>
          <c:invertIfNegative val="0"/>
          <c:cat>
            <c:strRef>
              <c:f>Sheet1!$H$1:$M$1</c:f>
              <c:strCache>
                <c:ptCount val="6"/>
                <c:pt idx="0">
                  <c:v>Lower Non-manual</c:v>
                </c:pt>
                <c:pt idx="1">
                  <c:v>Upper Non-manual</c:v>
                </c:pt>
                <c:pt idx="2">
                  <c:v>Upper manual</c:v>
                </c:pt>
                <c:pt idx="3">
                  <c:v>Lower manual</c:v>
                </c:pt>
                <c:pt idx="4">
                  <c:v>Housewife</c:v>
                </c:pt>
                <c:pt idx="5">
                  <c:v>Retired</c:v>
                </c:pt>
              </c:strCache>
            </c:strRef>
          </c:cat>
          <c:val>
            <c:numRef>
              <c:f>Sheet1!$H$3:$M$3</c:f>
              <c:numCache>
                <c:formatCode>General</c:formatCode>
                <c:ptCount val="6"/>
                <c:pt idx="0">
                  <c:v>16</c:v>
                </c:pt>
                <c:pt idx="1">
                  <c:v>9</c:v>
                </c:pt>
                <c:pt idx="2">
                  <c:v>1</c:v>
                </c:pt>
                <c:pt idx="3">
                  <c:v>1</c:v>
                </c:pt>
                <c:pt idx="4">
                  <c:v>1</c:v>
                </c:pt>
                <c:pt idx="5">
                  <c:v>1</c:v>
                </c:pt>
              </c:numCache>
            </c:numRef>
          </c:val>
          <c:extLst>
            <c:ext xmlns:c16="http://schemas.microsoft.com/office/drawing/2014/chart" uri="{C3380CC4-5D6E-409C-BE32-E72D297353CC}">
              <c16:uniqueId val="{00000001-BC3D-43C7-8F16-1FA3BEE1FD9A}"/>
            </c:ext>
          </c:extLst>
        </c:ser>
        <c:ser>
          <c:idx val="2"/>
          <c:order val="2"/>
          <c:tx>
            <c:strRef>
              <c:f>Sheet1!$G$4</c:f>
              <c:strCache>
                <c:ptCount val="1"/>
                <c:pt idx="0">
                  <c:v>65-74</c:v>
                </c:pt>
              </c:strCache>
            </c:strRef>
          </c:tx>
          <c:invertIfNegative val="0"/>
          <c:cat>
            <c:strRef>
              <c:f>Sheet1!$H$1:$M$1</c:f>
              <c:strCache>
                <c:ptCount val="6"/>
                <c:pt idx="0">
                  <c:v>Lower Non-manual</c:v>
                </c:pt>
                <c:pt idx="1">
                  <c:v>Upper Non-manual</c:v>
                </c:pt>
                <c:pt idx="2">
                  <c:v>Upper manual</c:v>
                </c:pt>
                <c:pt idx="3">
                  <c:v>Lower manual</c:v>
                </c:pt>
                <c:pt idx="4">
                  <c:v>Housewife</c:v>
                </c:pt>
                <c:pt idx="5">
                  <c:v>Retired</c:v>
                </c:pt>
              </c:strCache>
            </c:strRef>
          </c:cat>
          <c:val>
            <c:numRef>
              <c:f>Sheet1!$H$4:$M$4</c:f>
              <c:numCache>
                <c:formatCode>General</c:formatCode>
                <c:ptCount val="6"/>
                <c:pt idx="0">
                  <c:v>78</c:v>
                </c:pt>
                <c:pt idx="1">
                  <c:v>42</c:v>
                </c:pt>
                <c:pt idx="2">
                  <c:v>2</c:v>
                </c:pt>
                <c:pt idx="3">
                  <c:v>3</c:v>
                </c:pt>
                <c:pt idx="4">
                  <c:v>8</c:v>
                </c:pt>
                <c:pt idx="5">
                  <c:v>10</c:v>
                </c:pt>
              </c:numCache>
            </c:numRef>
          </c:val>
          <c:extLst>
            <c:ext xmlns:c16="http://schemas.microsoft.com/office/drawing/2014/chart" uri="{C3380CC4-5D6E-409C-BE32-E72D297353CC}">
              <c16:uniqueId val="{00000002-BC3D-43C7-8F16-1FA3BEE1FD9A}"/>
            </c:ext>
          </c:extLst>
        </c:ser>
        <c:ser>
          <c:idx val="3"/>
          <c:order val="3"/>
          <c:tx>
            <c:strRef>
              <c:f>Sheet1!$G$5</c:f>
              <c:strCache>
                <c:ptCount val="1"/>
                <c:pt idx="0">
                  <c:v>75-84</c:v>
                </c:pt>
              </c:strCache>
            </c:strRef>
          </c:tx>
          <c:invertIfNegative val="0"/>
          <c:cat>
            <c:strRef>
              <c:f>Sheet1!$H$1:$M$1</c:f>
              <c:strCache>
                <c:ptCount val="6"/>
                <c:pt idx="0">
                  <c:v>Lower Non-manual</c:v>
                </c:pt>
                <c:pt idx="1">
                  <c:v>Upper Non-manual</c:v>
                </c:pt>
                <c:pt idx="2">
                  <c:v>Upper manual</c:v>
                </c:pt>
                <c:pt idx="3">
                  <c:v>Lower manual</c:v>
                </c:pt>
                <c:pt idx="4">
                  <c:v>Housewife</c:v>
                </c:pt>
                <c:pt idx="5">
                  <c:v>Retired</c:v>
                </c:pt>
              </c:strCache>
            </c:strRef>
          </c:cat>
          <c:val>
            <c:numRef>
              <c:f>Sheet1!$H$5:$M$5</c:f>
              <c:numCache>
                <c:formatCode>General</c:formatCode>
                <c:ptCount val="6"/>
                <c:pt idx="0">
                  <c:v>67</c:v>
                </c:pt>
                <c:pt idx="1">
                  <c:v>33</c:v>
                </c:pt>
                <c:pt idx="2">
                  <c:v>2</c:v>
                </c:pt>
                <c:pt idx="3">
                  <c:v>7</c:v>
                </c:pt>
                <c:pt idx="4">
                  <c:v>6</c:v>
                </c:pt>
                <c:pt idx="5">
                  <c:v>7</c:v>
                </c:pt>
              </c:numCache>
            </c:numRef>
          </c:val>
          <c:extLst>
            <c:ext xmlns:c16="http://schemas.microsoft.com/office/drawing/2014/chart" uri="{C3380CC4-5D6E-409C-BE32-E72D297353CC}">
              <c16:uniqueId val="{00000003-BC3D-43C7-8F16-1FA3BEE1FD9A}"/>
            </c:ext>
          </c:extLst>
        </c:ser>
        <c:ser>
          <c:idx val="4"/>
          <c:order val="4"/>
          <c:tx>
            <c:strRef>
              <c:f>Sheet1!$G$6</c:f>
              <c:strCache>
                <c:ptCount val="1"/>
                <c:pt idx="0">
                  <c:v>Over 85</c:v>
                </c:pt>
              </c:strCache>
            </c:strRef>
          </c:tx>
          <c:invertIfNegative val="0"/>
          <c:cat>
            <c:strRef>
              <c:f>Sheet1!$H$1:$M$1</c:f>
              <c:strCache>
                <c:ptCount val="6"/>
                <c:pt idx="0">
                  <c:v>Lower Non-manual</c:v>
                </c:pt>
                <c:pt idx="1">
                  <c:v>Upper Non-manual</c:v>
                </c:pt>
                <c:pt idx="2">
                  <c:v>Upper manual</c:v>
                </c:pt>
                <c:pt idx="3">
                  <c:v>Lower manual</c:v>
                </c:pt>
                <c:pt idx="4">
                  <c:v>Housewife</c:v>
                </c:pt>
                <c:pt idx="5">
                  <c:v>Retired</c:v>
                </c:pt>
              </c:strCache>
            </c:strRef>
          </c:cat>
          <c:val>
            <c:numRef>
              <c:f>Sheet1!$H$6:$M$6</c:f>
              <c:numCache>
                <c:formatCode>General</c:formatCode>
                <c:ptCount val="6"/>
                <c:pt idx="0">
                  <c:v>14</c:v>
                </c:pt>
                <c:pt idx="1">
                  <c:v>6</c:v>
                </c:pt>
                <c:pt idx="2">
                  <c:v>2</c:v>
                </c:pt>
                <c:pt idx="3">
                  <c:v>1</c:v>
                </c:pt>
                <c:pt idx="4">
                  <c:v>1</c:v>
                </c:pt>
                <c:pt idx="5">
                  <c:v>1</c:v>
                </c:pt>
              </c:numCache>
            </c:numRef>
          </c:val>
          <c:extLst>
            <c:ext xmlns:c16="http://schemas.microsoft.com/office/drawing/2014/chart" uri="{C3380CC4-5D6E-409C-BE32-E72D297353CC}">
              <c16:uniqueId val="{00000004-BC3D-43C7-8F16-1FA3BEE1FD9A}"/>
            </c:ext>
          </c:extLst>
        </c:ser>
        <c:dLbls>
          <c:showLegendKey val="0"/>
          <c:showVal val="0"/>
          <c:showCatName val="0"/>
          <c:showSerName val="0"/>
          <c:showPercent val="0"/>
          <c:showBubbleSize val="0"/>
        </c:dLbls>
        <c:gapWidth val="150"/>
        <c:axId val="2100979528"/>
        <c:axId val="2097659208"/>
      </c:barChart>
      <c:catAx>
        <c:axId val="2100979528"/>
        <c:scaling>
          <c:orientation val="minMax"/>
        </c:scaling>
        <c:delete val="0"/>
        <c:axPos val="b"/>
        <c:numFmt formatCode="General" sourceLinked="0"/>
        <c:majorTickMark val="out"/>
        <c:minorTickMark val="none"/>
        <c:tickLblPos val="nextTo"/>
        <c:txPr>
          <a:bodyPr/>
          <a:lstStyle/>
          <a:p>
            <a:pPr>
              <a:defRPr lang="en-GB"/>
            </a:pPr>
            <a:endParaRPr lang="en-US"/>
          </a:p>
        </c:txPr>
        <c:crossAx val="2097659208"/>
        <c:crosses val="autoZero"/>
        <c:auto val="1"/>
        <c:lblAlgn val="ctr"/>
        <c:lblOffset val="100"/>
        <c:noMultiLvlLbl val="0"/>
      </c:catAx>
      <c:valAx>
        <c:axId val="2097659208"/>
        <c:scaling>
          <c:orientation val="minMax"/>
        </c:scaling>
        <c:delete val="0"/>
        <c:axPos val="l"/>
        <c:majorGridlines/>
        <c:numFmt formatCode="General" sourceLinked="1"/>
        <c:majorTickMark val="out"/>
        <c:minorTickMark val="none"/>
        <c:tickLblPos val="nextTo"/>
        <c:txPr>
          <a:bodyPr/>
          <a:lstStyle/>
          <a:p>
            <a:pPr>
              <a:defRPr lang="en-GB"/>
            </a:pPr>
            <a:endParaRPr lang="en-US"/>
          </a:p>
        </c:txPr>
        <c:crossAx val="2100979528"/>
        <c:crosses val="autoZero"/>
        <c:crossBetween val="between"/>
      </c:valAx>
    </c:plotArea>
    <c:legend>
      <c:legendPos val="r"/>
      <c:overlay val="0"/>
      <c:txPr>
        <a:bodyPr/>
        <a:lstStyle/>
        <a:p>
          <a:pPr>
            <a:defRPr lang="en-GB"/>
          </a:pPr>
          <a:endParaRPr lang="en-US"/>
        </a:p>
      </c:txPr>
    </c:legend>
    <c:plotVisOnly val="1"/>
    <c:dispBlanksAs val="gap"/>
    <c:showDLblsOverMax val="0"/>
  </c:chart>
  <c:spPr>
    <a:ln>
      <a:noFill/>
    </a:ln>
  </c:spPr>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percentStacked"/>
        <c:varyColors val="0"/>
        <c:ser>
          <c:idx val="0"/>
          <c:order val="0"/>
          <c:tx>
            <c:strRef>
              <c:f>'[Workbook1.xlsx]Sheet1'!$A$23</c:f>
              <c:strCache>
                <c:ptCount val="1"/>
                <c:pt idx="0">
                  <c:v>Under 55</c:v>
                </c:pt>
              </c:strCache>
            </c:strRef>
          </c:tx>
          <c:invertIfNegative val="0"/>
          <c:cat>
            <c:strRef>
              <c:f>'[Workbook1.xlsx]Sheet1'!$B$21:$D$22</c:f>
              <c:strCache>
                <c:ptCount val="3"/>
                <c:pt idx="0">
                  <c:v>One or two easy changes</c:v>
                </c:pt>
                <c:pt idx="1">
                  <c:v>Many small changes / Some structural changes / behavioura changes</c:v>
                </c:pt>
                <c:pt idx="2">
                  <c:v>Large structural changes/ behavioural changes</c:v>
                </c:pt>
              </c:strCache>
            </c:strRef>
          </c:cat>
          <c:val>
            <c:numRef>
              <c:f>'[Workbook1.xlsx]Sheet1'!$B$23:$D$23</c:f>
              <c:numCache>
                <c:formatCode>General</c:formatCode>
                <c:ptCount val="3"/>
                <c:pt idx="0">
                  <c:v>1</c:v>
                </c:pt>
                <c:pt idx="1">
                  <c:v>1</c:v>
                </c:pt>
              </c:numCache>
            </c:numRef>
          </c:val>
          <c:extLst>
            <c:ext xmlns:c16="http://schemas.microsoft.com/office/drawing/2014/chart" uri="{C3380CC4-5D6E-409C-BE32-E72D297353CC}">
              <c16:uniqueId val="{00000000-4A26-4B51-845E-718C97CB0166}"/>
            </c:ext>
          </c:extLst>
        </c:ser>
        <c:ser>
          <c:idx val="1"/>
          <c:order val="1"/>
          <c:tx>
            <c:strRef>
              <c:f>'[Workbook1.xlsx]Sheet1'!$A$24</c:f>
              <c:strCache>
                <c:ptCount val="1"/>
                <c:pt idx="0">
                  <c:v>55-64</c:v>
                </c:pt>
              </c:strCache>
            </c:strRef>
          </c:tx>
          <c:invertIfNegative val="0"/>
          <c:cat>
            <c:strRef>
              <c:f>'[Workbook1.xlsx]Sheet1'!$B$21:$D$22</c:f>
              <c:strCache>
                <c:ptCount val="3"/>
                <c:pt idx="0">
                  <c:v>One or two easy changes</c:v>
                </c:pt>
                <c:pt idx="1">
                  <c:v>Many small changes / Some structural changes / behavioura changes</c:v>
                </c:pt>
                <c:pt idx="2">
                  <c:v>Large structural changes/ behavioural changes</c:v>
                </c:pt>
              </c:strCache>
            </c:strRef>
          </c:cat>
          <c:val>
            <c:numRef>
              <c:f>'[Workbook1.xlsx]Sheet1'!$B$24:$D$24</c:f>
              <c:numCache>
                <c:formatCode>General</c:formatCode>
                <c:ptCount val="3"/>
                <c:pt idx="0">
                  <c:v>4</c:v>
                </c:pt>
                <c:pt idx="1">
                  <c:v>7</c:v>
                </c:pt>
                <c:pt idx="2">
                  <c:v>2</c:v>
                </c:pt>
              </c:numCache>
            </c:numRef>
          </c:val>
          <c:extLst>
            <c:ext xmlns:c16="http://schemas.microsoft.com/office/drawing/2014/chart" uri="{C3380CC4-5D6E-409C-BE32-E72D297353CC}">
              <c16:uniqueId val="{00000001-4A26-4B51-845E-718C97CB0166}"/>
            </c:ext>
          </c:extLst>
        </c:ser>
        <c:ser>
          <c:idx val="2"/>
          <c:order val="2"/>
          <c:tx>
            <c:strRef>
              <c:f>'[Workbook1.xlsx]Sheet1'!$A$25</c:f>
              <c:strCache>
                <c:ptCount val="1"/>
                <c:pt idx="0">
                  <c:v>65-74</c:v>
                </c:pt>
              </c:strCache>
            </c:strRef>
          </c:tx>
          <c:invertIfNegative val="0"/>
          <c:cat>
            <c:strRef>
              <c:f>'[Workbook1.xlsx]Sheet1'!$B$21:$D$22</c:f>
              <c:strCache>
                <c:ptCount val="3"/>
                <c:pt idx="0">
                  <c:v>One or two easy changes</c:v>
                </c:pt>
                <c:pt idx="1">
                  <c:v>Many small changes / Some structural changes / behavioura changes</c:v>
                </c:pt>
                <c:pt idx="2">
                  <c:v>Large structural changes/ behavioural changes</c:v>
                </c:pt>
              </c:strCache>
            </c:strRef>
          </c:cat>
          <c:val>
            <c:numRef>
              <c:f>'[Workbook1.xlsx]Sheet1'!$B$25:$D$25</c:f>
              <c:numCache>
                <c:formatCode>General</c:formatCode>
                <c:ptCount val="3"/>
                <c:pt idx="0">
                  <c:v>25</c:v>
                </c:pt>
                <c:pt idx="1">
                  <c:v>17</c:v>
                </c:pt>
                <c:pt idx="2">
                  <c:v>16</c:v>
                </c:pt>
              </c:numCache>
            </c:numRef>
          </c:val>
          <c:extLst>
            <c:ext xmlns:c16="http://schemas.microsoft.com/office/drawing/2014/chart" uri="{C3380CC4-5D6E-409C-BE32-E72D297353CC}">
              <c16:uniqueId val="{00000002-4A26-4B51-845E-718C97CB0166}"/>
            </c:ext>
          </c:extLst>
        </c:ser>
        <c:ser>
          <c:idx val="3"/>
          <c:order val="3"/>
          <c:tx>
            <c:strRef>
              <c:f>'[Workbook1.xlsx]Sheet1'!$A$26</c:f>
              <c:strCache>
                <c:ptCount val="1"/>
                <c:pt idx="0">
                  <c:v>75-84</c:v>
                </c:pt>
              </c:strCache>
            </c:strRef>
          </c:tx>
          <c:invertIfNegative val="0"/>
          <c:cat>
            <c:strRef>
              <c:f>'[Workbook1.xlsx]Sheet1'!$B$21:$D$22</c:f>
              <c:strCache>
                <c:ptCount val="3"/>
                <c:pt idx="0">
                  <c:v>One or two easy changes</c:v>
                </c:pt>
                <c:pt idx="1">
                  <c:v>Many small changes / Some structural changes / behavioura changes</c:v>
                </c:pt>
                <c:pt idx="2">
                  <c:v>Large structural changes/ behavioural changes</c:v>
                </c:pt>
              </c:strCache>
            </c:strRef>
          </c:cat>
          <c:val>
            <c:numRef>
              <c:f>'[Workbook1.xlsx]Sheet1'!$B$26:$D$26</c:f>
              <c:numCache>
                <c:formatCode>General</c:formatCode>
                <c:ptCount val="3"/>
                <c:pt idx="0">
                  <c:v>17</c:v>
                </c:pt>
                <c:pt idx="1">
                  <c:v>17</c:v>
                </c:pt>
                <c:pt idx="2">
                  <c:v>12</c:v>
                </c:pt>
              </c:numCache>
            </c:numRef>
          </c:val>
          <c:extLst>
            <c:ext xmlns:c16="http://schemas.microsoft.com/office/drawing/2014/chart" uri="{C3380CC4-5D6E-409C-BE32-E72D297353CC}">
              <c16:uniqueId val="{00000003-4A26-4B51-845E-718C97CB0166}"/>
            </c:ext>
          </c:extLst>
        </c:ser>
        <c:ser>
          <c:idx val="4"/>
          <c:order val="4"/>
          <c:tx>
            <c:strRef>
              <c:f>'[Workbook1.xlsx]Sheet1'!$A$27</c:f>
              <c:strCache>
                <c:ptCount val="1"/>
                <c:pt idx="0">
                  <c:v>Over 85</c:v>
                </c:pt>
              </c:strCache>
            </c:strRef>
          </c:tx>
          <c:invertIfNegative val="0"/>
          <c:cat>
            <c:strRef>
              <c:f>'[Workbook1.xlsx]Sheet1'!$B$21:$D$22</c:f>
              <c:strCache>
                <c:ptCount val="3"/>
                <c:pt idx="0">
                  <c:v>One or two easy changes</c:v>
                </c:pt>
                <c:pt idx="1">
                  <c:v>Many small changes / Some structural changes / behavioura changes</c:v>
                </c:pt>
                <c:pt idx="2">
                  <c:v>Large structural changes/ behavioural changes</c:v>
                </c:pt>
              </c:strCache>
            </c:strRef>
          </c:cat>
          <c:val>
            <c:numRef>
              <c:f>'[Workbook1.xlsx]Sheet1'!$B$27:$D$27</c:f>
              <c:numCache>
                <c:formatCode>General</c:formatCode>
                <c:ptCount val="3"/>
                <c:pt idx="0">
                  <c:v>1</c:v>
                </c:pt>
                <c:pt idx="1">
                  <c:v>2</c:v>
                </c:pt>
              </c:numCache>
            </c:numRef>
          </c:val>
          <c:extLst>
            <c:ext xmlns:c16="http://schemas.microsoft.com/office/drawing/2014/chart" uri="{C3380CC4-5D6E-409C-BE32-E72D297353CC}">
              <c16:uniqueId val="{00000004-4A26-4B51-845E-718C97CB0166}"/>
            </c:ext>
          </c:extLst>
        </c:ser>
        <c:dLbls>
          <c:showLegendKey val="0"/>
          <c:showVal val="0"/>
          <c:showCatName val="0"/>
          <c:showSerName val="0"/>
          <c:showPercent val="0"/>
          <c:showBubbleSize val="0"/>
        </c:dLbls>
        <c:gapWidth val="150"/>
        <c:overlap val="100"/>
        <c:axId val="2053453144"/>
        <c:axId val="2053456232"/>
      </c:barChart>
      <c:catAx>
        <c:axId val="2053453144"/>
        <c:scaling>
          <c:orientation val="minMax"/>
        </c:scaling>
        <c:delete val="0"/>
        <c:axPos val="b"/>
        <c:numFmt formatCode="General" sourceLinked="0"/>
        <c:majorTickMark val="out"/>
        <c:minorTickMark val="none"/>
        <c:tickLblPos val="nextTo"/>
        <c:txPr>
          <a:bodyPr/>
          <a:lstStyle/>
          <a:p>
            <a:pPr>
              <a:defRPr lang="en-GB"/>
            </a:pPr>
            <a:endParaRPr lang="en-US"/>
          </a:p>
        </c:txPr>
        <c:crossAx val="2053456232"/>
        <c:crosses val="autoZero"/>
        <c:auto val="1"/>
        <c:lblAlgn val="ctr"/>
        <c:lblOffset val="100"/>
        <c:noMultiLvlLbl val="0"/>
      </c:catAx>
      <c:valAx>
        <c:axId val="2053456232"/>
        <c:scaling>
          <c:orientation val="minMax"/>
        </c:scaling>
        <c:delete val="0"/>
        <c:axPos val="l"/>
        <c:majorGridlines/>
        <c:numFmt formatCode="0%" sourceLinked="1"/>
        <c:majorTickMark val="out"/>
        <c:minorTickMark val="none"/>
        <c:tickLblPos val="nextTo"/>
        <c:txPr>
          <a:bodyPr/>
          <a:lstStyle/>
          <a:p>
            <a:pPr>
              <a:defRPr lang="en-GB"/>
            </a:pPr>
            <a:endParaRPr lang="en-US"/>
          </a:p>
        </c:txPr>
        <c:crossAx val="2053453144"/>
        <c:crosses val="autoZero"/>
        <c:crossBetween val="between"/>
      </c:valAx>
    </c:plotArea>
    <c:legend>
      <c:legendPos val="r"/>
      <c:overlay val="0"/>
      <c:txPr>
        <a:bodyPr/>
        <a:lstStyle/>
        <a:p>
          <a:pPr>
            <a:defRPr lang="en-GB"/>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9.2684535640409502E-2"/>
                  <c:y val="0.1429624876121929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470-414D-A9C9-1C1E38FDAD0D}"/>
                </c:ext>
              </c:extLst>
            </c:dLbl>
            <c:dLbl>
              <c:idx val="1"/>
              <c:layout>
                <c:manualLayout>
                  <c:x val="-0.13538772201760499"/>
                  <c:y val="-0.1305462412331800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70-414D-A9C9-1C1E38FDAD0D}"/>
                </c:ext>
              </c:extLst>
            </c:dLbl>
            <c:dLbl>
              <c:idx val="2"/>
              <c:layout>
                <c:manualLayout>
                  <c:x val="0.195717222013776"/>
                  <c:y val="-8.574436919379080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470-414D-A9C9-1C1E38FDAD0D}"/>
                </c:ext>
              </c:extLst>
            </c:dLbl>
            <c:dLbl>
              <c:idx val="3"/>
              <c:layout>
                <c:manualLayout>
                  <c:x val="8.8084093492151003E-2"/>
                  <c:y val="0.1673372755724150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70-414D-A9C9-1C1E38FDAD0D}"/>
                </c:ext>
              </c:extLst>
            </c:dLbl>
            <c:spPr>
              <a:noFill/>
              <a:ln>
                <a:noFill/>
              </a:ln>
              <a:effectLst/>
            </c:spPr>
            <c:txPr>
              <a:bodyPr/>
              <a:lstStyle/>
              <a:p>
                <a:pPr>
                  <a:defRPr lang="en-GB" sz="120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Sheet3!$D$2:$D$5</c:f>
              <c:strCache>
                <c:ptCount val="4"/>
                <c:pt idx="0">
                  <c:v>None 0-2</c:v>
                </c:pt>
                <c:pt idx="1">
                  <c:v>Weak 3-5</c:v>
                </c:pt>
                <c:pt idx="2">
                  <c:v>Strong 6-8</c:v>
                </c:pt>
                <c:pt idx="3">
                  <c:v>Very Strong 9-12</c:v>
                </c:pt>
              </c:strCache>
            </c:strRef>
          </c:cat>
          <c:val>
            <c:numRef>
              <c:f>Sheet3!$E$2:$E$5</c:f>
              <c:numCache>
                <c:formatCode>General</c:formatCode>
                <c:ptCount val="4"/>
                <c:pt idx="0">
                  <c:v>42</c:v>
                </c:pt>
                <c:pt idx="1">
                  <c:v>84</c:v>
                </c:pt>
                <c:pt idx="2">
                  <c:v>90</c:v>
                </c:pt>
                <c:pt idx="3">
                  <c:v>31</c:v>
                </c:pt>
              </c:numCache>
            </c:numRef>
          </c:val>
          <c:extLst>
            <c:ext xmlns:c16="http://schemas.microsoft.com/office/drawing/2014/chart" uri="{C3380CC4-5D6E-409C-BE32-E72D297353CC}">
              <c16:uniqueId val="{00000004-8470-414D-A9C9-1C1E38FDAD0D}"/>
            </c:ext>
          </c:extLst>
        </c:ser>
        <c:dLbls>
          <c:showLegendKey val="0"/>
          <c:showVal val="1"/>
          <c:showCatName val="0"/>
          <c:showSerName val="0"/>
          <c:showPercent val="0"/>
          <c:showBubbleSize val="0"/>
          <c:showLeaderLines val="1"/>
        </c:dLbls>
        <c:firstSliceAng val="0"/>
      </c:pieChart>
      <c:spPr>
        <a:noFill/>
        <a:ln w="25400">
          <a:noFill/>
        </a:ln>
      </c:spPr>
    </c:plotArea>
    <c:legend>
      <c:legendPos val="r"/>
      <c:overlay val="0"/>
      <c:txPr>
        <a:bodyPr/>
        <a:lstStyle/>
        <a:p>
          <a:pPr>
            <a:defRPr lang="en-GB" sz="1100" b="0" i="0" u="none" strike="noStrike" baseline="0">
              <a:solidFill>
                <a:srgbClr val="000000"/>
              </a:solidFill>
              <a:latin typeface="Arial"/>
              <a:ea typeface="Calibri"/>
              <a:cs typeface="Calibri"/>
            </a:defRPr>
          </a:pPr>
          <a:endParaRPr lang="en-US"/>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3C9F-3E92-4DA9-8FFB-726468A9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6710</Words>
  <Characters>38249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KU41162</dc:creator>
  <cp:lastModifiedBy>Havering1</cp:lastModifiedBy>
  <cp:revision>2</cp:revision>
  <cp:lastPrinted>2013-04-25T22:42:00Z</cp:lastPrinted>
  <dcterms:created xsi:type="dcterms:W3CDTF">2018-12-12T15:12:00Z</dcterms:created>
  <dcterms:modified xsi:type="dcterms:W3CDTF">2018-12-12T15:12:00Z</dcterms:modified>
</cp:coreProperties>
</file>