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4BF45" w14:textId="3C870A6B" w:rsidR="008F181F" w:rsidRDefault="00766D8B">
      <w:r>
        <w:t>Mercaptopurine Jan JPP</w:t>
      </w:r>
    </w:p>
    <w:p w14:paraId="06B737DD" w14:textId="3DE6D082" w:rsidR="00766D8B" w:rsidRDefault="00766D8B"/>
    <w:p w14:paraId="68C59F3E" w14:textId="77777777" w:rsidR="00766D8B" w:rsidRPr="00766D8B" w:rsidRDefault="00766D8B" w:rsidP="00766D8B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766D8B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Day 1: A metabolite of azathioprine, #mercaptopurine was discovered to be an immunosuppressant circa 1950s. The role for #mercaptopurine developed in </w:t>
      </w:r>
      <w:proofErr w:type="spellStart"/>
      <w:r w:rsidRPr="00766D8B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leukaemias</w:t>
      </w:r>
      <w:proofErr w:type="spellEnd"/>
      <w:r w:rsidRPr="00766D8B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(acute and maintenance therapy) and inflammatory bowel disease (IBD) for maintenance of remission for Crohn’s and ulcerative colitis (IBD unlicensed role).</w:t>
      </w:r>
    </w:p>
    <w:p w14:paraId="007AFB39" w14:textId="77777777" w:rsidR="00766D8B" w:rsidRPr="00766D8B" w:rsidRDefault="00766D8B" w:rsidP="00766D8B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766D8B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</w:t>
      </w:r>
    </w:p>
    <w:p w14:paraId="09046A30" w14:textId="11779536" w:rsidR="00766D8B" w:rsidRPr="00766D8B" w:rsidRDefault="00766D8B" w:rsidP="00766D8B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766D8B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(</w:t>
      </w:r>
      <w:proofErr w:type="spellStart"/>
      <w:r w:rsidRPr="00766D8B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cont</w:t>
      </w:r>
      <w:proofErr w:type="spellEnd"/>
      <w:r w:rsidRPr="00766D8B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) Dose; significant individual variations in kinetics </w:t>
      </w:r>
      <w:proofErr w:type="spellStart"/>
      <w:r w:rsidRPr="00766D8B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eg</w:t>
      </w:r>
      <w:proofErr w:type="spellEnd"/>
      <w:r w:rsidRPr="00766D8B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drug metabolism and in dynamics such as intracellular uptake and </w:t>
      </w:r>
      <w:proofErr w:type="spellStart"/>
      <w:proofErr w:type="gramStart"/>
      <w:r w:rsidRPr="00766D8B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breakdown,mean</w:t>
      </w:r>
      <w:proofErr w:type="spellEnd"/>
      <w:proofErr w:type="gramEnd"/>
      <w:r w:rsidRPr="00766D8B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 an individual approach. Adult acute chemotherapy 2.5-5mg/kg PO once daily, maintenance 1.5-2.5mg/kg/day. IBD 1-1.5mg/kg (British National Formulary states lower can be effective </w:t>
      </w:r>
      <w:proofErr w:type="spellStart"/>
      <w:r w:rsidRPr="00766D8B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e.g</w:t>
      </w:r>
      <w:proofErr w:type="spellEnd"/>
      <w:r w:rsidRPr="00766D8B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some IBD sites state 0.75-1.5mg/kg/day. Use unlicensed in children &amp; chemotherapy dose is customised, IBD as per adult.</w:t>
      </w:r>
    </w:p>
    <w:p w14:paraId="096A7AED" w14:textId="77777777" w:rsidR="00766D8B" w:rsidRPr="00766D8B" w:rsidRDefault="00766D8B" w:rsidP="00766D8B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766D8B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</w:t>
      </w:r>
    </w:p>
    <w:p w14:paraId="54FA79A6" w14:textId="77777777" w:rsidR="00766D8B" w:rsidRPr="00766D8B" w:rsidRDefault="00766D8B" w:rsidP="00766D8B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766D8B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(</w:t>
      </w:r>
      <w:proofErr w:type="spellStart"/>
      <w:r w:rsidRPr="00766D8B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cont</w:t>
      </w:r>
      <w:proofErr w:type="spellEnd"/>
      <w:r w:rsidRPr="00766D8B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) Rapidly dividing cells are most affected, such as tumours and bone marrow blood cells, some of which control inflammation. When used in inflammatory bowel conditions, the effects/full effects may not be experienced for three, or even six months.</w:t>
      </w:r>
    </w:p>
    <w:p w14:paraId="2819C98F" w14:textId="77777777" w:rsidR="00766D8B" w:rsidRPr="00766D8B" w:rsidRDefault="00766D8B" w:rsidP="00766D8B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766D8B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</w:t>
      </w:r>
    </w:p>
    <w:p w14:paraId="0056327E" w14:textId="1F46CDDF" w:rsidR="00766D8B" w:rsidRPr="00766D8B" w:rsidRDefault="00766D8B" w:rsidP="00766D8B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766D8B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Day 3: Key kinetics; oral bioavailability is variable and affected by some food (drug is taken 1 hour before or 2 hours after milk/dairy products). There is extensive metabolism by multiple pathways. Polymorphisms are relevant as they can predict adverse drug reactions such as TPMT deficiency. Elimination is triphasic; t ½ at 45 mins, 2.5 hours and 10 hours</w:t>
      </w:r>
    </w:p>
    <w:p w14:paraId="5A72C9DA" w14:textId="77777777" w:rsidR="00766D8B" w:rsidRPr="00766D8B" w:rsidRDefault="00766D8B" w:rsidP="00766D8B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766D8B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</w:t>
      </w:r>
    </w:p>
    <w:p w14:paraId="00B6A2C0" w14:textId="77777777" w:rsidR="00766D8B" w:rsidRPr="00766D8B" w:rsidRDefault="00766D8B" w:rsidP="00766D8B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766D8B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Day 4: The toxic compounds formed from cell uptake of #mercaptopurine are broken down to non-toxic metabolites by enzymes such as TPMT, which is subject to genetic </w:t>
      </w:r>
      <w:proofErr w:type="spellStart"/>
      <w:proofErr w:type="gramStart"/>
      <w:r w:rsidRPr="00766D8B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polymorphisms.TPMT</w:t>
      </w:r>
      <w:proofErr w:type="spellEnd"/>
      <w:proofErr w:type="gramEnd"/>
      <w:r w:rsidRPr="00766D8B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testing is recommended before starting. Less than 1% population have TMPT deficiency (use alternative drug), but up to 11% have reduced levels, which still increases the risk of toxicity (lower dose).</w:t>
      </w:r>
    </w:p>
    <w:p w14:paraId="798E5851" w14:textId="77777777" w:rsidR="00766D8B" w:rsidRPr="00766D8B" w:rsidRDefault="00766D8B" w:rsidP="00766D8B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766D8B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</w:t>
      </w:r>
    </w:p>
    <w:p w14:paraId="64DF20F2" w14:textId="77777777" w:rsidR="00766D8B" w:rsidRPr="00766D8B" w:rsidRDefault="00766D8B" w:rsidP="00766D8B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766D8B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</w:t>
      </w:r>
    </w:p>
    <w:p w14:paraId="5EFFE384" w14:textId="73F0EB9A" w:rsidR="00766D8B" w:rsidRPr="00766D8B" w:rsidRDefault="00766D8B" w:rsidP="00766D8B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766D8B">
        <w:rPr>
          <w:rFonts w:ascii="Tahoma" w:eastAsia="Times New Roman" w:hAnsi="Tahoma" w:cs="Tahoma"/>
          <w:color w:val="000000" w:themeColor="text1"/>
          <w:sz w:val="20"/>
          <w:szCs w:val="20"/>
          <w:lang w:eastAsia="en-GB"/>
        </w:rPr>
        <w:t xml:space="preserve">Day 6: DDIs; Many common drugs increase risk of hepatotoxicity </w:t>
      </w:r>
      <w:proofErr w:type="spellStart"/>
      <w:r w:rsidRPr="00766D8B">
        <w:rPr>
          <w:rFonts w:ascii="Tahoma" w:eastAsia="Times New Roman" w:hAnsi="Tahoma" w:cs="Tahoma"/>
          <w:color w:val="000000" w:themeColor="text1"/>
          <w:sz w:val="20"/>
          <w:szCs w:val="20"/>
          <w:lang w:eastAsia="en-GB"/>
        </w:rPr>
        <w:t>eg</w:t>
      </w:r>
      <w:proofErr w:type="spellEnd"/>
      <w:r w:rsidRPr="00766D8B">
        <w:rPr>
          <w:rFonts w:ascii="Tahoma" w:eastAsia="Times New Roman" w:hAnsi="Tahoma" w:cs="Tahoma"/>
          <w:color w:val="000000" w:themeColor="text1"/>
          <w:sz w:val="20"/>
          <w:szCs w:val="20"/>
          <w:lang w:eastAsia="en-GB"/>
        </w:rPr>
        <w:t xml:space="preserve"> flucloxacillin, statins, valproate. Monitor INR with warfarin. Xanthine oxidase breaks down #mercaptopurine, so gout drugs </w:t>
      </w:r>
      <w:proofErr w:type="spellStart"/>
      <w:r w:rsidRPr="00766D8B">
        <w:rPr>
          <w:rFonts w:ascii="Tahoma" w:eastAsia="Times New Roman" w:hAnsi="Tahoma" w:cs="Tahoma"/>
          <w:color w:val="000000" w:themeColor="text1"/>
          <w:sz w:val="20"/>
          <w:szCs w:val="20"/>
          <w:lang w:eastAsia="en-GB"/>
        </w:rPr>
        <w:t>e.g</w:t>
      </w:r>
      <w:proofErr w:type="spellEnd"/>
      <w:r w:rsidRPr="00766D8B">
        <w:rPr>
          <w:rFonts w:ascii="Tahoma" w:eastAsia="Times New Roman" w:hAnsi="Tahoma" w:cs="Tahoma"/>
          <w:color w:val="000000" w:themeColor="text1"/>
          <w:sz w:val="20"/>
          <w:szCs w:val="20"/>
          <w:lang w:eastAsia="en-GB"/>
        </w:rPr>
        <w:t xml:space="preserve"> allopurinol &amp; febuxostat can increase risk toxicity. If combination necessary, reduce merca</w:t>
      </w:r>
      <w:bookmarkStart w:id="0" w:name="_GoBack"/>
      <w:bookmarkEnd w:id="0"/>
      <w:r w:rsidRPr="00766D8B">
        <w:rPr>
          <w:rFonts w:ascii="Tahoma" w:eastAsia="Times New Roman" w:hAnsi="Tahoma" w:cs="Tahoma"/>
          <w:color w:val="000000" w:themeColor="text1"/>
          <w:sz w:val="20"/>
          <w:szCs w:val="20"/>
          <w:lang w:eastAsia="en-GB"/>
        </w:rPr>
        <w:t>ptopurine dose by 25%</w:t>
      </w:r>
    </w:p>
    <w:p w14:paraId="19C8259C" w14:textId="77777777" w:rsidR="00766D8B" w:rsidRPr="00766D8B" w:rsidRDefault="00766D8B" w:rsidP="00766D8B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766D8B">
        <w:rPr>
          <w:rFonts w:ascii="Tahoma" w:eastAsia="Times New Roman" w:hAnsi="Tahoma" w:cs="Tahoma"/>
          <w:color w:val="000000" w:themeColor="text1"/>
          <w:sz w:val="20"/>
          <w:szCs w:val="20"/>
          <w:lang w:eastAsia="en-GB"/>
        </w:rPr>
        <w:t> </w:t>
      </w:r>
    </w:p>
    <w:p w14:paraId="2E577F4E" w14:textId="77777777" w:rsidR="00766D8B" w:rsidRPr="00766D8B" w:rsidRDefault="00766D8B" w:rsidP="00766D8B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766D8B">
        <w:rPr>
          <w:rFonts w:ascii="Tahoma" w:eastAsia="Times New Roman" w:hAnsi="Tahoma" w:cs="Tahoma"/>
          <w:color w:val="000000" w:themeColor="text1"/>
          <w:sz w:val="20"/>
          <w:szCs w:val="20"/>
          <w:lang w:eastAsia="en-GB"/>
        </w:rPr>
        <w:t> </w:t>
      </w:r>
    </w:p>
    <w:p w14:paraId="6DBB9E90" w14:textId="77777777" w:rsidR="00766D8B" w:rsidRPr="00766D8B" w:rsidRDefault="00766D8B" w:rsidP="00766D8B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766D8B">
        <w:rPr>
          <w:rFonts w:ascii="Tahoma" w:eastAsia="Times New Roman" w:hAnsi="Tahoma" w:cs="Tahoma"/>
          <w:color w:val="000000" w:themeColor="text1"/>
          <w:sz w:val="20"/>
          <w:szCs w:val="20"/>
          <w:lang w:eastAsia="en-GB"/>
        </w:rPr>
        <w:t>Day 7: Interesting fact. Dairy avoidance (</w:t>
      </w:r>
      <w:proofErr w:type="spellStart"/>
      <w:r w:rsidRPr="00766D8B">
        <w:rPr>
          <w:rFonts w:ascii="Tahoma" w:eastAsia="Times New Roman" w:hAnsi="Tahoma" w:cs="Tahoma"/>
          <w:color w:val="000000" w:themeColor="text1"/>
          <w:sz w:val="20"/>
          <w:szCs w:val="20"/>
          <w:lang w:eastAsia="en-GB"/>
        </w:rPr>
        <w:t>i</w:t>
      </w:r>
      <w:proofErr w:type="spellEnd"/>
      <w:r w:rsidRPr="00766D8B">
        <w:rPr>
          <w:rFonts w:ascii="Tahoma" w:eastAsia="Times New Roman" w:hAnsi="Tahoma" w:cs="Tahoma"/>
          <w:color w:val="000000" w:themeColor="text1"/>
          <w:sz w:val="20"/>
          <w:szCs w:val="20"/>
          <w:lang w:eastAsia="en-GB"/>
        </w:rPr>
        <w:t xml:space="preserve"> hour before or 2 hours after dairy) is recommended because cow’s milk is high in xanthine oxidase which starts to break down the drug, making less bioavailable. </w:t>
      </w:r>
    </w:p>
    <w:p w14:paraId="51BEE23D" w14:textId="77777777" w:rsidR="00766D8B" w:rsidRPr="00766D8B" w:rsidRDefault="00766D8B" w:rsidP="00766D8B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766D8B">
        <w:rPr>
          <w:rFonts w:ascii="Tahoma" w:eastAsia="Times New Roman" w:hAnsi="Tahoma" w:cs="Tahoma"/>
          <w:color w:val="000000" w:themeColor="text1"/>
          <w:sz w:val="20"/>
          <w:szCs w:val="20"/>
          <w:lang w:eastAsia="en-GB"/>
        </w:rPr>
        <w:t> </w:t>
      </w:r>
    </w:p>
    <w:p w14:paraId="22FA159B" w14:textId="77777777" w:rsidR="00766D8B" w:rsidRPr="00766D8B" w:rsidRDefault="00766D8B" w:rsidP="00766D8B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766D8B">
        <w:rPr>
          <w:rFonts w:ascii="Tahoma" w:eastAsia="Times New Roman" w:hAnsi="Tahoma" w:cs="Tahoma"/>
          <w:color w:val="000000" w:themeColor="text1"/>
          <w:sz w:val="20"/>
          <w:szCs w:val="20"/>
          <w:lang w:eastAsia="en-GB"/>
        </w:rPr>
        <w:t> </w:t>
      </w:r>
    </w:p>
    <w:p w14:paraId="6F1B8DCF" w14:textId="77777777" w:rsidR="00766D8B" w:rsidRPr="00766D8B" w:rsidRDefault="00766D8B" w:rsidP="00766D8B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766D8B">
        <w:rPr>
          <w:rFonts w:ascii="Tahoma" w:eastAsia="Times New Roman" w:hAnsi="Tahoma" w:cs="Tahoma"/>
          <w:color w:val="000000" w:themeColor="text1"/>
          <w:sz w:val="20"/>
          <w:szCs w:val="20"/>
          <w:lang w:eastAsia="en-GB"/>
        </w:rPr>
        <w:t xml:space="preserve">With the help of Prescribing and Therapeutics Training Ltd and the Journal of Prescribing Practice, you can earn your 1-hour CPD certificate. Complete the additional reading suggested below and then answer the ten questions. Please submit the answers to reesprescribe@gmail.com as a numbered list with TRUE/FALSE or the correct </w:t>
      </w:r>
      <w:proofErr w:type="gramStart"/>
      <w:r w:rsidRPr="00766D8B">
        <w:rPr>
          <w:rFonts w:ascii="Tahoma" w:eastAsia="Times New Roman" w:hAnsi="Tahoma" w:cs="Tahoma"/>
          <w:color w:val="000000" w:themeColor="text1"/>
          <w:sz w:val="20"/>
          <w:szCs w:val="20"/>
          <w:lang w:eastAsia="en-GB"/>
        </w:rPr>
        <w:t>A,B</w:t>
      </w:r>
      <w:proofErr w:type="gramEnd"/>
      <w:r w:rsidRPr="00766D8B">
        <w:rPr>
          <w:rFonts w:ascii="Tahoma" w:eastAsia="Times New Roman" w:hAnsi="Tahoma" w:cs="Tahoma"/>
          <w:color w:val="000000" w:themeColor="text1"/>
          <w:sz w:val="20"/>
          <w:szCs w:val="20"/>
          <w:lang w:eastAsia="en-GB"/>
        </w:rPr>
        <w:t>,C,D option. If you achieve 8 or more out of ten on the questions, a CPD certificate will be emailed to you.</w:t>
      </w:r>
    </w:p>
    <w:p w14:paraId="0F1C2860" w14:textId="77777777" w:rsidR="00766D8B" w:rsidRPr="00766D8B" w:rsidRDefault="00766D8B" w:rsidP="00766D8B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766D8B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</w:t>
      </w:r>
    </w:p>
    <w:p w14:paraId="4645AD30" w14:textId="77777777" w:rsidR="00766D8B" w:rsidRPr="00766D8B" w:rsidRDefault="00766D8B" w:rsidP="00766D8B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766D8B">
        <w:rPr>
          <w:rFonts w:ascii="Tahoma" w:eastAsia="Times New Roman" w:hAnsi="Tahoma" w:cs="Tahoma"/>
          <w:color w:val="000000" w:themeColor="text1"/>
          <w:sz w:val="20"/>
          <w:szCs w:val="20"/>
          <w:lang w:eastAsia="en-GB"/>
        </w:rPr>
        <w:t>NOTE: there is only one correct answer for each question.</w:t>
      </w:r>
    </w:p>
    <w:p w14:paraId="7A11DAC2" w14:textId="77777777" w:rsidR="00766D8B" w:rsidRPr="00766D8B" w:rsidRDefault="00766D8B" w:rsidP="00766D8B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766D8B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</w:t>
      </w:r>
    </w:p>
    <w:p w14:paraId="1A0239E4" w14:textId="77777777" w:rsidR="00766D8B" w:rsidRPr="00766D8B" w:rsidRDefault="00766D8B" w:rsidP="00766D8B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766D8B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</w:t>
      </w:r>
    </w:p>
    <w:p w14:paraId="6273AB94" w14:textId="77777777" w:rsidR="00766D8B" w:rsidRPr="00766D8B" w:rsidRDefault="00766D8B" w:rsidP="00766D8B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766D8B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2. Why does the dose for mercaptopurine need to be reduced if allopurinol is also prescribed? </w:t>
      </w:r>
    </w:p>
    <w:p w14:paraId="0A8A3F1C" w14:textId="77777777" w:rsidR="00766D8B" w:rsidRPr="00766D8B" w:rsidRDefault="00766D8B" w:rsidP="00766D8B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766D8B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</w:t>
      </w:r>
    </w:p>
    <w:p w14:paraId="74A3CFB0" w14:textId="77777777" w:rsidR="00766D8B" w:rsidRPr="00766D8B" w:rsidRDefault="00766D8B" w:rsidP="00766D8B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766D8B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A. Because allopurinol prevents mercaptopurine being taken up by cells </w:t>
      </w:r>
    </w:p>
    <w:p w14:paraId="4B638DD2" w14:textId="77777777" w:rsidR="00766D8B" w:rsidRPr="00766D8B" w:rsidRDefault="00766D8B" w:rsidP="00766D8B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766D8B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B. Because allopurinol inhibits one of the enzymes that breaks down mercaptopurine, increasing the risk of toxicity </w:t>
      </w:r>
    </w:p>
    <w:p w14:paraId="454486EF" w14:textId="77777777" w:rsidR="00766D8B" w:rsidRPr="00766D8B" w:rsidRDefault="00766D8B" w:rsidP="00766D8B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766D8B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C. Because allopurinol induces one of the enzymes that breaks down mercaptopurine, so the therapeutic effect is lost </w:t>
      </w:r>
    </w:p>
    <w:p w14:paraId="70F949E6" w14:textId="77777777" w:rsidR="00766D8B" w:rsidRPr="00766D8B" w:rsidRDefault="00766D8B" w:rsidP="00766D8B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766D8B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D. Because some people have a reaction that causes a lack of allopurinol breakdown</w:t>
      </w:r>
    </w:p>
    <w:p w14:paraId="2694FCE9" w14:textId="77777777" w:rsidR="00766D8B" w:rsidRPr="00766D8B" w:rsidRDefault="00766D8B" w:rsidP="00766D8B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766D8B">
        <w:rPr>
          <w:rFonts w:ascii="Tahoma" w:eastAsia="Times New Roman" w:hAnsi="Tahoma" w:cs="Tahoma"/>
          <w:color w:val="000000" w:themeColor="text1"/>
          <w:sz w:val="20"/>
          <w:szCs w:val="20"/>
          <w:lang w:eastAsia="en-GB"/>
        </w:rPr>
        <w:t> </w:t>
      </w:r>
    </w:p>
    <w:p w14:paraId="3CB72FF7" w14:textId="77777777" w:rsidR="00766D8B" w:rsidRPr="00766D8B" w:rsidRDefault="00766D8B" w:rsidP="00766D8B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766D8B">
        <w:rPr>
          <w:rFonts w:ascii="Tahoma" w:eastAsia="Times New Roman" w:hAnsi="Tahoma" w:cs="Tahoma"/>
          <w:color w:val="000000" w:themeColor="text1"/>
          <w:sz w:val="20"/>
          <w:szCs w:val="20"/>
          <w:lang w:eastAsia="en-GB"/>
        </w:rPr>
        <w:t> </w:t>
      </w:r>
    </w:p>
    <w:p w14:paraId="5AB7EED8" w14:textId="77777777" w:rsidR="00766D8B" w:rsidRPr="00766D8B" w:rsidRDefault="00766D8B" w:rsidP="00766D8B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766D8B">
        <w:rPr>
          <w:rFonts w:ascii="Tahoma" w:eastAsia="Times New Roman" w:hAnsi="Tahoma" w:cs="Tahoma"/>
          <w:color w:val="000000" w:themeColor="text1"/>
          <w:sz w:val="20"/>
          <w:szCs w:val="20"/>
          <w:lang w:eastAsia="en-GB"/>
        </w:rPr>
        <w:lastRenderedPageBreak/>
        <w:t xml:space="preserve">4.Mercaptopurine is an evidence-based intervention for </w:t>
      </w:r>
      <w:proofErr w:type="spellStart"/>
      <w:r w:rsidRPr="00766D8B">
        <w:rPr>
          <w:rFonts w:ascii="Tahoma" w:eastAsia="Times New Roman" w:hAnsi="Tahoma" w:cs="Tahoma"/>
          <w:color w:val="000000" w:themeColor="text1"/>
          <w:sz w:val="20"/>
          <w:szCs w:val="20"/>
          <w:lang w:eastAsia="en-GB"/>
        </w:rPr>
        <w:t>leukaemias</w:t>
      </w:r>
      <w:proofErr w:type="spellEnd"/>
      <w:r w:rsidRPr="00766D8B">
        <w:rPr>
          <w:rFonts w:ascii="Tahoma" w:eastAsia="Times New Roman" w:hAnsi="Tahoma" w:cs="Tahoma"/>
          <w:color w:val="000000" w:themeColor="text1"/>
          <w:sz w:val="20"/>
          <w:szCs w:val="20"/>
          <w:lang w:eastAsia="en-GB"/>
        </w:rPr>
        <w:t xml:space="preserve"> and inflammatory bowel disease, but it is not licensed for use in either condition</w:t>
      </w:r>
    </w:p>
    <w:p w14:paraId="5D52C5AF" w14:textId="77777777" w:rsidR="00766D8B" w:rsidRPr="00766D8B" w:rsidRDefault="00766D8B" w:rsidP="00766D8B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766D8B">
        <w:rPr>
          <w:rFonts w:ascii="Tahoma" w:eastAsia="Times New Roman" w:hAnsi="Tahoma" w:cs="Tahoma"/>
          <w:color w:val="000000" w:themeColor="text1"/>
          <w:sz w:val="20"/>
          <w:szCs w:val="20"/>
          <w:lang w:eastAsia="en-GB"/>
        </w:rPr>
        <w:t> </w:t>
      </w:r>
    </w:p>
    <w:p w14:paraId="4B76B605" w14:textId="77777777" w:rsidR="00766D8B" w:rsidRPr="00766D8B" w:rsidRDefault="00766D8B" w:rsidP="00766D8B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766D8B">
        <w:rPr>
          <w:rFonts w:ascii="Tahoma" w:eastAsia="Times New Roman" w:hAnsi="Tahoma" w:cs="Tahoma"/>
          <w:color w:val="000000" w:themeColor="text1"/>
          <w:sz w:val="20"/>
          <w:szCs w:val="20"/>
          <w:lang w:eastAsia="en-GB"/>
        </w:rPr>
        <w:t>TRUE or FALSE</w:t>
      </w:r>
    </w:p>
    <w:p w14:paraId="2431C9CA" w14:textId="77777777" w:rsidR="00766D8B" w:rsidRPr="00766D8B" w:rsidRDefault="00766D8B" w:rsidP="00766D8B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766D8B">
        <w:rPr>
          <w:rFonts w:ascii="Tahoma" w:eastAsia="Times New Roman" w:hAnsi="Tahoma" w:cs="Tahoma"/>
          <w:color w:val="000000" w:themeColor="text1"/>
          <w:sz w:val="20"/>
          <w:szCs w:val="20"/>
          <w:lang w:eastAsia="en-GB"/>
        </w:rPr>
        <w:t> </w:t>
      </w:r>
    </w:p>
    <w:p w14:paraId="25171A68" w14:textId="77777777" w:rsidR="00766D8B" w:rsidRPr="00766D8B" w:rsidRDefault="00766D8B" w:rsidP="00766D8B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766D8B">
        <w:rPr>
          <w:rFonts w:ascii="Tahoma" w:eastAsia="Times New Roman" w:hAnsi="Tahoma" w:cs="Tahoma"/>
          <w:color w:val="000000" w:themeColor="text1"/>
          <w:sz w:val="20"/>
          <w:szCs w:val="20"/>
          <w:lang w:eastAsia="en-GB"/>
        </w:rPr>
        <w:t> </w:t>
      </w:r>
    </w:p>
    <w:p w14:paraId="025CE153" w14:textId="14FE78C8" w:rsidR="00766D8B" w:rsidRPr="00766D8B" w:rsidRDefault="00766D8B" w:rsidP="00766D8B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766D8B">
        <w:rPr>
          <w:rFonts w:ascii="Tahoma" w:eastAsia="Times New Roman" w:hAnsi="Tahoma" w:cs="Tahoma"/>
          <w:color w:val="000000" w:themeColor="text1"/>
          <w:sz w:val="20"/>
          <w:szCs w:val="20"/>
          <w:lang w:eastAsia="en-GB"/>
        </w:rPr>
        <w:t>8. 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en-GB"/>
        </w:rPr>
        <w:t>Why does m</w:t>
      </w:r>
      <w:r w:rsidRPr="00766D8B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ercaptopurine ha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ve</w:t>
      </w:r>
      <w:r w:rsidRPr="00766D8B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some target selectivity? </w:t>
      </w:r>
    </w:p>
    <w:p w14:paraId="403CE2F4" w14:textId="77777777" w:rsidR="00766D8B" w:rsidRPr="00766D8B" w:rsidRDefault="00766D8B" w:rsidP="00766D8B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766D8B">
        <w:rPr>
          <w:rFonts w:ascii="Tahoma" w:eastAsia="Times New Roman" w:hAnsi="Tahoma" w:cs="Tahoma"/>
          <w:color w:val="000000" w:themeColor="text1"/>
          <w:sz w:val="20"/>
          <w:szCs w:val="20"/>
          <w:lang w:eastAsia="en-GB"/>
        </w:rPr>
        <w:t> </w:t>
      </w:r>
    </w:p>
    <w:p w14:paraId="7ADB6E26" w14:textId="77777777" w:rsidR="00766D8B" w:rsidRPr="00766D8B" w:rsidRDefault="00766D8B" w:rsidP="00766D8B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766D8B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A. The fastest dividing cells are the most affected </w:t>
      </w:r>
    </w:p>
    <w:p w14:paraId="4F1DB1E6" w14:textId="77777777" w:rsidR="00766D8B" w:rsidRPr="00766D8B" w:rsidRDefault="00766D8B" w:rsidP="00766D8B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766D8B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B. The slowest dividing cells are the most affected </w:t>
      </w:r>
    </w:p>
    <w:p w14:paraId="413E9567" w14:textId="77777777" w:rsidR="00766D8B" w:rsidRPr="00766D8B" w:rsidRDefault="00766D8B" w:rsidP="00766D8B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766D8B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C. Only tumour cells take up the drug </w:t>
      </w:r>
    </w:p>
    <w:p w14:paraId="18F669E3" w14:textId="77777777" w:rsidR="00766D8B" w:rsidRPr="00766D8B" w:rsidRDefault="00766D8B" w:rsidP="00766D8B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766D8B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D. Mercaptopurine only binds to bone marrow stem cells</w:t>
      </w:r>
    </w:p>
    <w:p w14:paraId="4048D84C" w14:textId="77777777" w:rsidR="00766D8B" w:rsidRPr="00766D8B" w:rsidRDefault="00766D8B" w:rsidP="00766D8B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766D8B">
        <w:rPr>
          <w:rFonts w:ascii="Tahoma" w:eastAsia="Times New Roman" w:hAnsi="Tahoma" w:cs="Tahoma"/>
          <w:color w:val="000000" w:themeColor="text1"/>
          <w:sz w:val="20"/>
          <w:szCs w:val="20"/>
          <w:lang w:eastAsia="en-GB"/>
        </w:rPr>
        <w:t> </w:t>
      </w:r>
    </w:p>
    <w:p w14:paraId="459EA33E" w14:textId="77777777" w:rsidR="00766D8B" w:rsidRPr="00766D8B" w:rsidRDefault="00766D8B" w:rsidP="00766D8B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766D8B">
        <w:rPr>
          <w:rFonts w:ascii="Tahoma" w:eastAsia="Times New Roman" w:hAnsi="Tahoma" w:cs="Tahoma"/>
          <w:color w:val="000000" w:themeColor="text1"/>
          <w:sz w:val="20"/>
          <w:szCs w:val="20"/>
          <w:lang w:eastAsia="en-GB"/>
        </w:rPr>
        <w:t> </w:t>
      </w:r>
    </w:p>
    <w:p w14:paraId="71E94DDF" w14:textId="2381A113" w:rsidR="00766D8B" w:rsidRPr="00766D8B" w:rsidRDefault="00766D8B" w:rsidP="00766D8B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766D8B">
        <w:rPr>
          <w:rFonts w:ascii="Tahoma" w:eastAsia="Times New Roman" w:hAnsi="Tahoma" w:cs="Tahoma"/>
          <w:color w:val="000000" w:themeColor="text1"/>
          <w:sz w:val="20"/>
          <w:szCs w:val="20"/>
          <w:lang w:eastAsia="en-GB"/>
        </w:rPr>
        <w:t>9. </w:t>
      </w:r>
      <w:r w:rsidRPr="00766D8B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Cow’s milk products contain the enzyme xanthine oxidase, which breaks down mercaptopurine, hence dairy products can affect absorption TRUE or FALSE?</w:t>
      </w:r>
    </w:p>
    <w:p w14:paraId="5AD9E00B" w14:textId="77777777" w:rsidR="00766D8B" w:rsidRPr="00766D8B" w:rsidRDefault="00766D8B">
      <w:pPr>
        <w:rPr>
          <w:color w:val="000000" w:themeColor="text1"/>
        </w:rPr>
      </w:pPr>
    </w:p>
    <w:sectPr w:rsidR="00766D8B" w:rsidRPr="00766D8B" w:rsidSect="00AE7C5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8B"/>
    <w:rsid w:val="00011E81"/>
    <w:rsid w:val="000761E4"/>
    <w:rsid w:val="000F6E7C"/>
    <w:rsid w:val="001C265E"/>
    <w:rsid w:val="002E379C"/>
    <w:rsid w:val="003E6E52"/>
    <w:rsid w:val="0049022E"/>
    <w:rsid w:val="00494D46"/>
    <w:rsid w:val="004E0B47"/>
    <w:rsid w:val="00530E64"/>
    <w:rsid w:val="00575056"/>
    <w:rsid w:val="00766D8B"/>
    <w:rsid w:val="007C274F"/>
    <w:rsid w:val="008648B1"/>
    <w:rsid w:val="00997D49"/>
    <w:rsid w:val="00A138C1"/>
    <w:rsid w:val="00A34F7F"/>
    <w:rsid w:val="00AE7C55"/>
    <w:rsid w:val="00AF0AE6"/>
    <w:rsid w:val="00D16E4B"/>
    <w:rsid w:val="00F1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269F9C"/>
  <w14:defaultImageDpi w14:val="32767"/>
  <w15:chartTrackingRefBased/>
  <w15:docId w15:val="{AADB9214-242F-ED48-9E15-A0328730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7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3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0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5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8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0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62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46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70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6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6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36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4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23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99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2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5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4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9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7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9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9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0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9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3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23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2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7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55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Orme</dc:creator>
  <cp:keywords/>
  <dc:description/>
  <cp:lastModifiedBy>Jamie Orme</cp:lastModifiedBy>
  <cp:revision>1</cp:revision>
  <dcterms:created xsi:type="dcterms:W3CDTF">2020-01-09T10:48:00Z</dcterms:created>
  <dcterms:modified xsi:type="dcterms:W3CDTF">2020-01-09T10:51:00Z</dcterms:modified>
</cp:coreProperties>
</file>