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A320" w14:textId="77777777" w:rsidR="00E546AF" w:rsidRPr="004F6670" w:rsidRDefault="001E7187" w:rsidP="00314391">
      <w:pPr>
        <w:rPr>
          <w:rFonts w:ascii="Arial" w:hAnsi="Arial" w:cs="Arial"/>
          <w:b/>
          <w:i/>
          <w:sz w:val="22"/>
          <w:szCs w:val="22"/>
        </w:rPr>
      </w:pPr>
      <w:bookmarkStart w:id="0" w:name="_GoBack"/>
      <w:bookmarkEnd w:id="0"/>
      <w:r>
        <w:rPr>
          <w:rFonts w:ascii="Arial" w:hAnsi="Arial" w:cs="Arial"/>
          <w:b/>
          <w:i/>
          <w:sz w:val="22"/>
          <w:szCs w:val="22"/>
        </w:rPr>
        <w:t>Non-</w:t>
      </w:r>
      <w:r w:rsidR="001D239D" w:rsidRPr="004F6670">
        <w:rPr>
          <w:rFonts w:ascii="Arial" w:hAnsi="Arial" w:cs="Arial"/>
          <w:b/>
          <w:i/>
          <w:sz w:val="22"/>
          <w:szCs w:val="22"/>
        </w:rPr>
        <w:t>law graduates: a</w:t>
      </w:r>
      <w:r w:rsidR="00804577">
        <w:rPr>
          <w:rFonts w:ascii="Arial" w:hAnsi="Arial" w:cs="Arial"/>
          <w:b/>
          <w:i/>
          <w:sz w:val="22"/>
          <w:szCs w:val="22"/>
        </w:rPr>
        <w:t>n</w:t>
      </w:r>
      <w:r w:rsidR="00F83479" w:rsidRPr="004F6670">
        <w:rPr>
          <w:rFonts w:ascii="Arial" w:hAnsi="Arial" w:cs="Arial"/>
          <w:b/>
          <w:i/>
          <w:sz w:val="22"/>
          <w:szCs w:val="22"/>
        </w:rPr>
        <w:t xml:space="preserve"> unc</w:t>
      </w:r>
      <w:r w:rsidR="00E546AF" w:rsidRPr="004F6670">
        <w:rPr>
          <w:rFonts w:ascii="Arial" w:hAnsi="Arial" w:cs="Arial"/>
          <w:b/>
          <w:i/>
          <w:sz w:val="22"/>
          <w:szCs w:val="22"/>
        </w:rPr>
        <w:t xml:space="preserve">ommon </w:t>
      </w:r>
      <w:r w:rsidR="00B11699" w:rsidRPr="004F6670">
        <w:rPr>
          <w:rFonts w:ascii="Arial" w:hAnsi="Arial" w:cs="Arial"/>
          <w:b/>
          <w:i/>
          <w:sz w:val="22"/>
          <w:szCs w:val="22"/>
        </w:rPr>
        <w:t>route to qualification</w:t>
      </w:r>
      <w:r w:rsidR="00FB4E21" w:rsidRPr="004F6670">
        <w:rPr>
          <w:rFonts w:ascii="Arial" w:hAnsi="Arial" w:cs="Arial"/>
          <w:b/>
          <w:i/>
          <w:sz w:val="22"/>
          <w:szCs w:val="22"/>
        </w:rPr>
        <w:t>?</w:t>
      </w:r>
    </w:p>
    <w:p w14:paraId="1785CE0C" w14:textId="77777777" w:rsidR="00A548BC" w:rsidRPr="004F6670" w:rsidRDefault="00A548BC" w:rsidP="00314391">
      <w:pPr>
        <w:rPr>
          <w:rFonts w:ascii="Arial" w:hAnsi="Arial" w:cs="Arial"/>
          <w:b/>
          <w:i/>
          <w:sz w:val="22"/>
          <w:szCs w:val="22"/>
        </w:rPr>
      </w:pPr>
    </w:p>
    <w:p w14:paraId="033E6427" w14:textId="77777777" w:rsidR="00A548BC" w:rsidRPr="004F6670" w:rsidRDefault="00A548BC" w:rsidP="00314391">
      <w:pPr>
        <w:rPr>
          <w:rFonts w:ascii="Arial" w:hAnsi="Arial" w:cs="Arial"/>
          <w:i/>
          <w:color w:val="222222"/>
          <w:sz w:val="22"/>
          <w:szCs w:val="22"/>
        </w:rPr>
      </w:pPr>
    </w:p>
    <w:p w14:paraId="0B94CBB7" w14:textId="77777777" w:rsidR="00A548BC" w:rsidRPr="004F6670" w:rsidRDefault="00B85CA1" w:rsidP="00314391">
      <w:pPr>
        <w:rPr>
          <w:rFonts w:ascii="Arial" w:hAnsi="Arial" w:cs="Arial"/>
          <w:b/>
          <w:i/>
          <w:color w:val="222222"/>
          <w:sz w:val="22"/>
          <w:szCs w:val="22"/>
        </w:rPr>
      </w:pPr>
      <w:r w:rsidRPr="004F6670">
        <w:rPr>
          <w:rFonts w:ascii="Arial" w:hAnsi="Arial" w:cs="Arial"/>
          <w:b/>
          <w:i/>
          <w:color w:val="222222"/>
          <w:sz w:val="22"/>
          <w:szCs w:val="22"/>
        </w:rPr>
        <w:t>Abstract</w:t>
      </w:r>
    </w:p>
    <w:p w14:paraId="6657F104" w14:textId="77777777" w:rsidR="00A548BC" w:rsidRPr="004F6670" w:rsidRDefault="00A548BC" w:rsidP="00314391">
      <w:pPr>
        <w:rPr>
          <w:rFonts w:ascii="Arial" w:hAnsi="Arial" w:cs="Arial"/>
          <w:i/>
          <w:sz w:val="22"/>
          <w:szCs w:val="22"/>
        </w:rPr>
      </w:pPr>
    </w:p>
    <w:p w14:paraId="56C60680" w14:textId="228555E4" w:rsidR="00B85CA1" w:rsidRPr="00EC1019" w:rsidRDefault="00A548BC" w:rsidP="00831EA2">
      <w:pPr>
        <w:rPr>
          <w:rFonts w:ascii="Arial" w:hAnsi="Arial" w:cs="Arial"/>
          <w:sz w:val="22"/>
          <w:szCs w:val="22"/>
        </w:rPr>
      </w:pPr>
      <w:r w:rsidRPr="00EC1019">
        <w:rPr>
          <w:rFonts w:ascii="Arial" w:hAnsi="Arial" w:cs="Arial"/>
          <w:sz w:val="22"/>
          <w:szCs w:val="22"/>
        </w:rPr>
        <w:t xml:space="preserve">This </w:t>
      </w:r>
      <w:r w:rsidR="00F458D9" w:rsidRPr="00EC1019">
        <w:rPr>
          <w:rFonts w:ascii="Arial" w:hAnsi="Arial" w:cs="Arial"/>
          <w:sz w:val="22"/>
          <w:szCs w:val="22"/>
        </w:rPr>
        <w:t>article considers</w:t>
      </w:r>
      <w:r w:rsidR="00BE1AD3" w:rsidRPr="00EC1019">
        <w:rPr>
          <w:rFonts w:ascii="Arial" w:hAnsi="Arial" w:cs="Arial"/>
          <w:sz w:val="22"/>
          <w:szCs w:val="22"/>
        </w:rPr>
        <w:t xml:space="preserve"> the </w:t>
      </w:r>
      <w:r w:rsidR="001F0953" w:rsidRPr="00EC1019">
        <w:rPr>
          <w:rFonts w:ascii="Arial" w:hAnsi="Arial" w:cs="Arial"/>
          <w:sz w:val="22"/>
          <w:szCs w:val="22"/>
        </w:rPr>
        <w:t xml:space="preserve">future of the </w:t>
      </w:r>
      <w:r w:rsidR="00BE1AD3" w:rsidRPr="00EC1019">
        <w:rPr>
          <w:rFonts w:ascii="Arial" w:hAnsi="Arial" w:cs="Arial"/>
          <w:sz w:val="22"/>
          <w:szCs w:val="22"/>
        </w:rPr>
        <w:t xml:space="preserve">conversion </w:t>
      </w:r>
      <w:r w:rsidR="001F0953" w:rsidRPr="00EC1019">
        <w:rPr>
          <w:rFonts w:ascii="Arial" w:hAnsi="Arial" w:cs="Arial"/>
          <w:sz w:val="22"/>
          <w:szCs w:val="22"/>
        </w:rPr>
        <w:t xml:space="preserve">course (CPE/GDL) </w:t>
      </w:r>
      <w:r w:rsidR="00831EA2" w:rsidRPr="00EC1019">
        <w:rPr>
          <w:rFonts w:ascii="Arial" w:hAnsi="Arial" w:cs="Arial"/>
          <w:sz w:val="22"/>
          <w:szCs w:val="22"/>
        </w:rPr>
        <w:t xml:space="preserve">taken </w:t>
      </w:r>
      <w:r w:rsidR="00DC451E" w:rsidRPr="00EC1019">
        <w:rPr>
          <w:rFonts w:ascii="Arial" w:hAnsi="Arial" w:cs="Arial"/>
          <w:sz w:val="22"/>
          <w:szCs w:val="22"/>
        </w:rPr>
        <w:t xml:space="preserve">by </w:t>
      </w:r>
      <w:r w:rsidR="00F00BAB" w:rsidRPr="00EC1019">
        <w:rPr>
          <w:rFonts w:ascii="Arial" w:hAnsi="Arial" w:cs="Arial"/>
          <w:sz w:val="22"/>
          <w:szCs w:val="22"/>
        </w:rPr>
        <w:t xml:space="preserve">non-law </w:t>
      </w:r>
      <w:r w:rsidR="004A1144" w:rsidRPr="00EC1019">
        <w:rPr>
          <w:rFonts w:ascii="Arial" w:hAnsi="Arial" w:cs="Arial"/>
          <w:sz w:val="22"/>
          <w:szCs w:val="22"/>
        </w:rPr>
        <w:t xml:space="preserve">graduates </w:t>
      </w:r>
      <w:r w:rsidR="0014130F" w:rsidRPr="00EC1019">
        <w:rPr>
          <w:rFonts w:ascii="Arial" w:hAnsi="Arial" w:cs="Arial"/>
          <w:sz w:val="22"/>
          <w:szCs w:val="22"/>
        </w:rPr>
        <w:t xml:space="preserve">(NLG) </w:t>
      </w:r>
      <w:r w:rsidR="00DC451E" w:rsidRPr="00EC1019">
        <w:rPr>
          <w:rFonts w:ascii="Arial" w:hAnsi="Arial" w:cs="Arial"/>
          <w:sz w:val="22"/>
          <w:szCs w:val="22"/>
        </w:rPr>
        <w:t>se</w:t>
      </w:r>
      <w:r w:rsidR="00431A71">
        <w:rPr>
          <w:rFonts w:ascii="Arial" w:hAnsi="Arial" w:cs="Arial"/>
          <w:sz w:val="22"/>
          <w:szCs w:val="22"/>
        </w:rPr>
        <w:t>eking to qualify as solicitors and</w:t>
      </w:r>
      <w:r w:rsidR="00DC451E" w:rsidRPr="00EC1019">
        <w:rPr>
          <w:rFonts w:ascii="Arial" w:hAnsi="Arial" w:cs="Arial"/>
          <w:sz w:val="22"/>
          <w:szCs w:val="22"/>
        </w:rPr>
        <w:t xml:space="preserve"> barrister</w:t>
      </w:r>
      <w:r w:rsidR="00431A71">
        <w:rPr>
          <w:rFonts w:ascii="Arial" w:hAnsi="Arial" w:cs="Arial"/>
          <w:sz w:val="22"/>
          <w:szCs w:val="22"/>
        </w:rPr>
        <w:t>s</w:t>
      </w:r>
      <w:r w:rsidR="009F7874">
        <w:rPr>
          <w:rFonts w:ascii="Arial" w:hAnsi="Arial" w:cs="Arial"/>
          <w:sz w:val="22"/>
          <w:szCs w:val="22"/>
        </w:rPr>
        <w:t xml:space="preserve"> in England and Wales</w:t>
      </w:r>
      <w:r w:rsidR="005E4C9D" w:rsidRPr="00EC1019">
        <w:rPr>
          <w:rFonts w:ascii="Arial" w:hAnsi="Arial" w:cs="Arial"/>
          <w:sz w:val="22"/>
          <w:szCs w:val="22"/>
        </w:rPr>
        <w:t>.</w:t>
      </w:r>
      <w:r w:rsidR="00CF17A2" w:rsidRPr="00EC1019">
        <w:rPr>
          <w:rFonts w:ascii="Arial" w:hAnsi="Arial" w:cs="Arial"/>
          <w:sz w:val="22"/>
          <w:szCs w:val="22"/>
        </w:rPr>
        <w:t xml:space="preserve"> </w:t>
      </w:r>
      <w:r w:rsidR="007738F0" w:rsidRPr="00EC1019">
        <w:rPr>
          <w:rFonts w:ascii="Arial" w:hAnsi="Arial" w:cs="Arial"/>
          <w:sz w:val="22"/>
          <w:szCs w:val="22"/>
        </w:rPr>
        <w:t xml:space="preserve">The </w:t>
      </w:r>
      <w:r w:rsidR="00634CA9">
        <w:rPr>
          <w:rFonts w:ascii="Arial" w:hAnsi="Arial" w:cs="Arial"/>
          <w:sz w:val="22"/>
          <w:szCs w:val="22"/>
        </w:rPr>
        <w:t xml:space="preserve">SRA and BSB </w:t>
      </w:r>
      <w:r w:rsidR="00A00FCF" w:rsidRPr="00EC1019">
        <w:rPr>
          <w:rFonts w:ascii="Arial" w:hAnsi="Arial" w:cs="Arial"/>
          <w:sz w:val="22"/>
          <w:szCs w:val="22"/>
        </w:rPr>
        <w:t>are</w:t>
      </w:r>
      <w:r w:rsidR="007738F0" w:rsidRPr="00EC1019">
        <w:rPr>
          <w:rFonts w:ascii="Arial" w:hAnsi="Arial" w:cs="Arial"/>
          <w:sz w:val="22"/>
          <w:szCs w:val="22"/>
        </w:rPr>
        <w:t xml:space="preserve"> changing the paths to qualification</w:t>
      </w:r>
      <w:r w:rsidR="006E1CB0">
        <w:rPr>
          <w:rFonts w:ascii="Arial" w:hAnsi="Arial" w:cs="Arial"/>
          <w:sz w:val="22"/>
          <w:szCs w:val="22"/>
        </w:rPr>
        <w:t>,</w:t>
      </w:r>
      <w:r w:rsidR="00BD67C7">
        <w:rPr>
          <w:rFonts w:ascii="Arial" w:hAnsi="Arial" w:cs="Arial"/>
          <w:sz w:val="22"/>
          <w:szCs w:val="22"/>
        </w:rPr>
        <w:t xml:space="preserve"> which </w:t>
      </w:r>
      <w:r w:rsidR="006E1CB0">
        <w:rPr>
          <w:rFonts w:ascii="Arial" w:hAnsi="Arial" w:cs="Arial"/>
          <w:sz w:val="22"/>
          <w:szCs w:val="22"/>
        </w:rPr>
        <w:t>for NLG,</w:t>
      </w:r>
      <w:r w:rsidR="006E1CB0" w:rsidRPr="00EC1019">
        <w:rPr>
          <w:rFonts w:ascii="Arial" w:hAnsi="Arial" w:cs="Arial"/>
          <w:sz w:val="22"/>
          <w:szCs w:val="22"/>
        </w:rPr>
        <w:t xml:space="preserve"> </w:t>
      </w:r>
      <w:r w:rsidR="00DF2069" w:rsidRPr="00EC1019">
        <w:rPr>
          <w:rFonts w:ascii="Arial" w:hAnsi="Arial" w:cs="Arial"/>
          <w:sz w:val="22"/>
          <w:szCs w:val="22"/>
        </w:rPr>
        <w:t>commences</w:t>
      </w:r>
      <w:r w:rsidR="001564BB">
        <w:rPr>
          <w:rFonts w:ascii="Arial" w:hAnsi="Arial" w:cs="Arial"/>
          <w:sz w:val="22"/>
          <w:szCs w:val="22"/>
        </w:rPr>
        <w:t xml:space="preserve"> </w:t>
      </w:r>
      <w:r w:rsidR="00AA264C">
        <w:rPr>
          <w:rFonts w:ascii="Arial" w:hAnsi="Arial" w:cs="Arial"/>
          <w:sz w:val="22"/>
          <w:szCs w:val="22"/>
        </w:rPr>
        <w:t xml:space="preserve">currently </w:t>
      </w:r>
      <w:r w:rsidR="001564BB">
        <w:rPr>
          <w:rFonts w:ascii="Arial" w:hAnsi="Arial" w:cs="Arial"/>
          <w:sz w:val="22"/>
          <w:szCs w:val="22"/>
        </w:rPr>
        <w:t>with th</w:t>
      </w:r>
      <w:r w:rsidR="00582EA2">
        <w:rPr>
          <w:rFonts w:ascii="Arial" w:hAnsi="Arial" w:cs="Arial"/>
          <w:sz w:val="22"/>
          <w:szCs w:val="22"/>
        </w:rPr>
        <w:t>is</w:t>
      </w:r>
      <w:r w:rsidR="001564BB">
        <w:rPr>
          <w:rFonts w:ascii="Arial" w:hAnsi="Arial" w:cs="Arial"/>
          <w:sz w:val="22"/>
          <w:szCs w:val="22"/>
        </w:rPr>
        <w:t xml:space="preserve"> </w:t>
      </w:r>
      <w:r w:rsidR="000471DF" w:rsidRPr="00EC1019">
        <w:rPr>
          <w:rFonts w:ascii="Arial" w:hAnsi="Arial" w:cs="Arial"/>
          <w:sz w:val="22"/>
          <w:szCs w:val="22"/>
        </w:rPr>
        <w:t>course</w:t>
      </w:r>
      <w:r w:rsidR="00A1377D" w:rsidRPr="00EC1019">
        <w:rPr>
          <w:rFonts w:ascii="Arial" w:hAnsi="Arial" w:cs="Arial"/>
          <w:sz w:val="22"/>
          <w:szCs w:val="22"/>
        </w:rPr>
        <w:t xml:space="preserve">. </w:t>
      </w:r>
      <w:r w:rsidR="002029BC" w:rsidRPr="00EC1019">
        <w:rPr>
          <w:rFonts w:ascii="Arial" w:hAnsi="Arial" w:cs="Arial"/>
          <w:sz w:val="22"/>
          <w:szCs w:val="22"/>
        </w:rPr>
        <w:t xml:space="preserve">University </w:t>
      </w:r>
      <w:r w:rsidR="00DD3BA2" w:rsidRPr="00EC1019">
        <w:rPr>
          <w:rFonts w:ascii="Arial" w:hAnsi="Arial" w:cs="Arial"/>
          <w:sz w:val="22"/>
          <w:szCs w:val="22"/>
        </w:rPr>
        <w:t>l</w:t>
      </w:r>
      <w:r w:rsidR="00FB4E21" w:rsidRPr="00EC1019">
        <w:rPr>
          <w:rFonts w:ascii="Arial" w:hAnsi="Arial" w:cs="Arial"/>
          <w:sz w:val="22"/>
          <w:szCs w:val="22"/>
        </w:rPr>
        <w:t xml:space="preserve">aw schools </w:t>
      </w:r>
      <w:r w:rsidR="001564BB">
        <w:rPr>
          <w:rFonts w:ascii="Arial" w:hAnsi="Arial" w:cs="Arial"/>
          <w:sz w:val="22"/>
          <w:szCs w:val="22"/>
        </w:rPr>
        <w:t xml:space="preserve">are particularly unsettled by </w:t>
      </w:r>
      <w:r w:rsidR="00BD67C7">
        <w:rPr>
          <w:rFonts w:ascii="Arial" w:hAnsi="Arial" w:cs="Arial"/>
          <w:sz w:val="22"/>
          <w:szCs w:val="22"/>
        </w:rPr>
        <w:t xml:space="preserve">(i) the </w:t>
      </w:r>
      <w:r w:rsidR="006B4C54">
        <w:rPr>
          <w:rFonts w:ascii="Arial" w:hAnsi="Arial" w:cs="Arial"/>
          <w:sz w:val="22"/>
          <w:szCs w:val="22"/>
        </w:rPr>
        <w:t xml:space="preserve">impact of the </w:t>
      </w:r>
      <w:r w:rsidR="00634CA9">
        <w:rPr>
          <w:rFonts w:ascii="Arial" w:hAnsi="Arial" w:cs="Arial"/>
          <w:sz w:val="22"/>
          <w:szCs w:val="22"/>
        </w:rPr>
        <w:t>SRA</w:t>
      </w:r>
      <w:r w:rsidR="00E35344">
        <w:rPr>
          <w:rFonts w:ascii="Arial" w:hAnsi="Arial" w:cs="Arial"/>
          <w:sz w:val="22"/>
          <w:szCs w:val="22"/>
        </w:rPr>
        <w:t>’s</w:t>
      </w:r>
      <w:r w:rsidR="00634CA9">
        <w:rPr>
          <w:rFonts w:ascii="Arial" w:hAnsi="Arial" w:cs="Arial"/>
          <w:sz w:val="22"/>
          <w:szCs w:val="22"/>
        </w:rPr>
        <w:t xml:space="preserve"> move to a centralised exam </w:t>
      </w:r>
      <w:r w:rsidR="00BD67C7">
        <w:rPr>
          <w:rFonts w:ascii="Arial" w:hAnsi="Arial" w:cs="Arial"/>
          <w:sz w:val="22"/>
          <w:szCs w:val="22"/>
        </w:rPr>
        <w:t xml:space="preserve">(ii) the </w:t>
      </w:r>
      <w:r w:rsidR="000452A0">
        <w:rPr>
          <w:rFonts w:ascii="Arial" w:hAnsi="Arial" w:cs="Arial"/>
          <w:sz w:val="22"/>
          <w:szCs w:val="22"/>
        </w:rPr>
        <w:t xml:space="preserve">de-regulation of </w:t>
      </w:r>
      <w:r w:rsidR="007E1078">
        <w:rPr>
          <w:rFonts w:ascii="Arial" w:hAnsi="Arial" w:cs="Arial"/>
          <w:sz w:val="22"/>
          <w:szCs w:val="22"/>
        </w:rPr>
        <w:t>course</w:t>
      </w:r>
      <w:r w:rsidR="000452A0">
        <w:rPr>
          <w:rFonts w:ascii="Arial" w:hAnsi="Arial" w:cs="Arial"/>
          <w:sz w:val="22"/>
          <w:szCs w:val="22"/>
        </w:rPr>
        <w:t>s</w:t>
      </w:r>
      <w:r w:rsidR="00F95CD5" w:rsidRPr="00EC1019">
        <w:rPr>
          <w:rFonts w:ascii="Arial" w:hAnsi="Arial" w:cs="Arial"/>
          <w:sz w:val="22"/>
          <w:szCs w:val="22"/>
        </w:rPr>
        <w:t xml:space="preserve"> </w:t>
      </w:r>
      <w:r w:rsidR="007E1078">
        <w:rPr>
          <w:rFonts w:ascii="Arial" w:hAnsi="Arial" w:cs="Arial"/>
          <w:sz w:val="22"/>
          <w:szCs w:val="22"/>
        </w:rPr>
        <w:t>including</w:t>
      </w:r>
      <w:r w:rsidR="00F95CD5" w:rsidRPr="00EC1019">
        <w:rPr>
          <w:rFonts w:ascii="Arial" w:hAnsi="Arial" w:cs="Arial"/>
          <w:sz w:val="22"/>
          <w:szCs w:val="22"/>
        </w:rPr>
        <w:t xml:space="preserve"> the conversion course</w:t>
      </w:r>
      <w:r w:rsidR="00634CA9">
        <w:rPr>
          <w:rFonts w:ascii="Arial" w:hAnsi="Arial" w:cs="Arial"/>
          <w:sz w:val="22"/>
          <w:szCs w:val="22"/>
        </w:rPr>
        <w:t xml:space="preserve"> and (ii</w:t>
      </w:r>
      <w:r w:rsidR="00BD67C7">
        <w:rPr>
          <w:rFonts w:ascii="Arial" w:hAnsi="Arial" w:cs="Arial"/>
          <w:sz w:val="22"/>
          <w:szCs w:val="22"/>
        </w:rPr>
        <w:t>i</w:t>
      </w:r>
      <w:r w:rsidR="00634CA9">
        <w:rPr>
          <w:rFonts w:ascii="Arial" w:hAnsi="Arial" w:cs="Arial"/>
          <w:sz w:val="22"/>
          <w:szCs w:val="22"/>
        </w:rPr>
        <w:t xml:space="preserve">) </w:t>
      </w:r>
      <w:r w:rsidR="00BD67C7">
        <w:rPr>
          <w:rFonts w:ascii="Arial" w:hAnsi="Arial" w:cs="Arial"/>
          <w:sz w:val="22"/>
          <w:szCs w:val="22"/>
        </w:rPr>
        <w:t>the</w:t>
      </w:r>
      <w:r w:rsidR="002602C5">
        <w:rPr>
          <w:rFonts w:ascii="Arial" w:hAnsi="Arial" w:cs="Arial"/>
          <w:sz w:val="22"/>
          <w:szCs w:val="22"/>
        </w:rPr>
        <w:t xml:space="preserve"> </w:t>
      </w:r>
      <w:r w:rsidR="00114B01" w:rsidRPr="00EC1019">
        <w:rPr>
          <w:rFonts w:ascii="Arial" w:hAnsi="Arial" w:cs="Arial"/>
          <w:sz w:val="22"/>
          <w:szCs w:val="22"/>
        </w:rPr>
        <w:t xml:space="preserve">divergence </w:t>
      </w:r>
      <w:r w:rsidR="00BD67C7">
        <w:rPr>
          <w:rFonts w:ascii="Arial" w:hAnsi="Arial" w:cs="Arial"/>
          <w:sz w:val="22"/>
          <w:szCs w:val="22"/>
        </w:rPr>
        <w:t>in professional requirements</w:t>
      </w:r>
      <w:r w:rsidR="00586287" w:rsidRPr="00EC1019">
        <w:rPr>
          <w:rFonts w:ascii="Arial" w:hAnsi="Arial" w:cs="Arial"/>
          <w:sz w:val="22"/>
          <w:szCs w:val="22"/>
        </w:rPr>
        <w:t xml:space="preserve">. </w:t>
      </w:r>
      <w:r w:rsidR="00804577" w:rsidRPr="00EC1019">
        <w:rPr>
          <w:rFonts w:ascii="Arial" w:hAnsi="Arial" w:cs="Arial"/>
          <w:sz w:val="22"/>
          <w:szCs w:val="22"/>
        </w:rPr>
        <w:t>Th</w:t>
      </w:r>
      <w:r w:rsidR="007E1078">
        <w:rPr>
          <w:rFonts w:ascii="Arial" w:hAnsi="Arial" w:cs="Arial"/>
          <w:sz w:val="22"/>
          <w:szCs w:val="22"/>
        </w:rPr>
        <w:t>is</w:t>
      </w:r>
      <w:r w:rsidR="00114B01" w:rsidRPr="00EC1019">
        <w:rPr>
          <w:rFonts w:ascii="Arial" w:hAnsi="Arial" w:cs="Arial"/>
          <w:sz w:val="22"/>
          <w:szCs w:val="22"/>
        </w:rPr>
        <w:t xml:space="preserve"> </w:t>
      </w:r>
      <w:r w:rsidR="008F03EB" w:rsidRPr="00EC1019">
        <w:rPr>
          <w:rFonts w:ascii="Arial" w:hAnsi="Arial" w:cs="Arial"/>
          <w:sz w:val="22"/>
          <w:szCs w:val="22"/>
        </w:rPr>
        <w:t>ar</w:t>
      </w:r>
      <w:r w:rsidR="003C2793" w:rsidRPr="00EC1019">
        <w:rPr>
          <w:rFonts w:ascii="Arial" w:hAnsi="Arial" w:cs="Arial"/>
          <w:sz w:val="22"/>
          <w:szCs w:val="22"/>
        </w:rPr>
        <w:t xml:space="preserve">ticle </w:t>
      </w:r>
      <w:r w:rsidR="00232B77" w:rsidRPr="00EC1019">
        <w:rPr>
          <w:rFonts w:ascii="Arial" w:hAnsi="Arial" w:cs="Arial"/>
          <w:sz w:val="22"/>
          <w:szCs w:val="22"/>
        </w:rPr>
        <w:t>analys</w:t>
      </w:r>
      <w:r w:rsidR="00E1522B">
        <w:rPr>
          <w:rFonts w:ascii="Arial" w:hAnsi="Arial" w:cs="Arial"/>
          <w:sz w:val="22"/>
          <w:szCs w:val="22"/>
        </w:rPr>
        <w:t xml:space="preserve">es </w:t>
      </w:r>
      <w:r w:rsidR="00B224A2" w:rsidRPr="00EC1019">
        <w:rPr>
          <w:rFonts w:ascii="Arial" w:hAnsi="Arial" w:cs="Arial"/>
          <w:sz w:val="22"/>
          <w:szCs w:val="22"/>
        </w:rPr>
        <w:t xml:space="preserve">the changes and </w:t>
      </w:r>
      <w:r w:rsidR="00DF2069" w:rsidRPr="00EC1019">
        <w:rPr>
          <w:rFonts w:ascii="Arial" w:hAnsi="Arial" w:cs="Arial"/>
          <w:sz w:val="22"/>
          <w:szCs w:val="22"/>
        </w:rPr>
        <w:t xml:space="preserve">the </w:t>
      </w:r>
      <w:r w:rsidR="00B224A2" w:rsidRPr="00EC1019">
        <w:rPr>
          <w:rFonts w:ascii="Arial" w:hAnsi="Arial" w:cs="Arial"/>
          <w:sz w:val="22"/>
          <w:szCs w:val="22"/>
        </w:rPr>
        <w:t xml:space="preserve">likely responses to them </w:t>
      </w:r>
      <w:r w:rsidR="007E1078">
        <w:rPr>
          <w:rFonts w:ascii="Arial" w:hAnsi="Arial" w:cs="Arial"/>
          <w:sz w:val="22"/>
          <w:szCs w:val="22"/>
        </w:rPr>
        <w:t>taking account of</w:t>
      </w:r>
      <w:r w:rsidR="00B224A2" w:rsidRPr="00EC1019">
        <w:rPr>
          <w:rFonts w:ascii="Arial" w:hAnsi="Arial" w:cs="Arial"/>
          <w:sz w:val="22"/>
          <w:szCs w:val="22"/>
        </w:rPr>
        <w:t xml:space="preserve"> the factors which have influenced </w:t>
      </w:r>
      <w:r w:rsidR="000471DF" w:rsidRPr="00EC1019">
        <w:rPr>
          <w:rFonts w:ascii="Arial" w:hAnsi="Arial" w:cs="Arial"/>
          <w:sz w:val="22"/>
          <w:szCs w:val="22"/>
        </w:rPr>
        <w:t xml:space="preserve">the development of </w:t>
      </w:r>
      <w:r w:rsidR="00F95CD5" w:rsidRPr="00EC1019">
        <w:rPr>
          <w:rFonts w:ascii="Arial" w:hAnsi="Arial" w:cs="Arial"/>
          <w:sz w:val="22"/>
          <w:szCs w:val="22"/>
        </w:rPr>
        <w:t xml:space="preserve">the </w:t>
      </w:r>
      <w:r w:rsidR="00BD67C7">
        <w:rPr>
          <w:rFonts w:ascii="Arial" w:hAnsi="Arial" w:cs="Arial"/>
          <w:sz w:val="22"/>
          <w:szCs w:val="22"/>
        </w:rPr>
        <w:t xml:space="preserve">conversion </w:t>
      </w:r>
      <w:r w:rsidR="00F95CD5" w:rsidRPr="00EC1019">
        <w:rPr>
          <w:rFonts w:ascii="Arial" w:hAnsi="Arial" w:cs="Arial"/>
          <w:sz w:val="22"/>
          <w:szCs w:val="22"/>
        </w:rPr>
        <w:t>course</w:t>
      </w:r>
      <w:r w:rsidR="007E1078">
        <w:rPr>
          <w:rFonts w:ascii="Arial" w:hAnsi="Arial" w:cs="Arial"/>
          <w:sz w:val="22"/>
          <w:szCs w:val="22"/>
        </w:rPr>
        <w:t xml:space="preserve"> as it is today</w:t>
      </w:r>
      <w:r w:rsidR="00222807">
        <w:rPr>
          <w:rFonts w:ascii="Arial" w:hAnsi="Arial" w:cs="Arial"/>
          <w:sz w:val="22"/>
          <w:szCs w:val="22"/>
        </w:rPr>
        <w:softHyphen/>
      </w:r>
      <w:r w:rsidR="00DF2069" w:rsidRPr="00EC1019">
        <w:rPr>
          <w:rFonts w:ascii="Arial" w:hAnsi="Arial" w:cs="Arial"/>
          <w:sz w:val="22"/>
          <w:szCs w:val="22"/>
        </w:rPr>
        <w:t>. These</w:t>
      </w:r>
      <w:r w:rsidR="00B224A2" w:rsidRPr="00EC1019">
        <w:rPr>
          <w:rFonts w:ascii="Arial" w:hAnsi="Arial" w:cs="Arial"/>
          <w:sz w:val="22"/>
          <w:szCs w:val="22"/>
        </w:rPr>
        <w:t xml:space="preserve"> </w:t>
      </w:r>
      <w:r w:rsidR="00F95CD5" w:rsidRPr="00EC1019">
        <w:rPr>
          <w:rFonts w:ascii="Arial" w:hAnsi="Arial" w:cs="Arial"/>
          <w:sz w:val="22"/>
          <w:szCs w:val="22"/>
        </w:rPr>
        <w:t>have</w:t>
      </w:r>
      <w:r w:rsidR="00B224A2" w:rsidRPr="00EC1019">
        <w:rPr>
          <w:rFonts w:ascii="Arial" w:hAnsi="Arial" w:cs="Arial"/>
          <w:sz w:val="22"/>
          <w:szCs w:val="22"/>
        </w:rPr>
        <w:t xml:space="preserve"> been</w:t>
      </w:r>
      <w:r w:rsidR="00C45DA6">
        <w:rPr>
          <w:rFonts w:ascii="Arial" w:hAnsi="Arial" w:cs="Arial"/>
          <w:sz w:val="22"/>
          <w:szCs w:val="22"/>
        </w:rPr>
        <w:t>,</w:t>
      </w:r>
      <w:r w:rsidR="00B224A2" w:rsidRPr="00EC1019">
        <w:rPr>
          <w:rFonts w:ascii="Arial" w:hAnsi="Arial" w:cs="Arial"/>
          <w:sz w:val="22"/>
          <w:szCs w:val="22"/>
        </w:rPr>
        <w:t xml:space="preserve"> </w:t>
      </w:r>
      <w:r w:rsidR="00F95CD5" w:rsidRPr="00EC1019">
        <w:rPr>
          <w:rFonts w:ascii="Arial" w:hAnsi="Arial" w:cs="Arial"/>
          <w:sz w:val="22"/>
          <w:szCs w:val="22"/>
        </w:rPr>
        <w:t>and</w:t>
      </w:r>
      <w:r w:rsidR="00DF2069" w:rsidRPr="00EC1019">
        <w:rPr>
          <w:rFonts w:ascii="Arial" w:hAnsi="Arial" w:cs="Arial"/>
          <w:sz w:val="22"/>
          <w:szCs w:val="22"/>
        </w:rPr>
        <w:t>, it is argued,</w:t>
      </w:r>
      <w:r w:rsidR="00091783">
        <w:rPr>
          <w:rFonts w:ascii="Arial" w:hAnsi="Arial" w:cs="Arial"/>
          <w:sz w:val="22"/>
          <w:szCs w:val="22"/>
        </w:rPr>
        <w:t xml:space="preserve"> will </w:t>
      </w:r>
      <w:r w:rsidR="00DE58DB">
        <w:rPr>
          <w:rFonts w:ascii="Arial" w:hAnsi="Arial" w:cs="Arial"/>
          <w:sz w:val="22"/>
          <w:szCs w:val="22"/>
        </w:rPr>
        <w:t>increasingly</w:t>
      </w:r>
      <w:r w:rsidR="00091783">
        <w:rPr>
          <w:rFonts w:ascii="Arial" w:hAnsi="Arial" w:cs="Arial"/>
          <w:sz w:val="22"/>
          <w:szCs w:val="22"/>
        </w:rPr>
        <w:t xml:space="preserve"> be, </w:t>
      </w:r>
      <w:r w:rsidR="000471DF" w:rsidRPr="00EC1019">
        <w:rPr>
          <w:rFonts w:ascii="Arial" w:hAnsi="Arial" w:cs="Arial"/>
          <w:sz w:val="22"/>
          <w:szCs w:val="22"/>
        </w:rPr>
        <w:t>market</w:t>
      </w:r>
      <w:r w:rsidR="004A4A7A">
        <w:rPr>
          <w:rFonts w:ascii="Arial" w:hAnsi="Arial" w:cs="Arial"/>
          <w:sz w:val="22"/>
          <w:szCs w:val="22"/>
        </w:rPr>
        <w:t>-</w:t>
      </w:r>
      <w:r w:rsidR="005F54B4">
        <w:rPr>
          <w:rFonts w:ascii="Arial" w:hAnsi="Arial" w:cs="Arial"/>
          <w:sz w:val="22"/>
          <w:szCs w:val="22"/>
        </w:rPr>
        <w:t>influenced</w:t>
      </w:r>
      <w:r w:rsidR="005F54B4" w:rsidRPr="00EC1019">
        <w:rPr>
          <w:rFonts w:ascii="Arial" w:hAnsi="Arial" w:cs="Arial"/>
          <w:sz w:val="22"/>
          <w:szCs w:val="22"/>
        </w:rPr>
        <w:t xml:space="preserve"> </w:t>
      </w:r>
      <w:r w:rsidR="00C45DA6">
        <w:rPr>
          <w:rFonts w:ascii="Arial" w:hAnsi="Arial" w:cs="Arial"/>
          <w:sz w:val="22"/>
          <w:szCs w:val="22"/>
        </w:rPr>
        <w:t>decisions</w:t>
      </w:r>
      <w:r w:rsidR="000471DF" w:rsidRPr="00EC1019">
        <w:rPr>
          <w:rFonts w:ascii="Arial" w:hAnsi="Arial" w:cs="Arial"/>
          <w:sz w:val="22"/>
          <w:szCs w:val="22"/>
        </w:rPr>
        <w:t xml:space="preserve"> </w:t>
      </w:r>
      <w:r w:rsidR="00DE58DB">
        <w:rPr>
          <w:rFonts w:ascii="Arial" w:hAnsi="Arial" w:cs="Arial"/>
          <w:sz w:val="22"/>
          <w:szCs w:val="22"/>
        </w:rPr>
        <w:t>to ens</w:t>
      </w:r>
      <w:r w:rsidR="00BD67C7">
        <w:rPr>
          <w:rFonts w:ascii="Arial" w:hAnsi="Arial" w:cs="Arial"/>
          <w:sz w:val="22"/>
          <w:szCs w:val="22"/>
        </w:rPr>
        <w:t>u</w:t>
      </w:r>
      <w:r w:rsidR="00DE58DB">
        <w:rPr>
          <w:rFonts w:ascii="Arial" w:hAnsi="Arial" w:cs="Arial"/>
          <w:sz w:val="22"/>
          <w:szCs w:val="22"/>
        </w:rPr>
        <w:t>re</w:t>
      </w:r>
      <w:r w:rsidR="004A4A7A">
        <w:rPr>
          <w:rFonts w:ascii="Arial" w:hAnsi="Arial" w:cs="Arial"/>
          <w:sz w:val="22"/>
          <w:szCs w:val="22"/>
        </w:rPr>
        <w:t xml:space="preserve"> </w:t>
      </w:r>
      <w:r w:rsidR="00E35344">
        <w:rPr>
          <w:rFonts w:ascii="Arial" w:hAnsi="Arial" w:cs="Arial"/>
          <w:sz w:val="22"/>
          <w:szCs w:val="22"/>
        </w:rPr>
        <w:t xml:space="preserve">a </w:t>
      </w:r>
      <w:r w:rsidR="00B224A2" w:rsidRPr="00EC1019">
        <w:rPr>
          <w:rFonts w:ascii="Arial" w:hAnsi="Arial" w:cs="Arial"/>
          <w:sz w:val="22"/>
          <w:szCs w:val="22"/>
        </w:rPr>
        <w:t xml:space="preserve">supply </w:t>
      </w:r>
      <w:r w:rsidR="00B224A2" w:rsidRPr="00AC7C06">
        <w:rPr>
          <w:rFonts w:ascii="Arial" w:hAnsi="Arial" w:cs="Arial"/>
          <w:sz w:val="22"/>
          <w:szCs w:val="22"/>
        </w:rPr>
        <w:t xml:space="preserve">of </w:t>
      </w:r>
      <w:r w:rsidR="002602C5" w:rsidRPr="00AC7C06">
        <w:rPr>
          <w:rFonts w:ascii="Arial" w:hAnsi="Arial" w:cs="Arial"/>
          <w:sz w:val="22"/>
          <w:szCs w:val="22"/>
        </w:rPr>
        <w:t>‘good’</w:t>
      </w:r>
      <w:r w:rsidR="002602C5">
        <w:rPr>
          <w:rFonts w:ascii="Arial" w:hAnsi="Arial" w:cs="Arial"/>
          <w:sz w:val="22"/>
          <w:szCs w:val="22"/>
        </w:rPr>
        <w:t xml:space="preserve"> graduates</w:t>
      </w:r>
      <w:r w:rsidR="00B224A2" w:rsidRPr="00EC1019">
        <w:rPr>
          <w:rFonts w:ascii="Arial" w:hAnsi="Arial" w:cs="Arial"/>
          <w:sz w:val="22"/>
          <w:szCs w:val="22"/>
        </w:rPr>
        <w:t xml:space="preserve">. </w:t>
      </w:r>
      <w:r w:rsidR="00043F31">
        <w:rPr>
          <w:rFonts w:ascii="Arial" w:hAnsi="Arial" w:cs="Arial"/>
          <w:sz w:val="22"/>
          <w:szCs w:val="22"/>
        </w:rPr>
        <w:t>The a</w:t>
      </w:r>
      <w:r w:rsidR="00BD67C7">
        <w:rPr>
          <w:rFonts w:ascii="Arial" w:hAnsi="Arial" w:cs="Arial"/>
          <w:sz w:val="22"/>
          <w:szCs w:val="22"/>
        </w:rPr>
        <w:t>nalysis is</w:t>
      </w:r>
      <w:r w:rsidR="00815D02">
        <w:rPr>
          <w:rFonts w:ascii="Arial" w:hAnsi="Arial" w:cs="Arial"/>
          <w:sz w:val="22"/>
          <w:szCs w:val="22"/>
        </w:rPr>
        <w:t xml:space="preserve"> </w:t>
      </w:r>
      <w:r w:rsidR="004A4A7A">
        <w:rPr>
          <w:rFonts w:ascii="Arial" w:hAnsi="Arial" w:cs="Arial"/>
          <w:sz w:val="22"/>
          <w:szCs w:val="22"/>
        </w:rPr>
        <w:t>juxtapose</w:t>
      </w:r>
      <w:r w:rsidR="00BD67C7">
        <w:rPr>
          <w:rFonts w:ascii="Arial" w:hAnsi="Arial" w:cs="Arial"/>
          <w:sz w:val="22"/>
          <w:szCs w:val="22"/>
        </w:rPr>
        <w:t>d</w:t>
      </w:r>
      <w:r w:rsidR="004A4A7A">
        <w:rPr>
          <w:rFonts w:ascii="Arial" w:hAnsi="Arial" w:cs="Arial"/>
          <w:sz w:val="22"/>
          <w:szCs w:val="22"/>
        </w:rPr>
        <w:t xml:space="preserve"> with</w:t>
      </w:r>
      <w:r w:rsidR="00F95CD5" w:rsidRPr="00EC1019">
        <w:rPr>
          <w:rFonts w:ascii="Arial" w:hAnsi="Arial" w:cs="Arial"/>
          <w:sz w:val="22"/>
          <w:szCs w:val="22"/>
        </w:rPr>
        <w:t xml:space="preserve"> </w:t>
      </w:r>
      <w:r w:rsidR="00BD67C7">
        <w:rPr>
          <w:rFonts w:ascii="Arial" w:hAnsi="Arial" w:cs="Arial"/>
          <w:sz w:val="22"/>
          <w:szCs w:val="22"/>
        </w:rPr>
        <w:t>the</w:t>
      </w:r>
      <w:r w:rsidR="004A4A7A">
        <w:rPr>
          <w:rFonts w:ascii="Arial" w:hAnsi="Arial" w:cs="Arial"/>
          <w:sz w:val="22"/>
          <w:szCs w:val="22"/>
        </w:rPr>
        <w:t xml:space="preserve"> agenda for </w:t>
      </w:r>
      <w:r w:rsidR="000471DF" w:rsidRPr="00EC1019">
        <w:rPr>
          <w:rFonts w:ascii="Arial" w:hAnsi="Arial" w:cs="Arial"/>
          <w:sz w:val="22"/>
          <w:szCs w:val="22"/>
        </w:rPr>
        <w:t>diversity</w:t>
      </w:r>
      <w:r w:rsidR="002602C5">
        <w:rPr>
          <w:rFonts w:ascii="Arial" w:hAnsi="Arial" w:cs="Arial"/>
          <w:sz w:val="22"/>
          <w:szCs w:val="22"/>
        </w:rPr>
        <w:t>, this</w:t>
      </w:r>
      <w:r w:rsidR="000471DF" w:rsidRPr="00EC1019">
        <w:rPr>
          <w:rFonts w:ascii="Arial" w:hAnsi="Arial" w:cs="Arial"/>
          <w:sz w:val="22"/>
          <w:szCs w:val="22"/>
        </w:rPr>
        <w:t xml:space="preserve"> </w:t>
      </w:r>
      <w:r w:rsidR="002501BE">
        <w:rPr>
          <w:rFonts w:ascii="Arial" w:hAnsi="Arial" w:cs="Arial"/>
          <w:sz w:val="22"/>
          <w:szCs w:val="22"/>
        </w:rPr>
        <w:t xml:space="preserve">being </w:t>
      </w:r>
      <w:r w:rsidR="007E1078" w:rsidRPr="002363EB">
        <w:rPr>
          <w:rFonts w:ascii="Arial" w:hAnsi="Arial" w:cs="Arial"/>
          <w:sz w:val="22"/>
          <w:szCs w:val="22"/>
        </w:rPr>
        <w:t xml:space="preserve">a key driver </w:t>
      </w:r>
      <w:r w:rsidR="007E1078">
        <w:rPr>
          <w:rFonts w:ascii="Arial" w:hAnsi="Arial" w:cs="Arial"/>
          <w:sz w:val="22"/>
          <w:szCs w:val="22"/>
        </w:rPr>
        <w:t>of</w:t>
      </w:r>
      <w:r w:rsidR="007E1078" w:rsidRPr="002363EB">
        <w:rPr>
          <w:rFonts w:ascii="Arial" w:hAnsi="Arial" w:cs="Arial"/>
          <w:sz w:val="22"/>
          <w:szCs w:val="22"/>
        </w:rPr>
        <w:t xml:space="preserve"> </w:t>
      </w:r>
      <w:r w:rsidR="00634CA9">
        <w:rPr>
          <w:rFonts w:ascii="Arial" w:hAnsi="Arial" w:cs="Arial"/>
          <w:sz w:val="22"/>
          <w:szCs w:val="22"/>
        </w:rPr>
        <w:t>regulatory</w:t>
      </w:r>
      <w:r w:rsidR="007E1078" w:rsidRPr="002363EB">
        <w:rPr>
          <w:rFonts w:ascii="Arial" w:hAnsi="Arial" w:cs="Arial"/>
          <w:sz w:val="22"/>
          <w:szCs w:val="22"/>
        </w:rPr>
        <w:t xml:space="preserve"> changes</w:t>
      </w:r>
      <w:r w:rsidR="00F95CD5" w:rsidRPr="00EC1019">
        <w:rPr>
          <w:rFonts w:ascii="Arial" w:hAnsi="Arial" w:cs="Arial"/>
          <w:sz w:val="22"/>
          <w:szCs w:val="22"/>
        </w:rPr>
        <w:t>.</w:t>
      </w:r>
      <w:r w:rsidR="00232B77" w:rsidRPr="00EC1019">
        <w:rPr>
          <w:rFonts w:ascii="Arial" w:hAnsi="Arial" w:cs="Arial"/>
          <w:sz w:val="22"/>
          <w:szCs w:val="22"/>
        </w:rPr>
        <w:t xml:space="preserve"> It </w:t>
      </w:r>
      <w:r w:rsidR="00F95CD5" w:rsidRPr="00EC1019">
        <w:rPr>
          <w:rFonts w:ascii="Arial" w:hAnsi="Arial" w:cs="Arial"/>
          <w:sz w:val="22"/>
          <w:szCs w:val="22"/>
        </w:rPr>
        <w:t xml:space="preserve">is argued </w:t>
      </w:r>
      <w:r w:rsidR="00DF2069" w:rsidRPr="00EC1019">
        <w:rPr>
          <w:rFonts w:ascii="Arial" w:hAnsi="Arial" w:cs="Arial"/>
          <w:sz w:val="22"/>
          <w:szCs w:val="22"/>
        </w:rPr>
        <w:t xml:space="preserve">that </w:t>
      </w:r>
      <w:r w:rsidR="00091783">
        <w:rPr>
          <w:rFonts w:ascii="Arial" w:hAnsi="Arial" w:cs="Arial"/>
          <w:sz w:val="22"/>
          <w:szCs w:val="22"/>
        </w:rPr>
        <w:t>a</w:t>
      </w:r>
      <w:r w:rsidR="00F95CD5" w:rsidRPr="00EC1019">
        <w:rPr>
          <w:rFonts w:ascii="Arial" w:hAnsi="Arial" w:cs="Arial"/>
          <w:sz w:val="22"/>
          <w:szCs w:val="22"/>
        </w:rPr>
        <w:t xml:space="preserve"> </w:t>
      </w:r>
      <w:r w:rsidR="00091783">
        <w:rPr>
          <w:rFonts w:ascii="Arial" w:hAnsi="Arial" w:cs="Arial"/>
          <w:sz w:val="22"/>
          <w:szCs w:val="22"/>
        </w:rPr>
        <w:t>free</w:t>
      </w:r>
      <w:r w:rsidR="002501BE">
        <w:rPr>
          <w:rFonts w:ascii="Arial" w:hAnsi="Arial" w:cs="Arial"/>
          <w:sz w:val="22"/>
          <w:szCs w:val="22"/>
        </w:rPr>
        <w:t xml:space="preserve"> </w:t>
      </w:r>
      <w:r w:rsidR="00091783">
        <w:rPr>
          <w:rFonts w:ascii="Arial" w:hAnsi="Arial" w:cs="Arial"/>
          <w:sz w:val="22"/>
          <w:szCs w:val="22"/>
        </w:rPr>
        <w:t>market</w:t>
      </w:r>
      <w:r w:rsidR="000C41F4">
        <w:rPr>
          <w:rFonts w:ascii="Arial" w:hAnsi="Arial" w:cs="Arial"/>
          <w:sz w:val="22"/>
          <w:szCs w:val="22"/>
        </w:rPr>
        <w:t xml:space="preserve"> </w:t>
      </w:r>
      <w:r w:rsidR="00655D89">
        <w:rPr>
          <w:rFonts w:ascii="Arial" w:hAnsi="Arial" w:cs="Arial"/>
          <w:sz w:val="22"/>
          <w:szCs w:val="22"/>
        </w:rPr>
        <w:t xml:space="preserve">of course providers </w:t>
      </w:r>
      <w:r w:rsidR="00DE58DB">
        <w:rPr>
          <w:rFonts w:ascii="Arial" w:hAnsi="Arial" w:cs="Arial"/>
          <w:sz w:val="22"/>
          <w:szCs w:val="22"/>
        </w:rPr>
        <w:t>points to</w:t>
      </w:r>
      <w:r w:rsidR="006B4C54">
        <w:rPr>
          <w:rFonts w:ascii="Arial" w:hAnsi="Arial" w:cs="Arial"/>
          <w:sz w:val="22"/>
          <w:szCs w:val="22"/>
        </w:rPr>
        <w:t xml:space="preserve"> new and</w:t>
      </w:r>
      <w:r w:rsidR="007E1078">
        <w:rPr>
          <w:rFonts w:ascii="Arial" w:hAnsi="Arial" w:cs="Arial"/>
          <w:sz w:val="22"/>
          <w:szCs w:val="22"/>
        </w:rPr>
        <w:t xml:space="preserve"> varie</w:t>
      </w:r>
      <w:r w:rsidR="006B4C54">
        <w:rPr>
          <w:rFonts w:ascii="Arial" w:hAnsi="Arial" w:cs="Arial"/>
          <w:sz w:val="22"/>
          <w:szCs w:val="22"/>
        </w:rPr>
        <w:t>d</w:t>
      </w:r>
      <w:r w:rsidR="00655D89">
        <w:rPr>
          <w:rFonts w:ascii="Arial" w:hAnsi="Arial" w:cs="Arial"/>
          <w:sz w:val="22"/>
          <w:szCs w:val="22"/>
        </w:rPr>
        <w:t xml:space="preserve"> </w:t>
      </w:r>
      <w:r w:rsidR="006B4C54">
        <w:rPr>
          <w:rFonts w:ascii="Arial" w:hAnsi="Arial" w:cs="Arial"/>
          <w:sz w:val="22"/>
          <w:szCs w:val="22"/>
        </w:rPr>
        <w:t>courses</w:t>
      </w:r>
      <w:r w:rsidR="00091783">
        <w:rPr>
          <w:rFonts w:ascii="Arial" w:hAnsi="Arial" w:cs="Arial"/>
          <w:sz w:val="22"/>
          <w:szCs w:val="22"/>
        </w:rPr>
        <w:t xml:space="preserve">, but </w:t>
      </w:r>
      <w:r w:rsidR="004A4A7A">
        <w:rPr>
          <w:rFonts w:ascii="Arial" w:hAnsi="Arial" w:cs="Arial"/>
          <w:sz w:val="22"/>
          <w:szCs w:val="22"/>
        </w:rPr>
        <w:t xml:space="preserve">there is no logic </w:t>
      </w:r>
      <w:r w:rsidR="006C0ECF">
        <w:rPr>
          <w:rFonts w:ascii="Arial" w:hAnsi="Arial" w:cs="Arial"/>
          <w:sz w:val="22"/>
          <w:szCs w:val="22"/>
        </w:rPr>
        <w:t xml:space="preserve">or factors </w:t>
      </w:r>
      <w:r w:rsidR="00DE58DB">
        <w:rPr>
          <w:rFonts w:ascii="Arial" w:hAnsi="Arial" w:cs="Arial"/>
          <w:sz w:val="22"/>
          <w:szCs w:val="22"/>
        </w:rPr>
        <w:t xml:space="preserve">on which it can be confidently </w:t>
      </w:r>
      <w:r w:rsidR="006C0ECF">
        <w:rPr>
          <w:rFonts w:ascii="Arial" w:hAnsi="Arial" w:cs="Arial"/>
          <w:sz w:val="22"/>
          <w:szCs w:val="22"/>
        </w:rPr>
        <w:t>suggest</w:t>
      </w:r>
      <w:r w:rsidR="00DE58DB">
        <w:rPr>
          <w:rFonts w:ascii="Arial" w:hAnsi="Arial" w:cs="Arial"/>
          <w:sz w:val="22"/>
          <w:szCs w:val="22"/>
        </w:rPr>
        <w:t>ed</w:t>
      </w:r>
      <w:r w:rsidR="006C0ECF">
        <w:rPr>
          <w:rFonts w:ascii="Arial" w:hAnsi="Arial" w:cs="Arial"/>
          <w:sz w:val="22"/>
          <w:szCs w:val="22"/>
        </w:rPr>
        <w:t xml:space="preserve"> that </w:t>
      </w:r>
      <w:r w:rsidR="004A4A7A">
        <w:rPr>
          <w:rFonts w:ascii="Arial" w:hAnsi="Arial" w:cs="Arial"/>
          <w:sz w:val="22"/>
          <w:szCs w:val="22"/>
        </w:rPr>
        <w:t xml:space="preserve">the </w:t>
      </w:r>
      <w:r w:rsidR="00DE58DB">
        <w:rPr>
          <w:rFonts w:ascii="Arial" w:hAnsi="Arial" w:cs="Arial"/>
          <w:sz w:val="22"/>
          <w:szCs w:val="22"/>
        </w:rPr>
        <w:t>reforms</w:t>
      </w:r>
      <w:r w:rsidR="004A4A7A" w:rsidRPr="00EC1019">
        <w:rPr>
          <w:rFonts w:ascii="Arial" w:hAnsi="Arial" w:cs="Arial"/>
          <w:sz w:val="22"/>
          <w:szCs w:val="22"/>
        </w:rPr>
        <w:t xml:space="preserve"> </w:t>
      </w:r>
      <w:r w:rsidR="006C0ECF">
        <w:rPr>
          <w:rFonts w:ascii="Arial" w:hAnsi="Arial" w:cs="Arial"/>
          <w:sz w:val="22"/>
          <w:szCs w:val="22"/>
        </w:rPr>
        <w:t xml:space="preserve">will lead to greater </w:t>
      </w:r>
      <w:r w:rsidR="002501BE">
        <w:rPr>
          <w:rFonts w:ascii="Arial" w:hAnsi="Arial" w:cs="Arial"/>
          <w:sz w:val="22"/>
          <w:szCs w:val="22"/>
        </w:rPr>
        <w:t>diversity</w:t>
      </w:r>
      <w:r w:rsidR="00DE58DB">
        <w:rPr>
          <w:rFonts w:ascii="Arial" w:hAnsi="Arial" w:cs="Arial"/>
          <w:sz w:val="22"/>
          <w:szCs w:val="22"/>
        </w:rPr>
        <w:t xml:space="preserve"> in the profession</w:t>
      </w:r>
      <w:r w:rsidR="00F95CD5" w:rsidRPr="00EC1019">
        <w:rPr>
          <w:rFonts w:ascii="Arial" w:hAnsi="Arial" w:cs="Arial"/>
          <w:sz w:val="22"/>
          <w:szCs w:val="22"/>
        </w:rPr>
        <w:t xml:space="preserve">. </w:t>
      </w:r>
    </w:p>
    <w:p w14:paraId="05F4482D" w14:textId="77777777" w:rsidR="00227540" w:rsidRPr="00EC1019" w:rsidRDefault="00227540" w:rsidP="00314391">
      <w:pPr>
        <w:widowControl w:val="0"/>
        <w:autoSpaceDE w:val="0"/>
        <w:autoSpaceDN w:val="0"/>
        <w:adjustRightInd w:val="0"/>
        <w:rPr>
          <w:rFonts w:ascii="Arial" w:hAnsi="Arial" w:cs="Arial"/>
          <w:sz w:val="22"/>
          <w:szCs w:val="22"/>
        </w:rPr>
      </w:pPr>
    </w:p>
    <w:p w14:paraId="07819A80" w14:textId="77777777" w:rsidR="00213F33" w:rsidRPr="00EC1019" w:rsidRDefault="00213F33" w:rsidP="00314391">
      <w:pPr>
        <w:rPr>
          <w:rFonts w:ascii="Arial" w:hAnsi="Arial" w:cs="Arial"/>
          <w:sz w:val="22"/>
          <w:szCs w:val="22"/>
        </w:rPr>
      </w:pPr>
    </w:p>
    <w:p w14:paraId="1210E42A" w14:textId="77777777" w:rsidR="00213F33" w:rsidRPr="00EC1019" w:rsidRDefault="00213F33" w:rsidP="00314391">
      <w:pPr>
        <w:rPr>
          <w:rFonts w:ascii="Arial" w:hAnsi="Arial" w:cs="Arial"/>
          <w:b/>
          <w:sz w:val="22"/>
          <w:szCs w:val="22"/>
        </w:rPr>
      </w:pPr>
      <w:r w:rsidRPr="00EC1019">
        <w:rPr>
          <w:rFonts w:ascii="Arial" w:hAnsi="Arial" w:cs="Arial"/>
          <w:b/>
          <w:sz w:val="22"/>
          <w:szCs w:val="22"/>
        </w:rPr>
        <w:t xml:space="preserve">Introduction </w:t>
      </w:r>
    </w:p>
    <w:p w14:paraId="2D0DD38F" w14:textId="77777777" w:rsidR="00213F33" w:rsidRPr="00EC1019" w:rsidRDefault="00213F33" w:rsidP="00314391">
      <w:pPr>
        <w:rPr>
          <w:rFonts w:ascii="Arial" w:hAnsi="Arial" w:cs="Arial"/>
          <w:sz w:val="22"/>
          <w:szCs w:val="22"/>
        </w:rPr>
      </w:pPr>
    </w:p>
    <w:p w14:paraId="0679E68D" w14:textId="086CD83D" w:rsidR="004A0697" w:rsidRPr="00EC1019" w:rsidRDefault="004A1144" w:rsidP="00411A21">
      <w:pPr>
        <w:widowControl w:val="0"/>
        <w:autoSpaceDE w:val="0"/>
        <w:autoSpaceDN w:val="0"/>
        <w:adjustRightInd w:val="0"/>
        <w:rPr>
          <w:rFonts w:ascii="Arial" w:hAnsi="Arial" w:cs="Arial"/>
          <w:sz w:val="22"/>
          <w:szCs w:val="22"/>
        </w:rPr>
      </w:pPr>
      <w:r w:rsidRPr="00EC1019">
        <w:rPr>
          <w:rFonts w:ascii="Arial" w:hAnsi="Arial" w:cs="Arial"/>
          <w:sz w:val="22"/>
          <w:szCs w:val="22"/>
        </w:rPr>
        <w:t>Currently</w:t>
      </w:r>
      <w:r w:rsidR="00CB2A72" w:rsidRPr="00EC1019">
        <w:rPr>
          <w:rFonts w:ascii="Arial" w:hAnsi="Arial" w:cs="Arial"/>
          <w:sz w:val="22"/>
          <w:szCs w:val="22"/>
        </w:rPr>
        <w:t>,</w:t>
      </w:r>
      <w:r w:rsidRPr="00EC1019">
        <w:rPr>
          <w:rFonts w:ascii="Arial" w:hAnsi="Arial" w:cs="Arial"/>
          <w:sz w:val="22"/>
          <w:szCs w:val="22"/>
        </w:rPr>
        <w:t xml:space="preserve"> non-</w:t>
      </w:r>
      <w:r w:rsidR="00BF4B50" w:rsidRPr="00EC1019">
        <w:rPr>
          <w:rFonts w:ascii="Arial" w:hAnsi="Arial" w:cs="Arial"/>
          <w:sz w:val="22"/>
          <w:szCs w:val="22"/>
        </w:rPr>
        <w:t xml:space="preserve">law graduates (NLG) </w:t>
      </w:r>
      <w:r w:rsidR="002727E5">
        <w:rPr>
          <w:rFonts w:ascii="Arial" w:hAnsi="Arial" w:cs="Arial"/>
          <w:sz w:val="22"/>
          <w:szCs w:val="22"/>
        </w:rPr>
        <w:t xml:space="preserve">in England and Wales </w:t>
      </w:r>
      <w:r w:rsidR="00BF4B50" w:rsidRPr="00EC1019">
        <w:rPr>
          <w:rFonts w:ascii="Arial" w:hAnsi="Arial" w:cs="Arial"/>
          <w:sz w:val="22"/>
          <w:szCs w:val="22"/>
        </w:rPr>
        <w:t xml:space="preserve">who wish to become </w:t>
      </w:r>
      <w:r w:rsidR="00F00BAB">
        <w:rPr>
          <w:rFonts w:ascii="Arial" w:hAnsi="Arial" w:cs="Arial"/>
          <w:sz w:val="22"/>
          <w:szCs w:val="22"/>
        </w:rPr>
        <w:t>solicitors and</w:t>
      </w:r>
      <w:r w:rsidR="00232B77" w:rsidRPr="00EC1019">
        <w:rPr>
          <w:rFonts w:ascii="Arial" w:hAnsi="Arial" w:cs="Arial"/>
          <w:sz w:val="22"/>
          <w:szCs w:val="22"/>
        </w:rPr>
        <w:t xml:space="preserve"> barristers </w:t>
      </w:r>
      <w:r w:rsidR="00BF4B50" w:rsidRPr="00EC1019">
        <w:rPr>
          <w:rFonts w:ascii="Arial" w:hAnsi="Arial" w:cs="Arial"/>
          <w:sz w:val="22"/>
          <w:szCs w:val="22"/>
        </w:rPr>
        <w:t xml:space="preserve">can </w:t>
      </w:r>
      <w:r w:rsidR="002602C5">
        <w:rPr>
          <w:rFonts w:ascii="Arial" w:hAnsi="Arial" w:cs="Arial"/>
          <w:sz w:val="22"/>
          <w:szCs w:val="22"/>
        </w:rPr>
        <w:t xml:space="preserve">take a </w:t>
      </w:r>
      <w:r w:rsidR="007E1078" w:rsidRPr="0057493F">
        <w:rPr>
          <w:rFonts w:ascii="Arial" w:hAnsi="Arial" w:cs="Arial"/>
          <w:sz w:val="22"/>
          <w:szCs w:val="22"/>
        </w:rPr>
        <w:t>fast-track</w:t>
      </w:r>
      <w:r w:rsidR="007E1078" w:rsidRPr="00EC1019">
        <w:rPr>
          <w:rFonts w:ascii="Arial" w:hAnsi="Arial" w:cs="Arial"/>
          <w:sz w:val="22"/>
          <w:szCs w:val="22"/>
        </w:rPr>
        <w:t xml:space="preserve"> </w:t>
      </w:r>
      <w:r w:rsidR="000A05C3" w:rsidRPr="00EC1019">
        <w:rPr>
          <w:rFonts w:ascii="Arial" w:hAnsi="Arial" w:cs="Arial"/>
          <w:sz w:val="22"/>
          <w:szCs w:val="22"/>
        </w:rPr>
        <w:t>one-</w:t>
      </w:r>
      <w:r w:rsidR="00631253" w:rsidRPr="00EC1019">
        <w:rPr>
          <w:rFonts w:ascii="Arial" w:hAnsi="Arial" w:cs="Arial"/>
          <w:sz w:val="22"/>
          <w:szCs w:val="22"/>
        </w:rPr>
        <w:t xml:space="preserve">year </w:t>
      </w:r>
      <w:r w:rsidR="002602C5">
        <w:rPr>
          <w:rFonts w:ascii="Arial" w:hAnsi="Arial" w:cs="Arial"/>
          <w:sz w:val="22"/>
          <w:szCs w:val="22"/>
        </w:rPr>
        <w:t xml:space="preserve">conversion </w:t>
      </w:r>
      <w:r w:rsidR="00BF4B50" w:rsidRPr="00EC1019">
        <w:rPr>
          <w:rFonts w:ascii="Arial" w:hAnsi="Arial" w:cs="Arial"/>
          <w:sz w:val="22"/>
          <w:szCs w:val="22"/>
        </w:rPr>
        <w:t>course</w:t>
      </w:r>
      <w:r w:rsidR="00074BBC" w:rsidRPr="00EC1019">
        <w:rPr>
          <w:rFonts w:ascii="Arial" w:hAnsi="Arial" w:cs="Arial"/>
          <w:sz w:val="22"/>
          <w:szCs w:val="22"/>
        </w:rPr>
        <w:t>, ‘CPE’,</w:t>
      </w:r>
      <w:r w:rsidR="002714E9" w:rsidRPr="00EC1019">
        <w:rPr>
          <w:rFonts w:ascii="Arial" w:hAnsi="Arial" w:cs="Arial"/>
          <w:sz w:val="22"/>
          <w:szCs w:val="22"/>
        </w:rPr>
        <w:t xml:space="preserve"> </w:t>
      </w:r>
      <w:r w:rsidR="00631253" w:rsidRPr="00EC1019">
        <w:rPr>
          <w:rFonts w:ascii="Arial" w:hAnsi="Arial" w:cs="Arial"/>
          <w:sz w:val="22"/>
          <w:szCs w:val="22"/>
        </w:rPr>
        <w:t>instead of a</w:t>
      </w:r>
      <w:r w:rsidR="00804577" w:rsidRPr="00EC1019">
        <w:rPr>
          <w:rFonts w:ascii="Arial" w:hAnsi="Arial" w:cs="Arial"/>
          <w:sz w:val="22"/>
          <w:szCs w:val="22"/>
        </w:rPr>
        <w:t xml:space="preserve"> three-</w:t>
      </w:r>
      <w:r w:rsidR="002714E9" w:rsidRPr="00EC1019">
        <w:rPr>
          <w:rFonts w:ascii="Arial" w:hAnsi="Arial" w:cs="Arial"/>
          <w:sz w:val="22"/>
          <w:szCs w:val="22"/>
        </w:rPr>
        <w:t xml:space="preserve">year </w:t>
      </w:r>
      <w:r w:rsidR="00BF4B50" w:rsidRPr="00EC1019">
        <w:rPr>
          <w:rFonts w:ascii="Arial" w:hAnsi="Arial" w:cs="Arial"/>
          <w:sz w:val="22"/>
          <w:szCs w:val="22"/>
        </w:rPr>
        <w:t>degree</w:t>
      </w:r>
      <w:r w:rsidRPr="00EC1019">
        <w:rPr>
          <w:rFonts w:ascii="Arial" w:hAnsi="Arial" w:cs="Arial"/>
          <w:sz w:val="22"/>
          <w:szCs w:val="22"/>
        </w:rPr>
        <w:t xml:space="preserve"> in </w:t>
      </w:r>
      <w:r w:rsidR="002602C5">
        <w:rPr>
          <w:rFonts w:ascii="Arial" w:hAnsi="Arial" w:cs="Arial"/>
          <w:sz w:val="22"/>
          <w:szCs w:val="22"/>
        </w:rPr>
        <w:t xml:space="preserve">the study of </w:t>
      </w:r>
      <w:r w:rsidRPr="00EC1019">
        <w:rPr>
          <w:rFonts w:ascii="Arial" w:hAnsi="Arial" w:cs="Arial"/>
          <w:sz w:val="22"/>
          <w:szCs w:val="22"/>
        </w:rPr>
        <w:t>law</w:t>
      </w:r>
      <w:r w:rsidR="00631253" w:rsidRPr="00EC1019">
        <w:rPr>
          <w:rFonts w:ascii="Arial" w:hAnsi="Arial" w:cs="Arial"/>
          <w:sz w:val="22"/>
          <w:szCs w:val="22"/>
        </w:rPr>
        <w:t>.</w:t>
      </w:r>
      <w:r w:rsidR="00BF4B50" w:rsidRPr="00EC1019">
        <w:rPr>
          <w:rFonts w:ascii="Arial" w:hAnsi="Arial" w:cs="Arial"/>
          <w:sz w:val="22"/>
          <w:szCs w:val="22"/>
        </w:rPr>
        <w:t xml:space="preserve"> </w:t>
      </w:r>
      <w:r w:rsidR="00114B01" w:rsidRPr="00EC1019">
        <w:rPr>
          <w:rFonts w:ascii="Arial" w:hAnsi="Arial" w:cs="Arial"/>
          <w:sz w:val="22"/>
          <w:szCs w:val="22"/>
        </w:rPr>
        <w:t>I</w:t>
      </w:r>
      <w:r w:rsidR="004A0697" w:rsidRPr="00EC1019">
        <w:rPr>
          <w:rFonts w:ascii="Arial" w:hAnsi="Arial" w:cs="Arial"/>
          <w:sz w:val="22"/>
          <w:szCs w:val="22"/>
        </w:rPr>
        <w:t>n Dec</w:t>
      </w:r>
      <w:r w:rsidR="001B3B68" w:rsidRPr="00EC1019">
        <w:rPr>
          <w:rFonts w:ascii="Arial" w:hAnsi="Arial" w:cs="Arial"/>
          <w:sz w:val="22"/>
          <w:szCs w:val="22"/>
        </w:rPr>
        <w:t>ember</w:t>
      </w:r>
      <w:r w:rsidR="004A0697" w:rsidRPr="00EC1019">
        <w:rPr>
          <w:rFonts w:ascii="Arial" w:hAnsi="Arial" w:cs="Arial"/>
          <w:sz w:val="22"/>
          <w:szCs w:val="22"/>
        </w:rPr>
        <w:t xml:space="preserve"> 2017 </w:t>
      </w:r>
      <w:r w:rsidR="00114B01" w:rsidRPr="00EC1019">
        <w:rPr>
          <w:rFonts w:ascii="Arial" w:hAnsi="Arial" w:cs="Arial"/>
          <w:sz w:val="22"/>
          <w:szCs w:val="22"/>
        </w:rPr>
        <w:t>the Solicitors Regulation Authority (SRA)</w:t>
      </w:r>
      <w:r w:rsidR="00431A71">
        <w:rPr>
          <w:rFonts w:ascii="Arial" w:hAnsi="Arial" w:cs="Arial"/>
          <w:sz w:val="22"/>
          <w:szCs w:val="22"/>
        </w:rPr>
        <w:t xml:space="preserve"> </w:t>
      </w:r>
      <w:r w:rsidR="00114B01" w:rsidRPr="00EC1019">
        <w:rPr>
          <w:rFonts w:ascii="Arial" w:hAnsi="Arial" w:cs="Arial"/>
          <w:sz w:val="22"/>
          <w:szCs w:val="22"/>
        </w:rPr>
        <w:t xml:space="preserve">announced </w:t>
      </w:r>
      <w:r w:rsidR="00BF4B50" w:rsidRPr="00EC1019">
        <w:rPr>
          <w:rFonts w:ascii="Arial" w:hAnsi="Arial" w:cs="Arial"/>
          <w:sz w:val="22"/>
          <w:szCs w:val="22"/>
        </w:rPr>
        <w:t>the demise of th</w:t>
      </w:r>
      <w:r w:rsidR="00B224A2" w:rsidRPr="00EC1019">
        <w:rPr>
          <w:rFonts w:ascii="Arial" w:hAnsi="Arial" w:cs="Arial"/>
          <w:sz w:val="22"/>
          <w:szCs w:val="22"/>
        </w:rPr>
        <w:t>is</w:t>
      </w:r>
      <w:r w:rsidR="00BF4B50" w:rsidRPr="00EC1019">
        <w:rPr>
          <w:rFonts w:ascii="Arial" w:hAnsi="Arial" w:cs="Arial"/>
          <w:sz w:val="22"/>
          <w:szCs w:val="22"/>
        </w:rPr>
        <w:t xml:space="preserve"> </w:t>
      </w:r>
      <w:r w:rsidR="002714E9" w:rsidRPr="00EC1019">
        <w:rPr>
          <w:rFonts w:ascii="Arial" w:hAnsi="Arial" w:cs="Arial"/>
          <w:sz w:val="22"/>
          <w:szCs w:val="22"/>
        </w:rPr>
        <w:t>course</w:t>
      </w:r>
      <w:r w:rsidR="001B3B68" w:rsidRPr="00EC1019">
        <w:rPr>
          <w:rFonts w:ascii="Arial" w:hAnsi="Arial" w:cs="Arial"/>
          <w:sz w:val="22"/>
          <w:szCs w:val="22"/>
        </w:rPr>
        <w:t>:</w:t>
      </w:r>
    </w:p>
    <w:p w14:paraId="0D8E5B49" w14:textId="77777777" w:rsidR="001B3B68" w:rsidRPr="00EC1019" w:rsidRDefault="001B3B68" w:rsidP="00411A21">
      <w:pPr>
        <w:widowControl w:val="0"/>
        <w:autoSpaceDE w:val="0"/>
        <w:autoSpaceDN w:val="0"/>
        <w:adjustRightInd w:val="0"/>
        <w:rPr>
          <w:rFonts w:ascii="Arial" w:hAnsi="Arial" w:cs="Arial"/>
          <w:i/>
          <w:sz w:val="22"/>
          <w:szCs w:val="22"/>
        </w:rPr>
      </w:pPr>
    </w:p>
    <w:p w14:paraId="2950AB81" w14:textId="0D8DCFA8" w:rsidR="004A0697" w:rsidRPr="00EC1019" w:rsidRDefault="004A0697" w:rsidP="00431A71">
      <w:pPr>
        <w:ind w:left="284"/>
        <w:rPr>
          <w:rFonts w:ascii="Arial" w:hAnsi="Arial" w:cs="Arial"/>
          <w:sz w:val="22"/>
          <w:szCs w:val="22"/>
        </w:rPr>
      </w:pPr>
      <w:r w:rsidRPr="00EC1019">
        <w:rPr>
          <w:rFonts w:ascii="Arial" w:hAnsi="Arial" w:cs="Arial"/>
          <w:sz w:val="22"/>
          <w:szCs w:val="22"/>
        </w:rPr>
        <w:t xml:space="preserve">If you start a non-law undergraduate degree in or after academic year 2017-18, and then decide to qualify as a solicitor, you will need to take the </w:t>
      </w:r>
      <w:r w:rsidR="00431A71">
        <w:rPr>
          <w:rFonts w:ascii="Arial" w:hAnsi="Arial" w:cs="Arial"/>
          <w:sz w:val="22"/>
          <w:szCs w:val="22"/>
        </w:rPr>
        <w:t>[</w:t>
      </w:r>
      <w:r w:rsidR="00BF4B50" w:rsidRPr="00EC1019">
        <w:rPr>
          <w:rFonts w:ascii="Arial" w:hAnsi="Arial" w:cs="Arial"/>
          <w:sz w:val="22"/>
          <w:szCs w:val="22"/>
        </w:rPr>
        <w:t>solicitors qualifying examination</w:t>
      </w:r>
      <w:r w:rsidR="002602C5">
        <w:rPr>
          <w:rFonts w:ascii="Arial" w:hAnsi="Arial" w:cs="Arial"/>
          <w:sz w:val="22"/>
          <w:szCs w:val="22"/>
        </w:rPr>
        <w:t xml:space="preserve"> (SQE)</w:t>
      </w:r>
      <w:r w:rsidR="00BF4B50" w:rsidRPr="00EC1019">
        <w:rPr>
          <w:rFonts w:ascii="Arial" w:hAnsi="Arial" w:cs="Arial"/>
          <w:sz w:val="22"/>
          <w:szCs w:val="22"/>
        </w:rPr>
        <w:t>]</w:t>
      </w:r>
      <w:r w:rsidRPr="00EC1019">
        <w:rPr>
          <w:rFonts w:ascii="Arial" w:hAnsi="Arial" w:cs="Arial"/>
          <w:sz w:val="22"/>
          <w:szCs w:val="22"/>
        </w:rPr>
        <w:t>, assuming it is introduced in 2020.</w:t>
      </w:r>
      <w:r w:rsidR="002323C0" w:rsidRPr="00EC1019">
        <w:rPr>
          <w:rStyle w:val="FootnoteReference"/>
          <w:rFonts w:ascii="Arial" w:hAnsi="Arial" w:cs="Arial"/>
          <w:sz w:val="22"/>
          <w:szCs w:val="22"/>
        </w:rPr>
        <w:footnoteReference w:id="1"/>
      </w:r>
      <w:r w:rsidRPr="00EC1019">
        <w:rPr>
          <w:rFonts w:ascii="Arial" w:hAnsi="Arial" w:cs="Arial"/>
          <w:sz w:val="22"/>
          <w:szCs w:val="22"/>
        </w:rPr>
        <w:t xml:space="preserve"> This is because the Common Professional Assessment (CPE), also known as the Graduate Diploma in Law (GDL), will no longer count towards qualification in the new system once the SQE has been introduced.</w:t>
      </w:r>
      <w:r w:rsidR="001B3B68" w:rsidRPr="00EC1019">
        <w:rPr>
          <w:rStyle w:val="FootnoteReference"/>
          <w:rFonts w:ascii="Arial" w:hAnsi="Arial" w:cs="Arial"/>
          <w:sz w:val="22"/>
          <w:szCs w:val="22"/>
        </w:rPr>
        <w:footnoteReference w:id="2"/>
      </w:r>
    </w:p>
    <w:p w14:paraId="16D03F3E" w14:textId="77777777" w:rsidR="00804577" w:rsidRPr="00EC1019" w:rsidRDefault="00804577" w:rsidP="000A05C3">
      <w:pPr>
        <w:ind w:left="720"/>
        <w:rPr>
          <w:rFonts w:ascii="Arial" w:hAnsi="Arial" w:cs="Arial"/>
          <w:sz w:val="22"/>
          <w:szCs w:val="22"/>
        </w:rPr>
      </w:pPr>
    </w:p>
    <w:p w14:paraId="03C6E8FC" w14:textId="4B03D80D" w:rsidR="00546841" w:rsidRPr="00F00BAB" w:rsidRDefault="00FB0197" w:rsidP="00EC1019">
      <w:pPr>
        <w:rPr>
          <w:rFonts w:ascii="Arial" w:hAnsi="Arial" w:cs="Arial"/>
          <w:sz w:val="22"/>
          <w:szCs w:val="22"/>
        </w:rPr>
      </w:pPr>
      <w:r w:rsidRPr="00EC1019">
        <w:rPr>
          <w:rFonts w:ascii="Arial" w:hAnsi="Arial" w:cs="Arial"/>
          <w:sz w:val="22"/>
          <w:szCs w:val="22"/>
        </w:rPr>
        <w:t>T</w:t>
      </w:r>
      <w:r w:rsidR="001B3B68" w:rsidRPr="00EC1019">
        <w:rPr>
          <w:rFonts w:ascii="Arial" w:hAnsi="Arial" w:cs="Arial"/>
          <w:sz w:val="22"/>
          <w:szCs w:val="22"/>
        </w:rPr>
        <w:t xml:space="preserve">he Bar Standards Board </w:t>
      </w:r>
      <w:r w:rsidR="000B42C6" w:rsidRPr="00EC1019">
        <w:rPr>
          <w:rFonts w:ascii="Arial" w:hAnsi="Arial" w:cs="Arial"/>
          <w:sz w:val="22"/>
          <w:szCs w:val="22"/>
        </w:rPr>
        <w:t>(</w:t>
      </w:r>
      <w:r w:rsidR="00411A21" w:rsidRPr="00EC1019">
        <w:rPr>
          <w:rFonts w:ascii="Arial" w:hAnsi="Arial" w:cs="Arial"/>
          <w:sz w:val="22"/>
          <w:szCs w:val="22"/>
        </w:rPr>
        <w:t>BSB</w:t>
      </w:r>
      <w:r w:rsidR="00631253" w:rsidRPr="00EC1019">
        <w:rPr>
          <w:rFonts w:ascii="Arial" w:hAnsi="Arial" w:cs="Arial"/>
          <w:sz w:val="22"/>
          <w:szCs w:val="22"/>
        </w:rPr>
        <w:t xml:space="preserve">) is </w:t>
      </w:r>
      <w:r w:rsidR="00F00BAB">
        <w:rPr>
          <w:rFonts w:ascii="Arial" w:hAnsi="Arial" w:cs="Arial"/>
          <w:sz w:val="22"/>
          <w:szCs w:val="22"/>
        </w:rPr>
        <w:t xml:space="preserve">also </w:t>
      </w:r>
      <w:r w:rsidR="004A1144" w:rsidRPr="00EC1019">
        <w:rPr>
          <w:rFonts w:ascii="Arial" w:hAnsi="Arial" w:cs="Arial"/>
          <w:sz w:val="22"/>
          <w:szCs w:val="22"/>
        </w:rPr>
        <w:t>introducing</w:t>
      </w:r>
      <w:r w:rsidR="00F00BAB">
        <w:rPr>
          <w:rFonts w:ascii="Arial" w:hAnsi="Arial" w:cs="Arial"/>
          <w:sz w:val="22"/>
          <w:szCs w:val="22"/>
        </w:rPr>
        <w:t>,</w:t>
      </w:r>
      <w:r w:rsidR="002602C5">
        <w:rPr>
          <w:rFonts w:ascii="Arial" w:hAnsi="Arial" w:cs="Arial"/>
          <w:sz w:val="22"/>
          <w:szCs w:val="22"/>
        </w:rPr>
        <w:t xml:space="preserve"> </w:t>
      </w:r>
      <w:r w:rsidR="002602C5" w:rsidRPr="002363EB">
        <w:rPr>
          <w:rFonts w:ascii="Arial" w:hAnsi="Arial" w:cs="Arial"/>
          <w:sz w:val="22"/>
          <w:szCs w:val="22"/>
        </w:rPr>
        <w:t>from 2019/20</w:t>
      </w:r>
      <w:r w:rsidR="00F00BAB">
        <w:rPr>
          <w:rFonts w:ascii="Arial" w:hAnsi="Arial" w:cs="Arial"/>
          <w:sz w:val="22"/>
          <w:szCs w:val="22"/>
        </w:rPr>
        <w:t>,</w:t>
      </w:r>
      <w:r w:rsidR="001B3B68" w:rsidRPr="00EC1019">
        <w:rPr>
          <w:rFonts w:ascii="Arial" w:hAnsi="Arial" w:cs="Arial"/>
          <w:sz w:val="22"/>
          <w:szCs w:val="22"/>
        </w:rPr>
        <w:t xml:space="preserve"> </w:t>
      </w:r>
      <w:r w:rsidR="00C0306F" w:rsidRPr="00EC1019">
        <w:rPr>
          <w:rFonts w:ascii="Arial" w:hAnsi="Arial" w:cs="Arial"/>
          <w:sz w:val="22"/>
          <w:szCs w:val="22"/>
        </w:rPr>
        <w:t xml:space="preserve">its own </w:t>
      </w:r>
      <w:r w:rsidR="001B3B68" w:rsidRPr="00EC1019">
        <w:rPr>
          <w:rFonts w:ascii="Arial" w:hAnsi="Arial" w:cs="Arial"/>
          <w:sz w:val="22"/>
          <w:szCs w:val="22"/>
        </w:rPr>
        <w:t>changes</w:t>
      </w:r>
      <w:r w:rsidR="00411A21" w:rsidRPr="00EC1019">
        <w:rPr>
          <w:rFonts w:ascii="Arial" w:hAnsi="Arial" w:cs="Arial"/>
          <w:sz w:val="22"/>
          <w:szCs w:val="22"/>
        </w:rPr>
        <w:t xml:space="preserve"> to qualification</w:t>
      </w:r>
      <w:r w:rsidR="001B3B68" w:rsidRPr="00EC1019">
        <w:rPr>
          <w:rFonts w:ascii="Arial" w:hAnsi="Arial" w:cs="Arial"/>
          <w:sz w:val="22"/>
          <w:szCs w:val="22"/>
        </w:rPr>
        <w:t xml:space="preserve">. </w:t>
      </w:r>
      <w:r w:rsidR="00582EA2">
        <w:rPr>
          <w:rFonts w:ascii="Arial" w:hAnsi="Arial" w:cs="Arial"/>
          <w:sz w:val="22"/>
          <w:szCs w:val="22"/>
        </w:rPr>
        <w:t>The Legal Services Board (LSB) must approve both sets of changes.</w:t>
      </w:r>
      <w:r w:rsidR="00582EA2">
        <w:rPr>
          <w:rStyle w:val="FootnoteReference"/>
          <w:rFonts w:ascii="Arial" w:hAnsi="Arial" w:cs="Arial"/>
          <w:sz w:val="22"/>
          <w:szCs w:val="22"/>
        </w:rPr>
        <w:footnoteReference w:id="3"/>
      </w:r>
      <w:r w:rsidR="00582EA2">
        <w:rPr>
          <w:rFonts w:ascii="Arial" w:hAnsi="Arial" w:cs="Arial"/>
          <w:sz w:val="22"/>
          <w:szCs w:val="22"/>
        </w:rPr>
        <w:t xml:space="preserve"> </w:t>
      </w:r>
      <w:r w:rsidR="0017555F">
        <w:rPr>
          <w:rFonts w:ascii="Arial" w:hAnsi="Arial" w:cs="Arial"/>
          <w:sz w:val="22"/>
          <w:szCs w:val="22"/>
        </w:rPr>
        <w:t>B</w:t>
      </w:r>
      <w:r w:rsidR="00F00BAB">
        <w:rPr>
          <w:rFonts w:ascii="Arial" w:hAnsi="Arial" w:cs="Arial"/>
          <w:sz w:val="22"/>
          <w:szCs w:val="22"/>
        </w:rPr>
        <w:t>ehind these change</w:t>
      </w:r>
      <w:r w:rsidR="00D838F0">
        <w:rPr>
          <w:rFonts w:ascii="Arial" w:hAnsi="Arial" w:cs="Arial"/>
          <w:sz w:val="22"/>
          <w:szCs w:val="22"/>
        </w:rPr>
        <w:t>s</w:t>
      </w:r>
      <w:r w:rsidR="0017555F">
        <w:rPr>
          <w:rFonts w:ascii="Arial" w:hAnsi="Arial" w:cs="Arial"/>
          <w:sz w:val="22"/>
          <w:szCs w:val="22"/>
        </w:rPr>
        <w:t xml:space="preserve"> is the Legal Services Act 2007</w:t>
      </w:r>
      <w:r w:rsidR="00F00BAB">
        <w:rPr>
          <w:rFonts w:ascii="Arial" w:hAnsi="Arial" w:cs="Arial"/>
          <w:sz w:val="22"/>
          <w:szCs w:val="22"/>
        </w:rPr>
        <w:t xml:space="preserve">. </w:t>
      </w:r>
      <w:r w:rsidR="00BD67C7">
        <w:rPr>
          <w:rFonts w:ascii="Arial" w:hAnsi="Arial" w:cs="Arial"/>
          <w:sz w:val="22"/>
          <w:szCs w:val="22"/>
        </w:rPr>
        <w:t xml:space="preserve">It </w:t>
      </w:r>
      <w:r w:rsidR="00043F31">
        <w:rPr>
          <w:rFonts w:ascii="Arial" w:hAnsi="Arial" w:cs="Arial"/>
          <w:sz w:val="22"/>
          <w:szCs w:val="22"/>
        </w:rPr>
        <w:t>imposes on</w:t>
      </w:r>
      <w:r w:rsidR="00F95CD5" w:rsidRPr="00EC1019">
        <w:rPr>
          <w:rFonts w:ascii="Arial" w:hAnsi="Arial" w:cs="Arial"/>
          <w:sz w:val="22"/>
          <w:szCs w:val="22"/>
        </w:rPr>
        <w:t xml:space="preserve"> the</w:t>
      </w:r>
      <w:r w:rsidR="007E0F66" w:rsidRPr="00EC1019">
        <w:rPr>
          <w:rFonts w:ascii="Arial" w:hAnsi="Arial" w:cs="Arial"/>
          <w:sz w:val="22"/>
          <w:szCs w:val="22"/>
        </w:rPr>
        <w:t xml:space="preserve"> regulators </w:t>
      </w:r>
      <w:r w:rsidR="007E1078">
        <w:rPr>
          <w:rFonts w:ascii="Arial" w:hAnsi="Arial" w:cs="Arial"/>
          <w:sz w:val="22"/>
          <w:szCs w:val="22"/>
        </w:rPr>
        <w:t>a duty to ensure</w:t>
      </w:r>
      <w:r w:rsidR="007E0F66" w:rsidRPr="00EC1019">
        <w:rPr>
          <w:rFonts w:ascii="Arial" w:hAnsi="Arial" w:cs="Arial"/>
          <w:sz w:val="22"/>
          <w:szCs w:val="22"/>
        </w:rPr>
        <w:t xml:space="preserve"> an effective and diverse legal profession.</w:t>
      </w:r>
      <w:r w:rsidR="009E459B">
        <w:rPr>
          <w:rStyle w:val="FootnoteReference"/>
          <w:rFonts w:ascii="Arial" w:hAnsi="Arial" w:cs="Arial"/>
          <w:sz w:val="22"/>
          <w:szCs w:val="22"/>
        </w:rPr>
        <w:footnoteReference w:id="4"/>
      </w:r>
      <w:r w:rsidR="009E459B">
        <w:rPr>
          <w:rFonts w:ascii="Arial" w:hAnsi="Arial" w:cs="Arial"/>
          <w:sz w:val="22"/>
          <w:szCs w:val="22"/>
        </w:rPr>
        <w:t xml:space="preserve"> </w:t>
      </w:r>
      <w:r w:rsidR="006F2771">
        <w:rPr>
          <w:rFonts w:ascii="Arial" w:hAnsi="Arial" w:cs="Arial"/>
          <w:sz w:val="22"/>
          <w:szCs w:val="22"/>
        </w:rPr>
        <w:t xml:space="preserve">On </w:t>
      </w:r>
      <w:r w:rsidR="00E35344">
        <w:rPr>
          <w:rFonts w:ascii="Arial" w:hAnsi="Arial" w:cs="Arial"/>
          <w:sz w:val="22"/>
          <w:szCs w:val="22"/>
        </w:rPr>
        <w:t>the meaning of</w:t>
      </w:r>
      <w:r w:rsidR="006F2771">
        <w:rPr>
          <w:rFonts w:ascii="Arial" w:hAnsi="Arial" w:cs="Arial"/>
          <w:sz w:val="22"/>
          <w:szCs w:val="22"/>
        </w:rPr>
        <w:t xml:space="preserve"> a</w:t>
      </w:r>
      <w:r w:rsidR="00EC1019" w:rsidRPr="00EC1019">
        <w:rPr>
          <w:rFonts w:ascii="Arial" w:hAnsi="Arial" w:cs="Arial"/>
          <w:sz w:val="22"/>
          <w:szCs w:val="22"/>
        </w:rPr>
        <w:t xml:space="preserve"> diverse legal profession</w:t>
      </w:r>
      <w:r w:rsidR="007E1078">
        <w:rPr>
          <w:rFonts w:ascii="Arial" w:hAnsi="Arial" w:cs="Arial"/>
          <w:sz w:val="22"/>
          <w:szCs w:val="22"/>
        </w:rPr>
        <w:t>,</w:t>
      </w:r>
      <w:r w:rsidR="00EC1019" w:rsidRPr="00EC1019">
        <w:rPr>
          <w:rFonts w:ascii="Arial" w:hAnsi="Arial" w:cs="Arial"/>
          <w:sz w:val="22"/>
          <w:szCs w:val="22"/>
        </w:rPr>
        <w:t xml:space="preserve"> </w:t>
      </w:r>
      <w:r w:rsidR="007E1078">
        <w:rPr>
          <w:rFonts w:ascii="Arial" w:hAnsi="Arial" w:cs="Arial"/>
          <w:sz w:val="22"/>
          <w:szCs w:val="22"/>
        </w:rPr>
        <w:t>t</w:t>
      </w:r>
      <w:r w:rsidR="00EC1019" w:rsidRPr="00EC1019">
        <w:rPr>
          <w:rFonts w:ascii="Arial" w:hAnsi="Arial" w:cs="Arial"/>
          <w:sz w:val="22"/>
          <w:szCs w:val="22"/>
        </w:rPr>
        <w:t xml:space="preserve">he </w:t>
      </w:r>
      <w:r w:rsidR="0017555F">
        <w:rPr>
          <w:rFonts w:ascii="Arial" w:hAnsi="Arial" w:cs="Arial"/>
          <w:sz w:val="22"/>
          <w:szCs w:val="22"/>
        </w:rPr>
        <w:t>LSB</w:t>
      </w:r>
      <w:r w:rsidR="00EC1019" w:rsidRPr="00EC1019">
        <w:rPr>
          <w:rFonts w:ascii="Arial" w:hAnsi="Arial" w:cs="Arial"/>
          <w:sz w:val="22"/>
          <w:szCs w:val="22"/>
        </w:rPr>
        <w:t xml:space="preserve"> states that this </w:t>
      </w:r>
      <w:r w:rsidR="006F2771">
        <w:rPr>
          <w:rFonts w:ascii="Arial" w:hAnsi="Arial" w:cs="Arial"/>
          <w:sz w:val="22"/>
          <w:szCs w:val="22"/>
        </w:rPr>
        <w:t>is</w:t>
      </w:r>
      <w:r w:rsidR="00EC1019" w:rsidRPr="00EC1019">
        <w:rPr>
          <w:rFonts w:ascii="Arial" w:hAnsi="Arial" w:cs="Arial"/>
          <w:sz w:val="22"/>
          <w:szCs w:val="22"/>
        </w:rPr>
        <w:t xml:space="preserve"> ‘</w:t>
      </w:r>
      <w:r w:rsidR="00EC1019" w:rsidRPr="00AC7C06">
        <w:rPr>
          <w:rFonts w:ascii="Arial" w:eastAsia="Times New Roman" w:hAnsi="Arial" w:cs="Arial"/>
          <w:sz w:val="22"/>
          <w:szCs w:val="22"/>
          <w:lang w:val="en-GB"/>
        </w:rPr>
        <w:t>one that reflects and is representative of the full spectrum of the population it serves’</w:t>
      </w:r>
      <w:r w:rsidR="00546841">
        <w:rPr>
          <w:rFonts w:ascii="Arial" w:eastAsia="Times New Roman" w:hAnsi="Arial" w:cs="Arial"/>
          <w:sz w:val="22"/>
          <w:szCs w:val="22"/>
          <w:lang w:val="en-GB"/>
        </w:rPr>
        <w:t>.</w:t>
      </w:r>
      <w:r w:rsidR="00EC1019" w:rsidRPr="00EC1019">
        <w:rPr>
          <w:rStyle w:val="FootnoteReference"/>
          <w:rFonts w:ascii="Arial" w:hAnsi="Arial" w:cs="Arial"/>
          <w:sz w:val="22"/>
          <w:szCs w:val="22"/>
        </w:rPr>
        <w:footnoteReference w:id="5"/>
      </w:r>
      <w:r w:rsidR="0017555F">
        <w:rPr>
          <w:rFonts w:ascii="Arial" w:eastAsia="Times New Roman" w:hAnsi="Arial" w:cs="Arial"/>
          <w:sz w:val="22"/>
          <w:szCs w:val="22"/>
          <w:lang w:val="en-GB"/>
        </w:rPr>
        <w:t xml:space="preserve"> </w:t>
      </w:r>
    </w:p>
    <w:p w14:paraId="00E4CC70" w14:textId="77777777" w:rsidR="00BD67C7" w:rsidRPr="00FF2C4A" w:rsidRDefault="00BD67C7" w:rsidP="00EC1019">
      <w:pPr>
        <w:rPr>
          <w:rFonts w:ascii="Arial" w:eastAsia="Times New Roman" w:hAnsi="Arial" w:cs="Arial"/>
          <w:sz w:val="22"/>
          <w:szCs w:val="22"/>
          <w:lang w:val="en-GB"/>
        </w:rPr>
      </w:pPr>
    </w:p>
    <w:p w14:paraId="6483A3B3" w14:textId="7829BDA4" w:rsidR="002D2060" w:rsidRPr="00EC1019" w:rsidRDefault="00EC1019">
      <w:pPr>
        <w:rPr>
          <w:rFonts w:ascii="Arial" w:hAnsi="Arial" w:cs="Arial"/>
          <w:sz w:val="22"/>
          <w:szCs w:val="22"/>
        </w:rPr>
      </w:pPr>
      <w:r w:rsidRPr="00EC1019">
        <w:rPr>
          <w:rFonts w:ascii="Arial" w:hAnsi="Arial" w:cs="Arial"/>
          <w:sz w:val="22"/>
          <w:szCs w:val="22"/>
        </w:rPr>
        <w:lastRenderedPageBreak/>
        <w:t>T</w:t>
      </w:r>
      <w:r w:rsidR="00BC41F9" w:rsidRPr="00EC1019">
        <w:rPr>
          <w:rFonts w:ascii="Arial" w:hAnsi="Arial" w:cs="Arial"/>
          <w:sz w:val="22"/>
          <w:szCs w:val="22"/>
        </w:rPr>
        <w:t xml:space="preserve">he </w:t>
      </w:r>
      <w:r w:rsidR="007E0F66" w:rsidRPr="00EC1019">
        <w:rPr>
          <w:rFonts w:ascii="Arial" w:hAnsi="Arial" w:cs="Arial"/>
          <w:sz w:val="22"/>
          <w:szCs w:val="22"/>
        </w:rPr>
        <w:t xml:space="preserve">SRA and </w:t>
      </w:r>
      <w:r w:rsidR="00BC41F9" w:rsidRPr="00EC1019">
        <w:rPr>
          <w:rFonts w:ascii="Arial" w:hAnsi="Arial" w:cs="Arial"/>
          <w:sz w:val="22"/>
          <w:szCs w:val="22"/>
        </w:rPr>
        <w:t xml:space="preserve">the </w:t>
      </w:r>
      <w:r w:rsidR="007E0F66" w:rsidRPr="00EC1019">
        <w:rPr>
          <w:rFonts w:ascii="Arial" w:hAnsi="Arial" w:cs="Arial"/>
          <w:sz w:val="22"/>
          <w:szCs w:val="22"/>
        </w:rPr>
        <w:t>BSB</w:t>
      </w:r>
      <w:r w:rsidR="00DF2069" w:rsidRPr="00EC1019">
        <w:rPr>
          <w:rFonts w:ascii="Arial" w:hAnsi="Arial" w:cs="Arial"/>
          <w:sz w:val="22"/>
          <w:szCs w:val="22"/>
        </w:rPr>
        <w:t>,</w:t>
      </w:r>
      <w:r w:rsidR="007E0F66" w:rsidRPr="00EC1019">
        <w:rPr>
          <w:rFonts w:ascii="Arial" w:hAnsi="Arial" w:cs="Arial"/>
          <w:sz w:val="22"/>
          <w:szCs w:val="22"/>
        </w:rPr>
        <w:t xml:space="preserve"> along with </w:t>
      </w:r>
      <w:r w:rsidR="009F7874">
        <w:rPr>
          <w:rFonts w:ascii="Arial" w:hAnsi="Arial" w:cs="Arial"/>
          <w:sz w:val="22"/>
          <w:szCs w:val="22"/>
        </w:rPr>
        <w:t>ILEX Professional Standards</w:t>
      </w:r>
      <w:r w:rsidR="00DF2069" w:rsidRPr="00EC1019">
        <w:rPr>
          <w:rFonts w:ascii="Arial" w:hAnsi="Arial" w:cs="Arial"/>
          <w:sz w:val="22"/>
          <w:szCs w:val="22"/>
        </w:rPr>
        <w:t>,</w:t>
      </w:r>
      <w:r w:rsidR="007E0F66" w:rsidRPr="00EC1019">
        <w:rPr>
          <w:rFonts w:ascii="Arial" w:hAnsi="Arial" w:cs="Arial"/>
          <w:sz w:val="22"/>
          <w:szCs w:val="22"/>
        </w:rPr>
        <w:t xml:space="preserve"> sponsored a review (2011-13) of legal education and training -</w:t>
      </w:r>
      <w:r w:rsidR="00BC41F9" w:rsidRPr="00EC1019">
        <w:rPr>
          <w:rFonts w:ascii="Arial" w:hAnsi="Arial" w:cs="Arial"/>
          <w:sz w:val="22"/>
          <w:szCs w:val="22"/>
        </w:rPr>
        <w:t xml:space="preserve"> t</w:t>
      </w:r>
      <w:r w:rsidR="007E0F66" w:rsidRPr="00EC1019">
        <w:rPr>
          <w:rFonts w:ascii="Arial" w:hAnsi="Arial" w:cs="Arial"/>
          <w:sz w:val="22"/>
          <w:szCs w:val="22"/>
        </w:rPr>
        <w:t>he Legal Education and Training Review</w:t>
      </w:r>
      <w:r w:rsidR="00BC41F9" w:rsidRPr="00EC1019">
        <w:rPr>
          <w:rFonts w:ascii="Arial" w:hAnsi="Arial" w:cs="Arial"/>
          <w:sz w:val="22"/>
          <w:szCs w:val="22"/>
        </w:rPr>
        <w:t xml:space="preserve"> </w:t>
      </w:r>
      <w:r w:rsidR="007E0F66" w:rsidRPr="00EC1019">
        <w:rPr>
          <w:rFonts w:ascii="Arial" w:hAnsi="Arial" w:cs="Arial"/>
          <w:sz w:val="22"/>
          <w:szCs w:val="22"/>
        </w:rPr>
        <w:t>(LETR)</w:t>
      </w:r>
      <w:r w:rsidR="00BC41F9" w:rsidRPr="00EC1019">
        <w:rPr>
          <w:rFonts w:ascii="Arial" w:hAnsi="Arial" w:cs="Arial"/>
          <w:sz w:val="22"/>
          <w:szCs w:val="22"/>
        </w:rPr>
        <w:t xml:space="preserve">. </w:t>
      </w:r>
      <w:r w:rsidRPr="00EC1019">
        <w:rPr>
          <w:rFonts w:ascii="Arial" w:hAnsi="Arial" w:cs="Arial"/>
          <w:sz w:val="22"/>
          <w:szCs w:val="22"/>
        </w:rPr>
        <w:t xml:space="preserve">The aim of the review was </w:t>
      </w:r>
      <w:r w:rsidR="007E1078">
        <w:rPr>
          <w:rFonts w:ascii="Arial" w:hAnsi="Arial" w:cs="Arial"/>
          <w:sz w:val="22"/>
          <w:szCs w:val="22"/>
        </w:rPr>
        <w:t xml:space="preserve">to </w:t>
      </w:r>
      <w:r w:rsidRPr="00EC1019">
        <w:rPr>
          <w:rFonts w:ascii="Arial" w:hAnsi="Arial" w:cs="Arial"/>
          <w:sz w:val="22"/>
          <w:szCs w:val="22"/>
        </w:rPr>
        <w:t xml:space="preserve">assess </w:t>
      </w:r>
      <w:r w:rsidR="00546841">
        <w:rPr>
          <w:rFonts w:ascii="Arial" w:hAnsi="Arial" w:cs="Arial"/>
          <w:sz w:val="22"/>
          <w:szCs w:val="22"/>
        </w:rPr>
        <w:t xml:space="preserve">the </w:t>
      </w:r>
      <w:r w:rsidRPr="00EC1019">
        <w:rPr>
          <w:rFonts w:ascii="Arial" w:hAnsi="Arial" w:cs="Arial"/>
          <w:sz w:val="22"/>
          <w:szCs w:val="22"/>
        </w:rPr>
        <w:t xml:space="preserve">provision of legal education and training against the aims of the 2007 Act. </w:t>
      </w:r>
      <w:r w:rsidR="007E0F66" w:rsidRPr="00EC1019">
        <w:rPr>
          <w:rFonts w:ascii="Arial" w:hAnsi="Arial" w:cs="Arial"/>
          <w:sz w:val="22"/>
          <w:szCs w:val="22"/>
        </w:rPr>
        <w:t xml:space="preserve">LETR </w:t>
      </w:r>
      <w:r w:rsidR="00546841">
        <w:rPr>
          <w:rFonts w:ascii="Arial" w:hAnsi="Arial" w:cs="Arial"/>
          <w:sz w:val="22"/>
          <w:szCs w:val="22"/>
        </w:rPr>
        <w:t xml:space="preserve">was </w:t>
      </w:r>
      <w:r w:rsidR="007E0F66" w:rsidRPr="00EC1019">
        <w:rPr>
          <w:rFonts w:ascii="Arial" w:hAnsi="Arial" w:cs="Arial"/>
          <w:sz w:val="22"/>
          <w:szCs w:val="22"/>
        </w:rPr>
        <w:t xml:space="preserve">the most significant review of legal education and training since </w:t>
      </w:r>
      <w:r w:rsidR="00DF2069" w:rsidRPr="00EC1019">
        <w:rPr>
          <w:rFonts w:ascii="Arial" w:hAnsi="Arial" w:cs="Arial"/>
          <w:sz w:val="22"/>
          <w:szCs w:val="22"/>
        </w:rPr>
        <w:t xml:space="preserve">the </w:t>
      </w:r>
      <w:r w:rsidR="00043F31">
        <w:rPr>
          <w:rFonts w:ascii="Arial" w:hAnsi="Arial" w:cs="Arial"/>
          <w:sz w:val="22"/>
          <w:szCs w:val="22"/>
        </w:rPr>
        <w:t xml:space="preserve">1971 </w:t>
      </w:r>
      <w:r w:rsidR="007E0F66" w:rsidRPr="00EC1019">
        <w:rPr>
          <w:rFonts w:ascii="Arial" w:hAnsi="Arial" w:cs="Arial"/>
          <w:sz w:val="22"/>
          <w:szCs w:val="22"/>
        </w:rPr>
        <w:t xml:space="preserve">Ormrod </w:t>
      </w:r>
      <w:r w:rsidR="00043F31">
        <w:rPr>
          <w:rFonts w:ascii="Arial" w:hAnsi="Arial" w:cs="Arial"/>
          <w:sz w:val="22"/>
          <w:szCs w:val="22"/>
        </w:rPr>
        <w:t>review</w:t>
      </w:r>
      <w:r w:rsidR="007E0F66" w:rsidRPr="00EC1019">
        <w:rPr>
          <w:rFonts w:ascii="Arial" w:hAnsi="Arial" w:cs="Arial"/>
          <w:sz w:val="22"/>
          <w:szCs w:val="22"/>
        </w:rPr>
        <w:t>.</w:t>
      </w:r>
      <w:r w:rsidR="007E0F66" w:rsidRPr="00EC1019">
        <w:rPr>
          <w:rStyle w:val="FootnoteReference"/>
          <w:rFonts w:ascii="Arial" w:hAnsi="Arial" w:cs="Arial"/>
          <w:sz w:val="22"/>
          <w:szCs w:val="22"/>
        </w:rPr>
        <w:footnoteReference w:id="6"/>
      </w:r>
      <w:r w:rsidR="007E0F66" w:rsidRPr="00EC1019">
        <w:rPr>
          <w:rFonts w:ascii="Arial" w:hAnsi="Arial" w:cs="Arial"/>
          <w:sz w:val="22"/>
          <w:szCs w:val="22"/>
        </w:rPr>
        <w:t> </w:t>
      </w:r>
      <w:r w:rsidR="002D2060" w:rsidRPr="00EC1019">
        <w:rPr>
          <w:rFonts w:ascii="Arial" w:hAnsi="Arial" w:cs="Arial"/>
          <w:sz w:val="22"/>
          <w:szCs w:val="22"/>
        </w:rPr>
        <w:t xml:space="preserve"> </w:t>
      </w:r>
      <w:r w:rsidR="00D838F0">
        <w:rPr>
          <w:rFonts w:ascii="Arial" w:hAnsi="Arial" w:cs="Arial"/>
          <w:sz w:val="22"/>
          <w:szCs w:val="22"/>
        </w:rPr>
        <w:t>LETR concluded</w:t>
      </w:r>
      <w:r w:rsidR="002D2060" w:rsidRPr="00EC1019">
        <w:rPr>
          <w:rFonts w:ascii="Arial" w:hAnsi="Arial" w:cs="Arial"/>
          <w:sz w:val="22"/>
          <w:szCs w:val="22"/>
        </w:rPr>
        <w:t xml:space="preserve"> that</w:t>
      </w:r>
      <w:r w:rsidR="006F2771">
        <w:rPr>
          <w:rFonts w:ascii="Arial" w:hAnsi="Arial" w:cs="Arial"/>
          <w:sz w:val="22"/>
          <w:szCs w:val="22"/>
        </w:rPr>
        <w:t xml:space="preserve"> </w:t>
      </w:r>
      <w:r w:rsidR="00E6409F">
        <w:rPr>
          <w:rFonts w:ascii="Arial" w:hAnsi="Arial" w:cs="Arial"/>
          <w:sz w:val="22"/>
          <w:szCs w:val="22"/>
        </w:rPr>
        <w:t>the</w:t>
      </w:r>
      <w:r w:rsidR="00043F31">
        <w:rPr>
          <w:rFonts w:ascii="Arial" w:hAnsi="Arial" w:cs="Arial"/>
          <w:sz w:val="22"/>
          <w:szCs w:val="22"/>
        </w:rPr>
        <w:t xml:space="preserve"> current routes to qualification</w:t>
      </w:r>
      <w:r w:rsidR="00E6409F">
        <w:rPr>
          <w:rFonts w:ascii="Arial" w:hAnsi="Arial" w:cs="Arial"/>
          <w:sz w:val="22"/>
          <w:szCs w:val="22"/>
        </w:rPr>
        <w:t xml:space="preserve"> fundamentally </w:t>
      </w:r>
      <w:r w:rsidR="00043F31">
        <w:rPr>
          <w:rFonts w:ascii="Arial" w:hAnsi="Arial" w:cs="Arial"/>
          <w:sz w:val="22"/>
          <w:szCs w:val="22"/>
        </w:rPr>
        <w:t>work</w:t>
      </w:r>
      <w:r w:rsidR="00E6409F">
        <w:rPr>
          <w:rFonts w:ascii="Arial" w:hAnsi="Arial" w:cs="Arial"/>
          <w:sz w:val="22"/>
          <w:szCs w:val="22"/>
        </w:rPr>
        <w:t xml:space="preserve"> though </w:t>
      </w:r>
      <w:r w:rsidR="00431A71">
        <w:rPr>
          <w:rFonts w:ascii="Arial" w:hAnsi="Arial" w:cs="Arial"/>
          <w:sz w:val="22"/>
          <w:szCs w:val="22"/>
        </w:rPr>
        <w:t>imperfectly</w:t>
      </w:r>
      <w:r w:rsidR="00E6409F">
        <w:rPr>
          <w:rFonts w:ascii="Arial" w:hAnsi="Arial" w:cs="Arial"/>
          <w:sz w:val="22"/>
          <w:szCs w:val="22"/>
        </w:rPr>
        <w:t>.</w:t>
      </w:r>
      <w:r w:rsidR="002D2060" w:rsidRPr="00EC1019">
        <w:rPr>
          <w:rStyle w:val="FootnoteReference"/>
          <w:rFonts w:ascii="Arial" w:hAnsi="Arial" w:cs="Arial"/>
          <w:sz w:val="22"/>
          <w:szCs w:val="22"/>
        </w:rPr>
        <w:footnoteReference w:id="7"/>
      </w:r>
      <w:r w:rsidR="002D2060" w:rsidRPr="00EC1019">
        <w:rPr>
          <w:rFonts w:ascii="Arial" w:hAnsi="Arial" w:cs="Arial"/>
          <w:sz w:val="22"/>
          <w:szCs w:val="22"/>
        </w:rPr>
        <w:t xml:space="preserve"> </w:t>
      </w:r>
      <w:r w:rsidR="00BC41F9" w:rsidRPr="00EC1019">
        <w:rPr>
          <w:rFonts w:ascii="Arial" w:hAnsi="Arial" w:cs="Arial"/>
          <w:sz w:val="22"/>
          <w:szCs w:val="22"/>
        </w:rPr>
        <w:t xml:space="preserve"> H</w:t>
      </w:r>
      <w:r w:rsidR="002D2060" w:rsidRPr="00EC1019">
        <w:rPr>
          <w:rFonts w:ascii="Arial" w:hAnsi="Arial" w:cs="Arial"/>
          <w:sz w:val="22"/>
          <w:szCs w:val="22"/>
        </w:rPr>
        <w:t>owever</w:t>
      </w:r>
      <w:r w:rsidR="00546841">
        <w:rPr>
          <w:rFonts w:ascii="Arial" w:hAnsi="Arial" w:cs="Arial"/>
          <w:sz w:val="22"/>
          <w:szCs w:val="22"/>
        </w:rPr>
        <w:t>,</w:t>
      </w:r>
      <w:r w:rsidR="002D2060" w:rsidRPr="00EC1019">
        <w:rPr>
          <w:rFonts w:ascii="Arial" w:hAnsi="Arial" w:cs="Arial"/>
          <w:sz w:val="22"/>
          <w:szCs w:val="22"/>
        </w:rPr>
        <w:t xml:space="preserve"> </w:t>
      </w:r>
      <w:r w:rsidR="00BC41F9" w:rsidRPr="00EC1019">
        <w:rPr>
          <w:rFonts w:ascii="Arial" w:hAnsi="Arial" w:cs="Arial"/>
          <w:sz w:val="22"/>
          <w:szCs w:val="22"/>
        </w:rPr>
        <w:t>it identified</w:t>
      </w:r>
      <w:r w:rsidR="002D2060" w:rsidRPr="00EC1019">
        <w:rPr>
          <w:rFonts w:ascii="Arial" w:hAnsi="Arial" w:cs="Arial"/>
          <w:sz w:val="22"/>
          <w:szCs w:val="22"/>
        </w:rPr>
        <w:t xml:space="preserve"> </w:t>
      </w:r>
      <w:r w:rsidR="00E6409F">
        <w:rPr>
          <w:rFonts w:ascii="Arial" w:hAnsi="Arial" w:cs="Arial"/>
          <w:sz w:val="22"/>
          <w:szCs w:val="22"/>
        </w:rPr>
        <w:t xml:space="preserve">two significant </w:t>
      </w:r>
      <w:r w:rsidR="00091783">
        <w:rPr>
          <w:rFonts w:ascii="Arial" w:hAnsi="Arial" w:cs="Arial"/>
          <w:sz w:val="22"/>
          <w:szCs w:val="22"/>
        </w:rPr>
        <w:t>problems</w:t>
      </w:r>
      <w:r w:rsidR="00E6409F">
        <w:rPr>
          <w:rFonts w:ascii="Arial" w:hAnsi="Arial" w:cs="Arial"/>
          <w:sz w:val="22"/>
          <w:szCs w:val="22"/>
        </w:rPr>
        <w:t>, one around</w:t>
      </w:r>
      <w:r w:rsidR="00BC41F9" w:rsidRPr="00EC1019">
        <w:rPr>
          <w:rFonts w:ascii="Arial" w:hAnsi="Arial" w:cs="Arial"/>
          <w:sz w:val="22"/>
          <w:szCs w:val="22"/>
        </w:rPr>
        <w:t xml:space="preserve"> con</w:t>
      </w:r>
      <w:r w:rsidR="002D2060" w:rsidRPr="00EC1019">
        <w:rPr>
          <w:rFonts w:ascii="Arial" w:hAnsi="Arial" w:cs="Arial"/>
          <w:sz w:val="22"/>
          <w:szCs w:val="22"/>
        </w:rPr>
        <w:t xml:space="preserve">sistency </w:t>
      </w:r>
      <w:r w:rsidR="00E1522B">
        <w:rPr>
          <w:rFonts w:ascii="Arial" w:hAnsi="Arial" w:cs="Arial"/>
          <w:sz w:val="22"/>
          <w:szCs w:val="22"/>
        </w:rPr>
        <w:t>of</w:t>
      </w:r>
      <w:r w:rsidR="002D2060" w:rsidRPr="00EC1019">
        <w:rPr>
          <w:rFonts w:ascii="Arial" w:hAnsi="Arial" w:cs="Arial"/>
          <w:sz w:val="22"/>
          <w:szCs w:val="22"/>
        </w:rPr>
        <w:t xml:space="preserve"> standards</w:t>
      </w:r>
      <w:r w:rsidR="00BC41F9" w:rsidRPr="00EC1019">
        <w:rPr>
          <w:rFonts w:ascii="Arial" w:hAnsi="Arial" w:cs="Arial"/>
          <w:sz w:val="22"/>
          <w:szCs w:val="22"/>
        </w:rPr>
        <w:t xml:space="preserve"> on some courses</w:t>
      </w:r>
      <w:r w:rsidR="00431A71">
        <w:rPr>
          <w:rFonts w:ascii="Arial" w:hAnsi="Arial" w:cs="Arial"/>
          <w:sz w:val="22"/>
          <w:szCs w:val="22"/>
        </w:rPr>
        <w:t>,</w:t>
      </w:r>
      <w:r w:rsidR="00BD43E6" w:rsidRPr="00EC1019">
        <w:rPr>
          <w:rStyle w:val="FootnoteReference"/>
          <w:rFonts w:ascii="Arial" w:hAnsi="Arial" w:cs="Arial"/>
          <w:sz w:val="22"/>
          <w:szCs w:val="22"/>
        </w:rPr>
        <w:footnoteReference w:id="8"/>
      </w:r>
      <w:r w:rsidR="006C70E8">
        <w:rPr>
          <w:rFonts w:ascii="Arial" w:hAnsi="Arial" w:cs="Arial"/>
          <w:sz w:val="22"/>
          <w:szCs w:val="22"/>
        </w:rPr>
        <w:t xml:space="preserve"> a</w:t>
      </w:r>
      <w:r w:rsidR="00E6409F">
        <w:rPr>
          <w:rFonts w:ascii="Arial" w:hAnsi="Arial" w:cs="Arial"/>
          <w:sz w:val="22"/>
          <w:szCs w:val="22"/>
        </w:rPr>
        <w:t xml:space="preserve">nd another </w:t>
      </w:r>
      <w:r w:rsidR="002D2060" w:rsidRPr="00EC1019">
        <w:rPr>
          <w:rFonts w:ascii="Arial" w:hAnsi="Arial" w:cs="Arial"/>
          <w:sz w:val="22"/>
          <w:szCs w:val="22"/>
        </w:rPr>
        <w:t xml:space="preserve">around </w:t>
      </w:r>
      <w:r w:rsidR="00E1522B">
        <w:rPr>
          <w:rFonts w:ascii="Arial" w:hAnsi="Arial" w:cs="Arial"/>
          <w:sz w:val="22"/>
          <w:szCs w:val="22"/>
        </w:rPr>
        <w:t xml:space="preserve">the </w:t>
      </w:r>
      <w:r w:rsidR="00E6409F">
        <w:rPr>
          <w:rFonts w:ascii="Arial" w:hAnsi="Arial" w:cs="Arial"/>
          <w:sz w:val="22"/>
          <w:szCs w:val="22"/>
        </w:rPr>
        <w:t>cost of qualifying</w:t>
      </w:r>
      <w:r w:rsidR="0014562B">
        <w:rPr>
          <w:rFonts w:ascii="Arial" w:hAnsi="Arial" w:cs="Arial"/>
          <w:sz w:val="22"/>
          <w:szCs w:val="22"/>
        </w:rPr>
        <w:t xml:space="preserve"> which raises issues of</w:t>
      </w:r>
      <w:r w:rsidR="00431A71">
        <w:rPr>
          <w:rFonts w:ascii="Arial" w:hAnsi="Arial" w:cs="Arial"/>
          <w:sz w:val="22"/>
          <w:szCs w:val="22"/>
        </w:rPr>
        <w:t xml:space="preserve"> financial risk</w:t>
      </w:r>
      <w:r w:rsidR="005721D9">
        <w:rPr>
          <w:rStyle w:val="FootnoteReference"/>
          <w:rFonts w:ascii="Arial" w:hAnsi="Arial" w:cs="Arial"/>
          <w:sz w:val="22"/>
          <w:szCs w:val="22"/>
        </w:rPr>
        <w:footnoteReference w:id="9"/>
      </w:r>
      <w:r w:rsidR="0014562B">
        <w:rPr>
          <w:rFonts w:ascii="Arial" w:hAnsi="Arial" w:cs="Arial"/>
          <w:sz w:val="22"/>
          <w:szCs w:val="22"/>
        </w:rPr>
        <w:t xml:space="preserve"> and</w:t>
      </w:r>
      <w:r w:rsidR="00E6409F">
        <w:rPr>
          <w:rFonts w:ascii="Arial" w:hAnsi="Arial" w:cs="Arial"/>
          <w:sz w:val="22"/>
          <w:szCs w:val="22"/>
        </w:rPr>
        <w:t xml:space="preserve"> </w:t>
      </w:r>
      <w:r w:rsidR="006C70E8">
        <w:rPr>
          <w:rFonts w:ascii="Arial" w:hAnsi="Arial" w:cs="Arial"/>
          <w:sz w:val="22"/>
          <w:szCs w:val="22"/>
        </w:rPr>
        <w:t>diversity in the profession</w:t>
      </w:r>
      <w:r w:rsidR="007E1078">
        <w:rPr>
          <w:rFonts w:ascii="Arial" w:hAnsi="Arial" w:cs="Arial"/>
          <w:sz w:val="22"/>
          <w:szCs w:val="22"/>
        </w:rPr>
        <w:t>.</w:t>
      </w:r>
      <w:r w:rsidR="002D2060" w:rsidRPr="00EC1019">
        <w:rPr>
          <w:rStyle w:val="FootnoteReference"/>
          <w:rFonts w:ascii="Arial" w:hAnsi="Arial" w:cs="Arial"/>
          <w:sz w:val="22"/>
          <w:szCs w:val="22"/>
        </w:rPr>
        <w:footnoteReference w:id="10"/>
      </w:r>
      <w:r w:rsidR="002D2060" w:rsidRPr="00EC1019">
        <w:rPr>
          <w:rFonts w:ascii="Arial" w:hAnsi="Arial" w:cs="Arial"/>
          <w:sz w:val="22"/>
          <w:szCs w:val="22"/>
        </w:rPr>
        <w:t xml:space="preserve"> While these were not necessarily </w:t>
      </w:r>
      <w:r w:rsidR="00DF2069" w:rsidRPr="00EC1019">
        <w:rPr>
          <w:rFonts w:ascii="Arial" w:hAnsi="Arial" w:cs="Arial"/>
          <w:sz w:val="22"/>
          <w:szCs w:val="22"/>
        </w:rPr>
        <w:t xml:space="preserve">surprising </w:t>
      </w:r>
      <w:r w:rsidR="00546841">
        <w:rPr>
          <w:rFonts w:ascii="Arial" w:hAnsi="Arial" w:cs="Arial"/>
          <w:sz w:val="22"/>
          <w:szCs w:val="22"/>
        </w:rPr>
        <w:t>conclusions for observers of the profession or the profession itself</w:t>
      </w:r>
      <w:r w:rsidR="006C70E8">
        <w:rPr>
          <w:rFonts w:ascii="Arial" w:hAnsi="Arial" w:cs="Arial"/>
          <w:sz w:val="22"/>
          <w:szCs w:val="22"/>
        </w:rPr>
        <w:t xml:space="preserve">, </w:t>
      </w:r>
      <w:r w:rsidR="00546841">
        <w:rPr>
          <w:rFonts w:ascii="Arial" w:hAnsi="Arial" w:cs="Arial"/>
          <w:sz w:val="22"/>
          <w:szCs w:val="22"/>
        </w:rPr>
        <w:t>given the importance of the</w:t>
      </w:r>
      <w:r w:rsidR="002D2060" w:rsidRPr="00EC1019">
        <w:rPr>
          <w:rFonts w:ascii="Arial" w:hAnsi="Arial" w:cs="Arial"/>
          <w:sz w:val="22"/>
          <w:szCs w:val="22"/>
        </w:rPr>
        <w:t xml:space="preserve"> rev</w:t>
      </w:r>
      <w:r w:rsidR="00BC41F9" w:rsidRPr="00EC1019">
        <w:rPr>
          <w:rFonts w:ascii="Arial" w:hAnsi="Arial" w:cs="Arial"/>
          <w:sz w:val="22"/>
          <w:szCs w:val="22"/>
        </w:rPr>
        <w:t>i</w:t>
      </w:r>
      <w:r w:rsidR="002D2060" w:rsidRPr="00EC1019">
        <w:rPr>
          <w:rFonts w:ascii="Arial" w:hAnsi="Arial" w:cs="Arial"/>
          <w:sz w:val="22"/>
          <w:szCs w:val="22"/>
        </w:rPr>
        <w:t>ew</w:t>
      </w:r>
      <w:r w:rsidR="00DF2069" w:rsidRPr="00EC1019">
        <w:rPr>
          <w:rFonts w:ascii="Arial" w:hAnsi="Arial" w:cs="Arial"/>
          <w:sz w:val="22"/>
          <w:szCs w:val="22"/>
        </w:rPr>
        <w:t xml:space="preserve">, </w:t>
      </w:r>
      <w:r w:rsidR="00546841">
        <w:rPr>
          <w:rFonts w:ascii="Arial" w:hAnsi="Arial" w:cs="Arial"/>
          <w:sz w:val="22"/>
          <w:szCs w:val="22"/>
        </w:rPr>
        <w:t xml:space="preserve">they </w:t>
      </w:r>
      <w:r w:rsidR="00DF2069" w:rsidRPr="00EC1019">
        <w:rPr>
          <w:rFonts w:ascii="Arial" w:hAnsi="Arial" w:cs="Arial"/>
          <w:sz w:val="22"/>
          <w:szCs w:val="22"/>
        </w:rPr>
        <w:t>invited, and</w:t>
      </w:r>
      <w:r w:rsidR="002D2060" w:rsidRPr="00EC1019">
        <w:rPr>
          <w:rFonts w:ascii="Arial" w:hAnsi="Arial" w:cs="Arial"/>
          <w:sz w:val="22"/>
          <w:szCs w:val="22"/>
        </w:rPr>
        <w:t xml:space="preserve"> </w:t>
      </w:r>
      <w:r w:rsidR="00BC41F9" w:rsidRPr="00EC1019">
        <w:rPr>
          <w:rFonts w:ascii="Arial" w:hAnsi="Arial" w:cs="Arial"/>
          <w:sz w:val="22"/>
          <w:szCs w:val="22"/>
        </w:rPr>
        <w:t>were bound to lead to</w:t>
      </w:r>
      <w:r w:rsidR="006C70E8">
        <w:rPr>
          <w:rFonts w:ascii="Arial" w:hAnsi="Arial" w:cs="Arial"/>
          <w:sz w:val="22"/>
          <w:szCs w:val="22"/>
        </w:rPr>
        <w:t>,</w:t>
      </w:r>
      <w:r w:rsidR="00BC41F9" w:rsidRPr="00EC1019">
        <w:rPr>
          <w:rFonts w:ascii="Arial" w:hAnsi="Arial" w:cs="Arial"/>
          <w:sz w:val="22"/>
          <w:szCs w:val="22"/>
        </w:rPr>
        <w:t xml:space="preserve"> reforms</w:t>
      </w:r>
      <w:r w:rsidR="002D2060" w:rsidRPr="00EC1019">
        <w:rPr>
          <w:rFonts w:ascii="Arial" w:hAnsi="Arial" w:cs="Arial"/>
          <w:sz w:val="22"/>
          <w:szCs w:val="22"/>
        </w:rPr>
        <w:t>.</w:t>
      </w:r>
      <w:r w:rsidR="002A3F94">
        <w:rPr>
          <w:rStyle w:val="FootnoteReference"/>
          <w:rFonts w:ascii="Arial" w:hAnsi="Arial" w:cs="Arial"/>
          <w:sz w:val="22"/>
          <w:szCs w:val="22"/>
        </w:rPr>
        <w:footnoteReference w:id="11"/>
      </w:r>
      <w:r w:rsidR="002D2060" w:rsidRPr="00EC1019">
        <w:rPr>
          <w:rFonts w:ascii="Arial" w:hAnsi="Arial" w:cs="Arial"/>
          <w:sz w:val="22"/>
          <w:szCs w:val="22"/>
        </w:rPr>
        <w:t xml:space="preserve"> </w:t>
      </w:r>
    </w:p>
    <w:p w14:paraId="292C0104" w14:textId="77777777" w:rsidR="002D2060" w:rsidRPr="00EC1019" w:rsidRDefault="002D2060" w:rsidP="002D2060">
      <w:pPr>
        <w:rPr>
          <w:rFonts w:ascii="Arial" w:eastAsia="Times New Roman" w:hAnsi="Arial" w:cs="Arial"/>
          <w:sz w:val="22"/>
          <w:szCs w:val="22"/>
          <w:lang w:val="en-GB"/>
        </w:rPr>
      </w:pPr>
    </w:p>
    <w:p w14:paraId="182FC67B" w14:textId="6E812CBC" w:rsidR="003A4AF6" w:rsidRDefault="00232B77" w:rsidP="00314391">
      <w:pPr>
        <w:rPr>
          <w:rFonts w:ascii="Arial" w:hAnsi="Arial" w:cs="Arial"/>
          <w:sz w:val="22"/>
          <w:szCs w:val="22"/>
        </w:rPr>
      </w:pPr>
      <w:r w:rsidRPr="00EC1019">
        <w:rPr>
          <w:rFonts w:ascii="Arial" w:hAnsi="Arial" w:cs="Arial"/>
          <w:sz w:val="22"/>
          <w:szCs w:val="22"/>
        </w:rPr>
        <w:t>In</w:t>
      </w:r>
      <w:r w:rsidR="00631253" w:rsidRPr="00EC1019">
        <w:rPr>
          <w:rFonts w:ascii="Arial" w:hAnsi="Arial" w:cs="Arial"/>
          <w:sz w:val="22"/>
          <w:szCs w:val="22"/>
        </w:rPr>
        <w:t xml:space="preserve"> </w:t>
      </w:r>
      <w:r w:rsidR="00114B01" w:rsidRPr="00EC1019">
        <w:rPr>
          <w:rFonts w:ascii="Arial" w:hAnsi="Arial" w:cs="Arial"/>
          <w:sz w:val="22"/>
          <w:szCs w:val="22"/>
        </w:rPr>
        <w:t>analysing</w:t>
      </w:r>
      <w:r w:rsidR="001B3B68" w:rsidRPr="00EC1019">
        <w:rPr>
          <w:rFonts w:ascii="Arial" w:hAnsi="Arial" w:cs="Arial"/>
          <w:sz w:val="22"/>
          <w:szCs w:val="22"/>
        </w:rPr>
        <w:t xml:space="preserve"> the</w:t>
      </w:r>
      <w:r w:rsidR="00DF2069" w:rsidRPr="00EC1019">
        <w:rPr>
          <w:rFonts w:ascii="Arial" w:hAnsi="Arial" w:cs="Arial"/>
          <w:sz w:val="22"/>
          <w:szCs w:val="22"/>
        </w:rPr>
        <w:t xml:space="preserve"> impact</w:t>
      </w:r>
      <w:r w:rsidR="00BC41F9" w:rsidRPr="00EC1019">
        <w:rPr>
          <w:rFonts w:ascii="Arial" w:hAnsi="Arial" w:cs="Arial"/>
          <w:sz w:val="22"/>
          <w:szCs w:val="22"/>
        </w:rPr>
        <w:t xml:space="preserve"> </w:t>
      </w:r>
      <w:r w:rsidR="0014562B">
        <w:rPr>
          <w:rFonts w:ascii="Arial" w:hAnsi="Arial" w:cs="Arial"/>
          <w:sz w:val="22"/>
          <w:szCs w:val="22"/>
        </w:rPr>
        <w:t>of</w:t>
      </w:r>
      <w:r w:rsidR="001B3B68" w:rsidRPr="00EC1019">
        <w:rPr>
          <w:rFonts w:ascii="Arial" w:hAnsi="Arial" w:cs="Arial"/>
          <w:sz w:val="22"/>
          <w:szCs w:val="22"/>
        </w:rPr>
        <w:t xml:space="preserve"> </w:t>
      </w:r>
      <w:r w:rsidR="0023391A" w:rsidRPr="00EC1019">
        <w:rPr>
          <w:rFonts w:ascii="Arial" w:hAnsi="Arial" w:cs="Arial"/>
          <w:sz w:val="22"/>
          <w:szCs w:val="22"/>
        </w:rPr>
        <w:t>the</w:t>
      </w:r>
      <w:r w:rsidR="00462743">
        <w:rPr>
          <w:rFonts w:ascii="Arial" w:hAnsi="Arial" w:cs="Arial"/>
          <w:sz w:val="22"/>
          <w:szCs w:val="22"/>
        </w:rPr>
        <w:t>se</w:t>
      </w:r>
      <w:r w:rsidR="0014562B">
        <w:rPr>
          <w:rFonts w:ascii="Arial" w:hAnsi="Arial" w:cs="Arial"/>
          <w:sz w:val="22"/>
          <w:szCs w:val="22"/>
        </w:rPr>
        <w:t xml:space="preserve"> </w:t>
      </w:r>
      <w:r w:rsidR="00AA264C">
        <w:rPr>
          <w:rFonts w:ascii="Arial" w:hAnsi="Arial" w:cs="Arial"/>
          <w:sz w:val="22"/>
          <w:szCs w:val="22"/>
        </w:rPr>
        <w:t xml:space="preserve">reforms </w:t>
      </w:r>
      <w:r w:rsidR="00582EA2">
        <w:rPr>
          <w:rFonts w:ascii="Arial" w:hAnsi="Arial" w:cs="Arial"/>
          <w:sz w:val="22"/>
          <w:szCs w:val="22"/>
        </w:rPr>
        <w:t>on the conversion course</w:t>
      </w:r>
      <w:r w:rsidR="00CA2DC8" w:rsidRPr="00EC1019">
        <w:rPr>
          <w:rFonts w:ascii="Arial" w:hAnsi="Arial" w:cs="Arial"/>
          <w:sz w:val="22"/>
          <w:szCs w:val="22"/>
        </w:rPr>
        <w:t>,</w:t>
      </w:r>
      <w:r w:rsidR="000B42C6" w:rsidRPr="00EC1019">
        <w:rPr>
          <w:rFonts w:ascii="Arial" w:hAnsi="Arial" w:cs="Arial"/>
          <w:sz w:val="22"/>
          <w:szCs w:val="22"/>
        </w:rPr>
        <w:t xml:space="preserve"> </w:t>
      </w:r>
      <w:r w:rsidRPr="00EC1019">
        <w:rPr>
          <w:rFonts w:ascii="Arial" w:hAnsi="Arial" w:cs="Arial"/>
          <w:sz w:val="22"/>
          <w:szCs w:val="22"/>
        </w:rPr>
        <w:t xml:space="preserve">this article reviews </w:t>
      </w:r>
      <w:r w:rsidR="00B224A2" w:rsidRPr="00EC1019">
        <w:rPr>
          <w:rFonts w:ascii="Arial" w:hAnsi="Arial" w:cs="Arial"/>
          <w:sz w:val="22"/>
          <w:szCs w:val="22"/>
        </w:rPr>
        <w:t xml:space="preserve">the key </w:t>
      </w:r>
      <w:r w:rsidR="00BA2500">
        <w:rPr>
          <w:rFonts w:ascii="Arial" w:hAnsi="Arial" w:cs="Arial"/>
          <w:sz w:val="22"/>
          <w:szCs w:val="22"/>
        </w:rPr>
        <w:t xml:space="preserve">driver – a </w:t>
      </w:r>
      <w:r w:rsidR="00091783">
        <w:rPr>
          <w:rFonts w:ascii="Arial" w:hAnsi="Arial" w:cs="Arial"/>
          <w:sz w:val="22"/>
          <w:szCs w:val="22"/>
        </w:rPr>
        <w:t xml:space="preserve">balance </w:t>
      </w:r>
      <w:r w:rsidR="00BA2500">
        <w:rPr>
          <w:rFonts w:ascii="Arial" w:hAnsi="Arial" w:cs="Arial"/>
          <w:sz w:val="22"/>
          <w:szCs w:val="22"/>
        </w:rPr>
        <w:t xml:space="preserve">between </w:t>
      </w:r>
      <w:r w:rsidR="006D49D9">
        <w:rPr>
          <w:rFonts w:ascii="Arial" w:hAnsi="Arial" w:cs="Arial"/>
          <w:sz w:val="22"/>
          <w:szCs w:val="22"/>
        </w:rPr>
        <w:t xml:space="preserve">market </w:t>
      </w:r>
      <w:r w:rsidR="00091783">
        <w:rPr>
          <w:rFonts w:ascii="Arial" w:hAnsi="Arial" w:cs="Arial"/>
          <w:sz w:val="22"/>
          <w:szCs w:val="22"/>
        </w:rPr>
        <w:t>forces and</w:t>
      </w:r>
      <w:r w:rsidR="006D49D9">
        <w:rPr>
          <w:rFonts w:ascii="Arial" w:hAnsi="Arial" w:cs="Arial"/>
          <w:sz w:val="22"/>
          <w:szCs w:val="22"/>
        </w:rPr>
        <w:t xml:space="preserve"> educati</w:t>
      </w:r>
      <w:r w:rsidR="00091783">
        <w:rPr>
          <w:rFonts w:ascii="Arial" w:hAnsi="Arial" w:cs="Arial"/>
          <w:sz w:val="22"/>
          <w:szCs w:val="22"/>
        </w:rPr>
        <w:t xml:space="preserve">ve </w:t>
      </w:r>
      <w:r w:rsidR="00EF561C">
        <w:rPr>
          <w:rFonts w:ascii="Arial" w:hAnsi="Arial" w:cs="Arial"/>
          <w:sz w:val="22"/>
          <w:szCs w:val="22"/>
        </w:rPr>
        <w:t>considerations</w:t>
      </w:r>
      <w:r w:rsidR="00BA2500">
        <w:rPr>
          <w:rFonts w:ascii="Arial" w:hAnsi="Arial" w:cs="Arial"/>
          <w:sz w:val="22"/>
          <w:szCs w:val="22"/>
        </w:rPr>
        <w:t xml:space="preserve"> - </w:t>
      </w:r>
      <w:r w:rsidR="00B224A2" w:rsidRPr="00EC1019">
        <w:rPr>
          <w:rFonts w:ascii="Arial" w:hAnsi="Arial" w:cs="Arial"/>
          <w:sz w:val="22"/>
          <w:szCs w:val="22"/>
        </w:rPr>
        <w:t xml:space="preserve">which </w:t>
      </w:r>
      <w:r w:rsidR="00BC41F9" w:rsidRPr="00EC1019">
        <w:rPr>
          <w:rFonts w:ascii="Arial" w:hAnsi="Arial" w:cs="Arial"/>
          <w:sz w:val="22"/>
          <w:szCs w:val="22"/>
        </w:rPr>
        <w:t>ha</w:t>
      </w:r>
      <w:r w:rsidR="00174B5B">
        <w:rPr>
          <w:rFonts w:ascii="Arial" w:hAnsi="Arial" w:cs="Arial"/>
          <w:sz w:val="22"/>
          <w:szCs w:val="22"/>
        </w:rPr>
        <w:t>ve</w:t>
      </w:r>
      <w:r w:rsidR="00BC41F9" w:rsidRPr="00EC1019">
        <w:rPr>
          <w:rFonts w:ascii="Arial" w:hAnsi="Arial" w:cs="Arial"/>
          <w:sz w:val="22"/>
          <w:szCs w:val="22"/>
        </w:rPr>
        <w:t xml:space="preserve"> defined the</w:t>
      </w:r>
      <w:r w:rsidR="006F4743" w:rsidRPr="00EC1019">
        <w:rPr>
          <w:rFonts w:ascii="Arial" w:hAnsi="Arial" w:cs="Arial"/>
          <w:sz w:val="22"/>
          <w:szCs w:val="22"/>
        </w:rPr>
        <w:t xml:space="preserve"> </w:t>
      </w:r>
      <w:r w:rsidR="00BC41F9" w:rsidRPr="00EC1019">
        <w:rPr>
          <w:rFonts w:ascii="Arial" w:hAnsi="Arial" w:cs="Arial"/>
          <w:sz w:val="22"/>
          <w:szCs w:val="22"/>
        </w:rPr>
        <w:t>course as it is today</w:t>
      </w:r>
      <w:r w:rsidR="00582EA2">
        <w:rPr>
          <w:rFonts w:ascii="Arial" w:hAnsi="Arial" w:cs="Arial"/>
          <w:sz w:val="22"/>
          <w:szCs w:val="22"/>
        </w:rPr>
        <w:t>,</w:t>
      </w:r>
      <w:r w:rsidRPr="00EC1019">
        <w:rPr>
          <w:rFonts w:ascii="Arial" w:hAnsi="Arial" w:cs="Arial"/>
          <w:sz w:val="22"/>
          <w:szCs w:val="22"/>
        </w:rPr>
        <w:t xml:space="preserve"> </w:t>
      </w:r>
      <w:r w:rsidR="006D49D9">
        <w:rPr>
          <w:rFonts w:ascii="Arial" w:hAnsi="Arial" w:cs="Arial"/>
          <w:sz w:val="22"/>
          <w:szCs w:val="22"/>
        </w:rPr>
        <w:t xml:space="preserve">and </w:t>
      </w:r>
      <w:r w:rsidR="00431A71">
        <w:rPr>
          <w:rFonts w:ascii="Arial" w:hAnsi="Arial" w:cs="Arial"/>
          <w:sz w:val="22"/>
          <w:szCs w:val="22"/>
        </w:rPr>
        <w:t xml:space="preserve">it </w:t>
      </w:r>
      <w:r w:rsidR="006D49D9">
        <w:rPr>
          <w:rFonts w:ascii="Arial" w:hAnsi="Arial" w:cs="Arial"/>
          <w:sz w:val="22"/>
          <w:szCs w:val="22"/>
        </w:rPr>
        <w:t>remain</w:t>
      </w:r>
      <w:r w:rsidR="00164360">
        <w:rPr>
          <w:rFonts w:ascii="Arial" w:hAnsi="Arial" w:cs="Arial"/>
          <w:sz w:val="22"/>
          <w:szCs w:val="22"/>
        </w:rPr>
        <w:t>s</w:t>
      </w:r>
      <w:r w:rsidR="00BC41F9" w:rsidRPr="00EC1019">
        <w:rPr>
          <w:rFonts w:ascii="Arial" w:hAnsi="Arial" w:cs="Arial"/>
          <w:sz w:val="22"/>
          <w:szCs w:val="22"/>
        </w:rPr>
        <w:t xml:space="preserve"> </w:t>
      </w:r>
      <w:r w:rsidRPr="00EC1019">
        <w:rPr>
          <w:rFonts w:ascii="Arial" w:hAnsi="Arial" w:cs="Arial"/>
          <w:sz w:val="22"/>
          <w:szCs w:val="22"/>
        </w:rPr>
        <w:t xml:space="preserve">pertinent to </w:t>
      </w:r>
      <w:r w:rsidR="00B224A2" w:rsidRPr="00EC1019">
        <w:rPr>
          <w:rFonts w:ascii="Arial" w:hAnsi="Arial" w:cs="Arial"/>
          <w:sz w:val="22"/>
          <w:szCs w:val="22"/>
        </w:rPr>
        <w:t xml:space="preserve">an </w:t>
      </w:r>
      <w:r w:rsidRPr="00EC1019">
        <w:rPr>
          <w:rFonts w:ascii="Arial" w:hAnsi="Arial" w:cs="Arial"/>
          <w:sz w:val="22"/>
          <w:szCs w:val="22"/>
        </w:rPr>
        <w:t xml:space="preserve">analysis of </w:t>
      </w:r>
      <w:r w:rsidR="006D49D9">
        <w:rPr>
          <w:rFonts w:ascii="Arial" w:hAnsi="Arial" w:cs="Arial"/>
          <w:sz w:val="22"/>
          <w:szCs w:val="22"/>
        </w:rPr>
        <w:t>the likely responses</w:t>
      </w:r>
      <w:r w:rsidR="00B224A2" w:rsidRPr="00EC1019">
        <w:rPr>
          <w:rFonts w:ascii="Arial" w:hAnsi="Arial" w:cs="Arial"/>
          <w:sz w:val="22"/>
          <w:szCs w:val="22"/>
        </w:rPr>
        <w:t xml:space="preserve">. </w:t>
      </w:r>
      <w:r w:rsidR="00E03E9C" w:rsidRPr="00EC1019">
        <w:rPr>
          <w:rFonts w:ascii="Arial" w:hAnsi="Arial" w:cs="Arial"/>
          <w:sz w:val="22"/>
          <w:szCs w:val="22"/>
        </w:rPr>
        <w:t xml:space="preserve">This </w:t>
      </w:r>
      <w:r w:rsidR="00BC41F9" w:rsidRPr="00EC1019">
        <w:rPr>
          <w:rFonts w:ascii="Arial" w:hAnsi="Arial" w:cs="Arial"/>
          <w:sz w:val="22"/>
          <w:szCs w:val="22"/>
        </w:rPr>
        <w:t xml:space="preserve">article </w:t>
      </w:r>
      <w:r w:rsidR="00E03E9C" w:rsidRPr="00EC1019">
        <w:rPr>
          <w:rFonts w:ascii="Arial" w:hAnsi="Arial" w:cs="Arial"/>
          <w:sz w:val="22"/>
          <w:szCs w:val="22"/>
        </w:rPr>
        <w:t>highlights the eviden</w:t>
      </w:r>
      <w:r w:rsidR="00A1377D" w:rsidRPr="00EC1019">
        <w:rPr>
          <w:rFonts w:ascii="Arial" w:hAnsi="Arial" w:cs="Arial"/>
          <w:sz w:val="22"/>
          <w:szCs w:val="22"/>
        </w:rPr>
        <w:t>ce which shows that</w:t>
      </w:r>
      <w:r w:rsidR="00164A27" w:rsidRPr="00EC1019">
        <w:rPr>
          <w:rFonts w:ascii="Arial" w:hAnsi="Arial" w:cs="Arial"/>
          <w:sz w:val="22"/>
          <w:szCs w:val="22"/>
        </w:rPr>
        <w:t xml:space="preserve"> despite its critics</w:t>
      </w:r>
      <w:r w:rsidR="00BC41F9" w:rsidRPr="00EC1019">
        <w:rPr>
          <w:rFonts w:ascii="Arial" w:hAnsi="Arial" w:cs="Arial"/>
          <w:sz w:val="22"/>
          <w:szCs w:val="22"/>
        </w:rPr>
        <w:t>,</w:t>
      </w:r>
      <w:r w:rsidR="00E03E9C" w:rsidRPr="00EC1019">
        <w:rPr>
          <w:rFonts w:ascii="Arial" w:hAnsi="Arial" w:cs="Arial"/>
          <w:sz w:val="22"/>
          <w:szCs w:val="22"/>
        </w:rPr>
        <w:t xml:space="preserve"> </w:t>
      </w:r>
      <w:r w:rsidR="001243DF" w:rsidRPr="00EC1019">
        <w:rPr>
          <w:rFonts w:ascii="Arial" w:hAnsi="Arial" w:cs="Arial"/>
          <w:sz w:val="22"/>
          <w:szCs w:val="22"/>
        </w:rPr>
        <w:t xml:space="preserve">the </w:t>
      </w:r>
      <w:r w:rsidR="00222807">
        <w:rPr>
          <w:rFonts w:ascii="Arial" w:hAnsi="Arial" w:cs="Arial"/>
          <w:sz w:val="22"/>
          <w:szCs w:val="22"/>
        </w:rPr>
        <w:t>conversion</w:t>
      </w:r>
      <w:r w:rsidR="00E1522B" w:rsidRPr="00EC1019">
        <w:rPr>
          <w:rFonts w:ascii="Arial" w:hAnsi="Arial" w:cs="Arial"/>
          <w:sz w:val="22"/>
          <w:szCs w:val="22"/>
        </w:rPr>
        <w:t xml:space="preserve"> </w:t>
      </w:r>
      <w:r w:rsidR="001243DF" w:rsidRPr="00EC1019">
        <w:rPr>
          <w:rFonts w:ascii="Arial" w:hAnsi="Arial" w:cs="Arial"/>
          <w:sz w:val="22"/>
          <w:szCs w:val="22"/>
        </w:rPr>
        <w:t>route</w:t>
      </w:r>
      <w:r w:rsidR="00CC6868" w:rsidRPr="00EC1019">
        <w:rPr>
          <w:rFonts w:ascii="Arial" w:hAnsi="Arial" w:cs="Arial"/>
          <w:sz w:val="22"/>
          <w:szCs w:val="22"/>
        </w:rPr>
        <w:t xml:space="preserve"> </w:t>
      </w:r>
      <w:r w:rsidRPr="00EC1019">
        <w:rPr>
          <w:rFonts w:ascii="Arial" w:hAnsi="Arial" w:cs="Arial"/>
          <w:sz w:val="22"/>
          <w:szCs w:val="22"/>
        </w:rPr>
        <w:t>has become an</w:t>
      </w:r>
      <w:r w:rsidR="00FC3133" w:rsidRPr="00EC1019">
        <w:rPr>
          <w:rFonts w:ascii="Arial" w:hAnsi="Arial" w:cs="Arial"/>
          <w:sz w:val="22"/>
          <w:szCs w:val="22"/>
        </w:rPr>
        <w:t xml:space="preserve"> </w:t>
      </w:r>
      <w:r w:rsidR="007A2A28" w:rsidRPr="00EC1019">
        <w:rPr>
          <w:rFonts w:ascii="Arial" w:hAnsi="Arial" w:cs="Arial"/>
          <w:sz w:val="22"/>
          <w:szCs w:val="22"/>
        </w:rPr>
        <w:t>important</w:t>
      </w:r>
      <w:r w:rsidR="00096C42" w:rsidRPr="00EC1019">
        <w:rPr>
          <w:rFonts w:ascii="Arial" w:hAnsi="Arial" w:cs="Arial"/>
          <w:sz w:val="22"/>
          <w:szCs w:val="22"/>
        </w:rPr>
        <w:t xml:space="preserve"> </w:t>
      </w:r>
      <w:r w:rsidR="000206CE">
        <w:rPr>
          <w:rFonts w:ascii="Arial" w:hAnsi="Arial" w:cs="Arial"/>
          <w:sz w:val="22"/>
          <w:szCs w:val="22"/>
        </w:rPr>
        <w:t>one</w:t>
      </w:r>
      <w:r w:rsidR="00FC3133" w:rsidRPr="00EC1019">
        <w:rPr>
          <w:rFonts w:ascii="Arial" w:hAnsi="Arial" w:cs="Arial"/>
          <w:sz w:val="22"/>
          <w:szCs w:val="22"/>
        </w:rPr>
        <w:t xml:space="preserve"> to qualification</w:t>
      </w:r>
      <w:r w:rsidR="00B224A2" w:rsidRPr="00EC1019">
        <w:rPr>
          <w:rFonts w:ascii="Arial" w:hAnsi="Arial" w:cs="Arial"/>
          <w:sz w:val="22"/>
          <w:szCs w:val="22"/>
        </w:rPr>
        <w:t>,</w:t>
      </w:r>
      <w:r w:rsidR="00FC3133" w:rsidRPr="00EC1019">
        <w:rPr>
          <w:rFonts w:ascii="Arial" w:hAnsi="Arial" w:cs="Arial"/>
          <w:sz w:val="22"/>
          <w:szCs w:val="22"/>
        </w:rPr>
        <w:t xml:space="preserve"> </w:t>
      </w:r>
      <w:r w:rsidR="00CC6868" w:rsidRPr="00EC1019">
        <w:rPr>
          <w:rFonts w:ascii="Arial" w:hAnsi="Arial" w:cs="Arial"/>
          <w:sz w:val="22"/>
          <w:szCs w:val="22"/>
        </w:rPr>
        <w:t xml:space="preserve">especially </w:t>
      </w:r>
      <w:r w:rsidR="00FC3133" w:rsidRPr="00EC1019">
        <w:rPr>
          <w:rFonts w:ascii="Arial" w:hAnsi="Arial" w:cs="Arial"/>
          <w:sz w:val="22"/>
          <w:szCs w:val="22"/>
        </w:rPr>
        <w:t xml:space="preserve">for </w:t>
      </w:r>
      <w:r w:rsidR="00D412F7" w:rsidRPr="00EC1019">
        <w:rPr>
          <w:rFonts w:ascii="Arial" w:hAnsi="Arial" w:cs="Arial"/>
          <w:sz w:val="22"/>
          <w:szCs w:val="22"/>
        </w:rPr>
        <w:t>cit</w:t>
      </w:r>
      <w:r w:rsidR="001F0804">
        <w:rPr>
          <w:rFonts w:ascii="Arial" w:hAnsi="Arial" w:cs="Arial"/>
          <w:sz w:val="22"/>
          <w:szCs w:val="22"/>
        </w:rPr>
        <w:t>y</w:t>
      </w:r>
      <w:r w:rsidR="00096C42" w:rsidRPr="00EC1019">
        <w:rPr>
          <w:rFonts w:ascii="Arial" w:hAnsi="Arial" w:cs="Arial"/>
          <w:sz w:val="22"/>
          <w:szCs w:val="22"/>
        </w:rPr>
        <w:t xml:space="preserve"> </w:t>
      </w:r>
      <w:r w:rsidR="00D412F7" w:rsidRPr="00EC1019">
        <w:rPr>
          <w:rFonts w:ascii="Arial" w:hAnsi="Arial" w:cs="Arial"/>
          <w:sz w:val="22"/>
          <w:szCs w:val="22"/>
        </w:rPr>
        <w:t xml:space="preserve">firms and </w:t>
      </w:r>
      <w:r w:rsidR="007A2A28" w:rsidRPr="00EC1019">
        <w:rPr>
          <w:rFonts w:ascii="Arial" w:hAnsi="Arial" w:cs="Arial"/>
          <w:sz w:val="22"/>
          <w:szCs w:val="22"/>
        </w:rPr>
        <w:t>the B</w:t>
      </w:r>
      <w:r w:rsidR="00D412F7" w:rsidRPr="00EC1019">
        <w:rPr>
          <w:rFonts w:ascii="Arial" w:hAnsi="Arial" w:cs="Arial"/>
          <w:sz w:val="22"/>
          <w:szCs w:val="22"/>
        </w:rPr>
        <w:t>ar</w:t>
      </w:r>
      <w:r w:rsidR="001243DF" w:rsidRPr="00EC1019">
        <w:rPr>
          <w:rFonts w:ascii="Arial" w:hAnsi="Arial" w:cs="Arial"/>
          <w:sz w:val="22"/>
          <w:szCs w:val="22"/>
        </w:rPr>
        <w:t xml:space="preserve">. </w:t>
      </w:r>
      <w:r w:rsidR="00462743">
        <w:rPr>
          <w:rFonts w:ascii="Arial" w:hAnsi="Arial" w:cs="Arial"/>
          <w:sz w:val="22"/>
          <w:szCs w:val="22"/>
        </w:rPr>
        <w:t>It</w:t>
      </w:r>
      <w:r w:rsidR="00BB74D8">
        <w:rPr>
          <w:rFonts w:ascii="Arial" w:hAnsi="Arial" w:cs="Arial"/>
          <w:sz w:val="22"/>
          <w:szCs w:val="22"/>
        </w:rPr>
        <w:t xml:space="preserve"> considers the proposition</w:t>
      </w:r>
      <w:r w:rsidR="00FC3133" w:rsidRPr="00EC1019">
        <w:rPr>
          <w:rFonts w:ascii="Arial" w:hAnsi="Arial" w:cs="Arial"/>
          <w:sz w:val="22"/>
          <w:szCs w:val="22"/>
        </w:rPr>
        <w:t xml:space="preserve"> that NLG</w:t>
      </w:r>
      <w:r w:rsidR="00B224A2" w:rsidRPr="00EC1019">
        <w:rPr>
          <w:rFonts w:ascii="Arial" w:hAnsi="Arial" w:cs="Arial"/>
          <w:sz w:val="22"/>
          <w:szCs w:val="22"/>
        </w:rPr>
        <w:t xml:space="preserve"> are attractive because of the</w:t>
      </w:r>
      <w:r w:rsidR="006B5E9F">
        <w:rPr>
          <w:rFonts w:ascii="Arial" w:hAnsi="Arial" w:cs="Arial"/>
          <w:sz w:val="22"/>
          <w:szCs w:val="22"/>
        </w:rPr>
        <w:t>ir</w:t>
      </w:r>
      <w:r w:rsidR="00FC3133" w:rsidRPr="00EC1019">
        <w:rPr>
          <w:rFonts w:ascii="Arial" w:hAnsi="Arial" w:cs="Arial"/>
          <w:sz w:val="22"/>
          <w:szCs w:val="22"/>
        </w:rPr>
        <w:t xml:space="preserve"> value in terms of maturity and experience</w:t>
      </w:r>
      <w:r w:rsidR="00B224A2" w:rsidRPr="00EC1019">
        <w:rPr>
          <w:rFonts w:ascii="Arial" w:hAnsi="Arial" w:cs="Arial"/>
          <w:sz w:val="22"/>
          <w:szCs w:val="22"/>
        </w:rPr>
        <w:t xml:space="preserve">. </w:t>
      </w:r>
      <w:r w:rsidR="00B37ACA">
        <w:rPr>
          <w:rFonts w:ascii="Arial" w:hAnsi="Arial" w:cs="Arial"/>
          <w:sz w:val="22"/>
          <w:szCs w:val="22"/>
        </w:rPr>
        <w:t>I</w:t>
      </w:r>
      <w:r w:rsidR="000206CE">
        <w:rPr>
          <w:rFonts w:ascii="Arial" w:hAnsi="Arial" w:cs="Arial"/>
          <w:sz w:val="22"/>
          <w:szCs w:val="22"/>
        </w:rPr>
        <w:t xml:space="preserve">t is argued </w:t>
      </w:r>
      <w:r w:rsidR="00DF2069" w:rsidRPr="00EC1019">
        <w:rPr>
          <w:rFonts w:ascii="Arial" w:hAnsi="Arial" w:cs="Arial"/>
          <w:sz w:val="22"/>
          <w:szCs w:val="22"/>
        </w:rPr>
        <w:t xml:space="preserve">that </w:t>
      </w:r>
      <w:r w:rsidR="006B5E9F">
        <w:rPr>
          <w:rFonts w:ascii="Arial" w:hAnsi="Arial" w:cs="Arial"/>
          <w:sz w:val="22"/>
          <w:szCs w:val="22"/>
        </w:rPr>
        <w:t>this</w:t>
      </w:r>
      <w:r w:rsidR="00DC7860" w:rsidRPr="00EC1019">
        <w:rPr>
          <w:rFonts w:ascii="Arial" w:hAnsi="Arial" w:cs="Arial"/>
          <w:sz w:val="22"/>
          <w:szCs w:val="22"/>
        </w:rPr>
        <w:t xml:space="preserve"> postulation</w:t>
      </w:r>
      <w:r w:rsidR="00DE58DB">
        <w:rPr>
          <w:rFonts w:ascii="Arial" w:hAnsi="Arial" w:cs="Arial"/>
          <w:sz w:val="22"/>
          <w:szCs w:val="22"/>
        </w:rPr>
        <w:t xml:space="preserve">, while </w:t>
      </w:r>
      <w:r w:rsidR="00164360">
        <w:rPr>
          <w:rFonts w:ascii="Arial" w:hAnsi="Arial" w:cs="Arial"/>
          <w:sz w:val="22"/>
          <w:szCs w:val="22"/>
        </w:rPr>
        <w:t>seemingly plausible</w:t>
      </w:r>
      <w:r w:rsidR="00DE58DB">
        <w:rPr>
          <w:rFonts w:ascii="Arial" w:hAnsi="Arial" w:cs="Arial"/>
          <w:sz w:val="22"/>
          <w:szCs w:val="22"/>
        </w:rPr>
        <w:t>,</w:t>
      </w:r>
      <w:r w:rsidR="006C70E8">
        <w:rPr>
          <w:rFonts w:ascii="Arial" w:hAnsi="Arial" w:cs="Arial"/>
          <w:sz w:val="22"/>
          <w:szCs w:val="22"/>
        </w:rPr>
        <w:t xml:space="preserve"> </w:t>
      </w:r>
      <w:r w:rsidR="00546841">
        <w:rPr>
          <w:rFonts w:ascii="Arial" w:hAnsi="Arial" w:cs="Arial"/>
          <w:sz w:val="22"/>
          <w:szCs w:val="22"/>
        </w:rPr>
        <w:t xml:space="preserve">is </w:t>
      </w:r>
      <w:r w:rsidR="00B224A2" w:rsidRPr="00EC1019">
        <w:rPr>
          <w:rFonts w:ascii="Arial" w:hAnsi="Arial" w:cs="Arial"/>
          <w:sz w:val="22"/>
          <w:szCs w:val="22"/>
        </w:rPr>
        <w:t>glib</w:t>
      </w:r>
      <w:r w:rsidR="00DF2069" w:rsidRPr="00EC1019">
        <w:rPr>
          <w:rFonts w:ascii="Arial" w:hAnsi="Arial" w:cs="Arial"/>
          <w:sz w:val="22"/>
          <w:szCs w:val="22"/>
        </w:rPr>
        <w:t>,</w:t>
      </w:r>
      <w:r w:rsidR="00B224A2" w:rsidRPr="00EC1019">
        <w:rPr>
          <w:rFonts w:ascii="Arial" w:hAnsi="Arial" w:cs="Arial"/>
          <w:sz w:val="22"/>
          <w:szCs w:val="22"/>
        </w:rPr>
        <w:t xml:space="preserve"> as it </w:t>
      </w:r>
      <w:r w:rsidR="00FC3133" w:rsidRPr="00EC1019">
        <w:rPr>
          <w:rFonts w:ascii="Arial" w:hAnsi="Arial" w:cs="Arial"/>
          <w:sz w:val="22"/>
          <w:szCs w:val="22"/>
        </w:rPr>
        <w:t xml:space="preserve">masks </w:t>
      </w:r>
      <w:r w:rsidR="00DC7860" w:rsidRPr="00EC1019">
        <w:rPr>
          <w:rFonts w:ascii="Arial" w:hAnsi="Arial" w:cs="Arial"/>
          <w:sz w:val="22"/>
          <w:szCs w:val="22"/>
        </w:rPr>
        <w:t xml:space="preserve">the </w:t>
      </w:r>
      <w:r w:rsidR="006C0ECF">
        <w:rPr>
          <w:rFonts w:ascii="Arial" w:hAnsi="Arial" w:cs="Arial"/>
          <w:sz w:val="22"/>
          <w:szCs w:val="22"/>
        </w:rPr>
        <w:t xml:space="preserve">profession’s </w:t>
      </w:r>
      <w:r w:rsidR="006B5E9F">
        <w:rPr>
          <w:rFonts w:ascii="Arial" w:hAnsi="Arial" w:cs="Arial"/>
          <w:sz w:val="22"/>
          <w:szCs w:val="22"/>
        </w:rPr>
        <w:t>dominant</w:t>
      </w:r>
      <w:r w:rsidR="006C0ECF">
        <w:rPr>
          <w:rFonts w:ascii="Arial" w:hAnsi="Arial" w:cs="Arial"/>
          <w:sz w:val="22"/>
          <w:szCs w:val="22"/>
        </w:rPr>
        <w:t xml:space="preserve"> criteria for </w:t>
      </w:r>
      <w:r w:rsidR="00AA264C">
        <w:rPr>
          <w:rFonts w:ascii="Arial" w:hAnsi="Arial" w:cs="Arial"/>
          <w:sz w:val="22"/>
          <w:szCs w:val="22"/>
        </w:rPr>
        <w:t>their</w:t>
      </w:r>
      <w:r w:rsidR="006C0ECF">
        <w:rPr>
          <w:rFonts w:ascii="Arial" w:hAnsi="Arial" w:cs="Arial"/>
          <w:sz w:val="22"/>
          <w:szCs w:val="22"/>
        </w:rPr>
        <w:t xml:space="preserve"> selection pool</w:t>
      </w:r>
      <w:r w:rsidR="00AA264C">
        <w:rPr>
          <w:rFonts w:ascii="Arial" w:hAnsi="Arial" w:cs="Arial"/>
          <w:sz w:val="22"/>
          <w:szCs w:val="22"/>
        </w:rPr>
        <w:t>,</w:t>
      </w:r>
      <w:r w:rsidR="006C0ECF">
        <w:rPr>
          <w:rFonts w:ascii="Arial" w:hAnsi="Arial" w:cs="Arial"/>
          <w:sz w:val="22"/>
          <w:szCs w:val="22"/>
        </w:rPr>
        <w:t xml:space="preserve"> which</w:t>
      </w:r>
      <w:r w:rsidR="000206CE">
        <w:rPr>
          <w:rFonts w:ascii="Arial" w:hAnsi="Arial" w:cs="Arial"/>
          <w:sz w:val="22"/>
          <w:szCs w:val="22"/>
        </w:rPr>
        <w:t xml:space="preserve"> is</w:t>
      </w:r>
      <w:r w:rsidR="0014562B">
        <w:rPr>
          <w:rFonts w:ascii="Arial" w:hAnsi="Arial" w:cs="Arial"/>
          <w:sz w:val="22"/>
          <w:szCs w:val="22"/>
        </w:rPr>
        <w:t xml:space="preserve"> </w:t>
      </w:r>
      <w:r w:rsidR="00AA264C">
        <w:rPr>
          <w:rFonts w:ascii="Arial" w:hAnsi="Arial" w:cs="Arial"/>
          <w:sz w:val="22"/>
          <w:szCs w:val="22"/>
        </w:rPr>
        <w:t>completion of undergraduate studies at a reputable university</w:t>
      </w:r>
      <w:r w:rsidR="00462743">
        <w:rPr>
          <w:rFonts w:ascii="Arial" w:hAnsi="Arial" w:cs="Arial"/>
          <w:sz w:val="22"/>
          <w:szCs w:val="22"/>
        </w:rPr>
        <w:t>. The data which are</w:t>
      </w:r>
      <w:r w:rsidR="002505CF">
        <w:rPr>
          <w:rFonts w:ascii="Arial" w:hAnsi="Arial" w:cs="Arial"/>
          <w:sz w:val="22"/>
          <w:szCs w:val="22"/>
        </w:rPr>
        <w:t xml:space="preserve"> included in this article show that </w:t>
      </w:r>
      <w:r w:rsidR="006B5E9F">
        <w:rPr>
          <w:rFonts w:ascii="Arial" w:hAnsi="Arial" w:cs="Arial"/>
          <w:sz w:val="22"/>
          <w:szCs w:val="22"/>
        </w:rPr>
        <w:t>th</w:t>
      </w:r>
      <w:r w:rsidR="006C70E8">
        <w:rPr>
          <w:rFonts w:ascii="Arial" w:hAnsi="Arial" w:cs="Arial"/>
          <w:sz w:val="22"/>
          <w:szCs w:val="22"/>
        </w:rPr>
        <w:t xml:space="preserve">is </w:t>
      </w:r>
      <w:r w:rsidR="00B224A2" w:rsidRPr="00EC1019">
        <w:rPr>
          <w:rFonts w:ascii="Arial" w:hAnsi="Arial" w:cs="Arial"/>
          <w:sz w:val="22"/>
          <w:szCs w:val="22"/>
        </w:rPr>
        <w:t>negatively impact</w:t>
      </w:r>
      <w:r w:rsidR="006C70E8">
        <w:rPr>
          <w:rFonts w:ascii="Arial" w:hAnsi="Arial" w:cs="Arial"/>
          <w:sz w:val="22"/>
          <w:szCs w:val="22"/>
        </w:rPr>
        <w:t>s</w:t>
      </w:r>
      <w:r w:rsidR="00B224A2" w:rsidRPr="00EC1019">
        <w:rPr>
          <w:rFonts w:ascii="Arial" w:hAnsi="Arial" w:cs="Arial"/>
          <w:sz w:val="22"/>
          <w:szCs w:val="22"/>
        </w:rPr>
        <w:t xml:space="preserve"> </w:t>
      </w:r>
      <w:r w:rsidR="001C30F1" w:rsidRPr="00EC1019">
        <w:rPr>
          <w:rFonts w:ascii="Arial" w:hAnsi="Arial" w:cs="Arial"/>
          <w:sz w:val="22"/>
          <w:szCs w:val="22"/>
        </w:rPr>
        <w:t>upon</w:t>
      </w:r>
      <w:r w:rsidR="00DC7860" w:rsidRPr="00EC1019">
        <w:rPr>
          <w:rFonts w:ascii="Arial" w:hAnsi="Arial" w:cs="Arial"/>
          <w:sz w:val="22"/>
          <w:szCs w:val="22"/>
        </w:rPr>
        <w:t xml:space="preserve"> </w:t>
      </w:r>
      <w:r w:rsidR="006D49D9">
        <w:rPr>
          <w:rFonts w:ascii="Arial" w:hAnsi="Arial" w:cs="Arial"/>
          <w:sz w:val="22"/>
          <w:szCs w:val="22"/>
        </w:rPr>
        <w:t xml:space="preserve">BME </w:t>
      </w:r>
      <w:r w:rsidR="00DC7860" w:rsidRPr="00EC1019">
        <w:rPr>
          <w:rFonts w:ascii="Arial" w:hAnsi="Arial" w:cs="Arial"/>
          <w:sz w:val="22"/>
          <w:szCs w:val="22"/>
        </w:rPr>
        <w:t xml:space="preserve">diversity in </w:t>
      </w:r>
      <w:r w:rsidR="001F0804">
        <w:rPr>
          <w:rFonts w:ascii="Arial" w:hAnsi="Arial" w:cs="Arial"/>
          <w:sz w:val="22"/>
          <w:szCs w:val="22"/>
        </w:rPr>
        <w:t xml:space="preserve">parts of the </w:t>
      </w:r>
      <w:r w:rsidR="00DC7860" w:rsidRPr="00EC1019">
        <w:rPr>
          <w:rFonts w:ascii="Arial" w:hAnsi="Arial" w:cs="Arial"/>
          <w:sz w:val="22"/>
          <w:szCs w:val="22"/>
        </w:rPr>
        <w:t>profession.</w:t>
      </w:r>
      <w:r w:rsidR="006D49D9">
        <w:rPr>
          <w:rStyle w:val="FootnoteReference"/>
          <w:rFonts w:ascii="Arial" w:hAnsi="Arial" w:cs="Arial"/>
          <w:sz w:val="22"/>
          <w:szCs w:val="22"/>
        </w:rPr>
        <w:footnoteReference w:id="12"/>
      </w:r>
      <w:r w:rsidR="00DC7860" w:rsidRPr="00EC1019">
        <w:rPr>
          <w:rFonts w:ascii="Arial" w:hAnsi="Arial" w:cs="Arial"/>
          <w:sz w:val="22"/>
          <w:szCs w:val="22"/>
        </w:rPr>
        <w:t xml:space="preserve"> </w:t>
      </w:r>
      <w:r w:rsidR="002505CF">
        <w:rPr>
          <w:rFonts w:ascii="Arial" w:hAnsi="Arial" w:cs="Arial"/>
          <w:sz w:val="22"/>
          <w:szCs w:val="22"/>
        </w:rPr>
        <w:t>Other d</w:t>
      </w:r>
      <w:r w:rsidR="00DC7860" w:rsidRPr="00EC1019">
        <w:rPr>
          <w:rFonts w:ascii="Arial" w:hAnsi="Arial" w:cs="Arial"/>
          <w:sz w:val="22"/>
          <w:szCs w:val="22"/>
        </w:rPr>
        <w:t xml:space="preserve">ata </w:t>
      </w:r>
      <w:r w:rsidR="00462743">
        <w:rPr>
          <w:rFonts w:ascii="Arial" w:hAnsi="Arial" w:cs="Arial"/>
          <w:sz w:val="22"/>
          <w:szCs w:val="22"/>
        </w:rPr>
        <w:t>which are</w:t>
      </w:r>
      <w:r w:rsidR="002505CF">
        <w:rPr>
          <w:rFonts w:ascii="Arial" w:hAnsi="Arial" w:cs="Arial"/>
          <w:sz w:val="22"/>
          <w:szCs w:val="22"/>
        </w:rPr>
        <w:t xml:space="preserve"> included </w:t>
      </w:r>
      <w:r w:rsidR="00462743">
        <w:rPr>
          <w:rFonts w:ascii="Arial" w:hAnsi="Arial" w:cs="Arial"/>
          <w:sz w:val="22"/>
          <w:szCs w:val="22"/>
        </w:rPr>
        <w:t>here show</w:t>
      </w:r>
      <w:r w:rsidR="00DC7860" w:rsidRPr="00EC1019">
        <w:rPr>
          <w:rFonts w:ascii="Arial" w:hAnsi="Arial" w:cs="Arial"/>
          <w:sz w:val="22"/>
          <w:szCs w:val="22"/>
        </w:rPr>
        <w:t xml:space="preserve"> </w:t>
      </w:r>
      <w:r w:rsidR="00164360">
        <w:rPr>
          <w:rFonts w:ascii="Arial" w:hAnsi="Arial" w:cs="Arial"/>
          <w:sz w:val="22"/>
          <w:szCs w:val="22"/>
        </w:rPr>
        <w:t>another problem for diversity</w:t>
      </w:r>
      <w:r w:rsidR="002505CF">
        <w:rPr>
          <w:rFonts w:ascii="Arial" w:hAnsi="Arial" w:cs="Arial"/>
          <w:sz w:val="22"/>
          <w:szCs w:val="22"/>
        </w:rPr>
        <w:t xml:space="preserve"> in the profession</w:t>
      </w:r>
      <w:r w:rsidR="00164360">
        <w:rPr>
          <w:rFonts w:ascii="Arial" w:hAnsi="Arial" w:cs="Arial"/>
          <w:sz w:val="22"/>
          <w:szCs w:val="22"/>
        </w:rPr>
        <w:t xml:space="preserve"> as </w:t>
      </w:r>
      <w:r w:rsidR="00DC7860" w:rsidRPr="00EC1019">
        <w:rPr>
          <w:rFonts w:ascii="Arial" w:hAnsi="Arial" w:cs="Arial"/>
          <w:sz w:val="22"/>
          <w:szCs w:val="22"/>
        </w:rPr>
        <w:t xml:space="preserve">the </w:t>
      </w:r>
      <w:r w:rsidR="00BC41F9" w:rsidRPr="00EC1019">
        <w:rPr>
          <w:rFonts w:ascii="Arial" w:hAnsi="Arial" w:cs="Arial"/>
          <w:sz w:val="22"/>
          <w:szCs w:val="22"/>
        </w:rPr>
        <w:t xml:space="preserve">conversion </w:t>
      </w:r>
      <w:r w:rsidR="00DC7860" w:rsidRPr="00EC1019">
        <w:rPr>
          <w:rFonts w:ascii="Arial" w:hAnsi="Arial" w:cs="Arial"/>
          <w:sz w:val="22"/>
          <w:szCs w:val="22"/>
        </w:rPr>
        <w:t>course</w:t>
      </w:r>
      <w:r w:rsidR="00BC41F9" w:rsidRPr="00EC1019">
        <w:rPr>
          <w:rFonts w:ascii="Arial" w:hAnsi="Arial" w:cs="Arial"/>
          <w:sz w:val="22"/>
          <w:szCs w:val="22"/>
        </w:rPr>
        <w:t xml:space="preserve"> itself</w:t>
      </w:r>
      <w:r w:rsidR="001C30F1" w:rsidRPr="00EC1019">
        <w:rPr>
          <w:rFonts w:ascii="Arial" w:hAnsi="Arial" w:cs="Arial"/>
          <w:sz w:val="22"/>
          <w:szCs w:val="22"/>
        </w:rPr>
        <w:t xml:space="preserve"> </w:t>
      </w:r>
      <w:r w:rsidR="00DC7860" w:rsidRPr="00EC1019">
        <w:rPr>
          <w:rFonts w:ascii="Arial" w:hAnsi="Arial" w:cs="Arial"/>
          <w:sz w:val="22"/>
          <w:szCs w:val="22"/>
        </w:rPr>
        <w:t xml:space="preserve">represents </w:t>
      </w:r>
      <w:r w:rsidR="001C30F1" w:rsidRPr="00EC1019">
        <w:rPr>
          <w:rFonts w:ascii="Arial" w:hAnsi="Arial" w:cs="Arial"/>
          <w:sz w:val="22"/>
          <w:szCs w:val="22"/>
        </w:rPr>
        <w:t xml:space="preserve">a </w:t>
      </w:r>
      <w:r w:rsidR="00DC7860" w:rsidRPr="00EC1019">
        <w:rPr>
          <w:rFonts w:ascii="Arial" w:hAnsi="Arial" w:cs="Arial"/>
          <w:sz w:val="22"/>
          <w:szCs w:val="22"/>
        </w:rPr>
        <w:t xml:space="preserve">significant </w:t>
      </w:r>
      <w:r w:rsidR="001C30F1" w:rsidRPr="00EC1019">
        <w:rPr>
          <w:rFonts w:ascii="Arial" w:hAnsi="Arial" w:cs="Arial"/>
          <w:sz w:val="22"/>
          <w:szCs w:val="22"/>
        </w:rPr>
        <w:t>barrier</w:t>
      </w:r>
      <w:r w:rsidR="00FC3133" w:rsidRPr="00EC1019">
        <w:rPr>
          <w:rFonts w:ascii="Arial" w:hAnsi="Arial" w:cs="Arial"/>
          <w:sz w:val="22"/>
          <w:szCs w:val="22"/>
        </w:rPr>
        <w:t xml:space="preserve"> </w:t>
      </w:r>
      <w:r w:rsidR="00DC7860" w:rsidRPr="00EC1019">
        <w:rPr>
          <w:rFonts w:ascii="Arial" w:hAnsi="Arial" w:cs="Arial"/>
          <w:sz w:val="22"/>
          <w:szCs w:val="22"/>
        </w:rPr>
        <w:t xml:space="preserve">as high </w:t>
      </w:r>
      <w:r w:rsidR="00DE58DB">
        <w:rPr>
          <w:rFonts w:ascii="Arial" w:hAnsi="Arial" w:cs="Arial"/>
          <w:sz w:val="22"/>
          <w:szCs w:val="22"/>
        </w:rPr>
        <w:t>percentages</w:t>
      </w:r>
      <w:r w:rsidR="00DE58DB" w:rsidRPr="00EC1019">
        <w:rPr>
          <w:rFonts w:ascii="Arial" w:hAnsi="Arial" w:cs="Arial"/>
          <w:sz w:val="22"/>
          <w:szCs w:val="22"/>
        </w:rPr>
        <w:t xml:space="preserve"> </w:t>
      </w:r>
      <w:r w:rsidR="00DC7860" w:rsidRPr="00EC1019">
        <w:rPr>
          <w:rFonts w:ascii="Arial" w:hAnsi="Arial" w:cs="Arial"/>
          <w:sz w:val="22"/>
          <w:szCs w:val="22"/>
        </w:rPr>
        <w:t xml:space="preserve">of </w:t>
      </w:r>
      <w:r w:rsidR="001C30F1" w:rsidRPr="00EC1019">
        <w:rPr>
          <w:rFonts w:ascii="Arial" w:hAnsi="Arial" w:cs="Arial"/>
          <w:sz w:val="22"/>
          <w:szCs w:val="22"/>
        </w:rPr>
        <w:t xml:space="preserve">BME </w:t>
      </w:r>
      <w:r w:rsidR="00DC7860" w:rsidRPr="00EC1019">
        <w:rPr>
          <w:rFonts w:ascii="Arial" w:hAnsi="Arial" w:cs="Arial"/>
          <w:sz w:val="22"/>
          <w:szCs w:val="22"/>
        </w:rPr>
        <w:t>students</w:t>
      </w:r>
      <w:r w:rsidR="000206CE">
        <w:rPr>
          <w:rFonts w:ascii="Arial" w:hAnsi="Arial" w:cs="Arial"/>
          <w:sz w:val="22"/>
          <w:szCs w:val="22"/>
        </w:rPr>
        <w:t xml:space="preserve"> </w:t>
      </w:r>
      <w:r w:rsidR="00DE58DB">
        <w:rPr>
          <w:rFonts w:ascii="Arial" w:hAnsi="Arial" w:cs="Arial"/>
          <w:sz w:val="22"/>
          <w:szCs w:val="22"/>
        </w:rPr>
        <w:t>under-achieve</w:t>
      </w:r>
      <w:r w:rsidR="003A4AF6">
        <w:rPr>
          <w:rFonts w:ascii="Arial" w:hAnsi="Arial" w:cs="Arial"/>
          <w:sz w:val="22"/>
          <w:szCs w:val="22"/>
        </w:rPr>
        <w:t xml:space="preserve"> despite being </w:t>
      </w:r>
      <w:r w:rsidR="00BB74D8">
        <w:rPr>
          <w:rFonts w:ascii="Arial" w:hAnsi="Arial" w:cs="Arial"/>
          <w:sz w:val="22"/>
          <w:szCs w:val="22"/>
        </w:rPr>
        <w:t xml:space="preserve">successful </w:t>
      </w:r>
      <w:r w:rsidR="0000399F">
        <w:rPr>
          <w:rFonts w:ascii="Arial" w:hAnsi="Arial" w:cs="Arial"/>
          <w:sz w:val="22"/>
          <w:szCs w:val="22"/>
        </w:rPr>
        <w:t xml:space="preserve">graduates. </w:t>
      </w:r>
      <w:r w:rsidR="006B5E9F">
        <w:rPr>
          <w:rFonts w:ascii="Arial" w:hAnsi="Arial" w:cs="Arial"/>
          <w:sz w:val="22"/>
          <w:szCs w:val="22"/>
        </w:rPr>
        <w:t>Thus the</w:t>
      </w:r>
      <w:r w:rsidR="006B5E9F" w:rsidRPr="00EC1019">
        <w:rPr>
          <w:rFonts w:ascii="Arial" w:hAnsi="Arial" w:cs="Arial"/>
          <w:sz w:val="22"/>
          <w:szCs w:val="22"/>
        </w:rPr>
        <w:t xml:space="preserve"> NLG who </w:t>
      </w:r>
      <w:r w:rsidR="006B5E9F">
        <w:rPr>
          <w:rFonts w:ascii="Arial" w:hAnsi="Arial" w:cs="Arial"/>
          <w:sz w:val="22"/>
          <w:szCs w:val="22"/>
        </w:rPr>
        <w:t xml:space="preserve">qualify </w:t>
      </w:r>
      <w:r w:rsidR="00BA2500">
        <w:rPr>
          <w:rFonts w:ascii="Arial" w:hAnsi="Arial" w:cs="Arial"/>
          <w:sz w:val="22"/>
          <w:szCs w:val="22"/>
        </w:rPr>
        <w:t xml:space="preserve">typify the diversity </w:t>
      </w:r>
      <w:r w:rsidR="00174B5B">
        <w:rPr>
          <w:rFonts w:ascii="Arial" w:hAnsi="Arial" w:cs="Arial"/>
          <w:sz w:val="22"/>
          <w:szCs w:val="22"/>
        </w:rPr>
        <w:t>gap in</w:t>
      </w:r>
      <w:r w:rsidR="00BA2500">
        <w:rPr>
          <w:rFonts w:ascii="Arial" w:hAnsi="Arial" w:cs="Arial"/>
          <w:sz w:val="22"/>
          <w:szCs w:val="22"/>
        </w:rPr>
        <w:t xml:space="preserve"> the profession</w:t>
      </w:r>
      <w:r w:rsidR="006B5E9F">
        <w:rPr>
          <w:rFonts w:ascii="Arial" w:hAnsi="Arial" w:cs="Arial"/>
          <w:sz w:val="22"/>
          <w:szCs w:val="22"/>
        </w:rPr>
        <w:t>.</w:t>
      </w:r>
    </w:p>
    <w:p w14:paraId="7BDE0FDB" w14:textId="77777777" w:rsidR="003A4AF6" w:rsidRDefault="003A4AF6" w:rsidP="00314391">
      <w:pPr>
        <w:rPr>
          <w:rFonts w:ascii="Arial" w:hAnsi="Arial" w:cs="Arial"/>
          <w:sz w:val="22"/>
          <w:szCs w:val="22"/>
        </w:rPr>
      </w:pPr>
    </w:p>
    <w:p w14:paraId="11134716" w14:textId="056AF827" w:rsidR="0027486D" w:rsidRPr="00EC1019" w:rsidRDefault="001D3BC3" w:rsidP="00314391">
      <w:pPr>
        <w:rPr>
          <w:rFonts w:ascii="Arial" w:hAnsi="Arial" w:cs="Arial"/>
          <w:sz w:val="22"/>
          <w:szCs w:val="22"/>
        </w:rPr>
      </w:pPr>
      <w:r w:rsidRPr="00EC1019">
        <w:rPr>
          <w:rFonts w:ascii="Arial" w:hAnsi="Arial" w:cs="Arial"/>
          <w:sz w:val="22"/>
          <w:szCs w:val="22"/>
        </w:rPr>
        <w:t xml:space="preserve">This </w:t>
      </w:r>
      <w:r w:rsidR="001C30F1" w:rsidRPr="00EC1019">
        <w:rPr>
          <w:rFonts w:ascii="Arial" w:hAnsi="Arial" w:cs="Arial"/>
          <w:sz w:val="22"/>
          <w:szCs w:val="22"/>
        </w:rPr>
        <w:t>article</w:t>
      </w:r>
      <w:r w:rsidRPr="00EC1019">
        <w:rPr>
          <w:rFonts w:ascii="Arial" w:hAnsi="Arial" w:cs="Arial"/>
          <w:sz w:val="22"/>
          <w:szCs w:val="22"/>
        </w:rPr>
        <w:t xml:space="preserve"> </w:t>
      </w:r>
      <w:r w:rsidR="00CA2DC8" w:rsidRPr="00EC1019">
        <w:rPr>
          <w:rFonts w:ascii="Arial" w:hAnsi="Arial" w:cs="Arial"/>
          <w:sz w:val="22"/>
          <w:szCs w:val="22"/>
        </w:rPr>
        <w:t xml:space="preserve">considers the </w:t>
      </w:r>
      <w:r w:rsidR="00620364">
        <w:rPr>
          <w:rFonts w:ascii="Arial" w:hAnsi="Arial" w:cs="Arial"/>
          <w:sz w:val="22"/>
          <w:szCs w:val="22"/>
        </w:rPr>
        <w:t xml:space="preserve">reforms of the </w:t>
      </w:r>
      <w:r w:rsidR="00CA2DC8" w:rsidRPr="00EC1019">
        <w:rPr>
          <w:rFonts w:ascii="Arial" w:hAnsi="Arial" w:cs="Arial"/>
          <w:sz w:val="22"/>
          <w:szCs w:val="22"/>
        </w:rPr>
        <w:t>routes to qualification</w:t>
      </w:r>
      <w:r w:rsidR="006F56BA" w:rsidRPr="00EC1019">
        <w:rPr>
          <w:rFonts w:ascii="Arial" w:hAnsi="Arial" w:cs="Arial"/>
          <w:sz w:val="22"/>
          <w:szCs w:val="22"/>
        </w:rPr>
        <w:t xml:space="preserve">, notably </w:t>
      </w:r>
      <w:r w:rsidR="001C30F1" w:rsidRPr="00EC1019">
        <w:rPr>
          <w:rFonts w:ascii="Arial" w:hAnsi="Arial" w:cs="Arial"/>
          <w:sz w:val="22"/>
          <w:szCs w:val="22"/>
        </w:rPr>
        <w:t xml:space="preserve">the </w:t>
      </w:r>
      <w:r w:rsidR="0014562B">
        <w:rPr>
          <w:rFonts w:ascii="Arial" w:hAnsi="Arial" w:cs="Arial"/>
          <w:sz w:val="22"/>
          <w:szCs w:val="22"/>
        </w:rPr>
        <w:t>controversial SQE</w:t>
      </w:r>
      <w:r w:rsidR="001C30F1" w:rsidRPr="00EC1019">
        <w:rPr>
          <w:rFonts w:ascii="Arial" w:hAnsi="Arial" w:cs="Arial"/>
          <w:sz w:val="22"/>
          <w:szCs w:val="22"/>
        </w:rPr>
        <w:t>,</w:t>
      </w:r>
      <w:r w:rsidR="00CA2DC8" w:rsidRPr="00EC1019">
        <w:rPr>
          <w:rFonts w:ascii="Arial" w:hAnsi="Arial" w:cs="Arial"/>
          <w:sz w:val="22"/>
          <w:szCs w:val="22"/>
        </w:rPr>
        <w:t xml:space="preserve"> </w:t>
      </w:r>
      <w:r w:rsidR="003A4AF6">
        <w:rPr>
          <w:rFonts w:ascii="Arial" w:hAnsi="Arial" w:cs="Arial"/>
          <w:sz w:val="22"/>
          <w:szCs w:val="22"/>
        </w:rPr>
        <w:t xml:space="preserve">and </w:t>
      </w:r>
      <w:r w:rsidR="006C0ECF">
        <w:rPr>
          <w:rFonts w:ascii="Arial" w:hAnsi="Arial" w:cs="Arial"/>
          <w:sz w:val="22"/>
          <w:szCs w:val="22"/>
        </w:rPr>
        <w:t xml:space="preserve">the opportunity they present for </w:t>
      </w:r>
      <w:r w:rsidR="00507AC1">
        <w:rPr>
          <w:rFonts w:ascii="Arial" w:hAnsi="Arial" w:cs="Arial"/>
          <w:sz w:val="22"/>
          <w:szCs w:val="22"/>
        </w:rPr>
        <w:t>re-designing</w:t>
      </w:r>
      <w:r w:rsidR="00EF561C">
        <w:rPr>
          <w:rFonts w:ascii="Arial" w:hAnsi="Arial" w:cs="Arial"/>
          <w:sz w:val="22"/>
          <w:szCs w:val="22"/>
        </w:rPr>
        <w:t xml:space="preserve"> courses</w:t>
      </w:r>
      <w:r w:rsidR="006C0ECF">
        <w:rPr>
          <w:rFonts w:ascii="Arial" w:hAnsi="Arial" w:cs="Arial"/>
          <w:sz w:val="22"/>
          <w:szCs w:val="22"/>
        </w:rPr>
        <w:t xml:space="preserve">. It </w:t>
      </w:r>
      <w:r w:rsidR="0020428C" w:rsidRPr="00EC1019">
        <w:rPr>
          <w:rFonts w:ascii="Arial" w:hAnsi="Arial" w:cs="Arial"/>
          <w:sz w:val="22"/>
          <w:szCs w:val="22"/>
        </w:rPr>
        <w:t>conclud</w:t>
      </w:r>
      <w:r w:rsidR="003A4AF6">
        <w:rPr>
          <w:rFonts w:ascii="Arial" w:hAnsi="Arial" w:cs="Arial"/>
          <w:sz w:val="22"/>
          <w:szCs w:val="22"/>
        </w:rPr>
        <w:t>es</w:t>
      </w:r>
      <w:r w:rsidR="0020428C" w:rsidRPr="00EC1019">
        <w:rPr>
          <w:rFonts w:ascii="Arial" w:hAnsi="Arial" w:cs="Arial"/>
          <w:sz w:val="22"/>
          <w:szCs w:val="22"/>
        </w:rPr>
        <w:t xml:space="preserve"> that </w:t>
      </w:r>
      <w:r w:rsidR="00FC3133" w:rsidRPr="00EC1019">
        <w:rPr>
          <w:rFonts w:ascii="Arial" w:hAnsi="Arial" w:cs="Arial"/>
          <w:sz w:val="22"/>
          <w:szCs w:val="22"/>
        </w:rPr>
        <w:t>while new courses</w:t>
      </w:r>
      <w:r w:rsidR="00E322C8">
        <w:rPr>
          <w:rFonts w:ascii="Arial" w:hAnsi="Arial" w:cs="Arial"/>
          <w:sz w:val="22"/>
          <w:szCs w:val="22"/>
        </w:rPr>
        <w:t xml:space="preserve"> </w:t>
      </w:r>
      <w:r w:rsidR="00FC3133" w:rsidRPr="00EC1019">
        <w:rPr>
          <w:rFonts w:ascii="Arial" w:hAnsi="Arial" w:cs="Arial"/>
          <w:sz w:val="22"/>
          <w:szCs w:val="22"/>
        </w:rPr>
        <w:t xml:space="preserve">will emerge </w:t>
      </w:r>
      <w:r w:rsidR="003A4AF6">
        <w:rPr>
          <w:rFonts w:ascii="Arial" w:hAnsi="Arial" w:cs="Arial"/>
          <w:sz w:val="22"/>
          <w:szCs w:val="22"/>
        </w:rPr>
        <w:t xml:space="preserve">in </w:t>
      </w:r>
      <w:r w:rsidR="00BA2500">
        <w:rPr>
          <w:rFonts w:ascii="Arial" w:hAnsi="Arial" w:cs="Arial"/>
          <w:sz w:val="22"/>
          <w:szCs w:val="22"/>
        </w:rPr>
        <w:t>an</w:t>
      </w:r>
      <w:r w:rsidR="001C30F1" w:rsidRPr="00EC1019">
        <w:rPr>
          <w:rFonts w:ascii="Arial" w:hAnsi="Arial" w:cs="Arial"/>
          <w:sz w:val="22"/>
          <w:szCs w:val="22"/>
        </w:rPr>
        <w:t xml:space="preserve"> </w:t>
      </w:r>
      <w:r w:rsidR="00FC3133" w:rsidRPr="00EC1019">
        <w:rPr>
          <w:rFonts w:ascii="Arial" w:hAnsi="Arial" w:cs="Arial"/>
          <w:sz w:val="22"/>
          <w:szCs w:val="22"/>
        </w:rPr>
        <w:t xml:space="preserve">era </w:t>
      </w:r>
      <w:r w:rsidR="006C70E8">
        <w:rPr>
          <w:rFonts w:ascii="Arial" w:hAnsi="Arial" w:cs="Arial"/>
          <w:sz w:val="22"/>
          <w:szCs w:val="22"/>
        </w:rPr>
        <w:t>of deregulat</w:t>
      </w:r>
      <w:r w:rsidR="00B707FD">
        <w:rPr>
          <w:rFonts w:ascii="Arial" w:hAnsi="Arial" w:cs="Arial"/>
          <w:sz w:val="22"/>
          <w:szCs w:val="22"/>
        </w:rPr>
        <w:t>ion</w:t>
      </w:r>
      <w:r w:rsidR="00BB74D8">
        <w:rPr>
          <w:rFonts w:ascii="Arial" w:hAnsi="Arial" w:cs="Arial"/>
          <w:sz w:val="22"/>
          <w:szCs w:val="22"/>
        </w:rPr>
        <w:t>,</w:t>
      </w:r>
      <w:r w:rsidR="006C70E8">
        <w:rPr>
          <w:rFonts w:ascii="Arial" w:hAnsi="Arial" w:cs="Arial"/>
          <w:sz w:val="22"/>
          <w:szCs w:val="22"/>
        </w:rPr>
        <w:t xml:space="preserve"> </w:t>
      </w:r>
      <w:r w:rsidR="006C0ECF">
        <w:rPr>
          <w:rFonts w:ascii="Arial" w:hAnsi="Arial" w:cs="Arial"/>
          <w:sz w:val="22"/>
          <w:szCs w:val="22"/>
        </w:rPr>
        <w:t xml:space="preserve">it is </w:t>
      </w:r>
      <w:r w:rsidR="00DE58DB">
        <w:rPr>
          <w:rFonts w:ascii="Arial" w:hAnsi="Arial" w:cs="Arial"/>
          <w:sz w:val="22"/>
          <w:szCs w:val="22"/>
        </w:rPr>
        <w:t>un</w:t>
      </w:r>
      <w:r w:rsidR="006C0ECF">
        <w:rPr>
          <w:rFonts w:ascii="Arial" w:hAnsi="Arial" w:cs="Arial"/>
          <w:sz w:val="22"/>
          <w:szCs w:val="22"/>
        </w:rPr>
        <w:t xml:space="preserve">likely given the nature of the </w:t>
      </w:r>
      <w:r w:rsidR="00507AC1">
        <w:rPr>
          <w:rFonts w:ascii="Arial" w:hAnsi="Arial" w:cs="Arial"/>
          <w:sz w:val="22"/>
          <w:szCs w:val="22"/>
        </w:rPr>
        <w:t xml:space="preserve">reforms and </w:t>
      </w:r>
      <w:r w:rsidR="000206CE">
        <w:rPr>
          <w:rFonts w:ascii="Arial" w:hAnsi="Arial" w:cs="Arial"/>
          <w:sz w:val="22"/>
          <w:szCs w:val="22"/>
        </w:rPr>
        <w:t xml:space="preserve">the </w:t>
      </w:r>
      <w:r w:rsidR="006C0ECF">
        <w:rPr>
          <w:rFonts w:ascii="Arial" w:hAnsi="Arial" w:cs="Arial"/>
          <w:sz w:val="22"/>
          <w:szCs w:val="22"/>
        </w:rPr>
        <w:t xml:space="preserve">market </w:t>
      </w:r>
      <w:r w:rsidR="00507AC1">
        <w:rPr>
          <w:rFonts w:ascii="Arial" w:hAnsi="Arial" w:cs="Arial"/>
          <w:sz w:val="22"/>
          <w:szCs w:val="22"/>
        </w:rPr>
        <w:t xml:space="preserve">imperatives, </w:t>
      </w:r>
      <w:r w:rsidR="001B532A">
        <w:rPr>
          <w:rFonts w:ascii="Arial" w:hAnsi="Arial" w:cs="Arial"/>
          <w:sz w:val="22"/>
          <w:szCs w:val="22"/>
        </w:rPr>
        <w:t xml:space="preserve">that </w:t>
      </w:r>
      <w:r w:rsidR="00507AC1">
        <w:rPr>
          <w:rFonts w:ascii="Arial" w:hAnsi="Arial" w:cs="Arial"/>
          <w:sz w:val="22"/>
          <w:szCs w:val="22"/>
        </w:rPr>
        <w:t xml:space="preserve">they will, without more, </w:t>
      </w:r>
      <w:r w:rsidR="00BB74D8">
        <w:rPr>
          <w:rFonts w:ascii="Arial" w:hAnsi="Arial" w:cs="Arial"/>
          <w:sz w:val="22"/>
          <w:szCs w:val="22"/>
        </w:rPr>
        <w:t>increase diversity</w:t>
      </w:r>
      <w:r w:rsidR="003A4AF6">
        <w:rPr>
          <w:rFonts w:ascii="Arial" w:hAnsi="Arial" w:cs="Arial"/>
          <w:sz w:val="22"/>
          <w:szCs w:val="22"/>
        </w:rPr>
        <w:t xml:space="preserve"> </w:t>
      </w:r>
      <w:r w:rsidR="00E26404">
        <w:rPr>
          <w:rFonts w:ascii="Arial" w:hAnsi="Arial" w:cs="Arial"/>
          <w:sz w:val="22"/>
          <w:szCs w:val="22"/>
        </w:rPr>
        <w:t xml:space="preserve">in </w:t>
      </w:r>
      <w:r w:rsidR="003A4AF6">
        <w:rPr>
          <w:rFonts w:ascii="Arial" w:hAnsi="Arial" w:cs="Arial"/>
          <w:sz w:val="22"/>
          <w:szCs w:val="22"/>
        </w:rPr>
        <w:t xml:space="preserve">the </w:t>
      </w:r>
      <w:r w:rsidR="00C0306F" w:rsidRPr="00EC1019">
        <w:rPr>
          <w:rFonts w:ascii="Arial" w:hAnsi="Arial" w:cs="Arial"/>
          <w:sz w:val="22"/>
          <w:szCs w:val="22"/>
        </w:rPr>
        <w:t>profession</w:t>
      </w:r>
      <w:r w:rsidR="00DE58DB">
        <w:rPr>
          <w:rFonts w:ascii="Arial" w:hAnsi="Arial" w:cs="Arial"/>
          <w:sz w:val="22"/>
          <w:szCs w:val="22"/>
        </w:rPr>
        <w:t>.</w:t>
      </w:r>
      <w:r w:rsidR="0014562B">
        <w:rPr>
          <w:rFonts w:ascii="Arial" w:hAnsi="Arial" w:cs="Arial"/>
          <w:sz w:val="22"/>
          <w:szCs w:val="22"/>
        </w:rPr>
        <w:t xml:space="preserve"> </w:t>
      </w:r>
      <w:r w:rsidR="00DE58DB">
        <w:rPr>
          <w:rFonts w:ascii="Arial" w:hAnsi="Arial" w:cs="Arial"/>
          <w:sz w:val="22"/>
          <w:szCs w:val="22"/>
        </w:rPr>
        <w:t xml:space="preserve">The reforms are just as likely to re-situate problems notably </w:t>
      </w:r>
      <w:r w:rsidR="00151433">
        <w:rPr>
          <w:rFonts w:ascii="Arial" w:hAnsi="Arial" w:cs="Arial"/>
          <w:sz w:val="22"/>
          <w:szCs w:val="22"/>
        </w:rPr>
        <w:t xml:space="preserve">through </w:t>
      </w:r>
      <w:r w:rsidR="00507AC1">
        <w:rPr>
          <w:rFonts w:ascii="Arial" w:hAnsi="Arial" w:cs="Arial"/>
          <w:sz w:val="22"/>
          <w:szCs w:val="22"/>
        </w:rPr>
        <w:t>hard</w:t>
      </w:r>
      <w:r w:rsidR="00DE58DB">
        <w:rPr>
          <w:rFonts w:ascii="Arial" w:hAnsi="Arial" w:cs="Arial"/>
          <w:sz w:val="22"/>
          <w:szCs w:val="22"/>
        </w:rPr>
        <w:t>er</w:t>
      </w:r>
      <w:r w:rsidR="00507AC1">
        <w:rPr>
          <w:rFonts w:ascii="Arial" w:hAnsi="Arial" w:cs="Arial"/>
          <w:sz w:val="22"/>
          <w:szCs w:val="22"/>
        </w:rPr>
        <w:t xml:space="preserve"> </w:t>
      </w:r>
      <w:r w:rsidR="00E322C8">
        <w:rPr>
          <w:rFonts w:ascii="Arial" w:hAnsi="Arial" w:cs="Arial"/>
          <w:sz w:val="22"/>
          <w:szCs w:val="22"/>
        </w:rPr>
        <w:t xml:space="preserve">and riskier </w:t>
      </w:r>
      <w:r w:rsidR="00D4557E" w:rsidRPr="00EC1019">
        <w:rPr>
          <w:rFonts w:ascii="Arial" w:hAnsi="Arial" w:cs="Arial"/>
          <w:sz w:val="22"/>
          <w:szCs w:val="22"/>
        </w:rPr>
        <w:t>choic</w:t>
      </w:r>
      <w:r w:rsidR="006C70E8">
        <w:rPr>
          <w:rFonts w:ascii="Arial" w:hAnsi="Arial" w:cs="Arial"/>
          <w:sz w:val="22"/>
          <w:szCs w:val="22"/>
        </w:rPr>
        <w:t>e</w:t>
      </w:r>
      <w:r w:rsidR="00507AC1">
        <w:rPr>
          <w:rFonts w:ascii="Arial" w:hAnsi="Arial" w:cs="Arial"/>
          <w:sz w:val="22"/>
          <w:szCs w:val="22"/>
        </w:rPr>
        <w:t>s</w:t>
      </w:r>
      <w:r w:rsidR="00B01FBA">
        <w:rPr>
          <w:rFonts w:ascii="Arial" w:hAnsi="Arial" w:cs="Arial"/>
          <w:sz w:val="22"/>
          <w:szCs w:val="22"/>
        </w:rPr>
        <w:t xml:space="preserve"> for students</w:t>
      </w:r>
      <w:r w:rsidR="00462743">
        <w:rPr>
          <w:rFonts w:ascii="Arial" w:hAnsi="Arial" w:cs="Arial"/>
          <w:sz w:val="22"/>
          <w:szCs w:val="22"/>
        </w:rPr>
        <w:t>, a tough assessment regime</w:t>
      </w:r>
      <w:r w:rsidR="00E322C8">
        <w:rPr>
          <w:rFonts w:ascii="Arial" w:hAnsi="Arial" w:cs="Arial"/>
          <w:sz w:val="22"/>
          <w:szCs w:val="22"/>
        </w:rPr>
        <w:t xml:space="preserve"> with the SQE</w:t>
      </w:r>
      <w:r w:rsidR="00460356">
        <w:rPr>
          <w:rFonts w:ascii="Arial" w:hAnsi="Arial" w:cs="Arial"/>
          <w:sz w:val="22"/>
          <w:szCs w:val="22"/>
        </w:rPr>
        <w:t>,</w:t>
      </w:r>
      <w:r w:rsidR="00DC7860" w:rsidRPr="00EC1019">
        <w:rPr>
          <w:rFonts w:ascii="Arial" w:hAnsi="Arial" w:cs="Arial"/>
          <w:sz w:val="22"/>
          <w:szCs w:val="22"/>
        </w:rPr>
        <w:t xml:space="preserve"> </w:t>
      </w:r>
      <w:r w:rsidR="000A6983">
        <w:rPr>
          <w:rFonts w:ascii="Arial" w:hAnsi="Arial" w:cs="Arial"/>
          <w:sz w:val="22"/>
          <w:szCs w:val="22"/>
        </w:rPr>
        <w:t>which</w:t>
      </w:r>
      <w:r w:rsidR="00B37ACA">
        <w:rPr>
          <w:rFonts w:ascii="Arial" w:hAnsi="Arial" w:cs="Arial"/>
          <w:sz w:val="22"/>
          <w:szCs w:val="22"/>
        </w:rPr>
        <w:t>,</w:t>
      </w:r>
      <w:r w:rsidR="00DC7860" w:rsidRPr="00EC1019">
        <w:rPr>
          <w:rFonts w:ascii="Arial" w:hAnsi="Arial" w:cs="Arial"/>
          <w:sz w:val="22"/>
          <w:szCs w:val="22"/>
        </w:rPr>
        <w:t xml:space="preserve"> </w:t>
      </w:r>
      <w:r w:rsidR="00B37ACA">
        <w:rPr>
          <w:rFonts w:ascii="Arial" w:hAnsi="Arial" w:cs="Arial"/>
          <w:sz w:val="22"/>
          <w:szCs w:val="22"/>
        </w:rPr>
        <w:t xml:space="preserve">in the absence of financial </w:t>
      </w:r>
      <w:r w:rsidR="00D06A9B">
        <w:rPr>
          <w:rFonts w:ascii="Arial" w:hAnsi="Arial" w:cs="Arial"/>
          <w:sz w:val="22"/>
          <w:szCs w:val="22"/>
        </w:rPr>
        <w:t>interest or regulatory pressure</w:t>
      </w:r>
      <w:r w:rsidR="00B37ACA">
        <w:rPr>
          <w:rFonts w:ascii="Arial" w:hAnsi="Arial" w:cs="Arial"/>
          <w:sz w:val="22"/>
          <w:szCs w:val="22"/>
        </w:rPr>
        <w:t>,</w:t>
      </w:r>
      <w:r w:rsidR="00D06A9B">
        <w:rPr>
          <w:rFonts w:ascii="Arial" w:hAnsi="Arial" w:cs="Arial"/>
          <w:sz w:val="22"/>
          <w:szCs w:val="22"/>
        </w:rPr>
        <w:t xml:space="preserve"> </w:t>
      </w:r>
      <w:r w:rsidR="00460356">
        <w:rPr>
          <w:rFonts w:ascii="Arial" w:hAnsi="Arial" w:cs="Arial"/>
          <w:sz w:val="22"/>
          <w:szCs w:val="22"/>
        </w:rPr>
        <w:t>will</w:t>
      </w:r>
      <w:r w:rsidR="00507AC1">
        <w:rPr>
          <w:rFonts w:ascii="Arial" w:hAnsi="Arial" w:cs="Arial"/>
          <w:sz w:val="22"/>
          <w:szCs w:val="22"/>
        </w:rPr>
        <w:t xml:space="preserve"> </w:t>
      </w:r>
      <w:r w:rsidR="00B01FBA">
        <w:rPr>
          <w:rFonts w:ascii="Arial" w:hAnsi="Arial" w:cs="Arial"/>
          <w:sz w:val="22"/>
          <w:szCs w:val="22"/>
        </w:rPr>
        <w:t>do nothing to encourage providers to address,</w:t>
      </w:r>
      <w:r w:rsidR="00B01FBA" w:rsidRPr="00B01FBA">
        <w:rPr>
          <w:rFonts w:ascii="Arial" w:hAnsi="Arial" w:cs="Arial"/>
          <w:sz w:val="22"/>
          <w:szCs w:val="22"/>
        </w:rPr>
        <w:t xml:space="preserve"> </w:t>
      </w:r>
      <w:r w:rsidR="00B01FBA">
        <w:rPr>
          <w:rFonts w:ascii="Arial" w:hAnsi="Arial" w:cs="Arial"/>
          <w:sz w:val="22"/>
          <w:szCs w:val="22"/>
        </w:rPr>
        <w:t xml:space="preserve">with purpose, the </w:t>
      </w:r>
      <w:r w:rsidR="000A6983">
        <w:rPr>
          <w:rFonts w:ascii="Arial" w:hAnsi="Arial" w:cs="Arial"/>
          <w:sz w:val="22"/>
          <w:szCs w:val="22"/>
        </w:rPr>
        <w:t>diversity</w:t>
      </w:r>
      <w:r w:rsidR="000A6983" w:rsidRPr="00EC1019">
        <w:rPr>
          <w:rFonts w:ascii="Arial" w:hAnsi="Arial" w:cs="Arial"/>
          <w:sz w:val="22"/>
          <w:szCs w:val="22"/>
        </w:rPr>
        <w:t xml:space="preserve"> </w:t>
      </w:r>
      <w:r w:rsidR="00507AC1" w:rsidRPr="00EC1019">
        <w:rPr>
          <w:rFonts w:ascii="Arial" w:hAnsi="Arial" w:cs="Arial"/>
          <w:sz w:val="22"/>
          <w:szCs w:val="22"/>
        </w:rPr>
        <w:t>gap</w:t>
      </w:r>
      <w:r w:rsidR="00B01FBA">
        <w:rPr>
          <w:rFonts w:ascii="Arial" w:hAnsi="Arial" w:cs="Arial"/>
          <w:sz w:val="22"/>
          <w:szCs w:val="22"/>
        </w:rPr>
        <w:t>.</w:t>
      </w:r>
    </w:p>
    <w:p w14:paraId="2B9ADAA7" w14:textId="77777777" w:rsidR="00BB74D8" w:rsidRPr="004F6670" w:rsidRDefault="00BB74D8" w:rsidP="00314391">
      <w:pPr>
        <w:rPr>
          <w:rFonts w:ascii="Arial" w:hAnsi="Arial" w:cs="Arial"/>
          <w:b/>
          <w:i/>
          <w:sz w:val="22"/>
          <w:szCs w:val="22"/>
        </w:rPr>
      </w:pPr>
    </w:p>
    <w:p w14:paraId="6EC31354" w14:textId="77777777" w:rsidR="00602265" w:rsidRPr="004F6670" w:rsidRDefault="00602265" w:rsidP="00314391">
      <w:pPr>
        <w:rPr>
          <w:rFonts w:ascii="Arial" w:hAnsi="Arial" w:cs="Arial"/>
          <w:b/>
          <w:i/>
          <w:sz w:val="22"/>
          <w:szCs w:val="22"/>
        </w:rPr>
      </w:pPr>
    </w:p>
    <w:p w14:paraId="4CC9757A" w14:textId="73BE9E79" w:rsidR="00602265" w:rsidRPr="002460F7" w:rsidRDefault="00BB74D8" w:rsidP="00765BB1">
      <w:pPr>
        <w:widowControl w:val="0"/>
        <w:autoSpaceDE w:val="0"/>
        <w:autoSpaceDN w:val="0"/>
        <w:adjustRightInd w:val="0"/>
        <w:rPr>
          <w:rFonts w:ascii="Arial" w:hAnsi="Arial" w:cs="Arial"/>
          <w:sz w:val="22"/>
          <w:szCs w:val="22"/>
        </w:rPr>
      </w:pPr>
      <w:r w:rsidRPr="00DB1C3A">
        <w:rPr>
          <w:rFonts w:ascii="Arial" w:hAnsi="Arial" w:cs="Arial"/>
          <w:b/>
          <w:sz w:val="22"/>
          <w:szCs w:val="22"/>
        </w:rPr>
        <w:t>The</w:t>
      </w:r>
      <w:r w:rsidR="0090616D">
        <w:rPr>
          <w:rFonts w:ascii="Arial" w:hAnsi="Arial" w:cs="Arial"/>
          <w:b/>
          <w:sz w:val="22"/>
          <w:szCs w:val="22"/>
        </w:rPr>
        <w:t xml:space="preserve"> </w:t>
      </w:r>
      <w:r w:rsidR="000A6983">
        <w:rPr>
          <w:rFonts w:ascii="Arial" w:hAnsi="Arial" w:cs="Arial"/>
          <w:b/>
          <w:sz w:val="22"/>
          <w:szCs w:val="22"/>
        </w:rPr>
        <w:t>c</w:t>
      </w:r>
      <w:r>
        <w:rPr>
          <w:rFonts w:ascii="Arial" w:hAnsi="Arial" w:cs="Arial"/>
          <w:b/>
          <w:sz w:val="22"/>
          <w:szCs w:val="22"/>
        </w:rPr>
        <w:t xml:space="preserve">onversion </w:t>
      </w:r>
      <w:r w:rsidR="0090616D">
        <w:rPr>
          <w:rFonts w:ascii="Arial" w:hAnsi="Arial" w:cs="Arial"/>
          <w:b/>
          <w:sz w:val="22"/>
          <w:szCs w:val="22"/>
        </w:rPr>
        <w:t>course</w:t>
      </w:r>
      <w:r w:rsidR="00765BB1" w:rsidRPr="002460F7">
        <w:rPr>
          <w:rFonts w:ascii="Arial" w:hAnsi="Arial" w:cs="Arial"/>
          <w:sz w:val="22"/>
          <w:szCs w:val="22"/>
        </w:rPr>
        <w:t xml:space="preserve"> </w:t>
      </w:r>
    </w:p>
    <w:p w14:paraId="67AC9BD0" w14:textId="77777777" w:rsidR="00FD57C0" w:rsidRDefault="00FD57C0" w:rsidP="00314391">
      <w:pPr>
        <w:rPr>
          <w:rFonts w:ascii="Arial" w:hAnsi="Arial" w:cs="Arial"/>
          <w:b/>
          <w:sz w:val="22"/>
          <w:szCs w:val="22"/>
        </w:rPr>
      </w:pPr>
    </w:p>
    <w:p w14:paraId="63E27A3D" w14:textId="5462D2C8" w:rsidR="00FF50BE" w:rsidRPr="00DB1C3A" w:rsidRDefault="00FF50BE" w:rsidP="00314391">
      <w:pPr>
        <w:rPr>
          <w:rFonts w:ascii="Arial" w:hAnsi="Arial" w:cs="Arial"/>
          <w:sz w:val="22"/>
          <w:szCs w:val="22"/>
        </w:rPr>
      </w:pPr>
      <w:r w:rsidRPr="00DB1C3A">
        <w:rPr>
          <w:rFonts w:ascii="Arial" w:hAnsi="Arial" w:cs="Arial"/>
          <w:sz w:val="22"/>
          <w:szCs w:val="22"/>
        </w:rPr>
        <w:lastRenderedPageBreak/>
        <w:t xml:space="preserve">The </w:t>
      </w:r>
      <w:r w:rsidR="00DC7860">
        <w:rPr>
          <w:rFonts w:ascii="Arial" w:hAnsi="Arial" w:cs="Arial"/>
          <w:sz w:val="22"/>
          <w:szCs w:val="22"/>
        </w:rPr>
        <w:t xml:space="preserve">framework for the current </w:t>
      </w:r>
      <w:r w:rsidRPr="00DB1C3A">
        <w:rPr>
          <w:rFonts w:ascii="Arial" w:hAnsi="Arial" w:cs="Arial"/>
          <w:sz w:val="22"/>
          <w:szCs w:val="22"/>
        </w:rPr>
        <w:t>sy</w:t>
      </w:r>
      <w:r w:rsidR="00DC7860">
        <w:rPr>
          <w:rFonts w:ascii="Arial" w:hAnsi="Arial" w:cs="Arial"/>
          <w:sz w:val="22"/>
          <w:szCs w:val="22"/>
        </w:rPr>
        <w:t>s</w:t>
      </w:r>
      <w:r w:rsidRPr="00DB1C3A">
        <w:rPr>
          <w:rFonts w:ascii="Arial" w:hAnsi="Arial" w:cs="Arial"/>
          <w:sz w:val="22"/>
          <w:szCs w:val="22"/>
        </w:rPr>
        <w:t>t</w:t>
      </w:r>
      <w:r w:rsidR="00DC7860">
        <w:rPr>
          <w:rFonts w:ascii="Arial" w:hAnsi="Arial" w:cs="Arial"/>
          <w:sz w:val="22"/>
          <w:szCs w:val="22"/>
        </w:rPr>
        <w:t>e</w:t>
      </w:r>
      <w:r w:rsidR="00FD57C0">
        <w:rPr>
          <w:rFonts w:ascii="Arial" w:hAnsi="Arial" w:cs="Arial"/>
          <w:sz w:val="22"/>
          <w:szCs w:val="22"/>
        </w:rPr>
        <w:t xml:space="preserve">m of qualification </w:t>
      </w:r>
      <w:r w:rsidRPr="00DB1C3A">
        <w:rPr>
          <w:rFonts w:ascii="Arial" w:hAnsi="Arial" w:cs="Arial"/>
          <w:sz w:val="22"/>
          <w:szCs w:val="22"/>
        </w:rPr>
        <w:t>date</w:t>
      </w:r>
      <w:r w:rsidR="00FD57C0">
        <w:rPr>
          <w:rFonts w:ascii="Arial" w:hAnsi="Arial" w:cs="Arial"/>
          <w:sz w:val="22"/>
          <w:szCs w:val="22"/>
        </w:rPr>
        <w:t>s</w:t>
      </w:r>
      <w:r w:rsidR="001B532A">
        <w:rPr>
          <w:rFonts w:ascii="Arial" w:hAnsi="Arial" w:cs="Arial"/>
          <w:sz w:val="22"/>
          <w:szCs w:val="22"/>
        </w:rPr>
        <w:t xml:space="preserve"> from the recommendation</w:t>
      </w:r>
      <w:r w:rsidRPr="00DB1C3A">
        <w:rPr>
          <w:rFonts w:ascii="Arial" w:hAnsi="Arial" w:cs="Arial"/>
          <w:sz w:val="22"/>
          <w:szCs w:val="22"/>
        </w:rPr>
        <w:t xml:space="preserve"> of the epochal 1971 </w:t>
      </w:r>
      <w:r w:rsidRPr="00FD57C0">
        <w:rPr>
          <w:rFonts w:ascii="Arial" w:hAnsi="Arial" w:cs="Arial"/>
          <w:sz w:val="22"/>
          <w:szCs w:val="22"/>
        </w:rPr>
        <w:t>Ormrod committee</w:t>
      </w:r>
      <w:r w:rsidR="001B532A">
        <w:rPr>
          <w:rFonts w:ascii="Arial" w:hAnsi="Arial" w:cs="Arial"/>
          <w:sz w:val="22"/>
          <w:szCs w:val="22"/>
        </w:rPr>
        <w:t xml:space="preserve"> for a graduate profession</w:t>
      </w:r>
      <w:r w:rsidRPr="00FD57C0">
        <w:rPr>
          <w:rFonts w:ascii="Arial" w:hAnsi="Arial" w:cs="Arial"/>
          <w:sz w:val="22"/>
          <w:szCs w:val="22"/>
        </w:rPr>
        <w:t>.</w:t>
      </w:r>
      <w:r w:rsidRPr="00FD57C0">
        <w:rPr>
          <w:rStyle w:val="FootnoteReference"/>
          <w:rFonts w:ascii="Arial" w:hAnsi="Arial" w:cs="Arial"/>
          <w:sz w:val="22"/>
          <w:szCs w:val="22"/>
        </w:rPr>
        <w:footnoteReference w:id="13"/>
      </w:r>
      <w:r w:rsidRPr="00FD57C0">
        <w:rPr>
          <w:rFonts w:ascii="Arial" w:hAnsi="Arial" w:cs="Arial"/>
          <w:sz w:val="22"/>
          <w:szCs w:val="22"/>
        </w:rPr>
        <w:t xml:space="preserve"> The conversion course </w:t>
      </w:r>
      <w:r w:rsidR="00C616A8">
        <w:rPr>
          <w:rFonts w:ascii="Arial" w:hAnsi="Arial" w:cs="Arial"/>
          <w:sz w:val="22"/>
          <w:szCs w:val="22"/>
        </w:rPr>
        <w:t>was conceived as</w:t>
      </w:r>
      <w:r w:rsidRPr="00FD57C0">
        <w:rPr>
          <w:rFonts w:ascii="Arial" w:hAnsi="Arial" w:cs="Arial"/>
          <w:sz w:val="22"/>
          <w:szCs w:val="22"/>
        </w:rPr>
        <w:t xml:space="preserve"> an alternative to the </w:t>
      </w:r>
      <w:r w:rsidR="00DC7860">
        <w:rPr>
          <w:rFonts w:ascii="Arial" w:hAnsi="Arial" w:cs="Arial"/>
          <w:sz w:val="22"/>
          <w:szCs w:val="22"/>
        </w:rPr>
        <w:t>‘</w:t>
      </w:r>
      <w:r w:rsidRPr="00FD57C0">
        <w:rPr>
          <w:rFonts w:ascii="Arial" w:hAnsi="Arial" w:cs="Arial"/>
          <w:sz w:val="22"/>
          <w:szCs w:val="22"/>
        </w:rPr>
        <w:t>normal</w:t>
      </w:r>
      <w:r w:rsidR="00DC7860">
        <w:rPr>
          <w:rFonts w:ascii="Arial" w:hAnsi="Arial" w:cs="Arial"/>
          <w:sz w:val="22"/>
          <w:szCs w:val="22"/>
        </w:rPr>
        <w:t>’</w:t>
      </w:r>
      <w:r w:rsidRPr="00FD57C0">
        <w:rPr>
          <w:rFonts w:ascii="Arial" w:hAnsi="Arial" w:cs="Arial"/>
          <w:sz w:val="22"/>
          <w:szCs w:val="22"/>
        </w:rPr>
        <w:t xml:space="preserve"> </w:t>
      </w:r>
      <w:r w:rsidR="00B707FD">
        <w:rPr>
          <w:rFonts w:ascii="Arial" w:hAnsi="Arial" w:cs="Arial"/>
          <w:sz w:val="22"/>
          <w:szCs w:val="22"/>
        </w:rPr>
        <w:t>route</w:t>
      </w:r>
      <w:r w:rsidR="00FD57C0">
        <w:rPr>
          <w:rFonts w:ascii="Arial" w:hAnsi="Arial" w:cs="Arial"/>
          <w:sz w:val="22"/>
          <w:szCs w:val="22"/>
        </w:rPr>
        <w:t>,</w:t>
      </w:r>
      <w:r w:rsidRPr="00DB1C3A">
        <w:rPr>
          <w:rFonts w:ascii="Arial" w:hAnsi="Arial" w:cs="Arial"/>
          <w:sz w:val="22"/>
          <w:szCs w:val="22"/>
        </w:rPr>
        <w:t xml:space="preserve"> the ‘qualifying law degree’ (QLD)</w:t>
      </w:r>
      <w:r w:rsidR="00B707FD">
        <w:rPr>
          <w:rFonts w:ascii="Arial" w:hAnsi="Arial" w:cs="Arial"/>
          <w:sz w:val="22"/>
          <w:szCs w:val="22"/>
        </w:rPr>
        <w:t xml:space="preserve">. </w:t>
      </w:r>
      <w:r w:rsidR="00CD6A7E">
        <w:rPr>
          <w:rFonts w:ascii="Arial" w:hAnsi="Arial" w:cs="Arial"/>
          <w:sz w:val="22"/>
          <w:szCs w:val="22"/>
        </w:rPr>
        <w:t xml:space="preserve">At the time of Ormrod </w:t>
      </w:r>
      <w:r w:rsidR="0086504E">
        <w:rPr>
          <w:rFonts w:ascii="Arial" w:hAnsi="Arial" w:cs="Arial"/>
          <w:sz w:val="22"/>
          <w:szCs w:val="22"/>
        </w:rPr>
        <w:t>2</w:t>
      </w:r>
      <w:r w:rsidR="00B707FD">
        <w:rPr>
          <w:rFonts w:ascii="Arial" w:hAnsi="Arial" w:cs="Arial"/>
          <w:sz w:val="22"/>
          <w:szCs w:val="22"/>
        </w:rPr>
        <w:t>2</w:t>
      </w:r>
      <w:r w:rsidR="0086504E">
        <w:rPr>
          <w:rFonts w:ascii="Arial" w:hAnsi="Arial" w:cs="Arial"/>
          <w:sz w:val="22"/>
          <w:szCs w:val="22"/>
        </w:rPr>
        <w:t xml:space="preserve"> universities</w:t>
      </w:r>
      <w:r w:rsidR="00B707FD">
        <w:rPr>
          <w:rFonts w:ascii="Arial" w:hAnsi="Arial" w:cs="Arial"/>
          <w:sz w:val="22"/>
          <w:szCs w:val="22"/>
        </w:rPr>
        <w:t xml:space="preserve"> and </w:t>
      </w:r>
      <w:r w:rsidR="0086504E">
        <w:rPr>
          <w:rFonts w:ascii="Arial" w:hAnsi="Arial" w:cs="Arial"/>
          <w:sz w:val="22"/>
          <w:szCs w:val="22"/>
        </w:rPr>
        <w:t>6 polytechnics</w:t>
      </w:r>
      <w:r w:rsidR="004317EC">
        <w:rPr>
          <w:rFonts w:ascii="Arial" w:hAnsi="Arial" w:cs="Arial"/>
          <w:sz w:val="22"/>
          <w:szCs w:val="22"/>
        </w:rPr>
        <w:t xml:space="preserve"> </w:t>
      </w:r>
      <w:r w:rsidR="0086504E">
        <w:rPr>
          <w:rFonts w:ascii="Arial" w:hAnsi="Arial" w:cs="Arial"/>
          <w:sz w:val="22"/>
          <w:szCs w:val="22"/>
        </w:rPr>
        <w:t xml:space="preserve">- later to become </w:t>
      </w:r>
      <w:r w:rsidR="002C4948">
        <w:rPr>
          <w:rFonts w:ascii="Arial" w:hAnsi="Arial" w:cs="Arial"/>
          <w:sz w:val="22"/>
          <w:szCs w:val="22"/>
        </w:rPr>
        <w:t>the post 1992</w:t>
      </w:r>
      <w:r w:rsidR="008B22D4">
        <w:rPr>
          <w:rFonts w:ascii="Arial" w:hAnsi="Arial" w:cs="Arial"/>
          <w:sz w:val="22"/>
          <w:szCs w:val="22"/>
        </w:rPr>
        <w:t xml:space="preserve"> </w:t>
      </w:r>
      <w:r w:rsidR="00CD6A7E">
        <w:rPr>
          <w:rFonts w:ascii="Arial" w:hAnsi="Arial" w:cs="Arial"/>
          <w:sz w:val="22"/>
          <w:szCs w:val="22"/>
        </w:rPr>
        <w:t>universities - offered</w:t>
      </w:r>
      <w:r w:rsidR="005F1DCA">
        <w:rPr>
          <w:rFonts w:ascii="Arial" w:hAnsi="Arial" w:cs="Arial"/>
          <w:sz w:val="22"/>
          <w:szCs w:val="22"/>
        </w:rPr>
        <w:t xml:space="preserve"> law degrees.</w:t>
      </w:r>
      <w:r w:rsidR="0086504E">
        <w:rPr>
          <w:rStyle w:val="FootnoteReference"/>
          <w:rFonts w:ascii="Arial" w:hAnsi="Arial" w:cs="Arial"/>
          <w:sz w:val="22"/>
          <w:szCs w:val="22"/>
        </w:rPr>
        <w:footnoteReference w:id="14"/>
      </w:r>
      <w:r w:rsidR="005F1DCA">
        <w:rPr>
          <w:rFonts w:ascii="Arial" w:hAnsi="Arial" w:cs="Arial"/>
          <w:sz w:val="22"/>
          <w:szCs w:val="22"/>
        </w:rPr>
        <w:t xml:space="preserve"> </w:t>
      </w:r>
      <w:r w:rsidR="00B707FD">
        <w:rPr>
          <w:rFonts w:ascii="Arial" w:hAnsi="Arial" w:cs="Arial"/>
          <w:sz w:val="22"/>
          <w:szCs w:val="22"/>
        </w:rPr>
        <w:t xml:space="preserve">With </w:t>
      </w:r>
      <w:r w:rsidR="004317EC">
        <w:rPr>
          <w:rFonts w:ascii="Arial" w:hAnsi="Arial" w:cs="Arial"/>
          <w:sz w:val="22"/>
          <w:szCs w:val="22"/>
        </w:rPr>
        <w:t>the huge expansion of higher education</w:t>
      </w:r>
      <w:r w:rsidR="005F1DCA">
        <w:rPr>
          <w:rFonts w:ascii="Arial" w:hAnsi="Arial" w:cs="Arial"/>
          <w:sz w:val="22"/>
          <w:szCs w:val="22"/>
        </w:rPr>
        <w:t xml:space="preserve"> </w:t>
      </w:r>
      <w:r w:rsidR="004317EC">
        <w:rPr>
          <w:rFonts w:ascii="Arial" w:hAnsi="Arial" w:cs="Arial"/>
          <w:sz w:val="22"/>
          <w:szCs w:val="22"/>
        </w:rPr>
        <w:t>120</w:t>
      </w:r>
      <w:r w:rsidRPr="00FD57C0">
        <w:rPr>
          <w:rFonts w:ascii="Arial" w:hAnsi="Arial" w:cs="Arial"/>
          <w:sz w:val="22"/>
          <w:szCs w:val="22"/>
        </w:rPr>
        <w:t xml:space="preserve"> institutions </w:t>
      </w:r>
      <w:r w:rsidR="00330BAB">
        <w:rPr>
          <w:rFonts w:ascii="Arial" w:hAnsi="Arial" w:cs="Arial"/>
          <w:sz w:val="22"/>
          <w:szCs w:val="22"/>
        </w:rPr>
        <w:t xml:space="preserve">are </w:t>
      </w:r>
      <w:r w:rsidR="00CD6A7E">
        <w:rPr>
          <w:rFonts w:ascii="Arial" w:hAnsi="Arial" w:cs="Arial"/>
          <w:sz w:val="22"/>
          <w:szCs w:val="22"/>
        </w:rPr>
        <w:t xml:space="preserve">now </w:t>
      </w:r>
      <w:r w:rsidRPr="00FD57C0">
        <w:rPr>
          <w:rFonts w:ascii="Arial" w:hAnsi="Arial" w:cs="Arial"/>
          <w:sz w:val="22"/>
          <w:szCs w:val="22"/>
        </w:rPr>
        <w:t xml:space="preserve">accredited to </w:t>
      </w:r>
      <w:r w:rsidR="00827C95">
        <w:rPr>
          <w:rFonts w:ascii="Arial" w:hAnsi="Arial" w:cs="Arial"/>
          <w:sz w:val="22"/>
          <w:szCs w:val="22"/>
        </w:rPr>
        <w:t>award</w:t>
      </w:r>
      <w:r w:rsidRPr="00FD57C0">
        <w:rPr>
          <w:rFonts w:ascii="Arial" w:hAnsi="Arial" w:cs="Arial"/>
          <w:sz w:val="22"/>
          <w:szCs w:val="22"/>
        </w:rPr>
        <w:t xml:space="preserve"> the QLD</w:t>
      </w:r>
      <w:r w:rsidR="00DC7860">
        <w:rPr>
          <w:rFonts w:ascii="Arial" w:hAnsi="Arial" w:cs="Arial"/>
          <w:sz w:val="22"/>
          <w:szCs w:val="22"/>
        </w:rPr>
        <w:t>.</w:t>
      </w:r>
      <w:r w:rsidRPr="00FD57C0">
        <w:rPr>
          <w:rStyle w:val="FootnoteReference"/>
          <w:rFonts w:ascii="Arial" w:hAnsi="Arial" w:cs="Arial"/>
          <w:sz w:val="22"/>
          <w:szCs w:val="22"/>
        </w:rPr>
        <w:footnoteReference w:id="15"/>
      </w:r>
      <w:r w:rsidR="00C616A8">
        <w:rPr>
          <w:rFonts w:ascii="Arial" w:hAnsi="Arial" w:cs="Arial"/>
          <w:sz w:val="22"/>
          <w:szCs w:val="22"/>
        </w:rPr>
        <w:t xml:space="preserve"> The rules are set out in the </w:t>
      </w:r>
      <w:r w:rsidR="002C4948">
        <w:rPr>
          <w:rFonts w:ascii="Arial" w:hAnsi="Arial" w:cs="Arial"/>
          <w:sz w:val="22"/>
          <w:szCs w:val="22"/>
        </w:rPr>
        <w:t>BSB and SRA</w:t>
      </w:r>
      <w:r w:rsidR="002C4948" w:rsidRPr="00C616A8">
        <w:rPr>
          <w:rFonts w:ascii="Arial" w:hAnsi="Arial" w:cs="Arial"/>
          <w:sz w:val="22"/>
          <w:szCs w:val="22"/>
        </w:rPr>
        <w:t xml:space="preserve"> </w:t>
      </w:r>
      <w:r w:rsidR="00C616A8" w:rsidRPr="00FD57C0">
        <w:rPr>
          <w:rFonts w:ascii="Arial" w:hAnsi="Arial" w:cs="Arial"/>
          <w:sz w:val="22"/>
          <w:szCs w:val="22"/>
        </w:rPr>
        <w:t>joint statement on the QLD.</w:t>
      </w:r>
      <w:r w:rsidR="00C616A8" w:rsidRPr="00FD57C0">
        <w:rPr>
          <w:rStyle w:val="FootnoteReference"/>
          <w:rFonts w:ascii="Arial" w:hAnsi="Arial" w:cs="Arial"/>
          <w:sz w:val="22"/>
          <w:szCs w:val="22"/>
        </w:rPr>
        <w:footnoteReference w:id="16"/>
      </w:r>
    </w:p>
    <w:p w14:paraId="027863C9" w14:textId="77777777" w:rsidR="00FF50BE" w:rsidRPr="004F6670" w:rsidRDefault="00FF50BE" w:rsidP="00314391">
      <w:pPr>
        <w:rPr>
          <w:rFonts w:ascii="Arial" w:hAnsi="Arial" w:cs="Arial"/>
          <w:b/>
          <w:sz w:val="22"/>
          <w:szCs w:val="22"/>
        </w:rPr>
      </w:pPr>
    </w:p>
    <w:p w14:paraId="5F98BF87" w14:textId="5BF8CD7F" w:rsidR="00BC6E66" w:rsidRPr="004F6670" w:rsidRDefault="00827C95" w:rsidP="00BC6E66">
      <w:pPr>
        <w:rPr>
          <w:rFonts w:ascii="Arial" w:hAnsi="Arial" w:cs="Arial"/>
          <w:sz w:val="22"/>
          <w:szCs w:val="22"/>
        </w:rPr>
      </w:pPr>
      <w:r>
        <w:rPr>
          <w:rFonts w:ascii="Arial" w:hAnsi="Arial" w:cs="Arial"/>
          <w:sz w:val="22"/>
          <w:szCs w:val="22"/>
        </w:rPr>
        <w:t xml:space="preserve">The argument for </w:t>
      </w:r>
      <w:r w:rsidR="00AC3601">
        <w:rPr>
          <w:rFonts w:ascii="Arial" w:hAnsi="Arial" w:cs="Arial"/>
          <w:sz w:val="22"/>
          <w:szCs w:val="22"/>
        </w:rPr>
        <w:t xml:space="preserve">a NLG route </w:t>
      </w:r>
      <w:r w:rsidR="00FD57C0">
        <w:rPr>
          <w:rFonts w:ascii="Arial" w:hAnsi="Arial" w:cs="Arial"/>
          <w:sz w:val="22"/>
          <w:szCs w:val="22"/>
        </w:rPr>
        <w:t xml:space="preserve">was </w:t>
      </w:r>
      <w:r>
        <w:rPr>
          <w:rFonts w:ascii="Arial" w:hAnsi="Arial" w:cs="Arial"/>
          <w:sz w:val="22"/>
          <w:szCs w:val="22"/>
        </w:rPr>
        <w:t xml:space="preserve">that </w:t>
      </w:r>
      <w:r w:rsidR="00FD57C0">
        <w:rPr>
          <w:rFonts w:ascii="Arial" w:hAnsi="Arial" w:cs="Arial"/>
          <w:sz w:val="22"/>
          <w:szCs w:val="22"/>
        </w:rPr>
        <w:t xml:space="preserve">the </w:t>
      </w:r>
      <w:r w:rsidR="008C0499">
        <w:rPr>
          <w:rFonts w:ascii="Arial" w:hAnsi="Arial" w:cs="Arial"/>
          <w:sz w:val="22"/>
          <w:szCs w:val="22"/>
        </w:rPr>
        <w:t>wide and diverse demands on</w:t>
      </w:r>
      <w:r w:rsidR="0044079F">
        <w:rPr>
          <w:rFonts w:ascii="Arial" w:hAnsi="Arial" w:cs="Arial"/>
          <w:sz w:val="22"/>
          <w:szCs w:val="22"/>
        </w:rPr>
        <w:t xml:space="preserve"> </w:t>
      </w:r>
      <w:r w:rsidR="008C0499">
        <w:rPr>
          <w:rFonts w:ascii="Arial" w:hAnsi="Arial" w:cs="Arial"/>
          <w:sz w:val="22"/>
          <w:szCs w:val="22"/>
        </w:rPr>
        <w:t xml:space="preserve">legal </w:t>
      </w:r>
      <w:r w:rsidR="001E0548">
        <w:rPr>
          <w:rFonts w:ascii="Arial" w:hAnsi="Arial" w:cs="Arial"/>
          <w:sz w:val="22"/>
          <w:szCs w:val="22"/>
        </w:rPr>
        <w:t xml:space="preserve">services </w:t>
      </w:r>
      <w:r w:rsidR="00D9092C">
        <w:rPr>
          <w:rFonts w:ascii="Arial" w:hAnsi="Arial" w:cs="Arial"/>
          <w:sz w:val="22"/>
          <w:szCs w:val="22"/>
        </w:rPr>
        <w:t>would require</w:t>
      </w:r>
      <w:r w:rsidR="004836E1">
        <w:rPr>
          <w:rFonts w:ascii="Arial" w:hAnsi="Arial" w:cs="Arial"/>
          <w:sz w:val="22"/>
          <w:szCs w:val="22"/>
        </w:rPr>
        <w:t xml:space="preserve"> a wide recruitment base</w:t>
      </w:r>
      <w:r>
        <w:rPr>
          <w:rFonts w:ascii="Arial" w:hAnsi="Arial" w:cs="Arial"/>
          <w:sz w:val="22"/>
          <w:szCs w:val="22"/>
        </w:rPr>
        <w:t xml:space="preserve"> </w:t>
      </w:r>
      <w:r w:rsidR="00432252">
        <w:rPr>
          <w:rFonts w:ascii="Arial" w:hAnsi="Arial" w:cs="Arial"/>
          <w:sz w:val="22"/>
          <w:szCs w:val="22"/>
        </w:rPr>
        <w:t xml:space="preserve">and it was not clear </w:t>
      </w:r>
      <w:r w:rsidR="00AF244E">
        <w:rPr>
          <w:rFonts w:ascii="Arial" w:hAnsi="Arial" w:cs="Arial"/>
          <w:sz w:val="22"/>
          <w:szCs w:val="22"/>
        </w:rPr>
        <w:t xml:space="preserve">(at that time) </w:t>
      </w:r>
      <w:r w:rsidR="00432252">
        <w:rPr>
          <w:rFonts w:ascii="Arial" w:hAnsi="Arial" w:cs="Arial"/>
          <w:sz w:val="22"/>
          <w:szCs w:val="22"/>
        </w:rPr>
        <w:t>that there would be enough law graduates coming through</w:t>
      </w:r>
      <w:r w:rsidR="004836E1">
        <w:rPr>
          <w:rFonts w:ascii="Arial" w:hAnsi="Arial" w:cs="Arial"/>
          <w:sz w:val="22"/>
          <w:szCs w:val="22"/>
        </w:rPr>
        <w:t>.</w:t>
      </w:r>
      <w:r w:rsidR="004836E1">
        <w:rPr>
          <w:rStyle w:val="FootnoteReference"/>
          <w:rFonts w:ascii="Arial" w:hAnsi="Arial" w:cs="Arial"/>
          <w:sz w:val="22"/>
          <w:szCs w:val="22"/>
        </w:rPr>
        <w:footnoteReference w:id="17"/>
      </w:r>
      <w:r w:rsidR="004836E1">
        <w:rPr>
          <w:rFonts w:ascii="Arial" w:hAnsi="Arial" w:cs="Arial"/>
          <w:sz w:val="22"/>
          <w:szCs w:val="22"/>
        </w:rPr>
        <w:t xml:space="preserve"> </w:t>
      </w:r>
      <w:r w:rsidR="008C0499">
        <w:rPr>
          <w:rFonts w:ascii="Arial" w:hAnsi="Arial" w:cs="Arial"/>
          <w:sz w:val="22"/>
          <w:szCs w:val="22"/>
        </w:rPr>
        <w:t>Th</w:t>
      </w:r>
      <w:r w:rsidR="00C2036A">
        <w:rPr>
          <w:rFonts w:ascii="Arial" w:hAnsi="Arial" w:cs="Arial"/>
          <w:sz w:val="22"/>
          <w:szCs w:val="22"/>
        </w:rPr>
        <w:t>e</w:t>
      </w:r>
      <w:r w:rsidR="001330BE" w:rsidRPr="004F6670">
        <w:rPr>
          <w:rFonts w:ascii="Arial" w:hAnsi="Arial" w:cs="Arial"/>
          <w:sz w:val="22"/>
          <w:szCs w:val="22"/>
        </w:rPr>
        <w:t xml:space="preserve"> </w:t>
      </w:r>
      <w:r w:rsidR="00F472B0">
        <w:rPr>
          <w:rFonts w:ascii="Arial" w:hAnsi="Arial" w:cs="Arial"/>
          <w:sz w:val="22"/>
          <w:szCs w:val="22"/>
        </w:rPr>
        <w:t xml:space="preserve">rationale </w:t>
      </w:r>
      <w:r w:rsidR="0067259E">
        <w:rPr>
          <w:rFonts w:ascii="Arial" w:hAnsi="Arial" w:cs="Arial"/>
          <w:sz w:val="22"/>
          <w:szCs w:val="22"/>
        </w:rPr>
        <w:t xml:space="preserve">of ensuring a </w:t>
      </w:r>
      <w:r w:rsidR="000206CE">
        <w:rPr>
          <w:rFonts w:ascii="Arial" w:hAnsi="Arial" w:cs="Arial"/>
          <w:sz w:val="22"/>
          <w:szCs w:val="22"/>
        </w:rPr>
        <w:t>supply</w:t>
      </w:r>
      <w:r w:rsidR="0067259E">
        <w:rPr>
          <w:rFonts w:ascii="Arial" w:hAnsi="Arial" w:cs="Arial"/>
          <w:sz w:val="22"/>
          <w:szCs w:val="22"/>
        </w:rPr>
        <w:t xml:space="preserve"> of talent </w:t>
      </w:r>
      <w:r w:rsidR="000206CE">
        <w:rPr>
          <w:rFonts w:ascii="Arial" w:hAnsi="Arial" w:cs="Arial"/>
          <w:sz w:val="22"/>
          <w:szCs w:val="22"/>
        </w:rPr>
        <w:t>thus</w:t>
      </w:r>
      <w:r>
        <w:rPr>
          <w:rFonts w:ascii="Arial" w:hAnsi="Arial" w:cs="Arial"/>
          <w:sz w:val="22"/>
          <w:szCs w:val="22"/>
        </w:rPr>
        <w:t xml:space="preserve"> </w:t>
      </w:r>
      <w:r w:rsidR="00912496">
        <w:rPr>
          <w:rFonts w:ascii="Arial" w:hAnsi="Arial" w:cs="Arial"/>
          <w:sz w:val="22"/>
          <w:szCs w:val="22"/>
        </w:rPr>
        <w:t>support</w:t>
      </w:r>
      <w:r w:rsidR="00F472B0">
        <w:rPr>
          <w:rFonts w:ascii="Arial" w:hAnsi="Arial" w:cs="Arial"/>
          <w:sz w:val="22"/>
          <w:szCs w:val="22"/>
        </w:rPr>
        <w:t>ed</w:t>
      </w:r>
      <w:r w:rsidR="00912496">
        <w:rPr>
          <w:rFonts w:ascii="Arial" w:hAnsi="Arial" w:cs="Arial"/>
          <w:sz w:val="22"/>
          <w:szCs w:val="22"/>
        </w:rPr>
        <w:t xml:space="preserve"> </w:t>
      </w:r>
      <w:r w:rsidR="0067259E">
        <w:rPr>
          <w:rFonts w:ascii="Arial" w:hAnsi="Arial" w:cs="Arial"/>
          <w:sz w:val="22"/>
          <w:szCs w:val="22"/>
        </w:rPr>
        <w:t>an</w:t>
      </w:r>
      <w:r w:rsidR="00912496">
        <w:rPr>
          <w:rFonts w:ascii="Arial" w:hAnsi="Arial" w:cs="Arial"/>
          <w:sz w:val="22"/>
          <w:szCs w:val="22"/>
        </w:rPr>
        <w:t xml:space="preserve"> </w:t>
      </w:r>
      <w:r w:rsidR="00600C80" w:rsidRPr="004F6670">
        <w:rPr>
          <w:rFonts w:ascii="Arial" w:hAnsi="Arial" w:cs="Arial"/>
          <w:sz w:val="22"/>
          <w:szCs w:val="22"/>
        </w:rPr>
        <w:t>alternative</w:t>
      </w:r>
      <w:r w:rsidR="00BC6E66" w:rsidRPr="004F6670">
        <w:rPr>
          <w:rFonts w:ascii="Arial" w:hAnsi="Arial" w:cs="Arial"/>
          <w:sz w:val="22"/>
          <w:szCs w:val="22"/>
        </w:rPr>
        <w:t xml:space="preserve"> route</w:t>
      </w:r>
      <w:r w:rsidR="00AC3601">
        <w:rPr>
          <w:rFonts w:ascii="Arial" w:hAnsi="Arial" w:cs="Arial"/>
          <w:sz w:val="22"/>
          <w:szCs w:val="22"/>
        </w:rPr>
        <w:t xml:space="preserve"> into the profession</w:t>
      </w:r>
      <w:r w:rsidR="00912496">
        <w:rPr>
          <w:rFonts w:ascii="Arial" w:hAnsi="Arial" w:cs="Arial"/>
          <w:sz w:val="22"/>
          <w:szCs w:val="22"/>
        </w:rPr>
        <w:t xml:space="preserve">. </w:t>
      </w:r>
      <w:r w:rsidR="004B584D">
        <w:rPr>
          <w:rFonts w:ascii="Arial" w:hAnsi="Arial" w:cs="Arial"/>
          <w:sz w:val="22"/>
          <w:szCs w:val="22"/>
        </w:rPr>
        <w:t>C</w:t>
      </w:r>
      <w:r w:rsidR="0081235D">
        <w:rPr>
          <w:rFonts w:ascii="Arial" w:hAnsi="Arial" w:cs="Arial"/>
          <w:sz w:val="22"/>
          <w:szCs w:val="22"/>
        </w:rPr>
        <w:t xml:space="preserve">rucially, </w:t>
      </w:r>
      <w:r w:rsidR="004B584D">
        <w:rPr>
          <w:rFonts w:ascii="Arial" w:hAnsi="Arial" w:cs="Arial"/>
          <w:sz w:val="22"/>
          <w:szCs w:val="22"/>
        </w:rPr>
        <w:t xml:space="preserve">the argument </w:t>
      </w:r>
      <w:r>
        <w:rPr>
          <w:rFonts w:ascii="Arial" w:hAnsi="Arial" w:cs="Arial"/>
          <w:sz w:val="22"/>
          <w:szCs w:val="22"/>
        </w:rPr>
        <w:t xml:space="preserve">was </w:t>
      </w:r>
      <w:r w:rsidR="00B707FD">
        <w:rPr>
          <w:rFonts w:ascii="Arial" w:hAnsi="Arial" w:cs="Arial"/>
          <w:sz w:val="22"/>
          <w:szCs w:val="22"/>
        </w:rPr>
        <w:t xml:space="preserve">accepted that </w:t>
      </w:r>
      <w:r>
        <w:rPr>
          <w:rFonts w:ascii="Arial" w:hAnsi="Arial" w:cs="Arial"/>
          <w:sz w:val="22"/>
          <w:szCs w:val="22"/>
        </w:rPr>
        <w:t xml:space="preserve">the </w:t>
      </w:r>
      <w:r w:rsidR="00C616A8">
        <w:rPr>
          <w:rFonts w:ascii="Arial" w:hAnsi="Arial" w:cs="Arial"/>
          <w:sz w:val="22"/>
          <w:szCs w:val="22"/>
        </w:rPr>
        <w:t xml:space="preserve">conversion </w:t>
      </w:r>
      <w:r>
        <w:rPr>
          <w:rFonts w:ascii="Arial" w:hAnsi="Arial" w:cs="Arial"/>
          <w:sz w:val="22"/>
          <w:szCs w:val="22"/>
        </w:rPr>
        <w:t>course should be shorter tha</w:t>
      </w:r>
      <w:r w:rsidR="00432252">
        <w:rPr>
          <w:rFonts w:ascii="Arial" w:hAnsi="Arial" w:cs="Arial"/>
          <w:sz w:val="22"/>
          <w:szCs w:val="22"/>
        </w:rPr>
        <w:t>n</w:t>
      </w:r>
      <w:r>
        <w:rPr>
          <w:rFonts w:ascii="Arial" w:hAnsi="Arial" w:cs="Arial"/>
          <w:sz w:val="22"/>
          <w:szCs w:val="22"/>
        </w:rPr>
        <w:t xml:space="preserve"> the law degree</w:t>
      </w:r>
      <w:r w:rsidR="004B584D">
        <w:rPr>
          <w:rFonts w:ascii="Arial" w:hAnsi="Arial" w:cs="Arial"/>
          <w:sz w:val="22"/>
          <w:szCs w:val="22"/>
        </w:rPr>
        <w:t xml:space="preserve">, otherwise </w:t>
      </w:r>
      <w:r w:rsidR="000371F4">
        <w:rPr>
          <w:rFonts w:ascii="Arial" w:hAnsi="Arial" w:cs="Arial"/>
          <w:sz w:val="22"/>
          <w:szCs w:val="22"/>
        </w:rPr>
        <w:t>to require</w:t>
      </w:r>
      <w:r w:rsidR="00432252">
        <w:rPr>
          <w:rFonts w:ascii="Arial" w:hAnsi="Arial" w:cs="Arial"/>
          <w:sz w:val="22"/>
          <w:szCs w:val="22"/>
        </w:rPr>
        <w:t xml:space="preserve"> a</w:t>
      </w:r>
      <w:r w:rsidR="000371F4">
        <w:rPr>
          <w:rFonts w:ascii="Arial" w:hAnsi="Arial" w:cs="Arial"/>
          <w:sz w:val="22"/>
          <w:szCs w:val="22"/>
        </w:rPr>
        <w:t xml:space="preserve"> NLG ‘</w:t>
      </w:r>
      <w:r w:rsidR="00BC6E66" w:rsidRPr="004F6670">
        <w:rPr>
          <w:rFonts w:ascii="Arial" w:hAnsi="Arial" w:cs="Arial"/>
          <w:sz w:val="22"/>
          <w:szCs w:val="22"/>
        </w:rPr>
        <w:t>to take a full-time three-year degree course in law would defeat its own object; it would be such a deterrent that this kind of entrant would be virtually eliminated.’</w:t>
      </w:r>
      <w:r w:rsidR="004B584D" w:rsidRPr="004F6670">
        <w:rPr>
          <w:rStyle w:val="FootnoteReference"/>
          <w:rFonts w:ascii="Arial" w:hAnsi="Arial" w:cs="Arial"/>
          <w:sz w:val="22"/>
          <w:szCs w:val="22"/>
        </w:rPr>
        <w:footnoteReference w:id="18"/>
      </w:r>
      <w:r w:rsidR="004B584D">
        <w:rPr>
          <w:rFonts w:ascii="Arial" w:hAnsi="Arial" w:cs="Arial"/>
          <w:sz w:val="22"/>
          <w:szCs w:val="22"/>
        </w:rPr>
        <w:t xml:space="preserve"> </w:t>
      </w:r>
    </w:p>
    <w:p w14:paraId="01F89004" w14:textId="77777777" w:rsidR="00BC6E66" w:rsidRPr="004F6670" w:rsidRDefault="00BC6E66" w:rsidP="00BC6E66">
      <w:pPr>
        <w:rPr>
          <w:rFonts w:ascii="Arial" w:hAnsi="Arial" w:cs="Arial"/>
          <w:sz w:val="22"/>
          <w:szCs w:val="22"/>
        </w:rPr>
      </w:pPr>
    </w:p>
    <w:p w14:paraId="37B99822" w14:textId="72D26B89" w:rsidR="00B67C5C" w:rsidRDefault="00BC6E66" w:rsidP="00BC6E66">
      <w:pPr>
        <w:widowControl w:val="0"/>
        <w:autoSpaceDE w:val="0"/>
        <w:autoSpaceDN w:val="0"/>
        <w:adjustRightInd w:val="0"/>
        <w:rPr>
          <w:rFonts w:ascii="Arial" w:hAnsi="Arial" w:cs="Arial"/>
          <w:sz w:val="22"/>
          <w:szCs w:val="22"/>
        </w:rPr>
      </w:pPr>
      <w:r w:rsidRPr="004F6670">
        <w:rPr>
          <w:rFonts w:ascii="Arial" w:hAnsi="Arial" w:cs="Arial"/>
          <w:sz w:val="22"/>
          <w:szCs w:val="22"/>
        </w:rPr>
        <w:t xml:space="preserve">Ormrod proposed a </w:t>
      </w:r>
      <w:r w:rsidR="002C6253">
        <w:rPr>
          <w:rFonts w:ascii="Arial" w:hAnsi="Arial" w:cs="Arial"/>
          <w:sz w:val="22"/>
          <w:szCs w:val="22"/>
        </w:rPr>
        <w:t>two-</w:t>
      </w:r>
      <w:r w:rsidR="004B584D">
        <w:rPr>
          <w:rFonts w:ascii="Arial" w:hAnsi="Arial" w:cs="Arial"/>
          <w:sz w:val="22"/>
          <w:szCs w:val="22"/>
        </w:rPr>
        <w:t xml:space="preserve">year </w:t>
      </w:r>
      <w:r w:rsidRPr="004F6670">
        <w:rPr>
          <w:rFonts w:ascii="Arial" w:hAnsi="Arial" w:cs="Arial"/>
          <w:sz w:val="22"/>
          <w:szCs w:val="22"/>
        </w:rPr>
        <w:t xml:space="preserve">conversion </w:t>
      </w:r>
      <w:r w:rsidR="004317EC">
        <w:rPr>
          <w:rFonts w:ascii="Arial" w:hAnsi="Arial" w:cs="Arial"/>
          <w:sz w:val="22"/>
          <w:szCs w:val="22"/>
        </w:rPr>
        <w:t>teaching core law and</w:t>
      </w:r>
      <w:r w:rsidR="004B584D">
        <w:rPr>
          <w:rFonts w:ascii="Arial" w:hAnsi="Arial" w:cs="Arial"/>
          <w:sz w:val="22"/>
          <w:szCs w:val="22"/>
        </w:rPr>
        <w:t xml:space="preserve"> </w:t>
      </w:r>
      <w:r w:rsidR="00B707FD">
        <w:rPr>
          <w:rFonts w:ascii="Arial" w:hAnsi="Arial" w:cs="Arial"/>
          <w:sz w:val="22"/>
          <w:szCs w:val="22"/>
        </w:rPr>
        <w:t xml:space="preserve">law </w:t>
      </w:r>
      <w:r w:rsidR="004B584D">
        <w:rPr>
          <w:rFonts w:ascii="Arial" w:hAnsi="Arial" w:cs="Arial"/>
          <w:sz w:val="22"/>
          <w:szCs w:val="22"/>
        </w:rPr>
        <w:t xml:space="preserve">options. </w:t>
      </w:r>
      <w:r w:rsidR="00023290">
        <w:rPr>
          <w:rFonts w:ascii="Arial" w:hAnsi="Arial" w:cs="Arial"/>
          <w:sz w:val="22"/>
          <w:szCs w:val="22"/>
        </w:rPr>
        <w:t>The</w:t>
      </w:r>
      <w:r w:rsidR="00023290" w:rsidRPr="004F6670">
        <w:rPr>
          <w:rFonts w:ascii="Arial" w:hAnsi="Arial" w:cs="Arial"/>
          <w:sz w:val="22"/>
          <w:szCs w:val="22"/>
        </w:rPr>
        <w:t xml:space="preserve"> </w:t>
      </w:r>
      <w:r w:rsidR="004317EC">
        <w:rPr>
          <w:rFonts w:ascii="Arial" w:hAnsi="Arial" w:cs="Arial"/>
          <w:sz w:val="22"/>
          <w:szCs w:val="22"/>
        </w:rPr>
        <w:t xml:space="preserve">key </w:t>
      </w:r>
      <w:r w:rsidRPr="004F6670">
        <w:rPr>
          <w:rFonts w:ascii="Arial" w:hAnsi="Arial" w:cs="Arial"/>
          <w:sz w:val="22"/>
          <w:szCs w:val="22"/>
        </w:rPr>
        <w:t xml:space="preserve">innovation was </w:t>
      </w:r>
      <w:r w:rsidR="00EF561C">
        <w:rPr>
          <w:rFonts w:ascii="Arial" w:hAnsi="Arial" w:cs="Arial"/>
          <w:sz w:val="22"/>
          <w:szCs w:val="22"/>
        </w:rPr>
        <w:t>to be</w:t>
      </w:r>
      <w:r w:rsidR="00364A0A">
        <w:rPr>
          <w:rFonts w:ascii="Arial" w:hAnsi="Arial" w:cs="Arial"/>
          <w:sz w:val="22"/>
          <w:szCs w:val="22"/>
        </w:rPr>
        <w:t xml:space="preserve"> </w:t>
      </w:r>
      <w:r w:rsidR="009C7794">
        <w:rPr>
          <w:rFonts w:ascii="Arial" w:hAnsi="Arial" w:cs="Arial"/>
          <w:sz w:val="22"/>
          <w:szCs w:val="22"/>
        </w:rPr>
        <w:t>a</w:t>
      </w:r>
      <w:r w:rsidR="00432252">
        <w:rPr>
          <w:rFonts w:ascii="Arial" w:hAnsi="Arial" w:cs="Arial"/>
          <w:sz w:val="22"/>
          <w:szCs w:val="22"/>
        </w:rPr>
        <w:t xml:space="preserve"> </w:t>
      </w:r>
      <w:r w:rsidR="00432252" w:rsidRPr="00DB1C3A">
        <w:rPr>
          <w:rFonts w:ascii="Arial" w:hAnsi="Arial" w:cs="Arial"/>
          <w:i/>
          <w:sz w:val="22"/>
          <w:szCs w:val="22"/>
        </w:rPr>
        <w:t>common</w:t>
      </w:r>
      <w:r w:rsidR="00B67C5C">
        <w:rPr>
          <w:rFonts w:ascii="Arial" w:hAnsi="Arial" w:cs="Arial"/>
          <w:sz w:val="22"/>
          <w:szCs w:val="22"/>
        </w:rPr>
        <w:t xml:space="preserve"> </w:t>
      </w:r>
      <w:r w:rsidRPr="004F6670">
        <w:rPr>
          <w:rFonts w:ascii="Arial" w:hAnsi="Arial" w:cs="Arial"/>
          <w:sz w:val="22"/>
          <w:szCs w:val="22"/>
        </w:rPr>
        <w:t>course</w:t>
      </w:r>
      <w:r w:rsidR="00B67C5C">
        <w:rPr>
          <w:rFonts w:ascii="Arial" w:hAnsi="Arial" w:cs="Arial"/>
          <w:sz w:val="22"/>
          <w:szCs w:val="22"/>
        </w:rPr>
        <w:t>.</w:t>
      </w:r>
      <w:r w:rsidR="0084280D" w:rsidRPr="004F6670">
        <w:rPr>
          <w:rStyle w:val="FootnoteReference"/>
          <w:rFonts w:ascii="Arial" w:hAnsi="Arial" w:cs="Arial"/>
          <w:sz w:val="22"/>
          <w:szCs w:val="22"/>
        </w:rPr>
        <w:footnoteReference w:id="19"/>
      </w:r>
      <w:r w:rsidR="0084280D" w:rsidRPr="004F6670">
        <w:rPr>
          <w:rFonts w:ascii="Arial" w:hAnsi="Arial" w:cs="Arial"/>
          <w:sz w:val="22"/>
          <w:szCs w:val="22"/>
        </w:rPr>
        <w:t xml:space="preserve"> A</w:t>
      </w:r>
      <w:r w:rsidR="00F15A28" w:rsidRPr="004F6670">
        <w:rPr>
          <w:rFonts w:ascii="Arial" w:hAnsi="Arial" w:cs="Arial"/>
          <w:sz w:val="22"/>
          <w:szCs w:val="22"/>
        </w:rPr>
        <w:t xml:space="preserve">s a consequence </w:t>
      </w:r>
      <w:r w:rsidR="0084280D" w:rsidRPr="004F6670">
        <w:rPr>
          <w:rFonts w:ascii="Arial" w:hAnsi="Arial" w:cs="Arial"/>
          <w:sz w:val="22"/>
          <w:szCs w:val="22"/>
        </w:rPr>
        <w:t xml:space="preserve">the </w:t>
      </w:r>
      <w:r w:rsidR="00432252">
        <w:rPr>
          <w:rFonts w:ascii="Arial" w:hAnsi="Arial" w:cs="Arial"/>
          <w:sz w:val="22"/>
          <w:szCs w:val="22"/>
        </w:rPr>
        <w:t xml:space="preserve">regulators </w:t>
      </w:r>
      <w:r w:rsidR="0084280D" w:rsidRPr="004F6670">
        <w:rPr>
          <w:rFonts w:ascii="Arial" w:hAnsi="Arial" w:cs="Arial"/>
          <w:sz w:val="22"/>
          <w:szCs w:val="22"/>
        </w:rPr>
        <w:t xml:space="preserve">would </w:t>
      </w:r>
      <w:r w:rsidR="00F15A28" w:rsidRPr="004F6670">
        <w:rPr>
          <w:rFonts w:ascii="Arial" w:hAnsi="Arial" w:cs="Arial"/>
          <w:sz w:val="22"/>
          <w:szCs w:val="22"/>
        </w:rPr>
        <w:t>discontinue</w:t>
      </w:r>
      <w:r w:rsidR="00AA264C">
        <w:rPr>
          <w:rFonts w:ascii="Arial" w:hAnsi="Arial" w:cs="Arial"/>
          <w:sz w:val="22"/>
          <w:szCs w:val="22"/>
        </w:rPr>
        <w:t xml:space="preserve"> their </w:t>
      </w:r>
      <w:r w:rsidR="00464077" w:rsidRPr="004F6670">
        <w:rPr>
          <w:rFonts w:ascii="Arial" w:hAnsi="Arial" w:cs="Arial"/>
          <w:sz w:val="22"/>
          <w:szCs w:val="22"/>
        </w:rPr>
        <w:t xml:space="preserve">separate conversion </w:t>
      </w:r>
      <w:r w:rsidR="001B532A">
        <w:rPr>
          <w:rFonts w:ascii="Arial" w:hAnsi="Arial" w:cs="Arial"/>
          <w:sz w:val="22"/>
          <w:szCs w:val="22"/>
        </w:rPr>
        <w:t>courses (their Part 1s</w:t>
      </w:r>
      <w:r w:rsidR="00023290">
        <w:rPr>
          <w:rFonts w:ascii="Arial" w:hAnsi="Arial" w:cs="Arial"/>
          <w:sz w:val="22"/>
          <w:szCs w:val="22"/>
        </w:rPr>
        <w:t xml:space="preserve">) and </w:t>
      </w:r>
      <w:r w:rsidR="00AA264C">
        <w:rPr>
          <w:rFonts w:ascii="Arial" w:hAnsi="Arial" w:cs="Arial"/>
          <w:sz w:val="22"/>
          <w:szCs w:val="22"/>
        </w:rPr>
        <w:t xml:space="preserve">reform </w:t>
      </w:r>
      <w:r w:rsidRPr="004F6670">
        <w:rPr>
          <w:rFonts w:ascii="Arial" w:hAnsi="Arial" w:cs="Arial"/>
          <w:sz w:val="22"/>
          <w:szCs w:val="22"/>
        </w:rPr>
        <w:t>the</w:t>
      </w:r>
      <w:r w:rsidR="00432252">
        <w:rPr>
          <w:rFonts w:ascii="Arial" w:hAnsi="Arial" w:cs="Arial"/>
          <w:sz w:val="22"/>
          <w:szCs w:val="22"/>
        </w:rPr>
        <w:t>ir</w:t>
      </w:r>
      <w:r w:rsidR="00023290">
        <w:rPr>
          <w:rFonts w:ascii="Arial" w:hAnsi="Arial" w:cs="Arial"/>
          <w:sz w:val="22"/>
          <w:szCs w:val="22"/>
        </w:rPr>
        <w:t xml:space="preserve"> </w:t>
      </w:r>
      <w:r w:rsidR="00AA264C">
        <w:rPr>
          <w:rFonts w:ascii="Arial" w:hAnsi="Arial" w:cs="Arial"/>
          <w:sz w:val="22"/>
          <w:szCs w:val="22"/>
        </w:rPr>
        <w:t xml:space="preserve">respective </w:t>
      </w:r>
      <w:r w:rsidR="00023290">
        <w:rPr>
          <w:rFonts w:ascii="Arial" w:hAnsi="Arial" w:cs="Arial"/>
          <w:sz w:val="22"/>
          <w:szCs w:val="22"/>
        </w:rPr>
        <w:t>vocational stage</w:t>
      </w:r>
      <w:r w:rsidR="00432252">
        <w:rPr>
          <w:rFonts w:ascii="Arial" w:hAnsi="Arial" w:cs="Arial"/>
          <w:sz w:val="22"/>
          <w:szCs w:val="22"/>
        </w:rPr>
        <w:t>s</w:t>
      </w:r>
      <w:r w:rsidR="00023290">
        <w:rPr>
          <w:rFonts w:ascii="Arial" w:hAnsi="Arial" w:cs="Arial"/>
          <w:sz w:val="22"/>
          <w:szCs w:val="22"/>
        </w:rPr>
        <w:t xml:space="preserve"> </w:t>
      </w:r>
      <w:r w:rsidR="00364A0A">
        <w:rPr>
          <w:rFonts w:ascii="Arial" w:hAnsi="Arial" w:cs="Arial"/>
          <w:sz w:val="22"/>
          <w:szCs w:val="22"/>
        </w:rPr>
        <w:t>(the</w:t>
      </w:r>
      <w:r w:rsidR="00432252">
        <w:rPr>
          <w:rFonts w:ascii="Arial" w:hAnsi="Arial" w:cs="Arial"/>
          <w:sz w:val="22"/>
          <w:szCs w:val="22"/>
        </w:rPr>
        <w:t>ir</w:t>
      </w:r>
      <w:r w:rsidR="004317EC">
        <w:rPr>
          <w:rFonts w:ascii="Arial" w:hAnsi="Arial" w:cs="Arial"/>
          <w:sz w:val="22"/>
          <w:szCs w:val="22"/>
        </w:rPr>
        <w:t xml:space="preserve"> </w:t>
      </w:r>
      <w:r w:rsidR="001B532A">
        <w:rPr>
          <w:rFonts w:ascii="Arial" w:hAnsi="Arial" w:cs="Arial"/>
          <w:sz w:val="22"/>
          <w:szCs w:val="22"/>
        </w:rPr>
        <w:t>Part 2s</w:t>
      </w:r>
      <w:r w:rsidR="00364A0A">
        <w:rPr>
          <w:rFonts w:ascii="Arial" w:hAnsi="Arial" w:cs="Arial"/>
          <w:sz w:val="22"/>
          <w:szCs w:val="22"/>
        </w:rPr>
        <w:t>)</w:t>
      </w:r>
      <w:r w:rsidR="00023290">
        <w:rPr>
          <w:rFonts w:ascii="Arial" w:hAnsi="Arial" w:cs="Arial"/>
          <w:sz w:val="22"/>
          <w:szCs w:val="22"/>
        </w:rPr>
        <w:t>.</w:t>
      </w:r>
    </w:p>
    <w:p w14:paraId="660E3069" w14:textId="77777777" w:rsidR="00B67C5C" w:rsidRDefault="00B67C5C" w:rsidP="00BC6E66">
      <w:pPr>
        <w:widowControl w:val="0"/>
        <w:autoSpaceDE w:val="0"/>
        <w:autoSpaceDN w:val="0"/>
        <w:adjustRightInd w:val="0"/>
        <w:rPr>
          <w:rFonts w:ascii="Arial" w:hAnsi="Arial" w:cs="Arial"/>
          <w:sz w:val="22"/>
          <w:szCs w:val="22"/>
        </w:rPr>
      </w:pPr>
    </w:p>
    <w:p w14:paraId="496417BE" w14:textId="0BB17FE8" w:rsidR="00BC6E66" w:rsidRPr="004F6670" w:rsidRDefault="0080012D" w:rsidP="00BC6E66">
      <w:pPr>
        <w:widowControl w:val="0"/>
        <w:autoSpaceDE w:val="0"/>
        <w:autoSpaceDN w:val="0"/>
        <w:adjustRightInd w:val="0"/>
        <w:rPr>
          <w:rFonts w:ascii="Arial" w:hAnsi="Arial" w:cs="Arial"/>
          <w:sz w:val="22"/>
          <w:szCs w:val="22"/>
        </w:rPr>
      </w:pPr>
      <w:r>
        <w:rPr>
          <w:rFonts w:ascii="Arial" w:hAnsi="Arial" w:cs="Arial"/>
          <w:sz w:val="22"/>
          <w:szCs w:val="22"/>
        </w:rPr>
        <w:t>I</w:t>
      </w:r>
      <w:r w:rsidR="00B67C5C">
        <w:rPr>
          <w:rFonts w:ascii="Arial" w:hAnsi="Arial" w:cs="Arial"/>
          <w:sz w:val="22"/>
          <w:szCs w:val="22"/>
        </w:rPr>
        <w:t>t</w:t>
      </w:r>
      <w:r w:rsidR="0090616D">
        <w:rPr>
          <w:rFonts w:ascii="Arial" w:hAnsi="Arial" w:cs="Arial"/>
          <w:sz w:val="22"/>
          <w:szCs w:val="22"/>
        </w:rPr>
        <w:t xml:space="preserve"> is worth noting that there are some longstanding criticisms</w:t>
      </w:r>
      <w:r w:rsidR="00B67C5C">
        <w:rPr>
          <w:rFonts w:ascii="Arial" w:hAnsi="Arial" w:cs="Arial"/>
          <w:sz w:val="22"/>
          <w:szCs w:val="22"/>
        </w:rPr>
        <w:t xml:space="preserve"> </w:t>
      </w:r>
      <w:r w:rsidR="004317EC">
        <w:rPr>
          <w:rFonts w:ascii="Arial" w:hAnsi="Arial" w:cs="Arial"/>
          <w:sz w:val="22"/>
          <w:szCs w:val="22"/>
        </w:rPr>
        <w:t>of principle about</w:t>
      </w:r>
      <w:r w:rsidR="00B67C5C">
        <w:rPr>
          <w:rFonts w:ascii="Arial" w:hAnsi="Arial" w:cs="Arial"/>
          <w:sz w:val="22"/>
          <w:szCs w:val="22"/>
        </w:rPr>
        <w:t xml:space="preserve"> a shorter course</w:t>
      </w:r>
      <w:r w:rsidR="00FF3E34">
        <w:rPr>
          <w:rFonts w:ascii="Arial" w:hAnsi="Arial" w:cs="Arial"/>
          <w:sz w:val="22"/>
          <w:szCs w:val="22"/>
        </w:rPr>
        <w:t xml:space="preserve"> </w:t>
      </w:r>
      <w:r w:rsidR="0090616D">
        <w:rPr>
          <w:rFonts w:ascii="Arial" w:hAnsi="Arial" w:cs="Arial"/>
          <w:sz w:val="22"/>
          <w:szCs w:val="22"/>
        </w:rPr>
        <w:t>for NLG</w:t>
      </w:r>
      <w:r w:rsidR="004317EC">
        <w:rPr>
          <w:rFonts w:ascii="Arial" w:hAnsi="Arial" w:cs="Arial"/>
          <w:sz w:val="22"/>
          <w:szCs w:val="22"/>
        </w:rPr>
        <w:t>,</w:t>
      </w:r>
      <w:r w:rsidR="0090616D">
        <w:rPr>
          <w:rFonts w:ascii="Arial" w:hAnsi="Arial" w:cs="Arial"/>
          <w:sz w:val="22"/>
          <w:szCs w:val="22"/>
        </w:rPr>
        <w:t xml:space="preserve"> as</w:t>
      </w:r>
      <w:r w:rsidR="00B67C5C">
        <w:rPr>
          <w:rFonts w:ascii="Arial" w:hAnsi="Arial" w:cs="Arial"/>
          <w:sz w:val="22"/>
          <w:szCs w:val="22"/>
        </w:rPr>
        <w:t xml:space="preserve"> it </w:t>
      </w:r>
      <w:r w:rsidR="0090616D">
        <w:rPr>
          <w:rFonts w:ascii="Arial" w:hAnsi="Arial" w:cs="Arial"/>
          <w:sz w:val="22"/>
          <w:szCs w:val="22"/>
        </w:rPr>
        <w:t>is considered by some t</w:t>
      </w:r>
      <w:r w:rsidR="00B67C5C">
        <w:rPr>
          <w:rFonts w:ascii="Arial" w:hAnsi="Arial" w:cs="Arial"/>
          <w:sz w:val="22"/>
          <w:szCs w:val="22"/>
        </w:rPr>
        <w:t>o be</w:t>
      </w:r>
      <w:r>
        <w:rPr>
          <w:rFonts w:ascii="Arial" w:hAnsi="Arial" w:cs="Arial"/>
          <w:sz w:val="22"/>
          <w:szCs w:val="22"/>
        </w:rPr>
        <w:t xml:space="preserve"> inadequate preparation for practice</w:t>
      </w:r>
      <w:r w:rsidR="0090616D">
        <w:rPr>
          <w:rFonts w:ascii="Arial" w:hAnsi="Arial" w:cs="Arial"/>
          <w:sz w:val="22"/>
          <w:szCs w:val="22"/>
        </w:rPr>
        <w:t xml:space="preserve"> and detrimental to the </w:t>
      </w:r>
      <w:r w:rsidR="00F6151C">
        <w:rPr>
          <w:rFonts w:ascii="Arial" w:hAnsi="Arial" w:cs="Arial"/>
          <w:sz w:val="22"/>
          <w:szCs w:val="22"/>
        </w:rPr>
        <w:t>QLD</w:t>
      </w:r>
      <w:r w:rsidR="00CD6A7E">
        <w:rPr>
          <w:rFonts w:ascii="Arial" w:hAnsi="Arial" w:cs="Arial"/>
          <w:sz w:val="22"/>
          <w:szCs w:val="22"/>
        </w:rPr>
        <w:t>.</w:t>
      </w:r>
      <w:r w:rsidR="0090616D" w:rsidRPr="002460F7">
        <w:rPr>
          <w:rStyle w:val="FootnoteReference"/>
          <w:rFonts w:ascii="Arial" w:hAnsi="Arial" w:cs="Arial"/>
          <w:sz w:val="22"/>
          <w:szCs w:val="22"/>
        </w:rPr>
        <w:footnoteReference w:id="20"/>
      </w:r>
      <w:r>
        <w:rPr>
          <w:rFonts w:ascii="Arial" w:hAnsi="Arial" w:cs="Arial"/>
          <w:sz w:val="22"/>
          <w:szCs w:val="22"/>
        </w:rPr>
        <w:t xml:space="preserve"> </w:t>
      </w:r>
      <w:r w:rsidR="00031F69">
        <w:rPr>
          <w:rFonts w:ascii="Arial" w:hAnsi="Arial" w:cs="Arial"/>
          <w:sz w:val="22"/>
          <w:szCs w:val="22"/>
        </w:rPr>
        <w:t>Ormrod</w:t>
      </w:r>
      <w:r w:rsidR="00BC6E66" w:rsidRPr="004F6670">
        <w:rPr>
          <w:rFonts w:ascii="Arial" w:hAnsi="Arial" w:cs="Arial"/>
          <w:sz w:val="22"/>
          <w:szCs w:val="22"/>
        </w:rPr>
        <w:t xml:space="preserve"> </w:t>
      </w:r>
      <w:r w:rsidR="004317EC">
        <w:rPr>
          <w:rFonts w:ascii="Arial" w:hAnsi="Arial" w:cs="Arial"/>
          <w:sz w:val="22"/>
          <w:szCs w:val="22"/>
        </w:rPr>
        <w:t xml:space="preserve">deflected such criticisms by attacking </w:t>
      </w:r>
      <w:r>
        <w:rPr>
          <w:rFonts w:ascii="Arial" w:hAnsi="Arial" w:cs="Arial"/>
          <w:sz w:val="22"/>
          <w:szCs w:val="22"/>
        </w:rPr>
        <w:t xml:space="preserve">the </w:t>
      </w:r>
      <w:r w:rsidR="00BC6E66" w:rsidRPr="004F6670">
        <w:rPr>
          <w:rFonts w:ascii="Arial" w:hAnsi="Arial" w:cs="Arial"/>
          <w:sz w:val="22"/>
          <w:szCs w:val="22"/>
        </w:rPr>
        <w:t xml:space="preserve">so-called crammer approach offered by </w:t>
      </w:r>
      <w:r w:rsidR="00AF244E">
        <w:rPr>
          <w:rFonts w:ascii="Arial" w:hAnsi="Arial" w:cs="Arial"/>
          <w:sz w:val="22"/>
          <w:szCs w:val="22"/>
        </w:rPr>
        <w:t>the un</w:t>
      </w:r>
      <w:r w:rsidR="00620364">
        <w:rPr>
          <w:rFonts w:ascii="Arial" w:hAnsi="Arial" w:cs="Arial"/>
          <w:sz w:val="22"/>
          <w:szCs w:val="22"/>
        </w:rPr>
        <w:t xml:space="preserve">regulated </w:t>
      </w:r>
      <w:r w:rsidR="00AF244E">
        <w:rPr>
          <w:rFonts w:ascii="Arial" w:hAnsi="Arial" w:cs="Arial"/>
          <w:sz w:val="22"/>
          <w:szCs w:val="22"/>
        </w:rPr>
        <w:t xml:space="preserve">private </w:t>
      </w:r>
      <w:r w:rsidR="00BC6E66" w:rsidRPr="004F6670">
        <w:rPr>
          <w:rFonts w:ascii="Arial" w:hAnsi="Arial" w:cs="Arial"/>
          <w:sz w:val="22"/>
          <w:szCs w:val="22"/>
        </w:rPr>
        <w:t>colleges and tutors</w:t>
      </w:r>
      <w:r w:rsidR="00D06F13">
        <w:rPr>
          <w:rFonts w:ascii="Arial" w:hAnsi="Arial" w:cs="Arial"/>
          <w:sz w:val="22"/>
          <w:szCs w:val="22"/>
        </w:rPr>
        <w:t xml:space="preserve"> for the Part 1s (and P</w:t>
      </w:r>
      <w:r w:rsidR="00B978DC" w:rsidRPr="004F6670">
        <w:rPr>
          <w:rFonts w:ascii="Arial" w:hAnsi="Arial" w:cs="Arial"/>
          <w:sz w:val="22"/>
          <w:szCs w:val="22"/>
        </w:rPr>
        <w:t>art 2s)</w:t>
      </w:r>
      <w:r w:rsidR="004317EC">
        <w:rPr>
          <w:rFonts w:ascii="Arial" w:hAnsi="Arial" w:cs="Arial"/>
          <w:sz w:val="22"/>
          <w:szCs w:val="22"/>
        </w:rPr>
        <w:t xml:space="preserve"> and</w:t>
      </w:r>
      <w:r w:rsidR="00B67C5C">
        <w:rPr>
          <w:rFonts w:ascii="Arial" w:hAnsi="Arial" w:cs="Arial"/>
          <w:sz w:val="22"/>
          <w:szCs w:val="22"/>
        </w:rPr>
        <w:t xml:space="preserve"> </w:t>
      </w:r>
      <w:r w:rsidR="00BC6E66" w:rsidRPr="004F6670">
        <w:rPr>
          <w:rFonts w:ascii="Arial" w:hAnsi="Arial" w:cs="Arial"/>
          <w:sz w:val="22"/>
          <w:szCs w:val="22"/>
        </w:rPr>
        <w:t>recommend</w:t>
      </w:r>
      <w:r w:rsidR="00B67C5C">
        <w:rPr>
          <w:rFonts w:ascii="Arial" w:hAnsi="Arial" w:cs="Arial"/>
          <w:sz w:val="22"/>
          <w:szCs w:val="22"/>
        </w:rPr>
        <w:t>ing</w:t>
      </w:r>
      <w:r w:rsidR="00BC6E66" w:rsidRPr="004F6670">
        <w:rPr>
          <w:rFonts w:ascii="Arial" w:hAnsi="Arial" w:cs="Arial"/>
          <w:sz w:val="22"/>
          <w:szCs w:val="22"/>
        </w:rPr>
        <w:t xml:space="preserve"> that the approach </w:t>
      </w:r>
      <w:r w:rsidR="00AF244E">
        <w:rPr>
          <w:rFonts w:ascii="Arial" w:hAnsi="Arial" w:cs="Arial"/>
          <w:sz w:val="22"/>
          <w:szCs w:val="22"/>
        </w:rPr>
        <w:t xml:space="preserve">on the conversion course </w:t>
      </w:r>
      <w:r w:rsidR="00BC6E66" w:rsidRPr="004F6670">
        <w:rPr>
          <w:rFonts w:ascii="Arial" w:hAnsi="Arial" w:cs="Arial"/>
          <w:sz w:val="22"/>
          <w:szCs w:val="22"/>
        </w:rPr>
        <w:t xml:space="preserve">should discourage </w:t>
      </w:r>
      <w:r w:rsidR="008F7F67">
        <w:rPr>
          <w:rFonts w:ascii="Arial" w:hAnsi="Arial" w:cs="Arial"/>
          <w:sz w:val="22"/>
          <w:szCs w:val="22"/>
        </w:rPr>
        <w:t>‘</w:t>
      </w:r>
      <w:r w:rsidR="00BC6E66" w:rsidRPr="004F6670">
        <w:rPr>
          <w:rFonts w:ascii="Arial" w:hAnsi="Arial" w:cs="Arial"/>
          <w:sz w:val="22"/>
          <w:szCs w:val="22"/>
        </w:rPr>
        <w:t>cramming</w:t>
      </w:r>
      <w:r w:rsidR="008F7F67">
        <w:rPr>
          <w:rFonts w:ascii="Arial" w:hAnsi="Arial" w:cs="Arial"/>
          <w:sz w:val="22"/>
          <w:szCs w:val="22"/>
        </w:rPr>
        <w:t>’.</w:t>
      </w:r>
      <w:r w:rsidR="00BC6E66" w:rsidRPr="004F6670">
        <w:rPr>
          <w:rFonts w:ascii="Arial" w:hAnsi="Arial" w:cs="Arial"/>
          <w:sz w:val="22"/>
          <w:szCs w:val="22"/>
        </w:rPr>
        <w:t xml:space="preserve"> </w:t>
      </w:r>
      <w:r w:rsidR="00F6151C">
        <w:rPr>
          <w:rFonts w:ascii="Arial" w:hAnsi="Arial" w:cs="Arial"/>
          <w:sz w:val="22"/>
          <w:szCs w:val="22"/>
        </w:rPr>
        <w:t>T</w:t>
      </w:r>
      <w:r w:rsidR="00AC3565">
        <w:rPr>
          <w:rFonts w:ascii="Arial" w:hAnsi="Arial" w:cs="Arial"/>
          <w:sz w:val="22"/>
          <w:szCs w:val="22"/>
        </w:rPr>
        <w:t xml:space="preserve">o offer </w:t>
      </w:r>
      <w:r w:rsidR="00CE6929">
        <w:rPr>
          <w:rFonts w:ascii="Arial" w:hAnsi="Arial" w:cs="Arial"/>
          <w:sz w:val="22"/>
          <w:szCs w:val="22"/>
        </w:rPr>
        <w:t>further reassurance</w:t>
      </w:r>
      <w:r w:rsidR="001D6E75" w:rsidRPr="004F6670">
        <w:rPr>
          <w:rFonts w:ascii="Arial" w:hAnsi="Arial" w:cs="Arial"/>
          <w:sz w:val="22"/>
          <w:szCs w:val="22"/>
        </w:rPr>
        <w:t>,</w:t>
      </w:r>
      <w:r w:rsidR="00B978DC" w:rsidRPr="004F6670">
        <w:rPr>
          <w:rFonts w:ascii="Arial" w:hAnsi="Arial" w:cs="Arial"/>
          <w:sz w:val="22"/>
          <w:szCs w:val="22"/>
        </w:rPr>
        <w:t xml:space="preserve"> </w:t>
      </w:r>
      <w:r w:rsidR="00BC6E66" w:rsidRPr="004F6670">
        <w:rPr>
          <w:rFonts w:ascii="Arial" w:hAnsi="Arial" w:cs="Arial"/>
          <w:sz w:val="22"/>
          <w:szCs w:val="22"/>
        </w:rPr>
        <w:t xml:space="preserve">Ormrod projected that </w:t>
      </w:r>
      <w:r w:rsidR="00023290">
        <w:rPr>
          <w:rFonts w:ascii="Arial" w:hAnsi="Arial" w:cs="Arial"/>
          <w:sz w:val="22"/>
          <w:szCs w:val="22"/>
        </w:rPr>
        <w:t xml:space="preserve">as </w:t>
      </w:r>
      <w:r w:rsidR="00C44D0B">
        <w:rPr>
          <w:rFonts w:ascii="Arial" w:hAnsi="Arial" w:cs="Arial"/>
          <w:sz w:val="22"/>
          <w:szCs w:val="22"/>
        </w:rPr>
        <w:t xml:space="preserve">the normal route was </w:t>
      </w:r>
      <w:r w:rsidR="00460356">
        <w:rPr>
          <w:rFonts w:ascii="Arial" w:hAnsi="Arial" w:cs="Arial"/>
          <w:sz w:val="22"/>
          <w:szCs w:val="22"/>
        </w:rPr>
        <w:t xml:space="preserve">to be </w:t>
      </w:r>
      <w:r w:rsidR="00C44D0B">
        <w:rPr>
          <w:rFonts w:ascii="Arial" w:hAnsi="Arial" w:cs="Arial"/>
          <w:sz w:val="22"/>
          <w:szCs w:val="22"/>
        </w:rPr>
        <w:t>the</w:t>
      </w:r>
      <w:r w:rsidR="00CB00A3">
        <w:rPr>
          <w:rFonts w:ascii="Arial" w:hAnsi="Arial" w:cs="Arial"/>
          <w:sz w:val="22"/>
          <w:szCs w:val="22"/>
        </w:rPr>
        <w:t xml:space="preserve"> QLD</w:t>
      </w:r>
      <w:r w:rsidR="00364A0A">
        <w:rPr>
          <w:rFonts w:ascii="Arial" w:hAnsi="Arial" w:cs="Arial"/>
          <w:sz w:val="22"/>
          <w:szCs w:val="22"/>
        </w:rPr>
        <w:t>,</w:t>
      </w:r>
      <w:r w:rsidR="00CB00A3">
        <w:rPr>
          <w:rFonts w:ascii="Arial" w:hAnsi="Arial" w:cs="Arial"/>
          <w:sz w:val="22"/>
          <w:szCs w:val="22"/>
        </w:rPr>
        <w:t xml:space="preserve"> </w:t>
      </w:r>
      <w:r w:rsidR="00BC6E66" w:rsidRPr="004F6670">
        <w:rPr>
          <w:rFonts w:ascii="Arial" w:hAnsi="Arial" w:cs="Arial"/>
          <w:sz w:val="22"/>
          <w:szCs w:val="22"/>
        </w:rPr>
        <w:t xml:space="preserve">the numbers </w:t>
      </w:r>
      <w:r w:rsidR="00CB00A3">
        <w:rPr>
          <w:rFonts w:ascii="Arial" w:hAnsi="Arial" w:cs="Arial"/>
          <w:sz w:val="22"/>
          <w:szCs w:val="22"/>
        </w:rPr>
        <w:t>coming through</w:t>
      </w:r>
      <w:r w:rsidR="00BC6E66" w:rsidRPr="004F6670">
        <w:rPr>
          <w:rFonts w:ascii="Arial" w:hAnsi="Arial" w:cs="Arial"/>
          <w:sz w:val="22"/>
          <w:szCs w:val="22"/>
        </w:rPr>
        <w:t xml:space="preserve"> the conversion route were ‘likely to be small’.</w:t>
      </w:r>
      <w:r w:rsidR="00BC6E66" w:rsidRPr="004F6670">
        <w:rPr>
          <w:rStyle w:val="FootnoteReference"/>
          <w:rFonts w:ascii="Arial" w:hAnsi="Arial" w:cs="Arial"/>
          <w:sz w:val="22"/>
          <w:szCs w:val="22"/>
        </w:rPr>
        <w:footnoteReference w:id="21"/>
      </w:r>
      <w:r w:rsidR="001D31AC" w:rsidRPr="004F6670">
        <w:rPr>
          <w:rFonts w:ascii="Arial" w:hAnsi="Arial" w:cs="Arial"/>
          <w:sz w:val="22"/>
          <w:szCs w:val="22"/>
        </w:rPr>
        <w:t xml:space="preserve"> </w:t>
      </w:r>
    </w:p>
    <w:p w14:paraId="1FEFA792" w14:textId="77777777" w:rsidR="00704FE4" w:rsidRPr="004F6670" w:rsidRDefault="00704FE4" w:rsidP="005D3CDE">
      <w:pPr>
        <w:widowControl w:val="0"/>
        <w:autoSpaceDE w:val="0"/>
        <w:autoSpaceDN w:val="0"/>
        <w:adjustRightInd w:val="0"/>
        <w:rPr>
          <w:rFonts w:ascii="Arial" w:hAnsi="Arial" w:cs="Arial"/>
          <w:sz w:val="22"/>
          <w:szCs w:val="22"/>
        </w:rPr>
      </w:pPr>
    </w:p>
    <w:p w14:paraId="47FC53D2" w14:textId="3C757046" w:rsidR="00D06F13" w:rsidRDefault="00D4649C" w:rsidP="00D9092C">
      <w:pPr>
        <w:rPr>
          <w:rFonts w:ascii="Arial" w:hAnsi="Arial" w:cs="Arial"/>
          <w:sz w:val="22"/>
          <w:szCs w:val="22"/>
        </w:rPr>
      </w:pPr>
      <w:r>
        <w:rPr>
          <w:rFonts w:ascii="Arial" w:hAnsi="Arial" w:cs="Arial"/>
          <w:sz w:val="22"/>
          <w:szCs w:val="22"/>
        </w:rPr>
        <w:t xml:space="preserve">Ormrod’s vision </w:t>
      </w:r>
      <w:r w:rsidR="0080012D">
        <w:rPr>
          <w:rFonts w:ascii="Arial" w:hAnsi="Arial" w:cs="Arial"/>
          <w:sz w:val="22"/>
          <w:szCs w:val="22"/>
        </w:rPr>
        <w:t xml:space="preserve">for the conversion course </w:t>
      </w:r>
      <w:r>
        <w:rPr>
          <w:rFonts w:ascii="Arial" w:hAnsi="Arial" w:cs="Arial"/>
          <w:sz w:val="22"/>
          <w:szCs w:val="22"/>
        </w:rPr>
        <w:t xml:space="preserve">did not </w:t>
      </w:r>
      <w:r w:rsidR="008F7F67">
        <w:rPr>
          <w:rFonts w:ascii="Arial" w:hAnsi="Arial" w:cs="Arial"/>
          <w:sz w:val="22"/>
          <w:szCs w:val="22"/>
        </w:rPr>
        <w:t>materialise</w:t>
      </w:r>
      <w:r w:rsidR="004317EC">
        <w:rPr>
          <w:rFonts w:ascii="Arial" w:hAnsi="Arial" w:cs="Arial"/>
          <w:sz w:val="22"/>
          <w:szCs w:val="22"/>
        </w:rPr>
        <w:t xml:space="preserve">. </w:t>
      </w:r>
      <w:r>
        <w:rPr>
          <w:rFonts w:ascii="Arial" w:hAnsi="Arial" w:cs="Arial"/>
          <w:sz w:val="22"/>
          <w:szCs w:val="22"/>
        </w:rPr>
        <w:t xml:space="preserve">First, </w:t>
      </w:r>
      <w:r w:rsidR="00373889">
        <w:rPr>
          <w:rFonts w:ascii="Arial" w:hAnsi="Arial" w:cs="Arial"/>
          <w:sz w:val="22"/>
          <w:szCs w:val="22"/>
        </w:rPr>
        <w:t xml:space="preserve">both </w:t>
      </w:r>
      <w:r w:rsidR="00267382">
        <w:rPr>
          <w:rFonts w:ascii="Arial" w:hAnsi="Arial" w:cs="Arial"/>
          <w:sz w:val="22"/>
          <w:szCs w:val="22"/>
        </w:rPr>
        <w:t xml:space="preserve">the SRA and the BSB </w:t>
      </w:r>
      <w:r w:rsidR="00373889">
        <w:rPr>
          <w:rFonts w:ascii="Arial" w:hAnsi="Arial" w:cs="Arial"/>
          <w:sz w:val="22"/>
          <w:szCs w:val="22"/>
        </w:rPr>
        <w:t>agreed to proceed on the basis of a</w:t>
      </w:r>
      <w:r w:rsidR="0080012D">
        <w:rPr>
          <w:rFonts w:ascii="Arial" w:hAnsi="Arial" w:cs="Arial"/>
          <w:sz w:val="22"/>
          <w:szCs w:val="22"/>
        </w:rPr>
        <w:t xml:space="preserve"> one-</w:t>
      </w:r>
      <w:r w:rsidR="002C6253">
        <w:rPr>
          <w:rFonts w:ascii="Arial" w:hAnsi="Arial" w:cs="Arial"/>
          <w:sz w:val="22"/>
          <w:szCs w:val="22"/>
        </w:rPr>
        <w:t>year course</w:t>
      </w:r>
      <w:r w:rsidR="00330BAB">
        <w:rPr>
          <w:rFonts w:ascii="Arial" w:hAnsi="Arial" w:cs="Arial"/>
          <w:sz w:val="22"/>
          <w:szCs w:val="22"/>
        </w:rPr>
        <w:t xml:space="preserve">.  </w:t>
      </w:r>
      <w:r w:rsidR="00B01FBA">
        <w:rPr>
          <w:rFonts w:ascii="Arial" w:hAnsi="Arial" w:cs="Arial"/>
          <w:sz w:val="22"/>
          <w:szCs w:val="22"/>
        </w:rPr>
        <w:t>Their members</w:t>
      </w:r>
      <w:r w:rsidR="00373889">
        <w:rPr>
          <w:rFonts w:ascii="Arial" w:hAnsi="Arial" w:cs="Arial"/>
          <w:sz w:val="22"/>
          <w:szCs w:val="22"/>
        </w:rPr>
        <w:t xml:space="preserve"> were</w:t>
      </w:r>
      <w:r w:rsidR="002C6253">
        <w:rPr>
          <w:rFonts w:ascii="Arial" w:hAnsi="Arial" w:cs="Arial"/>
          <w:sz w:val="22"/>
          <w:szCs w:val="22"/>
        </w:rPr>
        <w:t xml:space="preserve"> concerned </w:t>
      </w:r>
      <w:r w:rsidR="00A75AC9">
        <w:rPr>
          <w:rFonts w:ascii="Arial" w:hAnsi="Arial" w:cs="Arial"/>
          <w:sz w:val="22"/>
          <w:szCs w:val="22"/>
        </w:rPr>
        <w:t xml:space="preserve">that a two-year course would </w:t>
      </w:r>
      <w:r w:rsidR="00C812EC">
        <w:rPr>
          <w:rFonts w:ascii="Arial" w:hAnsi="Arial" w:cs="Arial"/>
          <w:sz w:val="22"/>
          <w:szCs w:val="22"/>
        </w:rPr>
        <w:t xml:space="preserve">be </w:t>
      </w:r>
      <w:r w:rsidR="001B532A">
        <w:rPr>
          <w:rFonts w:ascii="Arial" w:hAnsi="Arial" w:cs="Arial"/>
          <w:sz w:val="22"/>
          <w:szCs w:val="22"/>
        </w:rPr>
        <w:t xml:space="preserve">financially </w:t>
      </w:r>
      <w:r w:rsidR="00C812EC">
        <w:rPr>
          <w:rFonts w:ascii="Arial" w:hAnsi="Arial" w:cs="Arial"/>
          <w:sz w:val="22"/>
          <w:szCs w:val="22"/>
        </w:rPr>
        <w:t xml:space="preserve">‘unrealistic’ </w:t>
      </w:r>
      <w:r w:rsidR="002C6253">
        <w:rPr>
          <w:rFonts w:ascii="Arial" w:hAnsi="Arial" w:cs="Arial"/>
          <w:sz w:val="22"/>
          <w:szCs w:val="22"/>
        </w:rPr>
        <w:t xml:space="preserve">with a </w:t>
      </w:r>
      <w:r w:rsidR="00A75AC9">
        <w:rPr>
          <w:rFonts w:ascii="Arial" w:hAnsi="Arial" w:cs="Arial"/>
          <w:sz w:val="22"/>
          <w:szCs w:val="22"/>
        </w:rPr>
        <w:t>scarcity of grants.</w:t>
      </w:r>
      <w:r w:rsidR="00B96C13">
        <w:rPr>
          <w:rStyle w:val="FootnoteReference"/>
          <w:rFonts w:ascii="Arial" w:hAnsi="Arial" w:cs="Arial"/>
          <w:sz w:val="22"/>
          <w:szCs w:val="22"/>
        </w:rPr>
        <w:footnoteReference w:id="22"/>
      </w:r>
      <w:r w:rsidR="0000399F">
        <w:rPr>
          <w:rFonts w:ascii="Arial" w:hAnsi="Arial" w:cs="Arial"/>
          <w:sz w:val="22"/>
          <w:szCs w:val="22"/>
        </w:rPr>
        <w:t xml:space="preserve"> </w:t>
      </w:r>
      <w:r>
        <w:rPr>
          <w:rFonts w:ascii="Arial" w:hAnsi="Arial" w:cs="Arial"/>
          <w:sz w:val="22"/>
          <w:szCs w:val="22"/>
        </w:rPr>
        <w:t xml:space="preserve">Second, </w:t>
      </w:r>
      <w:r w:rsidR="00DB03CE">
        <w:rPr>
          <w:rFonts w:ascii="Arial" w:hAnsi="Arial" w:cs="Arial"/>
          <w:sz w:val="22"/>
          <w:szCs w:val="22"/>
        </w:rPr>
        <w:t>the</w:t>
      </w:r>
      <w:r w:rsidR="00620364">
        <w:rPr>
          <w:rFonts w:ascii="Arial" w:hAnsi="Arial" w:cs="Arial"/>
          <w:sz w:val="22"/>
          <w:szCs w:val="22"/>
        </w:rPr>
        <w:t>y were</w:t>
      </w:r>
      <w:r w:rsidR="00FF3E34">
        <w:rPr>
          <w:rFonts w:ascii="Arial" w:hAnsi="Arial" w:cs="Arial"/>
          <w:sz w:val="22"/>
          <w:szCs w:val="22"/>
        </w:rPr>
        <w:t xml:space="preserve"> unable </w:t>
      </w:r>
      <w:r w:rsidR="00432252">
        <w:rPr>
          <w:rFonts w:ascii="Arial" w:hAnsi="Arial" w:cs="Arial"/>
          <w:sz w:val="22"/>
          <w:szCs w:val="22"/>
        </w:rPr>
        <w:t xml:space="preserve">to </w:t>
      </w:r>
      <w:r w:rsidR="0000399F">
        <w:rPr>
          <w:rFonts w:ascii="Arial" w:hAnsi="Arial" w:cs="Arial"/>
          <w:sz w:val="22"/>
          <w:szCs w:val="22"/>
        </w:rPr>
        <w:t>agre</w:t>
      </w:r>
      <w:r w:rsidR="004317EC">
        <w:rPr>
          <w:rFonts w:ascii="Arial" w:hAnsi="Arial" w:cs="Arial"/>
          <w:sz w:val="22"/>
          <w:szCs w:val="22"/>
        </w:rPr>
        <w:t>e a common course, mostly due</w:t>
      </w:r>
      <w:r w:rsidR="0000399F">
        <w:rPr>
          <w:rFonts w:ascii="Arial" w:hAnsi="Arial" w:cs="Arial"/>
          <w:sz w:val="22"/>
          <w:szCs w:val="22"/>
        </w:rPr>
        <w:t xml:space="preserve"> </w:t>
      </w:r>
      <w:r w:rsidR="00FF3E34">
        <w:rPr>
          <w:rFonts w:ascii="Arial" w:hAnsi="Arial" w:cs="Arial"/>
          <w:sz w:val="22"/>
          <w:szCs w:val="22"/>
        </w:rPr>
        <w:t>to practicalities</w:t>
      </w:r>
      <w:r w:rsidR="00373889">
        <w:rPr>
          <w:rFonts w:ascii="Arial" w:hAnsi="Arial" w:cs="Arial"/>
          <w:sz w:val="22"/>
          <w:szCs w:val="22"/>
        </w:rPr>
        <w:t>, but</w:t>
      </w:r>
      <w:r w:rsidR="0000399F">
        <w:rPr>
          <w:rFonts w:ascii="Arial" w:hAnsi="Arial" w:cs="Arial"/>
          <w:sz w:val="22"/>
          <w:szCs w:val="22"/>
        </w:rPr>
        <w:t xml:space="preserve"> </w:t>
      </w:r>
      <w:r w:rsidR="00CD6A7E">
        <w:rPr>
          <w:rFonts w:ascii="Arial" w:hAnsi="Arial" w:cs="Arial"/>
          <w:sz w:val="22"/>
          <w:szCs w:val="22"/>
        </w:rPr>
        <w:t>in addition</w:t>
      </w:r>
      <w:r w:rsidR="00C509DF">
        <w:rPr>
          <w:rFonts w:ascii="Arial" w:hAnsi="Arial" w:cs="Arial"/>
          <w:sz w:val="22"/>
          <w:szCs w:val="22"/>
        </w:rPr>
        <w:t>,</w:t>
      </w:r>
      <w:r w:rsidR="00CD6A7E">
        <w:rPr>
          <w:rFonts w:ascii="Arial" w:hAnsi="Arial" w:cs="Arial"/>
          <w:sz w:val="22"/>
          <w:szCs w:val="22"/>
        </w:rPr>
        <w:t xml:space="preserve"> </w:t>
      </w:r>
      <w:r w:rsidR="00FF3E34">
        <w:rPr>
          <w:rFonts w:ascii="Arial" w:hAnsi="Arial" w:cs="Arial"/>
          <w:sz w:val="22"/>
          <w:szCs w:val="22"/>
        </w:rPr>
        <w:t xml:space="preserve">the </w:t>
      </w:r>
      <w:r w:rsidR="00A75AC9" w:rsidRPr="004F6670">
        <w:rPr>
          <w:rFonts w:ascii="Arial" w:hAnsi="Arial" w:cs="Arial"/>
          <w:sz w:val="22"/>
          <w:szCs w:val="22"/>
        </w:rPr>
        <w:t>Law Society</w:t>
      </w:r>
      <w:r w:rsidR="00373889">
        <w:rPr>
          <w:rStyle w:val="FootnoteReference"/>
          <w:rFonts w:ascii="Arial" w:hAnsi="Arial" w:cs="Arial"/>
          <w:sz w:val="22"/>
          <w:szCs w:val="22"/>
        </w:rPr>
        <w:footnoteReference w:id="23"/>
      </w:r>
      <w:r w:rsidR="00373889">
        <w:rPr>
          <w:rFonts w:ascii="Arial" w:hAnsi="Arial" w:cs="Arial"/>
          <w:sz w:val="22"/>
          <w:szCs w:val="22"/>
        </w:rPr>
        <w:t xml:space="preserve"> was to some extent divided on </w:t>
      </w:r>
      <w:r w:rsidR="00C509DF">
        <w:rPr>
          <w:rFonts w:ascii="Arial" w:hAnsi="Arial" w:cs="Arial"/>
          <w:sz w:val="22"/>
          <w:szCs w:val="22"/>
        </w:rPr>
        <w:t xml:space="preserve">the issue, as </w:t>
      </w:r>
      <w:r w:rsidR="003E6ECA">
        <w:rPr>
          <w:rFonts w:ascii="Arial" w:hAnsi="Arial" w:cs="Arial"/>
          <w:sz w:val="22"/>
          <w:szCs w:val="22"/>
        </w:rPr>
        <w:t xml:space="preserve">City firms </w:t>
      </w:r>
      <w:r w:rsidR="00FA4E67">
        <w:rPr>
          <w:rFonts w:ascii="Arial" w:hAnsi="Arial" w:cs="Arial"/>
          <w:sz w:val="22"/>
          <w:szCs w:val="22"/>
        </w:rPr>
        <w:t xml:space="preserve">lobbied </w:t>
      </w:r>
      <w:r w:rsidR="003E6ECA">
        <w:rPr>
          <w:rFonts w:ascii="Arial" w:hAnsi="Arial" w:cs="Arial"/>
          <w:sz w:val="22"/>
          <w:szCs w:val="22"/>
        </w:rPr>
        <w:t>for</w:t>
      </w:r>
      <w:r w:rsidR="00FA4E67">
        <w:rPr>
          <w:rFonts w:ascii="Arial" w:hAnsi="Arial" w:cs="Arial"/>
          <w:sz w:val="22"/>
          <w:szCs w:val="22"/>
        </w:rPr>
        <w:t xml:space="preserve"> a </w:t>
      </w:r>
      <w:r w:rsidR="004317EC">
        <w:rPr>
          <w:rFonts w:ascii="Arial" w:hAnsi="Arial" w:cs="Arial"/>
          <w:sz w:val="22"/>
          <w:szCs w:val="22"/>
        </w:rPr>
        <w:t>radically short</w:t>
      </w:r>
      <w:r w:rsidR="00FA4E67">
        <w:rPr>
          <w:rFonts w:ascii="Arial" w:hAnsi="Arial" w:cs="Arial"/>
          <w:sz w:val="22"/>
          <w:szCs w:val="22"/>
        </w:rPr>
        <w:t xml:space="preserve"> course of six months</w:t>
      </w:r>
      <w:r w:rsidR="00C509DF">
        <w:rPr>
          <w:rFonts w:ascii="Arial" w:hAnsi="Arial" w:cs="Arial"/>
          <w:sz w:val="22"/>
          <w:szCs w:val="22"/>
        </w:rPr>
        <w:t>.</w:t>
      </w:r>
      <w:r w:rsidR="00720E20">
        <w:rPr>
          <w:rStyle w:val="FootnoteReference"/>
          <w:rFonts w:ascii="Arial" w:hAnsi="Arial" w:cs="Arial"/>
          <w:sz w:val="22"/>
          <w:szCs w:val="22"/>
        </w:rPr>
        <w:footnoteReference w:id="24"/>
      </w:r>
      <w:r w:rsidR="00A75AC9">
        <w:rPr>
          <w:rFonts w:ascii="Arial" w:hAnsi="Arial" w:cs="Arial"/>
          <w:sz w:val="22"/>
          <w:szCs w:val="22"/>
        </w:rPr>
        <w:t xml:space="preserve"> </w:t>
      </w:r>
      <w:r w:rsidR="00C509DF">
        <w:rPr>
          <w:rFonts w:ascii="Arial" w:hAnsi="Arial" w:cs="Arial"/>
          <w:sz w:val="22"/>
          <w:szCs w:val="22"/>
        </w:rPr>
        <w:t>A</w:t>
      </w:r>
      <w:r w:rsidR="00DB03CE">
        <w:rPr>
          <w:rFonts w:ascii="Arial" w:hAnsi="Arial" w:cs="Arial"/>
          <w:sz w:val="22"/>
          <w:szCs w:val="22"/>
        </w:rPr>
        <w:t xml:space="preserve">s a </w:t>
      </w:r>
      <w:r w:rsidR="00DB03CE">
        <w:rPr>
          <w:rFonts w:ascii="Arial" w:hAnsi="Arial" w:cs="Arial"/>
          <w:sz w:val="22"/>
          <w:szCs w:val="22"/>
        </w:rPr>
        <w:lastRenderedPageBreak/>
        <w:t>result</w:t>
      </w:r>
      <w:r w:rsidR="00FF3E34">
        <w:rPr>
          <w:rFonts w:ascii="Arial" w:hAnsi="Arial" w:cs="Arial"/>
          <w:sz w:val="22"/>
          <w:szCs w:val="22"/>
        </w:rPr>
        <w:t>,</w:t>
      </w:r>
      <w:r w:rsidR="00DB03CE">
        <w:rPr>
          <w:rFonts w:ascii="Arial" w:hAnsi="Arial" w:cs="Arial"/>
          <w:sz w:val="22"/>
          <w:szCs w:val="22"/>
        </w:rPr>
        <w:t xml:space="preserve"> </w:t>
      </w:r>
      <w:r w:rsidR="00C812EC">
        <w:rPr>
          <w:rFonts w:ascii="Arial" w:hAnsi="Arial" w:cs="Arial"/>
          <w:sz w:val="22"/>
          <w:szCs w:val="22"/>
        </w:rPr>
        <w:t xml:space="preserve">each </w:t>
      </w:r>
      <w:r w:rsidR="00DB03CE">
        <w:rPr>
          <w:rFonts w:ascii="Arial" w:hAnsi="Arial" w:cs="Arial"/>
          <w:sz w:val="22"/>
          <w:szCs w:val="22"/>
        </w:rPr>
        <w:t xml:space="preserve">branch </w:t>
      </w:r>
      <w:r w:rsidR="001D31AC" w:rsidRPr="004F6670">
        <w:rPr>
          <w:rFonts w:ascii="Arial" w:hAnsi="Arial" w:cs="Arial"/>
          <w:sz w:val="22"/>
          <w:szCs w:val="22"/>
        </w:rPr>
        <w:t>continued</w:t>
      </w:r>
      <w:r w:rsidR="00464077" w:rsidRPr="004F6670">
        <w:rPr>
          <w:rFonts w:ascii="Arial" w:hAnsi="Arial" w:cs="Arial"/>
          <w:sz w:val="22"/>
          <w:szCs w:val="22"/>
        </w:rPr>
        <w:t xml:space="preserve"> with </w:t>
      </w:r>
      <w:r w:rsidR="00C812EC">
        <w:rPr>
          <w:rFonts w:ascii="Arial" w:hAnsi="Arial" w:cs="Arial"/>
          <w:sz w:val="22"/>
          <w:szCs w:val="22"/>
        </w:rPr>
        <w:t>its</w:t>
      </w:r>
      <w:r w:rsidR="00A75AC9">
        <w:rPr>
          <w:rFonts w:ascii="Arial" w:hAnsi="Arial" w:cs="Arial"/>
          <w:sz w:val="22"/>
          <w:szCs w:val="22"/>
        </w:rPr>
        <w:t xml:space="preserve"> own</w:t>
      </w:r>
      <w:r>
        <w:rPr>
          <w:rFonts w:ascii="Arial" w:hAnsi="Arial" w:cs="Arial"/>
          <w:sz w:val="22"/>
          <w:szCs w:val="22"/>
        </w:rPr>
        <w:t xml:space="preserve"> </w:t>
      </w:r>
      <w:r w:rsidR="00C812EC">
        <w:rPr>
          <w:rFonts w:ascii="Arial" w:hAnsi="Arial" w:cs="Arial"/>
          <w:sz w:val="22"/>
          <w:szCs w:val="22"/>
        </w:rPr>
        <w:t>course</w:t>
      </w:r>
      <w:r w:rsidR="00FA4E67">
        <w:rPr>
          <w:rFonts w:ascii="Arial" w:hAnsi="Arial" w:cs="Arial"/>
          <w:sz w:val="22"/>
          <w:szCs w:val="22"/>
        </w:rPr>
        <w:t xml:space="preserve"> </w:t>
      </w:r>
      <w:r w:rsidR="008F7F67">
        <w:rPr>
          <w:rFonts w:ascii="Arial" w:hAnsi="Arial" w:cs="Arial"/>
          <w:sz w:val="22"/>
          <w:szCs w:val="22"/>
        </w:rPr>
        <w:t xml:space="preserve">and it was not </w:t>
      </w:r>
      <w:r w:rsidR="00704FE4" w:rsidRPr="004F6670">
        <w:rPr>
          <w:rFonts w:ascii="Arial" w:hAnsi="Arial" w:cs="Arial"/>
          <w:sz w:val="22"/>
          <w:szCs w:val="22"/>
        </w:rPr>
        <w:t xml:space="preserve">until </w:t>
      </w:r>
      <w:r w:rsidR="009C39B9">
        <w:rPr>
          <w:rFonts w:ascii="Arial" w:hAnsi="Arial" w:cs="Arial"/>
          <w:sz w:val="22"/>
          <w:szCs w:val="22"/>
        </w:rPr>
        <w:t>198</w:t>
      </w:r>
      <w:r w:rsidR="00AF244E">
        <w:rPr>
          <w:rFonts w:ascii="Arial" w:hAnsi="Arial" w:cs="Arial"/>
          <w:sz w:val="22"/>
          <w:szCs w:val="22"/>
        </w:rPr>
        <w:t>9</w:t>
      </w:r>
      <w:r w:rsidR="00CD6A7E">
        <w:rPr>
          <w:rFonts w:ascii="Arial" w:hAnsi="Arial" w:cs="Arial"/>
          <w:sz w:val="22"/>
          <w:szCs w:val="22"/>
        </w:rPr>
        <w:t xml:space="preserve"> when the regulators</w:t>
      </w:r>
      <w:r>
        <w:rPr>
          <w:rFonts w:ascii="Arial" w:hAnsi="Arial" w:cs="Arial"/>
          <w:sz w:val="22"/>
          <w:szCs w:val="22"/>
        </w:rPr>
        <w:t xml:space="preserve"> </w:t>
      </w:r>
      <w:r w:rsidR="00FA4E67">
        <w:rPr>
          <w:rFonts w:ascii="Arial" w:hAnsi="Arial" w:cs="Arial"/>
          <w:sz w:val="22"/>
          <w:szCs w:val="22"/>
        </w:rPr>
        <w:t>agree</w:t>
      </w:r>
      <w:r w:rsidR="00373889">
        <w:rPr>
          <w:rFonts w:ascii="Arial" w:hAnsi="Arial" w:cs="Arial"/>
          <w:sz w:val="22"/>
          <w:szCs w:val="22"/>
        </w:rPr>
        <w:t>d</w:t>
      </w:r>
      <w:r w:rsidR="00FA4E67">
        <w:rPr>
          <w:rFonts w:ascii="Arial" w:hAnsi="Arial" w:cs="Arial"/>
          <w:sz w:val="22"/>
          <w:szCs w:val="22"/>
        </w:rPr>
        <w:t xml:space="preserve"> a</w:t>
      </w:r>
      <w:r w:rsidR="000371F4">
        <w:rPr>
          <w:rFonts w:ascii="Arial" w:hAnsi="Arial" w:cs="Arial"/>
          <w:sz w:val="22"/>
          <w:szCs w:val="22"/>
        </w:rPr>
        <w:t xml:space="preserve"> common</w:t>
      </w:r>
      <w:r w:rsidR="00704FE4" w:rsidRPr="004F6670">
        <w:rPr>
          <w:rFonts w:ascii="Arial" w:hAnsi="Arial" w:cs="Arial"/>
          <w:sz w:val="22"/>
          <w:szCs w:val="22"/>
        </w:rPr>
        <w:t xml:space="preserve"> course</w:t>
      </w:r>
      <w:r w:rsidR="0000399F">
        <w:rPr>
          <w:rFonts w:ascii="Arial" w:hAnsi="Arial" w:cs="Arial"/>
          <w:sz w:val="22"/>
          <w:szCs w:val="22"/>
        </w:rPr>
        <w:t>.</w:t>
      </w:r>
      <w:r w:rsidR="00704FE4" w:rsidRPr="004F6670">
        <w:rPr>
          <w:rStyle w:val="FootnoteReference"/>
          <w:rFonts w:ascii="Arial" w:hAnsi="Arial" w:cs="Arial"/>
          <w:sz w:val="22"/>
          <w:szCs w:val="22"/>
        </w:rPr>
        <w:footnoteReference w:id="25"/>
      </w:r>
      <w:r w:rsidR="00D9092C">
        <w:rPr>
          <w:rFonts w:ascii="Arial" w:hAnsi="Arial" w:cs="Arial"/>
          <w:sz w:val="22"/>
          <w:szCs w:val="22"/>
        </w:rPr>
        <w:t xml:space="preserve"> </w:t>
      </w:r>
      <w:r w:rsidR="00FF3E34">
        <w:rPr>
          <w:rFonts w:ascii="Arial" w:hAnsi="Arial" w:cs="Arial"/>
          <w:sz w:val="22"/>
          <w:szCs w:val="22"/>
        </w:rPr>
        <w:t xml:space="preserve">Today </w:t>
      </w:r>
      <w:r w:rsidR="004317EC">
        <w:rPr>
          <w:rFonts w:ascii="Arial" w:hAnsi="Arial" w:cs="Arial"/>
          <w:sz w:val="22"/>
          <w:szCs w:val="22"/>
        </w:rPr>
        <w:t>46</w:t>
      </w:r>
      <w:r w:rsidR="00330BAB">
        <w:rPr>
          <w:rFonts w:ascii="Arial" w:hAnsi="Arial" w:cs="Arial"/>
          <w:sz w:val="22"/>
          <w:szCs w:val="22"/>
        </w:rPr>
        <w:t xml:space="preserve"> providers are </w:t>
      </w:r>
      <w:r w:rsidR="003C28C0" w:rsidRPr="004F6670">
        <w:rPr>
          <w:rFonts w:ascii="Arial" w:hAnsi="Arial" w:cs="Arial"/>
          <w:sz w:val="22"/>
          <w:szCs w:val="22"/>
        </w:rPr>
        <w:t xml:space="preserve">accredited </w:t>
      </w:r>
      <w:r w:rsidR="00330BAB">
        <w:rPr>
          <w:rFonts w:ascii="Arial" w:hAnsi="Arial" w:cs="Arial"/>
          <w:sz w:val="22"/>
          <w:szCs w:val="22"/>
        </w:rPr>
        <w:t xml:space="preserve">to run the </w:t>
      </w:r>
      <w:r w:rsidR="0000399F">
        <w:rPr>
          <w:rFonts w:ascii="Arial" w:hAnsi="Arial" w:cs="Arial"/>
          <w:sz w:val="22"/>
          <w:szCs w:val="22"/>
        </w:rPr>
        <w:t xml:space="preserve">conversion </w:t>
      </w:r>
      <w:r w:rsidR="00330BAB">
        <w:rPr>
          <w:rFonts w:ascii="Arial" w:hAnsi="Arial" w:cs="Arial"/>
          <w:sz w:val="22"/>
          <w:szCs w:val="22"/>
        </w:rPr>
        <w:t>course.</w:t>
      </w:r>
      <w:r w:rsidR="00330BAB">
        <w:rPr>
          <w:rStyle w:val="FootnoteReference"/>
          <w:rFonts w:ascii="Arial" w:hAnsi="Arial" w:cs="Arial"/>
          <w:sz w:val="22"/>
          <w:szCs w:val="22"/>
        </w:rPr>
        <w:footnoteReference w:id="26"/>
      </w:r>
      <w:r w:rsidR="00330BAB">
        <w:rPr>
          <w:rFonts w:ascii="Arial" w:hAnsi="Arial" w:cs="Arial"/>
          <w:sz w:val="22"/>
          <w:szCs w:val="22"/>
        </w:rPr>
        <w:t xml:space="preserve"> </w:t>
      </w:r>
      <w:r w:rsidR="00DB03CE">
        <w:rPr>
          <w:rFonts w:ascii="Arial" w:hAnsi="Arial" w:cs="Arial"/>
          <w:sz w:val="22"/>
          <w:szCs w:val="22"/>
        </w:rPr>
        <w:t xml:space="preserve"> </w:t>
      </w:r>
      <w:r w:rsidR="00455A05">
        <w:rPr>
          <w:rFonts w:ascii="Arial" w:hAnsi="Arial" w:cs="Arial"/>
          <w:sz w:val="22"/>
          <w:szCs w:val="22"/>
        </w:rPr>
        <w:t>Its</w:t>
      </w:r>
      <w:r w:rsidR="00DB03CE">
        <w:rPr>
          <w:rFonts w:ascii="Arial" w:hAnsi="Arial" w:cs="Arial"/>
          <w:sz w:val="22"/>
          <w:szCs w:val="22"/>
        </w:rPr>
        <w:t xml:space="preserve"> </w:t>
      </w:r>
      <w:r w:rsidR="00CB00A3">
        <w:rPr>
          <w:rFonts w:ascii="Arial" w:hAnsi="Arial" w:cs="Arial"/>
          <w:sz w:val="22"/>
          <w:szCs w:val="22"/>
        </w:rPr>
        <w:t xml:space="preserve">rules </w:t>
      </w:r>
      <w:r w:rsidR="00DB03CE">
        <w:rPr>
          <w:rFonts w:ascii="Arial" w:hAnsi="Arial" w:cs="Arial"/>
          <w:sz w:val="22"/>
          <w:szCs w:val="22"/>
        </w:rPr>
        <w:t xml:space="preserve">are </w:t>
      </w:r>
      <w:r w:rsidR="00CB00A3">
        <w:rPr>
          <w:rFonts w:ascii="Arial" w:hAnsi="Arial" w:cs="Arial"/>
          <w:sz w:val="22"/>
          <w:szCs w:val="22"/>
        </w:rPr>
        <w:t>covered</w:t>
      </w:r>
      <w:r w:rsidR="00490EA2" w:rsidRPr="004F6670">
        <w:rPr>
          <w:rFonts w:ascii="Arial" w:hAnsi="Arial" w:cs="Arial"/>
          <w:sz w:val="22"/>
          <w:szCs w:val="22"/>
        </w:rPr>
        <w:t xml:space="preserve"> by a supplement to the QLD joint statement.</w:t>
      </w:r>
      <w:r w:rsidR="0030249A">
        <w:rPr>
          <w:rStyle w:val="FootnoteReference"/>
          <w:rFonts w:ascii="Arial" w:hAnsi="Arial" w:cs="Arial"/>
          <w:sz w:val="22"/>
          <w:szCs w:val="22"/>
        </w:rPr>
        <w:footnoteReference w:id="27"/>
      </w:r>
      <w:r w:rsidR="00490EA2" w:rsidRPr="004F6670">
        <w:rPr>
          <w:rFonts w:ascii="Arial" w:hAnsi="Arial" w:cs="Arial"/>
          <w:sz w:val="22"/>
          <w:szCs w:val="22"/>
        </w:rPr>
        <w:t xml:space="preserve"> </w:t>
      </w:r>
      <w:r w:rsidR="00373889">
        <w:rPr>
          <w:rFonts w:ascii="Arial" w:hAnsi="Arial" w:cs="Arial"/>
          <w:sz w:val="22"/>
          <w:szCs w:val="22"/>
        </w:rPr>
        <w:t>In short</w:t>
      </w:r>
      <w:r w:rsidR="00C509DF">
        <w:rPr>
          <w:rFonts w:ascii="Arial" w:hAnsi="Arial" w:cs="Arial"/>
          <w:sz w:val="22"/>
          <w:szCs w:val="22"/>
        </w:rPr>
        <w:t>, these are</w:t>
      </w:r>
      <w:r w:rsidR="00373889">
        <w:rPr>
          <w:rFonts w:ascii="Arial" w:hAnsi="Arial" w:cs="Arial"/>
          <w:sz w:val="22"/>
          <w:szCs w:val="22"/>
        </w:rPr>
        <w:t xml:space="preserve"> that t</w:t>
      </w:r>
      <w:r w:rsidR="00DB03CE">
        <w:rPr>
          <w:rFonts w:ascii="Arial" w:hAnsi="Arial" w:cs="Arial"/>
          <w:sz w:val="22"/>
          <w:szCs w:val="22"/>
        </w:rPr>
        <w:t xml:space="preserve">he </w:t>
      </w:r>
      <w:r w:rsidR="00C509DF">
        <w:rPr>
          <w:rFonts w:ascii="Arial" w:hAnsi="Arial" w:cs="Arial"/>
          <w:sz w:val="22"/>
          <w:szCs w:val="22"/>
        </w:rPr>
        <w:t>course</w:t>
      </w:r>
      <w:r w:rsidR="00455A05">
        <w:rPr>
          <w:rFonts w:ascii="Arial" w:hAnsi="Arial" w:cs="Arial"/>
          <w:sz w:val="22"/>
          <w:szCs w:val="22"/>
        </w:rPr>
        <w:t>,</w:t>
      </w:r>
      <w:r w:rsidR="004A4A0D">
        <w:rPr>
          <w:rFonts w:ascii="Arial" w:hAnsi="Arial" w:cs="Arial"/>
          <w:sz w:val="22"/>
          <w:szCs w:val="22"/>
        </w:rPr>
        <w:t xml:space="preserve"> full</w:t>
      </w:r>
      <w:r w:rsidR="00F443D4">
        <w:rPr>
          <w:rFonts w:ascii="Arial" w:hAnsi="Arial" w:cs="Arial"/>
          <w:sz w:val="22"/>
          <w:szCs w:val="22"/>
        </w:rPr>
        <w:t>-</w:t>
      </w:r>
      <w:r w:rsidR="00C509DF">
        <w:rPr>
          <w:rFonts w:ascii="Arial" w:hAnsi="Arial" w:cs="Arial"/>
          <w:sz w:val="22"/>
          <w:szCs w:val="22"/>
        </w:rPr>
        <w:t>time</w:t>
      </w:r>
      <w:r w:rsidR="00455A05">
        <w:rPr>
          <w:rFonts w:ascii="Arial" w:hAnsi="Arial" w:cs="Arial"/>
          <w:sz w:val="22"/>
          <w:szCs w:val="22"/>
        </w:rPr>
        <w:t>,</w:t>
      </w:r>
      <w:r w:rsidR="00C509DF">
        <w:rPr>
          <w:rFonts w:ascii="Arial" w:hAnsi="Arial" w:cs="Arial"/>
          <w:sz w:val="22"/>
          <w:szCs w:val="22"/>
        </w:rPr>
        <w:t xml:space="preserve"> </w:t>
      </w:r>
      <w:r w:rsidR="004871FD">
        <w:rPr>
          <w:rFonts w:ascii="Arial" w:hAnsi="Arial" w:cs="Arial"/>
          <w:sz w:val="22"/>
          <w:szCs w:val="22"/>
        </w:rPr>
        <w:t>must</w:t>
      </w:r>
      <w:r w:rsidR="00C509DF">
        <w:rPr>
          <w:rFonts w:ascii="Arial" w:hAnsi="Arial" w:cs="Arial"/>
          <w:sz w:val="22"/>
          <w:szCs w:val="22"/>
        </w:rPr>
        <w:t>,</w:t>
      </w:r>
      <w:r w:rsidR="004871FD">
        <w:rPr>
          <w:rFonts w:ascii="Arial" w:hAnsi="Arial" w:cs="Arial"/>
          <w:sz w:val="22"/>
          <w:szCs w:val="22"/>
        </w:rPr>
        <w:t xml:space="preserve"> extend over </w:t>
      </w:r>
      <w:r w:rsidR="00894895">
        <w:rPr>
          <w:rFonts w:ascii="Arial" w:hAnsi="Arial" w:cs="Arial"/>
          <w:sz w:val="22"/>
          <w:szCs w:val="22"/>
        </w:rPr>
        <w:t>36 weeks</w:t>
      </w:r>
      <w:r w:rsidR="00373889">
        <w:rPr>
          <w:rFonts w:ascii="Arial" w:hAnsi="Arial" w:cs="Arial"/>
          <w:sz w:val="22"/>
          <w:szCs w:val="22"/>
        </w:rPr>
        <w:t xml:space="preserve"> -</w:t>
      </w:r>
      <w:r w:rsidR="00894895">
        <w:rPr>
          <w:rFonts w:ascii="Arial" w:hAnsi="Arial" w:cs="Arial"/>
          <w:sz w:val="22"/>
          <w:szCs w:val="22"/>
        </w:rPr>
        <w:t xml:space="preserve"> one long academic year</w:t>
      </w:r>
      <w:r w:rsidR="00373889">
        <w:rPr>
          <w:rFonts w:ascii="Arial" w:hAnsi="Arial" w:cs="Arial"/>
          <w:sz w:val="22"/>
          <w:szCs w:val="22"/>
        </w:rPr>
        <w:t>;</w:t>
      </w:r>
      <w:r w:rsidR="00DB03CE">
        <w:rPr>
          <w:rFonts w:ascii="Arial" w:hAnsi="Arial" w:cs="Arial"/>
          <w:sz w:val="22"/>
          <w:szCs w:val="22"/>
        </w:rPr>
        <w:t xml:space="preserve"> </w:t>
      </w:r>
      <w:r w:rsidR="00C509DF">
        <w:rPr>
          <w:rFonts w:ascii="Arial" w:hAnsi="Arial" w:cs="Arial"/>
          <w:sz w:val="22"/>
          <w:szCs w:val="22"/>
        </w:rPr>
        <w:t>teach</w:t>
      </w:r>
      <w:r w:rsidR="00DB03CE">
        <w:rPr>
          <w:rFonts w:ascii="Arial" w:hAnsi="Arial" w:cs="Arial"/>
          <w:sz w:val="22"/>
          <w:szCs w:val="22"/>
        </w:rPr>
        <w:t xml:space="preserve"> </w:t>
      </w:r>
      <w:r w:rsidR="00894895">
        <w:rPr>
          <w:rFonts w:ascii="Arial" w:hAnsi="Arial" w:cs="Arial"/>
          <w:sz w:val="22"/>
          <w:szCs w:val="22"/>
        </w:rPr>
        <w:t xml:space="preserve">core law and </w:t>
      </w:r>
      <w:r w:rsidR="00DB03CE">
        <w:rPr>
          <w:rFonts w:ascii="Arial" w:hAnsi="Arial" w:cs="Arial"/>
          <w:sz w:val="22"/>
          <w:szCs w:val="22"/>
        </w:rPr>
        <w:t xml:space="preserve">one </w:t>
      </w:r>
      <w:r w:rsidR="00AA264C">
        <w:rPr>
          <w:rFonts w:ascii="Arial" w:hAnsi="Arial" w:cs="Arial"/>
          <w:sz w:val="22"/>
          <w:szCs w:val="22"/>
        </w:rPr>
        <w:t xml:space="preserve">other area of </w:t>
      </w:r>
      <w:r w:rsidR="00DB03CE">
        <w:rPr>
          <w:rFonts w:ascii="Arial" w:hAnsi="Arial" w:cs="Arial"/>
          <w:sz w:val="22"/>
          <w:szCs w:val="22"/>
        </w:rPr>
        <w:t>law</w:t>
      </w:r>
      <w:r w:rsidR="00AA264C">
        <w:rPr>
          <w:rFonts w:ascii="Arial" w:hAnsi="Arial" w:cs="Arial"/>
          <w:sz w:val="22"/>
          <w:szCs w:val="22"/>
        </w:rPr>
        <w:t>,</w:t>
      </w:r>
      <w:r w:rsidR="00C509DF">
        <w:rPr>
          <w:rFonts w:ascii="Arial" w:hAnsi="Arial" w:cs="Arial"/>
          <w:sz w:val="22"/>
          <w:szCs w:val="22"/>
        </w:rPr>
        <w:t xml:space="preserve"> and</w:t>
      </w:r>
      <w:r w:rsidR="00894895">
        <w:rPr>
          <w:rFonts w:ascii="Arial" w:hAnsi="Arial" w:cs="Arial"/>
          <w:sz w:val="22"/>
          <w:szCs w:val="22"/>
        </w:rPr>
        <w:t xml:space="preserve"> lead to a university award, such as a Graduate Diploma in Law (GDL)</w:t>
      </w:r>
      <w:r w:rsidR="00373889">
        <w:rPr>
          <w:rFonts w:ascii="Arial" w:hAnsi="Arial" w:cs="Arial"/>
          <w:sz w:val="22"/>
          <w:szCs w:val="22"/>
        </w:rPr>
        <w:t xml:space="preserve"> –</w:t>
      </w:r>
      <w:r w:rsidR="00F443D4">
        <w:rPr>
          <w:rFonts w:ascii="Arial" w:hAnsi="Arial" w:cs="Arial"/>
          <w:sz w:val="22"/>
          <w:szCs w:val="22"/>
        </w:rPr>
        <w:t xml:space="preserve"> </w:t>
      </w:r>
      <w:r w:rsidR="00373889">
        <w:rPr>
          <w:rFonts w:ascii="Arial" w:hAnsi="Arial" w:cs="Arial"/>
          <w:sz w:val="22"/>
          <w:szCs w:val="22"/>
        </w:rPr>
        <w:t>at some institutions</w:t>
      </w:r>
      <w:r w:rsidR="004871FD">
        <w:rPr>
          <w:rFonts w:ascii="Arial" w:hAnsi="Arial" w:cs="Arial"/>
          <w:sz w:val="22"/>
          <w:szCs w:val="22"/>
        </w:rPr>
        <w:t xml:space="preserve"> </w:t>
      </w:r>
      <w:r w:rsidR="00894895">
        <w:rPr>
          <w:rFonts w:ascii="Arial" w:hAnsi="Arial" w:cs="Arial"/>
          <w:sz w:val="22"/>
          <w:szCs w:val="22"/>
        </w:rPr>
        <w:t xml:space="preserve">it is </w:t>
      </w:r>
      <w:r w:rsidR="00AF244E">
        <w:rPr>
          <w:rFonts w:ascii="Arial" w:hAnsi="Arial" w:cs="Arial"/>
          <w:sz w:val="22"/>
          <w:szCs w:val="22"/>
        </w:rPr>
        <w:t xml:space="preserve">now </w:t>
      </w:r>
      <w:r w:rsidR="00894895">
        <w:rPr>
          <w:rFonts w:ascii="Arial" w:hAnsi="Arial" w:cs="Arial"/>
          <w:sz w:val="22"/>
          <w:szCs w:val="22"/>
        </w:rPr>
        <w:t>packaged and offered as a LLM</w:t>
      </w:r>
      <w:r w:rsidR="004C1346">
        <w:rPr>
          <w:rFonts w:ascii="Arial" w:hAnsi="Arial" w:cs="Arial"/>
          <w:sz w:val="22"/>
          <w:szCs w:val="22"/>
        </w:rPr>
        <w:t xml:space="preserve"> to</w:t>
      </w:r>
      <w:r w:rsidR="00AF244E">
        <w:rPr>
          <w:rFonts w:ascii="Arial" w:hAnsi="Arial" w:cs="Arial"/>
          <w:sz w:val="22"/>
          <w:szCs w:val="22"/>
        </w:rPr>
        <w:t xml:space="preserve"> meet the rules for post-graduate loans</w:t>
      </w:r>
      <w:r w:rsidR="00894895">
        <w:rPr>
          <w:rFonts w:ascii="Arial" w:hAnsi="Arial" w:cs="Arial"/>
          <w:sz w:val="22"/>
          <w:szCs w:val="22"/>
        </w:rPr>
        <w:t>.</w:t>
      </w:r>
      <w:r w:rsidR="00894895" w:rsidRPr="004F6670">
        <w:rPr>
          <w:rStyle w:val="FootnoteReference"/>
          <w:rFonts w:ascii="Arial" w:hAnsi="Arial" w:cs="Arial"/>
          <w:sz w:val="22"/>
          <w:szCs w:val="22"/>
        </w:rPr>
        <w:footnoteReference w:id="28"/>
      </w:r>
      <w:r w:rsidR="00894895">
        <w:rPr>
          <w:rFonts w:ascii="Arial" w:hAnsi="Arial" w:cs="Arial"/>
          <w:sz w:val="22"/>
          <w:szCs w:val="22"/>
        </w:rPr>
        <w:t xml:space="preserve"> </w:t>
      </w:r>
      <w:r w:rsidR="00DB03CE">
        <w:rPr>
          <w:rFonts w:ascii="Arial" w:hAnsi="Arial" w:cs="Arial"/>
          <w:sz w:val="22"/>
          <w:szCs w:val="22"/>
        </w:rPr>
        <w:t>U</w:t>
      </w:r>
      <w:r w:rsidR="00031F69">
        <w:rPr>
          <w:rFonts w:ascii="Arial" w:hAnsi="Arial" w:cs="Arial"/>
          <w:sz w:val="22"/>
          <w:szCs w:val="22"/>
        </w:rPr>
        <w:t>ntil recently</w:t>
      </w:r>
      <w:r w:rsidR="00DB03CE">
        <w:rPr>
          <w:rFonts w:ascii="Arial" w:hAnsi="Arial" w:cs="Arial"/>
          <w:sz w:val="22"/>
          <w:szCs w:val="22"/>
        </w:rPr>
        <w:t xml:space="preserve"> </w:t>
      </w:r>
      <w:r w:rsidR="00C509DF">
        <w:rPr>
          <w:rFonts w:ascii="Arial" w:hAnsi="Arial" w:cs="Arial"/>
          <w:sz w:val="22"/>
          <w:szCs w:val="22"/>
        </w:rPr>
        <w:t>assessment for</w:t>
      </w:r>
      <w:r w:rsidR="00C542DE" w:rsidRPr="004F6670">
        <w:rPr>
          <w:rFonts w:ascii="Arial" w:hAnsi="Arial" w:cs="Arial"/>
          <w:sz w:val="22"/>
          <w:szCs w:val="22"/>
        </w:rPr>
        <w:t xml:space="preserve"> core subjects </w:t>
      </w:r>
      <w:r w:rsidR="00C509DF">
        <w:rPr>
          <w:rFonts w:ascii="Arial" w:hAnsi="Arial" w:cs="Arial"/>
          <w:sz w:val="22"/>
          <w:szCs w:val="22"/>
        </w:rPr>
        <w:t>was</w:t>
      </w:r>
      <w:r w:rsidR="00DB03CE">
        <w:rPr>
          <w:rFonts w:ascii="Arial" w:hAnsi="Arial" w:cs="Arial"/>
          <w:sz w:val="22"/>
          <w:szCs w:val="22"/>
        </w:rPr>
        <w:t xml:space="preserve"> mandated to </w:t>
      </w:r>
      <w:r w:rsidR="00CA3B11">
        <w:rPr>
          <w:rFonts w:ascii="Arial" w:hAnsi="Arial" w:cs="Arial"/>
          <w:sz w:val="22"/>
          <w:szCs w:val="22"/>
        </w:rPr>
        <w:t xml:space="preserve">be </w:t>
      </w:r>
      <w:r w:rsidR="00B57E1F">
        <w:rPr>
          <w:rFonts w:ascii="Arial" w:hAnsi="Arial" w:cs="Arial"/>
          <w:sz w:val="22"/>
          <w:szCs w:val="22"/>
        </w:rPr>
        <w:t>by</w:t>
      </w:r>
      <w:r w:rsidR="001D6E75" w:rsidRPr="004F6670">
        <w:rPr>
          <w:rFonts w:ascii="Arial" w:hAnsi="Arial" w:cs="Arial"/>
          <w:sz w:val="22"/>
          <w:szCs w:val="22"/>
        </w:rPr>
        <w:t xml:space="preserve"> examinat</w:t>
      </w:r>
      <w:r w:rsidR="00B57E1F">
        <w:rPr>
          <w:rFonts w:ascii="Arial" w:hAnsi="Arial" w:cs="Arial"/>
          <w:sz w:val="22"/>
          <w:szCs w:val="22"/>
        </w:rPr>
        <w:t>ion</w:t>
      </w:r>
      <w:r w:rsidR="00DB03CE">
        <w:rPr>
          <w:rFonts w:ascii="Arial" w:hAnsi="Arial" w:cs="Arial"/>
          <w:sz w:val="22"/>
          <w:szCs w:val="22"/>
        </w:rPr>
        <w:t xml:space="preserve"> being </w:t>
      </w:r>
      <w:r w:rsidR="00C542DE" w:rsidRPr="004F6670">
        <w:rPr>
          <w:rFonts w:ascii="Arial" w:hAnsi="Arial" w:cs="Arial"/>
          <w:sz w:val="22"/>
          <w:szCs w:val="22"/>
        </w:rPr>
        <w:t xml:space="preserve">not less than </w:t>
      </w:r>
      <w:r w:rsidR="00894895">
        <w:rPr>
          <w:rFonts w:ascii="Arial" w:hAnsi="Arial" w:cs="Arial"/>
          <w:sz w:val="22"/>
          <w:szCs w:val="22"/>
        </w:rPr>
        <w:t>70%</w:t>
      </w:r>
      <w:r w:rsidR="00C542DE" w:rsidRPr="004F6670">
        <w:rPr>
          <w:rFonts w:ascii="Arial" w:hAnsi="Arial" w:cs="Arial"/>
          <w:sz w:val="22"/>
          <w:szCs w:val="22"/>
        </w:rPr>
        <w:t xml:space="preserve"> of the weighting.</w:t>
      </w:r>
      <w:r w:rsidR="00B45B35" w:rsidRPr="004F6670">
        <w:rPr>
          <w:rStyle w:val="FootnoteReference"/>
          <w:rFonts w:ascii="Arial" w:hAnsi="Arial" w:cs="Arial"/>
          <w:sz w:val="22"/>
          <w:szCs w:val="22"/>
        </w:rPr>
        <w:footnoteReference w:id="29"/>
      </w:r>
      <w:r w:rsidR="003C28C0" w:rsidRPr="004F6670">
        <w:rPr>
          <w:rFonts w:ascii="Arial" w:hAnsi="Arial" w:cs="Arial"/>
          <w:sz w:val="22"/>
          <w:szCs w:val="22"/>
        </w:rPr>
        <w:t xml:space="preserve"> </w:t>
      </w:r>
      <w:r w:rsidR="00C542DE" w:rsidRPr="004F6670">
        <w:rPr>
          <w:rFonts w:ascii="Arial" w:hAnsi="Arial" w:cs="Arial"/>
          <w:sz w:val="22"/>
          <w:szCs w:val="22"/>
        </w:rPr>
        <w:t xml:space="preserve">It is a point of notable contrast that </w:t>
      </w:r>
      <w:r w:rsidR="00CA3B11">
        <w:rPr>
          <w:rFonts w:ascii="Arial" w:hAnsi="Arial" w:cs="Arial"/>
          <w:sz w:val="22"/>
          <w:szCs w:val="22"/>
        </w:rPr>
        <w:t xml:space="preserve">since 1990 </w:t>
      </w:r>
      <w:r w:rsidR="00C542DE" w:rsidRPr="004F6670">
        <w:rPr>
          <w:rFonts w:ascii="Arial" w:hAnsi="Arial" w:cs="Arial"/>
          <w:sz w:val="22"/>
          <w:szCs w:val="22"/>
        </w:rPr>
        <w:t>the QL</w:t>
      </w:r>
      <w:r w:rsidR="001D31AC" w:rsidRPr="004F6670">
        <w:rPr>
          <w:rFonts w:ascii="Arial" w:hAnsi="Arial" w:cs="Arial"/>
          <w:sz w:val="22"/>
          <w:szCs w:val="22"/>
        </w:rPr>
        <w:t xml:space="preserve">D </w:t>
      </w:r>
      <w:r w:rsidR="0030249A">
        <w:rPr>
          <w:rFonts w:ascii="Arial" w:hAnsi="Arial" w:cs="Arial"/>
          <w:sz w:val="22"/>
          <w:szCs w:val="22"/>
        </w:rPr>
        <w:t xml:space="preserve">rules </w:t>
      </w:r>
      <w:r w:rsidR="00DB03CE">
        <w:rPr>
          <w:rFonts w:ascii="Arial" w:hAnsi="Arial" w:cs="Arial"/>
          <w:sz w:val="22"/>
          <w:szCs w:val="22"/>
        </w:rPr>
        <w:t xml:space="preserve">have </w:t>
      </w:r>
      <w:r w:rsidR="00CA3B11">
        <w:rPr>
          <w:rFonts w:ascii="Arial" w:hAnsi="Arial" w:cs="Arial"/>
          <w:sz w:val="22"/>
          <w:szCs w:val="22"/>
        </w:rPr>
        <w:t>contain</w:t>
      </w:r>
      <w:r w:rsidR="00DB03CE">
        <w:rPr>
          <w:rFonts w:ascii="Arial" w:hAnsi="Arial" w:cs="Arial"/>
          <w:sz w:val="22"/>
          <w:szCs w:val="22"/>
        </w:rPr>
        <w:t>ed</w:t>
      </w:r>
      <w:r w:rsidR="0030249A">
        <w:rPr>
          <w:rFonts w:ascii="Arial" w:hAnsi="Arial" w:cs="Arial"/>
          <w:sz w:val="22"/>
          <w:szCs w:val="22"/>
        </w:rPr>
        <w:t xml:space="preserve"> </w:t>
      </w:r>
      <w:r w:rsidR="002175A2">
        <w:rPr>
          <w:rFonts w:ascii="Arial" w:hAnsi="Arial" w:cs="Arial"/>
          <w:sz w:val="22"/>
          <w:szCs w:val="22"/>
        </w:rPr>
        <w:t xml:space="preserve">no prescription </w:t>
      </w:r>
      <w:r w:rsidR="004871FD">
        <w:rPr>
          <w:rFonts w:ascii="Arial" w:hAnsi="Arial" w:cs="Arial"/>
          <w:sz w:val="22"/>
          <w:szCs w:val="22"/>
        </w:rPr>
        <w:t>for the</w:t>
      </w:r>
      <w:r w:rsidR="004A4A0D">
        <w:rPr>
          <w:rFonts w:ascii="Arial" w:hAnsi="Arial" w:cs="Arial"/>
          <w:sz w:val="22"/>
          <w:szCs w:val="22"/>
        </w:rPr>
        <w:t xml:space="preserve"> </w:t>
      </w:r>
      <w:r w:rsidR="00CA3B11">
        <w:rPr>
          <w:rFonts w:ascii="Arial" w:hAnsi="Arial" w:cs="Arial"/>
          <w:sz w:val="22"/>
          <w:szCs w:val="22"/>
        </w:rPr>
        <w:t xml:space="preserve">form of </w:t>
      </w:r>
      <w:r w:rsidR="002175A2">
        <w:rPr>
          <w:rFonts w:ascii="Arial" w:hAnsi="Arial" w:cs="Arial"/>
          <w:sz w:val="22"/>
          <w:szCs w:val="22"/>
        </w:rPr>
        <w:t>assessment</w:t>
      </w:r>
      <w:r w:rsidR="00FA4E67">
        <w:rPr>
          <w:rFonts w:ascii="Arial" w:hAnsi="Arial" w:cs="Arial"/>
          <w:sz w:val="22"/>
          <w:szCs w:val="22"/>
        </w:rPr>
        <w:t xml:space="preserve"> for the law degree</w:t>
      </w:r>
      <w:r w:rsidR="00C542DE" w:rsidRPr="004F6670">
        <w:rPr>
          <w:rFonts w:ascii="Arial" w:hAnsi="Arial" w:cs="Arial"/>
          <w:sz w:val="22"/>
          <w:szCs w:val="22"/>
        </w:rPr>
        <w:t>.</w:t>
      </w:r>
      <w:r w:rsidR="00894895">
        <w:rPr>
          <w:rStyle w:val="FootnoteReference"/>
          <w:rFonts w:ascii="Arial" w:hAnsi="Arial" w:cs="Arial"/>
          <w:sz w:val="22"/>
          <w:szCs w:val="22"/>
        </w:rPr>
        <w:footnoteReference w:id="30"/>
      </w:r>
      <w:r w:rsidR="00C542DE" w:rsidRPr="004F6670">
        <w:rPr>
          <w:rFonts w:ascii="Arial" w:hAnsi="Arial" w:cs="Arial"/>
          <w:sz w:val="22"/>
          <w:szCs w:val="22"/>
        </w:rPr>
        <w:t xml:space="preserve"> </w:t>
      </w:r>
      <w:r w:rsidR="003C28C0" w:rsidRPr="004F6670">
        <w:rPr>
          <w:rFonts w:ascii="Arial" w:hAnsi="Arial" w:cs="Arial"/>
          <w:sz w:val="22"/>
          <w:szCs w:val="22"/>
        </w:rPr>
        <w:t>The</w:t>
      </w:r>
      <w:r w:rsidR="00894895">
        <w:rPr>
          <w:rFonts w:ascii="Arial" w:hAnsi="Arial" w:cs="Arial"/>
          <w:sz w:val="22"/>
          <w:szCs w:val="22"/>
        </w:rPr>
        <w:t xml:space="preserve">re </w:t>
      </w:r>
      <w:r w:rsidR="00AA264C">
        <w:rPr>
          <w:rFonts w:ascii="Arial" w:hAnsi="Arial" w:cs="Arial"/>
          <w:sz w:val="22"/>
          <w:szCs w:val="22"/>
        </w:rPr>
        <w:t xml:space="preserve">is no pedagogic </w:t>
      </w:r>
      <w:r w:rsidR="002175A2">
        <w:rPr>
          <w:rFonts w:ascii="Arial" w:hAnsi="Arial" w:cs="Arial"/>
          <w:sz w:val="22"/>
          <w:szCs w:val="22"/>
        </w:rPr>
        <w:t xml:space="preserve">justification for </w:t>
      </w:r>
      <w:r w:rsidR="004A4A0D">
        <w:rPr>
          <w:rFonts w:ascii="Arial" w:hAnsi="Arial" w:cs="Arial"/>
          <w:sz w:val="22"/>
          <w:szCs w:val="22"/>
        </w:rPr>
        <w:t>stricter</w:t>
      </w:r>
      <w:r w:rsidR="0084280D" w:rsidRPr="004F6670">
        <w:rPr>
          <w:rFonts w:ascii="Arial" w:hAnsi="Arial" w:cs="Arial"/>
          <w:sz w:val="22"/>
          <w:szCs w:val="22"/>
        </w:rPr>
        <w:t xml:space="preserve"> requirement</w:t>
      </w:r>
      <w:r w:rsidR="001D6E75" w:rsidRPr="004F6670">
        <w:rPr>
          <w:rFonts w:ascii="Arial" w:hAnsi="Arial" w:cs="Arial"/>
          <w:sz w:val="22"/>
          <w:szCs w:val="22"/>
        </w:rPr>
        <w:t xml:space="preserve">s </w:t>
      </w:r>
      <w:r w:rsidR="00CE6929">
        <w:rPr>
          <w:rFonts w:ascii="Arial" w:hAnsi="Arial" w:cs="Arial"/>
          <w:sz w:val="22"/>
          <w:szCs w:val="22"/>
        </w:rPr>
        <w:t>for the conversion course</w:t>
      </w:r>
      <w:r w:rsidR="00DB03CE">
        <w:rPr>
          <w:rFonts w:ascii="Arial" w:hAnsi="Arial" w:cs="Arial"/>
          <w:sz w:val="22"/>
          <w:szCs w:val="22"/>
        </w:rPr>
        <w:t>,</w:t>
      </w:r>
      <w:r w:rsidR="00CE6929">
        <w:rPr>
          <w:rFonts w:ascii="Arial" w:hAnsi="Arial" w:cs="Arial"/>
          <w:sz w:val="22"/>
          <w:szCs w:val="22"/>
        </w:rPr>
        <w:t xml:space="preserve"> </w:t>
      </w:r>
      <w:r w:rsidR="002460F7">
        <w:rPr>
          <w:rFonts w:ascii="Arial" w:hAnsi="Arial" w:cs="Arial"/>
          <w:sz w:val="22"/>
          <w:szCs w:val="22"/>
        </w:rPr>
        <w:t xml:space="preserve">and the difference </w:t>
      </w:r>
      <w:r w:rsidR="0084280D" w:rsidRPr="004F6670">
        <w:rPr>
          <w:rFonts w:ascii="Arial" w:hAnsi="Arial" w:cs="Arial"/>
          <w:sz w:val="22"/>
          <w:szCs w:val="22"/>
        </w:rPr>
        <w:t xml:space="preserve">has to be seen </w:t>
      </w:r>
      <w:r w:rsidR="00FA4E67">
        <w:rPr>
          <w:rFonts w:ascii="Arial" w:hAnsi="Arial" w:cs="Arial"/>
          <w:sz w:val="22"/>
          <w:szCs w:val="22"/>
        </w:rPr>
        <w:t xml:space="preserve">as </w:t>
      </w:r>
      <w:r w:rsidR="0084280D" w:rsidRPr="004F6670">
        <w:rPr>
          <w:rFonts w:ascii="Arial" w:hAnsi="Arial" w:cs="Arial"/>
          <w:sz w:val="22"/>
          <w:szCs w:val="22"/>
        </w:rPr>
        <w:t>a legacy of</w:t>
      </w:r>
      <w:r w:rsidR="00FA4E67">
        <w:rPr>
          <w:rFonts w:ascii="Arial" w:hAnsi="Arial" w:cs="Arial"/>
          <w:sz w:val="22"/>
          <w:szCs w:val="22"/>
        </w:rPr>
        <w:t xml:space="preserve"> </w:t>
      </w:r>
      <w:r w:rsidR="001D6E75" w:rsidRPr="004F6670">
        <w:rPr>
          <w:rFonts w:ascii="Arial" w:hAnsi="Arial" w:cs="Arial"/>
          <w:sz w:val="22"/>
          <w:szCs w:val="22"/>
        </w:rPr>
        <w:t>sc</w:t>
      </w:r>
      <w:r w:rsidR="0084280D" w:rsidRPr="004F6670">
        <w:rPr>
          <w:rFonts w:ascii="Arial" w:hAnsi="Arial" w:cs="Arial"/>
          <w:sz w:val="22"/>
          <w:szCs w:val="22"/>
        </w:rPr>
        <w:t>epticism</w:t>
      </w:r>
      <w:r w:rsidR="002175A2">
        <w:rPr>
          <w:rFonts w:ascii="Arial" w:hAnsi="Arial" w:cs="Arial"/>
          <w:sz w:val="22"/>
          <w:szCs w:val="22"/>
        </w:rPr>
        <w:t xml:space="preserve"> about the </w:t>
      </w:r>
      <w:r w:rsidR="0084280D" w:rsidRPr="004F6670">
        <w:rPr>
          <w:rFonts w:ascii="Arial" w:hAnsi="Arial" w:cs="Arial"/>
          <w:sz w:val="22"/>
          <w:szCs w:val="22"/>
        </w:rPr>
        <w:t>course and</w:t>
      </w:r>
      <w:r w:rsidR="00AA264C">
        <w:rPr>
          <w:rFonts w:ascii="Arial" w:hAnsi="Arial" w:cs="Arial"/>
          <w:sz w:val="22"/>
          <w:szCs w:val="22"/>
        </w:rPr>
        <w:t>/or</w:t>
      </w:r>
      <w:r w:rsidR="0084280D" w:rsidRPr="004F6670">
        <w:rPr>
          <w:rFonts w:ascii="Arial" w:hAnsi="Arial" w:cs="Arial"/>
          <w:sz w:val="22"/>
          <w:szCs w:val="22"/>
        </w:rPr>
        <w:t xml:space="preserve"> association</w:t>
      </w:r>
      <w:r w:rsidR="00E27985">
        <w:rPr>
          <w:rFonts w:ascii="Arial" w:hAnsi="Arial" w:cs="Arial"/>
          <w:sz w:val="22"/>
          <w:szCs w:val="22"/>
        </w:rPr>
        <w:t xml:space="preserve"> with </w:t>
      </w:r>
      <w:r w:rsidR="00977986">
        <w:rPr>
          <w:rFonts w:ascii="Arial" w:hAnsi="Arial" w:cs="Arial"/>
          <w:sz w:val="22"/>
          <w:szCs w:val="22"/>
        </w:rPr>
        <w:t xml:space="preserve">poor </w:t>
      </w:r>
      <w:r w:rsidR="00E27985">
        <w:rPr>
          <w:rFonts w:ascii="Arial" w:hAnsi="Arial" w:cs="Arial"/>
          <w:sz w:val="22"/>
          <w:szCs w:val="22"/>
        </w:rPr>
        <w:t xml:space="preserve">learning </w:t>
      </w:r>
      <w:r w:rsidR="00977986">
        <w:rPr>
          <w:rFonts w:ascii="Arial" w:hAnsi="Arial" w:cs="Arial"/>
          <w:sz w:val="22"/>
          <w:szCs w:val="22"/>
        </w:rPr>
        <w:t>styles and</w:t>
      </w:r>
      <w:r w:rsidR="00C509DF">
        <w:rPr>
          <w:rFonts w:ascii="Arial" w:hAnsi="Arial" w:cs="Arial"/>
          <w:sz w:val="22"/>
          <w:szCs w:val="22"/>
        </w:rPr>
        <w:t>, ironically,</w:t>
      </w:r>
      <w:r w:rsidR="00977986">
        <w:rPr>
          <w:rFonts w:ascii="Arial" w:hAnsi="Arial" w:cs="Arial"/>
          <w:sz w:val="22"/>
          <w:szCs w:val="22"/>
        </w:rPr>
        <w:t xml:space="preserve"> </w:t>
      </w:r>
      <w:r w:rsidR="00E27985">
        <w:rPr>
          <w:rFonts w:ascii="Arial" w:hAnsi="Arial" w:cs="Arial"/>
          <w:sz w:val="22"/>
          <w:szCs w:val="22"/>
        </w:rPr>
        <w:t>cramming.</w:t>
      </w:r>
      <w:r w:rsidR="00E27985">
        <w:rPr>
          <w:rStyle w:val="FootnoteReference"/>
          <w:rFonts w:ascii="Arial" w:hAnsi="Arial" w:cs="Arial"/>
          <w:sz w:val="22"/>
          <w:szCs w:val="22"/>
        </w:rPr>
        <w:footnoteReference w:id="31"/>
      </w:r>
      <w:r w:rsidR="00E27985">
        <w:rPr>
          <w:rFonts w:ascii="Arial" w:hAnsi="Arial" w:cs="Arial"/>
          <w:sz w:val="22"/>
          <w:szCs w:val="22"/>
        </w:rPr>
        <w:t xml:space="preserve"> </w:t>
      </w:r>
    </w:p>
    <w:p w14:paraId="36287994" w14:textId="77777777" w:rsidR="001909B6" w:rsidRPr="004F6670" w:rsidRDefault="001909B6" w:rsidP="00314391">
      <w:pPr>
        <w:rPr>
          <w:rFonts w:ascii="Arial" w:hAnsi="Arial" w:cs="Arial"/>
          <w:sz w:val="22"/>
          <w:szCs w:val="22"/>
        </w:rPr>
      </w:pPr>
    </w:p>
    <w:p w14:paraId="49CCF7E2" w14:textId="4BC83752" w:rsidR="00384C74" w:rsidRPr="00714743" w:rsidRDefault="000B06B3" w:rsidP="000049DB">
      <w:pPr>
        <w:rPr>
          <w:rFonts w:ascii="Arial" w:hAnsi="Arial" w:cs="Arial"/>
          <w:strike/>
          <w:sz w:val="22"/>
          <w:szCs w:val="22"/>
        </w:rPr>
      </w:pPr>
      <w:r>
        <w:rPr>
          <w:rFonts w:ascii="Arial" w:hAnsi="Arial" w:cs="Arial"/>
          <w:sz w:val="22"/>
          <w:szCs w:val="22"/>
        </w:rPr>
        <w:t>T</w:t>
      </w:r>
      <w:r w:rsidR="003E4ADE" w:rsidRPr="004F6670">
        <w:rPr>
          <w:rFonts w:ascii="Arial" w:hAnsi="Arial" w:cs="Arial"/>
          <w:sz w:val="22"/>
          <w:szCs w:val="22"/>
        </w:rPr>
        <w:t>he conversion</w:t>
      </w:r>
      <w:r w:rsidR="00C542DE" w:rsidRPr="004F6670">
        <w:rPr>
          <w:rFonts w:ascii="Arial" w:hAnsi="Arial" w:cs="Arial"/>
          <w:sz w:val="22"/>
          <w:szCs w:val="22"/>
        </w:rPr>
        <w:t xml:space="preserve"> course w</w:t>
      </w:r>
      <w:r w:rsidR="003E4ADE" w:rsidRPr="004F6670">
        <w:rPr>
          <w:rFonts w:ascii="Arial" w:hAnsi="Arial" w:cs="Arial"/>
          <w:sz w:val="22"/>
          <w:szCs w:val="22"/>
        </w:rPr>
        <w:t xml:space="preserve">as set up as a means to an end </w:t>
      </w:r>
      <w:r w:rsidR="00073549" w:rsidRPr="004F6670">
        <w:rPr>
          <w:rFonts w:ascii="Arial" w:hAnsi="Arial" w:cs="Arial"/>
          <w:sz w:val="22"/>
          <w:szCs w:val="22"/>
        </w:rPr>
        <w:t>–</w:t>
      </w:r>
      <w:r w:rsidR="003E4ADE" w:rsidRPr="004F6670">
        <w:rPr>
          <w:rFonts w:ascii="Arial" w:hAnsi="Arial" w:cs="Arial"/>
          <w:sz w:val="22"/>
          <w:szCs w:val="22"/>
        </w:rPr>
        <w:t xml:space="preserve"> </w:t>
      </w:r>
      <w:r w:rsidR="00C542DE" w:rsidRPr="004F6670">
        <w:rPr>
          <w:rFonts w:ascii="Arial" w:hAnsi="Arial" w:cs="Arial"/>
          <w:sz w:val="22"/>
          <w:szCs w:val="22"/>
        </w:rPr>
        <w:t>a</w:t>
      </w:r>
      <w:r w:rsidR="00073549" w:rsidRPr="004F6670">
        <w:rPr>
          <w:rFonts w:ascii="Arial" w:hAnsi="Arial" w:cs="Arial"/>
          <w:sz w:val="22"/>
          <w:szCs w:val="22"/>
        </w:rPr>
        <w:t xml:space="preserve"> </w:t>
      </w:r>
      <w:r w:rsidR="00AF244E">
        <w:rPr>
          <w:rFonts w:ascii="Arial" w:hAnsi="Arial" w:cs="Arial"/>
          <w:sz w:val="22"/>
          <w:szCs w:val="22"/>
        </w:rPr>
        <w:t xml:space="preserve">minimum </w:t>
      </w:r>
      <w:r w:rsidR="00073549" w:rsidRPr="004F6670">
        <w:rPr>
          <w:rFonts w:ascii="Arial" w:hAnsi="Arial" w:cs="Arial"/>
          <w:sz w:val="22"/>
          <w:szCs w:val="22"/>
        </w:rPr>
        <w:t>set of examinations on the core law</w:t>
      </w:r>
      <w:r w:rsidR="001D6E75" w:rsidRPr="004F6670">
        <w:rPr>
          <w:rFonts w:ascii="Arial" w:hAnsi="Arial" w:cs="Arial"/>
          <w:sz w:val="22"/>
          <w:szCs w:val="22"/>
        </w:rPr>
        <w:t xml:space="preserve"> to </w:t>
      </w:r>
      <w:r w:rsidR="004871FD">
        <w:rPr>
          <w:rFonts w:ascii="Arial" w:hAnsi="Arial" w:cs="Arial"/>
          <w:sz w:val="22"/>
          <w:szCs w:val="22"/>
        </w:rPr>
        <w:t>justify</w:t>
      </w:r>
      <w:r w:rsidR="004871FD" w:rsidRPr="004F6670">
        <w:rPr>
          <w:rFonts w:ascii="Arial" w:hAnsi="Arial" w:cs="Arial"/>
          <w:sz w:val="22"/>
          <w:szCs w:val="22"/>
        </w:rPr>
        <w:t xml:space="preserve"> </w:t>
      </w:r>
      <w:r w:rsidR="00765BB1" w:rsidRPr="004F6670">
        <w:rPr>
          <w:rFonts w:ascii="Arial" w:hAnsi="Arial" w:cs="Arial"/>
          <w:sz w:val="22"/>
          <w:szCs w:val="22"/>
        </w:rPr>
        <w:t>progress to the vocational stage</w:t>
      </w:r>
      <w:r w:rsidR="00EC02D2">
        <w:rPr>
          <w:rFonts w:ascii="Arial" w:hAnsi="Arial" w:cs="Arial"/>
          <w:sz w:val="22"/>
          <w:szCs w:val="22"/>
        </w:rPr>
        <w:t>. But it has more value</w:t>
      </w:r>
      <w:r w:rsidR="001B55BC">
        <w:rPr>
          <w:rFonts w:ascii="Arial" w:hAnsi="Arial" w:cs="Arial"/>
          <w:sz w:val="22"/>
          <w:szCs w:val="22"/>
        </w:rPr>
        <w:t xml:space="preserve"> than this. </w:t>
      </w:r>
      <w:r w:rsidR="00DB03CE">
        <w:rPr>
          <w:rFonts w:ascii="Arial" w:hAnsi="Arial" w:cs="Arial"/>
          <w:sz w:val="22"/>
          <w:szCs w:val="22"/>
        </w:rPr>
        <w:t>T</w:t>
      </w:r>
      <w:r w:rsidR="00FF254C">
        <w:rPr>
          <w:rFonts w:ascii="Arial" w:hAnsi="Arial" w:cs="Arial"/>
          <w:sz w:val="22"/>
          <w:szCs w:val="22"/>
        </w:rPr>
        <w:t>ime on th</w:t>
      </w:r>
      <w:r w:rsidR="00827FA3">
        <w:rPr>
          <w:rFonts w:ascii="Arial" w:hAnsi="Arial" w:cs="Arial"/>
          <w:sz w:val="22"/>
          <w:szCs w:val="22"/>
        </w:rPr>
        <w:t>e course and contacts made</w:t>
      </w:r>
      <w:r w:rsidR="00FF254C">
        <w:rPr>
          <w:rFonts w:ascii="Arial" w:hAnsi="Arial" w:cs="Arial"/>
          <w:sz w:val="22"/>
          <w:szCs w:val="22"/>
        </w:rPr>
        <w:t xml:space="preserve"> will</w:t>
      </w:r>
      <w:r w:rsidR="004A4A0D">
        <w:rPr>
          <w:rFonts w:ascii="Arial" w:hAnsi="Arial" w:cs="Arial"/>
          <w:sz w:val="22"/>
          <w:szCs w:val="22"/>
        </w:rPr>
        <w:t>,</w:t>
      </w:r>
      <w:r w:rsidR="00FF254C">
        <w:rPr>
          <w:rFonts w:ascii="Arial" w:hAnsi="Arial" w:cs="Arial"/>
          <w:sz w:val="22"/>
          <w:szCs w:val="22"/>
        </w:rPr>
        <w:t xml:space="preserve"> for </w:t>
      </w:r>
      <w:r w:rsidR="00F6151C">
        <w:rPr>
          <w:rFonts w:ascii="Arial" w:hAnsi="Arial" w:cs="Arial"/>
          <w:sz w:val="22"/>
          <w:szCs w:val="22"/>
        </w:rPr>
        <w:t>an</w:t>
      </w:r>
      <w:r w:rsidR="00FF254C">
        <w:rPr>
          <w:rFonts w:ascii="Arial" w:hAnsi="Arial" w:cs="Arial"/>
          <w:sz w:val="22"/>
          <w:szCs w:val="22"/>
        </w:rPr>
        <w:t xml:space="preserve"> </w:t>
      </w:r>
      <w:r w:rsidR="004A4A0D">
        <w:rPr>
          <w:rFonts w:ascii="Arial" w:hAnsi="Arial" w:cs="Arial"/>
          <w:sz w:val="22"/>
          <w:szCs w:val="22"/>
        </w:rPr>
        <w:t xml:space="preserve">important number of </w:t>
      </w:r>
      <w:r w:rsidR="00FF254C">
        <w:rPr>
          <w:rFonts w:ascii="Arial" w:hAnsi="Arial" w:cs="Arial"/>
          <w:sz w:val="22"/>
          <w:szCs w:val="22"/>
        </w:rPr>
        <w:t>students</w:t>
      </w:r>
      <w:r w:rsidR="004A4A0D">
        <w:rPr>
          <w:rFonts w:ascii="Arial" w:hAnsi="Arial" w:cs="Arial"/>
          <w:sz w:val="22"/>
          <w:szCs w:val="22"/>
        </w:rPr>
        <w:t>,</w:t>
      </w:r>
      <w:r w:rsidR="00FF254C">
        <w:rPr>
          <w:rFonts w:ascii="Arial" w:hAnsi="Arial" w:cs="Arial"/>
          <w:sz w:val="22"/>
          <w:szCs w:val="22"/>
        </w:rPr>
        <w:t xml:space="preserve"> be a significant period </w:t>
      </w:r>
      <w:r w:rsidR="004A4A0D">
        <w:rPr>
          <w:rFonts w:ascii="Arial" w:hAnsi="Arial" w:cs="Arial"/>
          <w:sz w:val="22"/>
          <w:szCs w:val="22"/>
        </w:rPr>
        <w:t xml:space="preserve">of formation not just </w:t>
      </w:r>
      <w:r w:rsidR="007015E1">
        <w:rPr>
          <w:rFonts w:ascii="Arial" w:hAnsi="Arial" w:cs="Arial"/>
          <w:sz w:val="22"/>
          <w:szCs w:val="22"/>
        </w:rPr>
        <w:t xml:space="preserve">in learning </w:t>
      </w:r>
      <w:r w:rsidR="00F6151C">
        <w:rPr>
          <w:rFonts w:ascii="Arial" w:hAnsi="Arial" w:cs="Arial"/>
          <w:sz w:val="22"/>
          <w:szCs w:val="22"/>
        </w:rPr>
        <w:t>their first</w:t>
      </w:r>
      <w:r w:rsidR="004A4A0D">
        <w:rPr>
          <w:rFonts w:ascii="Arial" w:hAnsi="Arial" w:cs="Arial"/>
          <w:sz w:val="22"/>
          <w:szCs w:val="22"/>
        </w:rPr>
        <w:t xml:space="preserve"> law, </w:t>
      </w:r>
      <w:r w:rsidR="00C354C6">
        <w:rPr>
          <w:rFonts w:ascii="Arial" w:hAnsi="Arial" w:cs="Arial"/>
          <w:sz w:val="22"/>
          <w:szCs w:val="22"/>
        </w:rPr>
        <w:t>but also</w:t>
      </w:r>
      <w:r w:rsidR="004A4A0D">
        <w:rPr>
          <w:rFonts w:ascii="Arial" w:hAnsi="Arial" w:cs="Arial"/>
          <w:sz w:val="22"/>
          <w:szCs w:val="22"/>
        </w:rPr>
        <w:t xml:space="preserve"> </w:t>
      </w:r>
      <w:r w:rsidR="00C509DF">
        <w:rPr>
          <w:rFonts w:ascii="Arial" w:hAnsi="Arial" w:cs="Arial"/>
          <w:sz w:val="22"/>
          <w:szCs w:val="22"/>
        </w:rPr>
        <w:t xml:space="preserve">for </w:t>
      </w:r>
      <w:r w:rsidR="004A4A0D">
        <w:rPr>
          <w:rFonts w:ascii="Arial" w:hAnsi="Arial" w:cs="Arial"/>
          <w:sz w:val="22"/>
          <w:szCs w:val="22"/>
        </w:rPr>
        <w:t xml:space="preserve">crucial career decisions given </w:t>
      </w:r>
      <w:r w:rsidR="00FF254C">
        <w:rPr>
          <w:rFonts w:ascii="Arial" w:hAnsi="Arial" w:cs="Arial"/>
          <w:sz w:val="22"/>
          <w:szCs w:val="22"/>
        </w:rPr>
        <w:t xml:space="preserve">the different </w:t>
      </w:r>
      <w:r w:rsidR="00670824">
        <w:rPr>
          <w:rFonts w:ascii="Arial" w:hAnsi="Arial" w:cs="Arial"/>
          <w:sz w:val="22"/>
          <w:szCs w:val="22"/>
        </w:rPr>
        <w:t xml:space="preserve">routes reflecting the split between </w:t>
      </w:r>
      <w:r w:rsidR="005E1FBB">
        <w:rPr>
          <w:rFonts w:ascii="Arial" w:hAnsi="Arial" w:cs="Arial"/>
          <w:sz w:val="22"/>
          <w:szCs w:val="22"/>
        </w:rPr>
        <w:t>solicitors and barristers</w:t>
      </w:r>
      <w:r w:rsidR="00FF254C">
        <w:rPr>
          <w:rFonts w:ascii="Arial" w:hAnsi="Arial" w:cs="Arial"/>
          <w:sz w:val="22"/>
          <w:szCs w:val="22"/>
        </w:rPr>
        <w:t>. For</w:t>
      </w:r>
      <w:r w:rsidR="00093302">
        <w:rPr>
          <w:rFonts w:ascii="Arial" w:hAnsi="Arial" w:cs="Arial"/>
          <w:sz w:val="22"/>
          <w:szCs w:val="22"/>
        </w:rPr>
        <w:t xml:space="preserve"> students</w:t>
      </w:r>
      <w:r w:rsidR="00EC02D2">
        <w:rPr>
          <w:rFonts w:ascii="Arial" w:hAnsi="Arial" w:cs="Arial"/>
          <w:sz w:val="22"/>
          <w:szCs w:val="22"/>
        </w:rPr>
        <w:t xml:space="preserve"> w</w:t>
      </w:r>
      <w:r w:rsidR="00FF254C">
        <w:rPr>
          <w:rFonts w:ascii="Arial" w:hAnsi="Arial" w:cs="Arial"/>
          <w:sz w:val="22"/>
          <w:szCs w:val="22"/>
        </w:rPr>
        <w:t>ho may not pursue a career with</w:t>
      </w:r>
      <w:r w:rsidR="00EC02D2">
        <w:rPr>
          <w:rFonts w:ascii="Arial" w:hAnsi="Arial" w:cs="Arial"/>
          <w:sz w:val="22"/>
          <w:szCs w:val="22"/>
        </w:rPr>
        <w:t xml:space="preserve"> </w:t>
      </w:r>
      <w:r w:rsidR="00093302">
        <w:rPr>
          <w:rFonts w:ascii="Arial" w:hAnsi="Arial" w:cs="Arial"/>
          <w:sz w:val="22"/>
          <w:szCs w:val="22"/>
        </w:rPr>
        <w:t xml:space="preserve">either </w:t>
      </w:r>
      <w:r w:rsidR="00C509DF">
        <w:rPr>
          <w:rFonts w:ascii="Arial" w:hAnsi="Arial" w:cs="Arial"/>
          <w:sz w:val="22"/>
          <w:szCs w:val="22"/>
        </w:rPr>
        <w:t>branch</w:t>
      </w:r>
      <w:r w:rsidR="00FF254C">
        <w:rPr>
          <w:rFonts w:ascii="Arial" w:hAnsi="Arial" w:cs="Arial"/>
          <w:sz w:val="22"/>
          <w:szCs w:val="22"/>
        </w:rPr>
        <w:t xml:space="preserve">, </w:t>
      </w:r>
      <w:r w:rsidR="00F6151C">
        <w:rPr>
          <w:rFonts w:ascii="Arial" w:hAnsi="Arial" w:cs="Arial"/>
          <w:sz w:val="22"/>
          <w:szCs w:val="22"/>
        </w:rPr>
        <w:t xml:space="preserve">which could be a significant number, </w:t>
      </w:r>
      <w:r w:rsidR="00093302">
        <w:rPr>
          <w:rFonts w:ascii="Arial" w:hAnsi="Arial" w:cs="Arial"/>
          <w:sz w:val="22"/>
          <w:szCs w:val="22"/>
        </w:rPr>
        <w:t xml:space="preserve">the </w:t>
      </w:r>
      <w:r w:rsidR="00EC02D2">
        <w:rPr>
          <w:rFonts w:ascii="Arial" w:hAnsi="Arial" w:cs="Arial"/>
          <w:sz w:val="22"/>
          <w:szCs w:val="22"/>
        </w:rPr>
        <w:t xml:space="preserve">conversion </w:t>
      </w:r>
      <w:r w:rsidR="00407C42" w:rsidRPr="004F6670">
        <w:rPr>
          <w:rFonts w:ascii="Arial" w:hAnsi="Arial" w:cs="Arial"/>
          <w:sz w:val="22"/>
          <w:szCs w:val="22"/>
        </w:rPr>
        <w:t>c</w:t>
      </w:r>
      <w:r w:rsidR="000049DB" w:rsidRPr="004F6670">
        <w:rPr>
          <w:rFonts w:ascii="Arial" w:hAnsi="Arial" w:cs="Arial"/>
          <w:sz w:val="22"/>
          <w:szCs w:val="22"/>
        </w:rPr>
        <w:t>ourse</w:t>
      </w:r>
      <w:r w:rsidR="00093302">
        <w:rPr>
          <w:rFonts w:ascii="Arial" w:hAnsi="Arial" w:cs="Arial"/>
          <w:sz w:val="22"/>
          <w:szCs w:val="22"/>
        </w:rPr>
        <w:t xml:space="preserve"> offers</w:t>
      </w:r>
      <w:r w:rsidR="00AA264C">
        <w:rPr>
          <w:rFonts w:ascii="Arial" w:hAnsi="Arial" w:cs="Arial"/>
          <w:sz w:val="22"/>
          <w:szCs w:val="22"/>
        </w:rPr>
        <w:t xml:space="preserve"> </w:t>
      </w:r>
      <w:r w:rsidR="00EC02D2">
        <w:rPr>
          <w:rFonts w:ascii="Arial" w:hAnsi="Arial" w:cs="Arial"/>
          <w:sz w:val="22"/>
          <w:szCs w:val="22"/>
        </w:rPr>
        <w:t>recognised award</w:t>
      </w:r>
      <w:r w:rsidR="001B532A">
        <w:rPr>
          <w:rFonts w:ascii="Arial" w:hAnsi="Arial" w:cs="Arial"/>
          <w:sz w:val="22"/>
          <w:szCs w:val="22"/>
        </w:rPr>
        <w:t>s</w:t>
      </w:r>
      <w:r w:rsidR="00EC02D2">
        <w:rPr>
          <w:rFonts w:ascii="Arial" w:hAnsi="Arial" w:cs="Arial"/>
          <w:sz w:val="22"/>
          <w:szCs w:val="22"/>
        </w:rPr>
        <w:t xml:space="preserve"> situated </w:t>
      </w:r>
      <w:r w:rsidR="000049DB" w:rsidRPr="004F6670">
        <w:rPr>
          <w:rFonts w:ascii="Arial" w:hAnsi="Arial" w:cs="Arial"/>
          <w:sz w:val="22"/>
          <w:szCs w:val="22"/>
        </w:rPr>
        <w:t xml:space="preserve">within the </w:t>
      </w:r>
      <w:r w:rsidR="00620364">
        <w:rPr>
          <w:rFonts w:ascii="Arial" w:hAnsi="Arial" w:cs="Arial"/>
          <w:sz w:val="22"/>
          <w:szCs w:val="22"/>
        </w:rPr>
        <w:t xml:space="preserve">national </w:t>
      </w:r>
      <w:r w:rsidR="000049DB" w:rsidRPr="004F6670">
        <w:rPr>
          <w:rFonts w:ascii="Arial" w:hAnsi="Arial" w:cs="Arial"/>
          <w:sz w:val="22"/>
          <w:szCs w:val="22"/>
        </w:rPr>
        <w:t>framework of h</w:t>
      </w:r>
      <w:r w:rsidR="0082256B" w:rsidRPr="004F6670">
        <w:rPr>
          <w:rFonts w:ascii="Arial" w:hAnsi="Arial" w:cs="Arial"/>
          <w:sz w:val="22"/>
          <w:szCs w:val="22"/>
        </w:rPr>
        <w:t xml:space="preserve">igher education </w:t>
      </w:r>
      <w:r w:rsidR="00765BB1" w:rsidRPr="004F6670">
        <w:rPr>
          <w:rFonts w:ascii="Arial" w:hAnsi="Arial" w:cs="Arial"/>
          <w:sz w:val="22"/>
          <w:szCs w:val="22"/>
        </w:rPr>
        <w:t>qualifications</w:t>
      </w:r>
      <w:r w:rsidR="003E3791" w:rsidRPr="004F6670">
        <w:rPr>
          <w:rFonts w:ascii="Arial" w:hAnsi="Arial" w:cs="Arial"/>
          <w:sz w:val="22"/>
          <w:szCs w:val="22"/>
        </w:rPr>
        <w:t>.</w:t>
      </w:r>
    </w:p>
    <w:p w14:paraId="574E8020" w14:textId="77777777" w:rsidR="00ED2DD6" w:rsidRPr="004F6670" w:rsidRDefault="00ED2DD6" w:rsidP="000049DB">
      <w:pPr>
        <w:rPr>
          <w:rFonts w:ascii="Arial" w:hAnsi="Arial" w:cs="Arial"/>
          <w:sz w:val="22"/>
          <w:szCs w:val="22"/>
        </w:rPr>
      </w:pPr>
    </w:p>
    <w:p w14:paraId="79964275" w14:textId="77777777" w:rsidR="00073549" w:rsidRDefault="00073549" w:rsidP="000049DB">
      <w:pPr>
        <w:rPr>
          <w:rFonts w:ascii="Arial" w:hAnsi="Arial" w:cs="Arial"/>
          <w:sz w:val="22"/>
          <w:szCs w:val="22"/>
        </w:rPr>
      </w:pPr>
    </w:p>
    <w:p w14:paraId="148085DB" w14:textId="77777777" w:rsidR="0082270A" w:rsidRPr="004F6670" w:rsidRDefault="0082270A" w:rsidP="000049DB">
      <w:pPr>
        <w:rPr>
          <w:rFonts w:ascii="Arial" w:hAnsi="Arial" w:cs="Arial"/>
          <w:sz w:val="22"/>
          <w:szCs w:val="22"/>
        </w:rPr>
      </w:pPr>
    </w:p>
    <w:p w14:paraId="219BE612" w14:textId="77777777" w:rsidR="00073549" w:rsidRDefault="00E50CF6" w:rsidP="000049DB">
      <w:pPr>
        <w:rPr>
          <w:rFonts w:ascii="Arial" w:hAnsi="Arial" w:cs="Arial"/>
          <w:b/>
          <w:sz w:val="22"/>
          <w:szCs w:val="22"/>
        </w:rPr>
      </w:pPr>
      <w:r>
        <w:rPr>
          <w:rFonts w:ascii="Arial" w:hAnsi="Arial" w:cs="Arial"/>
          <w:b/>
          <w:sz w:val="22"/>
          <w:szCs w:val="22"/>
        </w:rPr>
        <w:t xml:space="preserve">Successful </w:t>
      </w:r>
      <w:r w:rsidR="000C41F4">
        <w:rPr>
          <w:rFonts w:ascii="Arial" w:hAnsi="Arial" w:cs="Arial"/>
          <w:b/>
          <w:sz w:val="22"/>
          <w:szCs w:val="22"/>
        </w:rPr>
        <w:t>NLG</w:t>
      </w:r>
      <w:r w:rsidR="00EB6DAB" w:rsidRPr="004F6670" w:rsidDel="00E50CF6">
        <w:rPr>
          <w:rFonts w:ascii="Arial" w:hAnsi="Arial" w:cs="Arial"/>
          <w:b/>
          <w:sz w:val="22"/>
          <w:szCs w:val="22"/>
        </w:rPr>
        <w:t xml:space="preserve"> </w:t>
      </w:r>
    </w:p>
    <w:p w14:paraId="74D60D43" w14:textId="77777777" w:rsidR="00FA0C26" w:rsidRPr="0082270A" w:rsidRDefault="00FA0C26" w:rsidP="00FA0C26">
      <w:pPr>
        <w:rPr>
          <w:rFonts w:ascii="Arial" w:hAnsi="Arial" w:cs="Arial"/>
          <w:b/>
          <w:sz w:val="22"/>
          <w:szCs w:val="22"/>
        </w:rPr>
      </w:pPr>
    </w:p>
    <w:p w14:paraId="52C7C38B" w14:textId="7F42C3F4" w:rsidR="00571F87" w:rsidRDefault="00FA0C26" w:rsidP="00FA0C26">
      <w:pPr>
        <w:widowControl w:val="0"/>
        <w:autoSpaceDE w:val="0"/>
        <w:autoSpaceDN w:val="0"/>
        <w:adjustRightInd w:val="0"/>
        <w:rPr>
          <w:rFonts w:ascii="Arial" w:hAnsi="Arial" w:cs="Arial"/>
          <w:sz w:val="22"/>
          <w:szCs w:val="22"/>
        </w:rPr>
      </w:pPr>
      <w:r>
        <w:rPr>
          <w:rFonts w:ascii="Arial" w:hAnsi="Arial" w:cs="Arial"/>
          <w:sz w:val="22"/>
          <w:szCs w:val="22"/>
        </w:rPr>
        <w:lastRenderedPageBreak/>
        <w:t>D</w:t>
      </w:r>
      <w:r w:rsidRPr="004F6670">
        <w:rPr>
          <w:rFonts w:ascii="Arial" w:hAnsi="Arial" w:cs="Arial"/>
          <w:sz w:val="22"/>
          <w:szCs w:val="22"/>
        </w:rPr>
        <w:t xml:space="preserve">ata indicates </w:t>
      </w:r>
      <w:r>
        <w:rPr>
          <w:rFonts w:ascii="Arial" w:hAnsi="Arial" w:cs="Arial"/>
          <w:sz w:val="22"/>
          <w:szCs w:val="22"/>
        </w:rPr>
        <w:t>that</w:t>
      </w:r>
      <w:r w:rsidR="00E400FD">
        <w:rPr>
          <w:rFonts w:ascii="Arial" w:hAnsi="Arial" w:cs="Arial"/>
          <w:sz w:val="22"/>
          <w:szCs w:val="22"/>
        </w:rPr>
        <w:t>,</w:t>
      </w:r>
      <w:r>
        <w:rPr>
          <w:rFonts w:ascii="Arial" w:hAnsi="Arial" w:cs="Arial"/>
          <w:sz w:val="22"/>
          <w:szCs w:val="22"/>
        </w:rPr>
        <w:t xml:space="preserve"> </w:t>
      </w:r>
      <w:r w:rsidR="00AA264C">
        <w:rPr>
          <w:rFonts w:ascii="Arial" w:hAnsi="Arial" w:cs="Arial"/>
          <w:sz w:val="22"/>
          <w:szCs w:val="22"/>
        </w:rPr>
        <w:t>in global terms</w:t>
      </w:r>
      <w:r w:rsidR="00E400FD">
        <w:rPr>
          <w:rFonts w:ascii="Arial" w:hAnsi="Arial" w:cs="Arial"/>
          <w:sz w:val="22"/>
          <w:szCs w:val="22"/>
        </w:rPr>
        <w:t>,</w:t>
      </w:r>
      <w:r>
        <w:rPr>
          <w:rFonts w:ascii="Arial" w:hAnsi="Arial" w:cs="Arial"/>
          <w:sz w:val="22"/>
          <w:szCs w:val="22"/>
        </w:rPr>
        <w:t xml:space="preserve"> NLG are </w:t>
      </w:r>
      <w:r w:rsidR="00BB78BB">
        <w:rPr>
          <w:rFonts w:ascii="Arial" w:hAnsi="Arial" w:cs="Arial"/>
          <w:sz w:val="22"/>
          <w:szCs w:val="22"/>
        </w:rPr>
        <w:t xml:space="preserve">reasonably </w:t>
      </w:r>
      <w:r>
        <w:rPr>
          <w:rFonts w:ascii="Arial" w:hAnsi="Arial" w:cs="Arial"/>
          <w:sz w:val="22"/>
          <w:szCs w:val="22"/>
        </w:rPr>
        <w:t xml:space="preserve">successful </w:t>
      </w:r>
      <w:r w:rsidR="00CD6A7E">
        <w:rPr>
          <w:rFonts w:ascii="Arial" w:hAnsi="Arial" w:cs="Arial"/>
          <w:sz w:val="22"/>
          <w:szCs w:val="22"/>
        </w:rPr>
        <w:t>on the conversion course.</w:t>
      </w:r>
      <w:r w:rsidRPr="004F6670">
        <w:rPr>
          <w:rFonts w:ascii="Arial" w:hAnsi="Arial" w:cs="Arial"/>
          <w:sz w:val="22"/>
          <w:szCs w:val="22"/>
        </w:rPr>
        <w:t xml:space="preserve"> </w:t>
      </w:r>
      <w:r>
        <w:rPr>
          <w:rFonts w:ascii="Arial" w:hAnsi="Arial" w:cs="Arial"/>
          <w:sz w:val="22"/>
          <w:szCs w:val="22"/>
        </w:rPr>
        <w:t>2014 dat</w:t>
      </w:r>
      <w:r w:rsidR="00CD6A7E">
        <w:rPr>
          <w:rFonts w:ascii="Arial" w:hAnsi="Arial" w:cs="Arial"/>
          <w:sz w:val="22"/>
          <w:szCs w:val="22"/>
        </w:rPr>
        <w:t>a shows a</w:t>
      </w:r>
      <w:r>
        <w:rPr>
          <w:rFonts w:ascii="Arial" w:hAnsi="Arial" w:cs="Arial"/>
          <w:sz w:val="22"/>
          <w:szCs w:val="22"/>
        </w:rPr>
        <w:t xml:space="preserve"> pass rate</w:t>
      </w:r>
      <w:r w:rsidR="002C33B8">
        <w:rPr>
          <w:rFonts w:ascii="Arial" w:hAnsi="Arial" w:cs="Arial"/>
          <w:sz w:val="22"/>
          <w:szCs w:val="22"/>
        </w:rPr>
        <w:t xml:space="preserve"> </w:t>
      </w:r>
      <w:r>
        <w:rPr>
          <w:rFonts w:ascii="Arial" w:hAnsi="Arial" w:cs="Arial"/>
          <w:sz w:val="22"/>
          <w:szCs w:val="22"/>
        </w:rPr>
        <w:t>for the full-</w:t>
      </w:r>
      <w:r w:rsidRPr="004F6670">
        <w:rPr>
          <w:rFonts w:ascii="Arial" w:hAnsi="Arial" w:cs="Arial"/>
          <w:sz w:val="22"/>
          <w:szCs w:val="22"/>
        </w:rPr>
        <w:t xml:space="preserve">time </w:t>
      </w:r>
      <w:r>
        <w:rPr>
          <w:rFonts w:ascii="Arial" w:hAnsi="Arial" w:cs="Arial"/>
          <w:sz w:val="22"/>
          <w:szCs w:val="22"/>
        </w:rPr>
        <w:t>conversion course</w:t>
      </w:r>
      <w:r w:rsidRPr="004F6670">
        <w:rPr>
          <w:rFonts w:ascii="Arial" w:hAnsi="Arial" w:cs="Arial"/>
          <w:sz w:val="22"/>
          <w:szCs w:val="22"/>
        </w:rPr>
        <w:t xml:space="preserve"> </w:t>
      </w:r>
      <w:r w:rsidR="00CD6A7E">
        <w:rPr>
          <w:rFonts w:ascii="Arial" w:hAnsi="Arial" w:cs="Arial"/>
          <w:sz w:val="22"/>
          <w:szCs w:val="22"/>
        </w:rPr>
        <w:t>at</w:t>
      </w:r>
      <w:r>
        <w:rPr>
          <w:rFonts w:ascii="Arial" w:hAnsi="Arial" w:cs="Arial"/>
          <w:sz w:val="22"/>
          <w:szCs w:val="22"/>
        </w:rPr>
        <w:t xml:space="preserve"> 83</w:t>
      </w:r>
      <w:r w:rsidRPr="004F6670">
        <w:rPr>
          <w:rFonts w:ascii="Arial" w:hAnsi="Arial" w:cs="Arial"/>
          <w:sz w:val="22"/>
          <w:szCs w:val="22"/>
        </w:rPr>
        <w:t>%.</w:t>
      </w:r>
      <w:r w:rsidRPr="004F6670">
        <w:rPr>
          <w:rStyle w:val="FootnoteReference"/>
          <w:rFonts w:ascii="Arial" w:hAnsi="Arial" w:cs="Arial"/>
          <w:sz w:val="22"/>
          <w:szCs w:val="22"/>
        </w:rPr>
        <w:footnoteReference w:id="32"/>
      </w:r>
      <w:r>
        <w:rPr>
          <w:rFonts w:ascii="Arial" w:hAnsi="Arial" w:cs="Arial"/>
          <w:sz w:val="22"/>
          <w:szCs w:val="22"/>
        </w:rPr>
        <w:t xml:space="preserve"> </w:t>
      </w:r>
      <w:r w:rsidR="00CD28B2">
        <w:rPr>
          <w:rFonts w:ascii="Arial" w:hAnsi="Arial" w:cs="Arial"/>
          <w:sz w:val="22"/>
          <w:szCs w:val="22"/>
        </w:rPr>
        <w:t xml:space="preserve">Other </w:t>
      </w:r>
      <w:r w:rsidR="001511D9">
        <w:rPr>
          <w:rFonts w:ascii="Arial" w:hAnsi="Arial" w:cs="Arial"/>
          <w:sz w:val="22"/>
          <w:szCs w:val="22"/>
        </w:rPr>
        <w:t>SRA d</w:t>
      </w:r>
      <w:r w:rsidR="00C509DF">
        <w:rPr>
          <w:rFonts w:ascii="Arial" w:hAnsi="Arial" w:cs="Arial"/>
          <w:sz w:val="22"/>
          <w:szCs w:val="22"/>
        </w:rPr>
        <w:t>ata suggests that overall, full-</w:t>
      </w:r>
      <w:r w:rsidR="001511D9">
        <w:rPr>
          <w:rFonts w:ascii="Arial" w:hAnsi="Arial" w:cs="Arial"/>
          <w:sz w:val="22"/>
          <w:szCs w:val="22"/>
        </w:rPr>
        <w:t>time and part</w:t>
      </w:r>
      <w:r w:rsidR="00C509DF">
        <w:rPr>
          <w:rFonts w:ascii="Arial" w:hAnsi="Arial" w:cs="Arial"/>
          <w:sz w:val="22"/>
          <w:szCs w:val="22"/>
        </w:rPr>
        <w:t>-</w:t>
      </w:r>
      <w:r w:rsidR="001511D9">
        <w:rPr>
          <w:rFonts w:ascii="Arial" w:hAnsi="Arial" w:cs="Arial"/>
          <w:sz w:val="22"/>
          <w:szCs w:val="22"/>
        </w:rPr>
        <w:t>time</w:t>
      </w:r>
      <w:r w:rsidR="00BB78BB">
        <w:rPr>
          <w:rFonts w:ascii="Arial" w:hAnsi="Arial" w:cs="Arial"/>
          <w:sz w:val="22"/>
          <w:szCs w:val="22"/>
        </w:rPr>
        <w:t xml:space="preserve"> combined,</w:t>
      </w:r>
      <w:r w:rsidR="001511D9">
        <w:rPr>
          <w:rFonts w:ascii="Arial" w:hAnsi="Arial" w:cs="Arial"/>
          <w:sz w:val="22"/>
          <w:szCs w:val="22"/>
        </w:rPr>
        <w:t xml:space="preserve"> the </w:t>
      </w:r>
      <w:r w:rsidR="00BB78BB">
        <w:rPr>
          <w:rFonts w:ascii="Arial" w:hAnsi="Arial" w:cs="Arial"/>
          <w:sz w:val="22"/>
          <w:szCs w:val="22"/>
        </w:rPr>
        <w:t xml:space="preserve">pass rate </w:t>
      </w:r>
      <w:r w:rsidR="00357E07">
        <w:rPr>
          <w:rFonts w:ascii="Arial" w:hAnsi="Arial" w:cs="Arial"/>
          <w:sz w:val="22"/>
          <w:szCs w:val="22"/>
        </w:rPr>
        <w:t xml:space="preserve">is </w:t>
      </w:r>
      <w:r w:rsidR="00BB78BB">
        <w:rPr>
          <w:rFonts w:ascii="Arial" w:hAnsi="Arial" w:cs="Arial"/>
          <w:sz w:val="22"/>
          <w:szCs w:val="22"/>
        </w:rPr>
        <w:t>around 72%.</w:t>
      </w:r>
      <w:r w:rsidR="00BB78BB">
        <w:rPr>
          <w:rStyle w:val="FootnoteReference"/>
          <w:rFonts w:ascii="Arial" w:hAnsi="Arial" w:cs="Arial"/>
          <w:sz w:val="22"/>
          <w:szCs w:val="22"/>
        </w:rPr>
        <w:footnoteReference w:id="33"/>
      </w:r>
      <w:r w:rsidR="00BB78BB">
        <w:rPr>
          <w:rFonts w:ascii="Arial" w:hAnsi="Arial" w:cs="Arial"/>
          <w:sz w:val="22"/>
          <w:szCs w:val="22"/>
        </w:rPr>
        <w:t xml:space="preserve"> </w:t>
      </w:r>
      <w:r w:rsidR="00827FA3">
        <w:rPr>
          <w:rFonts w:ascii="Arial" w:hAnsi="Arial" w:cs="Arial"/>
          <w:sz w:val="22"/>
          <w:szCs w:val="22"/>
        </w:rPr>
        <w:t>H</w:t>
      </w:r>
      <w:r w:rsidR="00E56B6F">
        <w:rPr>
          <w:rFonts w:ascii="Arial" w:hAnsi="Arial" w:cs="Arial"/>
          <w:sz w:val="22"/>
          <w:szCs w:val="22"/>
        </w:rPr>
        <w:t>igh</w:t>
      </w:r>
      <w:r w:rsidR="00FE6A04">
        <w:rPr>
          <w:rFonts w:ascii="Arial" w:hAnsi="Arial" w:cs="Arial"/>
          <w:sz w:val="22"/>
          <w:szCs w:val="22"/>
        </w:rPr>
        <w:t xml:space="preserve"> </w:t>
      </w:r>
      <w:r w:rsidR="00C509DF">
        <w:rPr>
          <w:rFonts w:ascii="Arial" w:hAnsi="Arial" w:cs="Arial"/>
          <w:sz w:val="22"/>
          <w:szCs w:val="22"/>
        </w:rPr>
        <w:t xml:space="preserve">levels of </w:t>
      </w:r>
      <w:r w:rsidR="00827FA3">
        <w:rPr>
          <w:rFonts w:ascii="Arial" w:hAnsi="Arial" w:cs="Arial"/>
          <w:sz w:val="22"/>
          <w:szCs w:val="22"/>
        </w:rPr>
        <w:t>success c</w:t>
      </w:r>
      <w:r w:rsidR="00FE6A04">
        <w:rPr>
          <w:rFonts w:ascii="Arial" w:hAnsi="Arial" w:cs="Arial"/>
          <w:sz w:val="22"/>
          <w:szCs w:val="22"/>
        </w:rPr>
        <w:t>ould be expected</w:t>
      </w:r>
      <w:r w:rsidR="002C33B8">
        <w:rPr>
          <w:rFonts w:ascii="Arial" w:hAnsi="Arial" w:cs="Arial"/>
          <w:sz w:val="22"/>
          <w:szCs w:val="22"/>
        </w:rPr>
        <w:t>,</w:t>
      </w:r>
      <w:r>
        <w:rPr>
          <w:rFonts w:ascii="Arial" w:hAnsi="Arial" w:cs="Arial"/>
          <w:sz w:val="22"/>
          <w:szCs w:val="22"/>
        </w:rPr>
        <w:t xml:space="preserve"> after all</w:t>
      </w:r>
      <w:r w:rsidR="00FF254C">
        <w:rPr>
          <w:rFonts w:ascii="Arial" w:hAnsi="Arial" w:cs="Arial"/>
          <w:sz w:val="22"/>
          <w:szCs w:val="22"/>
        </w:rPr>
        <w:t>,</w:t>
      </w:r>
      <w:r>
        <w:rPr>
          <w:rFonts w:ascii="Arial" w:hAnsi="Arial" w:cs="Arial"/>
          <w:sz w:val="22"/>
          <w:szCs w:val="22"/>
        </w:rPr>
        <w:t xml:space="preserve"> </w:t>
      </w:r>
      <w:r w:rsidR="000437CA">
        <w:rPr>
          <w:rFonts w:ascii="Arial" w:hAnsi="Arial" w:cs="Arial"/>
          <w:sz w:val="22"/>
          <w:szCs w:val="22"/>
        </w:rPr>
        <w:t xml:space="preserve">NLG </w:t>
      </w:r>
      <w:r>
        <w:rPr>
          <w:rFonts w:ascii="Arial" w:hAnsi="Arial" w:cs="Arial"/>
          <w:sz w:val="22"/>
          <w:szCs w:val="22"/>
        </w:rPr>
        <w:t xml:space="preserve">are graduates </w:t>
      </w:r>
      <w:r w:rsidR="00FF254C">
        <w:rPr>
          <w:rFonts w:ascii="Arial" w:hAnsi="Arial" w:cs="Arial"/>
          <w:sz w:val="22"/>
          <w:szCs w:val="22"/>
        </w:rPr>
        <w:t>with above average attainment.</w:t>
      </w:r>
      <w:r w:rsidR="00FF254C">
        <w:rPr>
          <w:rStyle w:val="FootnoteReference"/>
          <w:rFonts w:ascii="Arial" w:hAnsi="Arial" w:cs="Arial"/>
          <w:sz w:val="22"/>
          <w:szCs w:val="22"/>
        </w:rPr>
        <w:footnoteReference w:id="34"/>
      </w:r>
      <w:r>
        <w:rPr>
          <w:rFonts w:ascii="Arial" w:hAnsi="Arial" w:cs="Arial"/>
          <w:sz w:val="22"/>
          <w:szCs w:val="22"/>
        </w:rPr>
        <w:t xml:space="preserve"> </w:t>
      </w:r>
      <w:r w:rsidR="00BB78BB">
        <w:rPr>
          <w:rFonts w:ascii="Arial" w:hAnsi="Arial" w:cs="Arial"/>
          <w:sz w:val="22"/>
          <w:szCs w:val="22"/>
        </w:rPr>
        <w:t xml:space="preserve">On vocational courses </w:t>
      </w:r>
      <w:r>
        <w:rPr>
          <w:rFonts w:ascii="Arial" w:hAnsi="Arial" w:cs="Arial"/>
          <w:sz w:val="22"/>
          <w:szCs w:val="22"/>
        </w:rPr>
        <w:t xml:space="preserve">NLG </w:t>
      </w:r>
      <w:r w:rsidR="004D1C8B">
        <w:rPr>
          <w:rFonts w:ascii="Arial" w:hAnsi="Arial" w:cs="Arial"/>
          <w:sz w:val="22"/>
          <w:szCs w:val="22"/>
        </w:rPr>
        <w:t xml:space="preserve">have </w:t>
      </w:r>
      <w:r w:rsidR="00BB78BB">
        <w:rPr>
          <w:rFonts w:ascii="Arial" w:hAnsi="Arial" w:cs="Arial"/>
          <w:sz w:val="22"/>
          <w:szCs w:val="22"/>
        </w:rPr>
        <w:t xml:space="preserve">shown </w:t>
      </w:r>
      <w:r w:rsidR="00CD28B2">
        <w:rPr>
          <w:rFonts w:ascii="Arial" w:hAnsi="Arial" w:cs="Arial"/>
          <w:sz w:val="22"/>
          <w:szCs w:val="22"/>
        </w:rPr>
        <w:t xml:space="preserve">relative </w:t>
      </w:r>
      <w:r w:rsidR="00E56B6F">
        <w:rPr>
          <w:rFonts w:ascii="Arial" w:hAnsi="Arial" w:cs="Arial"/>
          <w:sz w:val="22"/>
          <w:szCs w:val="22"/>
        </w:rPr>
        <w:t>strength by</w:t>
      </w:r>
      <w:r w:rsidR="004D1C8B">
        <w:rPr>
          <w:rFonts w:ascii="Arial" w:hAnsi="Arial" w:cs="Arial"/>
          <w:sz w:val="22"/>
          <w:szCs w:val="22"/>
        </w:rPr>
        <w:t xml:space="preserve"> </w:t>
      </w:r>
      <w:r w:rsidR="00CD6A7E">
        <w:rPr>
          <w:rFonts w:ascii="Arial" w:hAnsi="Arial" w:cs="Arial"/>
          <w:sz w:val="22"/>
          <w:szCs w:val="22"/>
        </w:rPr>
        <w:t>out-performing</w:t>
      </w:r>
      <w:r>
        <w:rPr>
          <w:rFonts w:ascii="Arial" w:hAnsi="Arial" w:cs="Arial"/>
          <w:sz w:val="22"/>
          <w:szCs w:val="22"/>
        </w:rPr>
        <w:t xml:space="preserve"> </w:t>
      </w:r>
      <w:r w:rsidRPr="004F6670">
        <w:rPr>
          <w:rFonts w:ascii="Arial" w:hAnsi="Arial" w:cs="Arial"/>
          <w:sz w:val="22"/>
          <w:szCs w:val="22"/>
        </w:rPr>
        <w:t>law graduates</w:t>
      </w:r>
      <w:r w:rsidR="004D1C8B">
        <w:rPr>
          <w:rFonts w:ascii="Arial" w:hAnsi="Arial" w:cs="Arial"/>
          <w:sz w:val="22"/>
          <w:szCs w:val="22"/>
        </w:rPr>
        <w:t>.</w:t>
      </w:r>
      <w:r w:rsidR="007426DF">
        <w:rPr>
          <w:rStyle w:val="FootnoteReference"/>
          <w:rFonts w:ascii="Arial" w:hAnsi="Arial" w:cs="Arial"/>
          <w:sz w:val="22"/>
          <w:szCs w:val="22"/>
        </w:rPr>
        <w:footnoteReference w:id="35"/>
      </w:r>
      <w:r w:rsidR="004D1C8B">
        <w:rPr>
          <w:rFonts w:ascii="Arial" w:hAnsi="Arial" w:cs="Arial"/>
          <w:sz w:val="22"/>
          <w:szCs w:val="22"/>
        </w:rPr>
        <w:t xml:space="preserve"> A r</w:t>
      </w:r>
      <w:r w:rsidR="00E75A52">
        <w:rPr>
          <w:rFonts w:ascii="Arial" w:hAnsi="Arial" w:cs="Arial"/>
          <w:sz w:val="22"/>
          <w:szCs w:val="22"/>
        </w:rPr>
        <w:t xml:space="preserve">eview of </w:t>
      </w:r>
      <w:r w:rsidR="00CD28B2">
        <w:rPr>
          <w:rFonts w:ascii="Arial" w:hAnsi="Arial" w:cs="Arial"/>
          <w:sz w:val="22"/>
          <w:szCs w:val="22"/>
        </w:rPr>
        <w:t xml:space="preserve">the </w:t>
      </w:r>
      <w:r w:rsidR="00BB78BB">
        <w:rPr>
          <w:rFonts w:ascii="Arial" w:hAnsi="Arial" w:cs="Arial"/>
          <w:sz w:val="22"/>
          <w:szCs w:val="22"/>
        </w:rPr>
        <w:t xml:space="preserve">latest available </w:t>
      </w:r>
      <w:r w:rsidR="00E75A52">
        <w:rPr>
          <w:rFonts w:ascii="Arial" w:hAnsi="Arial" w:cs="Arial"/>
          <w:sz w:val="22"/>
          <w:szCs w:val="22"/>
        </w:rPr>
        <w:t xml:space="preserve">data in </w:t>
      </w:r>
      <w:r w:rsidR="00620364">
        <w:rPr>
          <w:rFonts w:ascii="Arial" w:hAnsi="Arial" w:cs="Arial"/>
          <w:sz w:val="22"/>
          <w:szCs w:val="22"/>
        </w:rPr>
        <w:t xml:space="preserve">the </w:t>
      </w:r>
      <w:r w:rsidR="00E75A52" w:rsidRPr="004F6670">
        <w:rPr>
          <w:rFonts w:ascii="Arial" w:hAnsi="Arial" w:cs="Arial"/>
          <w:sz w:val="22"/>
          <w:szCs w:val="22"/>
        </w:rPr>
        <w:t>L</w:t>
      </w:r>
      <w:r w:rsidR="00E75A52">
        <w:rPr>
          <w:rFonts w:ascii="Arial" w:hAnsi="Arial" w:cs="Arial"/>
          <w:sz w:val="22"/>
          <w:szCs w:val="22"/>
        </w:rPr>
        <w:t>aw S</w:t>
      </w:r>
      <w:r w:rsidR="00E75A52" w:rsidRPr="004F6670">
        <w:rPr>
          <w:rFonts w:ascii="Arial" w:hAnsi="Arial" w:cs="Arial"/>
          <w:sz w:val="22"/>
          <w:szCs w:val="22"/>
        </w:rPr>
        <w:t>oci</w:t>
      </w:r>
      <w:r w:rsidR="00E75A52">
        <w:rPr>
          <w:rFonts w:ascii="Arial" w:hAnsi="Arial" w:cs="Arial"/>
          <w:sz w:val="22"/>
          <w:szCs w:val="22"/>
        </w:rPr>
        <w:t>ety G</w:t>
      </w:r>
      <w:r w:rsidR="00E75A52" w:rsidRPr="004F6670">
        <w:rPr>
          <w:rFonts w:ascii="Arial" w:hAnsi="Arial" w:cs="Arial"/>
          <w:sz w:val="22"/>
          <w:szCs w:val="22"/>
        </w:rPr>
        <w:t xml:space="preserve">azette </w:t>
      </w:r>
      <w:r w:rsidR="00AA264C">
        <w:rPr>
          <w:rFonts w:ascii="Arial" w:hAnsi="Arial" w:cs="Arial"/>
          <w:sz w:val="22"/>
          <w:szCs w:val="22"/>
        </w:rPr>
        <w:t>shows this</w:t>
      </w:r>
      <w:r w:rsidR="00E75A52">
        <w:rPr>
          <w:rFonts w:ascii="Arial" w:hAnsi="Arial" w:cs="Arial"/>
          <w:sz w:val="22"/>
          <w:szCs w:val="22"/>
        </w:rPr>
        <w:t xml:space="preserve"> to be the case. Recent </w:t>
      </w:r>
      <w:r w:rsidRPr="004F6670">
        <w:rPr>
          <w:rFonts w:ascii="Arial" w:hAnsi="Arial" w:cs="Arial"/>
          <w:sz w:val="22"/>
          <w:szCs w:val="22"/>
        </w:rPr>
        <w:t>BSB data</w:t>
      </w:r>
      <w:r w:rsidR="00CD28B2">
        <w:rPr>
          <w:rFonts w:ascii="Arial" w:hAnsi="Arial" w:cs="Arial"/>
          <w:sz w:val="22"/>
          <w:szCs w:val="22"/>
        </w:rPr>
        <w:t> shows NLG superiority on the Bar course (BPTC):</w:t>
      </w:r>
      <w:r w:rsidR="000437CA">
        <w:rPr>
          <w:rFonts w:ascii="Arial" w:hAnsi="Arial" w:cs="Arial"/>
          <w:sz w:val="22"/>
          <w:szCs w:val="22"/>
        </w:rPr>
        <w:t xml:space="preserve"> </w:t>
      </w:r>
      <w:r w:rsidRPr="004F6670">
        <w:rPr>
          <w:rFonts w:ascii="Arial" w:hAnsi="Arial" w:cs="Arial"/>
          <w:sz w:val="22"/>
          <w:szCs w:val="22"/>
        </w:rPr>
        <w:t xml:space="preserve">the failure rate </w:t>
      </w:r>
      <w:r w:rsidR="000675C9">
        <w:rPr>
          <w:rFonts w:ascii="Arial" w:hAnsi="Arial" w:cs="Arial"/>
          <w:sz w:val="22"/>
          <w:szCs w:val="22"/>
        </w:rPr>
        <w:t xml:space="preserve">in 2017 </w:t>
      </w:r>
      <w:r w:rsidRPr="004F6670">
        <w:rPr>
          <w:rFonts w:ascii="Arial" w:hAnsi="Arial" w:cs="Arial"/>
          <w:sz w:val="22"/>
          <w:szCs w:val="22"/>
        </w:rPr>
        <w:t>for NLG</w:t>
      </w:r>
      <w:r>
        <w:rPr>
          <w:rFonts w:ascii="Arial" w:hAnsi="Arial" w:cs="Arial"/>
          <w:sz w:val="22"/>
          <w:szCs w:val="22"/>
        </w:rPr>
        <w:t xml:space="preserve"> </w:t>
      </w:r>
      <w:r w:rsidRPr="004F6670">
        <w:rPr>
          <w:rFonts w:ascii="Arial" w:hAnsi="Arial" w:cs="Arial"/>
          <w:sz w:val="22"/>
          <w:szCs w:val="22"/>
        </w:rPr>
        <w:t xml:space="preserve">was 5.5% compared </w:t>
      </w:r>
      <w:r>
        <w:rPr>
          <w:rFonts w:ascii="Arial" w:hAnsi="Arial" w:cs="Arial"/>
          <w:sz w:val="22"/>
          <w:szCs w:val="22"/>
        </w:rPr>
        <w:t>to 16% for</w:t>
      </w:r>
      <w:r w:rsidRPr="004F6670">
        <w:rPr>
          <w:rFonts w:ascii="Arial" w:hAnsi="Arial" w:cs="Arial"/>
          <w:sz w:val="22"/>
          <w:szCs w:val="22"/>
        </w:rPr>
        <w:t xml:space="preserve"> QLD</w:t>
      </w:r>
      <w:r>
        <w:rPr>
          <w:rFonts w:ascii="Arial" w:hAnsi="Arial" w:cs="Arial"/>
          <w:sz w:val="22"/>
          <w:szCs w:val="22"/>
        </w:rPr>
        <w:t xml:space="preserve"> students.</w:t>
      </w:r>
      <w:r>
        <w:rPr>
          <w:rStyle w:val="FootnoteReference"/>
          <w:rFonts w:ascii="Arial" w:hAnsi="Arial" w:cs="Arial"/>
          <w:sz w:val="22"/>
          <w:szCs w:val="22"/>
        </w:rPr>
        <w:footnoteReference w:id="36"/>
      </w:r>
      <w:r>
        <w:rPr>
          <w:rFonts w:ascii="Arial" w:hAnsi="Arial" w:cs="Arial"/>
          <w:sz w:val="22"/>
          <w:szCs w:val="22"/>
        </w:rPr>
        <w:t xml:space="preserve"> </w:t>
      </w:r>
    </w:p>
    <w:p w14:paraId="54A57D3E" w14:textId="77777777" w:rsidR="00FA0C26" w:rsidRDefault="00FA0C26" w:rsidP="00FA0C26">
      <w:pPr>
        <w:widowControl w:val="0"/>
        <w:autoSpaceDE w:val="0"/>
        <w:autoSpaceDN w:val="0"/>
        <w:adjustRightInd w:val="0"/>
        <w:rPr>
          <w:rFonts w:ascii="Arial" w:hAnsi="Arial" w:cs="Arial"/>
          <w:sz w:val="22"/>
          <w:szCs w:val="22"/>
        </w:rPr>
      </w:pPr>
    </w:p>
    <w:p w14:paraId="6BC293E1" w14:textId="240573C8" w:rsidR="00FA0C26" w:rsidRDefault="000437CA" w:rsidP="00FA0C26">
      <w:pPr>
        <w:widowControl w:val="0"/>
        <w:autoSpaceDE w:val="0"/>
        <w:autoSpaceDN w:val="0"/>
        <w:adjustRightInd w:val="0"/>
        <w:rPr>
          <w:rFonts w:ascii="Arial" w:hAnsi="Arial" w:cs="Arial"/>
          <w:sz w:val="22"/>
          <w:szCs w:val="22"/>
        </w:rPr>
      </w:pPr>
      <w:r>
        <w:rPr>
          <w:rFonts w:ascii="Arial" w:hAnsi="Arial" w:cs="Arial"/>
          <w:sz w:val="22"/>
          <w:szCs w:val="22"/>
        </w:rPr>
        <w:t>Another deviation from Ormr</w:t>
      </w:r>
      <w:r w:rsidR="00AF244E">
        <w:rPr>
          <w:rFonts w:ascii="Arial" w:hAnsi="Arial" w:cs="Arial"/>
          <w:sz w:val="22"/>
          <w:szCs w:val="22"/>
        </w:rPr>
        <w:t>o</w:t>
      </w:r>
      <w:r>
        <w:rPr>
          <w:rFonts w:ascii="Arial" w:hAnsi="Arial" w:cs="Arial"/>
          <w:sz w:val="22"/>
          <w:szCs w:val="22"/>
        </w:rPr>
        <w:t xml:space="preserve">d’s vision </w:t>
      </w:r>
      <w:r w:rsidR="001537E1">
        <w:rPr>
          <w:rFonts w:ascii="Arial" w:hAnsi="Arial" w:cs="Arial"/>
          <w:sz w:val="22"/>
          <w:szCs w:val="22"/>
        </w:rPr>
        <w:t>i</w:t>
      </w:r>
      <w:r>
        <w:rPr>
          <w:rFonts w:ascii="Arial" w:hAnsi="Arial" w:cs="Arial"/>
          <w:sz w:val="22"/>
          <w:szCs w:val="22"/>
        </w:rPr>
        <w:t xml:space="preserve">s that the </w:t>
      </w:r>
      <w:r w:rsidR="00FA0C26" w:rsidRPr="0004604E">
        <w:rPr>
          <w:rFonts w:ascii="Arial" w:hAnsi="Arial" w:cs="Arial"/>
          <w:sz w:val="22"/>
          <w:szCs w:val="22"/>
        </w:rPr>
        <w:t xml:space="preserve">number of </w:t>
      </w:r>
      <w:r w:rsidR="00FA0C26">
        <w:rPr>
          <w:rFonts w:ascii="Arial" w:hAnsi="Arial" w:cs="Arial"/>
          <w:sz w:val="22"/>
          <w:szCs w:val="22"/>
        </w:rPr>
        <w:t>NLG</w:t>
      </w:r>
      <w:r w:rsidR="00FA0C26" w:rsidRPr="0004604E">
        <w:rPr>
          <w:rFonts w:ascii="Arial" w:hAnsi="Arial" w:cs="Arial"/>
          <w:sz w:val="22"/>
          <w:szCs w:val="22"/>
        </w:rPr>
        <w:t xml:space="preserve"> entering the profession</w:t>
      </w:r>
      <w:r w:rsidR="00AB5B4C">
        <w:rPr>
          <w:rFonts w:ascii="Arial" w:hAnsi="Arial" w:cs="Arial"/>
          <w:sz w:val="22"/>
          <w:szCs w:val="22"/>
        </w:rPr>
        <w:t xml:space="preserve"> has become</w:t>
      </w:r>
      <w:r w:rsidR="00FA0C26" w:rsidRPr="0004604E">
        <w:rPr>
          <w:rFonts w:ascii="Arial" w:hAnsi="Arial" w:cs="Arial"/>
          <w:sz w:val="22"/>
          <w:szCs w:val="22"/>
        </w:rPr>
        <w:t xml:space="preserve"> significant for both branches.</w:t>
      </w:r>
      <w:r w:rsidR="00FA0C26">
        <w:rPr>
          <w:rFonts w:ascii="Arial" w:hAnsi="Arial" w:cs="Arial"/>
          <w:sz w:val="22"/>
          <w:szCs w:val="22"/>
        </w:rPr>
        <w:t xml:space="preserve"> </w:t>
      </w:r>
      <w:r w:rsidR="002C33B8">
        <w:rPr>
          <w:rFonts w:ascii="Arial" w:hAnsi="Arial" w:cs="Arial"/>
          <w:sz w:val="22"/>
          <w:szCs w:val="22"/>
        </w:rPr>
        <w:t xml:space="preserve">A study </w:t>
      </w:r>
      <w:r w:rsidR="00BF67BD">
        <w:rPr>
          <w:rFonts w:ascii="Arial" w:hAnsi="Arial" w:cs="Arial"/>
          <w:sz w:val="22"/>
          <w:szCs w:val="22"/>
        </w:rPr>
        <w:t xml:space="preserve">by Shiner </w:t>
      </w:r>
      <w:r w:rsidR="002C33B8">
        <w:rPr>
          <w:rFonts w:ascii="Arial" w:hAnsi="Arial" w:cs="Arial"/>
          <w:sz w:val="22"/>
          <w:szCs w:val="22"/>
        </w:rPr>
        <w:t>in the</w:t>
      </w:r>
      <w:r w:rsidR="00FA0C26">
        <w:rPr>
          <w:rFonts w:ascii="Arial" w:hAnsi="Arial" w:cs="Arial"/>
          <w:sz w:val="22"/>
          <w:szCs w:val="22"/>
        </w:rPr>
        <w:t xml:space="preserve"> 1990s show</w:t>
      </w:r>
      <w:r w:rsidR="00BF67BD">
        <w:rPr>
          <w:rFonts w:ascii="Arial" w:hAnsi="Arial" w:cs="Arial"/>
          <w:sz w:val="22"/>
          <w:szCs w:val="22"/>
        </w:rPr>
        <w:t>ed</w:t>
      </w:r>
      <w:r w:rsidR="00FA0C26">
        <w:rPr>
          <w:rFonts w:ascii="Arial" w:hAnsi="Arial" w:cs="Arial"/>
          <w:sz w:val="22"/>
          <w:szCs w:val="22"/>
        </w:rPr>
        <w:t xml:space="preserve"> </w:t>
      </w:r>
      <w:r w:rsidR="00E75A52">
        <w:rPr>
          <w:rFonts w:ascii="Arial" w:hAnsi="Arial" w:cs="Arial"/>
          <w:sz w:val="22"/>
          <w:szCs w:val="22"/>
        </w:rPr>
        <w:t>at that</w:t>
      </w:r>
      <w:r w:rsidR="00AB5B4C">
        <w:rPr>
          <w:rFonts w:ascii="Arial" w:hAnsi="Arial" w:cs="Arial"/>
          <w:sz w:val="22"/>
          <w:szCs w:val="22"/>
        </w:rPr>
        <w:t xml:space="preserve"> time </w:t>
      </w:r>
      <w:r w:rsidR="00FA0C26">
        <w:rPr>
          <w:rFonts w:ascii="Arial" w:hAnsi="Arial" w:cs="Arial"/>
          <w:sz w:val="22"/>
          <w:szCs w:val="22"/>
        </w:rPr>
        <w:t xml:space="preserve">they represented </w:t>
      </w:r>
      <w:r w:rsidR="00BF67BD">
        <w:rPr>
          <w:rFonts w:ascii="Arial" w:hAnsi="Arial" w:cs="Arial"/>
          <w:sz w:val="22"/>
          <w:szCs w:val="22"/>
        </w:rPr>
        <w:t xml:space="preserve">up to </w:t>
      </w:r>
      <w:r w:rsidR="00FA0C26">
        <w:rPr>
          <w:rFonts w:ascii="Arial" w:hAnsi="Arial" w:cs="Arial"/>
          <w:sz w:val="22"/>
          <w:szCs w:val="22"/>
        </w:rPr>
        <w:t>16% of</w:t>
      </w:r>
      <w:r w:rsidR="00AA264C">
        <w:rPr>
          <w:rFonts w:ascii="Arial" w:hAnsi="Arial" w:cs="Arial"/>
          <w:sz w:val="22"/>
          <w:szCs w:val="22"/>
        </w:rPr>
        <w:t xml:space="preserve"> </w:t>
      </w:r>
      <w:r w:rsidR="00FA0C26" w:rsidRPr="0004604E">
        <w:rPr>
          <w:rFonts w:ascii="Arial" w:hAnsi="Arial" w:cs="Arial"/>
          <w:sz w:val="22"/>
          <w:szCs w:val="22"/>
        </w:rPr>
        <w:t>admissions to the roll of solicitors</w:t>
      </w:r>
      <w:r w:rsidR="00AB5B4C">
        <w:rPr>
          <w:rFonts w:ascii="Arial" w:hAnsi="Arial" w:cs="Arial"/>
          <w:sz w:val="22"/>
          <w:szCs w:val="22"/>
        </w:rPr>
        <w:t>;</w:t>
      </w:r>
      <w:r w:rsidR="00FA0C26">
        <w:rPr>
          <w:rStyle w:val="FootnoteReference"/>
          <w:rFonts w:ascii="Arial" w:hAnsi="Arial" w:cs="Arial"/>
          <w:sz w:val="22"/>
          <w:szCs w:val="22"/>
        </w:rPr>
        <w:footnoteReference w:id="37"/>
      </w:r>
      <w:r w:rsidR="00AB5B4C">
        <w:rPr>
          <w:rFonts w:ascii="Arial" w:hAnsi="Arial" w:cs="Arial"/>
          <w:sz w:val="22"/>
          <w:szCs w:val="22"/>
        </w:rPr>
        <w:t xml:space="preserve"> </w:t>
      </w:r>
      <w:r w:rsidR="00FA0C26">
        <w:rPr>
          <w:rFonts w:ascii="Arial" w:hAnsi="Arial" w:cs="Arial"/>
          <w:sz w:val="22"/>
          <w:szCs w:val="22"/>
        </w:rPr>
        <w:t>more re</w:t>
      </w:r>
      <w:r w:rsidR="00FA0C26" w:rsidRPr="0004604E">
        <w:rPr>
          <w:rFonts w:ascii="Arial" w:hAnsi="Arial" w:cs="Arial"/>
          <w:sz w:val="22"/>
          <w:szCs w:val="22"/>
        </w:rPr>
        <w:t xml:space="preserve">cent data </w:t>
      </w:r>
      <w:r w:rsidR="00AB5B4C">
        <w:rPr>
          <w:rFonts w:ascii="Arial" w:hAnsi="Arial" w:cs="Arial"/>
          <w:sz w:val="22"/>
          <w:szCs w:val="22"/>
        </w:rPr>
        <w:t xml:space="preserve">shows </w:t>
      </w:r>
      <w:r w:rsidR="004A4A0D">
        <w:rPr>
          <w:rFonts w:ascii="Arial" w:hAnsi="Arial" w:cs="Arial"/>
          <w:sz w:val="22"/>
          <w:szCs w:val="22"/>
        </w:rPr>
        <w:t xml:space="preserve">this </w:t>
      </w:r>
      <w:r w:rsidR="00AB5B4C">
        <w:rPr>
          <w:rFonts w:ascii="Arial" w:hAnsi="Arial" w:cs="Arial"/>
          <w:sz w:val="22"/>
          <w:szCs w:val="22"/>
        </w:rPr>
        <w:t xml:space="preserve">at </w:t>
      </w:r>
      <w:r w:rsidR="004A4A0D">
        <w:rPr>
          <w:rFonts w:ascii="Arial" w:hAnsi="Arial" w:cs="Arial"/>
          <w:sz w:val="22"/>
          <w:szCs w:val="22"/>
        </w:rPr>
        <w:t xml:space="preserve">around </w:t>
      </w:r>
      <w:r w:rsidR="00FA0C26" w:rsidRPr="0004604E">
        <w:rPr>
          <w:rFonts w:ascii="Arial" w:hAnsi="Arial" w:cs="Arial"/>
          <w:sz w:val="22"/>
          <w:szCs w:val="22"/>
        </w:rPr>
        <w:t>20%</w:t>
      </w:r>
      <w:r w:rsidR="004A4A0D">
        <w:rPr>
          <w:rFonts w:ascii="Arial" w:hAnsi="Arial" w:cs="Arial"/>
          <w:sz w:val="22"/>
          <w:szCs w:val="22"/>
        </w:rPr>
        <w:t>.</w:t>
      </w:r>
      <w:r w:rsidR="00FA0C26" w:rsidRPr="0004604E">
        <w:rPr>
          <w:rStyle w:val="FootnoteReference"/>
          <w:rFonts w:ascii="Arial" w:hAnsi="Arial" w:cs="Arial"/>
          <w:sz w:val="22"/>
          <w:szCs w:val="22"/>
        </w:rPr>
        <w:footnoteReference w:id="38"/>
      </w:r>
      <w:r w:rsidR="00AB5B4C">
        <w:rPr>
          <w:rFonts w:ascii="Arial" w:hAnsi="Arial" w:cs="Arial"/>
          <w:sz w:val="22"/>
          <w:szCs w:val="22"/>
        </w:rPr>
        <w:t xml:space="preserve"> S</w:t>
      </w:r>
      <w:r w:rsidR="00BF67BD">
        <w:rPr>
          <w:rFonts w:ascii="Arial" w:hAnsi="Arial" w:cs="Arial"/>
          <w:sz w:val="22"/>
          <w:szCs w:val="22"/>
        </w:rPr>
        <w:t xml:space="preserve">hiner’s </w:t>
      </w:r>
      <w:r w:rsidR="00FA0C26">
        <w:rPr>
          <w:rFonts w:ascii="Arial" w:hAnsi="Arial" w:cs="Arial"/>
          <w:sz w:val="22"/>
          <w:szCs w:val="22"/>
        </w:rPr>
        <w:t>r</w:t>
      </w:r>
      <w:r w:rsidR="00FA0C26" w:rsidRPr="0004604E">
        <w:rPr>
          <w:rFonts w:ascii="Arial" w:hAnsi="Arial" w:cs="Arial"/>
          <w:sz w:val="22"/>
          <w:szCs w:val="22"/>
        </w:rPr>
        <w:t xml:space="preserve">esearch </w:t>
      </w:r>
      <w:r w:rsidR="00FA0C26">
        <w:rPr>
          <w:rFonts w:ascii="Arial" w:hAnsi="Arial" w:cs="Arial"/>
          <w:sz w:val="22"/>
          <w:szCs w:val="22"/>
        </w:rPr>
        <w:t>show</w:t>
      </w:r>
      <w:r w:rsidR="00AB5B4C">
        <w:rPr>
          <w:rFonts w:ascii="Arial" w:hAnsi="Arial" w:cs="Arial"/>
          <w:sz w:val="22"/>
          <w:szCs w:val="22"/>
        </w:rPr>
        <w:t>ed</w:t>
      </w:r>
      <w:r w:rsidR="00FA0C26">
        <w:rPr>
          <w:rFonts w:ascii="Arial" w:hAnsi="Arial" w:cs="Arial"/>
          <w:sz w:val="22"/>
          <w:szCs w:val="22"/>
        </w:rPr>
        <w:t xml:space="preserve"> </w:t>
      </w:r>
      <w:r w:rsidR="00827FA3">
        <w:rPr>
          <w:rFonts w:ascii="Arial" w:hAnsi="Arial" w:cs="Arial"/>
          <w:sz w:val="22"/>
          <w:szCs w:val="22"/>
        </w:rPr>
        <w:t>that NLG</w:t>
      </w:r>
      <w:r w:rsidR="00FA0C26" w:rsidRPr="0004604E">
        <w:rPr>
          <w:rFonts w:ascii="Arial" w:hAnsi="Arial" w:cs="Arial"/>
          <w:sz w:val="22"/>
          <w:szCs w:val="22"/>
        </w:rPr>
        <w:t xml:space="preserve"> ha</w:t>
      </w:r>
      <w:r w:rsidR="004A4A0D">
        <w:rPr>
          <w:rFonts w:ascii="Arial" w:hAnsi="Arial" w:cs="Arial"/>
          <w:sz w:val="22"/>
          <w:szCs w:val="22"/>
        </w:rPr>
        <w:t xml:space="preserve">d </w:t>
      </w:r>
      <w:r w:rsidR="00FA0C26" w:rsidRPr="0004604E">
        <w:rPr>
          <w:rFonts w:ascii="Arial" w:hAnsi="Arial" w:cs="Arial"/>
          <w:sz w:val="22"/>
          <w:szCs w:val="22"/>
        </w:rPr>
        <w:t>proportionally higher chances of success in recruitment compared with law graduates</w:t>
      </w:r>
      <w:r w:rsidR="00E75A52">
        <w:rPr>
          <w:rFonts w:ascii="Arial" w:hAnsi="Arial" w:cs="Arial"/>
          <w:sz w:val="22"/>
          <w:szCs w:val="22"/>
        </w:rPr>
        <w:t xml:space="preserve"> and</w:t>
      </w:r>
      <w:r w:rsidR="00AB5B4C">
        <w:rPr>
          <w:rFonts w:ascii="Arial" w:hAnsi="Arial" w:cs="Arial"/>
          <w:sz w:val="22"/>
          <w:szCs w:val="22"/>
        </w:rPr>
        <w:t xml:space="preserve"> </w:t>
      </w:r>
      <w:r w:rsidR="00E56B6F">
        <w:rPr>
          <w:rFonts w:ascii="Arial" w:hAnsi="Arial" w:cs="Arial"/>
          <w:sz w:val="22"/>
          <w:szCs w:val="22"/>
        </w:rPr>
        <w:t xml:space="preserve">other research </w:t>
      </w:r>
      <w:r w:rsidR="00455A05">
        <w:rPr>
          <w:rFonts w:ascii="Arial" w:hAnsi="Arial" w:cs="Arial"/>
          <w:sz w:val="22"/>
          <w:szCs w:val="22"/>
        </w:rPr>
        <w:t>is</w:t>
      </w:r>
      <w:r w:rsidR="00E56B6F">
        <w:rPr>
          <w:rFonts w:ascii="Arial" w:hAnsi="Arial" w:cs="Arial"/>
          <w:sz w:val="22"/>
          <w:szCs w:val="22"/>
        </w:rPr>
        <w:t xml:space="preserve"> consistent with this</w:t>
      </w:r>
      <w:r w:rsidR="00FA0C26" w:rsidRPr="0004604E">
        <w:rPr>
          <w:rFonts w:ascii="Arial" w:hAnsi="Arial" w:cs="Arial"/>
          <w:sz w:val="22"/>
          <w:szCs w:val="22"/>
        </w:rPr>
        <w:t>.</w:t>
      </w:r>
      <w:r w:rsidR="00FA0C26" w:rsidRPr="0004604E">
        <w:rPr>
          <w:rStyle w:val="FootnoteReference"/>
          <w:rFonts w:ascii="Arial" w:hAnsi="Arial" w:cs="Arial"/>
          <w:sz w:val="22"/>
          <w:szCs w:val="22"/>
        </w:rPr>
        <w:footnoteReference w:id="39"/>
      </w:r>
      <w:r w:rsidR="00FA0C26" w:rsidRPr="0004604E">
        <w:rPr>
          <w:rFonts w:ascii="Arial" w:hAnsi="Arial" w:cs="Arial"/>
          <w:sz w:val="22"/>
          <w:szCs w:val="22"/>
        </w:rPr>
        <w:t xml:space="preserve"> </w:t>
      </w:r>
      <w:r w:rsidR="00FA0C26">
        <w:rPr>
          <w:rFonts w:ascii="Arial" w:hAnsi="Arial" w:cs="Arial"/>
          <w:sz w:val="22"/>
          <w:szCs w:val="22"/>
        </w:rPr>
        <w:t xml:space="preserve"> </w:t>
      </w:r>
      <w:r w:rsidR="003E62F0">
        <w:rPr>
          <w:rFonts w:ascii="Arial" w:hAnsi="Arial" w:cs="Arial"/>
          <w:sz w:val="22"/>
          <w:szCs w:val="22"/>
        </w:rPr>
        <w:t xml:space="preserve">The </w:t>
      </w:r>
      <w:r w:rsidR="004A4A0D">
        <w:rPr>
          <w:rFonts w:ascii="Arial" w:hAnsi="Arial" w:cs="Arial"/>
          <w:sz w:val="22"/>
          <w:szCs w:val="22"/>
        </w:rPr>
        <w:t xml:space="preserve">actual </w:t>
      </w:r>
      <w:r w:rsidR="003E62F0">
        <w:rPr>
          <w:rFonts w:ascii="Arial" w:hAnsi="Arial" w:cs="Arial"/>
          <w:sz w:val="22"/>
          <w:szCs w:val="22"/>
        </w:rPr>
        <w:t xml:space="preserve">numbers </w:t>
      </w:r>
      <w:r w:rsidR="00AB5B4C">
        <w:rPr>
          <w:rFonts w:ascii="Arial" w:hAnsi="Arial" w:cs="Arial"/>
          <w:sz w:val="22"/>
          <w:szCs w:val="22"/>
        </w:rPr>
        <w:t xml:space="preserve">of NLG entering the profession </w:t>
      </w:r>
      <w:r w:rsidR="00FC4BB9">
        <w:rPr>
          <w:rFonts w:ascii="Arial" w:hAnsi="Arial" w:cs="Arial"/>
          <w:sz w:val="22"/>
          <w:szCs w:val="22"/>
        </w:rPr>
        <w:t>must be</w:t>
      </w:r>
      <w:r w:rsidR="003E62F0">
        <w:rPr>
          <w:rFonts w:ascii="Arial" w:hAnsi="Arial" w:cs="Arial"/>
          <w:sz w:val="22"/>
          <w:szCs w:val="22"/>
        </w:rPr>
        <w:t xml:space="preserve"> significant – a</w:t>
      </w:r>
      <w:r w:rsidR="004D1C8B">
        <w:rPr>
          <w:rFonts w:ascii="Arial" w:hAnsi="Arial" w:cs="Arial"/>
          <w:sz w:val="22"/>
          <w:szCs w:val="22"/>
        </w:rPr>
        <w:t>round a</w:t>
      </w:r>
      <w:r w:rsidR="003E62F0">
        <w:rPr>
          <w:rFonts w:ascii="Arial" w:hAnsi="Arial" w:cs="Arial"/>
          <w:sz w:val="22"/>
          <w:szCs w:val="22"/>
        </w:rPr>
        <w:t xml:space="preserve"> third of</w:t>
      </w:r>
      <w:r w:rsidR="005758A2">
        <w:rPr>
          <w:rFonts w:ascii="Arial" w:hAnsi="Arial" w:cs="Arial"/>
          <w:sz w:val="22"/>
          <w:szCs w:val="22"/>
        </w:rPr>
        <w:t xml:space="preserve"> all training contracts</w:t>
      </w:r>
      <w:r w:rsidR="004D1C8B">
        <w:rPr>
          <w:rFonts w:ascii="Arial" w:hAnsi="Arial" w:cs="Arial"/>
          <w:sz w:val="22"/>
          <w:szCs w:val="22"/>
        </w:rPr>
        <w:t xml:space="preserve"> </w:t>
      </w:r>
      <w:r w:rsidR="000675C9">
        <w:rPr>
          <w:rFonts w:ascii="Arial" w:hAnsi="Arial" w:cs="Arial"/>
          <w:sz w:val="22"/>
          <w:szCs w:val="22"/>
        </w:rPr>
        <w:t>are offered by</w:t>
      </w:r>
      <w:r w:rsidR="003E62F0">
        <w:rPr>
          <w:rFonts w:ascii="Arial" w:hAnsi="Arial" w:cs="Arial"/>
          <w:sz w:val="22"/>
          <w:szCs w:val="22"/>
        </w:rPr>
        <w:t xml:space="preserve"> city firms</w:t>
      </w:r>
      <w:r w:rsidR="001537E1">
        <w:rPr>
          <w:rFonts w:ascii="Arial" w:hAnsi="Arial" w:cs="Arial"/>
          <w:sz w:val="22"/>
          <w:szCs w:val="22"/>
        </w:rPr>
        <w:t xml:space="preserve"> which recruit large numbers of NLG</w:t>
      </w:r>
      <w:r w:rsidR="003E62F0">
        <w:rPr>
          <w:rFonts w:ascii="Arial" w:hAnsi="Arial" w:cs="Arial"/>
          <w:sz w:val="22"/>
          <w:szCs w:val="22"/>
        </w:rPr>
        <w:t>,</w:t>
      </w:r>
      <w:r w:rsidR="003E62F0">
        <w:rPr>
          <w:rStyle w:val="FootnoteReference"/>
          <w:rFonts w:ascii="Arial" w:hAnsi="Arial" w:cs="Arial"/>
          <w:sz w:val="22"/>
          <w:szCs w:val="22"/>
        </w:rPr>
        <w:footnoteReference w:id="40"/>
      </w:r>
      <w:r w:rsidR="003E62F0">
        <w:rPr>
          <w:rFonts w:ascii="Arial" w:hAnsi="Arial" w:cs="Arial"/>
          <w:sz w:val="22"/>
          <w:szCs w:val="22"/>
        </w:rPr>
        <w:t xml:space="preserve"> and</w:t>
      </w:r>
      <w:r w:rsidR="007F101D">
        <w:rPr>
          <w:rFonts w:ascii="Arial" w:hAnsi="Arial" w:cs="Arial"/>
          <w:sz w:val="22"/>
          <w:szCs w:val="22"/>
        </w:rPr>
        <w:t>,</w:t>
      </w:r>
      <w:r w:rsidR="003E62F0">
        <w:rPr>
          <w:rFonts w:ascii="Arial" w:hAnsi="Arial" w:cs="Arial"/>
          <w:sz w:val="22"/>
          <w:szCs w:val="22"/>
        </w:rPr>
        <w:t xml:space="preserve"> </w:t>
      </w:r>
      <w:r w:rsidR="007F101D">
        <w:rPr>
          <w:rFonts w:ascii="Arial" w:hAnsi="Arial" w:cs="Arial"/>
          <w:sz w:val="22"/>
          <w:szCs w:val="22"/>
        </w:rPr>
        <w:t xml:space="preserve">according to recent </w:t>
      </w:r>
      <w:r w:rsidR="00E56B6F">
        <w:rPr>
          <w:rFonts w:ascii="Arial" w:hAnsi="Arial" w:cs="Arial"/>
          <w:sz w:val="22"/>
          <w:szCs w:val="22"/>
        </w:rPr>
        <w:t xml:space="preserve">BSB </w:t>
      </w:r>
      <w:r w:rsidR="007F101D">
        <w:rPr>
          <w:rFonts w:ascii="Arial" w:hAnsi="Arial" w:cs="Arial"/>
          <w:sz w:val="22"/>
          <w:szCs w:val="22"/>
        </w:rPr>
        <w:t>data</w:t>
      </w:r>
      <w:r w:rsidR="003E62F0">
        <w:rPr>
          <w:rFonts w:ascii="Arial" w:hAnsi="Arial" w:cs="Arial"/>
          <w:sz w:val="22"/>
          <w:szCs w:val="22"/>
        </w:rPr>
        <w:t xml:space="preserve"> </w:t>
      </w:r>
      <w:r w:rsidR="004A4A0D">
        <w:rPr>
          <w:rFonts w:ascii="Arial" w:hAnsi="Arial" w:cs="Arial"/>
          <w:sz w:val="22"/>
          <w:szCs w:val="22"/>
        </w:rPr>
        <w:t xml:space="preserve">close to </w:t>
      </w:r>
      <w:r w:rsidR="003E62F0">
        <w:rPr>
          <w:rFonts w:ascii="Arial" w:hAnsi="Arial" w:cs="Arial"/>
          <w:sz w:val="22"/>
          <w:szCs w:val="22"/>
        </w:rPr>
        <w:t>half of all pupillages</w:t>
      </w:r>
      <w:r w:rsidR="004A4A0D">
        <w:rPr>
          <w:rFonts w:ascii="Arial" w:hAnsi="Arial" w:cs="Arial"/>
          <w:sz w:val="22"/>
          <w:szCs w:val="22"/>
        </w:rPr>
        <w:t xml:space="preserve"> </w:t>
      </w:r>
      <w:r w:rsidR="00E56B6F">
        <w:rPr>
          <w:rFonts w:ascii="Arial" w:hAnsi="Arial" w:cs="Arial"/>
          <w:sz w:val="22"/>
          <w:szCs w:val="22"/>
        </w:rPr>
        <w:t>are awarded to</w:t>
      </w:r>
      <w:r w:rsidR="004A4A0D">
        <w:rPr>
          <w:rFonts w:ascii="Arial" w:hAnsi="Arial" w:cs="Arial"/>
          <w:sz w:val="22"/>
          <w:szCs w:val="22"/>
        </w:rPr>
        <w:t xml:space="preserve"> NLG</w:t>
      </w:r>
      <w:r w:rsidR="007F101D">
        <w:rPr>
          <w:rFonts w:ascii="Arial" w:hAnsi="Arial" w:cs="Arial"/>
          <w:sz w:val="22"/>
          <w:szCs w:val="22"/>
        </w:rPr>
        <w:t xml:space="preserve"> </w:t>
      </w:r>
      <w:r w:rsidR="00E56B6F">
        <w:rPr>
          <w:rFonts w:ascii="Arial" w:hAnsi="Arial" w:cs="Arial"/>
          <w:sz w:val="22"/>
          <w:szCs w:val="22"/>
        </w:rPr>
        <w:t>despite being only</w:t>
      </w:r>
      <w:r w:rsidR="007F101D">
        <w:rPr>
          <w:rFonts w:ascii="Arial" w:hAnsi="Arial" w:cs="Arial"/>
          <w:sz w:val="22"/>
          <w:szCs w:val="22"/>
        </w:rPr>
        <w:t xml:space="preserve"> 20% of the BPTC cohort</w:t>
      </w:r>
      <w:r w:rsidR="001537E1">
        <w:rPr>
          <w:rFonts w:ascii="Arial" w:hAnsi="Arial" w:cs="Arial"/>
          <w:sz w:val="22"/>
          <w:szCs w:val="22"/>
        </w:rPr>
        <w:t>.</w:t>
      </w:r>
      <w:r w:rsidR="004A4A0D" w:rsidRPr="0004604E">
        <w:rPr>
          <w:rStyle w:val="FootnoteReference"/>
          <w:rFonts w:ascii="Arial" w:hAnsi="Arial" w:cs="Arial"/>
          <w:sz w:val="22"/>
          <w:szCs w:val="22"/>
        </w:rPr>
        <w:footnoteReference w:id="41"/>
      </w:r>
      <w:r w:rsidR="003E62F0">
        <w:rPr>
          <w:rFonts w:ascii="Arial" w:hAnsi="Arial" w:cs="Arial"/>
          <w:sz w:val="22"/>
          <w:szCs w:val="22"/>
        </w:rPr>
        <w:t xml:space="preserve"> </w:t>
      </w:r>
    </w:p>
    <w:p w14:paraId="22B00F35" w14:textId="77777777" w:rsidR="00FA7CFC" w:rsidRDefault="00FA7CFC" w:rsidP="00FA7CFC">
      <w:pPr>
        <w:rPr>
          <w:rFonts w:ascii="Arial" w:eastAsia="Times New Roman" w:hAnsi="Arial" w:cs="Arial"/>
          <w:sz w:val="22"/>
          <w:szCs w:val="22"/>
          <w:lang w:val="en-GB"/>
        </w:rPr>
      </w:pPr>
    </w:p>
    <w:p w14:paraId="57443074" w14:textId="3E13F3C7" w:rsidR="00804F5B" w:rsidRDefault="007A6CE2" w:rsidP="00FA0C26">
      <w:pPr>
        <w:widowControl w:val="0"/>
        <w:autoSpaceDE w:val="0"/>
        <w:autoSpaceDN w:val="0"/>
        <w:adjustRightInd w:val="0"/>
        <w:rPr>
          <w:rFonts w:ascii="Arial" w:hAnsi="Arial" w:cs="Arial"/>
          <w:sz w:val="22"/>
          <w:szCs w:val="22"/>
        </w:rPr>
      </w:pPr>
      <w:r>
        <w:rPr>
          <w:rFonts w:ascii="Arial" w:hAnsi="Arial" w:cs="Arial"/>
          <w:sz w:val="22"/>
          <w:szCs w:val="22"/>
        </w:rPr>
        <w:t>There is a view</w:t>
      </w:r>
      <w:r w:rsidR="00FA7CFC">
        <w:rPr>
          <w:rFonts w:ascii="Arial" w:hAnsi="Arial" w:cs="Arial"/>
          <w:sz w:val="22"/>
          <w:szCs w:val="22"/>
        </w:rPr>
        <w:t xml:space="preserve"> that </w:t>
      </w:r>
      <w:r w:rsidR="00FA7CFC" w:rsidRPr="002363EB">
        <w:rPr>
          <w:rFonts w:ascii="Arial" w:hAnsi="Arial" w:cs="Arial"/>
          <w:sz w:val="22"/>
          <w:szCs w:val="22"/>
        </w:rPr>
        <w:t xml:space="preserve">NLG </w:t>
      </w:r>
      <w:r w:rsidR="00FA7CFC">
        <w:rPr>
          <w:rFonts w:ascii="Arial" w:hAnsi="Arial" w:cs="Arial"/>
          <w:sz w:val="22"/>
          <w:szCs w:val="22"/>
        </w:rPr>
        <w:t xml:space="preserve">are preferred by employers </w:t>
      </w:r>
      <w:r w:rsidR="00FA7CFC" w:rsidRPr="002363EB">
        <w:rPr>
          <w:rFonts w:ascii="Arial" w:hAnsi="Arial" w:cs="Arial"/>
          <w:sz w:val="22"/>
          <w:szCs w:val="22"/>
        </w:rPr>
        <w:t>‘</w:t>
      </w:r>
      <w:r w:rsidR="00FA7CFC" w:rsidRPr="002363EB">
        <w:rPr>
          <w:rFonts w:ascii="Arial" w:eastAsia="Times New Roman" w:hAnsi="Arial" w:cs="Arial"/>
          <w:sz w:val="22"/>
          <w:szCs w:val="22"/>
          <w:lang w:val="en-GB"/>
        </w:rPr>
        <w:t>by reason of maturity or the breadth of learning and experience conferred by their undergraduate degree subject’</w:t>
      </w:r>
      <w:r w:rsidR="00FA7CFC" w:rsidRPr="002363EB">
        <w:rPr>
          <w:rFonts w:ascii="Arial" w:hAnsi="Arial" w:cs="Arial"/>
          <w:sz w:val="22"/>
          <w:szCs w:val="22"/>
        </w:rPr>
        <w:t>.</w:t>
      </w:r>
      <w:r w:rsidR="00FA7CFC" w:rsidRPr="002363EB">
        <w:rPr>
          <w:rStyle w:val="FootnoteReference"/>
          <w:rFonts w:ascii="Arial" w:hAnsi="Arial" w:cs="Arial"/>
          <w:sz w:val="22"/>
          <w:szCs w:val="22"/>
        </w:rPr>
        <w:footnoteReference w:id="42"/>
      </w:r>
      <w:r w:rsidR="00FA7CFC" w:rsidRPr="002363EB">
        <w:rPr>
          <w:rFonts w:ascii="Arial" w:hAnsi="Arial" w:cs="Arial"/>
          <w:sz w:val="22"/>
          <w:szCs w:val="22"/>
        </w:rPr>
        <w:t xml:space="preserve">  </w:t>
      </w:r>
      <w:r w:rsidR="00E75A52">
        <w:rPr>
          <w:rFonts w:ascii="Arial" w:hAnsi="Arial" w:cs="Arial"/>
          <w:sz w:val="22"/>
          <w:szCs w:val="22"/>
        </w:rPr>
        <w:t>On the face of it t</w:t>
      </w:r>
      <w:r>
        <w:rPr>
          <w:rFonts w:ascii="Arial" w:hAnsi="Arial" w:cs="Arial"/>
          <w:sz w:val="22"/>
          <w:szCs w:val="22"/>
        </w:rPr>
        <w:t xml:space="preserve">his seems </w:t>
      </w:r>
      <w:r w:rsidR="00AA264C">
        <w:rPr>
          <w:rFonts w:ascii="Arial" w:hAnsi="Arial" w:cs="Arial"/>
          <w:sz w:val="22"/>
          <w:szCs w:val="22"/>
        </w:rPr>
        <w:t>plausible</w:t>
      </w:r>
      <w:r w:rsidR="00FA7CFC">
        <w:rPr>
          <w:rFonts w:ascii="Arial" w:hAnsi="Arial" w:cs="Arial"/>
          <w:sz w:val="22"/>
          <w:szCs w:val="22"/>
        </w:rPr>
        <w:t xml:space="preserve">. But </w:t>
      </w:r>
      <w:r w:rsidR="00804F5B">
        <w:rPr>
          <w:rFonts w:ascii="Arial" w:hAnsi="Arial" w:cs="Arial"/>
          <w:sz w:val="22"/>
          <w:szCs w:val="22"/>
        </w:rPr>
        <w:t>it does not stand up to scrutiny</w:t>
      </w:r>
      <w:r w:rsidR="00FA7CFC">
        <w:rPr>
          <w:rFonts w:ascii="Arial" w:hAnsi="Arial" w:cs="Arial"/>
          <w:sz w:val="22"/>
          <w:szCs w:val="22"/>
        </w:rPr>
        <w:t xml:space="preserve">. </w:t>
      </w:r>
      <w:r w:rsidR="003E62F0">
        <w:rPr>
          <w:rFonts w:ascii="Arial" w:hAnsi="Arial" w:cs="Arial"/>
          <w:sz w:val="22"/>
          <w:szCs w:val="22"/>
        </w:rPr>
        <w:t xml:space="preserve"> </w:t>
      </w:r>
      <w:r w:rsidR="00AB5B4C">
        <w:rPr>
          <w:rFonts w:ascii="Arial" w:hAnsi="Arial" w:cs="Arial"/>
          <w:sz w:val="22"/>
          <w:szCs w:val="22"/>
        </w:rPr>
        <w:t xml:space="preserve">The evidence shows that </w:t>
      </w:r>
      <w:r w:rsidR="000958EE">
        <w:rPr>
          <w:rFonts w:ascii="Arial" w:hAnsi="Arial" w:cs="Arial"/>
          <w:sz w:val="22"/>
          <w:szCs w:val="22"/>
        </w:rPr>
        <w:t xml:space="preserve">in general </w:t>
      </w:r>
      <w:r w:rsidR="00AB5B4C">
        <w:rPr>
          <w:rFonts w:ascii="Arial" w:hAnsi="Arial" w:cs="Arial"/>
          <w:sz w:val="22"/>
          <w:szCs w:val="22"/>
        </w:rPr>
        <w:t>employers do not</w:t>
      </w:r>
      <w:r>
        <w:rPr>
          <w:rFonts w:ascii="Arial" w:hAnsi="Arial" w:cs="Arial"/>
          <w:sz w:val="22"/>
          <w:szCs w:val="22"/>
        </w:rPr>
        <w:t xml:space="preserve"> care about what </w:t>
      </w:r>
      <w:r w:rsidR="000958EE">
        <w:rPr>
          <w:rFonts w:ascii="Arial" w:hAnsi="Arial" w:cs="Arial"/>
          <w:sz w:val="22"/>
          <w:szCs w:val="22"/>
        </w:rPr>
        <w:t xml:space="preserve">subject </w:t>
      </w:r>
      <w:r w:rsidR="00DF0DA2">
        <w:rPr>
          <w:rFonts w:ascii="Arial" w:hAnsi="Arial" w:cs="Arial"/>
          <w:sz w:val="22"/>
          <w:szCs w:val="22"/>
        </w:rPr>
        <w:t>was</w:t>
      </w:r>
      <w:r w:rsidR="00FA7CFC">
        <w:rPr>
          <w:rFonts w:ascii="Arial" w:hAnsi="Arial" w:cs="Arial"/>
          <w:sz w:val="22"/>
          <w:szCs w:val="22"/>
        </w:rPr>
        <w:t xml:space="preserve"> previously studied</w:t>
      </w:r>
      <w:r w:rsidR="000958EE">
        <w:rPr>
          <w:rFonts w:ascii="Arial" w:hAnsi="Arial" w:cs="Arial"/>
          <w:sz w:val="22"/>
          <w:szCs w:val="22"/>
        </w:rPr>
        <w:t>.</w:t>
      </w:r>
      <w:r w:rsidR="00E75A52">
        <w:rPr>
          <w:rFonts w:ascii="Arial" w:hAnsi="Arial" w:cs="Arial"/>
          <w:sz w:val="22"/>
          <w:szCs w:val="22"/>
        </w:rPr>
        <w:t xml:space="preserve"> </w:t>
      </w:r>
      <w:r w:rsidR="00804F5B">
        <w:rPr>
          <w:rFonts w:ascii="Arial" w:hAnsi="Arial" w:cs="Arial"/>
          <w:sz w:val="22"/>
          <w:szCs w:val="22"/>
        </w:rPr>
        <w:t>A</w:t>
      </w:r>
      <w:r w:rsidR="00FA7CFC">
        <w:rPr>
          <w:rFonts w:ascii="Arial" w:hAnsi="Arial" w:cs="Arial"/>
          <w:sz w:val="22"/>
          <w:szCs w:val="22"/>
        </w:rPr>
        <w:t xml:space="preserve"> review of re</w:t>
      </w:r>
      <w:r w:rsidR="00AB5B4C">
        <w:rPr>
          <w:rFonts w:ascii="Arial" w:hAnsi="Arial" w:cs="Arial"/>
          <w:sz w:val="22"/>
          <w:szCs w:val="22"/>
        </w:rPr>
        <w:t xml:space="preserve">cruitment </w:t>
      </w:r>
      <w:r w:rsidR="00FA7CFC">
        <w:rPr>
          <w:rFonts w:ascii="Arial" w:hAnsi="Arial" w:cs="Arial"/>
          <w:sz w:val="22"/>
          <w:szCs w:val="22"/>
        </w:rPr>
        <w:t xml:space="preserve">literature </w:t>
      </w:r>
      <w:r w:rsidR="000958EE">
        <w:rPr>
          <w:rFonts w:ascii="Arial" w:hAnsi="Arial" w:cs="Arial"/>
          <w:sz w:val="22"/>
          <w:szCs w:val="22"/>
        </w:rPr>
        <w:t>demonstrates</w:t>
      </w:r>
      <w:r w:rsidR="00AB5B4C">
        <w:rPr>
          <w:rFonts w:ascii="Arial" w:hAnsi="Arial" w:cs="Arial"/>
          <w:sz w:val="22"/>
          <w:szCs w:val="22"/>
        </w:rPr>
        <w:t xml:space="preserve"> </w:t>
      </w:r>
      <w:r w:rsidR="00620364">
        <w:rPr>
          <w:rFonts w:ascii="Arial" w:hAnsi="Arial" w:cs="Arial"/>
          <w:sz w:val="22"/>
          <w:szCs w:val="22"/>
        </w:rPr>
        <w:t>that</w:t>
      </w:r>
      <w:r w:rsidR="00AB5B4C">
        <w:rPr>
          <w:rFonts w:ascii="Arial" w:hAnsi="Arial" w:cs="Arial"/>
          <w:sz w:val="22"/>
          <w:szCs w:val="22"/>
        </w:rPr>
        <w:t xml:space="preserve"> employer</w:t>
      </w:r>
      <w:r w:rsidR="00EB4EF5">
        <w:rPr>
          <w:rFonts w:ascii="Arial" w:hAnsi="Arial" w:cs="Arial"/>
          <w:sz w:val="22"/>
          <w:szCs w:val="22"/>
        </w:rPr>
        <w:t>s</w:t>
      </w:r>
      <w:r w:rsidR="00F443D4">
        <w:rPr>
          <w:rFonts w:ascii="Arial" w:hAnsi="Arial" w:cs="Arial"/>
          <w:sz w:val="22"/>
          <w:szCs w:val="22"/>
        </w:rPr>
        <w:t xml:space="preserve"> </w:t>
      </w:r>
      <w:r w:rsidR="00AB5B4C">
        <w:rPr>
          <w:rFonts w:ascii="Arial" w:hAnsi="Arial" w:cs="Arial"/>
          <w:sz w:val="22"/>
          <w:szCs w:val="22"/>
        </w:rPr>
        <w:t xml:space="preserve">do </w:t>
      </w:r>
      <w:r w:rsidR="00AB5B4C">
        <w:rPr>
          <w:rFonts w:ascii="Arial" w:hAnsi="Arial" w:cs="Arial"/>
          <w:sz w:val="22"/>
          <w:szCs w:val="22"/>
        </w:rPr>
        <w:lastRenderedPageBreak/>
        <w:t>not</w:t>
      </w:r>
      <w:r w:rsidR="00F443D4">
        <w:rPr>
          <w:rFonts w:ascii="Arial" w:hAnsi="Arial" w:cs="Arial"/>
          <w:sz w:val="22"/>
          <w:szCs w:val="22"/>
        </w:rPr>
        <w:t xml:space="preserve"> </w:t>
      </w:r>
      <w:r w:rsidR="00FA7CFC">
        <w:rPr>
          <w:rFonts w:ascii="Arial" w:hAnsi="Arial" w:cs="Arial"/>
          <w:sz w:val="22"/>
          <w:szCs w:val="22"/>
        </w:rPr>
        <w:t>indicate any particular preference</w:t>
      </w:r>
      <w:r w:rsidR="000958EE">
        <w:rPr>
          <w:rFonts w:ascii="Arial" w:hAnsi="Arial" w:cs="Arial"/>
          <w:sz w:val="22"/>
          <w:szCs w:val="22"/>
        </w:rPr>
        <w:t>.</w:t>
      </w:r>
      <w:r w:rsidR="00804F5B">
        <w:rPr>
          <w:rStyle w:val="FootnoteReference"/>
          <w:rFonts w:ascii="Arial" w:hAnsi="Arial" w:cs="Arial"/>
          <w:sz w:val="22"/>
          <w:szCs w:val="22"/>
        </w:rPr>
        <w:footnoteReference w:id="43"/>
      </w:r>
      <w:r w:rsidR="00E75A52">
        <w:rPr>
          <w:rFonts w:ascii="Arial" w:hAnsi="Arial" w:cs="Arial"/>
          <w:sz w:val="22"/>
          <w:szCs w:val="22"/>
        </w:rPr>
        <w:t xml:space="preserve"> </w:t>
      </w:r>
      <w:r w:rsidR="000958EE">
        <w:rPr>
          <w:rFonts w:ascii="Arial" w:hAnsi="Arial" w:cs="Arial"/>
          <w:sz w:val="22"/>
          <w:szCs w:val="22"/>
        </w:rPr>
        <w:t>Wh</w:t>
      </w:r>
      <w:r w:rsidR="00EB4EF5">
        <w:rPr>
          <w:rFonts w:ascii="Arial" w:hAnsi="Arial" w:cs="Arial"/>
          <w:sz w:val="22"/>
          <w:szCs w:val="22"/>
        </w:rPr>
        <w:t>at about the</w:t>
      </w:r>
      <w:r w:rsidR="00804F5B">
        <w:rPr>
          <w:rFonts w:ascii="Arial" w:hAnsi="Arial" w:cs="Arial"/>
          <w:sz w:val="22"/>
          <w:szCs w:val="22"/>
        </w:rPr>
        <w:t xml:space="preserve"> maturity</w:t>
      </w:r>
      <w:r w:rsidR="00EB4EF5">
        <w:rPr>
          <w:rFonts w:ascii="Arial" w:hAnsi="Arial" w:cs="Arial"/>
          <w:sz w:val="22"/>
          <w:szCs w:val="22"/>
        </w:rPr>
        <w:t xml:space="preserve"> of NLG</w:t>
      </w:r>
      <w:r w:rsidR="000958EE">
        <w:rPr>
          <w:rFonts w:ascii="Arial" w:hAnsi="Arial" w:cs="Arial"/>
          <w:sz w:val="22"/>
          <w:szCs w:val="22"/>
        </w:rPr>
        <w:t>?</w:t>
      </w:r>
      <w:r w:rsidR="00AB5B4C">
        <w:rPr>
          <w:rFonts w:ascii="Arial" w:hAnsi="Arial" w:cs="Arial"/>
          <w:sz w:val="22"/>
          <w:szCs w:val="22"/>
        </w:rPr>
        <w:t xml:space="preserve"> </w:t>
      </w:r>
      <w:r w:rsidR="000958EE">
        <w:rPr>
          <w:rFonts w:ascii="Arial" w:hAnsi="Arial" w:cs="Arial"/>
          <w:sz w:val="22"/>
          <w:szCs w:val="22"/>
        </w:rPr>
        <w:t xml:space="preserve">There is an </w:t>
      </w:r>
      <w:r w:rsidR="00CD6D74">
        <w:rPr>
          <w:rFonts w:ascii="Arial" w:hAnsi="Arial" w:cs="Arial"/>
          <w:sz w:val="22"/>
          <w:szCs w:val="22"/>
        </w:rPr>
        <w:t xml:space="preserve">extra year </w:t>
      </w:r>
      <w:r w:rsidR="00CE1EC0">
        <w:rPr>
          <w:rFonts w:ascii="Arial" w:hAnsi="Arial" w:cs="Arial"/>
          <w:sz w:val="22"/>
          <w:szCs w:val="22"/>
        </w:rPr>
        <w:t>through</w:t>
      </w:r>
      <w:r w:rsidR="000958EE">
        <w:rPr>
          <w:rFonts w:ascii="Arial" w:hAnsi="Arial" w:cs="Arial"/>
          <w:sz w:val="22"/>
          <w:szCs w:val="22"/>
        </w:rPr>
        <w:t xml:space="preserve"> time on the conversion course. But why limit consideration to </w:t>
      </w:r>
      <w:r w:rsidR="00EB4EF5">
        <w:rPr>
          <w:rFonts w:ascii="Arial" w:hAnsi="Arial" w:cs="Arial"/>
          <w:sz w:val="22"/>
          <w:szCs w:val="22"/>
        </w:rPr>
        <w:t xml:space="preserve">an </w:t>
      </w:r>
      <w:r w:rsidR="000675C9">
        <w:rPr>
          <w:rFonts w:ascii="Arial" w:hAnsi="Arial" w:cs="Arial"/>
          <w:sz w:val="22"/>
          <w:szCs w:val="22"/>
        </w:rPr>
        <w:t>extra year</w:t>
      </w:r>
      <w:r w:rsidR="00CD6D74">
        <w:rPr>
          <w:rFonts w:ascii="Arial" w:hAnsi="Arial" w:cs="Arial"/>
          <w:sz w:val="22"/>
          <w:szCs w:val="22"/>
        </w:rPr>
        <w:t xml:space="preserve">? If greater maturity is </w:t>
      </w:r>
      <w:r w:rsidR="00B42863">
        <w:rPr>
          <w:rFonts w:ascii="Arial" w:hAnsi="Arial" w:cs="Arial"/>
          <w:sz w:val="22"/>
          <w:szCs w:val="22"/>
        </w:rPr>
        <w:t>attractive</w:t>
      </w:r>
      <w:r w:rsidR="00FC4BB9">
        <w:rPr>
          <w:rFonts w:ascii="Arial" w:hAnsi="Arial" w:cs="Arial"/>
          <w:sz w:val="22"/>
          <w:szCs w:val="22"/>
        </w:rPr>
        <w:t>, then</w:t>
      </w:r>
      <w:r w:rsidR="000958EE">
        <w:rPr>
          <w:rFonts w:ascii="Arial" w:hAnsi="Arial" w:cs="Arial"/>
          <w:sz w:val="22"/>
          <w:szCs w:val="22"/>
        </w:rPr>
        <w:t xml:space="preserve"> </w:t>
      </w:r>
      <w:r w:rsidR="00FA7CFC">
        <w:rPr>
          <w:rFonts w:ascii="Arial" w:hAnsi="Arial" w:cs="Arial"/>
          <w:sz w:val="22"/>
          <w:szCs w:val="22"/>
        </w:rPr>
        <w:t>ther</w:t>
      </w:r>
      <w:r w:rsidR="003E62F0">
        <w:rPr>
          <w:rFonts w:ascii="Arial" w:hAnsi="Arial" w:cs="Arial"/>
          <w:sz w:val="22"/>
          <w:szCs w:val="22"/>
        </w:rPr>
        <w:t>e</w:t>
      </w:r>
      <w:r w:rsidR="00FA7CFC">
        <w:rPr>
          <w:rFonts w:ascii="Arial" w:hAnsi="Arial" w:cs="Arial"/>
          <w:sz w:val="22"/>
          <w:szCs w:val="22"/>
        </w:rPr>
        <w:t xml:space="preserve"> </w:t>
      </w:r>
      <w:r w:rsidR="001537E1">
        <w:rPr>
          <w:rFonts w:ascii="Arial" w:hAnsi="Arial" w:cs="Arial"/>
          <w:sz w:val="22"/>
          <w:szCs w:val="22"/>
        </w:rPr>
        <w:t>sh</w:t>
      </w:r>
      <w:r w:rsidR="00FA7CFC">
        <w:rPr>
          <w:rFonts w:ascii="Arial" w:hAnsi="Arial" w:cs="Arial"/>
          <w:sz w:val="22"/>
          <w:szCs w:val="22"/>
        </w:rPr>
        <w:t>ould be</w:t>
      </w:r>
      <w:r w:rsidR="00F443D4">
        <w:rPr>
          <w:rFonts w:ascii="Arial" w:hAnsi="Arial" w:cs="Arial"/>
          <w:sz w:val="22"/>
          <w:szCs w:val="22"/>
        </w:rPr>
        <w:t xml:space="preserve"> </w:t>
      </w:r>
      <w:r w:rsidR="00AB5B4C">
        <w:rPr>
          <w:rFonts w:ascii="Arial" w:hAnsi="Arial" w:cs="Arial"/>
          <w:sz w:val="22"/>
          <w:szCs w:val="22"/>
        </w:rPr>
        <w:t xml:space="preserve">students recruited and funded </w:t>
      </w:r>
      <w:r w:rsidR="00FA7CFC">
        <w:rPr>
          <w:rFonts w:ascii="Arial" w:hAnsi="Arial" w:cs="Arial"/>
          <w:sz w:val="22"/>
          <w:szCs w:val="22"/>
        </w:rPr>
        <w:t xml:space="preserve">from </w:t>
      </w:r>
      <w:r>
        <w:rPr>
          <w:rFonts w:ascii="Arial" w:hAnsi="Arial" w:cs="Arial"/>
          <w:sz w:val="22"/>
          <w:szCs w:val="22"/>
        </w:rPr>
        <w:t xml:space="preserve">a wide range of </w:t>
      </w:r>
      <w:r w:rsidR="00FA7CFC">
        <w:rPr>
          <w:rFonts w:ascii="Arial" w:hAnsi="Arial" w:cs="Arial"/>
          <w:sz w:val="22"/>
          <w:szCs w:val="22"/>
        </w:rPr>
        <w:t>universiti</w:t>
      </w:r>
      <w:r w:rsidR="00AB5B4C">
        <w:rPr>
          <w:rFonts w:ascii="Arial" w:hAnsi="Arial" w:cs="Arial"/>
          <w:sz w:val="22"/>
          <w:szCs w:val="22"/>
        </w:rPr>
        <w:t>es</w:t>
      </w:r>
      <w:r w:rsidR="000958EE">
        <w:rPr>
          <w:rFonts w:ascii="Arial" w:hAnsi="Arial" w:cs="Arial"/>
          <w:sz w:val="22"/>
          <w:szCs w:val="22"/>
        </w:rPr>
        <w:t xml:space="preserve"> </w:t>
      </w:r>
      <w:r w:rsidR="00E75A52">
        <w:rPr>
          <w:rFonts w:ascii="Arial" w:hAnsi="Arial" w:cs="Arial"/>
          <w:sz w:val="22"/>
          <w:szCs w:val="22"/>
        </w:rPr>
        <w:t xml:space="preserve">especially </w:t>
      </w:r>
      <w:r w:rsidR="00F443D4">
        <w:rPr>
          <w:rFonts w:ascii="Arial" w:hAnsi="Arial" w:cs="Arial"/>
          <w:sz w:val="22"/>
          <w:szCs w:val="22"/>
        </w:rPr>
        <w:t xml:space="preserve">and including </w:t>
      </w:r>
      <w:r w:rsidR="00E75A52">
        <w:rPr>
          <w:rFonts w:ascii="Arial" w:hAnsi="Arial" w:cs="Arial"/>
          <w:sz w:val="22"/>
          <w:szCs w:val="22"/>
        </w:rPr>
        <w:t>newer universities</w:t>
      </w:r>
      <w:r w:rsidR="00AB5B4C">
        <w:rPr>
          <w:rFonts w:ascii="Arial" w:hAnsi="Arial" w:cs="Arial"/>
          <w:sz w:val="22"/>
          <w:szCs w:val="22"/>
        </w:rPr>
        <w:t xml:space="preserve"> given that these </w:t>
      </w:r>
      <w:r w:rsidR="00DF0DA2">
        <w:rPr>
          <w:rFonts w:ascii="Arial" w:hAnsi="Arial" w:cs="Arial"/>
          <w:sz w:val="22"/>
          <w:szCs w:val="22"/>
        </w:rPr>
        <w:t>graduate</w:t>
      </w:r>
      <w:r w:rsidR="00620364">
        <w:rPr>
          <w:rFonts w:ascii="Arial" w:hAnsi="Arial" w:cs="Arial"/>
          <w:sz w:val="22"/>
          <w:szCs w:val="22"/>
        </w:rPr>
        <w:t xml:space="preserve"> more mature</w:t>
      </w:r>
      <w:r w:rsidR="00E75A52">
        <w:rPr>
          <w:rFonts w:ascii="Arial" w:hAnsi="Arial" w:cs="Arial"/>
          <w:sz w:val="22"/>
          <w:szCs w:val="22"/>
        </w:rPr>
        <w:t xml:space="preserve"> students</w:t>
      </w:r>
      <w:r w:rsidR="00FA7CFC">
        <w:rPr>
          <w:rFonts w:ascii="Arial" w:hAnsi="Arial" w:cs="Arial"/>
          <w:sz w:val="22"/>
          <w:szCs w:val="22"/>
        </w:rPr>
        <w:t xml:space="preserve">.  </w:t>
      </w:r>
    </w:p>
    <w:p w14:paraId="6E03C7ED" w14:textId="77777777" w:rsidR="00620364" w:rsidRDefault="00620364" w:rsidP="00FA0C26">
      <w:pPr>
        <w:widowControl w:val="0"/>
        <w:autoSpaceDE w:val="0"/>
        <w:autoSpaceDN w:val="0"/>
        <w:adjustRightInd w:val="0"/>
        <w:rPr>
          <w:rFonts w:ascii="Arial" w:hAnsi="Arial" w:cs="Arial"/>
          <w:sz w:val="22"/>
          <w:szCs w:val="22"/>
        </w:rPr>
      </w:pPr>
    </w:p>
    <w:p w14:paraId="2219BD9E" w14:textId="003797ED" w:rsidR="00FA0C26" w:rsidRDefault="00804F5B" w:rsidP="00FA0C26">
      <w:pPr>
        <w:widowControl w:val="0"/>
        <w:autoSpaceDE w:val="0"/>
        <w:autoSpaceDN w:val="0"/>
        <w:adjustRightInd w:val="0"/>
        <w:rPr>
          <w:rFonts w:ascii="Arial" w:hAnsi="Arial" w:cs="Arial"/>
          <w:sz w:val="22"/>
          <w:szCs w:val="22"/>
        </w:rPr>
      </w:pPr>
      <w:r>
        <w:rPr>
          <w:rFonts w:ascii="Arial" w:hAnsi="Arial" w:cs="Arial"/>
          <w:sz w:val="22"/>
          <w:szCs w:val="22"/>
        </w:rPr>
        <w:t xml:space="preserve">Rather, as studies show, </w:t>
      </w:r>
      <w:r w:rsidR="003E4233">
        <w:rPr>
          <w:rFonts w:ascii="Arial" w:hAnsi="Arial" w:cs="Arial"/>
          <w:sz w:val="22"/>
          <w:szCs w:val="22"/>
        </w:rPr>
        <w:t>i</w:t>
      </w:r>
      <w:r w:rsidR="00CA2974">
        <w:rPr>
          <w:rFonts w:ascii="Arial" w:hAnsi="Arial" w:cs="Arial"/>
          <w:sz w:val="22"/>
          <w:szCs w:val="22"/>
        </w:rPr>
        <w:t>t is</w:t>
      </w:r>
      <w:r w:rsidR="003E4233">
        <w:rPr>
          <w:rFonts w:ascii="Arial" w:hAnsi="Arial" w:cs="Arial"/>
          <w:sz w:val="22"/>
          <w:szCs w:val="22"/>
        </w:rPr>
        <w:t xml:space="preserve"> </w:t>
      </w:r>
      <w:r w:rsidR="00CA2974">
        <w:rPr>
          <w:rFonts w:ascii="Arial" w:hAnsi="Arial" w:cs="Arial"/>
          <w:sz w:val="22"/>
          <w:szCs w:val="22"/>
        </w:rPr>
        <w:t xml:space="preserve">neither </w:t>
      </w:r>
      <w:r w:rsidR="00FA7CFC">
        <w:rPr>
          <w:rFonts w:ascii="Arial" w:hAnsi="Arial" w:cs="Arial"/>
          <w:sz w:val="22"/>
          <w:szCs w:val="22"/>
        </w:rPr>
        <w:t xml:space="preserve">maturity </w:t>
      </w:r>
      <w:r w:rsidR="00F443D4">
        <w:rPr>
          <w:rFonts w:ascii="Arial" w:hAnsi="Arial" w:cs="Arial"/>
          <w:sz w:val="22"/>
          <w:szCs w:val="22"/>
        </w:rPr>
        <w:t>n</w:t>
      </w:r>
      <w:r w:rsidR="00FA7CFC">
        <w:rPr>
          <w:rFonts w:ascii="Arial" w:hAnsi="Arial" w:cs="Arial"/>
          <w:sz w:val="22"/>
          <w:szCs w:val="22"/>
        </w:rPr>
        <w:t xml:space="preserve">or </w:t>
      </w:r>
      <w:r w:rsidR="00F443D4">
        <w:rPr>
          <w:rFonts w:ascii="Arial" w:hAnsi="Arial" w:cs="Arial"/>
          <w:sz w:val="22"/>
          <w:szCs w:val="22"/>
        </w:rPr>
        <w:t xml:space="preserve">extra </w:t>
      </w:r>
      <w:r w:rsidR="00CA2974">
        <w:rPr>
          <w:rFonts w:ascii="Arial" w:hAnsi="Arial" w:cs="Arial"/>
          <w:sz w:val="22"/>
          <w:szCs w:val="22"/>
        </w:rPr>
        <w:t>stud</w:t>
      </w:r>
      <w:r w:rsidR="00F443D4">
        <w:rPr>
          <w:rFonts w:ascii="Arial" w:hAnsi="Arial" w:cs="Arial"/>
          <w:sz w:val="22"/>
          <w:szCs w:val="22"/>
        </w:rPr>
        <w:t>ies</w:t>
      </w:r>
      <w:r w:rsidR="000675C9">
        <w:rPr>
          <w:rFonts w:ascii="Arial" w:hAnsi="Arial" w:cs="Arial"/>
          <w:sz w:val="22"/>
          <w:szCs w:val="22"/>
        </w:rPr>
        <w:t xml:space="preserve"> </w:t>
      </w:r>
      <w:r w:rsidR="00F443D4">
        <w:rPr>
          <w:rFonts w:ascii="Arial" w:hAnsi="Arial" w:cs="Arial"/>
          <w:sz w:val="22"/>
          <w:szCs w:val="22"/>
        </w:rPr>
        <w:t xml:space="preserve">or a combination of them </w:t>
      </w:r>
      <w:r w:rsidR="00CA2974">
        <w:rPr>
          <w:rFonts w:ascii="Arial" w:hAnsi="Arial" w:cs="Arial"/>
          <w:sz w:val="22"/>
          <w:szCs w:val="22"/>
        </w:rPr>
        <w:t xml:space="preserve">that </w:t>
      </w:r>
      <w:r w:rsidR="001537E1">
        <w:rPr>
          <w:rFonts w:ascii="Arial" w:hAnsi="Arial" w:cs="Arial"/>
          <w:sz w:val="22"/>
          <w:szCs w:val="22"/>
        </w:rPr>
        <w:t>is decisive</w:t>
      </w:r>
      <w:r w:rsidR="007A6CE2">
        <w:rPr>
          <w:rFonts w:ascii="Arial" w:hAnsi="Arial" w:cs="Arial"/>
          <w:sz w:val="22"/>
          <w:szCs w:val="22"/>
        </w:rPr>
        <w:t>.</w:t>
      </w:r>
      <w:r>
        <w:rPr>
          <w:rFonts w:ascii="Arial" w:hAnsi="Arial" w:cs="Arial"/>
          <w:sz w:val="22"/>
          <w:szCs w:val="22"/>
        </w:rPr>
        <w:t xml:space="preserve"> </w:t>
      </w:r>
      <w:r w:rsidR="001537E1">
        <w:rPr>
          <w:rFonts w:ascii="Arial" w:hAnsi="Arial" w:cs="Arial"/>
          <w:sz w:val="22"/>
          <w:szCs w:val="22"/>
        </w:rPr>
        <w:t>W</w:t>
      </w:r>
      <w:r>
        <w:rPr>
          <w:rFonts w:ascii="Arial" w:hAnsi="Arial" w:cs="Arial"/>
          <w:sz w:val="22"/>
          <w:szCs w:val="22"/>
        </w:rPr>
        <w:t>hat is</w:t>
      </w:r>
      <w:r w:rsidR="00AF244E">
        <w:rPr>
          <w:rFonts w:ascii="Arial" w:hAnsi="Arial" w:cs="Arial"/>
          <w:sz w:val="22"/>
          <w:szCs w:val="22"/>
        </w:rPr>
        <w:t>,</w:t>
      </w:r>
      <w:r w:rsidR="001537E1">
        <w:rPr>
          <w:rFonts w:ascii="Arial" w:hAnsi="Arial" w:cs="Arial"/>
          <w:sz w:val="22"/>
          <w:szCs w:val="22"/>
        </w:rPr>
        <w:t xml:space="preserve"> </w:t>
      </w:r>
      <w:r>
        <w:rPr>
          <w:rFonts w:ascii="Arial" w:hAnsi="Arial" w:cs="Arial"/>
          <w:sz w:val="22"/>
          <w:szCs w:val="22"/>
        </w:rPr>
        <w:t xml:space="preserve">is </w:t>
      </w:r>
      <w:r w:rsidR="00FA7CFC" w:rsidRPr="00F23BA7">
        <w:rPr>
          <w:rFonts w:ascii="Arial" w:hAnsi="Arial" w:cs="Arial"/>
          <w:sz w:val="22"/>
          <w:szCs w:val="22"/>
        </w:rPr>
        <w:t xml:space="preserve">the right </w:t>
      </w:r>
      <w:r w:rsidR="00AA264C">
        <w:rPr>
          <w:rFonts w:ascii="Arial" w:hAnsi="Arial" w:cs="Arial"/>
          <w:sz w:val="22"/>
          <w:szCs w:val="22"/>
        </w:rPr>
        <w:t xml:space="preserve">undergraduate </w:t>
      </w:r>
      <w:r w:rsidR="00FA7CFC" w:rsidRPr="00F23BA7">
        <w:rPr>
          <w:rFonts w:ascii="Arial" w:hAnsi="Arial" w:cs="Arial"/>
          <w:sz w:val="22"/>
          <w:szCs w:val="22"/>
        </w:rPr>
        <w:t>university</w:t>
      </w:r>
      <w:r w:rsidR="00BF0F0F">
        <w:rPr>
          <w:rFonts w:ascii="Arial" w:hAnsi="Arial" w:cs="Arial"/>
          <w:sz w:val="22"/>
          <w:szCs w:val="22"/>
        </w:rPr>
        <w:t>.</w:t>
      </w:r>
      <w:r w:rsidR="002569AA" w:rsidRPr="00F23BA7">
        <w:rPr>
          <w:rFonts w:ascii="Arial" w:hAnsi="Arial" w:cs="Arial"/>
          <w:sz w:val="22"/>
          <w:szCs w:val="22"/>
        </w:rPr>
        <w:t xml:space="preserve"> </w:t>
      </w:r>
      <w:r w:rsidR="00511F8C" w:rsidRPr="00F23BA7">
        <w:rPr>
          <w:rFonts w:ascii="Arial" w:hAnsi="Arial" w:cs="Arial"/>
          <w:sz w:val="22"/>
          <w:szCs w:val="22"/>
        </w:rPr>
        <w:t xml:space="preserve">The </w:t>
      </w:r>
      <w:r w:rsidR="00F23BA7" w:rsidRPr="00F23BA7">
        <w:rPr>
          <w:rFonts w:ascii="Arial" w:hAnsi="Arial" w:cs="Arial"/>
          <w:sz w:val="22"/>
          <w:szCs w:val="22"/>
        </w:rPr>
        <w:t>evidence to the LETR s</w:t>
      </w:r>
      <w:r w:rsidR="00F23BA7">
        <w:rPr>
          <w:rFonts w:ascii="Arial" w:hAnsi="Arial" w:cs="Arial"/>
          <w:sz w:val="22"/>
          <w:szCs w:val="22"/>
        </w:rPr>
        <w:t xml:space="preserve">ummed this up as, </w:t>
      </w:r>
      <w:r w:rsidR="00F23BA7" w:rsidRPr="00FF2C4A">
        <w:rPr>
          <w:rFonts w:ascii="Arial" w:eastAsia="Times New Roman" w:hAnsi="Arial" w:cs="Arial"/>
          <w:sz w:val="22"/>
          <w:szCs w:val="22"/>
          <w:lang w:val="en-GB"/>
        </w:rPr>
        <w:t>‘good A levels and a 2:1 from a good university’.</w:t>
      </w:r>
      <w:r w:rsidR="00CA2974" w:rsidRPr="00F23BA7">
        <w:rPr>
          <w:rFonts w:ascii="Arial" w:hAnsi="Arial" w:cs="Arial"/>
          <w:sz w:val="22"/>
          <w:szCs w:val="22"/>
        </w:rPr>
        <w:t xml:space="preserve"> </w:t>
      </w:r>
      <w:r w:rsidR="007426DF">
        <w:rPr>
          <w:rFonts w:ascii="Arial" w:hAnsi="Arial" w:cs="Arial"/>
          <w:sz w:val="22"/>
          <w:szCs w:val="22"/>
        </w:rPr>
        <w:t xml:space="preserve">A </w:t>
      </w:r>
      <w:r w:rsidR="00CE1EC0">
        <w:rPr>
          <w:rFonts w:ascii="Arial" w:hAnsi="Arial" w:cs="Arial"/>
          <w:sz w:val="22"/>
          <w:szCs w:val="22"/>
        </w:rPr>
        <w:t>‘</w:t>
      </w:r>
      <w:r w:rsidR="007426DF">
        <w:rPr>
          <w:rFonts w:ascii="Arial" w:hAnsi="Arial" w:cs="Arial"/>
          <w:sz w:val="22"/>
          <w:szCs w:val="22"/>
        </w:rPr>
        <w:t>good</w:t>
      </w:r>
      <w:r w:rsidR="00CE1EC0">
        <w:rPr>
          <w:rFonts w:ascii="Arial" w:hAnsi="Arial" w:cs="Arial"/>
          <w:sz w:val="22"/>
          <w:szCs w:val="22"/>
        </w:rPr>
        <w:t>’</w:t>
      </w:r>
      <w:r w:rsidR="007426DF">
        <w:rPr>
          <w:rFonts w:ascii="Arial" w:hAnsi="Arial" w:cs="Arial"/>
          <w:sz w:val="22"/>
          <w:szCs w:val="22"/>
        </w:rPr>
        <w:t xml:space="preserve"> university is </w:t>
      </w:r>
      <w:r w:rsidR="00DF0DA2">
        <w:rPr>
          <w:rFonts w:ascii="Arial" w:hAnsi="Arial" w:cs="Arial"/>
          <w:sz w:val="22"/>
          <w:szCs w:val="22"/>
        </w:rPr>
        <w:t xml:space="preserve">typically considered to be </w:t>
      </w:r>
      <w:r w:rsidR="007426DF">
        <w:rPr>
          <w:rFonts w:ascii="Arial" w:hAnsi="Arial" w:cs="Arial"/>
          <w:sz w:val="22"/>
          <w:szCs w:val="22"/>
        </w:rPr>
        <w:t>‘Oxbridge or a Redbrick’</w:t>
      </w:r>
      <w:r w:rsidR="005758A2">
        <w:rPr>
          <w:rFonts w:ascii="Arial" w:hAnsi="Arial" w:cs="Arial"/>
          <w:sz w:val="22"/>
          <w:szCs w:val="22"/>
        </w:rPr>
        <w:t>, (</w:t>
      </w:r>
      <w:r w:rsidR="00CC494D">
        <w:rPr>
          <w:rFonts w:ascii="Arial" w:hAnsi="Arial" w:cs="Arial"/>
          <w:sz w:val="22"/>
          <w:szCs w:val="22"/>
        </w:rPr>
        <w:t>‘Russell Group)</w:t>
      </w:r>
      <w:r w:rsidR="007426DF">
        <w:rPr>
          <w:rFonts w:ascii="Arial" w:hAnsi="Arial" w:cs="Arial"/>
          <w:sz w:val="22"/>
          <w:szCs w:val="22"/>
        </w:rPr>
        <w:t>.</w:t>
      </w:r>
      <w:r w:rsidR="00CC494D" w:rsidRPr="00F23BA7">
        <w:rPr>
          <w:rStyle w:val="FootnoteReference"/>
          <w:rFonts w:ascii="Arial" w:hAnsi="Arial" w:cs="Arial"/>
          <w:sz w:val="22"/>
          <w:szCs w:val="22"/>
        </w:rPr>
        <w:footnoteReference w:id="44"/>
      </w:r>
      <w:r w:rsidR="00CC494D" w:rsidRPr="00F23BA7">
        <w:rPr>
          <w:rFonts w:ascii="Arial" w:hAnsi="Arial" w:cs="Arial"/>
          <w:sz w:val="22"/>
          <w:szCs w:val="22"/>
        </w:rPr>
        <w:t xml:space="preserve"> </w:t>
      </w:r>
      <w:r>
        <w:rPr>
          <w:rFonts w:ascii="Arial" w:hAnsi="Arial" w:cs="Arial"/>
          <w:sz w:val="22"/>
          <w:szCs w:val="22"/>
        </w:rPr>
        <w:t>T</w:t>
      </w:r>
      <w:r w:rsidR="007A6CE2" w:rsidRPr="00F23BA7">
        <w:rPr>
          <w:rFonts w:ascii="Arial" w:hAnsi="Arial" w:cs="Arial"/>
          <w:sz w:val="22"/>
          <w:szCs w:val="22"/>
        </w:rPr>
        <w:t>h</w:t>
      </w:r>
      <w:r w:rsidR="00CA2974" w:rsidRPr="00F23BA7">
        <w:rPr>
          <w:rFonts w:ascii="Arial" w:hAnsi="Arial" w:cs="Arial"/>
          <w:sz w:val="22"/>
          <w:szCs w:val="22"/>
        </w:rPr>
        <w:t xml:space="preserve">e </w:t>
      </w:r>
      <w:r w:rsidR="007A6CE2" w:rsidRPr="00F23BA7">
        <w:rPr>
          <w:rFonts w:ascii="Arial" w:hAnsi="Arial" w:cs="Arial"/>
          <w:sz w:val="22"/>
          <w:szCs w:val="22"/>
        </w:rPr>
        <w:t xml:space="preserve">basis of the recruitment </w:t>
      </w:r>
      <w:r w:rsidR="00CA2974" w:rsidRPr="00F23BA7">
        <w:rPr>
          <w:rFonts w:ascii="Arial" w:hAnsi="Arial" w:cs="Arial"/>
          <w:sz w:val="22"/>
          <w:szCs w:val="22"/>
        </w:rPr>
        <w:t>decision</w:t>
      </w:r>
      <w:r w:rsidR="007A6CE2" w:rsidRPr="00F23BA7">
        <w:rPr>
          <w:rFonts w:ascii="Arial" w:hAnsi="Arial" w:cs="Arial"/>
          <w:sz w:val="22"/>
          <w:szCs w:val="22"/>
        </w:rPr>
        <w:t xml:space="preserve"> </w:t>
      </w:r>
      <w:r w:rsidR="00E35EBC">
        <w:rPr>
          <w:rFonts w:ascii="Arial" w:hAnsi="Arial" w:cs="Arial"/>
          <w:sz w:val="22"/>
          <w:szCs w:val="22"/>
        </w:rPr>
        <w:t xml:space="preserve">for </w:t>
      </w:r>
      <w:r w:rsidR="00F23BA7" w:rsidRPr="00F23BA7">
        <w:rPr>
          <w:rFonts w:ascii="Arial" w:hAnsi="Arial" w:cs="Arial"/>
          <w:sz w:val="22"/>
          <w:szCs w:val="22"/>
        </w:rPr>
        <w:t xml:space="preserve">NLG </w:t>
      </w:r>
      <w:r w:rsidR="007A6CE2" w:rsidRPr="00F23BA7">
        <w:rPr>
          <w:rFonts w:ascii="Arial" w:hAnsi="Arial" w:cs="Arial"/>
          <w:sz w:val="22"/>
          <w:szCs w:val="22"/>
        </w:rPr>
        <w:t xml:space="preserve">is the same as the one </w:t>
      </w:r>
      <w:r w:rsidR="00B84AFD" w:rsidRPr="00F23BA7">
        <w:rPr>
          <w:rFonts w:ascii="Arial" w:hAnsi="Arial" w:cs="Arial"/>
          <w:sz w:val="22"/>
          <w:szCs w:val="22"/>
        </w:rPr>
        <w:t>fo</w:t>
      </w:r>
      <w:r w:rsidR="00FC4BB9">
        <w:rPr>
          <w:rFonts w:ascii="Arial" w:hAnsi="Arial" w:cs="Arial"/>
          <w:sz w:val="22"/>
          <w:szCs w:val="22"/>
        </w:rPr>
        <w:t>r</w:t>
      </w:r>
      <w:r w:rsidR="00CD6D74" w:rsidRPr="00F23BA7">
        <w:rPr>
          <w:rFonts w:ascii="Arial" w:hAnsi="Arial" w:cs="Arial"/>
          <w:sz w:val="22"/>
          <w:szCs w:val="22"/>
        </w:rPr>
        <w:t xml:space="preserve"> law graduate</w:t>
      </w:r>
      <w:r w:rsidR="00E35EBC">
        <w:rPr>
          <w:rFonts w:ascii="Arial" w:hAnsi="Arial" w:cs="Arial"/>
          <w:sz w:val="22"/>
          <w:szCs w:val="22"/>
        </w:rPr>
        <w:t>s</w:t>
      </w:r>
      <w:r w:rsidR="00CD6D74" w:rsidRPr="00F23BA7">
        <w:rPr>
          <w:rFonts w:ascii="Arial" w:hAnsi="Arial" w:cs="Arial"/>
          <w:sz w:val="22"/>
          <w:szCs w:val="22"/>
        </w:rPr>
        <w:t xml:space="preserve">  - having been admitted </w:t>
      </w:r>
      <w:r w:rsidR="00FC4BB9">
        <w:rPr>
          <w:rFonts w:ascii="Arial" w:hAnsi="Arial" w:cs="Arial"/>
          <w:sz w:val="22"/>
          <w:szCs w:val="22"/>
        </w:rPr>
        <w:t>for undergraduate study</w:t>
      </w:r>
      <w:r w:rsidR="00FC4BB9" w:rsidRPr="00F23BA7">
        <w:rPr>
          <w:rFonts w:ascii="Arial" w:hAnsi="Arial" w:cs="Arial"/>
          <w:sz w:val="22"/>
          <w:szCs w:val="22"/>
        </w:rPr>
        <w:t xml:space="preserve"> </w:t>
      </w:r>
      <w:r w:rsidR="00CD6D74" w:rsidRPr="00F23BA7">
        <w:rPr>
          <w:rFonts w:ascii="Arial" w:hAnsi="Arial" w:cs="Arial"/>
          <w:sz w:val="22"/>
          <w:szCs w:val="22"/>
        </w:rPr>
        <w:t xml:space="preserve">to </w:t>
      </w:r>
      <w:r w:rsidR="00626507" w:rsidRPr="00F23BA7">
        <w:rPr>
          <w:rFonts w:ascii="Arial" w:hAnsi="Arial" w:cs="Arial"/>
          <w:sz w:val="22"/>
          <w:szCs w:val="22"/>
        </w:rPr>
        <w:t xml:space="preserve">the </w:t>
      </w:r>
      <w:r w:rsidR="004C43EF">
        <w:rPr>
          <w:rFonts w:ascii="Arial" w:hAnsi="Arial" w:cs="Arial"/>
          <w:sz w:val="22"/>
          <w:szCs w:val="22"/>
        </w:rPr>
        <w:t>perceived better</w:t>
      </w:r>
      <w:r w:rsidR="004C43EF" w:rsidRPr="00F23BA7">
        <w:rPr>
          <w:rFonts w:ascii="Arial" w:hAnsi="Arial" w:cs="Arial"/>
          <w:sz w:val="22"/>
          <w:szCs w:val="22"/>
        </w:rPr>
        <w:t xml:space="preserve"> </w:t>
      </w:r>
      <w:r w:rsidR="00626507" w:rsidRPr="00F23BA7">
        <w:rPr>
          <w:rFonts w:ascii="Arial" w:hAnsi="Arial" w:cs="Arial"/>
          <w:sz w:val="22"/>
          <w:szCs w:val="22"/>
        </w:rPr>
        <w:t>universit</w:t>
      </w:r>
      <w:r w:rsidR="00700656">
        <w:rPr>
          <w:rFonts w:ascii="Arial" w:hAnsi="Arial" w:cs="Arial"/>
          <w:sz w:val="22"/>
          <w:szCs w:val="22"/>
        </w:rPr>
        <w:t>ies</w:t>
      </w:r>
      <w:r w:rsidR="007A6CE2" w:rsidRPr="00F23BA7">
        <w:rPr>
          <w:rFonts w:ascii="Arial" w:hAnsi="Arial" w:cs="Arial"/>
          <w:sz w:val="22"/>
          <w:szCs w:val="22"/>
        </w:rPr>
        <w:t>,</w:t>
      </w:r>
      <w:r w:rsidR="00626507" w:rsidRPr="00F23BA7">
        <w:rPr>
          <w:rFonts w:ascii="Arial" w:hAnsi="Arial" w:cs="Arial"/>
          <w:sz w:val="22"/>
          <w:szCs w:val="22"/>
        </w:rPr>
        <w:t xml:space="preserve"> and </w:t>
      </w:r>
      <w:r w:rsidR="00CD6D74" w:rsidRPr="00F23BA7">
        <w:rPr>
          <w:rFonts w:ascii="Arial" w:hAnsi="Arial" w:cs="Arial"/>
          <w:sz w:val="22"/>
          <w:szCs w:val="22"/>
        </w:rPr>
        <w:t xml:space="preserve">there having obtained </w:t>
      </w:r>
      <w:r w:rsidR="00CA2974" w:rsidRPr="00F23BA7">
        <w:rPr>
          <w:rFonts w:ascii="Arial" w:hAnsi="Arial" w:cs="Arial"/>
          <w:sz w:val="22"/>
          <w:szCs w:val="22"/>
        </w:rPr>
        <w:t>a good degree.</w:t>
      </w:r>
      <w:r w:rsidR="00626507" w:rsidRPr="00F23BA7">
        <w:rPr>
          <w:rFonts w:ascii="Arial" w:hAnsi="Arial" w:cs="Arial"/>
          <w:sz w:val="22"/>
          <w:szCs w:val="22"/>
        </w:rPr>
        <w:t xml:space="preserve"> </w:t>
      </w:r>
      <w:r w:rsidR="00827FA3">
        <w:rPr>
          <w:rFonts w:ascii="Arial" w:hAnsi="Arial" w:cs="Arial"/>
          <w:sz w:val="22"/>
          <w:szCs w:val="22"/>
        </w:rPr>
        <w:t xml:space="preserve">This represents a safer choice and cuts down costly recruitment processes. </w:t>
      </w:r>
      <w:r w:rsidR="005758A2">
        <w:rPr>
          <w:rFonts w:ascii="Arial" w:hAnsi="Arial" w:cs="Arial"/>
          <w:sz w:val="22"/>
          <w:szCs w:val="22"/>
        </w:rPr>
        <w:t>Graduating from these</w:t>
      </w:r>
      <w:r w:rsidR="00700656">
        <w:rPr>
          <w:rFonts w:ascii="Arial" w:hAnsi="Arial" w:cs="Arial"/>
          <w:sz w:val="22"/>
          <w:szCs w:val="22"/>
        </w:rPr>
        <w:t xml:space="preserve"> </w:t>
      </w:r>
      <w:r w:rsidR="00B9503A" w:rsidRPr="00F23BA7">
        <w:rPr>
          <w:rFonts w:ascii="Arial" w:hAnsi="Arial" w:cs="Arial"/>
          <w:sz w:val="22"/>
          <w:szCs w:val="22"/>
        </w:rPr>
        <w:t xml:space="preserve">university trumps </w:t>
      </w:r>
      <w:r w:rsidR="00455A05">
        <w:rPr>
          <w:rFonts w:ascii="Arial" w:hAnsi="Arial" w:cs="Arial"/>
          <w:sz w:val="22"/>
          <w:szCs w:val="22"/>
        </w:rPr>
        <w:t xml:space="preserve">consideration of </w:t>
      </w:r>
      <w:r w:rsidR="00700656">
        <w:rPr>
          <w:rFonts w:ascii="Arial" w:hAnsi="Arial" w:cs="Arial"/>
          <w:sz w:val="22"/>
          <w:szCs w:val="22"/>
        </w:rPr>
        <w:t xml:space="preserve">maturity </w:t>
      </w:r>
      <w:r w:rsidR="00EB4EF5">
        <w:rPr>
          <w:rFonts w:ascii="Arial" w:hAnsi="Arial" w:cs="Arial"/>
          <w:sz w:val="22"/>
          <w:szCs w:val="22"/>
        </w:rPr>
        <w:t xml:space="preserve">and </w:t>
      </w:r>
      <w:r w:rsidR="00B84AFD" w:rsidRPr="00F23BA7">
        <w:rPr>
          <w:rFonts w:ascii="Arial" w:hAnsi="Arial" w:cs="Arial"/>
          <w:sz w:val="22"/>
          <w:szCs w:val="22"/>
        </w:rPr>
        <w:t>wider skills</w:t>
      </w:r>
      <w:r w:rsidR="00700656">
        <w:rPr>
          <w:rFonts w:ascii="Arial" w:hAnsi="Arial" w:cs="Arial"/>
          <w:sz w:val="22"/>
          <w:szCs w:val="22"/>
        </w:rPr>
        <w:t xml:space="preserve"> and</w:t>
      </w:r>
      <w:r w:rsidR="00F23BA7" w:rsidRPr="00F23BA7">
        <w:rPr>
          <w:rFonts w:ascii="Arial" w:hAnsi="Arial" w:cs="Arial"/>
          <w:sz w:val="22"/>
          <w:szCs w:val="22"/>
        </w:rPr>
        <w:t xml:space="preserve"> experiences</w:t>
      </w:r>
      <w:r w:rsidR="00827FA3">
        <w:rPr>
          <w:rFonts w:ascii="Arial" w:hAnsi="Arial" w:cs="Arial"/>
          <w:sz w:val="22"/>
          <w:szCs w:val="22"/>
        </w:rPr>
        <w:t xml:space="preserve">. </w:t>
      </w:r>
      <w:r w:rsidR="00E3370C">
        <w:rPr>
          <w:rFonts w:ascii="Arial" w:hAnsi="Arial" w:cs="Arial"/>
          <w:sz w:val="22"/>
          <w:szCs w:val="22"/>
        </w:rPr>
        <w:t>Of course</w:t>
      </w:r>
      <w:r w:rsidR="00FE6A04">
        <w:rPr>
          <w:rFonts w:ascii="Arial" w:hAnsi="Arial" w:cs="Arial"/>
          <w:sz w:val="22"/>
          <w:szCs w:val="22"/>
        </w:rPr>
        <w:t>,</w:t>
      </w:r>
      <w:r w:rsidR="00E3370C">
        <w:rPr>
          <w:rFonts w:ascii="Arial" w:hAnsi="Arial" w:cs="Arial"/>
          <w:sz w:val="22"/>
          <w:szCs w:val="22"/>
        </w:rPr>
        <w:t xml:space="preserve"> in taking this approach </w:t>
      </w:r>
      <w:r w:rsidR="005758A2">
        <w:rPr>
          <w:rFonts w:ascii="Arial" w:hAnsi="Arial" w:cs="Arial"/>
          <w:sz w:val="22"/>
          <w:szCs w:val="22"/>
        </w:rPr>
        <w:t>recruiters</w:t>
      </w:r>
      <w:r w:rsidR="00E3370C" w:rsidRPr="00FF2C4A">
        <w:rPr>
          <w:rFonts w:ascii="Arial" w:hAnsi="Arial" w:cs="Arial"/>
          <w:sz w:val="22"/>
          <w:szCs w:val="22"/>
        </w:rPr>
        <w:t xml:space="preserve"> are ‘ignoring the possibility that [good] candidates might be found in the new universities.</w:t>
      </w:r>
      <w:r w:rsidR="00E3370C" w:rsidRPr="00FF2C4A">
        <w:rPr>
          <w:rStyle w:val="FootnoteReference"/>
          <w:rFonts w:ascii="Arial" w:hAnsi="Arial" w:cs="Arial"/>
          <w:sz w:val="22"/>
          <w:szCs w:val="22"/>
        </w:rPr>
        <w:footnoteReference w:id="45"/>
      </w:r>
      <w:r w:rsidR="00E3370C" w:rsidRPr="00FF2C4A">
        <w:rPr>
          <w:rFonts w:ascii="Arial" w:hAnsi="Arial" w:cs="Arial"/>
          <w:sz w:val="22"/>
          <w:szCs w:val="22"/>
        </w:rPr>
        <w:t xml:space="preserve"> </w:t>
      </w:r>
      <w:r w:rsidR="00E3370C">
        <w:rPr>
          <w:rFonts w:ascii="Arial" w:hAnsi="Arial" w:cs="Arial"/>
          <w:sz w:val="22"/>
          <w:szCs w:val="22"/>
        </w:rPr>
        <w:t xml:space="preserve"> </w:t>
      </w:r>
      <w:r w:rsidR="00AA264C">
        <w:rPr>
          <w:rFonts w:ascii="Arial" w:hAnsi="Arial" w:cs="Arial"/>
          <w:sz w:val="22"/>
          <w:szCs w:val="22"/>
        </w:rPr>
        <w:t>And</w:t>
      </w:r>
      <w:r w:rsidR="005758A2">
        <w:rPr>
          <w:rFonts w:ascii="Arial" w:hAnsi="Arial" w:cs="Arial"/>
          <w:sz w:val="22"/>
          <w:szCs w:val="22"/>
        </w:rPr>
        <w:t xml:space="preserve">, </w:t>
      </w:r>
      <w:r w:rsidR="00827FA3">
        <w:rPr>
          <w:rFonts w:ascii="Arial" w:hAnsi="Arial" w:cs="Arial"/>
          <w:sz w:val="22"/>
          <w:szCs w:val="22"/>
        </w:rPr>
        <w:t>it ignores</w:t>
      </w:r>
      <w:r w:rsidR="005758A2">
        <w:rPr>
          <w:rFonts w:ascii="Arial" w:hAnsi="Arial" w:cs="Arial"/>
          <w:sz w:val="22"/>
          <w:szCs w:val="22"/>
        </w:rPr>
        <w:t xml:space="preserve"> the possibility</w:t>
      </w:r>
      <w:r w:rsidR="00AA264C">
        <w:rPr>
          <w:rFonts w:ascii="Arial" w:hAnsi="Arial" w:cs="Arial"/>
          <w:sz w:val="22"/>
          <w:szCs w:val="22"/>
        </w:rPr>
        <w:t xml:space="preserve"> that som</w:t>
      </w:r>
      <w:r w:rsidR="005758A2">
        <w:rPr>
          <w:rFonts w:ascii="Arial" w:hAnsi="Arial" w:cs="Arial"/>
          <w:sz w:val="22"/>
          <w:szCs w:val="22"/>
        </w:rPr>
        <w:t>e of these universities might run good courses</w:t>
      </w:r>
      <w:r w:rsidR="00AA264C">
        <w:rPr>
          <w:rFonts w:ascii="Arial" w:hAnsi="Arial" w:cs="Arial"/>
          <w:sz w:val="22"/>
          <w:szCs w:val="22"/>
        </w:rPr>
        <w:t xml:space="preserve">. </w:t>
      </w:r>
      <w:r w:rsidR="005758A2">
        <w:rPr>
          <w:rFonts w:ascii="Arial" w:hAnsi="Arial" w:cs="Arial"/>
          <w:sz w:val="22"/>
          <w:szCs w:val="22"/>
        </w:rPr>
        <w:t>This a</w:t>
      </w:r>
      <w:r w:rsidR="00827FA3">
        <w:rPr>
          <w:rFonts w:ascii="Arial" w:hAnsi="Arial" w:cs="Arial"/>
          <w:sz w:val="22"/>
          <w:szCs w:val="22"/>
        </w:rPr>
        <w:t>ttitude</w:t>
      </w:r>
      <w:r w:rsidR="00FE0787">
        <w:rPr>
          <w:rFonts w:ascii="Arial" w:hAnsi="Arial" w:cs="Arial"/>
          <w:sz w:val="22"/>
          <w:szCs w:val="22"/>
        </w:rPr>
        <w:t xml:space="preserve"> closes down opportunity </w:t>
      </w:r>
      <w:r w:rsidR="00620364">
        <w:rPr>
          <w:rFonts w:ascii="Arial" w:hAnsi="Arial" w:cs="Arial"/>
          <w:sz w:val="22"/>
          <w:szCs w:val="22"/>
        </w:rPr>
        <w:t xml:space="preserve">to diversify the profession </w:t>
      </w:r>
      <w:r w:rsidR="00FE0787">
        <w:rPr>
          <w:rFonts w:ascii="Arial" w:hAnsi="Arial" w:cs="Arial"/>
          <w:sz w:val="22"/>
          <w:szCs w:val="22"/>
        </w:rPr>
        <w:t xml:space="preserve">as </w:t>
      </w:r>
      <w:r w:rsidR="00E3370C">
        <w:rPr>
          <w:rFonts w:ascii="Arial" w:hAnsi="Arial" w:cs="Arial"/>
          <w:sz w:val="22"/>
          <w:szCs w:val="22"/>
        </w:rPr>
        <w:t xml:space="preserve">it </w:t>
      </w:r>
      <w:r w:rsidR="00700656">
        <w:rPr>
          <w:rFonts w:ascii="Arial" w:hAnsi="Arial" w:cs="Arial"/>
          <w:sz w:val="22"/>
          <w:szCs w:val="22"/>
        </w:rPr>
        <w:t>results in the</w:t>
      </w:r>
      <w:r w:rsidR="007D521C">
        <w:rPr>
          <w:rFonts w:ascii="Arial" w:hAnsi="Arial" w:cs="Arial"/>
          <w:sz w:val="22"/>
          <w:szCs w:val="22"/>
        </w:rPr>
        <w:t xml:space="preserve"> exclu</w:t>
      </w:r>
      <w:r w:rsidR="00B42863">
        <w:rPr>
          <w:rFonts w:ascii="Arial" w:hAnsi="Arial" w:cs="Arial"/>
          <w:sz w:val="22"/>
          <w:szCs w:val="22"/>
        </w:rPr>
        <w:t xml:space="preserve">sion </w:t>
      </w:r>
      <w:r w:rsidR="00FE6A04">
        <w:rPr>
          <w:rFonts w:ascii="Arial" w:hAnsi="Arial" w:cs="Arial"/>
          <w:sz w:val="22"/>
          <w:szCs w:val="22"/>
        </w:rPr>
        <w:t xml:space="preserve">of students from </w:t>
      </w:r>
      <w:r w:rsidR="00827FA3">
        <w:rPr>
          <w:rFonts w:ascii="Arial" w:hAnsi="Arial" w:cs="Arial"/>
          <w:sz w:val="22"/>
          <w:szCs w:val="22"/>
        </w:rPr>
        <w:t>the</w:t>
      </w:r>
      <w:r w:rsidR="00FE6A04">
        <w:rPr>
          <w:rFonts w:ascii="Arial" w:hAnsi="Arial" w:cs="Arial"/>
          <w:sz w:val="22"/>
          <w:szCs w:val="22"/>
        </w:rPr>
        <w:t xml:space="preserve"> </w:t>
      </w:r>
      <w:r w:rsidR="00FC4BB9">
        <w:rPr>
          <w:rFonts w:ascii="Arial" w:hAnsi="Arial" w:cs="Arial"/>
          <w:sz w:val="22"/>
          <w:szCs w:val="22"/>
        </w:rPr>
        <w:t>sections</w:t>
      </w:r>
      <w:r w:rsidR="00FE6A04">
        <w:rPr>
          <w:rFonts w:ascii="Arial" w:hAnsi="Arial" w:cs="Arial"/>
          <w:sz w:val="22"/>
          <w:szCs w:val="22"/>
        </w:rPr>
        <w:t xml:space="preserve"> of society </w:t>
      </w:r>
      <w:r w:rsidR="00CC494D">
        <w:rPr>
          <w:rFonts w:ascii="Arial" w:hAnsi="Arial" w:cs="Arial"/>
          <w:sz w:val="22"/>
          <w:szCs w:val="22"/>
        </w:rPr>
        <w:t>who</w:t>
      </w:r>
      <w:r w:rsidR="00E35EBC">
        <w:rPr>
          <w:rFonts w:ascii="Arial" w:hAnsi="Arial" w:cs="Arial"/>
          <w:sz w:val="22"/>
          <w:szCs w:val="22"/>
        </w:rPr>
        <w:t xml:space="preserve"> are vital to increasing diversity.</w:t>
      </w:r>
    </w:p>
    <w:p w14:paraId="508C2D3D" w14:textId="77777777" w:rsidR="00E3370C" w:rsidRDefault="00E3370C" w:rsidP="00FA0C26">
      <w:pPr>
        <w:widowControl w:val="0"/>
        <w:autoSpaceDE w:val="0"/>
        <w:autoSpaceDN w:val="0"/>
        <w:adjustRightInd w:val="0"/>
        <w:rPr>
          <w:rFonts w:ascii="Arial" w:hAnsi="Arial" w:cs="Arial"/>
          <w:sz w:val="22"/>
          <w:szCs w:val="22"/>
        </w:rPr>
      </w:pPr>
    </w:p>
    <w:p w14:paraId="2CB06B02" w14:textId="77777777" w:rsidR="00511F8C" w:rsidRDefault="00511F8C" w:rsidP="00FA0C26">
      <w:pPr>
        <w:widowControl w:val="0"/>
        <w:autoSpaceDE w:val="0"/>
        <w:autoSpaceDN w:val="0"/>
        <w:adjustRightInd w:val="0"/>
        <w:rPr>
          <w:rFonts w:ascii="Arial" w:hAnsi="Arial" w:cs="Arial"/>
          <w:b/>
          <w:strike/>
          <w:sz w:val="22"/>
          <w:szCs w:val="22"/>
        </w:rPr>
      </w:pPr>
    </w:p>
    <w:p w14:paraId="0705EA25" w14:textId="77777777" w:rsidR="00FA0C26" w:rsidRPr="00511F8C" w:rsidRDefault="00DE58DB" w:rsidP="00FA0C26">
      <w:pPr>
        <w:widowControl w:val="0"/>
        <w:autoSpaceDE w:val="0"/>
        <w:autoSpaceDN w:val="0"/>
        <w:adjustRightInd w:val="0"/>
        <w:rPr>
          <w:rFonts w:ascii="Arial" w:hAnsi="Arial" w:cs="Arial"/>
          <w:b/>
          <w:sz w:val="22"/>
          <w:szCs w:val="22"/>
        </w:rPr>
      </w:pPr>
      <w:r>
        <w:rPr>
          <w:rFonts w:ascii="Arial" w:hAnsi="Arial" w:cs="Arial"/>
          <w:b/>
          <w:sz w:val="22"/>
          <w:szCs w:val="22"/>
        </w:rPr>
        <w:t>Diverse u</w:t>
      </w:r>
      <w:r w:rsidR="00B726AC">
        <w:rPr>
          <w:rFonts w:ascii="Arial" w:hAnsi="Arial" w:cs="Arial"/>
          <w:b/>
          <w:sz w:val="22"/>
          <w:szCs w:val="22"/>
        </w:rPr>
        <w:t xml:space="preserve">nderperformance </w:t>
      </w:r>
      <w:r w:rsidR="000C41F4">
        <w:rPr>
          <w:rFonts w:ascii="Arial" w:hAnsi="Arial" w:cs="Arial"/>
          <w:b/>
          <w:sz w:val="22"/>
          <w:szCs w:val="22"/>
        </w:rPr>
        <w:t xml:space="preserve"> </w:t>
      </w:r>
    </w:p>
    <w:p w14:paraId="08F44CAF" w14:textId="77777777" w:rsidR="0052550D" w:rsidRDefault="0052550D" w:rsidP="00FA0C26">
      <w:pPr>
        <w:widowControl w:val="0"/>
        <w:autoSpaceDE w:val="0"/>
        <w:autoSpaceDN w:val="0"/>
        <w:adjustRightInd w:val="0"/>
        <w:rPr>
          <w:rFonts w:ascii="Arial" w:hAnsi="Arial" w:cs="Arial"/>
          <w:b/>
          <w:sz w:val="22"/>
          <w:szCs w:val="22"/>
        </w:rPr>
      </w:pPr>
    </w:p>
    <w:p w14:paraId="1F2E94BE" w14:textId="3F64545D" w:rsidR="004C56D7" w:rsidRPr="002363EB" w:rsidRDefault="00B726AC">
      <w:pPr>
        <w:widowControl w:val="0"/>
        <w:autoSpaceDE w:val="0"/>
        <w:autoSpaceDN w:val="0"/>
        <w:adjustRightInd w:val="0"/>
        <w:rPr>
          <w:rFonts w:ascii="Arial" w:hAnsi="Arial" w:cs="Arial"/>
          <w:sz w:val="22"/>
          <w:szCs w:val="22"/>
        </w:rPr>
      </w:pPr>
      <w:r>
        <w:rPr>
          <w:rFonts w:ascii="Arial" w:hAnsi="Arial" w:cs="Arial"/>
          <w:sz w:val="22"/>
          <w:szCs w:val="22"/>
        </w:rPr>
        <w:t>Having a profession that is ‘</w:t>
      </w:r>
      <w:r w:rsidRPr="00AC7C06">
        <w:rPr>
          <w:rFonts w:ascii="Arial" w:eastAsia="Times New Roman" w:hAnsi="Arial" w:cs="Arial"/>
          <w:sz w:val="22"/>
          <w:szCs w:val="22"/>
          <w:lang w:val="en-GB"/>
        </w:rPr>
        <w:t>representative of the full spectrum of the population it serves</w:t>
      </w:r>
      <w:r>
        <w:rPr>
          <w:rFonts w:ascii="Arial" w:hAnsi="Arial" w:cs="Arial"/>
          <w:sz w:val="22"/>
          <w:szCs w:val="22"/>
        </w:rPr>
        <w:t>’ is</w:t>
      </w:r>
      <w:r w:rsidR="00511F8C">
        <w:rPr>
          <w:rFonts w:ascii="Arial" w:hAnsi="Arial" w:cs="Arial"/>
          <w:sz w:val="22"/>
          <w:szCs w:val="22"/>
        </w:rPr>
        <w:t xml:space="preserve"> </w:t>
      </w:r>
      <w:r>
        <w:rPr>
          <w:rFonts w:ascii="Arial" w:hAnsi="Arial" w:cs="Arial"/>
          <w:sz w:val="22"/>
          <w:szCs w:val="22"/>
        </w:rPr>
        <w:t xml:space="preserve">a </w:t>
      </w:r>
      <w:r w:rsidR="007527EE">
        <w:rPr>
          <w:rFonts w:ascii="Arial" w:hAnsi="Arial" w:cs="Arial"/>
          <w:sz w:val="22"/>
          <w:szCs w:val="22"/>
        </w:rPr>
        <w:t xml:space="preserve">central </w:t>
      </w:r>
      <w:r>
        <w:rPr>
          <w:rFonts w:ascii="Arial" w:hAnsi="Arial" w:cs="Arial"/>
          <w:sz w:val="22"/>
          <w:szCs w:val="22"/>
        </w:rPr>
        <w:t xml:space="preserve">plank of </w:t>
      </w:r>
      <w:r w:rsidR="007527EE">
        <w:rPr>
          <w:rFonts w:ascii="Arial" w:hAnsi="Arial" w:cs="Arial"/>
          <w:sz w:val="22"/>
          <w:szCs w:val="22"/>
        </w:rPr>
        <w:t>the reforms to the routes to qualificatio</w:t>
      </w:r>
      <w:r w:rsidR="00CD6D74">
        <w:rPr>
          <w:rFonts w:ascii="Arial" w:hAnsi="Arial" w:cs="Arial"/>
          <w:sz w:val="22"/>
          <w:szCs w:val="22"/>
        </w:rPr>
        <w:t>n</w:t>
      </w:r>
      <w:r w:rsidR="00511F8C">
        <w:rPr>
          <w:rFonts w:ascii="Arial" w:hAnsi="Arial" w:cs="Arial"/>
          <w:sz w:val="22"/>
          <w:szCs w:val="22"/>
        </w:rPr>
        <w:t xml:space="preserve"> </w:t>
      </w:r>
      <w:r w:rsidR="007527EE">
        <w:rPr>
          <w:rFonts w:ascii="Arial" w:hAnsi="Arial" w:cs="Arial"/>
          <w:sz w:val="22"/>
          <w:szCs w:val="22"/>
        </w:rPr>
        <w:t>considered later in this article.</w:t>
      </w:r>
      <w:r w:rsidR="00E671F4">
        <w:rPr>
          <w:rStyle w:val="FootnoteReference"/>
          <w:rFonts w:ascii="Arial" w:hAnsi="Arial" w:cs="Arial"/>
          <w:sz w:val="22"/>
          <w:szCs w:val="22"/>
        </w:rPr>
        <w:footnoteReference w:id="46"/>
      </w:r>
      <w:r w:rsidR="007527EE">
        <w:rPr>
          <w:rFonts w:ascii="Arial" w:hAnsi="Arial" w:cs="Arial"/>
          <w:sz w:val="22"/>
          <w:szCs w:val="22"/>
        </w:rPr>
        <w:t xml:space="preserve"> </w:t>
      </w:r>
      <w:r w:rsidR="005758A2">
        <w:rPr>
          <w:rFonts w:ascii="Arial" w:hAnsi="Arial" w:cs="Arial"/>
          <w:sz w:val="22"/>
          <w:szCs w:val="22"/>
        </w:rPr>
        <w:t xml:space="preserve">For students this is </w:t>
      </w:r>
      <w:r>
        <w:rPr>
          <w:rFonts w:ascii="Arial" w:hAnsi="Arial" w:cs="Arial"/>
          <w:sz w:val="22"/>
          <w:szCs w:val="22"/>
        </w:rPr>
        <w:t xml:space="preserve">about </w:t>
      </w:r>
      <w:r w:rsidR="00FC4BB9">
        <w:rPr>
          <w:rFonts w:ascii="Arial" w:hAnsi="Arial" w:cs="Arial"/>
          <w:sz w:val="22"/>
          <w:szCs w:val="22"/>
        </w:rPr>
        <w:t>a fair deal</w:t>
      </w:r>
      <w:r w:rsidR="00FE6A04">
        <w:rPr>
          <w:rFonts w:ascii="Arial" w:hAnsi="Arial" w:cs="Arial"/>
          <w:sz w:val="22"/>
          <w:szCs w:val="22"/>
        </w:rPr>
        <w:t>:</w:t>
      </w:r>
      <w:r>
        <w:rPr>
          <w:rFonts w:ascii="Arial" w:hAnsi="Arial" w:cs="Arial"/>
          <w:sz w:val="22"/>
          <w:szCs w:val="22"/>
        </w:rPr>
        <w:t xml:space="preserve"> that there are equal and fair opportunities to compete for entry</w:t>
      </w:r>
      <w:r w:rsidR="00455A05">
        <w:rPr>
          <w:rFonts w:ascii="Arial" w:hAnsi="Arial" w:cs="Arial"/>
          <w:sz w:val="22"/>
          <w:szCs w:val="22"/>
        </w:rPr>
        <w:t xml:space="preserve"> and</w:t>
      </w:r>
      <w:r w:rsidR="005758A2">
        <w:rPr>
          <w:rFonts w:ascii="Arial" w:hAnsi="Arial" w:cs="Arial"/>
          <w:sz w:val="22"/>
          <w:szCs w:val="22"/>
        </w:rPr>
        <w:t xml:space="preserve"> </w:t>
      </w:r>
      <w:r w:rsidR="00FE6A04">
        <w:rPr>
          <w:rFonts w:ascii="Arial" w:hAnsi="Arial" w:cs="Arial"/>
          <w:sz w:val="22"/>
          <w:szCs w:val="22"/>
        </w:rPr>
        <w:t xml:space="preserve">that the profession </w:t>
      </w:r>
      <w:r w:rsidR="005758A2">
        <w:rPr>
          <w:rFonts w:ascii="Arial" w:hAnsi="Arial" w:cs="Arial"/>
          <w:sz w:val="22"/>
          <w:szCs w:val="22"/>
        </w:rPr>
        <w:t xml:space="preserve">can reflect </w:t>
      </w:r>
      <w:r w:rsidR="00FE6A04">
        <w:rPr>
          <w:rFonts w:ascii="Arial" w:hAnsi="Arial" w:cs="Arial"/>
          <w:sz w:val="22"/>
          <w:szCs w:val="22"/>
        </w:rPr>
        <w:t>society</w:t>
      </w:r>
      <w:r>
        <w:rPr>
          <w:rFonts w:ascii="Arial" w:hAnsi="Arial" w:cs="Arial"/>
          <w:sz w:val="22"/>
          <w:szCs w:val="22"/>
        </w:rPr>
        <w:t xml:space="preserve">. </w:t>
      </w:r>
      <w:r w:rsidR="0059360E">
        <w:rPr>
          <w:rFonts w:ascii="Arial" w:hAnsi="Arial" w:cs="Arial"/>
          <w:sz w:val="22"/>
          <w:szCs w:val="22"/>
        </w:rPr>
        <w:t xml:space="preserve">Despite a history of </w:t>
      </w:r>
      <w:r>
        <w:rPr>
          <w:rFonts w:ascii="Arial" w:hAnsi="Arial" w:cs="Arial"/>
          <w:sz w:val="22"/>
          <w:szCs w:val="22"/>
        </w:rPr>
        <w:t>equality legislation</w:t>
      </w:r>
      <w:r w:rsidR="00B42863">
        <w:rPr>
          <w:rFonts w:ascii="Arial" w:hAnsi="Arial" w:cs="Arial"/>
          <w:sz w:val="22"/>
          <w:szCs w:val="22"/>
        </w:rPr>
        <w:t>,</w:t>
      </w:r>
      <w:r>
        <w:rPr>
          <w:rStyle w:val="FootnoteReference"/>
          <w:rFonts w:ascii="Arial" w:hAnsi="Arial" w:cs="Arial"/>
          <w:sz w:val="22"/>
          <w:szCs w:val="22"/>
        </w:rPr>
        <w:footnoteReference w:id="47"/>
      </w:r>
      <w:r>
        <w:rPr>
          <w:rFonts w:ascii="Arial" w:hAnsi="Arial" w:cs="Arial"/>
          <w:sz w:val="22"/>
          <w:szCs w:val="22"/>
        </w:rPr>
        <w:t xml:space="preserve"> </w:t>
      </w:r>
      <w:r w:rsidR="009F7874">
        <w:rPr>
          <w:rFonts w:ascii="Arial" w:hAnsi="Arial" w:cs="Arial"/>
          <w:sz w:val="22"/>
          <w:szCs w:val="22"/>
        </w:rPr>
        <w:t>there is</w:t>
      </w:r>
      <w:r w:rsidR="004C43EF">
        <w:rPr>
          <w:rFonts w:ascii="Arial" w:hAnsi="Arial" w:cs="Arial"/>
          <w:sz w:val="22"/>
          <w:szCs w:val="22"/>
        </w:rPr>
        <w:t xml:space="preserve"> a</w:t>
      </w:r>
      <w:r>
        <w:rPr>
          <w:rFonts w:ascii="Arial" w:hAnsi="Arial" w:cs="Arial"/>
          <w:sz w:val="22"/>
          <w:szCs w:val="22"/>
        </w:rPr>
        <w:t xml:space="preserve"> legacy of BME disadvantage </w:t>
      </w:r>
      <w:r w:rsidR="004C43EF">
        <w:rPr>
          <w:rFonts w:ascii="Arial" w:hAnsi="Arial" w:cs="Arial"/>
          <w:sz w:val="22"/>
          <w:szCs w:val="22"/>
        </w:rPr>
        <w:t xml:space="preserve">which </w:t>
      </w:r>
      <w:r w:rsidR="00A56A60">
        <w:rPr>
          <w:rFonts w:ascii="Arial" w:hAnsi="Arial" w:cs="Arial"/>
          <w:sz w:val="22"/>
          <w:szCs w:val="22"/>
        </w:rPr>
        <w:t xml:space="preserve">is proving </w:t>
      </w:r>
      <w:r>
        <w:rPr>
          <w:rFonts w:ascii="Arial" w:hAnsi="Arial" w:cs="Arial"/>
          <w:sz w:val="22"/>
          <w:szCs w:val="22"/>
        </w:rPr>
        <w:t xml:space="preserve">obdurate. </w:t>
      </w:r>
      <w:r w:rsidR="00455A05">
        <w:rPr>
          <w:rFonts w:ascii="Arial" w:hAnsi="Arial" w:cs="Arial"/>
          <w:sz w:val="22"/>
          <w:szCs w:val="22"/>
        </w:rPr>
        <w:t>The d</w:t>
      </w:r>
      <w:r w:rsidR="00DF0DA2">
        <w:rPr>
          <w:rFonts w:ascii="Arial" w:hAnsi="Arial" w:cs="Arial"/>
          <w:sz w:val="22"/>
          <w:szCs w:val="22"/>
        </w:rPr>
        <w:t>ata</w:t>
      </w:r>
      <w:r w:rsidR="004C43EF">
        <w:rPr>
          <w:rFonts w:ascii="Arial" w:hAnsi="Arial" w:cs="Arial"/>
          <w:sz w:val="22"/>
          <w:szCs w:val="22"/>
        </w:rPr>
        <w:t xml:space="preserve"> </w:t>
      </w:r>
      <w:r w:rsidR="00FE0787">
        <w:rPr>
          <w:rFonts w:ascii="Arial" w:hAnsi="Arial" w:cs="Arial"/>
          <w:sz w:val="22"/>
          <w:szCs w:val="22"/>
        </w:rPr>
        <w:t xml:space="preserve">shows </w:t>
      </w:r>
      <w:r w:rsidR="004C56D7">
        <w:rPr>
          <w:rFonts w:ascii="Arial" w:hAnsi="Arial" w:cs="Arial"/>
          <w:sz w:val="22"/>
          <w:szCs w:val="22"/>
        </w:rPr>
        <w:t>significant</w:t>
      </w:r>
      <w:r w:rsidR="004C56D7" w:rsidRPr="002363EB">
        <w:rPr>
          <w:rFonts w:ascii="Arial" w:hAnsi="Arial" w:cs="Arial"/>
          <w:sz w:val="22"/>
          <w:szCs w:val="22"/>
        </w:rPr>
        <w:t xml:space="preserve"> negative </w:t>
      </w:r>
      <w:r w:rsidR="00AA264C">
        <w:rPr>
          <w:rFonts w:ascii="Arial" w:hAnsi="Arial" w:cs="Arial"/>
          <w:sz w:val="22"/>
          <w:szCs w:val="22"/>
        </w:rPr>
        <w:t>outcomes</w:t>
      </w:r>
      <w:r w:rsidR="00FE0787">
        <w:rPr>
          <w:rFonts w:ascii="Arial" w:hAnsi="Arial" w:cs="Arial"/>
          <w:sz w:val="22"/>
          <w:szCs w:val="22"/>
        </w:rPr>
        <w:t xml:space="preserve"> </w:t>
      </w:r>
      <w:r w:rsidR="006028F1">
        <w:rPr>
          <w:rFonts w:ascii="Arial" w:hAnsi="Arial" w:cs="Arial"/>
          <w:sz w:val="22"/>
          <w:szCs w:val="22"/>
        </w:rPr>
        <w:t>for BME students</w:t>
      </w:r>
      <w:r w:rsidR="004C56D7">
        <w:rPr>
          <w:rFonts w:ascii="Arial" w:hAnsi="Arial" w:cs="Arial"/>
          <w:sz w:val="22"/>
          <w:szCs w:val="22"/>
        </w:rPr>
        <w:t xml:space="preserve"> compared with non</w:t>
      </w:r>
      <w:r w:rsidR="00FE0787">
        <w:rPr>
          <w:rFonts w:ascii="Arial" w:hAnsi="Arial" w:cs="Arial"/>
          <w:sz w:val="22"/>
          <w:szCs w:val="22"/>
        </w:rPr>
        <w:t>-</w:t>
      </w:r>
      <w:r w:rsidR="004C56D7">
        <w:rPr>
          <w:rFonts w:ascii="Arial" w:hAnsi="Arial" w:cs="Arial"/>
          <w:sz w:val="22"/>
          <w:szCs w:val="22"/>
        </w:rPr>
        <w:t xml:space="preserve">BME, both </w:t>
      </w:r>
      <w:r w:rsidR="004C56D7" w:rsidRPr="002363EB">
        <w:rPr>
          <w:rFonts w:ascii="Arial" w:hAnsi="Arial" w:cs="Arial"/>
          <w:sz w:val="22"/>
          <w:szCs w:val="22"/>
        </w:rPr>
        <w:t>into</w:t>
      </w:r>
      <w:r w:rsidR="004C56D7">
        <w:rPr>
          <w:rFonts w:ascii="Arial" w:hAnsi="Arial" w:cs="Arial"/>
          <w:sz w:val="22"/>
          <w:szCs w:val="22"/>
        </w:rPr>
        <w:t>,</w:t>
      </w:r>
      <w:r w:rsidR="004C56D7" w:rsidRPr="002363EB">
        <w:rPr>
          <w:rFonts w:ascii="Arial" w:hAnsi="Arial" w:cs="Arial"/>
          <w:sz w:val="22"/>
          <w:szCs w:val="22"/>
        </w:rPr>
        <w:t xml:space="preserve"> and through</w:t>
      </w:r>
      <w:r w:rsidR="004C56D7">
        <w:rPr>
          <w:rFonts w:ascii="Arial" w:hAnsi="Arial" w:cs="Arial"/>
          <w:sz w:val="22"/>
          <w:szCs w:val="22"/>
        </w:rPr>
        <w:t>,</w:t>
      </w:r>
      <w:r w:rsidR="00FE6A04">
        <w:rPr>
          <w:rFonts w:ascii="Arial" w:hAnsi="Arial" w:cs="Arial"/>
          <w:sz w:val="22"/>
          <w:szCs w:val="22"/>
        </w:rPr>
        <w:t xml:space="preserve"> higher education</w:t>
      </w:r>
      <w:r w:rsidR="004C56D7" w:rsidRPr="002363EB">
        <w:rPr>
          <w:rFonts w:ascii="Arial" w:hAnsi="Arial" w:cs="Arial"/>
          <w:sz w:val="22"/>
          <w:szCs w:val="22"/>
        </w:rPr>
        <w:t>,</w:t>
      </w:r>
      <w:r w:rsidR="004C56D7" w:rsidRPr="002363EB">
        <w:rPr>
          <w:rStyle w:val="FootnoteReference"/>
          <w:rFonts w:ascii="Arial" w:hAnsi="Arial" w:cs="Arial"/>
          <w:sz w:val="22"/>
          <w:szCs w:val="22"/>
        </w:rPr>
        <w:footnoteReference w:id="48"/>
      </w:r>
      <w:r w:rsidR="004C56D7" w:rsidRPr="002363EB">
        <w:rPr>
          <w:rFonts w:ascii="Arial" w:hAnsi="Arial" w:cs="Arial"/>
          <w:sz w:val="22"/>
          <w:szCs w:val="22"/>
        </w:rPr>
        <w:t xml:space="preserve"> </w:t>
      </w:r>
      <w:r w:rsidR="00FE6A04">
        <w:rPr>
          <w:rFonts w:ascii="Arial" w:hAnsi="Arial" w:cs="Arial"/>
          <w:sz w:val="22"/>
          <w:szCs w:val="22"/>
        </w:rPr>
        <w:t xml:space="preserve">including </w:t>
      </w:r>
      <w:r w:rsidR="004C56D7" w:rsidRPr="007545FC">
        <w:rPr>
          <w:rFonts w:ascii="Arial" w:hAnsi="Arial" w:cs="Arial"/>
          <w:sz w:val="22"/>
          <w:szCs w:val="22"/>
        </w:rPr>
        <w:t xml:space="preserve">the journey </w:t>
      </w:r>
      <w:r w:rsidR="004C56D7">
        <w:rPr>
          <w:rFonts w:ascii="Arial" w:hAnsi="Arial" w:cs="Arial"/>
          <w:sz w:val="22"/>
          <w:szCs w:val="22"/>
        </w:rPr>
        <w:t>to qualif</w:t>
      </w:r>
      <w:r w:rsidR="00FE0787">
        <w:rPr>
          <w:rFonts w:ascii="Arial" w:hAnsi="Arial" w:cs="Arial"/>
          <w:sz w:val="22"/>
          <w:szCs w:val="22"/>
        </w:rPr>
        <w:t>ication</w:t>
      </w:r>
      <w:r w:rsidR="004C56D7">
        <w:rPr>
          <w:rFonts w:ascii="Arial" w:hAnsi="Arial" w:cs="Arial"/>
          <w:sz w:val="22"/>
          <w:szCs w:val="22"/>
        </w:rPr>
        <w:t xml:space="preserve"> in </w:t>
      </w:r>
      <w:r w:rsidR="004C56D7" w:rsidRPr="002363EB">
        <w:rPr>
          <w:rFonts w:ascii="Arial" w:hAnsi="Arial" w:cs="Arial"/>
          <w:sz w:val="22"/>
          <w:szCs w:val="22"/>
        </w:rPr>
        <w:t xml:space="preserve">the </w:t>
      </w:r>
      <w:r w:rsidR="004C56D7" w:rsidRPr="007545FC">
        <w:rPr>
          <w:rFonts w:ascii="Arial" w:hAnsi="Arial" w:cs="Arial"/>
          <w:sz w:val="22"/>
          <w:szCs w:val="22"/>
        </w:rPr>
        <w:t xml:space="preserve">legal </w:t>
      </w:r>
      <w:r w:rsidR="004C56D7" w:rsidRPr="002363EB">
        <w:rPr>
          <w:rFonts w:ascii="Arial" w:hAnsi="Arial" w:cs="Arial"/>
          <w:sz w:val="22"/>
          <w:szCs w:val="22"/>
        </w:rPr>
        <w:t>profession.</w:t>
      </w:r>
    </w:p>
    <w:p w14:paraId="590CF538" w14:textId="77777777" w:rsidR="00FA0C26" w:rsidRDefault="00FA0C26" w:rsidP="00FA0C26">
      <w:pPr>
        <w:widowControl w:val="0"/>
        <w:autoSpaceDE w:val="0"/>
        <w:autoSpaceDN w:val="0"/>
        <w:adjustRightInd w:val="0"/>
        <w:rPr>
          <w:rFonts w:ascii="Arial" w:hAnsi="Arial" w:cs="Arial"/>
          <w:sz w:val="22"/>
          <w:szCs w:val="22"/>
        </w:rPr>
      </w:pPr>
    </w:p>
    <w:p w14:paraId="61284806" w14:textId="1D0F09B9" w:rsidR="00571F87" w:rsidRPr="00FF2C4A" w:rsidRDefault="00AA264C">
      <w:pPr>
        <w:widowControl w:val="0"/>
        <w:autoSpaceDE w:val="0"/>
        <w:autoSpaceDN w:val="0"/>
        <w:adjustRightInd w:val="0"/>
        <w:rPr>
          <w:rFonts w:ascii="Arial" w:hAnsi="Arial" w:cs="Arial"/>
          <w:strike/>
          <w:sz w:val="22"/>
          <w:szCs w:val="22"/>
        </w:rPr>
      </w:pPr>
      <w:r>
        <w:rPr>
          <w:rFonts w:ascii="Arial" w:hAnsi="Arial" w:cs="Arial"/>
          <w:sz w:val="22"/>
          <w:szCs w:val="22"/>
        </w:rPr>
        <w:t>By</w:t>
      </w:r>
      <w:r w:rsidR="007B0722">
        <w:rPr>
          <w:rFonts w:ascii="Arial" w:hAnsi="Arial" w:cs="Arial"/>
          <w:sz w:val="22"/>
          <w:szCs w:val="22"/>
        </w:rPr>
        <w:t xml:space="preserve"> play</w:t>
      </w:r>
      <w:r>
        <w:rPr>
          <w:rFonts w:ascii="Arial" w:hAnsi="Arial" w:cs="Arial"/>
          <w:sz w:val="22"/>
          <w:szCs w:val="22"/>
        </w:rPr>
        <w:t>ing it</w:t>
      </w:r>
      <w:r w:rsidR="007B0722">
        <w:rPr>
          <w:rFonts w:ascii="Arial" w:hAnsi="Arial" w:cs="Arial"/>
          <w:sz w:val="22"/>
          <w:szCs w:val="22"/>
        </w:rPr>
        <w:t xml:space="preserve"> safe by only or predominately </w:t>
      </w:r>
      <w:r w:rsidR="0011053C">
        <w:rPr>
          <w:rFonts w:ascii="Arial" w:hAnsi="Arial" w:cs="Arial"/>
          <w:sz w:val="22"/>
          <w:szCs w:val="22"/>
        </w:rPr>
        <w:t>targeting/</w:t>
      </w:r>
      <w:r w:rsidR="007B0722">
        <w:rPr>
          <w:rFonts w:ascii="Arial" w:hAnsi="Arial" w:cs="Arial"/>
          <w:sz w:val="22"/>
          <w:szCs w:val="22"/>
        </w:rPr>
        <w:t>funding</w:t>
      </w:r>
      <w:r w:rsidR="00D42EE6">
        <w:rPr>
          <w:rFonts w:ascii="Arial" w:hAnsi="Arial" w:cs="Arial"/>
          <w:sz w:val="22"/>
          <w:szCs w:val="22"/>
        </w:rPr>
        <w:t>/accepting</w:t>
      </w:r>
      <w:r w:rsidR="007B0722">
        <w:rPr>
          <w:rFonts w:ascii="Arial" w:hAnsi="Arial" w:cs="Arial"/>
          <w:sz w:val="22"/>
          <w:szCs w:val="22"/>
        </w:rPr>
        <w:t xml:space="preserve"> </w:t>
      </w:r>
      <w:r w:rsidR="004871DE">
        <w:rPr>
          <w:rFonts w:ascii="Arial" w:hAnsi="Arial" w:cs="Arial"/>
          <w:sz w:val="22"/>
          <w:szCs w:val="22"/>
        </w:rPr>
        <w:t>students</w:t>
      </w:r>
      <w:r w:rsidR="007B0722">
        <w:rPr>
          <w:rFonts w:ascii="Arial" w:hAnsi="Arial" w:cs="Arial"/>
          <w:sz w:val="22"/>
          <w:szCs w:val="22"/>
        </w:rPr>
        <w:t xml:space="preserve"> from</w:t>
      </w:r>
      <w:r w:rsidR="00BC460F">
        <w:rPr>
          <w:rFonts w:ascii="Arial" w:hAnsi="Arial" w:cs="Arial"/>
          <w:sz w:val="22"/>
          <w:szCs w:val="22"/>
        </w:rPr>
        <w:t xml:space="preserve"> the so-called</w:t>
      </w:r>
      <w:r w:rsidR="007B0722">
        <w:rPr>
          <w:rFonts w:ascii="Arial" w:hAnsi="Arial" w:cs="Arial"/>
          <w:sz w:val="22"/>
          <w:szCs w:val="22"/>
        </w:rPr>
        <w:t xml:space="preserve"> </w:t>
      </w:r>
      <w:r w:rsidR="00CE1EC0">
        <w:rPr>
          <w:rFonts w:ascii="Arial" w:hAnsi="Arial" w:cs="Arial"/>
          <w:sz w:val="22"/>
          <w:szCs w:val="22"/>
        </w:rPr>
        <w:t>‘good’ universities</w:t>
      </w:r>
      <w:r w:rsidR="004871DE">
        <w:rPr>
          <w:rFonts w:ascii="Arial" w:hAnsi="Arial" w:cs="Arial"/>
          <w:sz w:val="22"/>
          <w:szCs w:val="22"/>
        </w:rPr>
        <w:t xml:space="preserve">, </w:t>
      </w:r>
      <w:r>
        <w:rPr>
          <w:rFonts w:ascii="Arial" w:hAnsi="Arial" w:cs="Arial"/>
          <w:sz w:val="22"/>
          <w:szCs w:val="22"/>
        </w:rPr>
        <w:t xml:space="preserve">the profession </w:t>
      </w:r>
      <w:r w:rsidR="00511F8C">
        <w:rPr>
          <w:rFonts w:ascii="Arial" w:hAnsi="Arial" w:cs="Arial"/>
          <w:sz w:val="22"/>
          <w:szCs w:val="22"/>
        </w:rPr>
        <w:t>c</w:t>
      </w:r>
      <w:r w:rsidR="007B0722">
        <w:rPr>
          <w:rFonts w:ascii="Arial" w:hAnsi="Arial" w:cs="Arial"/>
          <w:sz w:val="22"/>
          <w:szCs w:val="22"/>
        </w:rPr>
        <w:t>ontribute</w:t>
      </w:r>
      <w:r w:rsidR="004871DE">
        <w:rPr>
          <w:rFonts w:ascii="Arial" w:hAnsi="Arial" w:cs="Arial"/>
          <w:sz w:val="22"/>
          <w:szCs w:val="22"/>
        </w:rPr>
        <w:t>s</w:t>
      </w:r>
      <w:r w:rsidR="007B0722">
        <w:rPr>
          <w:rFonts w:ascii="Arial" w:hAnsi="Arial" w:cs="Arial"/>
          <w:sz w:val="22"/>
          <w:szCs w:val="22"/>
        </w:rPr>
        <w:t xml:space="preserve"> to a lack of diversity </w:t>
      </w:r>
      <w:r w:rsidR="002974BB">
        <w:rPr>
          <w:rFonts w:ascii="Arial" w:hAnsi="Arial" w:cs="Arial"/>
          <w:sz w:val="22"/>
          <w:szCs w:val="22"/>
        </w:rPr>
        <w:t>given</w:t>
      </w:r>
      <w:r>
        <w:rPr>
          <w:rFonts w:ascii="Arial" w:hAnsi="Arial" w:cs="Arial"/>
          <w:sz w:val="22"/>
          <w:szCs w:val="22"/>
        </w:rPr>
        <w:t xml:space="preserve"> the </w:t>
      </w:r>
      <w:r w:rsidR="007B0722">
        <w:rPr>
          <w:rFonts w:ascii="Arial" w:hAnsi="Arial" w:cs="Arial"/>
          <w:sz w:val="22"/>
          <w:szCs w:val="22"/>
        </w:rPr>
        <w:t>disproportionate</w:t>
      </w:r>
      <w:r w:rsidR="002974BB">
        <w:rPr>
          <w:rFonts w:ascii="Arial" w:hAnsi="Arial" w:cs="Arial"/>
          <w:sz w:val="22"/>
          <w:szCs w:val="22"/>
        </w:rPr>
        <w:t>ly lower</w:t>
      </w:r>
      <w:r w:rsidR="007B0722">
        <w:rPr>
          <w:rFonts w:ascii="Arial" w:hAnsi="Arial" w:cs="Arial"/>
          <w:sz w:val="22"/>
          <w:szCs w:val="22"/>
        </w:rPr>
        <w:t xml:space="preserve"> numbers of BME </w:t>
      </w:r>
      <w:r w:rsidR="008715B9">
        <w:rPr>
          <w:rFonts w:ascii="Arial" w:hAnsi="Arial" w:cs="Arial"/>
          <w:sz w:val="22"/>
          <w:szCs w:val="22"/>
        </w:rPr>
        <w:t xml:space="preserve">students </w:t>
      </w:r>
      <w:r w:rsidR="0011053C">
        <w:rPr>
          <w:rFonts w:ascii="Arial" w:hAnsi="Arial" w:cs="Arial"/>
          <w:sz w:val="22"/>
          <w:szCs w:val="22"/>
        </w:rPr>
        <w:t xml:space="preserve">who </w:t>
      </w:r>
      <w:r w:rsidR="00FC4BB9">
        <w:rPr>
          <w:rFonts w:ascii="Arial" w:hAnsi="Arial" w:cs="Arial"/>
          <w:sz w:val="22"/>
          <w:szCs w:val="22"/>
        </w:rPr>
        <w:t>can gain admission</w:t>
      </w:r>
      <w:r w:rsidR="00B86666">
        <w:rPr>
          <w:rFonts w:ascii="Arial" w:hAnsi="Arial" w:cs="Arial"/>
          <w:sz w:val="22"/>
          <w:szCs w:val="22"/>
        </w:rPr>
        <w:t xml:space="preserve"> to these universities. </w:t>
      </w:r>
      <w:r w:rsidR="00EB4EF5">
        <w:rPr>
          <w:rFonts w:ascii="Arial" w:hAnsi="Arial" w:cs="Arial"/>
          <w:sz w:val="22"/>
          <w:szCs w:val="22"/>
        </w:rPr>
        <w:t>The</w:t>
      </w:r>
      <w:r w:rsidR="00BC460F">
        <w:rPr>
          <w:rFonts w:ascii="Arial" w:hAnsi="Arial" w:cs="Arial"/>
          <w:sz w:val="22"/>
          <w:szCs w:val="22"/>
        </w:rPr>
        <w:t xml:space="preserve"> latest data shows</w:t>
      </w:r>
      <w:r w:rsidR="00EB4EF5">
        <w:rPr>
          <w:rFonts w:ascii="Arial" w:hAnsi="Arial" w:cs="Arial"/>
          <w:sz w:val="22"/>
          <w:szCs w:val="22"/>
        </w:rPr>
        <w:t xml:space="preserve"> </w:t>
      </w:r>
      <w:r w:rsidR="00BC460F">
        <w:rPr>
          <w:rFonts w:ascii="Arial" w:hAnsi="Arial" w:cs="Arial"/>
          <w:sz w:val="22"/>
          <w:szCs w:val="22"/>
        </w:rPr>
        <w:t>lower</w:t>
      </w:r>
      <w:r w:rsidR="00FE0787">
        <w:rPr>
          <w:rFonts w:ascii="Arial" w:hAnsi="Arial" w:cs="Arial"/>
          <w:sz w:val="22"/>
          <w:szCs w:val="22"/>
        </w:rPr>
        <w:t xml:space="preserve"> BME representation </w:t>
      </w:r>
      <w:r w:rsidR="00BC460F">
        <w:rPr>
          <w:rFonts w:ascii="Arial" w:hAnsi="Arial" w:cs="Arial"/>
          <w:sz w:val="22"/>
          <w:szCs w:val="22"/>
        </w:rPr>
        <w:t xml:space="preserve">on conversion </w:t>
      </w:r>
      <w:r w:rsidR="00BC460F">
        <w:rPr>
          <w:rFonts w:ascii="Arial" w:hAnsi="Arial" w:cs="Arial"/>
          <w:sz w:val="22"/>
          <w:szCs w:val="22"/>
        </w:rPr>
        <w:lastRenderedPageBreak/>
        <w:t>courses compared with the QLD, 25% compared with 36.5%.</w:t>
      </w:r>
      <w:r w:rsidR="00BC460F">
        <w:rPr>
          <w:rStyle w:val="FootnoteReference"/>
          <w:rFonts w:ascii="Arial" w:hAnsi="Arial" w:cs="Arial"/>
          <w:sz w:val="22"/>
          <w:szCs w:val="22"/>
        </w:rPr>
        <w:footnoteReference w:id="49"/>
      </w:r>
      <w:r w:rsidR="0011053C">
        <w:rPr>
          <w:rFonts w:ascii="Arial" w:hAnsi="Arial" w:cs="Arial"/>
          <w:sz w:val="22"/>
          <w:szCs w:val="22"/>
        </w:rPr>
        <w:t xml:space="preserve"> Th</w:t>
      </w:r>
      <w:r w:rsidR="00A21D9C">
        <w:rPr>
          <w:rFonts w:ascii="Arial" w:hAnsi="Arial" w:cs="Arial"/>
          <w:sz w:val="22"/>
          <w:szCs w:val="22"/>
        </w:rPr>
        <w:t xml:space="preserve">is corresponds with the fact that </w:t>
      </w:r>
      <w:r w:rsidR="0011053C">
        <w:rPr>
          <w:rFonts w:ascii="Arial" w:hAnsi="Arial" w:cs="Arial"/>
          <w:sz w:val="22"/>
          <w:szCs w:val="22"/>
        </w:rPr>
        <w:t xml:space="preserve">NLG </w:t>
      </w:r>
      <w:r w:rsidR="00A21D9C">
        <w:rPr>
          <w:rFonts w:ascii="Arial" w:hAnsi="Arial" w:cs="Arial"/>
          <w:sz w:val="22"/>
          <w:szCs w:val="22"/>
        </w:rPr>
        <w:t>are</w:t>
      </w:r>
      <w:r w:rsidR="0011053C">
        <w:rPr>
          <w:rFonts w:ascii="Arial" w:hAnsi="Arial" w:cs="Arial"/>
          <w:sz w:val="22"/>
          <w:szCs w:val="22"/>
        </w:rPr>
        <w:t xml:space="preserve"> more representative of these universities.</w:t>
      </w:r>
      <w:r w:rsidR="0011053C">
        <w:rPr>
          <w:rStyle w:val="FootnoteReference"/>
          <w:rFonts w:ascii="Arial" w:hAnsi="Arial" w:cs="Arial"/>
          <w:sz w:val="22"/>
          <w:szCs w:val="22"/>
        </w:rPr>
        <w:footnoteReference w:id="50"/>
      </w:r>
      <w:r w:rsidR="0011053C">
        <w:rPr>
          <w:rFonts w:ascii="Arial" w:hAnsi="Arial" w:cs="Arial"/>
          <w:sz w:val="22"/>
          <w:szCs w:val="22"/>
        </w:rPr>
        <w:t xml:space="preserve"> </w:t>
      </w:r>
      <w:r w:rsidR="00BC460F">
        <w:rPr>
          <w:rFonts w:ascii="Arial" w:hAnsi="Arial" w:cs="Arial"/>
          <w:sz w:val="22"/>
          <w:szCs w:val="22"/>
        </w:rPr>
        <w:t xml:space="preserve"> </w:t>
      </w:r>
      <w:r w:rsidR="008715B9">
        <w:rPr>
          <w:rFonts w:ascii="Arial" w:hAnsi="Arial" w:cs="Arial"/>
          <w:sz w:val="22"/>
          <w:szCs w:val="22"/>
        </w:rPr>
        <w:t>Simply p</w:t>
      </w:r>
      <w:r w:rsidR="005F72F6">
        <w:rPr>
          <w:rFonts w:ascii="Arial" w:hAnsi="Arial" w:cs="Arial"/>
          <w:sz w:val="22"/>
          <w:szCs w:val="22"/>
        </w:rPr>
        <w:t>ut</w:t>
      </w:r>
      <w:r w:rsidR="008715B9">
        <w:rPr>
          <w:rFonts w:ascii="Arial" w:hAnsi="Arial" w:cs="Arial"/>
          <w:sz w:val="22"/>
          <w:szCs w:val="22"/>
        </w:rPr>
        <w:t>,</w:t>
      </w:r>
      <w:r w:rsidR="005F72F6">
        <w:rPr>
          <w:rFonts w:ascii="Arial" w:hAnsi="Arial" w:cs="Arial"/>
          <w:sz w:val="22"/>
          <w:szCs w:val="22"/>
        </w:rPr>
        <w:t xml:space="preserve"> r</w:t>
      </w:r>
      <w:r w:rsidR="004871DE">
        <w:rPr>
          <w:rFonts w:ascii="Arial" w:hAnsi="Arial" w:cs="Arial"/>
          <w:sz w:val="22"/>
          <w:szCs w:val="22"/>
        </w:rPr>
        <w:t>ecruit</w:t>
      </w:r>
      <w:r w:rsidR="00FE0787">
        <w:rPr>
          <w:rFonts w:ascii="Arial" w:hAnsi="Arial" w:cs="Arial"/>
          <w:sz w:val="22"/>
          <w:szCs w:val="22"/>
        </w:rPr>
        <w:t xml:space="preserve">ment of NLG </w:t>
      </w:r>
      <w:r w:rsidR="004871DE">
        <w:rPr>
          <w:rFonts w:ascii="Arial" w:hAnsi="Arial" w:cs="Arial"/>
          <w:sz w:val="22"/>
          <w:szCs w:val="22"/>
        </w:rPr>
        <w:t xml:space="preserve">corresponds with lower </w:t>
      </w:r>
      <w:r>
        <w:rPr>
          <w:rFonts w:ascii="Arial" w:hAnsi="Arial" w:cs="Arial"/>
          <w:sz w:val="22"/>
          <w:szCs w:val="22"/>
        </w:rPr>
        <w:t>chances of BME recruitment and</w:t>
      </w:r>
      <w:r w:rsidR="00EB4EF5">
        <w:rPr>
          <w:rFonts w:ascii="Arial" w:hAnsi="Arial" w:cs="Arial"/>
          <w:sz w:val="22"/>
          <w:szCs w:val="22"/>
        </w:rPr>
        <w:t xml:space="preserve"> </w:t>
      </w:r>
      <w:r w:rsidR="00A21D9C">
        <w:rPr>
          <w:rFonts w:ascii="Arial" w:hAnsi="Arial" w:cs="Arial"/>
          <w:sz w:val="22"/>
          <w:szCs w:val="22"/>
        </w:rPr>
        <w:t>is</w:t>
      </w:r>
      <w:r>
        <w:rPr>
          <w:rFonts w:ascii="Arial" w:hAnsi="Arial" w:cs="Arial"/>
          <w:sz w:val="22"/>
          <w:szCs w:val="22"/>
        </w:rPr>
        <w:t xml:space="preserve"> a</w:t>
      </w:r>
      <w:r w:rsidR="0011053C">
        <w:rPr>
          <w:rFonts w:ascii="Arial" w:hAnsi="Arial" w:cs="Arial"/>
          <w:sz w:val="22"/>
          <w:szCs w:val="22"/>
        </w:rPr>
        <w:t xml:space="preserve"> </w:t>
      </w:r>
      <w:r w:rsidR="00A21D9C">
        <w:rPr>
          <w:rFonts w:ascii="Arial" w:hAnsi="Arial" w:cs="Arial"/>
          <w:sz w:val="22"/>
          <w:szCs w:val="22"/>
        </w:rPr>
        <w:t>factor explaining</w:t>
      </w:r>
      <w:r w:rsidR="00455A05">
        <w:rPr>
          <w:rFonts w:ascii="Arial" w:hAnsi="Arial" w:cs="Arial"/>
          <w:sz w:val="22"/>
          <w:szCs w:val="22"/>
        </w:rPr>
        <w:t xml:space="preserve"> the lower levels of diversity</w:t>
      </w:r>
      <w:r w:rsidR="00A76EEF">
        <w:rPr>
          <w:rFonts w:ascii="Arial" w:hAnsi="Arial" w:cs="Arial"/>
          <w:sz w:val="22"/>
          <w:szCs w:val="22"/>
        </w:rPr>
        <w:t xml:space="preserve"> </w:t>
      </w:r>
      <w:r w:rsidR="003A2644">
        <w:rPr>
          <w:rFonts w:ascii="Arial" w:hAnsi="Arial" w:cs="Arial"/>
          <w:sz w:val="22"/>
          <w:szCs w:val="22"/>
        </w:rPr>
        <w:t xml:space="preserve">in the </w:t>
      </w:r>
      <w:r w:rsidR="00BC460F">
        <w:rPr>
          <w:rFonts w:ascii="Arial" w:hAnsi="Arial" w:cs="Arial"/>
          <w:sz w:val="22"/>
          <w:szCs w:val="22"/>
        </w:rPr>
        <w:t xml:space="preserve">parts of the </w:t>
      </w:r>
      <w:r w:rsidR="003A2644">
        <w:rPr>
          <w:rFonts w:ascii="Arial" w:hAnsi="Arial" w:cs="Arial"/>
          <w:sz w:val="22"/>
          <w:szCs w:val="22"/>
        </w:rPr>
        <w:t>profession</w:t>
      </w:r>
      <w:r w:rsidR="00BC460F">
        <w:rPr>
          <w:rFonts w:ascii="Arial" w:hAnsi="Arial" w:cs="Arial"/>
          <w:sz w:val="22"/>
          <w:szCs w:val="22"/>
        </w:rPr>
        <w:t xml:space="preserve"> which target NLG</w:t>
      </w:r>
      <w:r w:rsidR="003A2644">
        <w:rPr>
          <w:rFonts w:ascii="Arial" w:hAnsi="Arial" w:cs="Arial"/>
          <w:sz w:val="22"/>
          <w:szCs w:val="22"/>
        </w:rPr>
        <w:t>.</w:t>
      </w:r>
      <w:r w:rsidR="003A2644">
        <w:rPr>
          <w:rStyle w:val="FootnoteReference"/>
          <w:rFonts w:ascii="Arial" w:hAnsi="Arial" w:cs="Arial"/>
          <w:sz w:val="22"/>
          <w:szCs w:val="22"/>
        </w:rPr>
        <w:footnoteReference w:id="51"/>
      </w:r>
    </w:p>
    <w:p w14:paraId="615FF07C" w14:textId="77777777" w:rsidR="00BD2550" w:rsidRDefault="00BD2550" w:rsidP="00571F87">
      <w:pPr>
        <w:widowControl w:val="0"/>
        <w:autoSpaceDE w:val="0"/>
        <w:autoSpaceDN w:val="0"/>
        <w:adjustRightInd w:val="0"/>
        <w:rPr>
          <w:rFonts w:ascii="Arial" w:hAnsi="Arial" w:cs="Arial"/>
          <w:sz w:val="22"/>
          <w:szCs w:val="22"/>
        </w:rPr>
      </w:pPr>
    </w:p>
    <w:p w14:paraId="3899AAE0" w14:textId="6EFBE1C3" w:rsidR="00BD2550" w:rsidRPr="00FB374E" w:rsidRDefault="00AA264C" w:rsidP="00FF2C4A">
      <w:pPr>
        <w:rPr>
          <w:rFonts w:ascii="Arial" w:eastAsia="Times New Roman" w:hAnsi="Arial" w:cs="Arial"/>
          <w:color w:val="333333"/>
          <w:sz w:val="22"/>
          <w:szCs w:val="22"/>
          <w:lang w:val="en-GB"/>
        </w:rPr>
      </w:pPr>
      <w:r>
        <w:rPr>
          <w:rFonts w:ascii="Arial" w:hAnsi="Arial" w:cs="Arial"/>
          <w:sz w:val="22"/>
          <w:szCs w:val="22"/>
        </w:rPr>
        <w:t xml:space="preserve">The </w:t>
      </w:r>
      <w:r w:rsidR="00A21D9C">
        <w:rPr>
          <w:rFonts w:ascii="Arial" w:hAnsi="Arial" w:cs="Arial"/>
          <w:sz w:val="22"/>
          <w:szCs w:val="22"/>
        </w:rPr>
        <w:t>extent of the problem is not just that BME</w:t>
      </w:r>
      <w:r w:rsidR="00316B7A">
        <w:rPr>
          <w:rFonts w:ascii="Arial" w:hAnsi="Arial" w:cs="Arial"/>
          <w:sz w:val="22"/>
          <w:szCs w:val="22"/>
        </w:rPr>
        <w:t xml:space="preserve"> students are proportionately less</w:t>
      </w:r>
      <w:r w:rsidR="00A21D9C">
        <w:rPr>
          <w:rFonts w:ascii="Arial" w:hAnsi="Arial" w:cs="Arial"/>
          <w:sz w:val="22"/>
          <w:szCs w:val="22"/>
        </w:rPr>
        <w:t xml:space="preserve"> likely to take </w:t>
      </w:r>
      <w:r w:rsidR="00455A05">
        <w:rPr>
          <w:rFonts w:ascii="Arial" w:hAnsi="Arial" w:cs="Arial"/>
          <w:sz w:val="22"/>
          <w:szCs w:val="22"/>
        </w:rPr>
        <w:t xml:space="preserve">or be funded through </w:t>
      </w:r>
      <w:r w:rsidR="00A21D9C">
        <w:rPr>
          <w:rFonts w:ascii="Arial" w:hAnsi="Arial" w:cs="Arial"/>
          <w:sz w:val="22"/>
          <w:szCs w:val="22"/>
        </w:rPr>
        <w:t>the NLG route, but for those who do</w:t>
      </w:r>
      <w:r w:rsidR="00455A05">
        <w:rPr>
          <w:rFonts w:ascii="Arial" w:hAnsi="Arial" w:cs="Arial"/>
          <w:sz w:val="22"/>
          <w:szCs w:val="22"/>
        </w:rPr>
        <w:t xml:space="preserve"> take the course</w:t>
      </w:r>
      <w:r w:rsidR="000E22C8">
        <w:rPr>
          <w:rFonts w:ascii="Arial" w:hAnsi="Arial" w:cs="Arial"/>
          <w:sz w:val="22"/>
          <w:szCs w:val="22"/>
        </w:rPr>
        <w:t>, their</w:t>
      </w:r>
      <w:r w:rsidR="00A21D9C">
        <w:rPr>
          <w:rFonts w:ascii="Arial" w:hAnsi="Arial" w:cs="Arial"/>
          <w:sz w:val="22"/>
          <w:szCs w:val="22"/>
        </w:rPr>
        <w:t xml:space="preserve"> chances of success are lower. </w:t>
      </w:r>
      <w:r w:rsidR="004871DE">
        <w:rPr>
          <w:rFonts w:ascii="Arial" w:hAnsi="Arial" w:cs="Arial"/>
          <w:sz w:val="22"/>
          <w:szCs w:val="22"/>
        </w:rPr>
        <w:t xml:space="preserve">BME students </w:t>
      </w:r>
      <w:r w:rsidR="007545FC">
        <w:rPr>
          <w:rFonts w:ascii="Arial" w:hAnsi="Arial" w:cs="Arial"/>
          <w:sz w:val="22"/>
          <w:szCs w:val="22"/>
        </w:rPr>
        <w:t>do not</w:t>
      </w:r>
      <w:r w:rsidR="00911A78">
        <w:rPr>
          <w:rFonts w:ascii="Arial" w:hAnsi="Arial" w:cs="Arial"/>
          <w:sz w:val="22"/>
          <w:szCs w:val="22"/>
        </w:rPr>
        <w:t xml:space="preserve"> complete</w:t>
      </w:r>
      <w:r w:rsidR="00940DC5">
        <w:rPr>
          <w:rFonts w:ascii="Arial" w:hAnsi="Arial" w:cs="Arial"/>
          <w:sz w:val="22"/>
          <w:szCs w:val="22"/>
        </w:rPr>
        <w:t xml:space="preserve"> </w:t>
      </w:r>
      <w:r w:rsidR="005F72F6">
        <w:rPr>
          <w:rFonts w:ascii="Arial" w:hAnsi="Arial" w:cs="Arial"/>
          <w:sz w:val="22"/>
          <w:szCs w:val="22"/>
        </w:rPr>
        <w:t xml:space="preserve">the </w:t>
      </w:r>
      <w:r w:rsidR="004871DE">
        <w:rPr>
          <w:rFonts w:ascii="Arial" w:hAnsi="Arial" w:cs="Arial"/>
          <w:sz w:val="22"/>
          <w:szCs w:val="22"/>
        </w:rPr>
        <w:t xml:space="preserve">course without </w:t>
      </w:r>
      <w:r w:rsidR="00C443CF">
        <w:rPr>
          <w:rFonts w:ascii="Arial" w:hAnsi="Arial" w:cs="Arial"/>
          <w:sz w:val="22"/>
          <w:szCs w:val="22"/>
        </w:rPr>
        <w:t xml:space="preserve">significantly </w:t>
      </w:r>
      <w:r w:rsidR="004871DE">
        <w:rPr>
          <w:rFonts w:ascii="Arial" w:hAnsi="Arial" w:cs="Arial"/>
          <w:sz w:val="22"/>
          <w:szCs w:val="22"/>
        </w:rPr>
        <w:t>higher levels of resits</w:t>
      </w:r>
      <w:r w:rsidR="00EB4EF5">
        <w:rPr>
          <w:rFonts w:ascii="Arial" w:hAnsi="Arial" w:cs="Arial"/>
          <w:sz w:val="22"/>
          <w:szCs w:val="22"/>
        </w:rPr>
        <w:t xml:space="preserve"> </w:t>
      </w:r>
      <w:r w:rsidR="00850478">
        <w:rPr>
          <w:rFonts w:ascii="Arial" w:hAnsi="Arial" w:cs="Arial"/>
          <w:sz w:val="22"/>
          <w:szCs w:val="22"/>
        </w:rPr>
        <w:t xml:space="preserve">and </w:t>
      </w:r>
      <w:r w:rsidR="00455A05">
        <w:rPr>
          <w:rFonts w:ascii="Arial" w:hAnsi="Arial" w:cs="Arial"/>
          <w:sz w:val="22"/>
          <w:szCs w:val="22"/>
        </w:rPr>
        <w:t>lower</w:t>
      </w:r>
      <w:r w:rsidR="00A56A60">
        <w:rPr>
          <w:rFonts w:ascii="Arial" w:hAnsi="Arial" w:cs="Arial"/>
          <w:sz w:val="22"/>
          <w:szCs w:val="22"/>
        </w:rPr>
        <w:t xml:space="preserve"> levels of </w:t>
      </w:r>
      <w:r w:rsidR="00850478">
        <w:rPr>
          <w:rFonts w:ascii="Arial" w:hAnsi="Arial" w:cs="Arial"/>
          <w:sz w:val="22"/>
          <w:szCs w:val="22"/>
        </w:rPr>
        <w:t xml:space="preserve">achievement </w:t>
      </w:r>
      <w:r w:rsidR="00EB4EF5">
        <w:rPr>
          <w:rFonts w:ascii="Arial" w:hAnsi="Arial" w:cs="Arial"/>
          <w:sz w:val="22"/>
          <w:szCs w:val="22"/>
        </w:rPr>
        <w:t xml:space="preserve">in </w:t>
      </w:r>
      <w:r w:rsidR="00997E47">
        <w:rPr>
          <w:rFonts w:ascii="Arial" w:hAnsi="Arial" w:cs="Arial"/>
          <w:sz w:val="22"/>
          <w:szCs w:val="22"/>
        </w:rPr>
        <w:t>assessment</w:t>
      </w:r>
      <w:r w:rsidR="004871DE">
        <w:rPr>
          <w:rFonts w:ascii="Arial" w:hAnsi="Arial" w:cs="Arial"/>
          <w:sz w:val="22"/>
          <w:szCs w:val="22"/>
        </w:rPr>
        <w:t xml:space="preserve"> when compared to non</w:t>
      </w:r>
      <w:r w:rsidR="004C43EF">
        <w:rPr>
          <w:rFonts w:ascii="Arial" w:hAnsi="Arial" w:cs="Arial"/>
          <w:sz w:val="22"/>
          <w:szCs w:val="22"/>
        </w:rPr>
        <w:t>-</w:t>
      </w:r>
      <w:r w:rsidR="004871DE">
        <w:rPr>
          <w:rFonts w:ascii="Arial" w:hAnsi="Arial" w:cs="Arial"/>
          <w:sz w:val="22"/>
          <w:szCs w:val="22"/>
        </w:rPr>
        <w:t>BME.</w:t>
      </w:r>
      <w:r w:rsidR="007545FC">
        <w:rPr>
          <w:rFonts w:ascii="Arial" w:hAnsi="Arial" w:cs="Arial"/>
          <w:sz w:val="22"/>
          <w:szCs w:val="22"/>
        </w:rPr>
        <w:t xml:space="preserve"> </w:t>
      </w:r>
      <w:r w:rsidR="00911A78">
        <w:rPr>
          <w:rFonts w:ascii="Arial" w:hAnsi="Arial" w:cs="Arial"/>
          <w:sz w:val="22"/>
          <w:szCs w:val="22"/>
        </w:rPr>
        <w:t>Given that</w:t>
      </w:r>
      <w:r w:rsidR="00BD2550">
        <w:rPr>
          <w:rFonts w:ascii="Arial" w:hAnsi="Arial" w:cs="Arial"/>
          <w:sz w:val="22"/>
          <w:szCs w:val="22"/>
        </w:rPr>
        <w:t xml:space="preserve"> NLG </w:t>
      </w:r>
      <w:r w:rsidR="00911A78">
        <w:rPr>
          <w:rFonts w:ascii="Arial" w:hAnsi="Arial" w:cs="Arial"/>
          <w:sz w:val="22"/>
          <w:szCs w:val="22"/>
        </w:rPr>
        <w:t>are high</w:t>
      </w:r>
      <w:r w:rsidR="00BD2550">
        <w:rPr>
          <w:rFonts w:ascii="Arial" w:hAnsi="Arial" w:cs="Arial"/>
          <w:sz w:val="22"/>
          <w:szCs w:val="22"/>
        </w:rPr>
        <w:t xml:space="preserve"> achie</w:t>
      </w:r>
      <w:r w:rsidR="00125E6D">
        <w:rPr>
          <w:rFonts w:ascii="Arial" w:hAnsi="Arial" w:cs="Arial"/>
          <w:sz w:val="22"/>
          <w:szCs w:val="22"/>
        </w:rPr>
        <w:t>ving graduates</w:t>
      </w:r>
      <w:r w:rsidR="00A053D1">
        <w:rPr>
          <w:rFonts w:ascii="Arial" w:hAnsi="Arial" w:cs="Arial"/>
          <w:sz w:val="22"/>
          <w:szCs w:val="22"/>
        </w:rPr>
        <w:t>,</w:t>
      </w:r>
      <w:r w:rsidR="00125E6D">
        <w:rPr>
          <w:rFonts w:ascii="Arial" w:hAnsi="Arial" w:cs="Arial"/>
          <w:sz w:val="22"/>
          <w:szCs w:val="22"/>
        </w:rPr>
        <w:t xml:space="preserve"> </w:t>
      </w:r>
      <w:r w:rsidR="00911A78">
        <w:rPr>
          <w:rFonts w:ascii="Arial" w:hAnsi="Arial" w:cs="Arial"/>
          <w:sz w:val="22"/>
          <w:szCs w:val="22"/>
        </w:rPr>
        <w:t xml:space="preserve">it </w:t>
      </w:r>
      <w:r w:rsidR="003E62F0">
        <w:rPr>
          <w:rFonts w:ascii="Arial" w:hAnsi="Arial" w:cs="Arial"/>
          <w:sz w:val="22"/>
          <w:szCs w:val="22"/>
        </w:rPr>
        <w:t>is</w:t>
      </w:r>
      <w:r w:rsidR="00395008">
        <w:rPr>
          <w:rFonts w:ascii="Arial" w:hAnsi="Arial" w:cs="Arial"/>
          <w:sz w:val="22"/>
          <w:szCs w:val="22"/>
        </w:rPr>
        <w:t xml:space="preserve"> perplexing</w:t>
      </w:r>
      <w:r w:rsidR="00911A78">
        <w:rPr>
          <w:rFonts w:ascii="Arial" w:hAnsi="Arial" w:cs="Arial"/>
          <w:sz w:val="22"/>
          <w:szCs w:val="22"/>
        </w:rPr>
        <w:t xml:space="preserve"> that </w:t>
      </w:r>
      <w:r w:rsidR="005F72F6">
        <w:rPr>
          <w:rFonts w:ascii="Arial" w:hAnsi="Arial" w:cs="Arial"/>
          <w:sz w:val="22"/>
          <w:szCs w:val="22"/>
        </w:rPr>
        <w:t xml:space="preserve">at this level </w:t>
      </w:r>
      <w:r w:rsidR="004871DE">
        <w:rPr>
          <w:rFonts w:ascii="Arial" w:hAnsi="Arial" w:cs="Arial"/>
          <w:sz w:val="22"/>
          <w:szCs w:val="22"/>
        </w:rPr>
        <w:t>there is a BME gap</w:t>
      </w:r>
      <w:r w:rsidR="00C443CF">
        <w:rPr>
          <w:rFonts w:ascii="Arial" w:hAnsi="Arial" w:cs="Arial"/>
          <w:sz w:val="22"/>
          <w:szCs w:val="22"/>
        </w:rPr>
        <w:t>.</w:t>
      </w:r>
      <w:r w:rsidR="004871DE">
        <w:rPr>
          <w:rFonts w:ascii="Arial" w:hAnsi="Arial" w:cs="Arial"/>
          <w:sz w:val="22"/>
          <w:szCs w:val="22"/>
        </w:rPr>
        <w:t xml:space="preserve"> </w:t>
      </w:r>
      <w:r w:rsidR="008F38A9">
        <w:rPr>
          <w:rFonts w:ascii="Arial" w:hAnsi="Arial" w:cs="Arial"/>
          <w:sz w:val="22"/>
          <w:szCs w:val="22"/>
        </w:rPr>
        <w:t xml:space="preserve">Data for years </w:t>
      </w:r>
      <w:r w:rsidR="00BD2550">
        <w:rPr>
          <w:rFonts w:ascii="Arial" w:hAnsi="Arial" w:cs="Arial"/>
          <w:sz w:val="22"/>
          <w:szCs w:val="22"/>
        </w:rPr>
        <w:t>2014</w:t>
      </w:r>
      <w:r w:rsidR="008F38A9">
        <w:rPr>
          <w:rFonts w:ascii="Arial" w:hAnsi="Arial" w:cs="Arial"/>
          <w:sz w:val="22"/>
          <w:szCs w:val="22"/>
        </w:rPr>
        <w:t xml:space="preserve"> – 2017 </w:t>
      </w:r>
      <w:r w:rsidR="00BD2550">
        <w:rPr>
          <w:rFonts w:ascii="Arial" w:hAnsi="Arial" w:cs="Arial"/>
          <w:sz w:val="22"/>
          <w:szCs w:val="22"/>
        </w:rPr>
        <w:t xml:space="preserve">shows </w:t>
      </w:r>
      <w:r w:rsidR="008F38A9">
        <w:rPr>
          <w:rFonts w:ascii="Arial" w:hAnsi="Arial" w:cs="Arial"/>
          <w:sz w:val="22"/>
          <w:szCs w:val="22"/>
        </w:rPr>
        <w:t xml:space="preserve">average </w:t>
      </w:r>
      <w:r w:rsidR="00B86666">
        <w:rPr>
          <w:rFonts w:ascii="Arial" w:hAnsi="Arial" w:cs="Arial"/>
          <w:sz w:val="22"/>
          <w:szCs w:val="22"/>
        </w:rPr>
        <w:t>resit rates for</w:t>
      </w:r>
      <w:r w:rsidR="00616892">
        <w:rPr>
          <w:rFonts w:ascii="Arial" w:hAnsi="Arial" w:cs="Arial"/>
          <w:sz w:val="22"/>
          <w:szCs w:val="22"/>
        </w:rPr>
        <w:t xml:space="preserve"> </w:t>
      </w:r>
      <w:r w:rsidR="00455A40">
        <w:rPr>
          <w:rFonts w:ascii="Arial" w:hAnsi="Arial" w:cs="Arial"/>
          <w:sz w:val="22"/>
          <w:szCs w:val="22"/>
        </w:rPr>
        <w:t xml:space="preserve">NLG </w:t>
      </w:r>
      <w:r w:rsidR="00BD2550">
        <w:rPr>
          <w:rFonts w:ascii="Arial" w:hAnsi="Arial" w:cs="Arial"/>
          <w:sz w:val="22"/>
          <w:szCs w:val="22"/>
        </w:rPr>
        <w:t xml:space="preserve">students </w:t>
      </w:r>
      <w:r w:rsidR="00616892">
        <w:rPr>
          <w:rFonts w:ascii="Arial" w:hAnsi="Arial" w:cs="Arial"/>
          <w:sz w:val="22"/>
          <w:szCs w:val="22"/>
        </w:rPr>
        <w:t>who declared ethnicity as</w:t>
      </w:r>
      <w:r w:rsidR="00BD2550">
        <w:rPr>
          <w:rFonts w:ascii="Arial" w:hAnsi="Arial" w:cs="Arial"/>
          <w:sz w:val="22"/>
          <w:szCs w:val="22"/>
        </w:rPr>
        <w:t xml:space="preserve">, white </w:t>
      </w:r>
      <w:r w:rsidR="00D631BD">
        <w:rPr>
          <w:rFonts w:ascii="Arial" w:hAnsi="Arial" w:cs="Arial"/>
          <w:sz w:val="22"/>
          <w:szCs w:val="22"/>
        </w:rPr>
        <w:t>8</w:t>
      </w:r>
      <w:r w:rsidR="00BD2550">
        <w:rPr>
          <w:rFonts w:ascii="Arial" w:hAnsi="Arial" w:cs="Arial"/>
          <w:sz w:val="22"/>
          <w:szCs w:val="22"/>
        </w:rPr>
        <w:t xml:space="preserve">%, BME </w:t>
      </w:r>
      <w:r w:rsidR="005F0490">
        <w:rPr>
          <w:rFonts w:ascii="Arial" w:hAnsi="Arial" w:cs="Arial"/>
          <w:sz w:val="22"/>
          <w:szCs w:val="22"/>
        </w:rPr>
        <w:t>18</w:t>
      </w:r>
      <w:r w:rsidR="00BD2550">
        <w:rPr>
          <w:rFonts w:ascii="Arial" w:hAnsi="Arial" w:cs="Arial"/>
          <w:sz w:val="22"/>
          <w:szCs w:val="22"/>
        </w:rPr>
        <w:t xml:space="preserve">%, and black (only) </w:t>
      </w:r>
      <w:r w:rsidR="005F0490">
        <w:rPr>
          <w:rFonts w:ascii="Arial" w:hAnsi="Arial" w:cs="Arial"/>
          <w:sz w:val="22"/>
          <w:szCs w:val="22"/>
        </w:rPr>
        <w:t>2</w:t>
      </w:r>
      <w:r w:rsidR="00455A40">
        <w:rPr>
          <w:rFonts w:ascii="Arial" w:hAnsi="Arial" w:cs="Arial"/>
          <w:sz w:val="22"/>
          <w:szCs w:val="22"/>
        </w:rPr>
        <w:t>5</w:t>
      </w:r>
      <w:r w:rsidR="00BD2550">
        <w:rPr>
          <w:rFonts w:ascii="Arial" w:hAnsi="Arial" w:cs="Arial"/>
          <w:sz w:val="22"/>
          <w:szCs w:val="22"/>
        </w:rPr>
        <w:t>%</w:t>
      </w:r>
      <w:r w:rsidR="00BD4A4A">
        <w:rPr>
          <w:rFonts w:ascii="Arial" w:hAnsi="Arial" w:cs="Arial"/>
          <w:sz w:val="22"/>
          <w:szCs w:val="22"/>
        </w:rPr>
        <w:t xml:space="preserve">; </w:t>
      </w:r>
      <w:r w:rsidR="00616892">
        <w:rPr>
          <w:rFonts w:ascii="Arial" w:hAnsi="Arial" w:cs="Arial"/>
          <w:sz w:val="22"/>
          <w:szCs w:val="22"/>
        </w:rPr>
        <w:t>f</w:t>
      </w:r>
      <w:r w:rsidR="00BD2550">
        <w:rPr>
          <w:rFonts w:ascii="Arial" w:hAnsi="Arial" w:cs="Arial"/>
          <w:sz w:val="22"/>
          <w:szCs w:val="22"/>
        </w:rPr>
        <w:t xml:space="preserve">or </w:t>
      </w:r>
      <w:r w:rsidR="00EB4EF5">
        <w:rPr>
          <w:rFonts w:ascii="Arial" w:hAnsi="Arial" w:cs="Arial"/>
          <w:sz w:val="22"/>
          <w:szCs w:val="22"/>
        </w:rPr>
        <w:t>attainment of</w:t>
      </w:r>
      <w:r w:rsidR="005F72F6">
        <w:rPr>
          <w:rFonts w:ascii="Arial" w:hAnsi="Arial" w:cs="Arial"/>
          <w:sz w:val="22"/>
          <w:szCs w:val="22"/>
        </w:rPr>
        <w:t xml:space="preserve"> </w:t>
      </w:r>
      <w:r w:rsidR="00BD2550">
        <w:rPr>
          <w:rFonts w:ascii="Arial" w:hAnsi="Arial" w:cs="Arial"/>
          <w:sz w:val="22"/>
          <w:szCs w:val="22"/>
        </w:rPr>
        <w:t>the highest award</w:t>
      </w:r>
      <w:r w:rsidR="00850478">
        <w:rPr>
          <w:rFonts w:ascii="Arial" w:hAnsi="Arial" w:cs="Arial"/>
          <w:sz w:val="22"/>
          <w:szCs w:val="22"/>
        </w:rPr>
        <w:t>s</w:t>
      </w:r>
      <w:r w:rsidR="00155D01">
        <w:rPr>
          <w:rFonts w:ascii="Arial" w:hAnsi="Arial" w:cs="Arial"/>
          <w:sz w:val="22"/>
          <w:szCs w:val="22"/>
        </w:rPr>
        <w:t xml:space="preserve"> for performance</w:t>
      </w:r>
      <w:r w:rsidR="00BD2550">
        <w:rPr>
          <w:rFonts w:ascii="Arial" w:hAnsi="Arial" w:cs="Arial"/>
          <w:sz w:val="22"/>
          <w:szCs w:val="22"/>
        </w:rPr>
        <w:t>, ‘distinction’</w:t>
      </w:r>
      <w:r w:rsidR="00616892">
        <w:rPr>
          <w:rFonts w:ascii="Arial" w:hAnsi="Arial" w:cs="Arial"/>
          <w:sz w:val="22"/>
          <w:szCs w:val="22"/>
        </w:rPr>
        <w:t xml:space="preserve"> </w:t>
      </w:r>
      <w:r w:rsidR="00850478">
        <w:rPr>
          <w:rFonts w:ascii="Arial" w:hAnsi="Arial" w:cs="Arial"/>
          <w:sz w:val="22"/>
          <w:szCs w:val="22"/>
        </w:rPr>
        <w:t xml:space="preserve">and ‘commendation’, </w:t>
      </w:r>
      <w:r w:rsidR="007545FC">
        <w:rPr>
          <w:rFonts w:ascii="Arial" w:hAnsi="Arial" w:cs="Arial"/>
          <w:sz w:val="22"/>
          <w:szCs w:val="22"/>
        </w:rPr>
        <w:t xml:space="preserve">figures </w:t>
      </w:r>
      <w:r w:rsidR="00EF0FD9">
        <w:rPr>
          <w:rFonts w:ascii="Arial" w:hAnsi="Arial" w:cs="Arial"/>
          <w:sz w:val="22"/>
          <w:szCs w:val="22"/>
        </w:rPr>
        <w:t>show</w:t>
      </w:r>
      <w:r w:rsidR="005F72F6">
        <w:rPr>
          <w:rFonts w:ascii="Arial" w:hAnsi="Arial" w:cs="Arial"/>
          <w:sz w:val="22"/>
          <w:szCs w:val="22"/>
        </w:rPr>
        <w:t xml:space="preserve"> as</w:t>
      </w:r>
      <w:r w:rsidR="00EF0FD9">
        <w:rPr>
          <w:rFonts w:ascii="Arial" w:hAnsi="Arial" w:cs="Arial"/>
          <w:sz w:val="22"/>
          <w:szCs w:val="22"/>
        </w:rPr>
        <w:t>:</w:t>
      </w:r>
      <w:r w:rsidR="00BD2550">
        <w:rPr>
          <w:rFonts w:ascii="Arial" w:hAnsi="Arial" w:cs="Arial"/>
          <w:sz w:val="22"/>
          <w:szCs w:val="22"/>
        </w:rPr>
        <w:t xml:space="preserve"> white </w:t>
      </w:r>
      <w:r w:rsidR="005F0490">
        <w:rPr>
          <w:rFonts w:ascii="Arial" w:hAnsi="Arial" w:cs="Arial"/>
          <w:sz w:val="22"/>
          <w:szCs w:val="22"/>
        </w:rPr>
        <w:t>53</w:t>
      </w:r>
      <w:r w:rsidR="00BD2550">
        <w:rPr>
          <w:rFonts w:ascii="Arial" w:hAnsi="Arial" w:cs="Arial"/>
          <w:sz w:val="22"/>
          <w:szCs w:val="22"/>
        </w:rPr>
        <w:t xml:space="preserve">%, BME </w:t>
      </w:r>
      <w:r w:rsidR="00616892">
        <w:rPr>
          <w:rFonts w:ascii="Arial" w:hAnsi="Arial" w:cs="Arial"/>
          <w:sz w:val="22"/>
          <w:szCs w:val="22"/>
        </w:rPr>
        <w:t>2</w:t>
      </w:r>
      <w:r w:rsidR="005F0490">
        <w:rPr>
          <w:rFonts w:ascii="Arial" w:hAnsi="Arial" w:cs="Arial"/>
          <w:sz w:val="22"/>
          <w:szCs w:val="22"/>
        </w:rPr>
        <w:t>4</w:t>
      </w:r>
      <w:r w:rsidR="00BD2550">
        <w:rPr>
          <w:rFonts w:ascii="Arial" w:hAnsi="Arial" w:cs="Arial"/>
          <w:sz w:val="22"/>
          <w:szCs w:val="22"/>
        </w:rPr>
        <w:t xml:space="preserve">% and black </w:t>
      </w:r>
      <w:r w:rsidR="00616892">
        <w:rPr>
          <w:rFonts w:ascii="Arial" w:hAnsi="Arial" w:cs="Arial"/>
          <w:sz w:val="22"/>
          <w:szCs w:val="22"/>
        </w:rPr>
        <w:t>1</w:t>
      </w:r>
      <w:r w:rsidR="005F0490">
        <w:rPr>
          <w:rFonts w:ascii="Arial" w:hAnsi="Arial" w:cs="Arial"/>
          <w:sz w:val="22"/>
          <w:szCs w:val="22"/>
        </w:rPr>
        <w:t>2</w:t>
      </w:r>
      <w:r w:rsidR="00BD2550">
        <w:rPr>
          <w:rFonts w:ascii="Arial" w:hAnsi="Arial" w:cs="Arial"/>
          <w:sz w:val="22"/>
          <w:szCs w:val="22"/>
        </w:rPr>
        <w:t>%</w:t>
      </w:r>
      <w:r w:rsidR="00B3486F">
        <w:rPr>
          <w:rFonts w:ascii="Arial" w:hAnsi="Arial" w:cs="Arial"/>
          <w:sz w:val="22"/>
          <w:szCs w:val="22"/>
        </w:rPr>
        <w:t>.</w:t>
      </w:r>
      <w:r w:rsidR="00A700F8">
        <w:rPr>
          <w:rStyle w:val="FootnoteReference"/>
          <w:rFonts w:ascii="Arial" w:hAnsi="Arial" w:cs="Arial"/>
          <w:sz w:val="22"/>
          <w:szCs w:val="22"/>
        </w:rPr>
        <w:footnoteReference w:id="52"/>
      </w:r>
      <w:r w:rsidR="00BD2550" w:rsidRPr="00FF2C4A">
        <w:rPr>
          <w:rFonts w:ascii="Arial" w:eastAsia="Times New Roman" w:hAnsi="Arial" w:cs="Arial"/>
          <w:sz w:val="22"/>
          <w:szCs w:val="22"/>
          <w:lang w:val="en-GB"/>
        </w:rPr>
        <w:t xml:space="preserve"> </w:t>
      </w:r>
      <w:r w:rsidR="00F74C5F">
        <w:rPr>
          <w:rFonts w:ascii="Arial" w:eastAsia="Times New Roman" w:hAnsi="Arial" w:cs="Arial"/>
          <w:sz w:val="22"/>
          <w:szCs w:val="22"/>
          <w:lang w:val="en-GB"/>
        </w:rPr>
        <w:t>W</w:t>
      </w:r>
      <w:r w:rsidR="00CD09F4">
        <w:rPr>
          <w:rFonts w:ascii="Arial" w:hAnsi="Arial" w:cs="Arial"/>
          <w:sz w:val="22"/>
          <w:szCs w:val="22"/>
        </w:rPr>
        <w:t>hile course providers</w:t>
      </w:r>
      <w:r w:rsidR="00F74C5F">
        <w:rPr>
          <w:rFonts w:ascii="Arial" w:hAnsi="Arial" w:cs="Arial"/>
          <w:sz w:val="22"/>
          <w:szCs w:val="22"/>
        </w:rPr>
        <w:t>, like recruiters,</w:t>
      </w:r>
      <w:r w:rsidR="00CD09F4">
        <w:rPr>
          <w:rFonts w:ascii="Arial" w:hAnsi="Arial" w:cs="Arial"/>
          <w:sz w:val="22"/>
          <w:szCs w:val="22"/>
        </w:rPr>
        <w:t xml:space="preserve"> can (rightly) po</w:t>
      </w:r>
      <w:r w:rsidR="005F72F6">
        <w:rPr>
          <w:rFonts w:ascii="Arial" w:hAnsi="Arial" w:cs="Arial"/>
          <w:sz w:val="22"/>
          <w:szCs w:val="22"/>
        </w:rPr>
        <w:t>int to</w:t>
      </w:r>
      <w:r w:rsidR="00CD09F4">
        <w:rPr>
          <w:rFonts w:ascii="Arial" w:hAnsi="Arial" w:cs="Arial"/>
          <w:sz w:val="22"/>
          <w:szCs w:val="22"/>
        </w:rPr>
        <w:t xml:space="preserve"> complexity of causes</w:t>
      </w:r>
      <w:r w:rsidR="00F74C5F">
        <w:rPr>
          <w:rFonts w:ascii="Arial" w:hAnsi="Arial" w:cs="Arial"/>
          <w:sz w:val="22"/>
          <w:szCs w:val="22"/>
        </w:rPr>
        <w:t>,</w:t>
      </w:r>
      <w:r w:rsidR="00A21D9C">
        <w:rPr>
          <w:rStyle w:val="FootnoteReference"/>
          <w:rFonts w:ascii="Arial" w:hAnsi="Arial" w:cs="Arial"/>
          <w:sz w:val="22"/>
          <w:szCs w:val="22"/>
        </w:rPr>
        <w:footnoteReference w:id="53"/>
      </w:r>
      <w:r w:rsidR="00CD09F4">
        <w:rPr>
          <w:rFonts w:ascii="Arial" w:hAnsi="Arial" w:cs="Arial"/>
          <w:sz w:val="22"/>
          <w:szCs w:val="22"/>
        </w:rPr>
        <w:t xml:space="preserve"> </w:t>
      </w:r>
      <w:r w:rsidR="00F74C5F">
        <w:rPr>
          <w:rFonts w:ascii="Arial" w:hAnsi="Arial" w:cs="Arial"/>
          <w:sz w:val="22"/>
          <w:szCs w:val="22"/>
        </w:rPr>
        <w:t>this data shows that the gap in</w:t>
      </w:r>
      <w:r w:rsidR="003A2644">
        <w:rPr>
          <w:rFonts w:ascii="Arial" w:hAnsi="Arial" w:cs="Arial"/>
          <w:sz w:val="22"/>
          <w:szCs w:val="22"/>
        </w:rPr>
        <w:t xml:space="preserve"> diversity in the professi</w:t>
      </w:r>
      <w:r w:rsidR="00F74C5F">
        <w:rPr>
          <w:rFonts w:ascii="Arial" w:hAnsi="Arial" w:cs="Arial"/>
          <w:sz w:val="22"/>
          <w:szCs w:val="22"/>
        </w:rPr>
        <w:t>on is in some measure, attributable to the course.</w:t>
      </w:r>
      <w:r w:rsidR="003A2644">
        <w:rPr>
          <w:rStyle w:val="FootnoteReference"/>
          <w:rFonts w:ascii="Arial" w:hAnsi="Arial" w:cs="Arial"/>
          <w:sz w:val="22"/>
          <w:szCs w:val="22"/>
        </w:rPr>
        <w:footnoteReference w:id="54"/>
      </w:r>
      <w:r w:rsidR="003A2644">
        <w:rPr>
          <w:rFonts w:ascii="Arial" w:hAnsi="Arial" w:cs="Arial"/>
          <w:sz w:val="22"/>
          <w:szCs w:val="22"/>
        </w:rPr>
        <w:t xml:space="preserve"> </w:t>
      </w:r>
      <w:r w:rsidR="00F74C5F">
        <w:rPr>
          <w:rFonts w:ascii="Arial" w:hAnsi="Arial" w:cs="Arial"/>
          <w:sz w:val="22"/>
          <w:szCs w:val="22"/>
        </w:rPr>
        <w:t xml:space="preserve">Clearly, the current approaches to delivery of courses and assessment </w:t>
      </w:r>
      <w:r w:rsidR="00A06096">
        <w:rPr>
          <w:rFonts w:ascii="Arial" w:hAnsi="Arial" w:cs="Arial"/>
          <w:sz w:val="22"/>
          <w:szCs w:val="22"/>
        </w:rPr>
        <w:t>are</w:t>
      </w:r>
      <w:r w:rsidR="00F74C5F">
        <w:rPr>
          <w:rFonts w:ascii="Arial" w:hAnsi="Arial" w:cs="Arial"/>
          <w:sz w:val="22"/>
          <w:szCs w:val="22"/>
        </w:rPr>
        <w:t xml:space="preserve"> </w:t>
      </w:r>
      <w:r w:rsidR="0061760A">
        <w:rPr>
          <w:rFonts w:ascii="Arial" w:hAnsi="Arial" w:cs="Arial"/>
          <w:sz w:val="22"/>
          <w:szCs w:val="22"/>
        </w:rPr>
        <w:t xml:space="preserve">not </w:t>
      </w:r>
      <w:r w:rsidR="00A06096">
        <w:rPr>
          <w:rFonts w:ascii="Arial" w:hAnsi="Arial" w:cs="Arial"/>
          <w:sz w:val="22"/>
          <w:szCs w:val="22"/>
        </w:rPr>
        <w:t>good enough to address, or perhaps, even contribute</w:t>
      </w:r>
      <w:r w:rsidR="00F74C5F">
        <w:rPr>
          <w:rFonts w:ascii="Arial" w:hAnsi="Arial" w:cs="Arial"/>
          <w:sz w:val="22"/>
          <w:szCs w:val="22"/>
        </w:rPr>
        <w:t xml:space="preserve"> to</w:t>
      </w:r>
      <w:r w:rsidR="00A06096">
        <w:rPr>
          <w:rFonts w:ascii="Arial" w:hAnsi="Arial" w:cs="Arial"/>
          <w:sz w:val="22"/>
          <w:szCs w:val="22"/>
        </w:rPr>
        <w:t>,</w:t>
      </w:r>
      <w:r w:rsidR="00F74C5F">
        <w:rPr>
          <w:rFonts w:ascii="Arial" w:hAnsi="Arial" w:cs="Arial"/>
          <w:sz w:val="22"/>
          <w:szCs w:val="22"/>
        </w:rPr>
        <w:t xml:space="preserve"> BME under-performance.</w:t>
      </w:r>
      <w:r w:rsidR="00F74C5F">
        <w:rPr>
          <w:rStyle w:val="FootnoteReference"/>
          <w:rFonts w:ascii="Arial" w:hAnsi="Arial" w:cs="Arial"/>
          <w:sz w:val="22"/>
          <w:szCs w:val="22"/>
        </w:rPr>
        <w:footnoteReference w:id="55"/>
      </w:r>
    </w:p>
    <w:p w14:paraId="7A3D2771" w14:textId="77777777" w:rsidR="00EB6DAB" w:rsidRDefault="00EB6DAB" w:rsidP="00FF2C4A">
      <w:pPr>
        <w:rPr>
          <w:rFonts w:ascii="Arial" w:hAnsi="Arial" w:cs="Arial"/>
          <w:sz w:val="22"/>
          <w:szCs w:val="22"/>
        </w:rPr>
      </w:pPr>
    </w:p>
    <w:p w14:paraId="132C402B" w14:textId="3D45C435" w:rsidR="002D2D9A" w:rsidRDefault="00EB6DAB" w:rsidP="00E671F4">
      <w:pPr>
        <w:widowControl w:val="0"/>
        <w:autoSpaceDE w:val="0"/>
        <w:autoSpaceDN w:val="0"/>
        <w:adjustRightInd w:val="0"/>
        <w:rPr>
          <w:rFonts w:ascii="Arial" w:hAnsi="Arial" w:cs="Arial"/>
          <w:sz w:val="22"/>
          <w:szCs w:val="22"/>
        </w:rPr>
      </w:pPr>
      <w:r w:rsidRPr="0004604E">
        <w:rPr>
          <w:rFonts w:ascii="Arial" w:hAnsi="Arial" w:cs="Arial"/>
          <w:sz w:val="22"/>
          <w:szCs w:val="22"/>
        </w:rPr>
        <w:t xml:space="preserve">The sceptics were right </w:t>
      </w:r>
      <w:r w:rsidR="0059360E">
        <w:rPr>
          <w:rFonts w:ascii="Arial" w:hAnsi="Arial" w:cs="Arial"/>
          <w:sz w:val="22"/>
          <w:szCs w:val="22"/>
        </w:rPr>
        <w:t xml:space="preserve">about one thing: </w:t>
      </w:r>
      <w:r w:rsidRPr="0004604E">
        <w:rPr>
          <w:rFonts w:ascii="Arial" w:hAnsi="Arial" w:cs="Arial"/>
          <w:sz w:val="22"/>
          <w:szCs w:val="22"/>
        </w:rPr>
        <w:t>the conversion route has become ‘a mainline entry to the practising professions’.</w:t>
      </w:r>
      <w:r w:rsidRPr="0004604E">
        <w:rPr>
          <w:rStyle w:val="FootnoteReference"/>
          <w:rFonts w:ascii="Arial" w:hAnsi="Arial" w:cs="Arial"/>
          <w:sz w:val="22"/>
          <w:szCs w:val="22"/>
        </w:rPr>
        <w:footnoteReference w:id="56"/>
      </w:r>
      <w:r w:rsidR="00D42EE6">
        <w:rPr>
          <w:rFonts w:ascii="Arial" w:hAnsi="Arial" w:cs="Arial"/>
          <w:sz w:val="22"/>
          <w:szCs w:val="22"/>
        </w:rPr>
        <w:t xml:space="preserve"> But as</w:t>
      </w:r>
      <w:r w:rsidR="00BA651C">
        <w:rPr>
          <w:rFonts w:ascii="Arial" w:hAnsi="Arial" w:cs="Arial"/>
          <w:sz w:val="22"/>
          <w:szCs w:val="22"/>
        </w:rPr>
        <w:t xml:space="preserve"> we have seen</w:t>
      </w:r>
      <w:r w:rsidR="00316B7A">
        <w:rPr>
          <w:rFonts w:ascii="Arial" w:hAnsi="Arial" w:cs="Arial"/>
          <w:sz w:val="22"/>
          <w:szCs w:val="22"/>
        </w:rPr>
        <w:t>,</w:t>
      </w:r>
      <w:r w:rsidR="00AA264C">
        <w:rPr>
          <w:rFonts w:ascii="Arial" w:hAnsi="Arial" w:cs="Arial"/>
          <w:sz w:val="22"/>
          <w:szCs w:val="22"/>
        </w:rPr>
        <w:t xml:space="preserve"> there is a double hurdle to </w:t>
      </w:r>
      <w:r>
        <w:rPr>
          <w:rFonts w:ascii="Arial" w:hAnsi="Arial" w:cs="Arial"/>
          <w:sz w:val="22"/>
          <w:szCs w:val="22"/>
        </w:rPr>
        <w:t>diversity</w:t>
      </w:r>
      <w:r w:rsidR="00AA264C">
        <w:rPr>
          <w:rFonts w:ascii="Arial" w:hAnsi="Arial" w:cs="Arial"/>
          <w:sz w:val="22"/>
          <w:szCs w:val="22"/>
        </w:rPr>
        <w:t xml:space="preserve"> by recruiting NLG</w:t>
      </w:r>
      <w:r w:rsidR="00FE059D">
        <w:rPr>
          <w:rFonts w:ascii="Arial" w:hAnsi="Arial" w:cs="Arial"/>
          <w:sz w:val="22"/>
          <w:szCs w:val="22"/>
        </w:rPr>
        <w:t>.</w:t>
      </w:r>
      <w:r>
        <w:rPr>
          <w:rFonts w:ascii="Arial" w:hAnsi="Arial" w:cs="Arial"/>
          <w:sz w:val="22"/>
          <w:szCs w:val="22"/>
        </w:rPr>
        <w:t xml:space="preserve"> </w:t>
      </w:r>
      <w:r w:rsidR="00AA264C">
        <w:rPr>
          <w:rFonts w:ascii="Arial" w:hAnsi="Arial" w:cs="Arial"/>
          <w:sz w:val="22"/>
          <w:szCs w:val="22"/>
        </w:rPr>
        <w:t>First,</w:t>
      </w:r>
      <w:r w:rsidR="00940DC5">
        <w:rPr>
          <w:rFonts w:ascii="Arial" w:hAnsi="Arial" w:cs="Arial"/>
          <w:sz w:val="22"/>
          <w:szCs w:val="22"/>
        </w:rPr>
        <w:t xml:space="preserve"> </w:t>
      </w:r>
      <w:r w:rsidR="00316B7A">
        <w:rPr>
          <w:rFonts w:ascii="Arial" w:hAnsi="Arial" w:cs="Arial"/>
          <w:sz w:val="22"/>
          <w:szCs w:val="22"/>
        </w:rPr>
        <w:t xml:space="preserve">there is </w:t>
      </w:r>
      <w:r w:rsidR="00BF1D3D">
        <w:rPr>
          <w:rFonts w:ascii="Arial" w:hAnsi="Arial" w:cs="Arial"/>
          <w:sz w:val="22"/>
          <w:szCs w:val="22"/>
        </w:rPr>
        <w:t xml:space="preserve">a </w:t>
      </w:r>
      <w:r w:rsidR="00940DC5">
        <w:rPr>
          <w:rFonts w:ascii="Arial" w:hAnsi="Arial" w:cs="Arial"/>
          <w:sz w:val="22"/>
          <w:szCs w:val="22"/>
        </w:rPr>
        <w:t>recruit</w:t>
      </w:r>
      <w:r w:rsidR="005F72F6">
        <w:rPr>
          <w:rFonts w:ascii="Arial" w:hAnsi="Arial" w:cs="Arial"/>
          <w:sz w:val="22"/>
          <w:szCs w:val="22"/>
        </w:rPr>
        <w:t xml:space="preserve">ment </w:t>
      </w:r>
      <w:r w:rsidR="002D2D9A">
        <w:rPr>
          <w:rFonts w:ascii="Arial" w:hAnsi="Arial" w:cs="Arial"/>
          <w:sz w:val="22"/>
          <w:szCs w:val="22"/>
        </w:rPr>
        <w:t xml:space="preserve">policy </w:t>
      </w:r>
      <w:r w:rsidR="000E22C8">
        <w:rPr>
          <w:rFonts w:ascii="Arial" w:hAnsi="Arial" w:cs="Arial"/>
          <w:sz w:val="22"/>
          <w:szCs w:val="22"/>
        </w:rPr>
        <w:t xml:space="preserve">which prioritises </w:t>
      </w:r>
      <w:r>
        <w:rPr>
          <w:rFonts w:ascii="Arial" w:hAnsi="Arial" w:cs="Arial"/>
          <w:sz w:val="22"/>
          <w:szCs w:val="22"/>
        </w:rPr>
        <w:t>universit</w:t>
      </w:r>
      <w:r w:rsidR="005F72F6">
        <w:rPr>
          <w:rFonts w:ascii="Arial" w:hAnsi="Arial" w:cs="Arial"/>
          <w:sz w:val="22"/>
          <w:szCs w:val="22"/>
        </w:rPr>
        <w:t>y</w:t>
      </w:r>
      <w:r w:rsidR="00BA651C">
        <w:rPr>
          <w:rFonts w:ascii="Arial" w:hAnsi="Arial" w:cs="Arial"/>
          <w:sz w:val="22"/>
          <w:szCs w:val="22"/>
        </w:rPr>
        <w:t xml:space="preserve"> reputation</w:t>
      </w:r>
      <w:r w:rsidR="005F72F6">
        <w:rPr>
          <w:rFonts w:ascii="Arial" w:hAnsi="Arial" w:cs="Arial"/>
          <w:sz w:val="22"/>
          <w:szCs w:val="22"/>
        </w:rPr>
        <w:t xml:space="preserve"> </w:t>
      </w:r>
      <w:r w:rsidR="002D2D9A">
        <w:rPr>
          <w:rFonts w:ascii="Arial" w:hAnsi="Arial" w:cs="Arial"/>
          <w:sz w:val="22"/>
          <w:szCs w:val="22"/>
        </w:rPr>
        <w:t xml:space="preserve">over </w:t>
      </w:r>
      <w:r w:rsidR="005F72F6">
        <w:rPr>
          <w:rFonts w:ascii="Arial" w:hAnsi="Arial" w:cs="Arial"/>
          <w:sz w:val="22"/>
          <w:szCs w:val="22"/>
        </w:rPr>
        <w:t>maturity and experience</w:t>
      </w:r>
      <w:r w:rsidR="00316B7A">
        <w:rPr>
          <w:rFonts w:ascii="Arial" w:hAnsi="Arial" w:cs="Arial"/>
          <w:sz w:val="22"/>
          <w:szCs w:val="22"/>
        </w:rPr>
        <w:t xml:space="preserve"> -</w:t>
      </w:r>
      <w:r>
        <w:rPr>
          <w:rFonts w:ascii="Arial" w:hAnsi="Arial" w:cs="Arial"/>
          <w:sz w:val="22"/>
          <w:szCs w:val="22"/>
        </w:rPr>
        <w:t xml:space="preserve"> </w:t>
      </w:r>
      <w:r w:rsidR="005F72F6">
        <w:rPr>
          <w:rFonts w:ascii="Arial" w:hAnsi="Arial" w:cs="Arial"/>
          <w:sz w:val="22"/>
          <w:szCs w:val="22"/>
        </w:rPr>
        <w:t xml:space="preserve">the former category </w:t>
      </w:r>
      <w:r>
        <w:rPr>
          <w:rFonts w:ascii="Arial" w:hAnsi="Arial" w:cs="Arial"/>
          <w:sz w:val="22"/>
          <w:szCs w:val="22"/>
        </w:rPr>
        <w:t xml:space="preserve">disproportionately </w:t>
      </w:r>
      <w:r w:rsidR="001513CA">
        <w:rPr>
          <w:rFonts w:ascii="Arial" w:hAnsi="Arial" w:cs="Arial"/>
          <w:sz w:val="22"/>
          <w:szCs w:val="22"/>
        </w:rPr>
        <w:t>under-</w:t>
      </w:r>
      <w:r w:rsidR="005F72F6">
        <w:rPr>
          <w:rFonts w:ascii="Arial" w:hAnsi="Arial" w:cs="Arial"/>
          <w:sz w:val="22"/>
          <w:szCs w:val="22"/>
        </w:rPr>
        <w:t xml:space="preserve">representing </w:t>
      </w:r>
      <w:r>
        <w:rPr>
          <w:rFonts w:ascii="Arial" w:hAnsi="Arial" w:cs="Arial"/>
          <w:sz w:val="22"/>
          <w:szCs w:val="22"/>
        </w:rPr>
        <w:t>BME</w:t>
      </w:r>
      <w:r w:rsidR="00B86666">
        <w:rPr>
          <w:rFonts w:ascii="Arial" w:hAnsi="Arial" w:cs="Arial"/>
          <w:sz w:val="22"/>
          <w:szCs w:val="22"/>
        </w:rPr>
        <w:t xml:space="preserve"> students</w:t>
      </w:r>
      <w:r>
        <w:rPr>
          <w:rFonts w:ascii="Arial" w:hAnsi="Arial" w:cs="Arial"/>
          <w:sz w:val="22"/>
          <w:szCs w:val="22"/>
        </w:rPr>
        <w:t xml:space="preserve">, and </w:t>
      </w:r>
      <w:r w:rsidR="002D2D9A">
        <w:rPr>
          <w:rFonts w:ascii="Arial" w:hAnsi="Arial" w:cs="Arial"/>
          <w:sz w:val="22"/>
          <w:szCs w:val="22"/>
        </w:rPr>
        <w:t xml:space="preserve">second, </w:t>
      </w:r>
      <w:r w:rsidR="00D42EE6">
        <w:rPr>
          <w:rFonts w:ascii="Arial" w:hAnsi="Arial" w:cs="Arial"/>
          <w:sz w:val="22"/>
          <w:szCs w:val="22"/>
        </w:rPr>
        <w:t xml:space="preserve">a </w:t>
      </w:r>
      <w:r w:rsidRPr="002363EB">
        <w:rPr>
          <w:rFonts w:ascii="Arial" w:hAnsi="Arial" w:cs="Arial"/>
          <w:sz w:val="22"/>
          <w:szCs w:val="22"/>
        </w:rPr>
        <w:t>cou</w:t>
      </w:r>
      <w:r>
        <w:rPr>
          <w:rFonts w:ascii="Arial" w:hAnsi="Arial" w:cs="Arial"/>
          <w:sz w:val="22"/>
          <w:szCs w:val="22"/>
        </w:rPr>
        <w:t>rs</w:t>
      </w:r>
      <w:r w:rsidRPr="002363EB">
        <w:rPr>
          <w:rFonts w:ascii="Arial" w:hAnsi="Arial" w:cs="Arial"/>
          <w:sz w:val="22"/>
          <w:szCs w:val="22"/>
        </w:rPr>
        <w:t xml:space="preserve">e </w:t>
      </w:r>
      <w:r w:rsidR="00936D86">
        <w:rPr>
          <w:rFonts w:ascii="Arial" w:hAnsi="Arial" w:cs="Arial"/>
          <w:sz w:val="22"/>
          <w:szCs w:val="22"/>
        </w:rPr>
        <w:t>on which BME students under-perform</w:t>
      </w:r>
      <w:r w:rsidR="00D42EE6">
        <w:rPr>
          <w:rFonts w:ascii="Arial" w:hAnsi="Arial" w:cs="Arial"/>
          <w:sz w:val="22"/>
          <w:szCs w:val="22"/>
        </w:rPr>
        <w:t xml:space="preserve"> </w:t>
      </w:r>
      <w:r w:rsidR="000E22C8">
        <w:rPr>
          <w:rFonts w:ascii="Arial" w:hAnsi="Arial" w:cs="Arial"/>
          <w:sz w:val="22"/>
          <w:szCs w:val="22"/>
        </w:rPr>
        <w:t xml:space="preserve">despite being </w:t>
      </w:r>
      <w:r w:rsidR="00D42EE6">
        <w:rPr>
          <w:rFonts w:ascii="Arial" w:hAnsi="Arial" w:cs="Arial"/>
          <w:sz w:val="22"/>
          <w:szCs w:val="22"/>
        </w:rPr>
        <w:t>success</w:t>
      </w:r>
      <w:r w:rsidR="00BA651C">
        <w:rPr>
          <w:rFonts w:ascii="Arial" w:hAnsi="Arial" w:cs="Arial"/>
          <w:sz w:val="22"/>
          <w:szCs w:val="22"/>
        </w:rPr>
        <w:t>ful</w:t>
      </w:r>
      <w:r w:rsidR="00D42EE6">
        <w:rPr>
          <w:rFonts w:ascii="Arial" w:hAnsi="Arial" w:cs="Arial"/>
          <w:sz w:val="22"/>
          <w:szCs w:val="22"/>
        </w:rPr>
        <w:t xml:space="preserve"> graduates.</w:t>
      </w:r>
      <w:r w:rsidR="00936D86">
        <w:rPr>
          <w:rFonts w:ascii="Arial" w:hAnsi="Arial" w:cs="Arial"/>
          <w:sz w:val="22"/>
          <w:szCs w:val="22"/>
        </w:rPr>
        <w:t xml:space="preserve"> </w:t>
      </w:r>
    </w:p>
    <w:p w14:paraId="3F8FC144" w14:textId="77777777" w:rsidR="002D2D9A" w:rsidRDefault="002D2D9A" w:rsidP="00E671F4">
      <w:pPr>
        <w:widowControl w:val="0"/>
        <w:autoSpaceDE w:val="0"/>
        <w:autoSpaceDN w:val="0"/>
        <w:adjustRightInd w:val="0"/>
        <w:rPr>
          <w:rFonts w:ascii="Arial" w:hAnsi="Arial" w:cs="Arial"/>
          <w:sz w:val="22"/>
          <w:szCs w:val="22"/>
        </w:rPr>
      </w:pPr>
    </w:p>
    <w:p w14:paraId="171F129D" w14:textId="1E3A6BDE" w:rsidR="00936D86" w:rsidRPr="00FB374E" w:rsidRDefault="009E459B" w:rsidP="00E671F4">
      <w:pPr>
        <w:widowControl w:val="0"/>
        <w:autoSpaceDE w:val="0"/>
        <w:autoSpaceDN w:val="0"/>
        <w:adjustRightInd w:val="0"/>
        <w:rPr>
          <w:rFonts w:ascii="Arial" w:eastAsia="Times New Roman" w:hAnsi="Arial" w:cs="Arial"/>
          <w:color w:val="333333"/>
          <w:sz w:val="22"/>
          <w:szCs w:val="22"/>
          <w:lang w:val="en-GB"/>
        </w:rPr>
      </w:pPr>
      <w:r>
        <w:rPr>
          <w:rFonts w:ascii="Arial" w:hAnsi="Arial" w:cs="Arial"/>
          <w:sz w:val="22"/>
          <w:szCs w:val="22"/>
        </w:rPr>
        <w:t>The next section summari</w:t>
      </w:r>
      <w:r w:rsidR="00CE1EC0">
        <w:rPr>
          <w:rFonts w:ascii="Arial" w:hAnsi="Arial" w:cs="Arial"/>
          <w:sz w:val="22"/>
          <w:szCs w:val="22"/>
        </w:rPr>
        <w:t>s</w:t>
      </w:r>
      <w:r>
        <w:rPr>
          <w:rFonts w:ascii="Arial" w:hAnsi="Arial" w:cs="Arial"/>
          <w:sz w:val="22"/>
          <w:szCs w:val="22"/>
        </w:rPr>
        <w:t xml:space="preserve">es the </w:t>
      </w:r>
      <w:r w:rsidR="00B86666">
        <w:rPr>
          <w:rFonts w:ascii="Arial" w:hAnsi="Arial" w:cs="Arial"/>
          <w:sz w:val="22"/>
          <w:szCs w:val="22"/>
        </w:rPr>
        <w:t xml:space="preserve">regulatory </w:t>
      </w:r>
      <w:r>
        <w:rPr>
          <w:rFonts w:ascii="Arial" w:hAnsi="Arial" w:cs="Arial"/>
          <w:sz w:val="22"/>
          <w:szCs w:val="22"/>
        </w:rPr>
        <w:t>changes</w:t>
      </w:r>
      <w:r w:rsidR="00DF0DA2">
        <w:rPr>
          <w:rFonts w:ascii="Arial" w:hAnsi="Arial" w:cs="Arial"/>
          <w:sz w:val="22"/>
          <w:szCs w:val="22"/>
        </w:rPr>
        <w:t>,</w:t>
      </w:r>
      <w:r>
        <w:rPr>
          <w:rFonts w:ascii="Arial" w:hAnsi="Arial" w:cs="Arial"/>
          <w:sz w:val="22"/>
          <w:szCs w:val="22"/>
        </w:rPr>
        <w:t xml:space="preserve"> and </w:t>
      </w:r>
      <w:r w:rsidR="002D2D9A">
        <w:rPr>
          <w:rFonts w:ascii="Arial" w:hAnsi="Arial" w:cs="Arial"/>
          <w:sz w:val="22"/>
          <w:szCs w:val="22"/>
        </w:rPr>
        <w:t xml:space="preserve">given the focus of this article, </w:t>
      </w:r>
      <w:r w:rsidR="00BF1D3D">
        <w:rPr>
          <w:rFonts w:ascii="Arial" w:hAnsi="Arial" w:cs="Arial"/>
          <w:sz w:val="22"/>
          <w:szCs w:val="22"/>
        </w:rPr>
        <w:t>i</w:t>
      </w:r>
      <w:r w:rsidR="000E22C8">
        <w:rPr>
          <w:rFonts w:ascii="Arial" w:hAnsi="Arial" w:cs="Arial"/>
          <w:sz w:val="22"/>
          <w:szCs w:val="22"/>
        </w:rPr>
        <w:t>t i</w:t>
      </w:r>
      <w:r w:rsidR="00BF1D3D">
        <w:rPr>
          <w:rFonts w:ascii="Arial" w:hAnsi="Arial" w:cs="Arial"/>
          <w:sz w:val="22"/>
          <w:szCs w:val="22"/>
        </w:rPr>
        <w:t xml:space="preserve">s followed by </w:t>
      </w:r>
      <w:r>
        <w:rPr>
          <w:rFonts w:ascii="Arial" w:hAnsi="Arial" w:cs="Arial"/>
          <w:sz w:val="22"/>
          <w:szCs w:val="22"/>
        </w:rPr>
        <w:t xml:space="preserve">consideration </w:t>
      </w:r>
      <w:r w:rsidR="00997E47">
        <w:rPr>
          <w:rFonts w:ascii="Arial" w:hAnsi="Arial" w:cs="Arial"/>
          <w:sz w:val="22"/>
          <w:szCs w:val="22"/>
        </w:rPr>
        <w:t xml:space="preserve">of how they are likely to affect </w:t>
      </w:r>
      <w:r w:rsidR="00F74C5F">
        <w:rPr>
          <w:rFonts w:ascii="Arial" w:hAnsi="Arial" w:cs="Arial"/>
          <w:sz w:val="22"/>
          <w:szCs w:val="22"/>
        </w:rPr>
        <w:t>the conversion course</w:t>
      </w:r>
      <w:r w:rsidR="000E22C8">
        <w:rPr>
          <w:rFonts w:ascii="Arial" w:hAnsi="Arial" w:cs="Arial"/>
          <w:sz w:val="22"/>
          <w:szCs w:val="22"/>
        </w:rPr>
        <w:t xml:space="preserve"> and </w:t>
      </w:r>
      <w:r>
        <w:rPr>
          <w:rFonts w:ascii="Arial" w:hAnsi="Arial" w:cs="Arial"/>
          <w:sz w:val="22"/>
          <w:szCs w:val="22"/>
        </w:rPr>
        <w:t>outcomes</w:t>
      </w:r>
      <w:r w:rsidR="00725743">
        <w:rPr>
          <w:rFonts w:ascii="Arial" w:hAnsi="Arial" w:cs="Arial"/>
          <w:sz w:val="22"/>
          <w:szCs w:val="22"/>
        </w:rPr>
        <w:t xml:space="preserve"> for</w:t>
      </w:r>
      <w:r>
        <w:rPr>
          <w:rFonts w:ascii="Arial" w:hAnsi="Arial" w:cs="Arial"/>
          <w:sz w:val="22"/>
          <w:szCs w:val="22"/>
        </w:rPr>
        <w:t xml:space="preserve"> </w:t>
      </w:r>
      <w:r w:rsidR="00936D86">
        <w:rPr>
          <w:rFonts w:ascii="Arial" w:hAnsi="Arial" w:cs="Arial"/>
          <w:sz w:val="22"/>
          <w:szCs w:val="22"/>
        </w:rPr>
        <w:t>NLG.</w:t>
      </w:r>
      <w:r w:rsidR="00936D86">
        <w:rPr>
          <w:rStyle w:val="FootnoteReference"/>
          <w:rFonts w:ascii="Arial" w:hAnsi="Arial" w:cs="Arial"/>
          <w:sz w:val="22"/>
          <w:szCs w:val="22"/>
        </w:rPr>
        <w:footnoteReference w:id="57"/>
      </w:r>
      <w:r w:rsidR="000E22C8">
        <w:rPr>
          <w:rFonts w:ascii="Arial" w:hAnsi="Arial" w:cs="Arial"/>
          <w:sz w:val="22"/>
          <w:szCs w:val="22"/>
        </w:rPr>
        <w:t xml:space="preserve"> </w:t>
      </w:r>
    </w:p>
    <w:p w14:paraId="1E19CE8E" w14:textId="77777777" w:rsidR="00E44BA1" w:rsidRDefault="00E44BA1" w:rsidP="00E671F4">
      <w:pPr>
        <w:widowControl w:val="0"/>
        <w:autoSpaceDE w:val="0"/>
        <w:autoSpaceDN w:val="0"/>
        <w:adjustRightInd w:val="0"/>
        <w:rPr>
          <w:rFonts w:ascii="Arial" w:hAnsi="Arial" w:cs="Arial"/>
          <w:i/>
          <w:sz w:val="22"/>
          <w:szCs w:val="22"/>
        </w:rPr>
      </w:pPr>
    </w:p>
    <w:p w14:paraId="5F15D5EE" w14:textId="77777777" w:rsidR="003F2985" w:rsidRPr="004F6670" w:rsidRDefault="003F2985" w:rsidP="00BF3201">
      <w:pPr>
        <w:rPr>
          <w:rFonts w:ascii="Arial" w:hAnsi="Arial" w:cs="Arial"/>
          <w:i/>
          <w:sz w:val="22"/>
          <w:szCs w:val="22"/>
        </w:rPr>
      </w:pPr>
    </w:p>
    <w:p w14:paraId="63BCFC14" w14:textId="58B45A88" w:rsidR="00BF3201" w:rsidRPr="004F6670" w:rsidRDefault="002F790C" w:rsidP="00BF3201">
      <w:pPr>
        <w:rPr>
          <w:rFonts w:ascii="Arial" w:hAnsi="Arial" w:cs="Arial"/>
          <w:b/>
          <w:sz w:val="22"/>
          <w:szCs w:val="22"/>
        </w:rPr>
      </w:pPr>
      <w:r>
        <w:rPr>
          <w:rFonts w:ascii="Arial" w:hAnsi="Arial" w:cs="Arial"/>
          <w:b/>
          <w:sz w:val="22"/>
          <w:szCs w:val="22"/>
        </w:rPr>
        <w:t xml:space="preserve">Reform of </w:t>
      </w:r>
      <w:r w:rsidR="00CE1EC0">
        <w:rPr>
          <w:rFonts w:ascii="Arial" w:hAnsi="Arial" w:cs="Arial"/>
          <w:b/>
          <w:sz w:val="22"/>
          <w:szCs w:val="22"/>
        </w:rPr>
        <w:t xml:space="preserve">the </w:t>
      </w:r>
      <w:r>
        <w:rPr>
          <w:rFonts w:ascii="Arial" w:hAnsi="Arial" w:cs="Arial"/>
          <w:b/>
          <w:sz w:val="22"/>
          <w:szCs w:val="22"/>
        </w:rPr>
        <w:t>routes to qualification</w:t>
      </w:r>
    </w:p>
    <w:p w14:paraId="641F6554" w14:textId="77777777" w:rsidR="00BF3201" w:rsidRPr="004F6670" w:rsidRDefault="00BF3201" w:rsidP="00BF3201">
      <w:pPr>
        <w:rPr>
          <w:rFonts w:ascii="Arial" w:hAnsi="Arial" w:cs="Arial"/>
          <w:b/>
          <w:i/>
          <w:sz w:val="22"/>
          <w:szCs w:val="22"/>
        </w:rPr>
      </w:pPr>
    </w:p>
    <w:p w14:paraId="237F2E18" w14:textId="39D230FA" w:rsidR="00B344A5" w:rsidRPr="004F6670" w:rsidRDefault="00280DBC">
      <w:pPr>
        <w:rPr>
          <w:rFonts w:ascii="Arial" w:eastAsia="Times New Roman" w:hAnsi="Arial" w:cs="Arial"/>
          <w:sz w:val="22"/>
          <w:szCs w:val="22"/>
          <w:lang w:val="en-GB"/>
        </w:rPr>
      </w:pPr>
      <w:r w:rsidRPr="00E671F4">
        <w:rPr>
          <w:rFonts w:ascii="Arial" w:hAnsi="Arial" w:cs="Arial"/>
          <w:sz w:val="22"/>
          <w:szCs w:val="22"/>
        </w:rPr>
        <w:t xml:space="preserve">LETR concluded that the current routes for qualification </w:t>
      </w:r>
      <w:r w:rsidR="00D517DB" w:rsidRPr="00E671F4">
        <w:rPr>
          <w:rFonts w:ascii="Arial" w:hAnsi="Arial" w:cs="Arial"/>
          <w:sz w:val="22"/>
          <w:szCs w:val="22"/>
        </w:rPr>
        <w:t xml:space="preserve">are </w:t>
      </w:r>
      <w:r w:rsidRPr="00E671F4">
        <w:rPr>
          <w:rFonts w:ascii="Arial" w:hAnsi="Arial" w:cs="Arial"/>
          <w:sz w:val="22"/>
          <w:szCs w:val="22"/>
        </w:rPr>
        <w:t>broadly, if imperfectly, fit for purpose. Yet</w:t>
      </w:r>
      <w:r w:rsidR="00936D86" w:rsidRPr="00E671F4">
        <w:rPr>
          <w:rFonts w:ascii="Arial" w:hAnsi="Arial" w:cs="Arial"/>
          <w:sz w:val="22"/>
          <w:szCs w:val="22"/>
        </w:rPr>
        <w:t>,</w:t>
      </w:r>
      <w:r w:rsidRPr="00E671F4">
        <w:rPr>
          <w:rFonts w:ascii="Arial" w:hAnsi="Arial" w:cs="Arial"/>
          <w:sz w:val="22"/>
          <w:szCs w:val="22"/>
        </w:rPr>
        <w:t xml:space="preserve"> </w:t>
      </w:r>
      <w:r w:rsidR="00936D86" w:rsidRPr="00E30AB4">
        <w:rPr>
          <w:rFonts w:ascii="Arial" w:hAnsi="Arial" w:cs="Arial"/>
          <w:sz w:val="22"/>
          <w:szCs w:val="22"/>
        </w:rPr>
        <w:t xml:space="preserve">following </w:t>
      </w:r>
      <w:r w:rsidR="00E30AB4">
        <w:rPr>
          <w:rFonts w:ascii="Arial" w:hAnsi="Arial" w:cs="Arial"/>
          <w:sz w:val="22"/>
          <w:szCs w:val="22"/>
        </w:rPr>
        <w:t>the review</w:t>
      </w:r>
      <w:r w:rsidR="00646577" w:rsidRPr="00E30AB4">
        <w:rPr>
          <w:rFonts w:ascii="Arial" w:hAnsi="Arial" w:cs="Arial"/>
          <w:sz w:val="22"/>
          <w:szCs w:val="22"/>
        </w:rPr>
        <w:t xml:space="preserve"> </w:t>
      </w:r>
      <w:r w:rsidR="00845EA5">
        <w:rPr>
          <w:rFonts w:ascii="Arial" w:hAnsi="Arial" w:cs="Arial"/>
          <w:sz w:val="22"/>
          <w:szCs w:val="22"/>
        </w:rPr>
        <w:t>the SRA and BSB</w:t>
      </w:r>
      <w:r w:rsidR="00D1678F" w:rsidRPr="00E30AB4">
        <w:rPr>
          <w:rFonts w:ascii="Arial" w:hAnsi="Arial" w:cs="Arial"/>
          <w:sz w:val="22"/>
          <w:szCs w:val="22"/>
        </w:rPr>
        <w:t xml:space="preserve"> </w:t>
      </w:r>
      <w:r w:rsidR="00A06096">
        <w:rPr>
          <w:rFonts w:ascii="Arial" w:hAnsi="Arial" w:cs="Arial"/>
          <w:sz w:val="22"/>
          <w:szCs w:val="22"/>
        </w:rPr>
        <w:t xml:space="preserve">each made a decision to </w:t>
      </w:r>
      <w:r w:rsidR="00987D0D" w:rsidRPr="00E30AB4">
        <w:rPr>
          <w:rFonts w:ascii="Arial" w:hAnsi="Arial" w:cs="Arial"/>
          <w:sz w:val="22"/>
          <w:szCs w:val="22"/>
        </w:rPr>
        <w:t>fundamental</w:t>
      </w:r>
      <w:r w:rsidR="00A06096">
        <w:rPr>
          <w:rFonts w:ascii="Arial" w:hAnsi="Arial" w:cs="Arial"/>
          <w:sz w:val="22"/>
          <w:szCs w:val="22"/>
        </w:rPr>
        <w:t>ly change</w:t>
      </w:r>
      <w:r w:rsidR="006544CB">
        <w:rPr>
          <w:rFonts w:ascii="Arial" w:hAnsi="Arial" w:cs="Arial"/>
          <w:sz w:val="22"/>
          <w:szCs w:val="22"/>
        </w:rPr>
        <w:t xml:space="preserve"> their role</w:t>
      </w:r>
      <w:r w:rsidR="00D1678F">
        <w:rPr>
          <w:rFonts w:ascii="Arial" w:hAnsi="Arial" w:cs="Arial"/>
          <w:sz w:val="22"/>
          <w:szCs w:val="22"/>
        </w:rPr>
        <w:t>s</w:t>
      </w:r>
      <w:r w:rsidR="006544CB">
        <w:rPr>
          <w:rFonts w:ascii="Arial" w:hAnsi="Arial" w:cs="Arial"/>
          <w:sz w:val="22"/>
          <w:szCs w:val="22"/>
        </w:rPr>
        <w:t xml:space="preserve"> </w:t>
      </w:r>
      <w:r w:rsidR="00987D0D">
        <w:rPr>
          <w:rFonts w:ascii="Arial" w:hAnsi="Arial" w:cs="Arial"/>
          <w:sz w:val="22"/>
          <w:szCs w:val="22"/>
        </w:rPr>
        <w:t>from</w:t>
      </w:r>
      <w:r w:rsidR="00646577">
        <w:rPr>
          <w:rFonts w:ascii="Arial" w:hAnsi="Arial" w:cs="Arial"/>
          <w:sz w:val="22"/>
          <w:szCs w:val="22"/>
        </w:rPr>
        <w:t>,</w:t>
      </w:r>
      <w:r w:rsidR="00987D0D">
        <w:rPr>
          <w:rFonts w:ascii="Arial" w:hAnsi="Arial" w:cs="Arial"/>
          <w:sz w:val="22"/>
          <w:szCs w:val="22"/>
        </w:rPr>
        <w:t xml:space="preserve"> </w:t>
      </w:r>
      <w:r w:rsidR="00D517DB">
        <w:rPr>
          <w:rFonts w:ascii="Arial" w:hAnsi="Arial" w:cs="Arial"/>
          <w:sz w:val="22"/>
          <w:szCs w:val="22"/>
        </w:rPr>
        <w:t>accreditor</w:t>
      </w:r>
      <w:r w:rsidR="00845EA5">
        <w:rPr>
          <w:rFonts w:ascii="Arial" w:hAnsi="Arial" w:cs="Arial"/>
          <w:sz w:val="22"/>
          <w:szCs w:val="22"/>
        </w:rPr>
        <w:t>s</w:t>
      </w:r>
      <w:r w:rsidR="00D517DB">
        <w:rPr>
          <w:rFonts w:ascii="Arial" w:hAnsi="Arial" w:cs="Arial"/>
          <w:sz w:val="22"/>
          <w:szCs w:val="22"/>
        </w:rPr>
        <w:t xml:space="preserve"> of</w:t>
      </w:r>
      <w:r w:rsidR="00987D0D">
        <w:rPr>
          <w:rFonts w:ascii="Arial" w:hAnsi="Arial" w:cs="Arial"/>
          <w:sz w:val="22"/>
          <w:szCs w:val="22"/>
        </w:rPr>
        <w:t xml:space="preserve"> </w:t>
      </w:r>
      <w:r w:rsidR="00987D0D" w:rsidRPr="004F6670">
        <w:rPr>
          <w:rFonts w:ascii="Arial" w:hAnsi="Arial" w:cs="Arial"/>
          <w:sz w:val="22"/>
          <w:szCs w:val="22"/>
        </w:rPr>
        <w:t>processes</w:t>
      </w:r>
      <w:r w:rsidR="00987D0D">
        <w:rPr>
          <w:rFonts w:ascii="Arial" w:hAnsi="Arial" w:cs="Arial"/>
          <w:sz w:val="22"/>
          <w:szCs w:val="22"/>
        </w:rPr>
        <w:t xml:space="preserve"> (</w:t>
      </w:r>
      <w:r w:rsidR="00987D0D" w:rsidRPr="004F6670">
        <w:rPr>
          <w:rFonts w:ascii="Arial" w:hAnsi="Arial" w:cs="Arial"/>
          <w:sz w:val="22"/>
          <w:szCs w:val="22"/>
        </w:rPr>
        <w:t>courses</w:t>
      </w:r>
      <w:r w:rsidR="00987D0D">
        <w:rPr>
          <w:rFonts w:ascii="Arial" w:hAnsi="Arial" w:cs="Arial"/>
          <w:sz w:val="22"/>
          <w:szCs w:val="22"/>
        </w:rPr>
        <w:t>)</w:t>
      </w:r>
      <w:r w:rsidR="00646577">
        <w:rPr>
          <w:rFonts w:ascii="Arial" w:hAnsi="Arial" w:cs="Arial"/>
          <w:sz w:val="22"/>
          <w:szCs w:val="22"/>
        </w:rPr>
        <w:t>,</w:t>
      </w:r>
      <w:r w:rsidR="00987D0D">
        <w:rPr>
          <w:rFonts w:ascii="Arial" w:hAnsi="Arial" w:cs="Arial"/>
          <w:sz w:val="22"/>
          <w:szCs w:val="22"/>
        </w:rPr>
        <w:t xml:space="preserve"> to one of</w:t>
      </w:r>
      <w:r w:rsidR="006544CB">
        <w:rPr>
          <w:rFonts w:ascii="Arial" w:hAnsi="Arial" w:cs="Arial"/>
          <w:sz w:val="22"/>
          <w:szCs w:val="22"/>
        </w:rPr>
        <w:t xml:space="preserve"> princ</w:t>
      </w:r>
      <w:r w:rsidR="00987D0D">
        <w:rPr>
          <w:rFonts w:ascii="Arial" w:hAnsi="Arial" w:cs="Arial"/>
          <w:sz w:val="22"/>
          <w:szCs w:val="22"/>
        </w:rPr>
        <w:t xml:space="preserve">ipally </w:t>
      </w:r>
      <w:r w:rsidR="00D517DB">
        <w:rPr>
          <w:rFonts w:ascii="Arial" w:hAnsi="Arial" w:cs="Arial"/>
          <w:sz w:val="22"/>
          <w:szCs w:val="22"/>
        </w:rPr>
        <w:t xml:space="preserve">accrediting </w:t>
      </w:r>
      <w:r w:rsidR="000C7897" w:rsidRPr="004F6670">
        <w:rPr>
          <w:rFonts w:ascii="Arial" w:hAnsi="Arial" w:cs="Arial"/>
          <w:sz w:val="22"/>
          <w:szCs w:val="22"/>
        </w:rPr>
        <w:t xml:space="preserve">outcomes </w:t>
      </w:r>
      <w:r w:rsidR="00987D0D">
        <w:rPr>
          <w:rFonts w:ascii="Arial" w:hAnsi="Arial" w:cs="Arial"/>
          <w:sz w:val="22"/>
          <w:szCs w:val="22"/>
        </w:rPr>
        <w:t>(</w:t>
      </w:r>
      <w:r w:rsidR="00AF7E55">
        <w:rPr>
          <w:rFonts w:ascii="Arial" w:hAnsi="Arial" w:cs="Arial"/>
          <w:sz w:val="22"/>
          <w:szCs w:val="22"/>
        </w:rPr>
        <w:t>assessments</w:t>
      </w:r>
      <w:r w:rsidR="00987D0D">
        <w:rPr>
          <w:rFonts w:ascii="Arial" w:hAnsi="Arial" w:cs="Arial"/>
          <w:sz w:val="22"/>
          <w:szCs w:val="22"/>
        </w:rPr>
        <w:t>)</w:t>
      </w:r>
      <w:r w:rsidR="000C7897" w:rsidRPr="004F6670">
        <w:rPr>
          <w:rFonts w:ascii="Arial" w:eastAsia="Times New Roman" w:hAnsi="Arial" w:cs="Arial"/>
          <w:sz w:val="22"/>
          <w:szCs w:val="22"/>
          <w:lang w:val="en-GB"/>
        </w:rPr>
        <w:t>.</w:t>
      </w:r>
      <w:r>
        <w:rPr>
          <w:rFonts w:ascii="Arial" w:eastAsia="Times New Roman" w:hAnsi="Arial" w:cs="Arial"/>
          <w:sz w:val="22"/>
          <w:szCs w:val="22"/>
          <w:lang w:val="en-GB"/>
        </w:rPr>
        <w:t xml:space="preserve"> This </w:t>
      </w:r>
      <w:r w:rsidR="00845EA5">
        <w:rPr>
          <w:rFonts w:ascii="Arial" w:eastAsia="Times New Roman" w:hAnsi="Arial" w:cs="Arial"/>
          <w:sz w:val="22"/>
          <w:szCs w:val="22"/>
          <w:lang w:val="en-GB"/>
        </w:rPr>
        <w:t>wa</w:t>
      </w:r>
      <w:r w:rsidR="00D517DB">
        <w:rPr>
          <w:rFonts w:ascii="Arial" w:eastAsia="Times New Roman" w:hAnsi="Arial" w:cs="Arial"/>
          <w:sz w:val="22"/>
          <w:szCs w:val="22"/>
          <w:lang w:val="en-GB"/>
        </w:rPr>
        <w:t>s</w:t>
      </w:r>
      <w:r w:rsidR="00E30AB4">
        <w:rPr>
          <w:rFonts w:ascii="Arial" w:eastAsia="Times New Roman" w:hAnsi="Arial" w:cs="Arial"/>
          <w:sz w:val="22"/>
          <w:szCs w:val="22"/>
          <w:lang w:val="en-GB"/>
        </w:rPr>
        <w:t xml:space="preserve"> in </w:t>
      </w:r>
      <w:r w:rsidR="008715B9">
        <w:rPr>
          <w:rFonts w:ascii="Arial" w:eastAsia="Times New Roman" w:hAnsi="Arial" w:cs="Arial"/>
          <w:sz w:val="22"/>
          <w:szCs w:val="22"/>
          <w:lang w:val="en-GB"/>
        </w:rPr>
        <w:t>no small measure</w:t>
      </w:r>
      <w:r w:rsidR="00E30AB4">
        <w:rPr>
          <w:rFonts w:ascii="Arial" w:eastAsia="Times New Roman" w:hAnsi="Arial" w:cs="Arial"/>
          <w:sz w:val="22"/>
          <w:szCs w:val="22"/>
          <w:lang w:val="en-GB"/>
        </w:rPr>
        <w:t xml:space="preserve"> </w:t>
      </w:r>
      <w:r>
        <w:rPr>
          <w:rFonts w:ascii="Arial" w:eastAsia="Times New Roman" w:hAnsi="Arial" w:cs="Arial"/>
          <w:sz w:val="22"/>
          <w:szCs w:val="22"/>
          <w:lang w:val="en-GB"/>
        </w:rPr>
        <w:t xml:space="preserve">because of the mainstreaming of diversity </w:t>
      </w:r>
      <w:r w:rsidR="00E30AB4">
        <w:rPr>
          <w:rFonts w:ascii="Arial" w:eastAsia="Times New Roman" w:hAnsi="Arial" w:cs="Arial"/>
          <w:sz w:val="22"/>
          <w:szCs w:val="22"/>
          <w:lang w:val="en-GB"/>
        </w:rPr>
        <w:t>under</w:t>
      </w:r>
      <w:r>
        <w:rPr>
          <w:rFonts w:ascii="Arial" w:eastAsia="Times New Roman" w:hAnsi="Arial" w:cs="Arial"/>
          <w:sz w:val="22"/>
          <w:szCs w:val="22"/>
          <w:lang w:val="en-GB"/>
        </w:rPr>
        <w:t xml:space="preserve"> the </w:t>
      </w:r>
      <w:r w:rsidR="00AF7E55">
        <w:rPr>
          <w:rFonts w:ascii="Arial" w:hAnsi="Arial" w:cs="Arial"/>
          <w:sz w:val="22"/>
          <w:szCs w:val="22"/>
        </w:rPr>
        <w:t>Legal Servi</w:t>
      </w:r>
      <w:r w:rsidR="00BF1D3D">
        <w:rPr>
          <w:rFonts w:ascii="Arial" w:hAnsi="Arial" w:cs="Arial"/>
          <w:sz w:val="22"/>
          <w:szCs w:val="22"/>
        </w:rPr>
        <w:t xml:space="preserve">ces Act 2007: the current </w:t>
      </w:r>
      <w:r w:rsidR="00AF7E55">
        <w:rPr>
          <w:rFonts w:ascii="Arial" w:hAnsi="Arial" w:cs="Arial"/>
          <w:sz w:val="22"/>
          <w:szCs w:val="22"/>
        </w:rPr>
        <w:t xml:space="preserve">routes to qualification are seen </w:t>
      </w:r>
      <w:r w:rsidR="00BF1D3D">
        <w:rPr>
          <w:rFonts w:ascii="Arial" w:hAnsi="Arial" w:cs="Arial"/>
          <w:sz w:val="22"/>
          <w:szCs w:val="22"/>
        </w:rPr>
        <w:t>at best as sustaining,</w:t>
      </w:r>
      <w:r w:rsidR="00316B7A">
        <w:rPr>
          <w:rFonts w:ascii="Arial" w:hAnsi="Arial" w:cs="Arial"/>
          <w:sz w:val="22"/>
          <w:szCs w:val="22"/>
        </w:rPr>
        <w:t xml:space="preserve"> </w:t>
      </w:r>
      <w:r w:rsidR="00BF1D3D">
        <w:rPr>
          <w:rFonts w:ascii="Arial" w:hAnsi="Arial" w:cs="Arial"/>
          <w:sz w:val="22"/>
          <w:szCs w:val="22"/>
        </w:rPr>
        <w:t>if not</w:t>
      </w:r>
      <w:r w:rsidR="00316B7A">
        <w:rPr>
          <w:rFonts w:ascii="Arial" w:hAnsi="Arial" w:cs="Arial"/>
          <w:sz w:val="22"/>
          <w:szCs w:val="22"/>
        </w:rPr>
        <w:t>,</w:t>
      </w:r>
      <w:r w:rsidR="00BF1D3D">
        <w:rPr>
          <w:rFonts w:ascii="Arial" w:hAnsi="Arial" w:cs="Arial"/>
          <w:sz w:val="22"/>
          <w:szCs w:val="22"/>
        </w:rPr>
        <w:t xml:space="preserve"> </w:t>
      </w:r>
      <w:r w:rsidR="00845EA5">
        <w:rPr>
          <w:rFonts w:ascii="Arial" w:hAnsi="Arial" w:cs="Arial"/>
          <w:sz w:val="22"/>
          <w:szCs w:val="22"/>
        </w:rPr>
        <w:t>aggravating</w:t>
      </w:r>
      <w:r w:rsidR="00BF1D3D">
        <w:rPr>
          <w:rFonts w:ascii="Arial" w:hAnsi="Arial" w:cs="Arial"/>
          <w:sz w:val="22"/>
          <w:szCs w:val="22"/>
        </w:rPr>
        <w:t xml:space="preserve"> the </w:t>
      </w:r>
      <w:r w:rsidR="00BF1D3D">
        <w:rPr>
          <w:rFonts w:ascii="Arial" w:hAnsi="Arial" w:cs="Arial"/>
          <w:sz w:val="22"/>
          <w:szCs w:val="22"/>
        </w:rPr>
        <w:lastRenderedPageBreak/>
        <w:t>problem of uneven access to the profession.</w:t>
      </w:r>
      <w:r w:rsidR="00AF7E55">
        <w:rPr>
          <w:rFonts w:ascii="Arial" w:hAnsi="Arial" w:cs="Arial"/>
          <w:sz w:val="22"/>
          <w:szCs w:val="22"/>
        </w:rPr>
        <w:t xml:space="preserve"> </w:t>
      </w:r>
      <w:r w:rsidR="00FF573D">
        <w:rPr>
          <w:rFonts w:ascii="Arial" w:eastAsia="Times New Roman" w:hAnsi="Arial" w:cs="Arial"/>
          <w:sz w:val="22"/>
          <w:szCs w:val="22"/>
          <w:lang w:val="en-GB"/>
        </w:rPr>
        <w:t>While both regulators have adopted the same philosophy</w:t>
      </w:r>
      <w:r>
        <w:rPr>
          <w:rFonts w:ascii="Arial" w:eastAsia="Times New Roman" w:hAnsi="Arial" w:cs="Arial"/>
          <w:sz w:val="22"/>
          <w:szCs w:val="22"/>
          <w:lang w:val="en-GB"/>
        </w:rPr>
        <w:t>,</w:t>
      </w:r>
      <w:r w:rsidR="00FF573D">
        <w:rPr>
          <w:rFonts w:ascii="Arial" w:eastAsia="Times New Roman" w:hAnsi="Arial" w:cs="Arial"/>
          <w:sz w:val="22"/>
          <w:szCs w:val="22"/>
          <w:lang w:val="en-GB"/>
        </w:rPr>
        <w:t xml:space="preserve"> they </w:t>
      </w:r>
      <w:r w:rsidR="00A06096">
        <w:rPr>
          <w:rFonts w:ascii="Arial" w:eastAsia="Times New Roman" w:hAnsi="Arial" w:cs="Arial"/>
          <w:sz w:val="22"/>
          <w:szCs w:val="22"/>
          <w:lang w:val="en-GB"/>
        </w:rPr>
        <w:t>are adopting</w:t>
      </w:r>
      <w:r w:rsidR="00B24544">
        <w:rPr>
          <w:rFonts w:ascii="Arial" w:eastAsia="Times New Roman" w:hAnsi="Arial" w:cs="Arial"/>
          <w:sz w:val="22"/>
          <w:szCs w:val="22"/>
          <w:lang w:val="en-GB"/>
        </w:rPr>
        <w:t xml:space="preserve"> different </w:t>
      </w:r>
      <w:r w:rsidR="00FF573D">
        <w:rPr>
          <w:rFonts w:ascii="Arial" w:eastAsia="Times New Roman" w:hAnsi="Arial" w:cs="Arial"/>
          <w:sz w:val="22"/>
          <w:szCs w:val="22"/>
          <w:lang w:val="en-GB"/>
        </w:rPr>
        <w:t>approac</w:t>
      </w:r>
      <w:r>
        <w:rPr>
          <w:rFonts w:ascii="Arial" w:eastAsia="Times New Roman" w:hAnsi="Arial" w:cs="Arial"/>
          <w:sz w:val="22"/>
          <w:szCs w:val="22"/>
          <w:lang w:val="en-GB"/>
        </w:rPr>
        <w:t>h</w:t>
      </w:r>
      <w:r w:rsidR="00B24544">
        <w:rPr>
          <w:rFonts w:ascii="Arial" w:eastAsia="Times New Roman" w:hAnsi="Arial" w:cs="Arial"/>
          <w:sz w:val="22"/>
          <w:szCs w:val="22"/>
          <w:lang w:val="en-GB"/>
        </w:rPr>
        <w:t>es</w:t>
      </w:r>
      <w:r w:rsidR="00BD43E6">
        <w:rPr>
          <w:rFonts w:ascii="Arial" w:eastAsia="Times New Roman" w:hAnsi="Arial" w:cs="Arial"/>
          <w:sz w:val="22"/>
          <w:szCs w:val="22"/>
          <w:lang w:val="en-GB"/>
        </w:rPr>
        <w:t xml:space="preserve">. </w:t>
      </w:r>
      <w:r w:rsidR="00A56A60">
        <w:rPr>
          <w:rFonts w:ascii="Arial" w:eastAsia="Times New Roman" w:hAnsi="Arial" w:cs="Arial"/>
          <w:sz w:val="22"/>
          <w:szCs w:val="22"/>
          <w:lang w:val="en-GB"/>
        </w:rPr>
        <w:t>In short, the SRA has devised</w:t>
      </w:r>
      <w:r w:rsidR="00D1678F">
        <w:rPr>
          <w:rFonts w:ascii="Arial" w:eastAsia="Times New Roman" w:hAnsi="Arial" w:cs="Arial"/>
          <w:sz w:val="22"/>
          <w:szCs w:val="22"/>
          <w:lang w:val="en-GB"/>
        </w:rPr>
        <w:t xml:space="preserve"> a </w:t>
      </w:r>
      <w:r w:rsidR="00316B7A">
        <w:rPr>
          <w:rFonts w:ascii="Arial" w:eastAsia="Times New Roman" w:hAnsi="Arial" w:cs="Arial"/>
          <w:sz w:val="22"/>
          <w:szCs w:val="22"/>
          <w:lang w:val="en-GB"/>
        </w:rPr>
        <w:t xml:space="preserve">radically </w:t>
      </w:r>
      <w:r w:rsidR="00D1678F">
        <w:rPr>
          <w:rFonts w:ascii="Arial" w:eastAsia="Times New Roman" w:hAnsi="Arial" w:cs="Arial"/>
          <w:sz w:val="22"/>
          <w:szCs w:val="22"/>
          <w:lang w:val="en-GB"/>
        </w:rPr>
        <w:t>new proce</w:t>
      </w:r>
      <w:r>
        <w:rPr>
          <w:rFonts w:ascii="Arial" w:eastAsia="Times New Roman" w:hAnsi="Arial" w:cs="Arial"/>
          <w:sz w:val="22"/>
          <w:szCs w:val="22"/>
          <w:lang w:val="en-GB"/>
        </w:rPr>
        <w:t>ss of qualification</w:t>
      </w:r>
      <w:r w:rsidR="00A56A60">
        <w:rPr>
          <w:rFonts w:ascii="Arial" w:eastAsia="Times New Roman" w:hAnsi="Arial" w:cs="Arial"/>
          <w:sz w:val="22"/>
          <w:szCs w:val="22"/>
          <w:lang w:val="en-GB"/>
        </w:rPr>
        <w:t>,</w:t>
      </w:r>
      <w:r w:rsidR="00B24544">
        <w:rPr>
          <w:rFonts w:ascii="Arial" w:eastAsia="Times New Roman" w:hAnsi="Arial" w:cs="Arial"/>
          <w:sz w:val="22"/>
          <w:szCs w:val="22"/>
          <w:lang w:val="en-GB"/>
        </w:rPr>
        <w:t xml:space="preserve"> while</w:t>
      </w:r>
      <w:r w:rsidR="00A56A60">
        <w:rPr>
          <w:rFonts w:ascii="Arial" w:eastAsia="Times New Roman" w:hAnsi="Arial" w:cs="Arial"/>
          <w:sz w:val="22"/>
          <w:szCs w:val="22"/>
          <w:lang w:val="en-GB"/>
        </w:rPr>
        <w:t xml:space="preserve"> the BSB has revised the</w:t>
      </w:r>
      <w:r w:rsidR="00D1678F">
        <w:rPr>
          <w:rFonts w:ascii="Arial" w:eastAsia="Times New Roman" w:hAnsi="Arial" w:cs="Arial"/>
          <w:sz w:val="22"/>
          <w:szCs w:val="22"/>
          <w:lang w:val="en-GB"/>
        </w:rPr>
        <w:t xml:space="preserve"> </w:t>
      </w:r>
      <w:r>
        <w:rPr>
          <w:rFonts w:ascii="Arial" w:eastAsia="Times New Roman" w:hAnsi="Arial" w:cs="Arial"/>
          <w:sz w:val="22"/>
          <w:szCs w:val="22"/>
          <w:lang w:val="en-GB"/>
        </w:rPr>
        <w:t>current rules</w:t>
      </w:r>
      <w:r w:rsidR="009C32E9">
        <w:rPr>
          <w:rFonts w:ascii="Arial" w:eastAsia="Times New Roman" w:hAnsi="Arial" w:cs="Arial"/>
          <w:sz w:val="22"/>
          <w:szCs w:val="22"/>
          <w:lang w:val="en-GB"/>
        </w:rPr>
        <w:t xml:space="preserve">.  </w:t>
      </w:r>
      <w:r w:rsidR="00845EA5">
        <w:rPr>
          <w:rFonts w:ascii="Arial" w:eastAsia="Times New Roman" w:hAnsi="Arial" w:cs="Arial"/>
          <w:sz w:val="22"/>
          <w:szCs w:val="22"/>
          <w:lang w:val="en-GB"/>
        </w:rPr>
        <w:t>The result is that course providers and students will face a new era of increased divergence. T</w:t>
      </w:r>
      <w:r w:rsidR="008715B9">
        <w:rPr>
          <w:rFonts w:ascii="Arial" w:eastAsia="Times New Roman" w:hAnsi="Arial" w:cs="Arial"/>
          <w:sz w:val="22"/>
          <w:szCs w:val="22"/>
          <w:lang w:val="en-GB"/>
        </w:rPr>
        <w:t>he SRA’s reforms</w:t>
      </w:r>
      <w:r w:rsidR="00D517DB">
        <w:rPr>
          <w:rFonts w:ascii="Arial" w:eastAsia="Times New Roman" w:hAnsi="Arial" w:cs="Arial"/>
          <w:sz w:val="22"/>
          <w:szCs w:val="22"/>
          <w:lang w:val="en-GB"/>
        </w:rPr>
        <w:t xml:space="preserve"> </w:t>
      </w:r>
      <w:r w:rsidR="00646577">
        <w:rPr>
          <w:rFonts w:ascii="Arial" w:eastAsia="Times New Roman" w:hAnsi="Arial" w:cs="Arial"/>
          <w:sz w:val="22"/>
          <w:szCs w:val="22"/>
          <w:lang w:val="en-GB"/>
        </w:rPr>
        <w:t>dismantl</w:t>
      </w:r>
      <w:r w:rsidR="008715B9">
        <w:rPr>
          <w:rFonts w:ascii="Arial" w:eastAsia="Times New Roman" w:hAnsi="Arial" w:cs="Arial"/>
          <w:sz w:val="22"/>
          <w:szCs w:val="22"/>
          <w:lang w:val="en-GB"/>
        </w:rPr>
        <w:t>e</w:t>
      </w:r>
      <w:r w:rsidR="00845EA5">
        <w:rPr>
          <w:rFonts w:ascii="Arial" w:eastAsia="Times New Roman" w:hAnsi="Arial" w:cs="Arial"/>
          <w:sz w:val="22"/>
          <w:szCs w:val="22"/>
          <w:lang w:val="en-GB"/>
        </w:rPr>
        <w:t xml:space="preserve"> the premise for a</w:t>
      </w:r>
      <w:r w:rsidR="00646577">
        <w:rPr>
          <w:rFonts w:ascii="Arial" w:eastAsia="Times New Roman" w:hAnsi="Arial" w:cs="Arial"/>
          <w:sz w:val="22"/>
          <w:szCs w:val="22"/>
          <w:lang w:val="en-GB"/>
        </w:rPr>
        <w:t xml:space="preserve"> common start point</w:t>
      </w:r>
      <w:r w:rsidR="00845EA5">
        <w:rPr>
          <w:rFonts w:ascii="Arial" w:eastAsia="Times New Roman" w:hAnsi="Arial" w:cs="Arial"/>
          <w:sz w:val="22"/>
          <w:szCs w:val="22"/>
          <w:lang w:val="en-GB"/>
        </w:rPr>
        <w:t xml:space="preserve"> for NLG</w:t>
      </w:r>
      <w:r w:rsidR="00646577">
        <w:rPr>
          <w:rFonts w:ascii="Arial" w:eastAsia="Times New Roman" w:hAnsi="Arial" w:cs="Arial"/>
          <w:sz w:val="22"/>
          <w:szCs w:val="22"/>
          <w:lang w:val="en-GB"/>
        </w:rPr>
        <w:t>.</w:t>
      </w:r>
      <w:r w:rsidR="00D1678F">
        <w:rPr>
          <w:rFonts w:ascii="Arial" w:eastAsia="Times New Roman" w:hAnsi="Arial" w:cs="Arial"/>
          <w:sz w:val="22"/>
          <w:szCs w:val="22"/>
          <w:lang w:val="en-GB"/>
        </w:rPr>
        <w:t xml:space="preserve"> The</w:t>
      </w:r>
      <w:r w:rsidR="00BD43E6">
        <w:rPr>
          <w:rFonts w:ascii="Arial" w:eastAsia="Times New Roman" w:hAnsi="Arial" w:cs="Arial"/>
          <w:sz w:val="22"/>
          <w:szCs w:val="22"/>
          <w:lang w:val="en-GB"/>
        </w:rPr>
        <w:t xml:space="preserve"> decision </w:t>
      </w:r>
      <w:r w:rsidR="00D517DB">
        <w:rPr>
          <w:rFonts w:ascii="Arial" w:eastAsia="Times New Roman" w:hAnsi="Arial" w:cs="Arial"/>
          <w:sz w:val="22"/>
          <w:szCs w:val="22"/>
          <w:lang w:val="en-GB"/>
        </w:rPr>
        <w:t>about</w:t>
      </w:r>
      <w:r w:rsidR="00D1678F">
        <w:rPr>
          <w:rFonts w:ascii="Arial" w:eastAsia="Times New Roman" w:hAnsi="Arial" w:cs="Arial"/>
          <w:sz w:val="22"/>
          <w:szCs w:val="22"/>
          <w:lang w:val="en-GB"/>
        </w:rPr>
        <w:t xml:space="preserve"> which path to take will be made</w:t>
      </w:r>
      <w:r w:rsidR="008715B9">
        <w:rPr>
          <w:rFonts w:ascii="Arial" w:eastAsia="Times New Roman" w:hAnsi="Arial" w:cs="Arial"/>
          <w:sz w:val="22"/>
          <w:szCs w:val="22"/>
          <w:lang w:val="en-GB"/>
        </w:rPr>
        <w:t xml:space="preserve"> </w:t>
      </w:r>
      <w:r w:rsidR="00BD43E6">
        <w:rPr>
          <w:rFonts w:ascii="Arial" w:eastAsia="Times New Roman" w:hAnsi="Arial" w:cs="Arial"/>
          <w:sz w:val="22"/>
          <w:szCs w:val="22"/>
          <w:lang w:val="en-GB"/>
        </w:rPr>
        <w:t>at the beginning of the process for qualification.</w:t>
      </w:r>
      <w:r w:rsidR="00BF1D3D">
        <w:rPr>
          <w:rFonts w:ascii="Arial" w:eastAsia="Times New Roman" w:hAnsi="Arial" w:cs="Arial"/>
          <w:sz w:val="22"/>
          <w:szCs w:val="22"/>
          <w:lang w:val="en-GB"/>
        </w:rPr>
        <w:t xml:space="preserve"> This </w:t>
      </w:r>
      <w:r w:rsidR="00845EA5">
        <w:rPr>
          <w:rFonts w:ascii="Arial" w:eastAsia="Times New Roman" w:hAnsi="Arial" w:cs="Arial"/>
          <w:sz w:val="22"/>
          <w:szCs w:val="22"/>
          <w:lang w:val="en-GB"/>
        </w:rPr>
        <w:t xml:space="preserve">will </w:t>
      </w:r>
      <w:r w:rsidR="008239BE">
        <w:rPr>
          <w:rFonts w:ascii="Arial" w:eastAsia="Times New Roman" w:hAnsi="Arial" w:cs="Arial"/>
          <w:sz w:val="22"/>
          <w:szCs w:val="22"/>
          <w:lang w:val="en-GB"/>
        </w:rPr>
        <w:t>serve</w:t>
      </w:r>
      <w:r w:rsidR="00845EA5">
        <w:rPr>
          <w:rFonts w:ascii="Arial" w:eastAsia="Times New Roman" w:hAnsi="Arial" w:cs="Arial"/>
          <w:sz w:val="22"/>
          <w:szCs w:val="22"/>
          <w:lang w:val="en-GB"/>
        </w:rPr>
        <w:t xml:space="preserve"> to increase the difficult choices </w:t>
      </w:r>
      <w:r w:rsidR="00A06096">
        <w:rPr>
          <w:rFonts w:ascii="Arial" w:eastAsia="Times New Roman" w:hAnsi="Arial" w:cs="Arial"/>
          <w:sz w:val="22"/>
          <w:szCs w:val="22"/>
          <w:lang w:val="en-GB"/>
        </w:rPr>
        <w:t>for NLG caused by</w:t>
      </w:r>
      <w:r w:rsidR="009217C2">
        <w:rPr>
          <w:rFonts w:ascii="Arial" w:eastAsia="Times New Roman" w:hAnsi="Arial" w:cs="Arial"/>
          <w:sz w:val="22"/>
          <w:szCs w:val="22"/>
          <w:lang w:val="en-GB"/>
        </w:rPr>
        <w:t xml:space="preserve"> a split professio</w:t>
      </w:r>
      <w:r w:rsidR="00A06096">
        <w:rPr>
          <w:rFonts w:ascii="Arial" w:eastAsia="Times New Roman" w:hAnsi="Arial" w:cs="Arial"/>
          <w:sz w:val="22"/>
          <w:szCs w:val="22"/>
          <w:lang w:val="en-GB"/>
        </w:rPr>
        <w:t>n</w:t>
      </w:r>
      <w:r w:rsidR="00A56A60">
        <w:rPr>
          <w:rFonts w:ascii="Arial" w:eastAsia="Times New Roman" w:hAnsi="Arial" w:cs="Arial"/>
          <w:sz w:val="22"/>
          <w:szCs w:val="22"/>
          <w:lang w:val="en-GB"/>
        </w:rPr>
        <w:t>, and for</w:t>
      </w:r>
      <w:r w:rsidR="00D1678F">
        <w:rPr>
          <w:rFonts w:ascii="Arial" w:eastAsia="Times New Roman" w:hAnsi="Arial" w:cs="Arial"/>
          <w:sz w:val="22"/>
          <w:szCs w:val="22"/>
          <w:lang w:val="en-GB"/>
        </w:rPr>
        <w:t xml:space="preserve"> course providers</w:t>
      </w:r>
      <w:r w:rsidR="00C1068C">
        <w:rPr>
          <w:rFonts w:ascii="Arial" w:eastAsia="Times New Roman" w:hAnsi="Arial" w:cs="Arial"/>
          <w:sz w:val="22"/>
          <w:szCs w:val="22"/>
          <w:lang w:val="en-GB"/>
        </w:rPr>
        <w:t>,</w:t>
      </w:r>
      <w:r w:rsidR="00316B7A">
        <w:rPr>
          <w:rFonts w:ascii="Arial" w:eastAsia="Times New Roman" w:hAnsi="Arial" w:cs="Arial"/>
          <w:sz w:val="22"/>
          <w:szCs w:val="22"/>
          <w:lang w:val="en-GB"/>
        </w:rPr>
        <w:t xml:space="preserve"> the new era</w:t>
      </w:r>
      <w:r w:rsidR="008239BE">
        <w:rPr>
          <w:rFonts w:ascii="Arial" w:eastAsia="Times New Roman" w:hAnsi="Arial" w:cs="Arial"/>
          <w:sz w:val="22"/>
          <w:szCs w:val="22"/>
          <w:lang w:val="en-GB"/>
        </w:rPr>
        <w:t xml:space="preserve"> </w:t>
      </w:r>
      <w:r w:rsidR="009217C2">
        <w:rPr>
          <w:rFonts w:ascii="Arial" w:eastAsia="Times New Roman" w:hAnsi="Arial" w:cs="Arial"/>
          <w:sz w:val="22"/>
          <w:szCs w:val="22"/>
          <w:lang w:val="en-GB"/>
        </w:rPr>
        <w:t>will force</w:t>
      </w:r>
      <w:r w:rsidR="00FF573D">
        <w:rPr>
          <w:rFonts w:ascii="Arial" w:eastAsia="Times New Roman" w:hAnsi="Arial" w:cs="Arial"/>
          <w:sz w:val="22"/>
          <w:szCs w:val="22"/>
          <w:lang w:val="en-GB"/>
        </w:rPr>
        <w:t xml:space="preserve"> </w:t>
      </w:r>
      <w:r w:rsidR="00987D0D">
        <w:rPr>
          <w:rFonts w:ascii="Arial" w:eastAsia="Times New Roman" w:hAnsi="Arial" w:cs="Arial"/>
          <w:sz w:val="22"/>
          <w:szCs w:val="22"/>
          <w:lang w:val="en-GB"/>
        </w:rPr>
        <w:t>major cha</w:t>
      </w:r>
      <w:r w:rsidR="0031048D">
        <w:rPr>
          <w:rFonts w:ascii="Arial" w:eastAsia="Times New Roman" w:hAnsi="Arial" w:cs="Arial"/>
          <w:sz w:val="22"/>
          <w:szCs w:val="22"/>
          <w:lang w:val="en-GB"/>
        </w:rPr>
        <w:t>nge</w:t>
      </w:r>
      <w:r w:rsidR="00316B7A">
        <w:rPr>
          <w:rFonts w:ascii="Arial" w:eastAsia="Times New Roman" w:hAnsi="Arial" w:cs="Arial"/>
          <w:sz w:val="22"/>
          <w:szCs w:val="22"/>
          <w:lang w:val="en-GB"/>
        </w:rPr>
        <w:t>s</w:t>
      </w:r>
      <w:r w:rsidR="00C1068C">
        <w:rPr>
          <w:rFonts w:ascii="Arial" w:eastAsia="Times New Roman" w:hAnsi="Arial" w:cs="Arial"/>
          <w:sz w:val="22"/>
          <w:szCs w:val="22"/>
          <w:lang w:val="en-GB"/>
        </w:rPr>
        <w:t xml:space="preserve"> </w:t>
      </w:r>
      <w:r w:rsidR="00316B7A">
        <w:rPr>
          <w:rFonts w:ascii="Arial" w:eastAsia="Times New Roman" w:hAnsi="Arial" w:cs="Arial"/>
          <w:sz w:val="22"/>
          <w:szCs w:val="22"/>
          <w:lang w:val="en-GB"/>
        </w:rPr>
        <w:t>to courses</w:t>
      </w:r>
      <w:r w:rsidR="008715B9">
        <w:rPr>
          <w:rFonts w:ascii="Arial" w:eastAsia="Times New Roman" w:hAnsi="Arial" w:cs="Arial"/>
          <w:sz w:val="22"/>
          <w:szCs w:val="22"/>
          <w:lang w:val="en-GB"/>
        </w:rPr>
        <w:t>.</w:t>
      </w:r>
    </w:p>
    <w:p w14:paraId="61181BBE" w14:textId="77777777" w:rsidR="005664E3" w:rsidRDefault="005664E3" w:rsidP="00743E39">
      <w:pPr>
        <w:rPr>
          <w:rFonts w:ascii="Arial" w:eastAsia="Times New Roman" w:hAnsi="Arial" w:cs="Arial"/>
          <w:sz w:val="22"/>
          <w:szCs w:val="22"/>
          <w:lang w:val="en-GB"/>
        </w:rPr>
      </w:pPr>
    </w:p>
    <w:p w14:paraId="74ED3DBC" w14:textId="77777777" w:rsidR="00592117" w:rsidRPr="004F6670" w:rsidRDefault="005664E3" w:rsidP="00743E39">
      <w:pPr>
        <w:rPr>
          <w:rFonts w:ascii="Arial" w:eastAsia="Times New Roman" w:hAnsi="Arial" w:cs="Arial"/>
          <w:sz w:val="22"/>
          <w:szCs w:val="22"/>
          <w:lang w:val="en-GB"/>
        </w:rPr>
      </w:pPr>
      <w:r>
        <w:rPr>
          <w:rFonts w:ascii="Arial" w:eastAsia="Times New Roman" w:hAnsi="Arial" w:cs="Arial"/>
          <w:sz w:val="22"/>
          <w:szCs w:val="22"/>
          <w:lang w:val="en-GB"/>
        </w:rPr>
        <w:t>T</w:t>
      </w:r>
      <w:r w:rsidR="007D75C4" w:rsidRPr="004F6670">
        <w:rPr>
          <w:rFonts w:ascii="Arial" w:eastAsia="Times New Roman" w:hAnsi="Arial" w:cs="Arial"/>
          <w:sz w:val="22"/>
          <w:szCs w:val="22"/>
          <w:lang w:val="en-GB"/>
        </w:rPr>
        <w:t>he SRA</w:t>
      </w:r>
      <w:r w:rsidR="00B24544">
        <w:rPr>
          <w:rFonts w:ascii="Arial" w:eastAsia="Times New Roman" w:hAnsi="Arial" w:cs="Arial"/>
          <w:sz w:val="22"/>
          <w:szCs w:val="22"/>
          <w:lang w:val="en-GB"/>
        </w:rPr>
        <w:t>’s</w:t>
      </w:r>
      <w:r w:rsidR="007D75C4" w:rsidRPr="004F6670">
        <w:rPr>
          <w:rFonts w:ascii="Arial" w:eastAsia="Times New Roman" w:hAnsi="Arial" w:cs="Arial"/>
          <w:sz w:val="22"/>
          <w:szCs w:val="22"/>
          <w:lang w:val="en-GB"/>
        </w:rPr>
        <w:t xml:space="preserve"> </w:t>
      </w:r>
      <w:r w:rsidR="00280DBC">
        <w:rPr>
          <w:rFonts w:ascii="Arial" w:eastAsia="Times New Roman" w:hAnsi="Arial" w:cs="Arial"/>
          <w:sz w:val="22"/>
          <w:szCs w:val="22"/>
          <w:lang w:val="en-GB"/>
        </w:rPr>
        <w:t xml:space="preserve">new </w:t>
      </w:r>
      <w:r w:rsidR="006544CB">
        <w:rPr>
          <w:rFonts w:ascii="Arial" w:eastAsia="Times New Roman" w:hAnsi="Arial" w:cs="Arial"/>
          <w:sz w:val="22"/>
          <w:szCs w:val="22"/>
          <w:lang w:val="en-GB"/>
        </w:rPr>
        <w:t>approach is</w:t>
      </w:r>
      <w:r w:rsidR="00386509">
        <w:rPr>
          <w:rFonts w:ascii="Arial" w:eastAsia="Times New Roman" w:hAnsi="Arial" w:cs="Arial"/>
          <w:sz w:val="22"/>
          <w:szCs w:val="22"/>
          <w:lang w:val="en-GB"/>
        </w:rPr>
        <w:t xml:space="preserve"> presented as</w:t>
      </w:r>
      <w:r w:rsidR="00592117" w:rsidRPr="004F6670">
        <w:rPr>
          <w:rFonts w:ascii="Arial" w:eastAsia="Times New Roman" w:hAnsi="Arial" w:cs="Arial"/>
          <w:sz w:val="22"/>
          <w:szCs w:val="22"/>
          <w:lang w:val="en-GB"/>
        </w:rPr>
        <w:t xml:space="preserve"> </w:t>
      </w:r>
      <w:r w:rsidR="00386509">
        <w:rPr>
          <w:rFonts w:ascii="Arial" w:eastAsia="Times New Roman" w:hAnsi="Arial" w:cs="Arial"/>
          <w:sz w:val="22"/>
          <w:szCs w:val="22"/>
          <w:lang w:val="en-GB"/>
        </w:rPr>
        <w:t>four</w:t>
      </w:r>
      <w:r w:rsidR="008239BE">
        <w:rPr>
          <w:rFonts w:ascii="Arial" w:eastAsia="Times New Roman" w:hAnsi="Arial" w:cs="Arial"/>
          <w:sz w:val="22"/>
          <w:szCs w:val="22"/>
          <w:lang w:val="en-GB"/>
        </w:rPr>
        <w:t xml:space="preserve"> non-sequential </w:t>
      </w:r>
      <w:r w:rsidR="00386509">
        <w:rPr>
          <w:rFonts w:ascii="Arial" w:eastAsia="Times New Roman" w:hAnsi="Arial" w:cs="Arial"/>
          <w:sz w:val="22"/>
          <w:szCs w:val="22"/>
          <w:lang w:val="en-GB"/>
        </w:rPr>
        <w:t>requirements</w:t>
      </w:r>
      <w:r w:rsidR="0071346B">
        <w:rPr>
          <w:rFonts w:ascii="Arial" w:eastAsia="Times New Roman" w:hAnsi="Arial" w:cs="Arial"/>
          <w:sz w:val="22"/>
          <w:szCs w:val="22"/>
          <w:lang w:val="en-GB"/>
        </w:rPr>
        <w:t xml:space="preserve"> for qualification</w:t>
      </w:r>
      <w:r w:rsidR="00386509">
        <w:rPr>
          <w:rFonts w:ascii="Arial" w:eastAsia="Times New Roman" w:hAnsi="Arial" w:cs="Arial"/>
          <w:sz w:val="22"/>
          <w:szCs w:val="22"/>
          <w:lang w:val="en-GB"/>
        </w:rPr>
        <w:t>:</w:t>
      </w:r>
      <w:r w:rsidR="00C409DE">
        <w:rPr>
          <w:rStyle w:val="FootnoteReference"/>
          <w:rFonts w:ascii="Arial" w:eastAsia="Times New Roman" w:hAnsi="Arial" w:cs="Arial"/>
          <w:sz w:val="22"/>
          <w:szCs w:val="22"/>
          <w:lang w:val="en-GB"/>
        </w:rPr>
        <w:footnoteReference w:id="58"/>
      </w:r>
    </w:p>
    <w:p w14:paraId="4C663CD9" w14:textId="77777777" w:rsidR="00592117" w:rsidRPr="004F6670" w:rsidRDefault="00592117" w:rsidP="00743E39">
      <w:pPr>
        <w:rPr>
          <w:rFonts w:ascii="Arial" w:eastAsia="Times New Roman" w:hAnsi="Arial" w:cs="Arial"/>
          <w:sz w:val="22"/>
          <w:szCs w:val="22"/>
          <w:lang w:val="en-GB"/>
        </w:rPr>
      </w:pPr>
    </w:p>
    <w:p w14:paraId="09392BE0" w14:textId="77777777" w:rsidR="00592117" w:rsidRPr="004F6670" w:rsidRDefault="00592117" w:rsidP="00743E39">
      <w:pPr>
        <w:rPr>
          <w:rFonts w:ascii="Arial" w:eastAsia="Times New Roman" w:hAnsi="Arial" w:cs="Arial"/>
          <w:sz w:val="22"/>
          <w:szCs w:val="22"/>
          <w:lang w:val="en-GB"/>
        </w:rPr>
      </w:pPr>
    </w:p>
    <w:tbl>
      <w:tblPr>
        <w:tblStyle w:val="TableGrid"/>
        <w:tblW w:w="0" w:type="auto"/>
        <w:tblInd w:w="1951" w:type="dxa"/>
        <w:tblLook w:val="04A0" w:firstRow="1" w:lastRow="0" w:firstColumn="1" w:lastColumn="0" w:noHBand="0" w:noVBand="1"/>
      </w:tblPr>
      <w:tblGrid>
        <w:gridCol w:w="2307"/>
        <w:gridCol w:w="2557"/>
      </w:tblGrid>
      <w:tr w:rsidR="00592117" w:rsidRPr="004F6670" w14:paraId="596767A7" w14:textId="77777777" w:rsidTr="00592117">
        <w:tc>
          <w:tcPr>
            <w:tcW w:w="2307" w:type="dxa"/>
          </w:tcPr>
          <w:p w14:paraId="7154D816" w14:textId="77777777" w:rsidR="00280DBC" w:rsidRDefault="000E5175" w:rsidP="002712B9">
            <w:pPr>
              <w:jc w:val="center"/>
              <w:rPr>
                <w:rFonts w:ascii="Arial" w:eastAsia="Times New Roman" w:hAnsi="Arial" w:cs="Arial"/>
                <w:sz w:val="22"/>
                <w:szCs w:val="22"/>
                <w:lang w:val="en-GB"/>
              </w:rPr>
            </w:pPr>
            <w:r w:rsidRPr="004F6670">
              <w:rPr>
                <w:rFonts w:ascii="Arial" w:eastAsia="Times New Roman" w:hAnsi="Arial" w:cs="Arial"/>
                <w:sz w:val="22"/>
                <w:szCs w:val="22"/>
                <w:lang w:val="en-GB"/>
              </w:rPr>
              <w:t>Degree</w:t>
            </w:r>
          </w:p>
          <w:p w14:paraId="5EF2A82B" w14:textId="77777777" w:rsidR="00592117" w:rsidRPr="004F6670" w:rsidRDefault="000E5175" w:rsidP="002712B9">
            <w:pPr>
              <w:jc w:val="center"/>
              <w:rPr>
                <w:rFonts w:ascii="Arial" w:eastAsia="Times New Roman" w:hAnsi="Arial" w:cs="Arial"/>
                <w:sz w:val="22"/>
                <w:szCs w:val="22"/>
                <w:lang w:val="en-GB"/>
              </w:rPr>
            </w:pPr>
            <w:r w:rsidRPr="004F6670">
              <w:rPr>
                <w:rFonts w:ascii="Arial" w:eastAsia="Times New Roman" w:hAnsi="Arial" w:cs="Arial"/>
                <w:sz w:val="22"/>
                <w:szCs w:val="22"/>
                <w:lang w:val="en-GB"/>
              </w:rPr>
              <w:t xml:space="preserve"> or</w:t>
            </w:r>
          </w:p>
          <w:p w14:paraId="1E2A7448" w14:textId="77777777" w:rsidR="000E5175" w:rsidRPr="004F6670" w:rsidRDefault="00386509" w:rsidP="002712B9">
            <w:pPr>
              <w:jc w:val="center"/>
              <w:rPr>
                <w:rFonts w:ascii="Arial" w:eastAsia="Times New Roman" w:hAnsi="Arial" w:cs="Arial"/>
                <w:sz w:val="22"/>
                <w:szCs w:val="22"/>
                <w:lang w:val="en-GB"/>
              </w:rPr>
            </w:pPr>
            <w:r>
              <w:rPr>
                <w:rFonts w:ascii="Arial" w:eastAsia="Times New Roman" w:hAnsi="Arial" w:cs="Arial"/>
                <w:sz w:val="22"/>
                <w:szCs w:val="22"/>
                <w:lang w:val="en-GB"/>
              </w:rPr>
              <w:t>e</w:t>
            </w:r>
            <w:r w:rsidR="000E5175" w:rsidRPr="004F6670">
              <w:rPr>
                <w:rFonts w:ascii="Arial" w:eastAsia="Times New Roman" w:hAnsi="Arial" w:cs="Arial"/>
                <w:sz w:val="22"/>
                <w:szCs w:val="22"/>
                <w:lang w:val="en-GB"/>
              </w:rPr>
              <w:t>quivalent eg apprenticeship</w:t>
            </w:r>
          </w:p>
        </w:tc>
        <w:tc>
          <w:tcPr>
            <w:tcW w:w="2557" w:type="dxa"/>
          </w:tcPr>
          <w:p w14:paraId="5DBBAEE5" w14:textId="77777777" w:rsidR="00280DBC" w:rsidRDefault="00280DBC" w:rsidP="00A522FA">
            <w:pPr>
              <w:jc w:val="center"/>
              <w:rPr>
                <w:rFonts w:ascii="Arial" w:eastAsia="Times New Roman" w:hAnsi="Arial" w:cs="Arial"/>
                <w:sz w:val="22"/>
                <w:szCs w:val="22"/>
                <w:lang w:val="en-GB"/>
              </w:rPr>
            </w:pPr>
          </w:p>
          <w:p w14:paraId="04315EA3" w14:textId="77777777" w:rsidR="00592117" w:rsidRPr="004F6670" w:rsidRDefault="000E5175" w:rsidP="00A522FA">
            <w:pPr>
              <w:jc w:val="center"/>
              <w:rPr>
                <w:rFonts w:ascii="Arial" w:eastAsia="Times New Roman" w:hAnsi="Arial" w:cs="Arial"/>
                <w:sz w:val="22"/>
                <w:szCs w:val="22"/>
                <w:lang w:val="en-GB"/>
              </w:rPr>
            </w:pPr>
            <w:r w:rsidRPr="004F6670">
              <w:rPr>
                <w:rFonts w:ascii="Arial" w:eastAsia="Times New Roman" w:hAnsi="Arial" w:cs="Arial"/>
                <w:sz w:val="22"/>
                <w:szCs w:val="22"/>
                <w:lang w:val="en-GB"/>
              </w:rPr>
              <w:t>SQE</w:t>
            </w:r>
          </w:p>
          <w:p w14:paraId="750845B7" w14:textId="77777777" w:rsidR="000E5175" w:rsidRPr="004F6670" w:rsidRDefault="00A522FA" w:rsidP="00A522FA">
            <w:pPr>
              <w:jc w:val="center"/>
              <w:rPr>
                <w:rFonts w:ascii="Arial" w:eastAsia="Times New Roman" w:hAnsi="Arial" w:cs="Arial"/>
                <w:sz w:val="22"/>
                <w:szCs w:val="22"/>
                <w:lang w:val="en-GB"/>
              </w:rPr>
            </w:pPr>
            <w:r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74624" behindDoc="0" locked="0" layoutInCell="1" allowOverlap="1" wp14:anchorId="799743D8" wp14:editId="3B129FDE">
                      <wp:simplePos x="0" y="0"/>
                      <wp:positionH relativeFrom="column">
                        <wp:posOffset>610870</wp:posOffset>
                      </wp:positionH>
                      <wp:positionV relativeFrom="paragraph">
                        <wp:posOffset>70485</wp:posOffset>
                      </wp:positionV>
                      <wp:extent cx="342900" cy="0"/>
                      <wp:effectExtent l="0" t="101600" r="38100" b="17780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5CF4C8" id="_x0000_t32" coordsize="21600,21600" o:spt="32" o:oned="t" path="m,l21600,21600e" filled="f">
                      <v:path arrowok="t" fillok="f" o:connecttype="none"/>
                      <o:lock v:ext="edit" shapetype="t"/>
                    </v:shapetype>
                    <v:shape id="Straight Arrow Connector 12" o:spid="_x0000_s1026" type="#_x0000_t32" style="position:absolute;margin-left:48.1pt;margin-top:5.55pt;width: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" strokecolor="#4f81bd [3204]" strokeweight="2pt">
                      <v:stroke endarrow="open"/>
                      <v:shadow on="t" color="black" opacity="24903f" origin=",.5" offset="0,.55556mm"/>
                    </v:shape>
                  </w:pict>
                </mc:Fallback>
              </mc:AlternateContent>
            </w:r>
            <w:r w:rsidR="007725D5" w:rsidRPr="004F6670">
              <w:rPr>
                <w:rFonts w:ascii="Arial" w:eastAsia="Times New Roman" w:hAnsi="Arial" w:cs="Arial"/>
                <w:sz w:val="22"/>
                <w:szCs w:val="22"/>
                <w:lang w:val="en-GB"/>
              </w:rPr>
              <w:t>Part 1</w:t>
            </w:r>
            <w:r w:rsidR="00AF3222">
              <w:rPr>
                <w:rFonts w:ascii="Arial" w:eastAsia="Times New Roman" w:hAnsi="Arial" w:cs="Arial"/>
                <w:sz w:val="22"/>
                <w:szCs w:val="22"/>
                <w:lang w:val="en-GB"/>
              </w:rPr>
              <w:t xml:space="preserve">   </w:t>
            </w:r>
            <w:r w:rsidR="00AF3222">
              <w:rPr>
                <w:rFonts w:ascii="Arial" w:eastAsia="Times New Roman" w:hAnsi="Arial" w:cs="Arial"/>
                <w:sz w:val="22"/>
                <w:szCs w:val="22"/>
                <w:lang w:val="en-GB"/>
              </w:rPr>
              <w:tab/>
            </w:r>
            <w:r w:rsidR="000E5175" w:rsidRPr="004F6670">
              <w:rPr>
                <w:rFonts w:ascii="Arial" w:eastAsia="Times New Roman" w:hAnsi="Arial" w:cs="Arial"/>
                <w:sz w:val="22"/>
                <w:szCs w:val="22"/>
                <w:lang w:val="en-GB"/>
              </w:rPr>
              <w:t>Part 2</w:t>
            </w:r>
          </w:p>
        </w:tc>
      </w:tr>
      <w:tr w:rsidR="00592117" w:rsidRPr="004F6670" w14:paraId="5F9CB4C3" w14:textId="77777777" w:rsidTr="00592117">
        <w:tc>
          <w:tcPr>
            <w:tcW w:w="2307" w:type="dxa"/>
          </w:tcPr>
          <w:p w14:paraId="6F005A57" w14:textId="77777777" w:rsidR="00B24544" w:rsidRDefault="00B24544" w:rsidP="002712B9">
            <w:pPr>
              <w:jc w:val="center"/>
              <w:rPr>
                <w:rFonts w:ascii="Arial" w:eastAsia="Times New Roman" w:hAnsi="Arial" w:cs="Arial"/>
                <w:sz w:val="22"/>
                <w:szCs w:val="22"/>
                <w:lang w:val="en-GB"/>
              </w:rPr>
            </w:pPr>
          </w:p>
          <w:p w14:paraId="7B96B24A" w14:textId="77777777" w:rsidR="00592117" w:rsidRPr="004F6670" w:rsidRDefault="000E5175" w:rsidP="002712B9">
            <w:pPr>
              <w:jc w:val="center"/>
              <w:rPr>
                <w:rFonts w:ascii="Arial" w:eastAsia="Times New Roman" w:hAnsi="Arial" w:cs="Arial"/>
                <w:sz w:val="22"/>
                <w:szCs w:val="22"/>
                <w:lang w:val="en-GB"/>
              </w:rPr>
            </w:pPr>
            <w:r w:rsidRPr="004F6670">
              <w:rPr>
                <w:rFonts w:ascii="Arial" w:eastAsia="Times New Roman" w:hAnsi="Arial" w:cs="Arial"/>
                <w:sz w:val="22"/>
                <w:szCs w:val="22"/>
                <w:lang w:val="en-GB"/>
              </w:rPr>
              <w:t>2 years of qualifying work experience (QWE)</w:t>
            </w:r>
          </w:p>
        </w:tc>
        <w:tc>
          <w:tcPr>
            <w:tcW w:w="2557" w:type="dxa"/>
          </w:tcPr>
          <w:p w14:paraId="5F42B64B" w14:textId="77777777" w:rsidR="00B24544" w:rsidRDefault="00B24544" w:rsidP="002712B9">
            <w:pPr>
              <w:jc w:val="center"/>
              <w:rPr>
                <w:rFonts w:ascii="Arial" w:eastAsia="Times New Roman" w:hAnsi="Arial" w:cs="Arial"/>
                <w:sz w:val="22"/>
                <w:szCs w:val="22"/>
                <w:lang w:val="en-GB"/>
              </w:rPr>
            </w:pPr>
          </w:p>
          <w:p w14:paraId="1D584D5D" w14:textId="77777777" w:rsidR="00592117" w:rsidRPr="004F6670" w:rsidRDefault="000E5175" w:rsidP="002712B9">
            <w:pPr>
              <w:jc w:val="center"/>
              <w:rPr>
                <w:rFonts w:ascii="Arial" w:eastAsia="Times New Roman" w:hAnsi="Arial" w:cs="Arial"/>
                <w:sz w:val="22"/>
                <w:szCs w:val="22"/>
                <w:lang w:val="en-GB"/>
              </w:rPr>
            </w:pPr>
            <w:r w:rsidRPr="004F6670">
              <w:rPr>
                <w:rFonts w:ascii="Arial" w:eastAsia="Times New Roman" w:hAnsi="Arial" w:cs="Arial"/>
                <w:sz w:val="22"/>
                <w:szCs w:val="22"/>
                <w:lang w:val="en-GB"/>
              </w:rPr>
              <w:t>Character and suitability</w:t>
            </w:r>
          </w:p>
        </w:tc>
      </w:tr>
    </w:tbl>
    <w:p w14:paraId="19CF7DBA" w14:textId="77777777" w:rsidR="00B344A5" w:rsidRPr="004F6670" w:rsidRDefault="00B344A5" w:rsidP="00743E39">
      <w:pPr>
        <w:rPr>
          <w:rFonts w:ascii="Arial" w:eastAsia="Times New Roman" w:hAnsi="Arial" w:cs="Arial"/>
          <w:sz w:val="22"/>
          <w:szCs w:val="22"/>
          <w:lang w:val="en-GB"/>
        </w:rPr>
      </w:pPr>
    </w:p>
    <w:p w14:paraId="4816F6BA" w14:textId="77777777" w:rsidR="007D75C4" w:rsidRDefault="007D75C4" w:rsidP="00743E39">
      <w:pPr>
        <w:rPr>
          <w:rFonts w:ascii="Arial" w:eastAsia="Times New Roman" w:hAnsi="Arial" w:cs="Arial"/>
          <w:sz w:val="22"/>
          <w:szCs w:val="22"/>
          <w:lang w:val="en-GB"/>
        </w:rPr>
      </w:pPr>
    </w:p>
    <w:p w14:paraId="34041337" w14:textId="77777777" w:rsidR="00091F8C" w:rsidRPr="004F6670" w:rsidRDefault="00091F8C" w:rsidP="00743E39">
      <w:pPr>
        <w:rPr>
          <w:rFonts w:ascii="Arial" w:eastAsia="Times New Roman" w:hAnsi="Arial" w:cs="Arial"/>
          <w:sz w:val="22"/>
          <w:szCs w:val="22"/>
          <w:lang w:val="en-GB"/>
        </w:rPr>
      </w:pPr>
    </w:p>
    <w:p w14:paraId="1B61F010" w14:textId="4FADCA79" w:rsidR="000E5175" w:rsidRPr="004F6670" w:rsidRDefault="00AF3222" w:rsidP="00743E39">
      <w:pPr>
        <w:rPr>
          <w:rFonts w:ascii="Arial" w:eastAsia="Times New Roman" w:hAnsi="Arial" w:cs="Arial"/>
          <w:sz w:val="22"/>
          <w:szCs w:val="22"/>
          <w:lang w:val="en-GB"/>
        </w:rPr>
      </w:pPr>
      <w:r>
        <w:rPr>
          <w:rFonts w:ascii="Arial" w:eastAsia="Times New Roman" w:hAnsi="Arial" w:cs="Arial"/>
          <w:sz w:val="22"/>
          <w:szCs w:val="22"/>
          <w:lang w:val="en-GB"/>
        </w:rPr>
        <w:t>The</w:t>
      </w:r>
      <w:r w:rsidR="0071346B">
        <w:rPr>
          <w:rFonts w:ascii="Arial" w:eastAsia="Times New Roman" w:hAnsi="Arial" w:cs="Arial"/>
          <w:sz w:val="22"/>
          <w:szCs w:val="22"/>
          <w:lang w:val="en-GB"/>
        </w:rPr>
        <w:t xml:space="preserve"> </w:t>
      </w:r>
      <w:r>
        <w:rPr>
          <w:rFonts w:ascii="Arial" w:eastAsia="Times New Roman" w:hAnsi="Arial" w:cs="Arial"/>
          <w:sz w:val="22"/>
          <w:szCs w:val="22"/>
          <w:lang w:val="en-GB"/>
        </w:rPr>
        <w:t>BSB</w:t>
      </w:r>
      <w:r w:rsidR="00B24544">
        <w:rPr>
          <w:rFonts w:ascii="Arial" w:eastAsia="Times New Roman" w:hAnsi="Arial" w:cs="Arial"/>
          <w:sz w:val="22"/>
          <w:szCs w:val="22"/>
          <w:lang w:val="en-GB"/>
        </w:rPr>
        <w:t xml:space="preserve">’s reforms offer </w:t>
      </w:r>
      <w:r w:rsidR="00B24544" w:rsidRPr="004F6670">
        <w:rPr>
          <w:rFonts w:ascii="Arial" w:eastAsia="Times New Roman" w:hAnsi="Arial" w:cs="Arial"/>
          <w:sz w:val="22"/>
          <w:szCs w:val="22"/>
          <w:lang w:val="en-GB"/>
        </w:rPr>
        <w:t xml:space="preserve">four </w:t>
      </w:r>
      <w:r w:rsidR="00B24544">
        <w:rPr>
          <w:rFonts w:ascii="Arial" w:eastAsia="Times New Roman" w:hAnsi="Arial" w:cs="Arial"/>
          <w:sz w:val="22"/>
          <w:szCs w:val="22"/>
          <w:lang w:val="en-GB"/>
        </w:rPr>
        <w:t xml:space="preserve">alternative </w:t>
      </w:r>
      <w:r w:rsidR="00B24544" w:rsidRPr="004F6670">
        <w:rPr>
          <w:rFonts w:ascii="Arial" w:eastAsia="Times New Roman" w:hAnsi="Arial" w:cs="Arial"/>
          <w:sz w:val="22"/>
          <w:szCs w:val="22"/>
          <w:lang w:val="en-GB"/>
        </w:rPr>
        <w:t>‘managed</w:t>
      </w:r>
      <w:r w:rsidR="00700A92">
        <w:rPr>
          <w:rFonts w:ascii="Arial" w:eastAsia="Times New Roman" w:hAnsi="Arial" w:cs="Arial"/>
          <w:sz w:val="22"/>
          <w:szCs w:val="22"/>
          <w:lang w:val="en-GB"/>
        </w:rPr>
        <w:t>’ or ‘training’</w:t>
      </w:r>
      <w:r w:rsidR="00B24544" w:rsidRPr="004F6670">
        <w:rPr>
          <w:rFonts w:ascii="Arial" w:eastAsia="Times New Roman" w:hAnsi="Arial" w:cs="Arial"/>
          <w:sz w:val="22"/>
          <w:szCs w:val="22"/>
          <w:lang w:val="en-GB"/>
        </w:rPr>
        <w:t xml:space="preserve"> pathways</w:t>
      </w:r>
      <w:r w:rsidR="00B24544">
        <w:rPr>
          <w:rFonts w:ascii="Arial" w:eastAsia="Times New Roman" w:hAnsi="Arial" w:cs="Arial"/>
          <w:sz w:val="22"/>
          <w:szCs w:val="22"/>
          <w:lang w:val="en-GB"/>
        </w:rPr>
        <w:t xml:space="preserve"> </w:t>
      </w:r>
      <w:r w:rsidR="000E5175" w:rsidRPr="004F6670">
        <w:rPr>
          <w:rFonts w:ascii="Arial" w:eastAsia="Times New Roman" w:hAnsi="Arial" w:cs="Arial"/>
          <w:sz w:val="22"/>
          <w:szCs w:val="22"/>
          <w:lang w:val="en-GB"/>
        </w:rPr>
        <w:t>to qualification</w:t>
      </w:r>
      <w:r w:rsidR="00B24544">
        <w:rPr>
          <w:rFonts w:ascii="Arial" w:eastAsia="Times New Roman" w:hAnsi="Arial" w:cs="Arial"/>
          <w:sz w:val="22"/>
          <w:szCs w:val="22"/>
          <w:lang w:val="en-GB"/>
        </w:rPr>
        <w:t>:</w:t>
      </w:r>
    </w:p>
    <w:p w14:paraId="17434971" w14:textId="77777777" w:rsidR="000E5175" w:rsidRPr="004F6670" w:rsidRDefault="000E5175" w:rsidP="00743E39">
      <w:pPr>
        <w:rPr>
          <w:rFonts w:ascii="Arial" w:eastAsia="Times New Roman" w:hAnsi="Arial" w:cs="Arial"/>
          <w:sz w:val="22"/>
          <w:szCs w:val="22"/>
          <w:lang w:val="en-GB"/>
        </w:rPr>
      </w:pPr>
    </w:p>
    <w:tbl>
      <w:tblPr>
        <w:tblStyle w:val="TableGrid"/>
        <w:tblW w:w="8613" w:type="dxa"/>
        <w:tblLook w:val="04A0" w:firstRow="1" w:lastRow="0" w:firstColumn="1" w:lastColumn="0" w:noHBand="0" w:noVBand="1"/>
      </w:tblPr>
      <w:tblGrid>
        <w:gridCol w:w="8613"/>
      </w:tblGrid>
      <w:tr w:rsidR="007725D5" w:rsidRPr="004F6670" w14:paraId="42561A73" w14:textId="77777777" w:rsidTr="00FF2C4A">
        <w:tc>
          <w:tcPr>
            <w:tcW w:w="8613" w:type="dxa"/>
            <w:vAlign w:val="center"/>
          </w:tcPr>
          <w:p w14:paraId="0B652D4D" w14:textId="77777777" w:rsidR="007725D5" w:rsidRPr="004F6670" w:rsidRDefault="00AA6642" w:rsidP="00FF2C4A">
            <w:pPr>
              <w:jc w:val="center"/>
              <w:rPr>
                <w:rFonts w:ascii="Arial" w:eastAsia="Times New Roman" w:hAnsi="Arial" w:cs="Arial"/>
                <w:noProof/>
                <w:sz w:val="22"/>
                <w:szCs w:val="22"/>
              </w:rPr>
            </w:pPr>
            <w:r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66432" behindDoc="0" locked="0" layoutInCell="1" allowOverlap="1" wp14:anchorId="548BDECA" wp14:editId="14EECEBE">
                      <wp:simplePos x="0" y="0"/>
                      <wp:positionH relativeFrom="column">
                        <wp:posOffset>3888105</wp:posOffset>
                      </wp:positionH>
                      <wp:positionV relativeFrom="paragraph">
                        <wp:posOffset>148590</wp:posOffset>
                      </wp:positionV>
                      <wp:extent cx="342900" cy="0"/>
                      <wp:effectExtent l="0" t="101600" r="38100" b="17780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0C09E" id="Straight Arrow Connector 8" o:spid="_x0000_s1026" type="#_x0000_t32" style="position:absolute;margin-left:306.15pt;margin-top:11.7pt;width:2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" strokecolor="#4f81bd [3204]" strokeweight="2pt">
                      <v:stroke endarrow="open"/>
                      <v:shadow on="t" color="black" opacity="24903f" origin=",.5" offset="0,.55556mm"/>
                    </v:shape>
                  </w:pict>
                </mc:Fallback>
              </mc:AlternateContent>
            </w:r>
            <w:r w:rsidR="002712B9"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64384" behindDoc="0" locked="0" layoutInCell="1" allowOverlap="1" wp14:anchorId="287DFCF5" wp14:editId="045E03BF">
                      <wp:simplePos x="0" y="0"/>
                      <wp:positionH relativeFrom="column">
                        <wp:posOffset>1714500</wp:posOffset>
                      </wp:positionH>
                      <wp:positionV relativeFrom="paragraph">
                        <wp:posOffset>48260</wp:posOffset>
                      </wp:positionV>
                      <wp:extent cx="342900" cy="0"/>
                      <wp:effectExtent l="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CB728" id="Straight Arrow Connector 7" o:spid="_x0000_s1026" type="#_x0000_t32" style="position:absolute;margin-left:135pt;margin-top:3.8pt;width: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" strokecolor="#4f81bd [3204]" strokeweight="2pt">
                      <v:stroke endarrow="open"/>
                      <v:shadow on="t" color="black" opacity="24903f" origin=",.5" offset="0,.55556mm"/>
                    </v:shape>
                  </w:pict>
                </mc:Fallback>
              </mc:AlternateContent>
            </w:r>
            <w:r w:rsidR="007725D5" w:rsidRPr="004F6670">
              <w:rPr>
                <w:rFonts w:ascii="Arial" w:eastAsia="Times New Roman" w:hAnsi="Arial" w:cs="Arial"/>
                <w:sz w:val="22"/>
                <w:szCs w:val="22"/>
                <w:lang w:val="en-GB"/>
              </w:rPr>
              <w:t>Academic component</w:t>
            </w:r>
            <w:r w:rsidR="005B1E76" w:rsidRPr="004F6670">
              <w:rPr>
                <w:rFonts w:ascii="Arial" w:eastAsia="Times New Roman" w:hAnsi="Arial" w:cs="Arial"/>
                <w:noProof/>
                <w:sz w:val="22"/>
                <w:szCs w:val="22"/>
              </w:rPr>
              <w:t xml:space="preserve"> </w:t>
            </w:r>
            <w:r w:rsidR="009A2F9E" w:rsidRPr="004F6670">
              <w:rPr>
                <w:rFonts w:ascii="Arial" w:eastAsia="Times New Roman" w:hAnsi="Arial" w:cs="Arial"/>
                <w:noProof/>
                <w:sz w:val="22"/>
                <w:szCs w:val="22"/>
              </w:rPr>
              <w:tab/>
              <w:t xml:space="preserve"> </w:t>
            </w:r>
            <w:r w:rsidR="002712B9" w:rsidRPr="004F6670">
              <w:rPr>
                <w:rFonts w:ascii="Arial" w:eastAsia="Times New Roman" w:hAnsi="Arial" w:cs="Arial"/>
                <w:noProof/>
                <w:sz w:val="22"/>
                <w:szCs w:val="22"/>
              </w:rPr>
              <w:tab/>
              <w:t xml:space="preserve">    </w:t>
            </w:r>
            <w:r w:rsidR="009A2F9E" w:rsidRPr="004F6670">
              <w:rPr>
                <w:rFonts w:ascii="Arial" w:eastAsia="Times New Roman" w:hAnsi="Arial" w:cs="Arial"/>
                <w:noProof/>
                <w:sz w:val="22"/>
                <w:szCs w:val="22"/>
              </w:rPr>
              <w:t>Vocational</w:t>
            </w:r>
            <w:r w:rsidR="009A2F9E" w:rsidRPr="004F6670">
              <w:rPr>
                <w:rFonts w:ascii="Arial" w:eastAsia="Times New Roman" w:hAnsi="Arial" w:cs="Arial"/>
                <w:noProof/>
                <w:sz w:val="22"/>
                <w:szCs w:val="22"/>
              </w:rPr>
              <w:tab/>
            </w:r>
            <w:r w:rsidR="009A2F9E" w:rsidRPr="004F6670">
              <w:rPr>
                <w:rFonts w:ascii="Arial" w:eastAsia="Times New Roman" w:hAnsi="Arial" w:cs="Arial"/>
                <w:noProof/>
                <w:sz w:val="22"/>
                <w:szCs w:val="22"/>
              </w:rPr>
              <w:tab/>
            </w:r>
            <w:r w:rsidR="002712B9" w:rsidRPr="004F6670">
              <w:rPr>
                <w:rFonts w:ascii="Arial" w:eastAsia="Times New Roman" w:hAnsi="Arial" w:cs="Arial"/>
                <w:noProof/>
                <w:sz w:val="22"/>
                <w:szCs w:val="22"/>
              </w:rPr>
              <w:tab/>
            </w:r>
            <w:r w:rsidR="002712B9" w:rsidRPr="004F6670">
              <w:rPr>
                <w:rFonts w:ascii="Arial" w:eastAsia="Times New Roman" w:hAnsi="Arial" w:cs="Arial"/>
                <w:noProof/>
                <w:sz w:val="22"/>
                <w:szCs w:val="22"/>
              </w:rPr>
              <w:tab/>
            </w:r>
            <w:r w:rsidR="009A2F9E" w:rsidRPr="004F6670">
              <w:rPr>
                <w:rFonts w:ascii="Arial" w:eastAsia="Times New Roman" w:hAnsi="Arial" w:cs="Arial"/>
                <w:noProof/>
                <w:sz w:val="22"/>
                <w:szCs w:val="22"/>
              </w:rPr>
              <w:t>work based</w:t>
            </w:r>
          </w:p>
          <w:p w14:paraId="43878DC2" w14:textId="77777777" w:rsidR="002712B9" w:rsidRPr="004F6670" w:rsidRDefault="002712B9" w:rsidP="00FF2C4A">
            <w:pPr>
              <w:jc w:val="center"/>
              <w:rPr>
                <w:rFonts w:ascii="Arial" w:eastAsia="Times New Roman" w:hAnsi="Arial" w:cs="Arial"/>
                <w:sz w:val="22"/>
                <w:szCs w:val="22"/>
                <w:lang w:val="en-GB"/>
              </w:rPr>
            </w:pPr>
          </w:p>
        </w:tc>
      </w:tr>
      <w:tr w:rsidR="007725D5" w:rsidRPr="004F6670" w14:paraId="1E8CD0C9" w14:textId="77777777" w:rsidTr="00FF2C4A">
        <w:tc>
          <w:tcPr>
            <w:tcW w:w="8613" w:type="dxa"/>
            <w:vAlign w:val="center"/>
          </w:tcPr>
          <w:p w14:paraId="7C4198D9" w14:textId="2161A14F" w:rsidR="002712B9" w:rsidRPr="004F6670" w:rsidRDefault="002712B9" w:rsidP="00FF2C4A">
            <w:pPr>
              <w:jc w:val="center"/>
              <w:rPr>
                <w:rFonts w:ascii="Arial" w:eastAsia="Times New Roman" w:hAnsi="Arial" w:cs="Arial"/>
                <w:sz w:val="22"/>
                <w:szCs w:val="22"/>
                <w:lang w:val="en-GB"/>
              </w:rPr>
            </w:pPr>
            <w:r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70528" behindDoc="0" locked="0" layoutInCell="1" allowOverlap="1" wp14:anchorId="25C26777" wp14:editId="2E081919">
                      <wp:simplePos x="0" y="0"/>
                      <wp:positionH relativeFrom="column">
                        <wp:posOffset>2743200</wp:posOffset>
                      </wp:positionH>
                      <wp:positionV relativeFrom="paragraph">
                        <wp:posOffset>109855</wp:posOffset>
                      </wp:positionV>
                      <wp:extent cx="342900" cy="0"/>
                      <wp:effectExtent l="0" t="101600" r="38100" b="17780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91362" id="Straight Arrow Connector 10" o:spid="_x0000_s1026" type="#_x0000_t32" style="position:absolute;margin-left:3in;margin-top:8.65pt;width: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" strokecolor="#4f81bd [3204]" strokeweight="2pt">
                      <v:stroke endarrow="open"/>
                      <v:shadow on="t" color="black" opacity="24903f" origin=",.5" offset="0,.55556mm"/>
                    </v:shape>
                  </w:pict>
                </mc:Fallback>
              </mc:AlternateContent>
            </w:r>
            <w:r w:rsidR="009A2F9E"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68480" behindDoc="0" locked="0" layoutInCell="1" allowOverlap="1" wp14:anchorId="07B797E5" wp14:editId="294AEE6E">
                      <wp:simplePos x="0" y="0"/>
                      <wp:positionH relativeFrom="column">
                        <wp:posOffset>1485900</wp:posOffset>
                      </wp:positionH>
                      <wp:positionV relativeFrom="paragraph">
                        <wp:posOffset>109855</wp:posOffset>
                      </wp:positionV>
                      <wp:extent cx="342900" cy="0"/>
                      <wp:effectExtent l="0" t="101600" r="38100" b="17780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F511E" id="Straight Arrow Connector 9" o:spid="_x0000_s1026" type="#_x0000_t32" style="position:absolute;margin-left:117pt;margin-top:8.65pt;width:2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" strokecolor="#4f81bd [3204]" strokeweight="2pt">
                      <v:stroke endarrow="open"/>
                      <v:shadow on="t" color="black" opacity="24903f" origin=",.5" offset="0,.55556mm"/>
                    </v:shape>
                  </w:pict>
                </mc:Fallback>
              </mc:AlternateContent>
            </w:r>
            <w:r w:rsidRPr="004F6670">
              <w:rPr>
                <w:rFonts w:ascii="Arial" w:eastAsia="Times New Roman" w:hAnsi="Arial" w:cs="Arial"/>
                <w:sz w:val="22"/>
                <w:szCs w:val="22"/>
                <w:lang w:val="en-GB"/>
              </w:rPr>
              <w:t xml:space="preserve">Academic component  </w:t>
            </w:r>
            <w:r w:rsidRPr="004F6670">
              <w:rPr>
                <w:rFonts w:ascii="Arial" w:eastAsia="Times New Roman" w:hAnsi="Arial" w:cs="Arial"/>
                <w:sz w:val="22"/>
                <w:szCs w:val="22"/>
                <w:lang w:val="en-GB"/>
              </w:rPr>
              <w:tab/>
              <w:t xml:space="preserve">  </w:t>
            </w:r>
            <w:r w:rsidR="009A2F9E" w:rsidRPr="004F6670">
              <w:rPr>
                <w:rFonts w:ascii="Arial" w:eastAsia="Times New Roman" w:hAnsi="Arial" w:cs="Arial"/>
                <w:sz w:val="22"/>
                <w:szCs w:val="22"/>
                <w:lang w:val="en-GB"/>
              </w:rPr>
              <w:t>Vocational</w:t>
            </w:r>
            <w:r w:rsidR="00C1068C">
              <w:rPr>
                <w:rFonts w:ascii="Arial" w:eastAsia="Times New Roman" w:hAnsi="Arial" w:cs="Arial"/>
                <w:sz w:val="22"/>
                <w:szCs w:val="22"/>
                <w:lang w:val="en-GB"/>
              </w:rPr>
              <w:tab/>
            </w:r>
            <w:r w:rsidR="00C1068C">
              <w:rPr>
                <w:rFonts w:ascii="Arial" w:eastAsia="Times New Roman" w:hAnsi="Arial" w:cs="Arial"/>
                <w:sz w:val="22"/>
                <w:szCs w:val="22"/>
                <w:lang w:val="en-GB"/>
              </w:rPr>
              <w:tab/>
              <w:t>V</w:t>
            </w:r>
            <w:r w:rsidRPr="004F6670">
              <w:rPr>
                <w:rFonts w:ascii="Arial" w:eastAsia="Times New Roman" w:hAnsi="Arial" w:cs="Arial"/>
                <w:sz w:val="22"/>
                <w:szCs w:val="22"/>
                <w:lang w:val="en-GB"/>
              </w:rPr>
              <w:t>ocational</w:t>
            </w:r>
            <w:r w:rsidRPr="004F6670">
              <w:rPr>
                <w:rFonts w:ascii="Arial" w:eastAsia="Times New Roman" w:hAnsi="Arial" w:cs="Arial"/>
                <w:sz w:val="22"/>
                <w:szCs w:val="22"/>
                <w:lang w:val="en-GB"/>
              </w:rPr>
              <w:tab/>
            </w:r>
            <w:r w:rsidRPr="004F6670">
              <w:rPr>
                <w:rFonts w:ascii="Arial" w:eastAsia="Times New Roman" w:hAnsi="Arial" w:cs="Arial"/>
                <w:sz w:val="22"/>
                <w:szCs w:val="22"/>
                <w:lang w:val="en-GB"/>
              </w:rPr>
              <w:tab/>
              <w:t>work based</w:t>
            </w:r>
          </w:p>
          <w:p w14:paraId="7B91AC52" w14:textId="77777777" w:rsidR="007725D5" w:rsidRPr="004F6670" w:rsidRDefault="00AA6642" w:rsidP="00FF2C4A">
            <w:pPr>
              <w:jc w:val="center"/>
              <w:rPr>
                <w:rFonts w:ascii="Arial" w:eastAsia="Times New Roman" w:hAnsi="Arial" w:cs="Arial"/>
                <w:sz w:val="22"/>
                <w:szCs w:val="22"/>
                <w:lang w:val="en-GB"/>
              </w:rPr>
            </w:pPr>
            <w:r w:rsidRPr="004F6670">
              <w:rPr>
                <w:rFonts w:ascii="Arial" w:eastAsia="Times New Roman" w:hAnsi="Arial" w:cs="Arial"/>
                <w:noProof/>
                <w:sz w:val="22"/>
                <w:szCs w:val="22"/>
                <w:lang w:val="en-GB" w:eastAsia="en-GB"/>
              </w:rPr>
              <mc:AlternateContent>
                <mc:Choice Requires="wps">
                  <w:drawing>
                    <wp:anchor distT="0" distB="0" distL="114300" distR="114300" simplePos="0" relativeHeight="251672576" behindDoc="0" locked="0" layoutInCell="1" allowOverlap="1" wp14:anchorId="3AA9BB51" wp14:editId="1C83E599">
                      <wp:simplePos x="0" y="0"/>
                      <wp:positionH relativeFrom="column">
                        <wp:posOffset>3888105</wp:posOffset>
                      </wp:positionH>
                      <wp:positionV relativeFrom="paragraph">
                        <wp:posOffset>3175</wp:posOffset>
                      </wp:positionV>
                      <wp:extent cx="342900" cy="0"/>
                      <wp:effectExtent l="0" t="101600" r="38100" b="17780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5B363" id="Straight Arrow Connector 11" o:spid="_x0000_s1026" type="#_x0000_t32" style="position:absolute;margin-left:306.15pt;margin-top:.25pt;width:2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" strokecolor="#4f81bd [3204]" strokeweight="2pt">
                      <v:stroke endarrow="open"/>
                      <v:shadow on="t" color="black" opacity="24903f" origin=",.5" offset="0,.55556mm"/>
                    </v:shape>
                  </w:pict>
                </mc:Fallback>
              </mc:AlternateContent>
            </w:r>
            <w:r w:rsidR="008715B9">
              <w:rPr>
                <w:rFonts w:ascii="Arial" w:eastAsia="Times New Roman" w:hAnsi="Arial" w:cs="Arial"/>
                <w:sz w:val="22"/>
                <w:szCs w:val="22"/>
                <w:lang w:val="en-GB"/>
              </w:rPr>
              <w:tab/>
            </w:r>
            <w:r w:rsidR="009A2F9E" w:rsidRPr="004F6670">
              <w:rPr>
                <w:rFonts w:ascii="Arial" w:eastAsia="Times New Roman" w:hAnsi="Arial" w:cs="Arial"/>
                <w:sz w:val="22"/>
                <w:szCs w:val="22"/>
                <w:lang w:val="en-GB"/>
              </w:rPr>
              <w:t xml:space="preserve">Part 1 </w:t>
            </w:r>
            <w:r w:rsidR="002712B9" w:rsidRPr="004F6670">
              <w:rPr>
                <w:rFonts w:ascii="Arial" w:eastAsia="Times New Roman" w:hAnsi="Arial" w:cs="Arial"/>
                <w:sz w:val="22"/>
                <w:szCs w:val="22"/>
                <w:lang w:val="en-GB"/>
              </w:rPr>
              <w:tab/>
              <w:t xml:space="preserve"> </w:t>
            </w:r>
            <w:r w:rsidR="002712B9" w:rsidRPr="004F6670">
              <w:rPr>
                <w:rFonts w:ascii="Arial" w:eastAsia="Times New Roman" w:hAnsi="Arial" w:cs="Arial"/>
                <w:sz w:val="22"/>
                <w:szCs w:val="22"/>
                <w:lang w:val="en-GB"/>
              </w:rPr>
              <w:tab/>
            </w:r>
            <w:r w:rsidR="008715B9">
              <w:rPr>
                <w:rFonts w:ascii="Arial" w:eastAsia="Times New Roman" w:hAnsi="Arial" w:cs="Arial"/>
                <w:sz w:val="22"/>
                <w:szCs w:val="22"/>
                <w:lang w:val="en-GB"/>
              </w:rPr>
              <w:tab/>
            </w:r>
            <w:r w:rsidR="002712B9" w:rsidRPr="004F6670">
              <w:rPr>
                <w:rFonts w:ascii="Arial" w:eastAsia="Times New Roman" w:hAnsi="Arial" w:cs="Arial"/>
                <w:sz w:val="22"/>
                <w:szCs w:val="22"/>
                <w:lang w:val="en-GB"/>
              </w:rPr>
              <w:t>Part 2</w:t>
            </w:r>
          </w:p>
        </w:tc>
      </w:tr>
      <w:tr w:rsidR="007725D5" w:rsidRPr="004F6670" w14:paraId="4B2910A6" w14:textId="77777777" w:rsidTr="00FF2C4A">
        <w:tc>
          <w:tcPr>
            <w:tcW w:w="8613" w:type="dxa"/>
            <w:vAlign w:val="center"/>
          </w:tcPr>
          <w:p w14:paraId="1B326066" w14:textId="609A5A22" w:rsidR="007725D5" w:rsidRPr="004F6670" w:rsidRDefault="00C1068C" w:rsidP="00FF2C4A">
            <w:pPr>
              <w:jc w:val="center"/>
              <w:rPr>
                <w:rFonts w:ascii="Arial" w:eastAsia="Times New Roman" w:hAnsi="Arial" w:cs="Arial"/>
                <w:sz w:val="22"/>
                <w:szCs w:val="22"/>
                <w:lang w:val="en-GB"/>
              </w:rPr>
            </w:pPr>
            <w:r>
              <w:rPr>
                <w:rFonts w:ascii="Arial" w:eastAsia="Times New Roman" w:hAnsi="Arial" w:cs="Arial"/>
                <w:sz w:val="22"/>
                <w:szCs w:val="22"/>
                <w:lang w:val="en-GB"/>
              </w:rPr>
              <w:t>Integrated A</w:t>
            </w:r>
            <w:r w:rsidR="009A2F9E" w:rsidRPr="004F6670">
              <w:rPr>
                <w:rFonts w:ascii="Arial" w:eastAsia="Times New Roman" w:hAnsi="Arial" w:cs="Arial"/>
                <w:sz w:val="22"/>
                <w:szCs w:val="22"/>
                <w:lang w:val="en-GB"/>
              </w:rPr>
              <w:t xml:space="preserve">cademic </w:t>
            </w:r>
            <w:r>
              <w:rPr>
                <w:rFonts w:ascii="Arial" w:eastAsia="Times New Roman" w:hAnsi="Arial" w:cs="Arial"/>
                <w:sz w:val="22"/>
                <w:szCs w:val="22"/>
                <w:lang w:val="en-GB"/>
              </w:rPr>
              <w:t>and V</w:t>
            </w:r>
            <w:r w:rsidR="008715B9">
              <w:rPr>
                <w:rFonts w:ascii="Arial" w:eastAsia="Times New Roman" w:hAnsi="Arial" w:cs="Arial"/>
                <w:sz w:val="22"/>
                <w:szCs w:val="22"/>
                <w:lang w:val="en-GB"/>
              </w:rPr>
              <w:t xml:space="preserve">ocational </w:t>
            </w:r>
            <w:r w:rsidR="009A2F9E" w:rsidRPr="004F6670">
              <w:rPr>
                <w:rFonts w:ascii="Arial" w:eastAsia="Times New Roman" w:hAnsi="Arial" w:cs="Arial"/>
                <w:sz w:val="22"/>
                <w:szCs w:val="22"/>
                <w:lang w:val="en-GB"/>
              </w:rPr>
              <w:t>component</w:t>
            </w:r>
            <w:r w:rsidR="008715B9">
              <w:rPr>
                <w:rFonts w:ascii="Arial" w:eastAsia="Times New Roman" w:hAnsi="Arial" w:cs="Arial"/>
                <w:sz w:val="22"/>
                <w:szCs w:val="22"/>
                <w:lang w:val="en-GB"/>
              </w:rPr>
              <w:t xml:space="preserve">s </w:t>
            </w:r>
            <w:r w:rsidR="00AA6642">
              <w:rPr>
                <w:rFonts w:ascii="Arial" w:eastAsia="Times New Roman" w:hAnsi="Arial" w:cs="Arial"/>
                <w:sz w:val="22"/>
                <w:szCs w:val="22"/>
                <w:lang w:val="en-GB"/>
              </w:rPr>
              <w:tab/>
            </w:r>
            <w:r w:rsidR="00AA6642">
              <w:rPr>
                <w:rFonts w:ascii="Arial" w:eastAsia="Times New Roman" w:hAnsi="Arial" w:cs="Arial"/>
                <w:sz w:val="22"/>
                <w:szCs w:val="22"/>
                <w:lang w:val="en-GB"/>
              </w:rPr>
              <w:tab/>
            </w:r>
            <w:r w:rsidR="00AA6642">
              <w:rPr>
                <w:rFonts w:ascii="Arial" w:eastAsia="Times New Roman" w:hAnsi="Arial" w:cs="Arial"/>
                <w:sz w:val="22"/>
                <w:szCs w:val="22"/>
                <w:lang w:val="en-GB"/>
              </w:rPr>
              <w:tab/>
            </w:r>
            <w:r w:rsidR="00AA6642">
              <w:rPr>
                <w:rFonts w:ascii="Arial" w:eastAsia="Times New Roman" w:hAnsi="Arial" w:cs="Arial"/>
                <w:sz w:val="22"/>
                <w:szCs w:val="22"/>
                <w:lang w:val="en-GB"/>
              </w:rPr>
              <w:tab/>
            </w:r>
            <w:r w:rsidR="00AA6642" w:rsidRPr="004F6670">
              <w:rPr>
                <w:rFonts w:ascii="Arial" w:eastAsia="Times New Roman" w:hAnsi="Arial" w:cs="Arial"/>
                <w:sz w:val="22"/>
                <w:szCs w:val="22"/>
                <w:lang w:val="en-GB"/>
              </w:rPr>
              <w:t>work based</w:t>
            </w:r>
          </w:p>
          <w:p w14:paraId="76A8F76D" w14:textId="77777777" w:rsidR="002712B9" w:rsidRPr="004F6670" w:rsidRDefault="00AA6642" w:rsidP="00FF2C4A">
            <w:pPr>
              <w:jc w:val="center"/>
              <w:rPr>
                <w:rFonts w:ascii="Arial" w:eastAsia="Times New Roman" w:hAnsi="Arial" w:cs="Arial"/>
                <w:sz w:val="22"/>
                <w:szCs w:val="22"/>
                <w:lang w:val="en-GB"/>
              </w:rPr>
            </w:pPr>
            <w:r w:rsidRPr="00FF2C4A">
              <w:rPr>
                <w:rFonts w:ascii="Arial" w:eastAsia="Times New Roman" w:hAnsi="Arial" w:cs="Arial"/>
                <w:noProof/>
                <w:sz w:val="22"/>
                <w:szCs w:val="22"/>
                <w:lang w:val="en-GB" w:eastAsia="en-GB"/>
              </w:rPr>
              <mc:AlternateContent>
                <mc:Choice Requires="wps">
                  <w:drawing>
                    <wp:anchor distT="0" distB="0" distL="114300" distR="114300" simplePos="0" relativeHeight="251676672" behindDoc="0" locked="0" layoutInCell="1" allowOverlap="1" wp14:anchorId="0B0BE9E3" wp14:editId="631871FE">
                      <wp:simplePos x="0" y="0"/>
                      <wp:positionH relativeFrom="column">
                        <wp:posOffset>3888105</wp:posOffset>
                      </wp:positionH>
                      <wp:positionV relativeFrom="paragraph">
                        <wp:posOffset>19050</wp:posOffset>
                      </wp:positionV>
                      <wp:extent cx="342900" cy="0"/>
                      <wp:effectExtent l="0" t="101600" r="38100" b="17780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7E5D1" id="Straight Arrow Connector 1" o:spid="_x0000_s1026" type="#_x0000_t32" style="position:absolute;margin-left:306.15pt;margin-top:1.5pt;width:2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" strokecolor="#4f81bd [3204]" strokeweight="2pt">
                      <v:stroke endarrow="open"/>
                      <v:shadow on="t" color="black" opacity="24903f" origin=",.5" offset="0,.55556mm"/>
                    </v:shape>
                  </w:pict>
                </mc:Fallback>
              </mc:AlternateContent>
            </w:r>
          </w:p>
        </w:tc>
      </w:tr>
      <w:tr w:rsidR="007725D5" w:rsidRPr="004F6670" w14:paraId="3FBF8117" w14:textId="77777777" w:rsidTr="00FF2C4A">
        <w:tc>
          <w:tcPr>
            <w:tcW w:w="8613" w:type="dxa"/>
            <w:vAlign w:val="center"/>
          </w:tcPr>
          <w:p w14:paraId="01709A7B" w14:textId="77777777" w:rsidR="007725D5" w:rsidRPr="004F6670" w:rsidRDefault="005B1E76">
            <w:pPr>
              <w:rPr>
                <w:rFonts w:ascii="Arial" w:eastAsia="Times New Roman" w:hAnsi="Arial" w:cs="Arial"/>
                <w:sz w:val="22"/>
                <w:szCs w:val="22"/>
                <w:lang w:val="en-GB"/>
              </w:rPr>
            </w:pPr>
            <w:r w:rsidRPr="004F6670">
              <w:rPr>
                <w:rFonts w:ascii="Arial" w:eastAsia="Times New Roman" w:hAnsi="Arial" w:cs="Arial"/>
                <w:sz w:val="22"/>
                <w:szCs w:val="22"/>
                <w:lang w:val="en-GB"/>
              </w:rPr>
              <w:t>Apprenticeship</w:t>
            </w:r>
            <w:r w:rsidR="00AA6642">
              <w:rPr>
                <w:rFonts w:ascii="Arial" w:eastAsia="Times New Roman" w:hAnsi="Arial" w:cs="Arial"/>
                <w:sz w:val="22"/>
                <w:szCs w:val="22"/>
                <w:lang w:val="en-GB"/>
              </w:rPr>
              <w:t>:</w:t>
            </w:r>
            <w:r w:rsidRPr="004F6670">
              <w:rPr>
                <w:rFonts w:ascii="Arial" w:eastAsia="Times New Roman" w:hAnsi="Arial" w:cs="Arial"/>
                <w:sz w:val="22"/>
                <w:szCs w:val="22"/>
                <w:lang w:val="en-GB"/>
              </w:rPr>
              <w:t xml:space="preserve"> </w:t>
            </w:r>
            <w:r w:rsidR="00AA6642">
              <w:rPr>
                <w:rFonts w:ascii="Arial" w:eastAsia="Times New Roman" w:hAnsi="Arial" w:cs="Arial"/>
                <w:sz w:val="22"/>
                <w:szCs w:val="22"/>
                <w:lang w:val="en-GB"/>
              </w:rPr>
              <w:tab/>
            </w:r>
            <w:r w:rsidR="00AA6642">
              <w:rPr>
                <w:rFonts w:ascii="Arial" w:eastAsia="Times New Roman" w:hAnsi="Arial" w:cs="Arial"/>
                <w:sz w:val="22"/>
                <w:szCs w:val="22"/>
                <w:lang w:val="en-GB"/>
              </w:rPr>
              <w:tab/>
            </w:r>
            <w:r w:rsidR="00AA6642">
              <w:rPr>
                <w:rFonts w:ascii="Arial" w:eastAsia="Times New Roman" w:hAnsi="Arial" w:cs="Arial"/>
                <w:sz w:val="22"/>
                <w:szCs w:val="22"/>
                <w:lang w:val="en-GB"/>
              </w:rPr>
              <w:tab/>
            </w:r>
            <w:r w:rsidRPr="004F6670">
              <w:rPr>
                <w:rFonts w:ascii="Arial" w:eastAsia="Times New Roman" w:hAnsi="Arial" w:cs="Arial"/>
                <w:sz w:val="22"/>
                <w:szCs w:val="22"/>
                <w:lang w:val="en-GB"/>
              </w:rPr>
              <w:t>combing all three components</w:t>
            </w:r>
          </w:p>
          <w:p w14:paraId="57E322EB" w14:textId="77777777" w:rsidR="002712B9" w:rsidRPr="004F6670" w:rsidRDefault="002712B9" w:rsidP="00FF2C4A">
            <w:pPr>
              <w:rPr>
                <w:rFonts w:ascii="Arial" w:eastAsia="Times New Roman" w:hAnsi="Arial" w:cs="Arial"/>
                <w:sz w:val="22"/>
                <w:szCs w:val="22"/>
                <w:lang w:val="en-GB"/>
              </w:rPr>
            </w:pPr>
          </w:p>
        </w:tc>
      </w:tr>
    </w:tbl>
    <w:p w14:paraId="30C82DFE" w14:textId="77777777" w:rsidR="00391F9B" w:rsidRDefault="00391F9B" w:rsidP="00743E39">
      <w:pPr>
        <w:rPr>
          <w:rFonts w:ascii="Arial" w:eastAsia="Times New Roman" w:hAnsi="Arial" w:cs="Arial"/>
          <w:sz w:val="22"/>
          <w:szCs w:val="22"/>
          <w:lang w:val="en-GB"/>
        </w:rPr>
      </w:pPr>
    </w:p>
    <w:p w14:paraId="0A992C90" w14:textId="77777777" w:rsidR="00517465" w:rsidRDefault="00517465" w:rsidP="001E2CBB">
      <w:pPr>
        <w:rPr>
          <w:rFonts w:ascii="Arial" w:eastAsia="Times New Roman" w:hAnsi="Arial" w:cs="Arial"/>
          <w:sz w:val="22"/>
          <w:szCs w:val="22"/>
          <w:lang w:val="en-GB"/>
        </w:rPr>
      </w:pPr>
    </w:p>
    <w:p w14:paraId="314F4823" w14:textId="5CEAD46E" w:rsidR="00493CE9" w:rsidRDefault="007D75C4" w:rsidP="001E2CBB">
      <w:pPr>
        <w:rPr>
          <w:rFonts w:ascii="Arial" w:eastAsia="Times New Roman" w:hAnsi="Arial" w:cs="Arial"/>
          <w:sz w:val="22"/>
          <w:szCs w:val="22"/>
          <w:lang w:val="en-GB"/>
        </w:rPr>
      </w:pPr>
      <w:r w:rsidRPr="004F6670">
        <w:rPr>
          <w:rFonts w:ascii="Arial" w:eastAsia="Times New Roman" w:hAnsi="Arial" w:cs="Arial"/>
          <w:sz w:val="22"/>
          <w:szCs w:val="22"/>
          <w:lang w:val="en-GB"/>
        </w:rPr>
        <w:t xml:space="preserve">The </w:t>
      </w:r>
      <w:r w:rsidR="007725D5" w:rsidRPr="004F6670">
        <w:rPr>
          <w:rFonts w:ascii="Arial" w:eastAsia="Times New Roman" w:hAnsi="Arial" w:cs="Arial"/>
          <w:sz w:val="22"/>
          <w:szCs w:val="22"/>
          <w:lang w:val="en-GB"/>
        </w:rPr>
        <w:t>S</w:t>
      </w:r>
      <w:r w:rsidR="00AF3222">
        <w:rPr>
          <w:rFonts w:ascii="Arial" w:eastAsia="Times New Roman" w:hAnsi="Arial" w:cs="Arial"/>
          <w:sz w:val="22"/>
          <w:szCs w:val="22"/>
          <w:lang w:val="en-GB"/>
        </w:rPr>
        <w:t>RA’s</w:t>
      </w:r>
      <w:r w:rsidR="00B725E1">
        <w:rPr>
          <w:rFonts w:ascii="Arial" w:eastAsia="Times New Roman" w:hAnsi="Arial" w:cs="Arial"/>
          <w:sz w:val="22"/>
          <w:szCs w:val="22"/>
          <w:lang w:val="en-GB"/>
        </w:rPr>
        <w:t xml:space="preserve"> requirements </w:t>
      </w:r>
      <w:r w:rsidR="009558A3">
        <w:rPr>
          <w:rFonts w:ascii="Arial" w:eastAsia="Times New Roman" w:hAnsi="Arial" w:cs="Arial"/>
          <w:sz w:val="22"/>
          <w:szCs w:val="22"/>
          <w:lang w:val="en-GB"/>
        </w:rPr>
        <w:t xml:space="preserve">mean that the solicitor profession will remain essentially a graduate one, but neither academic law nor a </w:t>
      </w:r>
      <w:r w:rsidR="00AF3222">
        <w:rPr>
          <w:rFonts w:ascii="Arial" w:eastAsia="Times New Roman" w:hAnsi="Arial" w:cs="Arial"/>
          <w:sz w:val="22"/>
          <w:szCs w:val="22"/>
          <w:lang w:val="en-GB"/>
        </w:rPr>
        <w:t xml:space="preserve">single </w:t>
      </w:r>
      <w:r w:rsidR="00667BFE" w:rsidRPr="002727E6">
        <w:rPr>
          <w:rFonts w:ascii="Arial" w:eastAsia="Times New Roman" w:hAnsi="Arial" w:cs="Arial"/>
          <w:sz w:val="22"/>
          <w:szCs w:val="22"/>
          <w:lang w:val="en-GB"/>
        </w:rPr>
        <w:t>sequential path</w:t>
      </w:r>
      <w:r w:rsidR="009558A3">
        <w:rPr>
          <w:rFonts w:ascii="Arial" w:eastAsia="Times New Roman" w:hAnsi="Arial" w:cs="Arial"/>
          <w:sz w:val="22"/>
          <w:szCs w:val="22"/>
          <w:lang w:val="en-GB"/>
        </w:rPr>
        <w:t xml:space="preserve"> is mandated</w:t>
      </w:r>
      <w:r w:rsidR="00111180">
        <w:rPr>
          <w:rFonts w:ascii="Arial" w:eastAsia="Times New Roman" w:hAnsi="Arial" w:cs="Arial"/>
          <w:sz w:val="22"/>
          <w:szCs w:val="22"/>
          <w:lang w:val="en-GB"/>
        </w:rPr>
        <w:t xml:space="preserve">. </w:t>
      </w:r>
      <w:r w:rsidR="00D517DB">
        <w:rPr>
          <w:rFonts w:ascii="Arial" w:eastAsia="Times New Roman" w:hAnsi="Arial" w:cs="Arial"/>
          <w:sz w:val="22"/>
          <w:szCs w:val="22"/>
          <w:lang w:val="en-GB"/>
        </w:rPr>
        <w:t>Instead an</w:t>
      </w:r>
      <w:r w:rsidR="00AF3222">
        <w:rPr>
          <w:rFonts w:ascii="Arial" w:eastAsia="Times New Roman" w:hAnsi="Arial" w:cs="Arial"/>
          <w:sz w:val="22"/>
          <w:szCs w:val="22"/>
          <w:lang w:val="en-GB"/>
        </w:rPr>
        <w:t xml:space="preserve"> applicant </w:t>
      </w:r>
      <w:r w:rsidR="00D517DB">
        <w:rPr>
          <w:rFonts w:ascii="Arial" w:eastAsia="Times New Roman" w:hAnsi="Arial" w:cs="Arial"/>
          <w:sz w:val="22"/>
          <w:szCs w:val="22"/>
          <w:lang w:val="en-GB"/>
        </w:rPr>
        <w:t xml:space="preserve">will </w:t>
      </w:r>
      <w:r w:rsidR="00EF255E">
        <w:rPr>
          <w:rFonts w:ascii="Arial" w:eastAsia="Times New Roman" w:hAnsi="Arial" w:cs="Arial"/>
          <w:sz w:val="22"/>
          <w:szCs w:val="22"/>
          <w:lang w:val="en-GB"/>
        </w:rPr>
        <w:t xml:space="preserve">choose </w:t>
      </w:r>
      <w:r w:rsidR="006544CB">
        <w:rPr>
          <w:rFonts w:ascii="Arial" w:eastAsia="Times New Roman" w:hAnsi="Arial" w:cs="Arial"/>
          <w:sz w:val="22"/>
          <w:szCs w:val="22"/>
          <w:lang w:val="en-GB"/>
        </w:rPr>
        <w:t xml:space="preserve">the order in </w:t>
      </w:r>
      <w:r w:rsidR="00EF255E">
        <w:rPr>
          <w:rFonts w:ascii="Arial" w:eastAsia="Times New Roman" w:hAnsi="Arial" w:cs="Arial"/>
          <w:sz w:val="22"/>
          <w:szCs w:val="22"/>
          <w:lang w:val="en-GB"/>
        </w:rPr>
        <w:t xml:space="preserve">which </w:t>
      </w:r>
      <w:r w:rsidR="006544CB">
        <w:rPr>
          <w:rFonts w:ascii="Arial" w:eastAsia="Times New Roman" w:hAnsi="Arial" w:cs="Arial"/>
          <w:sz w:val="22"/>
          <w:szCs w:val="22"/>
          <w:lang w:val="en-GB"/>
        </w:rPr>
        <w:t>to take the components</w:t>
      </w:r>
      <w:r w:rsidR="007725D5" w:rsidRPr="004F6670">
        <w:rPr>
          <w:rFonts w:ascii="Arial" w:eastAsia="Times New Roman" w:hAnsi="Arial" w:cs="Arial"/>
          <w:sz w:val="22"/>
          <w:szCs w:val="22"/>
          <w:lang w:val="en-GB"/>
        </w:rPr>
        <w:t>. Though there</w:t>
      </w:r>
      <w:r w:rsidR="0031048D">
        <w:rPr>
          <w:rFonts w:ascii="Arial" w:eastAsia="Times New Roman" w:hAnsi="Arial" w:cs="Arial"/>
          <w:sz w:val="22"/>
          <w:szCs w:val="22"/>
          <w:lang w:val="en-GB"/>
        </w:rPr>
        <w:t xml:space="preserve"> will be </w:t>
      </w:r>
      <w:r w:rsidR="00B93F50" w:rsidRPr="004F6670">
        <w:rPr>
          <w:rFonts w:ascii="Arial" w:eastAsia="Times New Roman" w:hAnsi="Arial" w:cs="Arial"/>
          <w:sz w:val="22"/>
          <w:szCs w:val="22"/>
          <w:lang w:val="en-GB"/>
        </w:rPr>
        <w:t>constraints: SQE P</w:t>
      </w:r>
      <w:r w:rsidR="007725D5" w:rsidRPr="004F6670">
        <w:rPr>
          <w:rFonts w:ascii="Arial" w:eastAsia="Times New Roman" w:hAnsi="Arial" w:cs="Arial"/>
          <w:sz w:val="22"/>
          <w:szCs w:val="22"/>
          <w:lang w:val="en-GB"/>
        </w:rPr>
        <w:t xml:space="preserve">art 1 must be passed before Part 2 </w:t>
      </w:r>
      <w:r w:rsidR="00EF255E">
        <w:rPr>
          <w:rFonts w:ascii="Arial" w:eastAsia="Times New Roman" w:hAnsi="Arial" w:cs="Arial"/>
          <w:sz w:val="22"/>
          <w:szCs w:val="22"/>
          <w:lang w:val="en-GB"/>
        </w:rPr>
        <w:t xml:space="preserve">assessments </w:t>
      </w:r>
      <w:r w:rsidR="007725D5" w:rsidRPr="004F6670">
        <w:rPr>
          <w:rFonts w:ascii="Arial" w:eastAsia="Times New Roman" w:hAnsi="Arial" w:cs="Arial"/>
          <w:sz w:val="22"/>
          <w:szCs w:val="22"/>
          <w:lang w:val="en-GB"/>
        </w:rPr>
        <w:t>can be ta</w:t>
      </w:r>
      <w:r w:rsidR="000870DC" w:rsidRPr="004F6670">
        <w:rPr>
          <w:rFonts w:ascii="Arial" w:eastAsia="Times New Roman" w:hAnsi="Arial" w:cs="Arial"/>
          <w:sz w:val="22"/>
          <w:szCs w:val="22"/>
          <w:lang w:val="en-GB"/>
        </w:rPr>
        <w:t>ke</w:t>
      </w:r>
      <w:r w:rsidR="00B93F50" w:rsidRPr="004F6670">
        <w:rPr>
          <w:rFonts w:ascii="Arial" w:eastAsia="Times New Roman" w:hAnsi="Arial" w:cs="Arial"/>
          <w:sz w:val="22"/>
          <w:szCs w:val="22"/>
          <w:lang w:val="en-GB"/>
        </w:rPr>
        <w:t xml:space="preserve">n, character and suitability will </w:t>
      </w:r>
      <w:r w:rsidR="00280DBC">
        <w:rPr>
          <w:rFonts w:ascii="Arial" w:eastAsia="Times New Roman" w:hAnsi="Arial" w:cs="Arial"/>
          <w:sz w:val="22"/>
          <w:szCs w:val="22"/>
          <w:lang w:val="en-GB"/>
        </w:rPr>
        <w:t xml:space="preserve">normally </w:t>
      </w:r>
      <w:r w:rsidR="000870DC" w:rsidRPr="004F6670">
        <w:rPr>
          <w:rFonts w:ascii="Arial" w:eastAsia="Times New Roman" w:hAnsi="Arial" w:cs="Arial"/>
          <w:sz w:val="22"/>
          <w:szCs w:val="22"/>
          <w:lang w:val="en-GB"/>
        </w:rPr>
        <w:t xml:space="preserve">be </w:t>
      </w:r>
      <w:r w:rsidR="007725D5" w:rsidRPr="004F6670">
        <w:rPr>
          <w:rFonts w:ascii="Arial" w:eastAsia="Times New Roman" w:hAnsi="Arial" w:cs="Arial"/>
          <w:sz w:val="22"/>
          <w:szCs w:val="22"/>
          <w:lang w:val="en-GB"/>
        </w:rPr>
        <w:t>signed off after completion of the</w:t>
      </w:r>
      <w:r w:rsidR="000870DC" w:rsidRPr="004F6670">
        <w:rPr>
          <w:rFonts w:ascii="Arial" w:eastAsia="Times New Roman" w:hAnsi="Arial" w:cs="Arial"/>
          <w:sz w:val="22"/>
          <w:szCs w:val="22"/>
          <w:lang w:val="en-GB"/>
        </w:rPr>
        <w:t xml:space="preserve"> other three components, and for</w:t>
      </w:r>
      <w:r w:rsidR="007725D5" w:rsidRPr="004F6670">
        <w:rPr>
          <w:rFonts w:ascii="Arial" w:eastAsia="Times New Roman" w:hAnsi="Arial" w:cs="Arial"/>
          <w:sz w:val="22"/>
          <w:szCs w:val="22"/>
          <w:lang w:val="en-GB"/>
        </w:rPr>
        <w:t xml:space="preserve"> NLG</w:t>
      </w:r>
      <w:r w:rsidR="00B93F50" w:rsidRPr="004F6670">
        <w:rPr>
          <w:rFonts w:ascii="Arial" w:eastAsia="Times New Roman" w:hAnsi="Arial" w:cs="Arial"/>
          <w:sz w:val="22"/>
          <w:szCs w:val="22"/>
          <w:lang w:val="en-GB"/>
        </w:rPr>
        <w:t>,</w:t>
      </w:r>
      <w:r w:rsidR="007725D5" w:rsidRPr="004F6670">
        <w:rPr>
          <w:rFonts w:ascii="Arial" w:eastAsia="Times New Roman" w:hAnsi="Arial" w:cs="Arial"/>
          <w:sz w:val="22"/>
          <w:szCs w:val="22"/>
          <w:lang w:val="en-GB"/>
        </w:rPr>
        <w:t xml:space="preserve"> the degree will </w:t>
      </w:r>
      <w:r w:rsidR="00570F37">
        <w:rPr>
          <w:rFonts w:ascii="Arial" w:eastAsia="Times New Roman" w:hAnsi="Arial" w:cs="Arial"/>
          <w:sz w:val="22"/>
          <w:szCs w:val="22"/>
          <w:lang w:val="en-GB"/>
        </w:rPr>
        <w:t xml:space="preserve">by definition </w:t>
      </w:r>
      <w:r w:rsidR="007725D5" w:rsidRPr="004F6670">
        <w:rPr>
          <w:rFonts w:ascii="Arial" w:eastAsia="Times New Roman" w:hAnsi="Arial" w:cs="Arial"/>
          <w:sz w:val="22"/>
          <w:szCs w:val="22"/>
          <w:lang w:val="en-GB"/>
        </w:rPr>
        <w:t xml:space="preserve">precede </w:t>
      </w:r>
      <w:r w:rsidR="005D69E5">
        <w:rPr>
          <w:rFonts w:ascii="Arial" w:eastAsia="Times New Roman" w:hAnsi="Arial" w:cs="Arial"/>
          <w:sz w:val="22"/>
          <w:szCs w:val="22"/>
          <w:lang w:val="en-GB"/>
        </w:rPr>
        <w:t xml:space="preserve">the </w:t>
      </w:r>
      <w:r w:rsidR="007725D5" w:rsidRPr="004F6670">
        <w:rPr>
          <w:rFonts w:ascii="Arial" w:eastAsia="Times New Roman" w:hAnsi="Arial" w:cs="Arial"/>
          <w:sz w:val="22"/>
          <w:szCs w:val="22"/>
          <w:lang w:val="en-GB"/>
        </w:rPr>
        <w:t>SQE.</w:t>
      </w:r>
      <w:r w:rsidR="001E2CBB" w:rsidRPr="004F6670">
        <w:rPr>
          <w:rFonts w:ascii="Arial" w:eastAsia="Times New Roman" w:hAnsi="Arial" w:cs="Arial"/>
          <w:sz w:val="22"/>
          <w:szCs w:val="22"/>
          <w:lang w:val="en-GB"/>
        </w:rPr>
        <w:t xml:space="preserve"> </w:t>
      </w:r>
    </w:p>
    <w:p w14:paraId="498F268E" w14:textId="77777777" w:rsidR="000941DE" w:rsidRDefault="000941DE">
      <w:pPr>
        <w:rPr>
          <w:rFonts w:ascii="Arial" w:hAnsi="Arial" w:cs="Arial"/>
          <w:sz w:val="22"/>
          <w:szCs w:val="22"/>
        </w:rPr>
      </w:pPr>
    </w:p>
    <w:p w14:paraId="13C6E623" w14:textId="0A6E1178" w:rsidR="004D7355" w:rsidRDefault="007D75C4" w:rsidP="00C92155">
      <w:pPr>
        <w:rPr>
          <w:rFonts w:ascii="Arial" w:eastAsia="Times New Roman" w:hAnsi="Arial" w:cs="Arial"/>
          <w:sz w:val="22"/>
          <w:szCs w:val="22"/>
          <w:lang w:val="en-GB"/>
        </w:rPr>
      </w:pPr>
      <w:r w:rsidRPr="004F6670">
        <w:rPr>
          <w:rFonts w:ascii="Arial" w:hAnsi="Arial" w:cs="Arial"/>
          <w:sz w:val="22"/>
          <w:szCs w:val="22"/>
        </w:rPr>
        <w:t xml:space="preserve">The </w:t>
      </w:r>
      <w:r w:rsidR="00493CE9">
        <w:rPr>
          <w:rFonts w:ascii="Arial" w:hAnsi="Arial" w:cs="Arial"/>
          <w:sz w:val="22"/>
          <w:szCs w:val="22"/>
        </w:rPr>
        <w:t>BSB reform</w:t>
      </w:r>
      <w:r w:rsidR="00A84DE4">
        <w:rPr>
          <w:rFonts w:ascii="Arial" w:hAnsi="Arial" w:cs="Arial"/>
          <w:sz w:val="22"/>
          <w:szCs w:val="22"/>
        </w:rPr>
        <w:t>s</w:t>
      </w:r>
      <w:r w:rsidR="009D7078">
        <w:rPr>
          <w:rFonts w:ascii="Arial" w:hAnsi="Arial" w:cs="Arial"/>
          <w:sz w:val="22"/>
          <w:szCs w:val="22"/>
        </w:rPr>
        <w:t xml:space="preserve"> do </w:t>
      </w:r>
      <w:r w:rsidR="005769D5" w:rsidRPr="004F6670">
        <w:rPr>
          <w:rFonts w:ascii="Arial" w:hAnsi="Arial" w:cs="Arial"/>
          <w:sz w:val="22"/>
          <w:szCs w:val="22"/>
        </w:rPr>
        <w:t xml:space="preserve">not </w:t>
      </w:r>
      <w:r w:rsidR="005F3DDF">
        <w:rPr>
          <w:rFonts w:ascii="Arial" w:hAnsi="Arial" w:cs="Arial"/>
          <w:sz w:val="22"/>
          <w:szCs w:val="22"/>
        </w:rPr>
        <w:t>break</w:t>
      </w:r>
      <w:r w:rsidR="00CF64C0" w:rsidRPr="004F6670">
        <w:rPr>
          <w:rFonts w:ascii="Arial" w:hAnsi="Arial" w:cs="Arial"/>
          <w:sz w:val="22"/>
          <w:szCs w:val="22"/>
        </w:rPr>
        <w:t xml:space="preserve"> </w:t>
      </w:r>
      <w:r w:rsidR="00A06096">
        <w:rPr>
          <w:rFonts w:ascii="Arial" w:hAnsi="Arial" w:cs="Arial"/>
          <w:sz w:val="22"/>
          <w:szCs w:val="22"/>
        </w:rPr>
        <w:t>from the</w:t>
      </w:r>
      <w:r w:rsidR="009D7078">
        <w:rPr>
          <w:rFonts w:ascii="Arial" w:hAnsi="Arial" w:cs="Arial"/>
          <w:sz w:val="22"/>
          <w:szCs w:val="22"/>
        </w:rPr>
        <w:t xml:space="preserve"> current model</w:t>
      </w:r>
      <w:r w:rsidR="0085650C" w:rsidRPr="004F6670">
        <w:rPr>
          <w:rFonts w:ascii="Arial" w:hAnsi="Arial" w:cs="Arial"/>
          <w:sz w:val="22"/>
          <w:szCs w:val="22"/>
        </w:rPr>
        <w:t xml:space="preserve"> </w:t>
      </w:r>
      <w:r w:rsidR="00A84DE4">
        <w:rPr>
          <w:rFonts w:ascii="Arial" w:hAnsi="Arial" w:cs="Arial"/>
          <w:sz w:val="22"/>
          <w:szCs w:val="22"/>
        </w:rPr>
        <w:t xml:space="preserve">as they </w:t>
      </w:r>
      <w:r w:rsidR="0085650C" w:rsidRPr="004F6670">
        <w:rPr>
          <w:rFonts w:ascii="Arial" w:hAnsi="Arial" w:cs="Arial"/>
          <w:sz w:val="22"/>
          <w:szCs w:val="22"/>
        </w:rPr>
        <w:t>keep</w:t>
      </w:r>
      <w:r w:rsidR="00CF64C0" w:rsidRPr="004F6670">
        <w:rPr>
          <w:rFonts w:ascii="Arial" w:hAnsi="Arial" w:cs="Arial"/>
          <w:sz w:val="22"/>
          <w:szCs w:val="22"/>
        </w:rPr>
        <w:t xml:space="preserve"> </w:t>
      </w:r>
      <w:r w:rsidR="00BF2E60" w:rsidRPr="004F6670">
        <w:rPr>
          <w:rFonts w:ascii="Arial" w:hAnsi="Arial" w:cs="Arial"/>
          <w:sz w:val="22"/>
          <w:szCs w:val="22"/>
        </w:rPr>
        <w:t>three</w:t>
      </w:r>
      <w:r w:rsidR="00C828C3" w:rsidRPr="004F6670">
        <w:rPr>
          <w:rFonts w:ascii="Arial" w:hAnsi="Arial" w:cs="Arial"/>
          <w:sz w:val="22"/>
          <w:szCs w:val="22"/>
        </w:rPr>
        <w:t xml:space="preserve"> </w:t>
      </w:r>
      <w:r w:rsidR="0044630B">
        <w:rPr>
          <w:rFonts w:ascii="Arial" w:hAnsi="Arial" w:cs="Arial"/>
          <w:sz w:val="22"/>
          <w:szCs w:val="22"/>
        </w:rPr>
        <w:t>recognisable</w:t>
      </w:r>
      <w:r w:rsidR="0044630B" w:rsidRPr="004F6670">
        <w:rPr>
          <w:rFonts w:ascii="Arial" w:hAnsi="Arial" w:cs="Arial"/>
          <w:sz w:val="22"/>
          <w:szCs w:val="22"/>
        </w:rPr>
        <w:t xml:space="preserve"> </w:t>
      </w:r>
      <w:r w:rsidR="00A06096">
        <w:rPr>
          <w:rFonts w:ascii="Arial" w:hAnsi="Arial" w:cs="Arial"/>
          <w:sz w:val="22"/>
          <w:szCs w:val="22"/>
        </w:rPr>
        <w:t xml:space="preserve">and distinct </w:t>
      </w:r>
      <w:r w:rsidR="00BF2E60" w:rsidRPr="004F6670">
        <w:rPr>
          <w:rFonts w:ascii="Arial" w:hAnsi="Arial" w:cs="Arial"/>
          <w:sz w:val="22"/>
          <w:szCs w:val="22"/>
        </w:rPr>
        <w:t>‘components’ of qualification</w:t>
      </w:r>
      <w:r w:rsidR="00CF64C0" w:rsidRPr="004F6670">
        <w:rPr>
          <w:rFonts w:ascii="Arial" w:hAnsi="Arial" w:cs="Arial"/>
          <w:sz w:val="22"/>
          <w:szCs w:val="22"/>
        </w:rPr>
        <w:t>:</w:t>
      </w:r>
      <w:r w:rsidR="003462B4" w:rsidRPr="004F6670">
        <w:rPr>
          <w:rFonts w:ascii="Arial" w:hAnsi="Arial" w:cs="Arial"/>
          <w:sz w:val="22"/>
          <w:szCs w:val="22"/>
        </w:rPr>
        <w:t xml:space="preserve"> </w:t>
      </w:r>
      <w:r w:rsidR="00BF2E60" w:rsidRPr="004F6670">
        <w:rPr>
          <w:rFonts w:ascii="Arial" w:eastAsia="Times New Roman" w:hAnsi="Arial" w:cs="Arial"/>
          <w:sz w:val="22"/>
          <w:szCs w:val="22"/>
          <w:lang w:val="en-GB"/>
        </w:rPr>
        <w:t xml:space="preserve">academic, vocational and work-based </w:t>
      </w:r>
      <w:r w:rsidR="003462B4" w:rsidRPr="004F6670">
        <w:rPr>
          <w:rFonts w:ascii="Arial" w:eastAsia="Times New Roman" w:hAnsi="Arial" w:cs="Arial"/>
          <w:sz w:val="22"/>
          <w:szCs w:val="22"/>
          <w:lang w:val="en-GB"/>
        </w:rPr>
        <w:t xml:space="preserve">learning </w:t>
      </w:r>
      <w:r w:rsidR="003462B4" w:rsidRPr="004F6670">
        <w:rPr>
          <w:rStyle w:val="FootnoteReference"/>
          <w:rFonts w:ascii="Arial" w:eastAsia="Times New Roman" w:hAnsi="Arial" w:cs="Arial"/>
          <w:sz w:val="22"/>
          <w:szCs w:val="22"/>
          <w:lang w:val="en-GB"/>
        </w:rPr>
        <w:footnoteReference w:id="59"/>
      </w:r>
      <w:r w:rsidR="003462B4" w:rsidRPr="004F6670">
        <w:rPr>
          <w:rFonts w:ascii="Arial" w:eastAsia="Times New Roman" w:hAnsi="Arial" w:cs="Arial"/>
          <w:sz w:val="22"/>
          <w:szCs w:val="22"/>
          <w:lang w:val="en-GB"/>
        </w:rPr>
        <w:t xml:space="preserve"> </w:t>
      </w:r>
      <w:r w:rsidR="009D7078">
        <w:rPr>
          <w:rFonts w:ascii="Arial" w:eastAsia="Times New Roman" w:hAnsi="Arial" w:cs="Arial"/>
          <w:sz w:val="22"/>
          <w:szCs w:val="22"/>
          <w:lang w:val="en-GB"/>
        </w:rPr>
        <w:t>For the</w:t>
      </w:r>
      <w:r w:rsidR="00316B7A">
        <w:rPr>
          <w:rFonts w:ascii="Arial" w:eastAsia="Times New Roman" w:hAnsi="Arial" w:cs="Arial"/>
          <w:sz w:val="22"/>
          <w:szCs w:val="22"/>
          <w:lang w:val="en-GB"/>
        </w:rPr>
        <w:t xml:space="preserve"> NLG heading for the Bar there will </w:t>
      </w:r>
      <w:r w:rsidR="009217C2">
        <w:rPr>
          <w:rFonts w:ascii="Arial" w:eastAsia="Times New Roman" w:hAnsi="Arial" w:cs="Arial"/>
          <w:sz w:val="22"/>
          <w:szCs w:val="22"/>
          <w:lang w:val="en-GB"/>
        </w:rPr>
        <w:t xml:space="preserve">be no </w:t>
      </w:r>
      <w:r w:rsidR="006C679B">
        <w:rPr>
          <w:rFonts w:ascii="Arial" w:eastAsia="Times New Roman" w:hAnsi="Arial" w:cs="Arial"/>
          <w:sz w:val="22"/>
          <w:szCs w:val="22"/>
          <w:lang w:val="en-GB"/>
        </w:rPr>
        <w:t xml:space="preserve">necessity for </w:t>
      </w:r>
      <w:r w:rsidR="009217C2">
        <w:rPr>
          <w:rFonts w:ascii="Arial" w:eastAsia="Times New Roman" w:hAnsi="Arial" w:cs="Arial"/>
          <w:sz w:val="22"/>
          <w:szCs w:val="22"/>
          <w:lang w:val="en-GB"/>
        </w:rPr>
        <w:t>major changes to the pathway to qualification</w:t>
      </w:r>
      <w:r w:rsidR="009D7078">
        <w:rPr>
          <w:rFonts w:ascii="Arial" w:eastAsia="Times New Roman" w:hAnsi="Arial" w:cs="Arial"/>
          <w:sz w:val="22"/>
          <w:szCs w:val="22"/>
          <w:lang w:val="en-GB"/>
        </w:rPr>
        <w:t xml:space="preserve">. </w:t>
      </w:r>
      <w:r w:rsidR="009217C2">
        <w:rPr>
          <w:rFonts w:ascii="Arial" w:eastAsia="Times New Roman" w:hAnsi="Arial" w:cs="Arial"/>
          <w:sz w:val="22"/>
          <w:szCs w:val="22"/>
          <w:lang w:val="en-GB"/>
        </w:rPr>
        <w:t xml:space="preserve">NLG </w:t>
      </w:r>
      <w:r w:rsidR="009217C2">
        <w:rPr>
          <w:rFonts w:ascii="Arial" w:hAnsi="Arial" w:cs="Arial"/>
          <w:sz w:val="22"/>
          <w:szCs w:val="22"/>
        </w:rPr>
        <w:t xml:space="preserve">proceeding with either of </w:t>
      </w:r>
      <w:r w:rsidR="009217C2" w:rsidRPr="004F6670">
        <w:rPr>
          <w:rFonts w:ascii="Arial" w:hAnsi="Arial" w:cs="Arial"/>
          <w:sz w:val="22"/>
          <w:szCs w:val="22"/>
        </w:rPr>
        <w:t>the first two pathways</w:t>
      </w:r>
      <w:r w:rsidR="009217C2">
        <w:rPr>
          <w:rFonts w:ascii="Arial" w:hAnsi="Arial" w:cs="Arial"/>
          <w:sz w:val="22"/>
          <w:szCs w:val="22"/>
        </w:rPr>
        <w:t xml:space="preserve"> wil</w:t>
      </w:r>
      <w:r w:rsidR="006C679B">
        <w:rPr>
          <w:rFonts w:ascii="Arial" w:hAnsi="Arial" w:cs="Arial"/>
          <w:sz w:val="22"/>
          <w:szCs w:val="22"/>
        </w:rPr>
        <w:t xml:space="preserve">l follow the current route; </w:t>
      </w:r>
      <w:r w:rsidR="009217C2">
        <w:rPr>
          <w:rFonts w:ascii="Arial" w:hAnsi="Arial" w:cs="Arial"/>
          <w:sz w:val="22"/>
          <w:szCs w:val="22"/>
        </w:rPr>
        <w:t xml:space="preserve">the third pathway – integrating the </w:t>
      </w:r>
      <w:r w:rsidR="006C679B">
        <w:rPr>
          <w:rFonts w:ascii="Arial" w:hAnsi="Arial" w:cs="Arial"/>
          <w:sz w:val="22"/>
          <w:szCs w:val="22"/>
        </w:rPr>
        <w:t>academic</w:t>
      </w:r>
      <w:r w:rsidR="009217C2">
        <w:rPr>
          <w:rFonts w:ascii="Arial" w:hAnsi="Arial" w:cs="Arial"/>
          <w:sz w:val="22"/>
          <w:szCs w:val="22"/>
        </w:rPr>
        <w:t xml:space="preserve"> and vocational stages </w:t>
      </w:r>
      <w:r w:rsidR="006C679B">
        <w:rPr>
          <w:rFonts w:ascii="Arial" w:hAnsi="Arial" w:cs="Arial"/>
          <w:sz w:val="22"/>
          <w:szCs w:val="22"/>
        </w:rPr>
        <w:t>is permitted and offered</w:t>
      </w:r>
      <w:r w:rsidR="009217C2">
        <w:rPr>
          <w:rFonts w:ascii="Arial" w:hAnsi="Arial" w:cs="Arial"/>
          <w:sz w:val="22"/>
          <w:szCs w:val="22"/>
        </w:rPr>
        <w:t xml:space="preserve"> under the current rules</w:t>
      </w:r>
      <w:r w:rsidR="006C679B">
        <w:rPr>
          <w:rFonts w:ascii="Arial" w:hAnsi="Arial" w:cs="Arial"/>
          <w:sz w:val="22"/>
          <w:szCs w:val="22"/>
        </w:rPr>
        <w:t xml:space="preserve">, but </w:t>
      </w:r>
      <w:r w:rsidR="006C679B">
        <w:rPr>
          <w:rFonts w:ascii="Arial" w:hAnsi="Arial" w:cs="Arial"/>
          <w:sz w:val="22"/>
          <w:szCs w:val="22"/>
        </w:rPr>
        <w:lastRenderedPageBreak/>
        <w:t xml:space="preserve">would </w:t>
      </w:r>
      <w:r w:rsidR="00184BAE">
        <w:rPr>
          <w:rFonts w:ascii="Arial" w:hAnsi="Arial" w:cs="Arial"/>
          <w:sz w:val="22"/>
          <w:szCs w:val="22"/>
        </w:rPr>
        <w:t xml:space="preserve">represent </w:t>
      </w:r>
      <w:r w:rsidR="006C679B">
        <w:rPr>
          <w:rFonts w:ascii="Arial" w:hAnsi="Arial" w:cs="Arial"/>
          <w:sz w:val="22"/>
          <w:szCs w:val="22"/>
        </w:rPr>
        <w:t>a reform if it extended to include NLG</w:t>
      </w:r>
      <w:r w:rsidR="009217C2">
        <w:rPr>
          <w:rFonts w:ascii="Arial" w:hAnsi="Arial" w:cs="Arial"/>
          <w:sz w:val="22"/>
          <w:szCs w:val="22"/>
        </w:rPr>
        <w:t xml:space="preserve">. </w:t>
      </w:r>
      <w:r w:rsidR="006C679B">
        <w:rPr>
          <w:rFonts w:ascii="Arial" w:eastAsia="Times New Roman" w:hAnsi="Arial" w:cs="Arial"/>
          <w:sz w:val="22"/>
          <w:szCs w:val="22"/>
          <w:lang w:val="en-GB"/>
        </w:rPr>
        <w:t xml:space="preserve">A </w:t>
      </w:r>
      <w:r w:rsidR="00A84DE4">
        <w:rPr>
          <w:rFonts w:ascii="Arial" w:eastAsia="Times New Roman" w:hAnsi="Arial" w:cs="Arial"/>
          <w:sz w:val="22"/>
          <w:szCs w:val="22"/>
          <w:lang w:val="en-GB"/>
        </w:rPr>
        <w:t>conversion course</w:t>
      </w:r>
      <w:r w:rsidR="009D7078">
        <w:rPr>
          <w:rFonts w:ascii="Arial" w:eastAsia="Times New Roman" w:hAnsi="Arial" w:cs="Arial"/>
          <w:sz w:val="22"/>
          <w:szCs w:val="22"/>
          <w:lang w:val="en-GB"/>
        </w:rPr>
        <w:t xml:space="preserve"> </w:t>
      </w:r>
      <w:r w:rsidR="001A3917">
        <w:rPr>
          <w:rFonts w:ascii="Arial" w:eastAsia="Times New Roman" w:hAnsi="Arial" w:cs="Arial"/>
          <w:sz w:val="22"/>
          <w:szCs w:val="22"/>
          <w:lang w:val="en-GB"/>
        </w:rPr>
        <w:t xml:space="preserve">of some sort </w:t>
      </w:r>
      <w:r w:rsidR="00316B7A">
        <w:rPr>
          <w:rFonts w:ascii="Arial" w:eastAsia="Times New Roman" w:hAnsi="Arial" w:cs="Arial"/>
          <w:sz w:val="22"/>
          <w:szCs w:val="22"/>
          <w:lang w:val="en-GB"/>
        </w:rPr>
        <w:t xml:space="preserve">covering the study of core law </w:t>
      </w:r>
      <w:r w:rsidR="006C679B">
        <w:rPr>
          <w:rFonts w:ascii="Arial" w:eastAsia="Times New Roman" w:hAnsi="Arial" w:cs="Arial"/>
          <w:sz w:val="22"/>
          <w:szCs w:val="22"/>
          <w:lang w:val="en-GB"/>
        </w:rPr>
        <w:t>is likely</w:t>
      </w:r>
      <w:r w:rsidR="009D7078">
        <w:rPr>
          <w:rFonts w:ascii="Arial" w:eastAsia="Times New Roman" w:hAnsi="Arial" w:cs="Arial"/>
          <w:sz w:val="22"/>
          <w:szCs w:val="22"/>
          <w:lang w:val="en-GB"/>
        </w:rPr>
        <w:t xml:space="preserve"> </w:t>
      </w:r>
      <w:r w:rsidR="006C679B">
        <w:rPr>
          <w:rFonts w:ascii="Arial" w:eastAsia="Times New Roman" w:hAnsi="Arial" w:cs="Arial"/>
          <w:sz w:val="22"/>
          <w:szCs w:val="22"/>
          <w:lang w:val="en-GB"/>
        </w:rPr>
        <w:t>to</w:t>
      </w:r>
      <w:r w:rsidR="009217C2">
        <w:rPr>
          <w:rFonts w:ascii="Arial" w:eastAsia="Times New Roman" w:hAnsi="Arial" w:cs="Arial"/>
          <w:sz w:val="22"/>
          <w:szCs w:val="22"/>
          <w:lang w:val="en-GB"/>
        </w:rPr>
        <w:t xml:space="preserve"> </w:t>
      </w:r>
      <w:r w:rsidR="009D7078">
        <w:rPr>
          <w:rFonts w:ascii="Arial" w:eastAsia="Times New Roman" w:hAnsi="Arial" w:cs="Arial"/>
          <w:sz w:val="22"/>
          <w:szCs w:val="22"/>
          <w:lang w:val="en-GB"/>
        </w:rPr>
        <w:t xml:space="preserve">continue as </w:t>
      </w:r>
      <w:r w:rsidR="00A84DE4">
        <w:rPr>
          <w:rFonts w:ascii="Arial" w:eastAsia="Times New Roman" w:hAnsi="Arial" w:cs="Arial"/>
          <w:sz w:val="22"/>
          <w:szCs w:val="22"/>
          <w:lang w:val="en-GB"/>
        </w:rPr>
        <w:t xml:space="preserve">the </w:t>
      </w:r>
      <w:r w:rsidR="009D7078">
        <w:rPr>
          <w:rFonts w:ascii="Arial" w:eastAsia="Times New Roman" w:hAnsi="Arial" w:cs="Arial"/>
          <w:sz w:val="22"/>
          <w:szCs w:val="22"/>
          <w:lang w:val="en-GB"/>
        </w:rPr>
        <w:t>start point</w:t>
      </w:r>
      <w:r w:rsidR="00A84DE4">
        <w:rPr>
          <w:rFonts w:ascii="Arial" w:eastAsia="Times New Roman" w:hAnsi="Arial" w:cs="Arial"/>
          <w:sz w:val="22"/>
          <w:szCs w:val="22"/>
          <w:lang w:val="en-GB"/>
        </w:rPr>
        <w:t xml:space="preserve">. </w:t>
      </w:r>
      <w:r w:rsidR="009217C2">
        <w:rPr>
          <w:rFonts w:ascii="Arial" w:eastAsia="Times New Roman" w:hAnsi="Arial" w:cs="Arial"/>
          <w:sz w:val="22"/>
          <w:szCs w:val="22"/>
          <w:lang w:val="en-GB"/>
        </w:rPr>
        <w:t>What</w:t>
      </w:r>
      <w:r w:rsidR="00316B7A">
        <w:rPr>
          <w:rFonts w:ascii="Arial" w:eastAsia="Times New Roman" w:hAnsi="Arial" w:cs="Arial"/>
          <w:sz w:val="22"/>
          <w:szCs w:val="22"/>
          <w:lang w:val="en-GB"/>
        </w:rPr>
        <w:t xml:space="preserve"> </w:t>
      </w:r>
      <w:r w:rsidR="006C679B">
        <w:rPr>
          <w:rFonts w:ascii="Arial" w:eastAsia="Times New Roman" w:hAnsi="Arial" w:cs="Arial"/>
          <w:sz w:val="22"/>
          <w:szCs w:val="22"/>
          <w:lang w:val="en-GB"/>
        </w:rPr>
        <w:t>might change</w:t>
      </w:r>
      <w:r w:rsidR="009217C2">
        <w:rPr>
          <w:rFonts w:ascii="Arial" w:eastAsia="Times New Roman" w:hAnsi="Arial" w:cs="Arial"/>
          <w:sz w:val="22"/>
          <w:szCs w:val="22"/>
          <w:lang w:val="en-GB"/>
        </w:rPr>
        <w:t xml:space="preserve">, given </w:t>
      </w:r>
      <w:r w:rsidR="006C679B">
        <w:rPr>
          <w:rFonts w:ascii="Arial" w:eastAsia="Times New Roman" w:hAnsi="Arial" w:cs="Arial"/>
          <w:sz w:val="22"/>
          <w:szCs w:val="22"/>
          <w:lang w:val="en-GB"/>
        </w:rPr>
        <w:t>the space for</w:t>
      </w:r>
      <w:r w:rsidR="009D7078">
        <w:rPr>
          <w:rFonts w:ascii="Arial" w:eastAsia="Times New Roman" w:hAnsi="Arial" w:cs="Arial"/>
          <w:sz w:val="22"/>
          <w:szCs w:val="22"/>
          <w:lang w:val="en-GB"/>
        </w:rPr>
        <w:t xml:space="preserve"> flexibility in delivery and assessment</w:t>
      </w:r>
      <w:r w:rsidR="009217C2">
        <w:rPr>
          <w:rFonts w:ascii="Arial" w:eastAsia="Times New Roman" w:hAnsi="Arial" w:cs="Arial"/>
          <w:sz w:val="22"/>
          <w:szCs w:val="22"/>
          <w:lang w:val="en-GB"/>
        </w:rPr>
        <w:t>, is the length</w:t>
      </w:r>
      <w:r w:rsidR="006C679B">
        <w:rPr>
          <w:rFonts w:ascii="Arial" w:eastAsia="Times New Roman" w:hAnsi="Arial" w:cs="Arial"/>
          <w:sz w:val="22"/>
          <w:szCs w:val="22"/>
          <w:lang w:val="en-GB"/>
        </w:rPr>
        <w:t>, with a shortening</w:t>
      </w:r>
      <w:r w:rsidR="009217C2">
        <w:rPr>
          <w:rFonts w:ascii="Arial" w:eastAsia="Times New Roman" w:hAnsi="Arial" w:cs="Arial"/>
          <w:sz w:val="22"/>
          <w:szCs w:val="22"/>
          <w:lang w:val="en-GB"/>
        </w:rPr>
        <w:t xml:space="preserve"> of </w:t>
      </w:r>
      <w:r w:rsidR="00B951A5">
        <w:rPr>
          <w:rFonts w:ascii="Arial" w:eastAsia="Times New Roman" w:hAnsi="Arial" w:cs="Arial"/>
          <w:sz w:val="22"/>
          <w:szCs w:val="22"/>
          <w:lang w:val="en-GB"/>
        </w:rPr>
        <w:t>courses</w:t>
      </w:r>
      <w:r w:rsidR="00316B7A">
        <w:rPr>
          <w:rFonts w:ascii="Arial" w:eastAsia="Times New Roman" w:hAnsi="Arial" w:cs="Arial"/>
          <w:sz w:val="22"/>
          <w:szCs w:val="22"/>
          <w:lang w:val="en-GB"/>
        </w:rPr>
        <w:t>.</w:t>
      </w:r>
      <w:r w:rsidR="009D7078">
        <w:rPr>
          <w:rStyle w:val="FootnoteReference"/>
          <w:rFonts w:ascii="Arial" w:eastAsia="Times New Roman" w:hAnsi="Arial" w:cs="Arial"/>
          <w:sz w:val="22"/>
          <w:szCs w:val="22"/>
          <w:lang w:val="en-GB"/>
        </w:rPr>
        <w:footnoteReference w:id="60"/>
      </w:r>
      <w:r w:rsidR="00316B7A">
        <w:rPr>
          <w:rFonts w:ascii="Arial" w:eastAsia="Times New Roman" w:hAnsi="Arial" w:cs="Arial"/>
          <w:sz w:val="22"/>
          <w:szCs w:val="22"/>
          <w:lang w:val="en-GB"/>
        </w:rPr>
        <w:t xml:space="preserve"> </w:t>
      </w:r>
    </w:p>
    <w:p w14:paraId="50778A4E" w14:textId="77777777" w:rsidR="00C82401" w:rsidRPr="004F6670" w:rsidRDefault="00C82401" w:rsidP="00C92155">
      <w:pPr>
        <w:rPr>
          <w:rFonts w:ascii="Arial" w:eastAsia="Times New Roman" w:hAnsi="Arial" w:cs="Arial"/>
          <w:sz w:val="22"/>
          <w:szCs w:val="22"/>
          <w:lang w:val="en-GB"/>
        </w:rPr>
      </w:pPr>
    </w:p>
    <w:p w14:paraId="1501B804" w14:textId="502A9F32" w:rsidR="00992C80" w:rsidRDefault="00B951A5">
      <w:pPr>
        <w:rPr>
          <w:rFonts w:ascii="Arial" w:hAnsi="Arial" w:cs="Arial"/>
          <w:sz w:val="22"/>
          <w:szCs w:val="22"/>
        </w:rPr>
      </w:pPr>
      <w:r>
        <w:rPr>
          <w:rFonts w:ascii="Arial" w:hAnsi="Arial" w:cs="Arial"/>
          <w:sz w:val="22"/>
          <w:szCs w:val="22"/>
        </w:rPr>
        <w:t>On the other hand, the</w:t>
      </w:r>
      <w:r w:rsidRPr="004F6670">
        <w:rPr>
          <w:rFonts w:ascii="Arial" w:hAnsi="Arial" w:cs="Arial"/>
          <w:sz w:val="22"/>
          <w:szCs w:val="22"/>
        </w:rPr>
        <w:t xml:space="preserve"> SRA changes </w:t>
      </w:r>
      <w:r>
        <w:rPr>
          <w:rFonts w:ascii="Arial" w:hAnsi="Arial" w:cs="Arial"/>
          <w:sz w:val="22"/>
          <w:szCs w:val="22"/>
        </w:rPr>
        <w:t>are a renunciation of faith in university law schools, at least on the current model</w:t>
      </w:r>
      <w:r w:rsidRPr="004F6670">
        <w:rPr>
          <w:rFonts w:ascii="Arial" w:hAnsi="Arial" w:cs="Arial"/>
          <w:sz w:val="22"/>
          <w:szCs w:val="22"/>
        </w:rPr>
        <w:t xml:space="preserve">. </w:t>
      </w:r>
      <w:r>
        <w:rPr>
          <w:rFonts w:ascii="Arial" w:hAnsi="Arial" w:cs="Arial"/>
          <w:sz w:val="22"/>
          <w:szCs w:val="22"/>
        </w:rPr>
        <w:t xml:space="preserve">(Not surprisingly </w:t>
      </w:r>
      <w:r w:rsidR="00F35E28" w:rsidRPr="000C3F86">
        <w:rPr>
          <w:rFonts w:ascii="Arial" w:hAnsi="Arial" w:cs="Arial"/>
          <w:sz w:val="22"/>
          <w:szCs w:val="22"/>
        </w:rPr>
        <w:t>law</w:t>
      </w:r>
      <w:r w:rsidR="00F35E28" w:rsidRPr="004F6670">
        <w:rPr>
          <w:rFonts w:ascii="Arial" w:hAnsi="Arial" w:cs="Arial"/>
          <w:sz w:val="22"/>
          <w:szCs w:val="22"/>
        </w:rPr>
        <w:t xml:space="preserve"> s</w:t>
      </w:r>
      <w:r w:rsidR="008A1097" w:rsidRPr="004F6670">
        <w:rPr>
          <w:rFonts w:ascii="Arial" w:hAnsi="Arial" w:cs="Arial"/>
          <w:sz w:val="22"/>
          <w:szCs w:val="22"/>
        </w:rPr>
        <w:t xml:space="preserve">chools </w:t>
      </w:r>
      <w:r w:rsidR="00540522">
        <w:rPr>
          <w:rFonts w:ascii="Arial" w:hAnsi="Arial" w:cs="Arial"/>
          <w:sz w:val="22"/>
          <w:szCs w:val="22"/>
        </w:rPr>
        <w:t>reject</w:t>
      </w:r>
      <w:r w:rsidR="002E0AF3">
        <w:rPr>
          <w:rFonts w:ascii="Arial" w:hAnsi="Arial" w:cs="Arial"/>
          <w:sz w:val="22"/>
          <w:szCs w:val="22"/>
        </w:rPr>
        <w:t>ed</w:t>
      </w:r>
      <w:r w:rsidR="00540522">
        <w:rPr>
          <w:rFonts w:ascii="Arial" w:hAnsi="Arial" w:cs="Arial"/>
          <w:sz w:val="22"/>
          <w:szCs w:val="22"/>
        </w:rPr>
        <w:t xml:space="preserve"> the SRA’s </w:t>
      </w:r>
      <w:r w:rsidR="001A3917">
        <w:rPr>
          <w:rFonts w:ascii="Arial" w:hAnsi="Arial" w:cs="Arial"/>
          <w:sz w:val="22"/>
          <w:szCs w:val="22"/>
        </w:rPr>
        <w:t xml:space="preserve">critique </w:t>
      </w:r>
      <w:r w:rsidR="00540522">
        <w:rPr>
          <w:rFonts w:ascii="Arial" w:hAnsi="Arial" w:cs="Arial"/>
          <w:sz w:val="22"/>
          <w:szCs w:val="22"/>
        </w:rPr>
        <w:t xml:space="preserve">of their courses and opposed the </w:t>
      </w:r>
      <w:r w:rsidR="008A1097" w:rsidRPr="004F6670">
        <w:rPr>
          <w:rFonts w:ascii="Arial" w:hAnsi="Arial" w:cs="Arial"/>
          <w:sz w:val="22"/>
          <w:szCs w:val="22"/>
        </w:rPr>
        <w:t>change</w:t>
      </w:r>
      <w:r w:rsidR="00540522">
        <w:rPr>
          <w:rFonts w:ascii="Arial" w:hAnsi="Arial" w:cs="Arial"/>
          <w:sz w:val="22"/>
          <w:szCs w:val="22"/>
        </w:rPr>
        <w:t>s</w:t>
      </w:r>
      <w:r w:rsidR="00FB1642">
        <w:rPr>
          <w:rFonts w:ascii="Arial" w:hAnsi="Arial" w:cs="Arial"/>
          <w:sz w:val="22"/>
          <w:szCs w:val="22"/>
        </w:rPr>
        <w:t>.</w:t>
      </w:r>
      <w:r w:rsidR="0054156F">
        <w:rPr>
          <w:rStyle w:val="FootnoteReference"/>
          <w:rFonts w:ascii="Arial" w:hAnsi="Arial" w:cs="Arial"/>
          <w:sz w:val="22"/>
          <w:szCs w:val="22"/>
        </w:rPr>
        <w:footnoteReference w:id="61"/>
      </w:r>
      <w:r>
        <w:rPr>
          <w:rFonts w:ascii="Arial" w:hAnsi="Arial" w:cs="Arial"/>
          <w:sz w:val="22"/>
          <w:szCs w:val="22"/>
        </w:rPr>
        <w:t>) Under the SRA</w:t>
      </w:r>
      <w:r w:rsidR="006C679B">
        <w:rPr>
          <w:rFonts w:ascii="Arial" w:hAnsi="Arial" w:cs="Arial"/>
          <w:sz w:val="22"/>
          <w:szCs w:val="22"/>
        </w:rPr>
        <w:t xml:space="preserve">’s new </w:t>
      </w:r>
      <w:r>
        <w:rPr>
          <w:rFonts w:ascii="Arial" w:hAnsi="Arial" w:cs="Arial"/>
          <w:sz w:val="22"/>
          <w:szCs w:val="22"/>
        </w:rPr>
        <w:t xml:space="preserve">regulations there </w:t>
      </w:r>
      <w:r w:rsidR="0054156F">
        <w:rPr>
          <w:rFonts w:ascii="Arial" w:hAnsi="Arial" w:cs="Arial"/>
          <w:sz w:val="22"/>
          <w:szCs w:val="22"/>
        </w:rPr>
        <w:t xml:space="preserve">will be </w:t>
      </w:r>
      <w:r w:rsidR="0044630B">
        <w:rPr>
          <w:rFonts w:ascii="Arial" w:hAnsi="Arial" w:cs="Arial"/>
          <w:sz w:val="22"/>
          <w:szCs w:val="22"/>
        </w:rPr>
        <w:t>n</w:t>
      </w:r>
      <w:r w:rsidR="00FB1642">
        <w:rPr>
          <w:rFonts w:ascii="Arial" w:hAnsi="Arial" w:cs="Arial"/>
          <w:sz w:val="22"/>
          <w:szCs w:val="22"/>
        </w:rPr>
        <w:t>o CPE/GDL</w:t>
      </w:r>
      <w:r w:rsidR="0054156F">
        <w:rPr>
          <w:rFonts w:ascii="Arial" w:hAnsi="Arial" w:cs="Arial"/>
          <w:sz w:val="22"/>
          <w:szCs w:val="22"/>
        </w:rPr>
        <w:t xml:space="preserve"> and LPC</w:t>
      </w:r>
      <w:r w:rsidR="00FB1642">
        <w:rPr>
          <w:rFonts w:ascii="Arial" w:hAnsi="Arial" w:cs="Arial"/>
          <w:sz w:val="22"/>
          <w:szCs w:val="22"/>
        </w:rPr>
        <w:t>, (</w:t>
      </w:r>
      <w:r w:rsidR="0054156F">
        <w:rPr>
          <w:rFonts w:ascii="Arial" w:hAnsi="Arial" w:cs="Arial"/>
          <w:sz w:val="22"/>
          <w:szCs w:val="22"/>
        </w:rPr>
        <w:t>nor, for law undergraduates, a QLD</w:t>
      </w:r>
      <w:r w:rsidR="00E371E5">
        <w:rPr>
          <w:rFonts w:ascii="Arial" w:hAnsi="Arial" w:cs="Arial"/>
          <w:sz w:val="22"/>
          <w:szCs w:val="22"/>
        </w:rPr>
        <w:t>).</w:t>
      </w:r>
      <w:r w:rsidR="000A66F5" w:rsidRPr="000A66F5">
        <w:rPr>
          <w:rStyle w:val="FootnoteReference"/>
          <w:rFonts w:ascii="Arial" w:hAnsi="Arial" w:cs="Arial"/>
          <w:sz w:val="22"/>
          <w:szCs w:val="22"/>
        </w:rPr>
        <w:t xml:space="preserve"> </w:t>
      </w:r>
      <w:r w:rsidR="0044630B">
        <w:rPr>
          <w:rFonts w:ascii="Arial" w:hAnsi="Arial" w:cs="Arial"/>
          <w:sz w:val="22"/>
          <w:szCs w:val="22"/>
        </w:rPr>
        <w:t>T</w:t>
      </w:r>
      <w:r w:rsidR="000A66F5">
        <w:rPr>
          <w:rFonts w:ascii="Arial" w:hAnsi="Arial" w:cs="Arial"/>
          <w:sz w:val="22"/>
          <w:szCs w:val="22"/>
        </w:rPr>
        <w:t>he</w:t>
      </w:r>
      <w:r w:rsidR="008239BE">
        <w:rPr>
          <w:rFonts w:ascii="Arial" w:hAnsi="Arial" w:cs="Arial"/>
          <w:sz w:val="22"/>
          <w:szCs w:val="22"/>
        </w:rPr>
        <w:t xml:space="preserve"> ch</w:t>
      </w:r>
      <w:r w:rsidR="00E371E5">
        <w:rPr>
          <w:rFonts w:ascii="Arial" w:hAnsi="Arial" w:cs="Arial"/>
          <w:sz w:val="22"/>
          <w:szCs w:val="22"/>
        </w:rPr>
        <w:t xml:space="preserve">anges are </w:t>
      </w:r>
      <w:r w:rsidR="00B24544">
        <w:rPr>
          <w:rFonts w:ascii="Arial" w:hAnsi="Arial" w:cs="Arial"/>
          <w:sz w:val="22"/>
          <w:szCs w:val="22"/>
        </w:rPr>
        <w:t xml:space="preserve">undoubtedly </w:t>
      </w:r>
      <w:r w:rsidR="00E371E5">
        <w:rPr>
          <w:rFonts w:ascii="Arial" w:hAnsi="Arial" w:cs="Arial"/>
          <w:sz w:val="22"/>
          <w:szCs w:val="22"/>
        </w:rPr>
        <w:t>a</w:t>
      </w:r>
      <w:r w:rsidR="0054156F">
        <w:rPr>
          <w:rFonts w:ascii="Arial" w:hAnsi="Arial" w:cs="Arial"/>
          <w:sz w:val="22"/>
          <w:szCs w:val="22"/>
        </w:rPr>
        <w:t xml:space="preserve"> </w:t>
      </w:r>
      <w:r w:rsidR="00E371E5">
        <w:rPr>
          <w:rFonts w:ascii="Arial" w:hAnsi="Arial" w:cs="Arial"/>
          <w:sz w:val="22"/>
          <w:szCs w:val="22"/>
        </w:rPr>
        <w:t>step into unchartered territory</w:t>
      </w:r>
      <w:r>
        <w:rPr>
          <w:rFonts w:ascii="Arial" w:hAnsi="Arial" w:cs="Arial"/>
          <w:sz w:val="22"/>
          <w:szCs w:val="22"/>
        </w:rPr>
        <w:t>. Unlike now, the</w:t>
      </w:r>
      <w:r w:rsidR="00E371E5">
        <w:rPr>
          <w:rFonts w:ascii="Arial" w:hAnsi="Arial" w:cs="Arial"/>
          <w:sz w:val="22"/>
          <w:szCs w:val="22"/>
        </w:rPr>
        <w:t xml:space="preserve"> </w:t>
      </w:r>
      <w:r>
        <w:rPr>
          <w:rFonts w:ascii="Arial" w:hAnsi="Arial" w:cs="Arial"/>
          <w:sz w:val="22"/>
          <w:szCs w:val="22"/>
        </w:rPr>
        <w:t>routes to qualification will not be mandated but de</w:t>
      </w:r>
      <w:r w:rsidR="002E0AF3">
        <w:rPr>
          <w:rFonts w:ascii="Arial" w:hAnsi="Arial" w:cs="Arial"/>
          <w:sz w:val="22"/>
          <w:szCs w:val="22"/>
        </w:rPr>
        <w:t>termined by the</w:t>
      </w:r>
      <w:r w:rsidR="001D260F">
        <w:rPr>
          <w:rFonts w:ascii="Arial" w:hAnsi="Arial" w:cs="Arial"/>
          <w:sz w:val="22"/>
          <w:szCs w:val="22"/>
        </w:rPr>
        <w:t xml:space="preserve"> </w:t>
      </w:r>
      <w:r w:rsidR="006C679B">
        <w:rPr>
          <w:rFonts w:ascii="Arial" w:hAnsi="Arial" w:cs="Arial"/>
          <w:sz w:val="22"/>
          <w:szCs w:val="22"/>
        </w:rPr>
        <w:t xml:space="preserve">market - choice/price/reputation/league </w:t>
      </w:r>
      <w:r>
        <w:rPr>
          <w:rFonts w:ascii="Arial" w:hAnsi="Arial" w:cs="Arial"/>
          <w:sz w:val="22"/>
          <w:szCs w:val="22"/>
        </w:rPr>
        <w:t>tables</w:t>
      </w:r>
      <w:r w:rsidR="002E0AF3">
        <w:rPr>
          <w:rFonts w:ascii="Arial" w:hAnsi="Arial" w:cs="Arial"/>
          <w:sz w:val="22"/>
          <w:szCs w:val="22"/>
        </w:rPr>
        <w:t xml:space="preserve">/data/marketing/risks. </w:t>
      </w:r>
    </w:p>
    <w:p w14:paraId="7DFD3795" w14:textId="77777777" w:rsidR="00992C80" w:rsidRDefault="00992C80" w:rsidP="00C92155">
      <w:pPr>
        <w:rPr>
          <w:rFonts w:ascii="Arial" w:hAnsi="Arial" w:cs="Arial"/>
          <w:sz w:val="22"/>
          <w:szCs w:val="22"/>
        </w:rPr>
      </w:pPr>
    </w:p>
    <w:p w14:paraId="764A4FED" w14:textId="77777777" w:rsidR="00EB6DAB" w:rsidRPr="004F6670" w:rsidRDefault="00EB6DAB" w:rsidP="00C92155">
      <w:pPr>
        <w:rPr>
          <w:rFonts w:ascii="Arial" w:hAnsi="Arial" w:cs="Arial"/>
          <w:sz w:val="22"/>
          <w:szCs w:val="22"/>
        </w:rPr>
      </w:pPr>
    </w:p>
    <w:p w14:paraId="1BE94098" w14:textId="77777777" w:rsidR="00C508E4" w:rsidRPr="004F6670" w:rsidRDefault="00C508E4" w:rsidP="00C92155">
      <w:pPr>
        <w:rPr>
          <w:rFonts w:ascii="Arial" w:hAnsi="Arial" w:cs="Arial"/>
          <w:sz w:val="22"/>
          <w:szCs w:val="22"/>
        </w:rPr>
      </w:pPr>
    </w:p>
    <w:p w14:paraId="5E5FC6AE" w14:textId="77777777" w:rsidR="005841FD" w:rsidRPr="00FF2C4A" w:rsidRDefault="005841FD" w:rsidP="005841FD">
      <w:pPr>
        <w:rPr>
          <w:rFonts w:ascii="Arial" w:hAnsi="Arial" w:cs="Arial"/>
          <w:b/>
          <w:sz w:val="22"/>
          <w:szCs w:val="22"/>
        </w:rPr>
      </w:pPr>
      <w:r w:rsidRPr="00FF2C4A">
        <w:rPr>
          <w:rFonts w:ascii="Arial" w:hAnsi="Arial" w:cs="Arial"/>
          <w:b/>
          <w:sz w:val="22"/>
          <w:szCs w:val="22"/>
        </w:rPr>
        <w:t xml:space="preserve">What can </w:t>
      </w:r>
      <w:r w:rsidR="00CF3DD9" w:rsidRPr="00FF2C4A">
        <w:rPr>
          <w:rFonts w:ascii="Arial" w:hAnsi="Arial" w:cs="Arial"/>
          <w:b/>
          <w:sz w:val="22"/>
          <w:szCs w:val="22"/>
        </w:rPr>
        <w:t>NLG</w:t>
      </w:r>
      <w:r w:rsidRPr="00FF2C4A">
        <w:rPr>
          <w:rFonts w:ascii="Arial" w:hAnsi="Arial" w:cs="Arial"/>
          <w:b/>
          <w:sz w:val="22"/>
          <w:szCs w:val="22"/>
        </w:rPr>
        <w:t xml:space="preserve"> expect?</w:t>
      </w:r>
    </w:p>
    <w:p w14:paraId="1B55FBA5" w14:textId="77777777" w:rsidR="005841FD" w:rsidRPr="004F6670" w:rsidRDefault="005841FD" w:rsidP="005841FD">
      <w:pPr>
        <w:rPr>
          <w:rFonts w:ascii="Arial" w:hAnsi="Arial" w:cs="Arial"/>
          <w:b/>
          <w:i/>
          <w:sz w:val="22"/>
          <w:szCs w:val="22"/>
        </w:rPr>
      </w:pPr>
    </w:p>
    <w:p w14:paraId="4CA3BB23" w14:textId="08A2D407" w:rsidR="000A72FF" w:rsidRDefault="00594339" w:rsidP="005841FD">
      <w:pPr>
        <w:rPr>
          <w:rFonts w:ascii="Arial" w:hAnsi="Arial" w:cs="Arial"/>
          <w:sz w:val="22"/>
          <w:szCs w:val="22"/>
        </w:rPr>
      </w:pPr>
      <w:r>
        <w:rPr>
          <w:rFonts w:ascii="Arial" w:hAnsi="Arial" w:cs="Arial"/>
          <w:sz w:val="22"/>
          <w:szCs w:val="22"/>
        </w:rPr>
        <w:t>The BSB’s approach to</w:t>
      </w:r>
      <w:r w:rsidR="001D260F">
        <w:rPr>
          <w:rFonts w:ascii="Arial" w:hAnsi="Arial" w:cs="Arial"/>
          <w:sz w:val="22"/>
          <w:szCs w:val="22"/>
        </w:rPr>
        <w:t xml:space="preserve"> de-regulation</w:t>
      </w:r>
      <w:r w:rsidR="00820DA5">
        <w:rPr>
          <w:rFonts w:ascii="Arial" w:hAnsi="Arial" w:cs="Arial"/>
          <w:sz w:val="22"/>
          <w:szCs w:val="22"/>
        </w:rPr>
        <w:t xml:space="preserve"> through </w:t>
      </w:r>
      <w:r w:rsidR="009558A3">
        <w:rPr>
          <w:rFonts w:ascii="Arial" w:hAnsi="Arial" w:cs="Arial"/>
          <w:sz w:val="22"/>
          <w:szCs w:val="22"/>
        </w:rPr>
        <w:t>its modifications</w:t>
      </w:r>
      <w:r w:rsidR="001D260F">
        <w:rPr>
          <w:rFonts w:ascii="Arial" w:hAnsi="Arial" w:cs="Arial"/>
          <w:sz w:val="22"/>
          <w:szCs w:val="22"/>
        </w:rPr>
        <w:t xml:space="preserve"> </w:t>
      </w:r>
      <w:r w:rsidR="00820DA5">
        <w:rPr>
          <w:rFonts w:ascii="Arial" w:hAnsi="Arial" w:cs="Arial"/>
          <w:sz w:val="22"/>
          <w:szCs w:val="22"/>
        </w:rPr>
        <w:t xml:space="preserve">to the current path </w:t>
      </w:r>
      <w:r w:rsidR="0054156F">
        <w:rPr>
          <w:rFonts w:ascii="Arial" w:hAnsi="Arial" w:cs="Arial"/>
          <w:sz w:val="22"/>
          <w:szCs w:val="22"/>
        </w:rPr>
        <w:t>have</w:t>
      </w:r>
      <w:r w:rsidR="001D260F">
        <w:rPr>
          <w:rFonts w:ascii="Arial" w:hAnsi="Arial" w:cs="Arial"/>
          <w:sz w:val="22"/>
          <w:szCs w:val="22"/>
        </w:rPr>
        <w:t xml:space="preserve"> </w:t>
      </w:r>
      <w:r w:rsidR="00E074EB">
        <w:rPr>
          <w:rFonts w:ascii="Arial" w:hAnsi="Arial" w:cs="Arial"/>
          <w:sz w:val="22"/>
          <w:szCs w:val="22"/>
        </w:rPr>
        <w:t xml:space="preserve">not generated </w:t>
      </w:r>
      <w:r w:rsidR="0003514A">
        <w:rPr>
          <w:rFonts w:ascii="Arial" w:hAnsi="Arial" w:cs="Arial"/>
          <w:sz w:val="22"/>
          <w:szCs w:val="22"/>
        </w:rPr>
        <w:t>in universities anywhere</w:t>
      </w:r>
      <w:r w:rsidR="005F3DDF">
        <w:rPr>
          <w:rFonts w:ascii="Arial" w:hAnsi="Arial" w:cs="Arial"/>
          <w:sz w:val="22"/>
          <w:szCs w:val="22"/>
        </w:rPr>
        <w:t xml:space="preserve"> near the levels</w:t>
      </w:r>
      <w:r w:rsidR="00E074EB">
        <w:rPr>
          <w:rFonts w:ascii="Arial" w:hAnsi="Arial" w:cs="Arial"/>
          <w:sz w:val="22"/>
          <w:szCs w:val="22"/>
        </w:rPr>
        <w:t xml:space="preserve"> of concern as the SQE</w:t>
      </w:r>
      <w:r w:rsidR="0054156F">
        <w:rPr>
          <w:rFonts w:ascii="Arial" w:hAnsi="Arial" w:cs="Arial"/>
          <w:sz w:val="22"/>
          <w:szCs w:val="22"/>
        </w:rPr>
        <w:t>. T</w:t>
      </w:r>
      <w:r w:rsidR="002414BC">
        <w:rPr>
          <w:rFonts w:ascii="Arial" w:hAnsi="Arial" w:cs="Arial"/>
          <w:sz w:val="22"/>
          <w:szCs w:val="22"/>
        </w:rPr>
        <w:t>he SQE</w:t>
      </w:r>
      <w:r w:rsidR="001C6601" w:rsidRPr="004F6670">
        <w:rPr>
          <w:rFonts w:ascii="Arial" w:hAnsi="Arial" w:cs="Arial"/>
          <w:sz w:val="22"/>
          <w:szCs w:val="22"/>
        </w:rPr>
        <w:t xml:space="preserve"> </w:t>
      </w:r>
      <w:r w:rsidR="002414BC">
        <w:rPr>
          <w:rFonts w:ascii="Arial" w:hAnsi="Arial" w:cs="Arial"/>
          <w:sz w:val="22"/>
          <w:szCs w:val="22"/>
        </w:rPr>
        <w:t>is</w:t>
      </w:r>
      <w:r w:rsidR="001C6601">
        <w:rPr>
          <w:rFonts w:ascii="Arial" w:hAnsi="Arial" w:cs="Arial"/>
          <w:sz w:val="22"/>
          <w:szCs w:val="22"/>
        </w:rPr>
        <w:t xml:space="preserve"> </w:t>
      </w:r>
      <w:r w:rsidR="009F2AAA">
        <w:rPr>
          <w:rFonts w:ascii="Arial" w:hAnsi="Arial" w:cs="Arial"/>
          <w:sz w:val="22"/>
          <w:szCs w:val="22"/>
        </w:rPr>
        <w:t>causing</w:t>
      </w:r>
      <w:r w:rsidR="00534E1D">
        <w:rPr>
          <w:rFonts w:ascii="Arial" w:hAnsi="Arial" w:cs="Arial"/>
          <w:sz w:val="22"/>
          <w:szCs w:val="22"/>
        </w:rPr>
        <w:t xml:space="preserve"> c</w:t>
      </w:r>
      <w:r w:rsidR="009F2AAA">
        <w:rPr>
          <w:rFonts w:ascii="Arial" w:hAnsi="Arial" w:cs="Arial"/>
          <w:sz w:val="22"/>
          <w:szCs w:val="22"/>
        </w:rPr>
        <w:t xml:space="preserve">onsiderable </w:t>
      </w:r>
      <w:r w:rsidR="00C354C6">
        <w:rPr>
          <w:rFonts w:ascii="Arial" w:hAnsi="Arial" w:cs="Arial"/>
          <w:sz w:val="22"/>
          <w:szCs w:val="22"/>
        </w:rPr>
        <w:t>head scratching</w:t>
      </w:r>
      <w:r w:rsidR="009F2AAA">
        <w:rPr>
          <w:rFonts w:ascii="Arial" w:hAnsi="Arial" w:cs="Arial"/>
          <w:sz w:val="22"/>
          <w:szCs w:val="22"/>
        </w:rPr>
        <w:t xml:space="preserve"> as universities </w:t>
      </w:r>
      <w:r w:rsidR="00933D78">
        <w:rPr>
          <w:rFonts w:ascii="Arial" w:hAnsi="Arial" w:cs="Arial"/>
          <w:sz w:val="22"/>
          <w:szCs w:val="22"/>
        </w:rPr>
        <w:t xml:space="preserve">assess </w:t>
      </w:r>
      <w:r w:rsidR="005F4D31">
        <w:rPr>
          <w:rFonts w:ascii="Arial" w:hAnsi="Arial" w:cs="Arial"/>
          <w:sz w:val="22"/>
          <w:szCs w:val="22"/>
        </w:rPr>
        <w:t>the</w:t>
      </w:r>
      <w:r w:rsidR="00B701C3">
        <w:rPr>
          <w:rFonts w:ascii="Arial" w:hAnsi="Arial" w:cs="Arial"/>
          <w:sz w:val="22"/>
          <w:szCs w:val="22"/>
        </w:rPr>
        <w:t xml:space="preserve"> </w:t>
      </w:r>
      <w:r w:rsidR="00534E1D">
        <w:rPr>
          <w:rFonts w:ascii="Arial" w:hAnsi="Arial" w:cs="Arial"/>
          <w:sz w:val="22"/>
          <w:szCs w:val="22"/>
        </w:rPr>
        <w:t>change</w:t>
      </w:r>
      <w:r w:rsidR="00B701C3">
        <w:rPr>
          <w:rFonts w:ascii="Arial" w:hAnsi="Arial" w:cs="Arial"/>
          <w:sz w:val="22"/>
          <w:szCs w:val="22"/>
        </w:rPr>
        <w:t>s</w:t>
      </w:r>
      <w:r w:rsidR="001D260F">
        <w:rPr>
          <w:rFonts w:ascii="Arial" w:hAnsi="Arial" w:cs="Arial"/>
          <w:sz w:val="22"/>
          <w:szCs w:val="22"/>
        </w:rPr>
        <w:t>, the impact they</w:t>
      </w:r>
      <w:r w:rsidR="00B701C3">
        <w:rPr>
          <w:rFonts w:ascii="Arial" w:hAnsi="Arial" w:cs="Arial"/>
          <w:sz w:val="22"/>
          <w:szCs w:val="22"/>
        </w:rPr>
        <w:t xml:space="preserve"> </w:t>
      </w:r>
      <w:r w:rsidR="00C03CED">
        <w:rPr>
          <w:rFonts w:ascii="Arial" w:hAnsi="Arial" w:cs="Arial"/>
          <w:sz w:val="22"/>
          <w:szCs w:val="22"/>
        </w:rPr>
        <w:t xml:space="preserve">will have </w:t>
      </w:r>
      <w:r w:rsidR="00BF6500">
        <w:rPr>
          <w:rFonts w:ascii="Arial" w:hAnsi="Arial" w:cs="Arial"/>
          <w:sz w:val="22"/>
          <w:szCs w:val="22"/>
        </w:rPr>
        <w:t>on</w:t>
      </w:r>
      <w:r w:rsidR="00B701C3">
        <w:rPr>
          <w:rFonts w:ascii="Arial" w:hAnsi="Arial" w:cs="Arial"/>
          <w:sz w:val="22"/>
          <w:szCs w:val="22"/>
        </w:rPr>
        <w:t xml:space="preserve"> </w:t>
      </w:r>
      <w:r w:rsidR="001D260F">
        <w:rPr>
          <w:rFonts w:ascii="Arial" w:hAnsi="Arial" w:cs="Arial"/>
          <w:sz w:val="22"/>
          <w:szCs w:val="22"/>
        </w:rPr>
        <w:t>the current</w:t>
      </w:r>
      <w:r w:rsidR="00BF6500">
        <w:rPr>
          <w:rFonts w:ascii="Arial" w:hAnsi="Arial" w:cs="Arial"/>
          <w:sz w:val="22"/>
          <w:szCs w:val="22"/>
        </w:rPr>
        <w:t xml:space="preserve"> </w:t>
      </w:r>
      <w:r w:rsidR="00B701C3">
        <w:rPr>
          <w:rFonts w:ascii="Arial" w:hAnsi="Arial" w:cs="Arial"/>
          <w:sz w:val="22"/>
          <w:szCs w:val="22"/>
        </w:rPr>
        <w:t>academic</w:t>
      </w:r>
      <w:r w:rsidR="001D260F">
        <w:rPr>
          <w:rFonts w:ascii="Arial" w:hAnsi="Arial" w:cs="Arial"/>
          <w:sz w:val="22"/>
          <w:szCs w:val="22"/>
        </w:rPr>
        <w:t>-vo</w:t>
      </w:r>
      <w:r w:rsidR="0054156F">
        <w:rPr>
          <w:rFonts w:ascii="Arial" w:hAnsi="Arial" w:cs="Arial"/>
          <w:sz w:val="22"/>
          <w:szCs w:val="22"/>
        </w:rPr>
        <w:t xml:space="preserve">cational divide, and the possible </w:t>
      </w:r>
      <w:r w:rsidR="001D260F">
        <w:rPr>
          <w:rFonts w:ascii="Arial" w:hAnsi="Arial" w:cs="Arial"/>
          <w:sz w:val="22"/>
          <w:szCs w:val="22"/>
        </w:rPr>
        <w:t>market response</w:t>
      </w:r>
      <w:r w:rsidR="0054156F">
        <w:rPr>
          <w:rFonts w:ascii="Arial" w:hAnsi="Arial" w:cs="Arial"/>
          <w:sz w:val="22"/>
          <w:szCs w:val="22"/>
        </w:rPr>
        <w:t>s</w:t>
      </w:r>
      <w:r w:rsidR="001C6601" w:rsidRPr="004F6670">
        <w:rPr>
          <w:rFonts w:ascii="Arial" w:hAnsi="Arial" w:cs="Arial"/>
          <w:sz w:val="22"/>
          <w:szCs w:val="22"/>
        </w:rPr>
        <w:t>.</w:t>
      </w:r>
      <w:r w:rsidR="00694458">
        <w:rPr>
          <w:rStyle w:val="FootnoteReference"/>
          <w:rFonts w:ascii="Arial" w:hAnsi="Arial" w:cs="Arial"/>
          <w:sz w:val="22"/>
          <w:szCs w:val="22"/>
        </w:rPr>
        <w:footnoteReference w:id="62"/>
      </w:r>
      <w:r w:rsidR="00AE3B72">
        <w:rPr>
          <w:rFonts w:ascii="Arial" w:hAnsi="Arial" w:cs="Arial"/>
          <w:sz w:val="22"/>
          <w:szCs w:val="22"/>
        </w:rPr>
        <w:t xml:space="preserve"> </w:t>
      </w:r>
      <w:r w:rsidR="0054156F">
        <w:rPr>
          <w:rFonts w:ascii="Arial" w:hAnsi="Arial" w:cs="Arial"/>
          <w:sz w:val="22"/>
          <w:szCs w:val="22"/>
        </w:rPr>
        <w:t xml:space="preserve">A consideration of the </w:t>
      </w:r>
      <w:r w:rsidR="002E0AF3">
        <w:rPr>
          <w:rFonts w:ascii="Arial" w:hAnsi="Arial" w:cs="Arial"/>
          <w:sz w:val="22"/>
          <w:szCs w:val="22"/>
        </w:rPr>
        <w:t>assessment</w:t>
      </w:r>
      <w:r w:rsidR="0054156F">
        <w:rPr>
          <w:rFonts w:ascii="Arial" w:hAnsi="Arial" w:cs="Arial"/>
          <w:sz w:val="22"/>
          <w:szCs w:val="22"/>
        </w:rPr>
        <w:t xml:space="preserve"> and requi</w:t>
      </w:r>
      <w:r w:rsidR="006C679B">
        <w:rPr>
          <w:rFonts w:ascii="Arial" w:hAnsi="Arial" w:cs="Arial"/>
          <w:sz w:val="22"/>
          <w:szCs w:val="22"/>
        </w:rPr>
        <w:t>rements to pass the SQE is the</w:t>
      </w:r>
      <w:r w:rsidR="0054156F">
        <w:rPr>
          <w:rFonts w:ascii="Arial" w:hAnsi="Arial" w:cs="Arial"/>
          <w:sz w:val="22"/>
          <w:szCs w:val="22"/>
        </w:rPr>
        <w:t xml:space="preserve"> </w:t>
      </w:r>
      <w:r w:rsidR="002E0AF3">
        <w:rPr>
          <w:rFonts w:ascii="Arial" w:hAnsi="Arial" w:cs="Arial"/>
          <w:sz w:val="22"/>
          <w:szCs w:val="22"/>
        </w:rPr>
        <w:t>place to start an analysis of the</w:t>
      </w:r>
      <w:r w:rsidR="00540522">
        <w:rPr>
          <w:rFonts w:ascii="Arial" w:hAnsi="Arial" w:cs="Arial"/>
          <w:sz w:val="22"/>
          <w:szCs w:val="22"/>
        </w:rPr>
        <w:t xml:space="preserve"> possible</w:t>
      </w:r>
      <w:r w:rsidR="0054156F">
        <w:rPr>
          <w:rFonts w:ascii="Arial" w:hAnsi="Arial" w:cs="Arial"/>
          <w:sz w:val="22"/>
          <w:szCs w:val="22"/>
        </w:rPr>
        <w:t xml:space="preserve"> response</w:t>
      </w:r>
      <w:r w:rsidR="00540522">
        <w:rPr>
          <w:rFonts w:ascii="Arial" w:hAnsi="Arial" w:cs="Arial"/>
          <w:sz w:val="22"/>
          <w:szCs w:val="22"/>
        </w:rPr>
        <w:t>s</w:t>
      </w:r>
      <w:r w:rsidR="0054156F">
        <w:rPr>
          <w:rFonts w:ascii="Arial" w:hAnsi="Arial" w:cs="Arial"/>
          <w:sz w:val="22"/>
          <w:szCs w:val="22"/>
        </w:rPr>
        <w:t>.</w:t>
      </w:r>
    </w:p>
    <w:p w14:paraId="404F1185" w14:textId="77777777" w:rsidR="000A72FF" w:rsidRDefault="000A72FF" w:rsidP="005841FD">
      <w:pPr>
        <w:rPr>
          <w:rFonts w:ascii="Arial" w:hAnsi="Arial" w:cs="Arial"/>
          <w:sz w:val="22"/>
          <w:szCs w:val="22"/>
        </w:rPr>
      </w:pPr>
    </w:p>
    <w:p w14:paraId="345FF30F" w14:textId="2153A33C" w:rsidR="00C03CED" w:rsidRDefault="000A72FF" w:rsidP="000A72FF">
      <w:pPr>
        <w:rPr>
          <w:rFonts w:ascii="Arial" w:hAnsi="Arial" w:cs="Arial"/>
          <w:sz w:val="22"/>
          <w:szCs w:val="22"/>
        </w:rPr>
      </w:pPr>
      <w:r>
        <w:rPr>
          <w:rFonts w:ascii="Arial" w:hAnsi="Arial" w:cs="Arial"/>
          <w:sz w:val="22"/>
          <w:szCs w:val="22"/>
        </w:rPr>
        <w:t xml:space="preserve">The </w:t>
      </w:r>
      <w:r w:rsidR="00AF5CFF">
        <w:rPr>
          <w:rFonts w:ascii="Arial" w:hAnsi="Arial" w:cs="Arial"/>
          <w:sz w:val="22"/>
          <w:szCs w:val="22"/>
        </w:rPr>
        <w:t xml:space="preserve">2017 </w:t>
      </w:r>
      <w:r w:rsidR="009558A3">
        <w:rPr>
          <w:rFonts w:ascii="Arial" w:hAnsi="Arial" w:cs="Arial"/>
          <w:sz w:val="22"/>
          <w:szCs w:val="22"/>
        </w:rPr>
        <w:t>draft</w:t>
      </w:r>
      <w:r w:rsidR="0003514A">
        <w:rPr>
          <w:rFonts w:ascii="Arial" w:hAnsi="Arial" w:cs="Arial"/>
          <w:sz w:val="22"/>
          <w:szCs w:val="22"/>
        </w:rPr>
        <w:t xml:space="preserve"> </w:t>
      </w:r>
      <w:r>
        <w:rPr>
          <w:rFonts w:ascii="Arial" w:hAnsi="Arial" w:cs="Arial"/>
          <w:sz w:val="22"/>
          <w:szCs w:val="22"/>
        </w:rPr>
        <w:t>SQE assessm</w:t>
      </w:r>
      <w:r w:rsidR="00D400F4">
        <w:rPr>
          <w:rFonts w:ascii="Arial" w:hAnsi="Arial" w:cs="Arial"/>
          <w:sz w:val="22"/>
          <w:szCs w:val="22"/>
        </w:rPr>
        <w:t>ent specification proposes six</w:t>
      </w:r>
      <w:r w:rsidR="004A6BF7">
        <w:rPr>
          <w:rFonts w:ascii="Arial" w:hAnsi="Arial" w:cs="Arial"/>
          <w:sz w:val="22"/>
          <w:szCs w:val="22"/>
        </w:rPr>
        <w:t xml:space="preserve"> </w:t>
      </w:r>
      <w:r>
        <w:rPr>
          <w:rFonts w:ascii="Arial" w:hAnsi="Arial" w:cs="Arial"/>
          <w:sz w:val="22"/>
          <w:szCs w:val="22"/>
        </w:rPr>
        <w:t xml:space="preserve">exams for Part 1. Since the appointment of Kaplan as examiner </w:t>
      </w:r>
      <w:r w:rsidR="00376D10">
        <w:rPr>
          <w:rFonts w:ascii="Arial" w:hAnsi="Arial" w:cs="Arial"/>
          <w:sz w:val="22"/>
          <w:szCs w:val="22"/>
        </w:rPr>
        <w:t>in 2018</w:t>
      </w:r>
      <w:r w:rsidR="00AF5CFF">
        <w:rPr>
          <w:rFonts w:ascii="Arial" w:hAnsi="Arial" w:cs="Arial"/>
          <w:sz w:val="22"/>
          <w:szCs w:val="22"/>
        </w:rPr>
        <w:t xml:space="preserve"> </w:t>
      </w:r>
      <w:r>
        <w:rPr>
          <w:rFonts w:ascii="Arial" w:hAnsi="Arial" w:cs="Arial"/>
          <w:sz w:val="22"/>
          <w:szCs w:val="22"/>
        </w:rPr>
        <w:t xml:space="preserve">it has been </w:t>
      </w:r>
      <w:r w:rsidR="00AF5CFF">
        <w:rPr>
          <w:rFonts w:ascii="Arial" w:hAnsi="Arial" w:cs="Arial"/>
          <w:sz w:val="22"/>
          <w:szCs w:val="22"/>
        </w:rPr>
        <w:t>announced</w:t>
      </w:r>
      <w:r>
        <w:rPr>
          <w:rFonts w:ascii="Arial" w:hAnsi="Arial" w:cs="Arial"/>
          <w:sz w:val="22"/>
          <w:szCs w:val="22"/>
        </w:rPr>
        <w:t xml:space="preserve"> t</w:t>
      </w:r>
      <w:r w:rsidR="004A6BF7">
        <w:rPr>
          <w:rFonts w:ascii="Arial" w:hAnsi="Arial" w:cs="Arial"/>
          <w:sz w:val="22"/>
          <w:szCs w:val="22"/>
        </w:rPr>
        <w:t>hat</w:t>
      </w:r>
      <w:r w:rsidR="00AF5CFF">
        <w:rPr>
          <w:rFonts w:ascii="Arial" w:hAnsi="Arial" w:cs="Arial"/>
          <w:sz w:val="22"/>
          <w:szCs w:val="22"/>
        </w:rPr>
        <w:t xml:space="preserve"> the six exams will be taken in three </w:t>
      </w:r>
      <w:r w:rsidR="00791EBC">
        <w:rPr>
          <w:rFonts w:ascii="Arial" w:hAnsi="Arial" w:cs="Arial"/>
          <w:sz w:val="22"/>
          <w:szCs w:val="22"/>
        </w:rPr>
        <w:t>‘domains’ (sittings)</w:t>
      </w:r>
      <w:r w:rsidR="00BF6500">
        <w:rPr>
          <w:rFonts w:ascii="Arial" w:hAnsi="Arial" w:cs="Arial"/>
          <w:sz w:val="22"/>
          <w:szCs w:val="22"/>
        </w:rPr>
        <w:t>,</w:t>
      </w:r>
      <w:r w:rsidR="009F2AAA">
        <w:rPr>
          <w:rFonts w:ascii="Arial" w:hAnsi="Arial" w:cs="Arial"/>
          <w:sz w:val="22"/>
          <w:szCs w:val="22"/>
        </w:rPr>
        <w:t xml:space="preserve"> all </w:t>
      </w:r>
      <w:r w:rsidR="00BF6500">
        <w:rPr>
          <w:rFonts w:ascii="Arial" w:hAnsi="Arial" w:cs="Arial"/>
          <w:sz w:val="22"/>
          <w:szCs w:val="22"/>
        </w:rPr>
        <w:t xml:space="preserve">to </w:t>
      </w:r>
      <w:r w:rsidR="00AF5CFF">
        <w:rPr>
          <w:rFonts w:ascii="Arial" w:hAnsi="Arial" w:cs="Arial"/>
          <w:sz w:val="22"/>
          <w:szCs w:val="22"/>
        </w:rPr>
        <w:t xml:space="preserve">be taken in </w:t>
      </w:r>
      <w:r w:rsidR="009F2AAA">
        <w:rPr>
          <w:rFonts w:ascii="Arial" w:hAnsi="Arial" w:cs="Arial"/>
          <w:sz w:val="22"/>
          <w:szCs w:val="22"/>
        </w:rPr>
        <w:t xml:space="preserve">a </w:t>
      </w:r>
      <w:r w:rsidR="00AF5CFF">
        <w:rPr>
          <w:rFonts w:ascii="Arial" w:hAnsi="Arial" w:cs="Arial"/>
          <w:sz w:val="22"/>
          <w:szCs w:val="22"/>
        </w:rPr>
        <w:t>single period</w:t>
      </w:r>
      <w:r w:rsidR="005F3DDF">
        <w:rPr>
          <w:rFonts w:ascii="Arial" w:hAnsi="Arial" w:cs="Arial"/>
          <w:sz w:val="22"/>
          <w:szCs w:val="22"/>
        </w:rPr>
        <w:t xml:space="preserve">. </w:t>
      </w:r>
      <w:r w:rsidR="0057472B">
        <w:rPr>
          <w:rFonts w:ascii="Arial" w:hAnsi="Arial" w:cs="Arial"/>
          <w:sz w:val="22"/>
          <w:szCs w:val="22"/>
        </w:rPr>
        <w:t xml:space="preserve">The reduction from six separate exams to three domains is </w:t>
      </w:r>
      <w:r w:rsidR="009F2AAA">
        <w:rPr>
          <w:rFonts w:ascii="Arial" w:hAnsi="Arial" w:cs="Arial"/>
          <w:sz w:val="22"/>
          <w:szCs w:val="22"/>
        </w:rPr>
        <w:t>not ped</w:t>
      </w:r>
      <w:r w:rsidR="0092435D">
        <w:rPr>
          <w:rFonts w:ascii="Arial" w:hAnsi="Arial" w:cs="Arial"/>
          <w:sz w:val="22"/>
          <w:szCs w:val="22"/>
        </w:rPr>
        <w:t xml:space="preserve">agogic </w:t>
      </w:r>
      <w:r w:rsidR="00C354C6">
        <w:rPr>
          <w:rFonts w:ascii="Arial" w:hAnsi="Arial" w:cs="Arial"/>
          <w:sz w:val="22"/>
          <w:szCs w:val="22"/>
        </w:rPr>
        <w:t>but</w:t>
      </w:r>
      <w:r w:rsidR="009F2AAA">
        <w:rPr>
          <w:rFonts w:ascii="Arial" w:hAnsi="Arial" w:cs="Arial"/>
          <w:sz w:val="22"/>
          <w:szCs w:val="22"/>
        </w:rPr>
        <w:t xml:space="preserve"> one </w:t>
      </w:r>
      <w:r w:rsidR="005F3DDF">
        <w:rPr>
          <w:rFonts w:ascii="Arial" w:hAnsi="Arial" w:cs="Arial"/>
          <w:sz w:val="22"/>
          <w:szCs w:val="22"/>
        </w:rPr>
        <w:t>can</w:t>
      </w:r>
      <w:r w:rsidR="003A20B3">
        <w:rPr>
          <w:rFonts w:ascii="Arial" w:hAnsi="Arial" w:cs="Arial"/>
          <w:sz w:val="22"/>
          <w:szCs w:val="22"/>
        </w:rPr>
        <w:t xml:space="preserve"> </w:t>
      </w:r>
      <w:r w:rsidR="009F2AAA">
        <w:rPr>
          <w:rFonts w:ascii="Arial" w:hAnsi="Arial" w:cs="Arial"/>
          <w:sz w:val="22"/>
          <w:szCs w:val="22"/>
        </w:rPr>
        <w:t>assume,</w:t>
      </w:r>
      <w:r w:rsidR="00BF6500">
        <w:rPr>
          <w:rFonts w:ascii="Arial" w:hAnsi="Arial" w:cs="Arial"/>
          <w:sz w:val="22"/>
          <w:szCs w:val="22"/>
        </w:rPr>
        <w:t xml:space="preserve"> financia</w:t>
      </w:r>
      <w:r w:rsidR="00E61F3E">
        <w:rPr>
          <w:rFonts w:ascii="Arial" w:hAnsi="Arial" w:cs="Arial"/>
          <w:sz w:val="22"/>
          <w:szCs w:val="22"/>
        </w:rPr>
        <w:t>l</w:t>
      </w:r>
      <w:r w:rsidR="009F2AAA">
        <w:rPr>
          <w:rFonts w:ascii="Arial" w:hAnsi="Arial" w:cs="Arial"/>
          <w:sz w:val="22"/>
          <w:szCs w:val="22"/>
        </w:rPr>
        <w:t>.</w:t>
      </w:r>
      <w:r w:rsidR="00694458">
        <w:rPr>
          <w:rFonts w:ascii="Arial" w:hAnsi="Arial" w:cs="Arial"/>
          <w:sz w:val="22"/>
          <w:szCs w:val="22"/>
        </w:rPr>
        <w:t xml:space="preserve"> </w:t>
      </w:r>
      <w:r w:rsidR="006C679B">
        <w:rPr>
          <w:rFonts w:ascii="Arial" w:hAnsi="Arial" w:cs="Arial"/>
          <w:sz w:val="22"/>
          <w:szCs w:val="22"/>
        </w:rPr>
        <w:t xml:space="preserve"> In this regard, it</w:t>
      </w:r>
      <w:r w:rsidR="00C03CED">
        <w:rPr>
          <w:rFonts w:ascii="Arial" w:hAnsi="Arial" w:cs="Arial"/>
          <w:sz w:val="22"/>
          <w:szCs w:val="22"/>
        </w:rPr>
        <w:t xml:space="preserve"> is relevant that the </w:t>
      </w:r>
      <w:r w:rsidR="00694458">
        <w:rPr>
          <w:rFonts w:ascii="Arial" w:hAnsi="Arial" w:cs="Arial"/>
          <w:sz w:val="22"/>
          <w:szCs w:val="22"/>
        </w:rPr>
        <w:t xml:space="preserve">LSB has warned that the </w:t>
      </w:r>
      <w:r w:rsidR="00C03CED">
        <w:rPr>
          <w:rFonts w:ascii="Arial" w:hAnsi="Arial" w:cs="Arial"/>
          <w:sz w:val="22"/>
          <w:szCs w:val="22"/>
        </w:rPr>
        <w:t xml:space="preserve">SQE </w:t>
      </w:r>
      <w:r w:rsidR="00694458">
        <w:rPr>
          <w:rFonts w:ascii="Arial" w:hAnsi="Arial" w:cs="Arial"/>
          <w:sz w:val="22"/>
          <w:szCs w:val="22"/>
        </w:rPr>
        <w:t>reforms cannot result in increase</w:t>
      </w:r>
      <w:r w:rsidR="00C03CED">
        <w:rPr>
          <w:rFonts w:ascii="Arial" w:hAnsi="Arial" w:cs="Arial"/>
          <w:sz w:val="22"/>
          <w:szCs w:val="22"/>
        </w:rPr>
        <w:t>d</w:t>
      </w:r>
      <w:r w:rsidR="00694458">
        <w:rPr>
          <w:rFonts w:ascii="Arial" w:hAnsi="Arial" w:cs="Arial"/>
          <w:sz w:val="22"/>
          <w:szCs w:val="22"/>
        </w:rPr>
        <w:t xml:space="preserve"> costs to students.</w:t>
      </w:r>
      <w:r w:rsidR="00694458">
        <w:rPr>
          <w:rStyle w:val="FootnoteReference"/>
          <w:rFonts w:ascii="Arial" w:hAnsi="Arial" w:cs="Arial"/>
          <w:sz w:val="22"/>
          <w:szCs w:val="22"/>
        </w:rPr>
        <w:footnoteReference w:id="63"/>
      </w:r>
      <w:r w:rsidR="009F2AAA">
        <w:rPr>
          <w:rFonts w:ascii="Arial" w:hAnsi="Arial" w:cs="Arial"/>
          <w:sz w:val="22"/>
          <w:szCs w:val="22"/>
        </w:rPr>
        <w:t xml:space="preserve"> </w:t>
      </w:r>
    </w:p>
    <w:p w14:paraId="5FFC54D3" w14:textId="77777777" w:rsidR="00C03CED" w:rsidRDefault="00C03CED" w:rsidP="000A72FF">
      <w:pPr>
        <w:rPr>
          <w:rFonts w:ascii="Arial" w:hAnsi="Arial" w:cs="Arial"/>
          <w:sz w:val="22"/>
          <w:szCs w:val="22"/>
        </w:rPr>
      </w:pPr>
    </w:p>
    <w:p w14:paraId="6E4EFC57" w14:textId="2BF70B42" w:rsidR="00EB2215" w:rsidRDefault="009F2AAA" w:rsidP="000A72FF">
      <w:pPr>
        <w:rPr>
          <w:rFonts w:ascii="Arial" w:hAnsi="Arial" w:cs="Arial"/>
          <w:sz w:val="22"/>
          <w:szCs w:val="22"/>
        </w:rPr>
        <w:sectPr w:rsidR="00EB2215" w:rsidSect="00D838F0">
          <w:pgSz w:w="11900" w:h="16840"/>
          <w:pgMar w:top="1135" w:right="1800" w:bottom="1440" w:left="1800" w:header="708" w:footer="708" w:gutter="0"/>
          <w:cols w:space="708"/>
          <w:docGrid w:linePitch="360"/>
        </w:sectPr>
      </w:pPr>
      <w:r>
        <w:rPr>
          <w:rFonts w:ascii="Arial" w:hAnsi="Arial" w:cs="Arial"/>
          <w:sz w:val="22"/>
          <w:szCs w:val="22"/>
        </w:rPr>
        <w:t>T</w:t>
      </w:r>
      <w:r w:rsidR="00F96069">
        <w:rPr>
          <w:rFonts w:ascii="Arial" w:hAnsi="Arial" w:cs="Arial"/>
          <w:sz w:val="22"/>
          <w:szCs w:val="22"/>
        </w:rPr>
        <w:t>he t</w:t>
      </w:r>
      <w:r w:rsidR="000A72FF">
        <w:rPr>
          <w:rFonts w:ascii="Arial" w:hAnsi="Arial" w:cs="Arial"/>
          <w:sz w:val="22"/>
          <w:szCs w:val="22"/>
        </w:rPr>
        <w:t xml:space="preserve">able </w:t>
      </w:r>
      <w:r w:rsidR="0003514A">
        <w:rPr>
          <w:rFonts w:ascii="Arial" w:hAnsi="Arial" w:cs="Arial"/>
          <w:sz w:val="22"/>
          <w:szCs w:val="22"/>
        </w:rPr>
        <w:t xml:space="preserve">which follows </w:t>
      </w:r>
      <w:r w:rsidR="000A72FF">
        <w:rPr>
          <w:rFonts w:ascii="Arial" w:hAnsi="Arial" w:cs="Arial"/>
          <w:sz w:val="22"/>
          <w:szCs w:val="22"/>
        </w:rPr>
        <w:t>shows how c</w:t>
      </w:r>
      <w:r w:rsidR="004A6BF7">
        <w:rPr>
          <w:rFonts w:ascii="Arial" w:hAnsi="Arial" w:cs="Arial"/>
          <w:sz w:val="22"/>
          <w:szCs w:val="22"/>
        </w:rPr>
        <w:t xml:space="preserve">urrent </w:t>
      </w:r>
      <w:r w:rsidR="00CB30B6">
        <w:rPr>
          <w:rFonts w:ascii="Arial" w:hAnsi="Arial" w:cs="Arial"/>
          <w:sz w:val="22"/>
          <w:szCs w:val="22"/>
        </w:rPr>
        <w:t>CPE</w:t>
      </w:r>
      <w:r w:rsidR="004A6BF7">
        <w:rPr>
          <w:rFonts w:ascii="Arial" w:hAnsi="Arial" w:cs="Arial"/>
          <w:sz w:val="22"/>
          <w:szCs w:val="22"/>
        </w:rPr>
        <w:t xml:space="preserve"> and LPC subjects </w:t>
      </w:r>
      <w:r w:rsidR="00616B38">
        <w:rPr>
          <w:rFonts w:ascii="Arial" w:hAnsi="Arial" w:cs="Arial"/>
          <w:sz w:val="22"/>
          <w:szCs w:val="22"/>
        </w:rPr>
        <w:t xml:space="preserve">may </w:t>
      </w:r>
      <w:r w:rsidR="004A6BF7">
        <w:rPr>
          <w:rFonts w:ascii="Arial" w:hAnsi="Arial" w:cs="Arial"/>
          <w:sz w:val="22"/>
          <w:szCs w:val="22"/>
        </w:rPr>
        <w:t>map</w:t>
      </w:r>
      <w:r w:rsidR="0057472B">
        <w:rPr>
          <w:rFonts w:ascii="Arial" w:hAnsi="Arial" w:cs="Arial"/>
          <w:sz w:val="22"/>
          <w:szCs w:val="22"/>
        </w:rPr>
        <w:t xml:space="preserve"> to SQE Part 1</w:t>
      </w:r>
      <w:r w:rsidR="004178B8">
        <w:rPr>
          <w:rFonts w:ascii="Arial" w:hAnsi="Arial" w:cs="Arial"/>
          <w:sz w:val="22"/>
          <w:szCs w:val="22"/>
        </w:rPr>
        <w:t xml:space="preserve"> domains</w:t>
      </w:r>
      <w:r w:rsidR="000A72FF">
        <w:rPr>
          <w:rFonts w:ascii="Arial" w:hAnsi="Arial" w:cs="Arial"/>
          <w:sz w:val="22"/>
          <w:szCs w:val="22"/>
        </w:rPr>
        <w:t>.</w:t>
      </w:r>
      <w:r w:rsidR="00354F25">
        <w:rPr>
          <w:rStyle w:val="FootnoteReference"/>
          <w:rFonts w:ascii="Arial" w:hAnsi="Arial" w:cs="Arial"/>
          <w:sz w:val="22"/>
          <w:szCs w:val="22"/>
        </w:rPr>
        <w:t xml:space="preserve"> </w:t>
      </w:r>
      <w:r w:rsidR="00B24544">
        <w:rPr>
          <w:rFonts w:ascii="Arial" w:hAnsi="Arial" w:cs="Arial"/>
          <w:sz w:val="22"/>
          <w:szCs w:val="22"/>
        </w:rPr>
        <w:t>The SRA</w:t>
      </w:r>
      <w:r w:rsidR="00C03CED">
        <w:rPr>
          <w:rFonts w:ascii="Arial" w:hAnsi="Arial" w:cs="Arial"/>
          <w:sz w:val="22"/>
          <w:szCs w:val="22"/>
        </w:rPr>
        <w:t xml:space="preserve"> </w:t>
      </w:r>
      <w:r w:rsidR="00FC25A2">
        <w:rPr>
          <w:rFonts w:ascii="Arial" w:hAnsi="Arial" w:cs="Arial"/>
          <w:sz w:val="22"/>
          <w:szCs w:val="22"/>
        </w:rPr>
        <w:t xml:space="preserve">has </w:t>
      </w:r>
      <w:r w:rsidR="005E1FBB">
        <w:rPr>
          <w:rFonts w:ascii="Arial" w:hAnsi="Arial" w:cs="Arial"/>
          <w:sz w:val="22"/>
          <w:szCs w:val="22"/>
        </w:rPr>
        <w:t>refrained from validating the</w:t>
      </w:r>
      <w:r w:rsidR="00FC25A2">
        <w:rPr>
          <w:rFonts w:ascii="Arial" w:hAnsi="Arial" w:cs="Arial"/>
          <w:sz w:val="22"/>
          <w:szCs w:val="22"/>
        </w:rPr>
        <w:t xml:space="preserve"> </w:t>
      </w:r>
      <w:r w:rsidR="00C03CED">
        <w:rPr>
          <w:rFonts w:ascii="Arial" w:hAnsi="Arial" w:cs="Arial"/>
          <w:sz w:val="22"/>
          <w:szCs w:val="22"/>
        </w:rPr>
        <w:t>SQE</w:t>
      </w:r>
      <w:r w:rsidR="00FC25A2">
        <w:rPr>
          <w:rFonts w:ascii="Arial" w:hAnsi="Arial" w:cs="Arial"/>
          <w:sz w:val="22"/>
          <w:szCs w:val="22"/>
        </w:rPr>
        <w:t xml:space="preserve"> </w:t>
      </w:r>
      <w:r w:rsidR="005E1FBB">
        <w:rPr>
          <w:rFonts w:ascii="Arial" w:hAnsi="Arial" w:cs="Arial"/>
          <w:sz w:val="22"/>
          <w:szCs w:val="22"/>
        </w:rPr>
        <w:t>against the Framework for H</w:t>
      </w:r>
      <w:r w:rsidR="00FC25A2">
        <w:rPr>
          <w:rFonts w:ascii="Arial" w:hAnsi="Arial" w:cs="Arial"/>
          <w:sz w:val="22"/>
          <w:szCs w:val="22"/>
        </w:rPr>
        <w:t xml:space="preserve">igher </w:t>
      </w:r>
      <w:r w:rsidR="005E1FBB">
        <w:rPr>
          <w:rFonts w:ascii="Arial" w:hAnsi="Arial" w:cs="Arial"/>
          <w:sz w:val="22"/>
          <w:szCs w:val="22"/>
        </w:rPr>
        <w:t>E</w:t>
      </w:r>
      <w:r w:rsidR="00FC25A2">
        <w:rPr>
          <w:rFonts w:ascii="Arial" w:hAnsi="Arial" w:cs="Arial"/>
          <w:sz w:val="22"/>
          <w:szCs w:val="22"/>
        </w:rPr>
        <w:t>ducation</w:t>
      </w:r>
      <w:r w:rsidR="00354F25">
        <w:rPr>
          <w:rFonts w:ascii="Arial" w:hAnsi="Arial" w:cs="Arial"/>
          <w:sz w:val="22"/>
          <w:szCs w:val="22"/>
        </w:rPr>
        <w:t xml:space="preserve"> Qualifications</w:t>
      </w:r>
      <w:r w:rsidR="00FC25A2">
        <w:rPr>
          <w:rFonts w:ascii="Arial" w:hAnsi="Arial" w:cs="Arial"/>
          <w:sz w:val="22"/>
          <w:szCs w:val="22"/>
        </w:rPr>
        <w:t xml:space="preserve"> </w:t>
      </w:r>
      <w:r w:rsidR="005E1FBB">
        <w:rPr>
          <w:rFonts w:ascii="Arial" w:hAnsi="Arial" w:cs="Arial"/>
          <w:sz w:val="22"/>
          <w:szCs w:val="22"/>
        </w:rPr>
        <w:t>level descriptors</w:t>
      </w:r>
      <w:r w:rsidR="00B24544">
        <w:rPr>
          <w:rFonts w:ascii="Arial" w:hAnsi="Arial" w:cs="Arial"/>
          <w:sz w:val="22"/>
          <w:szCs w:val="22"/>
        </w:rPr>
        <w:t xml:space="preserve">. </w:t>
      </w:r>
      <w:r w:rsidR="00FC25A2">
        <w:rPr>
          <w:rFonts w:ascii="Arial" w:hAnsi="Arial" w:cs="Arial"/>
          <w:sz w:val="22"/>
          <w:szCs w:val="22"/>
        </w:rPr>
        <w:t>For providers who want to offer awards, is</w:t>
      </w:r>
      <w:r w:rsidR="00CB30B6">
        <w:rPr>
          <w:rFonts w:ascii="Arial" w:hAnsi="Arial" w:cs="Arial"/>
          <w:sz w:val="22"/>
          <w:szCs w:val="22"/>
        </w:rPr>
        <w:t xml:space="preserve"> it level </w:t>
      </w:r>
      <w:r w:rsidR="006C679B">
        <w:rPr>
          <w:rFonts w:ascii="Arial" w:hAnsi="Arial" w:cs="Arial"/>
          <w:sz w:val="22"/>
          <w:szCs w:val="22"/>
        </w:rPr>
        <w:t>6, 7,</w:t>
      </w:r>
      <w:r w:rsidR="00C36A59">
        <w:rPr>
          <w:rFonts w:ascii="Arial" w:hAnsi="Arial" w:cs="Arial"/>
          <w:sz w:val="22"/>
          <w:szCs w:val="22"/>
        </w:rPr>
        <w:t xml:space="preserve"> higher</w:t>
      </w:r>
      <w:r w:rsidR="006C679B">
        <w:rPr>
          <w:rFonts w:ascii="Arial" w:hAnsi="Arial" w:cs="Arial"/>
          <w:sz w:val="22"/>
          <w:szCs w:val="22"/>
        </w:rPr>
        <w:t xml:space="preserve"> or a mix</w:t>
      </w:r>
      <w:r w:rsidR="0003514A">
        <w:rPr>
          <w:rFonts w:ascii="Arial" w:hAnsi="Arial" w:cs="Arial"/>
          <w:sz w:val="22"/>
          <w:szCs w:val="22"/>
        </w:rPr>
        <w:t xml:space="preserve">? </w:t>
      </w:r>
      <w:r w:rsidR="0061600E" w:rsidRPr="0061600E">
        <w:rPr>
          <w:rFonts w:ascii="Arial" w:hAnsi="Arial" w:cs="Arial"/>
          <w:sz w:val="22"/>
          <w:szCs w:val="22"/>
        </w:rPr>
        <w:t>For example</w:t>
      </w:r>
      <w:r w:rsidR="0003514A">
        <w:rPr>
          <w:rFonts w:ascii="Arial" w:hAnsi="Arial" w:cs="Arial"/>
          <w:sz w:val="22"/>
          <w:szCs w:val="22"/>
        </w:rPr>
        <w:t>,</w:t>
      </w:r>
      <w:r w:rsidR="0061600E" w:rsidRPr="0061600E">
        <w:rPr>
          <w:rFonts w:ascii="Arial" w:hAnsi="Arial" w:cs="Arial"/>
          <w:sz w:val="22"/>
          <w:szCs w:val="22"/>
        </w:rPr>
        <w:t xml:space="preserve"> </w:t>
      </w:r>
      <w:r w:rsidR="0061600E" w:rsidRPr="00E671F4">
        <w:rPr>
          <w:rFonts w:ascii="Arial" w:hAnsi="Arial" w:cs="Arial"/>
          <w:sz w:val="22"/>
          <w:szCs w:val="22"/>
        </w:rPr>
        <w:t>SQE Part 2 is proposed to test candidate’s skills through role-plays, which look similar to ones currently assessed on the LPC</w:t>
      </w:r>
      <w:r w:rsidR="00835A29">
        <w:rPr>
          <w:rFonts w:ascii="Arial" w:hAnsi="Arial" w:cs="Arial"/>
          <w:sz w:val="22"/>
          <w:szCs w:val="22"/>
        </w:rPr>
        <w:t xml:space="preserve"> (level 7)</w:t>
      </w:r>
      <w:r w:rsidR="0061600E" w:rsidRPr="00E671F4">
        <w:rPr>
          <w:rFonts w:ascii="Arial" w:hAnsi="Arial" w:cs="Arial"/>
          <w:sz w:val="22"/>
          <w:szCs w:val="22"/>
        </w:rPr>
        <w:t xml:space="preserve">. But it would be reasonable to expect that the standard for SQE Part 2 to be </w:t>
      </w:r>
      <w:r w:rsidR="002E0AF3">
        <w:rPr>
          <w:rFonts w:ascii="Arial" w:hAnsi="Arial" w:cs="Arial"/>
          <w:sz w:val="22"/>
          <w:szCs w:val="22"/>
        </w:rPr>
        <w:t xml:space="preserve">considerably </w:t>
      </w:r>
      <w:r w:rsidR="0061600E" w:rsidRPr="00E671F4">
        <w:rPr>
          <w:rFonts w:ascii="Arial" w:hAnsi="Arial" w:cs="Arial"/>
          <w:sz w:val="22"/>
          <w:szCs w:val="22"/>
        </w:rPr>
        <w:t>more demanding than the current LPC skills assessments given that SQE will test skills against the benchmark of ‘day one’ competence which should reflect two years of practice experience</w:t>
      </w:r>
      <w:r w:rsidR="005F3DDF">
        <w:rPr>
          <w:rFonts w:ascii="Arial" w:hAnsi="Arial" w:cs="Arial"/>
          <w:sz w:val="22"/>
          <w:szCs w:val="22"/>
        </w:rPr>
        <w:t>,</w:t>
      </w:r>
      <w:r w:rsidR="0061600E" w:rsidRPr="00E671F4">
        <w:rPr>
          <w:rFonts w:ascii="Arial" w:hAnsi="Arial" w:cs="Arial"/>
          <w:sz w:val="22"/>
          <w:szCs w:val="22"/>
        </w:rPr>
        <w:t xml:space="preserve"> unlike the </w:t>
      </w:r>
      <w:r w:rsidR="0061600E" w:rsidRPr="00E671F4">
        <w:rPr>
          <w:rFonts w:ascii="Arial" w:hAnsi="Arial" w:cs="Arial"/>
          <w:sz w:val="22"/>
          <w:szCs w:val="22"/>
        </w:rPr>
        <w:lastRenderedPageBreak/>
        <w:t>current LPC which is usually completed before gaining any practice experience.</w:t>
      </w:r>
      <w:r w:rsidR="00354F25">
        <w:rPr>
          <w:rStyle w:val="FootnoteReference"/>
          <w:rFonts w:ascii="Arial" w:hAnsi="Arial" w:cs="Arial"/>
          <w:sz w:val="22"/>
          <w:szCs w:val="22"/>
        </w:rPr>
        <w:footnoteReference w:id="64"/>
      </w:r>
      <w:r w:rsidR="00FC25A2">
        <w:rPr>
          <w:rFonts w:ascii="Arial" w:hAnsi="Arial" w:cs="Arial"/>
          <w:sz w:val="22"/>
          <w:szCs w:val="22"/>
        </w:rPr>
        <w:t xml:space="preserve"> For </w:t>
      </w:r>
      <w:r w:rsidR="00C03CED">
        <w:rPr>
          <w:rFonts w:ascii="Arial" w:hAnsi="Arial" w:cs="Arial"/>
          <w:sz w:val="22"/>
          <w:szCs w:val="22"/>
        </w:rPr>
        <w:t>c</w:t>
      </w:r>
      <w:r w:rsidR="0003514A">
        <w:rPr>
          <w:rFonts w:ascii="Arial" w:hAnsi="Arial" w:cs="Arial"/>
          <w:sz w:val="22"/>
          <w:szCs w:val="22"/>
        </w:rPr>
        <w:t xml:space="preserve">ourse providers </w:t>
      </w:r>
      <w:r w:rsidR="00FC25A2">
        <w:rPr>
          <w:rFonts w:ascii="Arial" w:hAnsi="Arial" w:cs="Arial"/>
          <w:sz w:val="22"/>
          <w:szCs w:val="22"/>
        </w:rPr>
        <w:t>determining</w:t>
      </w:r>
      <w:r w:rsidR="00C03CED">
        <w:rPr>
          <w:rFonts w:ascii="Arial" w:hAnsi="Arial" w:cs="Arial"/>
          <w:sz w:val="22"/>
          <w:szCs w:val="22"/>
        </w:rPr>
        <w:t xml:space="preserve"> a level for an award it is likely to be level 7 (masters</w:t>
      </w:r>
      <w:r w:rsidR="00CB30B6">
        <w:rPr>
          <w:rFonts w:ascii="Arial" w:hAnsi="Arial" w:cs="Arial"/>
          <w:sz w:val="22"/>
          <w:szCs w:val="22"/>
        </w:rPr>
        <w:t>) as this</w:t>
      </w:r>
      <w:r w:rsidR="009558A3">
        <w:rPr>
          <w:rFonts w:ascii="Arial" w:hAnsi="Arial" w:cs="Arial"/>
          <w:sz w:val="22"/>
          <w:szCs w:val="22"/>
        </w:rPr>
        <w:t xml:space="preserve"> would be defendable </w:t>
      </w:r>
      <w:r w:rsidR="00C03CED">
        <w:rPr>
          <w:rFonts w:ascii="Arial" w:hAnsi="Arial" w:cs="Arial"/>
          <w:sz w:val="22"/>
          <w:szCs w:val="22"/>
        </w:rPr>
        <w:t xml:space="preserve">within </w:t>
      </w:r>
      <w:r w:rsidR="00CB30B6">
        <w:rPr>
          <w:rFonts w:ascii="Arial" w:hAnsi="Arial" w:cs="Arial"/>
          <w:sz w:val="22"/>
          <w:szCs w:val="22"/>
        </w:rPr>
        <w:t>a</w:t>
      </w:r>
      <w:r w:rsidR="00C03CED">
        <w:rPr>
          <w:rFonts w:ascii="Arial" w:hAnsi="Arial" w:cs="Arial"/>
          <w:sz w:val="22"/>
          <w:szCs w:val="22"/>
        </w:rPr>
        <w:t xml:space="preserve"> f</w:t>
      </w:r>
      <w:r w:rsidR="0031290F">
        <w:rPr>
          <w:rFonts w:ascii="Arial" w:hAnsi="Arial" w:cs="Arial"/>
          <w:sz w:val="22"/>
          <w:szCs w:val="22"/>
        </w:rPr>
        <w:t>r</w:t>
      </w:r>
      <w:r w:rsidR="0003514A" w:rsidRPr="002363EB">
        <w:rPr>
          <w:rFonts w:ascii="Arial" w:hAnsi="Arial" w:cs="Arial"/>
          <w:sz w:val="22"/>
          <w:szCs w:val="22"/>
        </w:rPr>
        <w:t xml:space="preserve">amework </w:t>
      </w:r>
      <w:r w:rsidR="009558A3">
        <w:rPr>
          <w:rFonts w:ascii="Arial" w:hAnsi="Arial" w:cs="Arial"/>
          <w:sz w:val="22"/>
          <w:szCs w:val="22"/>
        </w:rPr>
        <w:t>with which</w:t>
      </w:r>
      <w:r w:rsidR="00CB30B6">
        <w:rPr>
          <w:rFonts w:ascii="Arial" w:hAnsi="Arial" w:cs="Arial"/>
          <w:sz w:val="22"/>
          <w:szCs w:val="22"/>
        </w:rPr>
        <w:t xml:space="preserve"> they are familiar</w:t>
      </w:r>
      <w:r w:rsidR="005E617E">
        <w:rPr>
          <w:rFonts w:ascii="Arial" w:hAnsi="Arial" w:cs="Arial"/>
          <w:sz w:val="22"/>
          <w:szCs w:val="22"/>
        </w:rPr>
        <w:t>.</w:t>
      </w:r>
    </w:p>
    <w:tbl>
      <w:tblPr>
        <w:tblW w:w="15168" w:type="dxa"/>
        <w:tblInd w:w="-271" w:type="dxa"/>
        <w:tblLayout w:type="fixed"/>
        <w:tblCellMar>
          <w:left w:w="0" w:type="dxa"/>
          <w:right w:w="0" w:type="dxa"/>
        </w:tblCellMar>
        <w:tblLook w:val="0600" w:firstRow="0" w:lastRow="0" w:firstColumn="0" w:lastColumn="0" w:noHBand="1" w:noVBand="1"/>
      </w:tblPr>
      <w:tblGrid>
        <w:gridCol w:w="1702"/>
        <w:gridCol w:w="2268"/>
        <w:gridCol w:w="1843"/>
        <w:gridCol w:w="217"/>
        <w:gridCol w:w="350"/>
        <w:gridCol w:w="992"/>
        <w:gridCol w:w="1486"/>
        <w:gridCol w:w="2126"/>
        <w:gridCol w:w="1134"/>
        <w:gridCol w:w="709"/>
        <w:gridCol w:w="1207"/>
        <w:gridCol w:w="1134"/>
      </w:tblGrid>
      <w:tr w:rsidR="004A6BF7" w:rsidRPr="00EB2215" w14:paraId="1D366BE6" w14:textId="77777777" w:rsidTr="00FF2C4A">
        <w:trPr>
          <w:trHeight w:val="515"/>
        </w:trPr>
        <w:tc>
          <w:tcPr>
            <w:tcW w:w="1702" w:type="dxa"/>
            <w:tcBorders>
              <w:top w:val="single" w:sz="8" w:space="0" w:color="000000"/>
              <w:left w:val="single" w:sz="8" w:space="0" w:color="000000"/>
              <w:bottom w:val="single" w:sz="8" w:space="0" w:color="000000"/>
              <w:right w:val="single" w:sz="8" w:space="0" w:color="000000"/>
            </w:tcBorders>
            <w:shd w:val="clear" w:color="auto" w:fill="F2F2F2"/>
            <w:tcMar>
              <w:top w:w="17" w:type="dxa"/>
              <w:left w:w="13" w:type="dxa"/>
              <w:bottom w:w="0" w:type="dxa"/>
              <w:right w:w="13" w:type="dxa"/>
            </w:tcMar>
            <w:vAlign w:val="center"/>
          </w:tcPr>
          <w:p w14:paraId="67337FB4" w14:textId="77777777" w:rsidR="004A6BF7" w:rsidRPr="00EB2215" w:rsidRDefault="004A6BF7" w:rsidP="004A6BF7">
            <w:pPr>
              <w:rPr>
                <w:rFonts w:ascii="Arial" w:hAnsi="Arial" w:cs="Arial"/>
                <w:b/>
                <w:sz w:val="22"/>
                <w:szCs w:val="22"/>
              </w:rPr>
            </w:pPr>
            <w:r w:rsidRPr="00EB2215">
              <w:rPr>
                <w:rFonts w:ascii="Arial" w:hAnsi="Arial" w:cs="Arial"/>
                <w:b/>
                <w:sz w:val="22"/>
                <w:szCs w:val="22"/>
              </w:rPr>
              <w:lastRenderedPageBreak/>
              <w:t>SQE Part 1</w:t>
            </w:r>
          </w:p>
          <w:p w14:paraId="542F373C" w14:textId="77777777" w:rsidR="00184BAE" w:rsidRDefault="0057472B" w:rsidP="0057472B">
            <w:pPr>
              <w:rPr>
                <w:rFonts w:ascii="Arial" w:hAnsi="Arial" w:cs="Arial"/>
                <w:b/>
                <w:sz w:val="22"/>
                <w:szCs w:val="22"/>
              </w:rPr>
            </w:pPr>
            <w:r>
              <w:rPr>
                <w:rFonts w:ascii="Arial" w:hAnsi="Arial" w:cs="Arial"/>
                <w:b/>
                <w:sz w:val="22"/>
                <w:szCs w:val="22"/>
              </w:rPr>
              <w:t>Domains</w:t>
            </w:r>
            <w:r w:rsidR="004A6BF7" w:rsidRPr="00EB2215">
              <w:rPr>
                <w:rFonts w:ascii="Arial" w:hAnsi="Arial" w:cs="Arial"/>
                <w:b/>
                <w:sz w:val="22"/>
                <w:szCs w:val="22"/>
              </w:rPr>
              <w:t xml:space="preserve"> </w:t>
            </w:r>
          </w:p>
          <w:p w14:paraId="3DB6FE06" w14:textId="3F77AE34" w:rsidR="004A6BF7" w:rsidRPr="00EB2215" w:rsidRDefault="0057472B" w:rsidP="0057472B">
            <w:pPr>
              <w:rPr>
                <w:rFonts w:ascii="Arial" w:hAnsi="Arial" w:cs="Arial"/>
                <w:b/>
                <w:sz w:val="22"/>
                <w:szCs w:val="22"/>
              </w:rPr>
            </w:pPr>
            <w:r>
              <w:rPr>
                <w:rFonts w:ascii="Arial" w:hAnsi="Arial" w:cs="Arial"/>
                <w:b/>
                <w:sz w:val="22"/>
                <w:szCs w:val="22"/>
              </w:rPr>
              <w:t>(exam</w:t>
            </w:r>
            <w:r w:rsidR="00184BAE">
              <w:rPr>
                <w:rFonts w:ascii="Arial" w:hAnsi="Arial" w:cs="Arial"/>
                <w:b/>
                <w:sz w:val="22"/>
                <w:szCs w:val="22"/>
              </w:rPr>
              <w:t xml:space="preserve"> groupings</w:t>
            </w:r>
            <w:r>
              <w:rPr>
                <w:rFonts w:ascii="Arial" w:hAnsi="Arial" w:cs="Arial"/>
                <w:b/>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Pr>
          <w:p w14:paraId="303BF9A8" w14:textId="77777777" w:rsidR="004A6BF7" w:rsidRPr="00EB2215" w:rsidRDefault="004A6BF7" w:rsidP="00FF2C4A">
            <w:pPr>
              <w:ind w:left="142"/>
              <w:rPr>
                <w:rFonts w:ascii="Arial" w:hAnsi="Arial" w:cs="Arial"/>
                <w:b/>
                <w:sz w:val="22"/>
                <w:szCs w:val="22"/>
              </w:rPr>
            </w:pPr>
            <w:r w:rsidRPr="00EB2215">
              <w:rPr>
                <w:rFonts w:ascii="Arial" w:hAnsi="Arial" w:cs="Arial"/>
                <w:b/>
                <w:sz w:val="22"/>
                <w:szCs w:val="22"/>
              </w:rPr>
              <w:t>Exam titles as proposed in the Assessment specification 2017</w:t>
            </w:r>
          </w:p>
        </w:tc>
        <w:tc>
          <w:tcPr>
            <w:tcW w:w="4888" w:type="dxa"/>
            <w:gridSpan w:val="5"/>
            <w:tcBorders>
              <w:top w:val="single" w:sz="8" w:space="0" w:color="000000"/>
              <w:left w:val="single" w:sz="8" w:space="0" w:color="000000"/>
              <w:bottom w:val="single" w:sz="8" w:space="0" w:color="000000"/>
              <w:right w:val="single" w:sz="8" w:space="0" w:color="000000"/>
            </w:tcBorders>
            <w:shd w:val="clear" w:color="auto" w:fill="F2F2F2"/>
          </w:tcPr>
          <w:p w14:paraId="07E574D5" w14:textId="77777777" w:rsidR="004A6BF7" w:rsidRPr="00EB2215" w:rsidRDefault="004A6BF7" w:rsidP="00FF2C4A">
            <w:pPr>
              <w:ind w:left="142"/>
              <w:jc w:val="center"/>
              <w:rPr>
                <w:rFonts w:ascii="Arial" w:hAnsi="Arial" w:cs="Arial"/>
                <w:b/>
                <w:sz w:val="22"/>
                <w:szCs w:val="22"/>
                <w:lang w:val="en-GB"/>
              </w:rPr>
            </w:pPr>
          </w:p>
          <w:p w14:paraId="08BFB7D8" w14:textId="77777777" w:rsidR="004A6BF7" w:rsidRPr="00EB2215" w:rsidRDefault="004A6BF7" w:rsidP="00FF2C4A">
            <w:pPr>
              <w:ind w:left="142"/>
              <w:jc w:val="center"/>
              <w:rPr>
                <w:rFonts w:ascii="Arial" w:hAnsi="Arial" w:cs="Arial"/>
                <w:b/>
                <w:sz w:val="22"/>
                <w:szCs w:val="22"/>
              </w:rPr>
            </w:pPr>
            <w:r w:rsidRPr="00EB2215">
              <w:rPr>
                <w:rFonts w:ascii="Arial" w:hAnsi="Arial" w:cs="Arial"/>
                <w:b/>
                <w:sz w:val="22"/>
                <w:szCs w:val="22"/>
              </w:rPr>
              <w:t xml:space="preserve">From </w:t>
            </w:r>
            <w:r w:rsidR="00BF6500">
              <w:rPr>
                <w:rFonts w:ascii="Arial" w:hAnsi="Arial" w:cs="Arial"/>
                <w:b/>
                <w:sz w:val="22"/>
                <w:szCs w:val="22"/>
              </w:rPr>
              <w:t>CPE/</w:t>
            </w:r>
            <w:r w:rsidRPr="00EB2215">
              <w:rPr>
                <w:rFonts w:ascii="Arial" w:hAnsi="Arial" w:cs="Arial"/>
                <w:b/>
                <w:sz w:val="22"/>
                <w:szCs w:val="22"/>
              </w:rPr>
              <w:t>GDL</w:t>
            </w:r>
          </w:p>
        </w:tc>
        <w:tc>
          <w:tcPr>
            <w:tcW w:w="6310" w:type="dxa"/>
            <w:gridSpan w:val="5"/>
            <w:tcBorders>
              <w:top w:val="single" w:sz="8" w:space="0" w:color="000000"/>
              <w:left w:val="single" w:sz="8" w:space="0" w:color="000000"/>
              <w:bottom w:val="single" w:sz="12" w:space="0" w:color="auto"/>
              <w:right w:val="single" w:sz="8" w:space="0" w:color="000000"/>
            </w:tcBorders>
            <w:shd w:val="clear" w:color="auto" w:fill="F2F2F2"/>
            <w:tcMar>
              <w:top w:w="17" w:type="dxa"/>
              <w:left w:w="13" w:type="dxa"/>
              <w:bottom w:w="0" w:type="dxa"/>
              <w:right w:w="13" w:type="dxa"/>
            </w:tcMar>
            <w:vAlign w:val="center"/>
          </w:tcPr>
          <w:p w14:paraId="3DFC903E" w14:textId="77777777" w:rsidR="004A6BF7" w:rsidRPr="00EB2215" w:rsidRDefault="004A6BF7" w:rsidP="00FF2C4A">
            <w:pPr>
              <w:ind w:left="60"/>
              <w:jc w:val="center"/>
              <w:rPr>
                <w:rFonts w:ascii="Arial" w:hAnsi="Arial" w:cs="Arial"/>
                <w:b/>
                <w:sz w:val="22"/>
                <w:szCs w:val="22"/>
              </w:rPr>
            </w:pPr>
            <w:r w:rsidRPr="00EB2215">
              <w:rPr>
                <w:rFonts w:ascii="Arial" w:hAnsi="Arial" w:cs="Arial"/>
                <w:b/>
                <w:sz w:val="22"/>
                <w:szCs w:val="22"/>
              </w:rPr>
              <w:t>From LPC</w:t>
            </w:r>
          </w:p>
        </w:tc>
      </w:tr>
      <w:tr w:rsidR="004A6BF7" w:rsidRPr="00EB2215" w14:paraId="6F1E8DC3" w14:textId="77777777" w:rsidTr="00FF2C4A">
        <w:trPr>
          <w:trHeight w:val="1077"/>
        </w:trPr>
        <w:tc>
          <w:tcPr>
            <w:tcW w:w="1702" w:type="dxa"/>
            <w:vMerge w:val="restart"/>
            <w:tcBorders>
              <w:top w:val="single" w:sz="12" w:space="0" w:color="auto"/>
              <w:left w:val="single" w:sz="8" w:space="0" w:color="000000"/>
              <w:right w:val="single" w:sz="8" w:space="0" w:color="000000"/>
            </w:tcBorders>
            <w:shd w:val="clear" w:color="auto" w:fill="F2F2F2"/>
            <w:tcMar>
              <w:top w:w="17" w:type="dxa"/>
              <w:left w:w="13" w:type="dxa"/>
              <w:bottom w:w="0" w:type="dxa"/>
              <w:right w:w="13" w:type="dxa"/>
            </w:tcMar>
            <w:vAlign w:val="center"/>
            <w:hideMark/>
          </w:tcPr>
          <w:p w14:paraId="4BD61412" w14:textId="77777777" w:rsidR="003A20B3" w:rsidRPr="00EB2215" w:rsidRDefault="00BF6500" w:rsidP="00FF2C4A">
            <w:pPr>
              <w:jc w:val="center"/>
              <w:rPr>
                <w:rFonts w:ascii="Arial" w:hAnsi="Arial" w:cs="Arial"/>
                <w:sz w:val="22"/>
                <w:szCs w:val="22"/>
              </w:rPr>
            </w:pPr>
            <w:r>
              <w:rPr>
                <w:rFonts w:ascii="Arial" w:hAnsi="Arial" w:cs="Arial"/>
                <w:sz w:val="22"/>
                <w:szCs w:val="22"/>
              </w:rPr>
              <w:t xml:space="preserve">Domain </w:t>
            </w:r>
            <w:r w:rsidR="004A6BF7" w:rsidRPr="00EB2215">
              <w:rPr>
                <w:rFonts w:ascii="Arial" w:hAnsi="Arial" w:cs="Arial"/>
                <w:sz w:val="22"/>
                <w:szCs w:val="22"/>
              </w:rPr>
              <w:t>1</w:t>
            </w:r>
          </w:p>
        </w:tc>
        <w:tc>
          <w:tcPr>
            <w:tcW w:w="2268" w:type="dxa"/>
            <w:tcBorders>
              <w:top w:val="single" w:sz="12" w:space="0" w:color="auto"/>
              <w:left w:val="single" w:sz="8" w:space="0" w:color="000000"/>
              <w:bottom w:val="single" w:sz="8" w:space="0" w:color="000000"/>
              <w:right w:val="single" w:sz="8" w:space="0" w:color="000000"/>
            </w:tcBorders>
            <w:shd w:val="clear" w:color="auto" w:fill="auto"/>
          </w:tcPr>
          <w:p w14:paraId="6ECCD53F"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 xml:space="preserve">Dispute Resolution in Contract and/or Tort </w:t>
            </w:r>
          </w:p>
        </w:tc>
        <w:tc>
          <w:tcPr>
            <w:tcW w:w="2410" w:type="dxa"/>
            <w:gridSpan w:val="3"/>
            <w:tcBorders>
              <w:top w:val="single" w:sz="12" w:space="0" w:color="auto"/>
              <w:left w:val="single" w:sz="8" w:space="0" w:color="000000"/>
              <w:bottom w:val="single" w:sz="8" w:space="0" w:color="000000"/>
              <w:right w:val="single" w:sz="8" w:space="0" w:color="000000"/>
            </w:tcBorders>
            <w:shd w:val="clear" w:color="auto" w:fill="auto"/>
          </w:tcPr>
          <w:p w14:paraId="431DC281"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Core principles of contract law</w:t>
            </w:r>
          </w:p>
        </w:tc>
        <w:tc>
          <w:tcPr>
            <w:tcW w:w="2478" w:type="dxa"/>
            <w:gridSpan w:val="2"/>
            <w:tcBorders>
              <w:top w:val="single" w:sz="12" w:space="0" w:color="auto"/>
              <w:left w:val="single" w:sz="8" w:space="0" w:color="000000"/>
              <w:right w:val="single" w:sz="8" w:space="0" w:color="000000"/>
            </w:tcBorders>
            <w:shd w:val="clear" w:color="auto" w:fill="auto"/>
          </w:tcPr>
          <w:p w14:paraId="67BBA900"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Core principles of tort</w:t>
            </w:r>
          </w:p>
        </w:tc>
        <w:tc>
          <w:tcPr>
            <w:tcW w:w="6310" w:type="dxa"/>
            <w:gridSpan w:val="5"/>
            <w:tcBorders>
              <w:top w:val="single" w:sz="12" w:space="0" w:color="auto"/>
              <w:left w:val="single" w:sz="8" w:space="0" w:color="000000"/>
              <w:bottom w:val="single" w:sz="4" w:space="0" w:color="auto"/>
              <w:right w:val="single" w:sz="8" w:space="0" w:color="000000"/>
            </w:tcBorders>
            <w:shd w:val="clear" w:color="auto" w:fill="auto"/>
            <w:tcMar>
              <w:top w:w="17" w:type="dxa"/>
              <w:left w:w="13" w:type="dxa"/>
              <w:bottom w:w="0" w:type="dxa"/>
              <w:right w:w="13" w:type="dxa"/>
            </w:tcMar>
            <w:hideMark/>
          </w:tcPr>
          <w:p w14:paraId="254F528C"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The principles, procedures and processes involved in dispute resolution and the Rules of Civil Procedure</w:t>
            </w:r>
          </w:p>
        </w:tc>
      </w:tr>
      <w:tr w:rsidR="004A6BF7" w:rsidRPr="00EB2215" w14:paraId="1F99F4B8" w14:textId="77777777" w:rsidTr="00FF2C4A">
        <w:trPr>
          <w:trHeight w:val="623"/>
        </w:trPr>
        <w:tc>
          <w:tcPr>
            <w:tcW w:w="1702" w:type="dxa"/>
            <w:vMerge/>
            <w:tcBorders>
              <w:top w:val="single" w:sz="4" w:space="0" w:color="auto"/>
              <w:left w:val="single" w:sz="8" w:space="0" w:color="000000"/>
              <w:bottom w:val="single" w:sz="8" w:space="0" w:color="auto"/>
              <w:right w:val="single" w:sz="8" w:space="0" w:color="000000"/>
            </w:tcBorders>
            <w:shd w:val="clear" w:color="auto" w:fill="auto"/>
            <w:tcMar>
              <w:top w:w="17" w:type="dxa"/>
              <w:left w:w="13" w:type="dxa"/>
              <w:bottom w:w="0" w:type="dxa"/>
              <w:right w:w="13" w:type="dxa"/>
            </w:tcMar>
            <w:vAlign w:val="center"/>
            <w:hideMark/>
          </w:tcPr>
          <w:p w14:paraId="023167EE" w14:textId="77777777" w:rsidR="004A6BF7" w:rsidRPr="00EB2215" w:rsidRDefault="004A6BF7" w:rsidP="00EB2215">
            <w:pPr>
              <w:jc w:val="center"/>
              <w:rPr>
                <w:rFonts w:ascii="Arial" w:hAnsi="Arial" w:cs="Arial"/>
                <w:sz w:val="22"/>
                <w:szCs w:val="22"/>
              </w:rPr>
            </w:pPr>
          </w:p>
        </w:tc>
        <w:tc>
          <w:tcPr>
            <w:tcW w:w="2268" w:type="dxa"/>
            <w:tcBorders>
              <w:top w:val="single" w:sz="8" w:space="0" w:color="000000"/>
              <w:left w:val="single" w:sz="8" w:space="0" w:color="000000"/>
              <w:bottom w:val="single" w:sz="8" w:space="0" w:color="auto"/>
              <w:right w:val="single" w:sz="8" w:space="0" w:color="000000"/>
            </w:tcBorders>
            <w:shd w:val="clear" w:color="auto" w:fill="auto"/>
          </w:tcPr>
          <w:p w14:paraId="3C6CD321"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 xml:space="preserve">Business Law and Practice </w:t>
            </w:r>
          </w:p>
          <w:p w14:paraId="35EC5F46" w14:textId="77777777" w:rsidR="004A6BF7" w:rsidRPr="00EB2215" w:rsidRDefault="004A6BF7" w:rsidP="00FF2C4A">
            <w:pPr>
              <w:ind w:left="142"/>
              <w:rPr>
                <w:rFonts w:ascii="Arial" w:hAnsi="Arial" w:cs="Arial"/>
                <w:sz w:val="22"/>
                <w:szCs w:val="22"/>
                <w:lang w:val="en-GB"/>
              </w:rPr>
            </w:pPr>
          </w:p>
        </w:tc>
        <w:tc>
          <w:tcPr>
            <w:tcW w:w="4888" w:type="dxa"/>
            <w:gridSpan w:val="5"/>
            <w:tcBorders>
              <w:top w:val="single" w:sz="8" w:space="0" w:color="000000"/>
              <w:left w:val="single" w:sz="8" w:space="0" w:color="000000"/>
              <w:bottom w:val="single" w:sz="8" w:space="0" w:color="auto"/>
              <w:right w:val="single" w:sz="8" w:space="0" w:color="000000"/>
            </w:tcBorders>
            <w:shd w:val="clear" w:color="auto" w:fill="auto"/>
          </w:tcPr>
          <w:p w14:paraId="480FD972"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Core principles of contract law</w:t>
            </w:r>
          </w:p>
        </w:tc>
        <w:tc>
          <w:tcPr>
            <w:tcW w:w="3969" w:type="dxa"/>
            <w:gridSpan w:val="3"/>
            <w:tcBorders>
              <w:top w:val="single" w:sz="4" w:space="0" w:color="auto"/>
              <w:left w:val="single" w:sz="8" w:space="0" w:color="000000"/>
              <w:bottom w:val="single" w:sz="8" w:space="0" w:color="auto"/>
              <w:right w:val="single" w:sz="4" w:space="0" w:color="auto"/>
            </w:tcBorders>
            <w:shd w:val="clear" w:color="auto" w:fill="auto"/>
            <w:tcMar>
              <w:top w:w="17" w:type="dxa"/>
              <w:left w:w="13" w:type="dxa"/>
              <w:bottom w:w="0" w:type="dxa"/>
              <w:right w:w="13" w:type="dxa"/>
            </w:tcMar>
            <w:hideMark/>
          </w:tcPr>
          <w:p w14:paraId="2315BC2A"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Business organisations, rules and procedures</w:t>
            </w:r>
          </w:p>
        </w:tc>
        <w:tc>
          <w:tcPr>
            <w:tcW w:w="2341" w:type="dxa"/>
            <w:gridSpan w:val="2"/>
            <w:tcBorders>
              <w:top w:val="single" w:sz="4" w:space="0" w:color="auto"/>
              <w:left w:val="single" w:sz="4" w:space="0" w:color="auto"/>
              <w:bottom w:val="single" w:sz="8" w:space="0" w:color="auto"/>
              <w:right w:val="single" w:sz="8" w:space="0" w:color="000000"/>
            </w:tcBorders>
            <w:shd w:val="clear" w:color="auto" w:fill="auto"/>
            <w:tcMar>
              <w:top w:w="17" w:type="dxa"/>
              <w:left w:w="13" w:type="dxa"/>
              <w:bottom w:w="0" w:type="dxa"/>
              <w:right w:w="13" w:type="dxa"/>
            </w:tcMar>
            <w:hideMark/>
          </w:tcPr>
          <w:p w14:paraId="13E05141" w14:textId="77777777" w:rsidR="004A6BF7" w:rsidRPr="00EB2215" w:rsidRDefault="004A6BF7" w:rsidP="00FF2C4A">
            <w:pPr>
              <w:ind w:left="60"/>
              <w:rPr>
                <w:rFonts w:ascii="Arial" w:hAnsi="Arial" w:cs="Arial"/>
                <w:sz w:val="22"/>
                <w:szCs w:val="22"/>
                <w:lang w:val="en-GB"/>
              </w:rPr>
            </w:pPr>
            <w:r w:rsidRPr="00EB2215">
              <w:rPr>
                <w:rFonts w:ascii="Arial" w:hAnsi="Arial" w:cs="Arial"/>
                <w:sz w:val="22"/>
                <w:szCs w:val="22"/>
                <w:lang w:val="en-GB"/>
              </w:rPr>
              <w:t>Taxation of business organisations</w:t>
            </w:r>
          </w:p>
        </w:tc>
      </w:tr>
      <w:tr w:rsidR="004A6BF7" w:rsidRPr="00EB2215" w14:paraId="33EEA434" w14:textId="77777777" w:rsidTr="00FF2C4A">
        <w:trPr>
          <w:trHeight w:val="1041"/>
        </w:trPr>
        <w:tc>
          <w:tcPr>
            <w:tcW w:w="1702" w:type="dxa"/>
            <w:vMerge w:val="restart"/>
            <w:tcBorders>
              <w:top w:val="single" w:sz="12" w:space="0" w:color="auto"/>
              <w:left w:val="single" w:sz="8" w:space="0" w:color="000000"/>
              <w:right w:val="single" w:sz="8" w:space="0" w:color="000000"/>
            </w:tcBorders>
            <w:shd w:val="clear" w:color="auto" w:fill="F2F2F2" w:themeFill="background1" w:themeFillShade="F2"/>
            <w:tcMar>
              <w:top w:w="17" w:type="dxa"/>
              <w:left w:w="13" w:type="dxa"/>
              <w:bottom w:w="0" w:type="dxa"/>
              <w:right w:w="13" w:type="dxa"/>
            </w:tcMar>
            <w:vAlign w:val="center"/>
            <w:hideMark/>
          </w:tcPr>
          <w:p w14:paraId="704E02F8" w14:textId="77777777" w:rsidR="004A6BF7" w:rsidRPr="00EB2215" w:rsidRDefault="00BF6500" w:rsidP="00EB2215">
            <w:pPr>
              <w:jc w:val="center"/>
              <w:rPr>
                <w:rFonts w:ascii="Arial" w:hAnsi="Arial" w:cs="Arial"/>
                <w:sz w:val="22"/>
                <w:szCs w:val="22"/>
              </w:rPr>
            </w:pPr>
            <w:r>
              <w:rPr>
                <w:rFonts w:ascii="Arial" w:hAnsi="Arial" w:cs="Arial"/>
                <w:sz w:val="22"/>
                <w:szCs w:val="22"/>
              </w:rPr>
              <w:t>Domain</w:t>
            </w:r>
            <w:r w:rsidR="004A6BF7" w:rsidRPr="00EB2215">
              <w:rPr>
                <w:rFonts w:ascii="Arial" w:hAnsi="Arial" w:cs="Arial"/>
                <w:sz w:val="22"/>
                <w:szCs w:val="22"/>
              </w:rPr>
              <w:t xml:space="preserve"> 2</w:t>
            </w:r>
          </w:p>
        </w:tc>
        <w:tc>
          <w:tcPr>
            <w:tcW w:w="2268" w:type="dxa"/>
            <w:tcBorders>
              <w:top w:val="single" w:sz="12" w:space="0" w:color="auto"/>
              <w:left w:val="single" w:sz="8" w:space="0" w:color="000000"/>
              <w:bottom w:val="single" w:sz="4" w:space="0" w:color="000000"/>
              <w:right w:val="single" w:sz="8" w:space="0" w:color="000000"/>
            </w:tcBorders>
          </w:tcPr>
          <w:p w14:paraId="7BD4D2E9"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 xml:space="preserve">Property Law and Practice </w:t>
            </w:r>
          </w:p>
          <w:p w14:paraId="2EAC275C" w14:textId="77777777" w:rsidR="004A6BF7" w:rsidRPr="00EB2215" w:rsidRDefault="004A6BF7" w:rsidP="00FF2C4A">
            <w:pPr>
              <w:ind w:left="142"/>
              <w:rPr>
                <w:rFonts w:ascii="Arial" w:hAnsi="Arial" w:cs="Arial"/>
                <w:sz w:val="22"/>
                <w:szCs w:val="22"/>
                <w:lang w:val="en-GB"/>
              </w:rPr>
            </w:pPr>
          </w:p>
        </w:tc>
        <w:tc>
          <w:tcPr>
            <w:tcW w:w="2060" w:type="dxa"/>
            <w:gridSpan w:val="2"/>
            <w:tcBorders>
              <w:top w:val="single" w:sz="12" w:space="0" w:color="auto"/>
              <w:left w:val="single" w:sz="8" w:space="0" w:color="000000"/>
              <w:bottom w:val="single" w:sz="4" w:space="0" w:color="000000"/>
              <w:right w:val="single" w:sz="8" w:space="0" w:color="000000"/>
            </w:tcBorders>
            <w:shd w:val="clear" w:color="auto" w:fill="auto"/>
          </w:tcPr>
          <w:p w14:paraId="1D6ED1DC"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 xml:space="preserve">Core principles of land law </w:t>
            </w:r>
          </w:p>
        </w:tc>
        <w:tc>
          <w:tcPr>
            <w:tcW w:w="2828" w:type="dxa"/>
            <w:gridSpan w:val="3"/>
            <w:tcBorders>
              <w:top w:val="single" w:sz="12" w:space="0" w:color="auto"/>
              <w:left w:val="single" w:sz="8" w:space="0" w:color="000000"/>
              <w:bottom w:val="single" w:sz="4" w:space="0" w:color="000000"/>
              <w:right w:val="single" w:sz="8" w:space="0" w:color="000000"/>
            </w:tcBorders>
            <w:shd w:val="clear" w:color="auto" w:fill="auto"/>
          </w:tcPr>
          <w:p w14:paraId="3F75ABCE"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Relevant aspects of trust and contract law</w:t>
            </w:r>
          </w:p>
        </w:tc>
        <w:tc>
          <w:tcPr>
            <w:tcW w:w="2126" w:type="dxa"/>
            <w:tcBorders>
              <w:top w:val="single" w:sz="12" w:space="0" w:color="auto"/>
              <w:left w:val="single" w:sz="8" w:space="0" w:color="000000"/>
              <w:bottom w:val="single" w:sz="4" w:space="0" w:color="000000"/>
              <w:right w:val="single" w:sz="4" w:space="0" w:color="000000"/>
            </w:tcBorders>
            <w:shd w:val="clear" w:color="auto" w:fill="auto"/>
            <w:tcMar>
              <w:top w:w="17" w:type="dxa"/>
              <w:left w:w="13" w:type="dxa"/>
              <w:bottom w:w="0" w:type="dxa"/>
              <w:right w:w="13" w:type="dxa"/>
            </w:tcMar>
            <w:hideMark/>
          </w:tcPr>
          <w:p w14:paraId="204CD13C"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 xml:space="preserve">Property Law Practice </w:t>
            </w:r>
          </w:p>
        </w:tc>
        <w:tc>
          <w:tcPr>
            <w:tcW w:w="1843" w:type="dxa"/>
            <w:gridSpan w:val="2"/>
            <w:tcBorders>
              <w:top w:val="single" w:sz="12" w:space="0" w:color="auto"/>
              <w:left w:val="single" w:sz="4" w:space="0" w:color="000000"/>
              <w:bottom w:val="single" w:sz="4" w:space="0" w:color="000000"/>
              <w:right w:val="single" w:sz="4" w:space="0" w:color="000000"/>
            </w:tcBorders>
            <w:shd w:val="clear" w:color="auto" w:fill="auto"/>
            <w:tcMar>
              <w:top w:w="17" w:type="dxa"/>
              <w:left w:w="13" w:type="dxa"/>
              <w:bottom w:w="0" w:type="dxa"/>
              <w:right w:w="13" w:type="dxa"/>
            </w:tcMar>
            <w:hideMark/>
          </w:tcPr>
          <w:p w14:paraId="3E03A4A4"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Principles of property taxation</w:t>
            </w:r>
          </w:p>
        </w:tc>
        <w:tc>
          <w:tcPr>
            <w:tcW w:w="1207" w:type="dxa"/>
            <w:tcBorders>
              <w:top w:val="single" w:sz="12" w:space="0" w:color="auto"/>
              <w:left w:val="single" w:sz="4" w:space="0" w:color="000000"/>
              <w:bottom w:val="single" w:sz="4" w:space="0" w:color="000000"/>
              <w:right w:val="single" w:sz="4" w:space="0" w:color="000000"/>
            </w:tcBorders>
            <w:shd w:val="clear" w:color="auto" w:fill="auto"/>
            <w:tcMar>
              <w:top w:w="17" w:type="dxa"/>
              <w:left w:w="13" w:type="dxa"/>
              <w:bottom w:w="0" w:type="dxa"/>
              <w:right w:w="13" w:type="dxa"/>
            </w:tcMar>
            <w:hideMark/>
          </w:tcPr>
          <w:p w14:paraId="2CD00A1C" w14:textId="77777777" w:rsidR="004A6BF7" w:rsidRPr="00EB2215" w:rsidRDefault="004A6BF7" w:rsidP="00FF2C4A">
            <w:pPr>
              <w:ind w:left="60"/>
              <w:rPr>
                <w:rFonts w:ascii="Arial" w:hAnsi="Arial" w:cs="Arial"/>
                <w:sz w:val="22"/>
                <w:szCs w:val="22"/>
                <w:lang w:val="en-GB"/>
              </w:rPr>
            </w:pPr>
            <w:r w:rsidRPr="00EB2215">
              <w:rPr>
                <w:rFonts w:ascii="Arial" w:hAnsi="Arial" w:cs="Arial"/>
                <w:sz w:val="22"/>
                <w:szCs w:val="22"/>
                <w:lang w:val="en-GB"/>
              </w:rPr>
              <w:t>Tax</w:t>
            </w:r>
          </w:p>
        </w:tc>
        <w:tc>
          <w:tcPr>
            <w:tcW w:w="1134" w:type="dxa"/>
            <w:tcBorders>
              <w:top w:val="single" w:sz="12" w:space="0" w:color="auto"/>
              <w:left w:val="single" w:sz="4" w:space="0" w:color="000000"/>
              <w:bottom w:val="single" w:sz="4" w:space="0" w:color="000000"/>
              <w:right w:val="single" w:sz="8" w:space="0" w:color="000000"/>
            </w:tcBorders>
            <w:shd w:val="clear" w:color="auto" w:fill="auto"/>
            <w:tcMar>
              <w:top w:w="17" w:type="dxa"/>
              <w:left w:w="13" w:type="dxa"/>
              <w:bottom w:w="0" w:type="dxa"/>
              <w:right w:w="13" w:type="dxa"/>
            </w:tcMar>
            <w:hideMark/>
          </w:tcPr>
          <w:p w14:paraId="4420A88B" w14:textId="77777777" w:rsidR="004A6BF7" w:rsidRPr="00EB2215" w:rsidRDefault="004A6BF7" w:rsidP="00FF2C4A">
            <w:pPr>
              <w:ind w:left="60"/>
              <w:rPr>
                <w:rFonts w:ascii="Arial" w:hAnsi="Arial" w:cs="Arial"/>
                <w:sz w:val="22"/>
                <w:szCs w:val="22"/>
                <w:lang w:val="en-GB"/>
              </w:rPr>
            </w:pPr>
            <w:r w:rsidRPr="00EB2215">
              <w:rPr>
                <w:rFonts w:ascii="Arial" w:hAnsi="Arial" w:cs="Arial"/>
                <w:sz w:val="22"/>
                <w:szCs w:val="22"/>
                <w:lang w:val="en-GB"/>
              </w:rPr>
              <w:t>Solicitors Accounts</w:t>
            </w:r>
          </w:p>
        </w:tc>
      </w:tr>
      <w:tr w:rsidR="004A6BF7" w:rsidRPr="00EB2215" w14:paraId="1C5B219F" w14:textId="77777777" w:rsidTr="00FF2C4A">
        <w:trPr>
          <w:trHeight w:val="1086"/>
        </w:trPr>
        <w:tc>
          <w:tcPr>
            <w:tcW w:w="1702" w:type="dxa"/>
            <w:vMerge/>
            <w:tcBorders>
              <w:top w:val="single" w:sz="4" w:space="0" w:color="auto"/>
              <w:left w:val="single" w:sz="8" w:space="0" w:color="000000"/>
              <w:bottom w:val="single" w:sz="12" w:space="0" w:color="auto"/>
              <w:right w:val="single" w:sz="8" w:space="0" w:color="000000"/>
            </w:tcBorders>
            <w:shd w:val="clear" w:color="auto" w:fill="F2F2F2" w:themeFill="background1" w:themeFillShade="F2"/>
            <w:tcMar>
              <w:top w:w="17" w:type="dxa"/>
              <w:left w:w="13" w:type="dxa"/>
              <w:bottom w:w="0" w:type="dxa"/>
              <w:right w:w="13" w:type="dxa"/>
            </w:tcMar>
            <w:vAlign w:val="center"/>
          </w:tcPr>
          <w:p w14:paraId="651E3235" w14:textId="77777777" w:rsidR="004A6BF7" w:rsidRPr="00EB2215" w:rsidRDefault="004A6BF7" w:rsidP="00EB2215">
            <w:pPr>
              <w:jc w:val="center"/>
              <w:rPr>
                <w:rFonts w:ascii="Arial" w:hAnsi="Arial" w:cs="Arial"/>
                <w:sz w:val="22"/>
                <w:szCs w:val="22"/>
              </w:rPr>
            </w:pPr>
          </w:p>
        </w:tc>
        <w:tc>
          <w:tcPr>
            <w:tcW w:w="2268" w:type="dxa"/>
            <w:tcBorders>
              <w:top w:val="single" w:sz="4" w:space="0" w:color="000000"/>
              <w:left w:val="single" w:sz="8" w:space="0" w:color="000000"/>
              <w:bottom w:val="single" w:sz="4" w:space="0" w:color="000000"/>
              <w:right w:val="single" w:sz="8" w:space="0" w:color="000000"/>
            </w:tcBorders>
          </w:tcPr>
          <w:p w14:paraId="52791ADB"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 xml:space="preserve">Wills and the Administration of Estates and Trusts </w:t>
            </w:r>
          </w:p>
        </w:tc>
        <w:tc>
          <w:tcPr>
            <w:tcW w:w="4888" w:type="dxa"/>
            <w:gridSpan w:val="5"/>
            <w:tcBorders>
              <w:top w:val="single" w:sz="4" w:space="0" w:color="000000"/>
              <w:left w:val="single" w:sz="8" w:space="0" w:color="000000"/>
              <w:bottom w:val="single" w:sz="4" w:space="0" w:color="000000"/>
              <w:right w:val="single" w:sz="8" w:space="0" w:color="000000"/>
            </w:tcBorders>
            <w:shd w:val="clear" w:color="auto" w:fill="auto"/>
          </w:tcPr>
          <w:p w14:paraId="0B082A37" w14:textId="77777777" w:rsidR="004A6BF7" w:rsidRPr="00EB2215" w:rsidRDefault="004A6BF7" w:rsidP="00FF2C4A">
            <w:pPr>
              <w:ind w:left="142"/>
              <w:rPr>
                <w:rFonts w:ascii="Arial" w:hAnsi="Arial" w:cs="Arial"/>
                <w:sz w:val="22"/>
                <w:szCs w:val="22"/>
              </w:rPr>
            </w:pPr>
            <w:r w:rsidRPr="00EB2215">
              <w:rPr>
                <w:rFonts w:ascii="Arial" w:hAnsi="Arial" w:cs="Arial"/>
                <w:sz w:val="22"/>
                <w:szCs w:val="22"/>
              </w:rPr>
              <w:t>Trusts law</w:t>
            </w:r>
          </w:p>
        </w:tc>
        <w:tc>
          <w:tcPr>
            <w:tcW w:w="2126" w:type="dxa"/>
            <w:tcBorders>
              <w:top w:val="single" w:sz="4" w:space="0" w:color="000000"/>
              <w:left w:val="single" w:sz="8" w:space="0" w:color="000000"/>
              <w:bottom w:val="single" w:sz="12" w:space="0" w:color="auto"/>
              <w:right w:val="single" w:sz="4" w:space="0" w:color="000000"/>
            </w:tcBorders>
            <w:shd w:val="clear" w:color="auto" w:fill="auto"/>
            <w:tcMar>
              <w:top w:w="17" w:type="dxa"/>
              <w:left w:w="13" w:type="dxa"/>
              <w:bottom w:w="0" w:type="dxa"/>
              <w:right w:w="13" w:type="dxa"/>
            </w:tcMar>
          </w:tcPr>
          <w:p w14:paraId="53482D9C"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 xml:space="preserve">Wills and intestacy </w:t>
            </w:r>
          </w:p>
          <w:p w14:paraId="130AAB44" w14:textId="77777777" w:rsidR="004A6BF7" w:rsidRPr="00EB2215" w:rsidRDefault="004A6BF7" w:rsidP="00FF2C4A">
            <w:pPr>
              <w:ind w:left="60"/>
              <w:rPr>
                <w:rFonts w:ascii="Arial" w:hAnsi="Arial" w:cs="Arial"/>
                <w:sz w:val="22"/>
                <w:szCs w:val="22"/>
                <w:lang w:val="en-GB"/>
              </w:rPr>
            </w:pPr>
          </w:p>
        </w:tc>
        <w:tc>
          <w:tcPr>
            <w:tcW w:w="1843" w:type="dxa"/>
            <w:gridSpan w:val="2"/>
            <w:tcBorders>
              <w:top w:val="single" w:sz="4" w:space="0" w:color="000000"/>
              <w:left w:val="single" w:sz="4" w:space="0" w:color="000000"/>
              <w:bottom w:val="single" w:sz="12" w:space="0" w:color="auto"/>
              <w:right w:val="single" w:sz="4" w:space="0" w:color="000000"/>
            </w:tcBorders>
            <w:shd w:val="clear" w:color="auto" w:fill="auto"/>
            <w:tcMar>
              <w:top w:w="17" w:type="dxa"/>
              <w:left w:w="13" w:type="dxa"/>
              <w:bottom w:w="0" w:type="dxa"/>
              <w:right w:w="13" w:type="dxa"/>
            </w:tcMar>
          </w:tcPr>
          <w:p w14:paraId="1B591145" w14:textId="77777777" w:rsidR="004A6BF7" w:rsidRPr="00EB2215" w:rsidRDefault="004A6BF7" w:rsidP="00FF2C4A">
            <w:pPr>
              <w:ind w:left="60"/>
              <w:rPr>
                <w:rFonts w:ascii="Arial" w:hAnsi="Arial" w:cs="Arial"/>
                <w:sz w:val="22"/>
                <w:szCs w:val="22"/>
              </w:rPr>
            </w:pPr>
            <w:r w:rsidRPr="00EB2215">
              <w:rPr>
                <w:rFonts w:ascii="Arial" w:hAnsi="Arial" w:cs="Arial"/>
                <w:sz w:val="22"/>
                <w:szCs w:val="22"/>
              </w:rPr>
              <w:t>Probate and administration practice</w:t>
            </w:r>
          </w:p>
        </w:tc>
        <w:tc>
          <w:tcPr>
            <w:tcW w:w="1207" w:type="dxa"/>
            <w:tcBorders>
              <w:top w:val="single" w:sz="4" w:space="0" w:color="000000"/>
              <w:left w:val="single" w:sz="4" w:space="0" w:color="000000"/>
              <w:bottom w:val="single" w:sz="12" w:space="0" w:color="auto"/>
              <w:right w:val="single" w:sz="4" w:space="0" w:color="000000"/>
            </w:tcBorders>
            <w:shd w:val="clear" w:color="auto" w:fill="auto"/>
            <w:tcMar>
              <w:top w:w="17" w:type="dxa"/>
              <w:left w:w="13" w:type="dxa"/>
              <w:bottom w:w="0" w:type="dxa"/>
              <w:right w:w="13" w:type="dxa"/>
            </w:tcMar>
          </w:tcPr>
          <w:p w14:paraId="42F83512" w14:textId="77777777" w:rsidR="004A6BF7" w:rsidRPr="00EB2215" w:rsidRDefault="004A6BF7" w:rsidP="00FF2C4A">
            <w:pPr>
              <w:ind w:left="60"/>
              <w:rPr>
                <w:rFonts w:ascii="Arial" w:hAnsi="Arial" w:cs="Arial"/>
                <w:sz w:val="22"/>
                <w:szCs w:val="22"/>
                <w:lang w:val="en-GB"/>
              </w:rPr>
            </w:pPr>
            <w:r w:rsidRPr="00EB2215">
              <w:rPr>
                <w:rFonts w:ascii="Arial" w:hAnsi="Arial" w:cs="Arial"/>
                <w:sz w:val="22"/>
                <w:szCs w:val="22"/>
                <w:lang w:val="en-GB"/>
              </w:rPr>
              <w:t>Trust regulation</w:t>
            </w:r>
          </w:p>
        </w:tc>
        <w:tc>
          <w:tcPr>
            <w:tcW w:w="1134" w:type="dxa"/>
            <w:tcBorders>
              <w:top w:val="single" w:sz="4" w:space="0" w:color="000000"/>
              <w:left w:val="single" w:sz="4" w:space="0" w:color="000000"/>
              <w:bottom w:val="single" w:sz="12" w:space="0" w:color="auto"/>
              <w:right w:val="single" w:sz="8" w:space="0" w:color="000000"/>
            </w:tcBorders>
            <w:shd w:val="clear" w:color="auto" w:fill="auto"/>
            <w:tcMar>
              <w:top w:w="17" w:type="dxa"/>
              <w:left w:w="13" w:type="dxa"/>
              <w:bottom w:w="0" w:type="dxa"/>
              <w:right w:w="13" w:type="dxa"/>
            </w:tcMar>
            <w:vAlign w:val="center"/>
          </w:tcPr>
          <w:p w14:paraId="4718C570" w14:textId="77777777" w:rsidR="004A6BF7" w:rsidRPr="00EB2215" w:rsidRDefault="004A6BF7" w:rsidP="00FF2C4A">
            <w:pPr>
              <w:ind w:left="60"/>
              <w:rPr>
                <w:rFonts w:ascii="Arial" w:hAnsi="Arial" w:cs="Arial"/>
                <w:sz w:val="22"/>
                <w:szCs w:val="22"/>
                <w:lang w:val="en-GB"/>
              </w:rPr>
            </w:pPr>
            <w:r w:rsidRPr="00EB2215">
              <w:rPr>
                <w:rFonts w:ascii="Arial" w:hAnsi="Arial" w:cs="Arial"/>
                <w:sz w:val="22"/>
                <w:szCs w:val="22"/>
                <w:lang w:val="en-GB"/>
              </w:rPr>
              <w:t>Taxation</w:t>
            </w:r>
          </w:p>
        </w:tc>
      </w:tr>
      <w:tr w:rsidR="0015472D" w:rsidRPr="00EB2215" w14:paraId="5F8E9174" w14:textId="77777777" w:rsidTr="00FF2C4A">
        <w:trPr>
          <w:trHeight w:val="1041"/>
        </w:trPr>
        <w:tc>
          <w:tcPr>
            <w:tcW w:w="1702" w:type="dxa"/>
            <w:vMerge w:val="restart"/>
            <w:tcBorders>
              <w:top w:val="single" w:sz="12" w:space="0" w:color="auto"/>
              <w:left w:val="single" w:sz="8" w:space="0" w:color="000000"/>
              <w:right w:val="single" w:sz="8" w:space="0" w:color="000000"/>
            </w:tcBorders>
            <w:shd w:val="clear" w:color="auto" w:fill="F2F2F2" w:themeFill="background1" w:themeFillShade="F2"/>
            <w:tcMar>
              <w:top w:w="17" w:type="dxa"/>
              <w:left w:w="13" w:type="dxa"/>
              <w:bottom w:w="0" w:type="dxa"/>
              <w:right w:w="13" w:type="dxa"/>
            </w:tcMar>
            <w:vAlign w:val="center"/>
          </w:tcPr>
          <w:p w14:paraId="6F25929F" w14:textId="77777777" w:rsidR="0015472D" w:rsidRPr="00EB2215" w:rsidRDefault="00BF6500" w:rsidP="00EB2215">
            <w:pPr>
              <w:jc w:val="center"/>
              <w:rPr>
                <w:rFonts w:ascii="Arial" w:hAnsi="Arial" w:cs="Arial"/>
                <w:sz w:val="22"/>
                <w:szCs w:val="22"/>
              </w:rPr>
            </w:pPr>
            <w:r>
              <w:rPr>
                <w:rFonts w:ascii="Arial" w:hAnsi="Arial" w:cs="Arial"/>
                <w:sz w:val="22"/>
                <w:szCs w:val="22"/>
              </w:rPr>
              <w:t>Domain</w:t>
            </w:r>
            <w:r w:rsidR="0015472D" w:rsidRPr="00EB2215">
              <w:rPr>
                <w:rFonts w:ascii="Arial" w:hAnsi="Arial" w:cs="Arial"/>
                <w:sz w:val="22"/>
                <w:szCs w:val="22"/>
              </w:rPr>
              <w:t xml:space="preserve"> 3</w:t>
            </w:r>
          </w:p>
        </w:tc>
        <w:tc>
          <w:tcPr>
            <w:tcW w:w="2268" w:type="dxa"/>
            <w:tcBorders>
              <w:top w:val="single" w:sz="12" w:space="0" w:color="auto"/>
              <w:left w:val="single" w:sz="8" w:space="0" w:color="000000"/>
              <w:bottom w:val="single" w:sz="4" w:space="0" w:color="000000"/>
              <w:right w:val="single" w:sz="8" w:space="0" w:color="000000"/>
            </w:tcBorders>
          </w:tcPr>
          <w:p w14:paraId="0F76D101" w14:textId="77777777" w:rsidR="0015472D" w:rsidRPr="00EB2215" w:rsidRDefault="0015472D" w:rsidP="00FF2C4A">
            <w:pPr>
              <w:ind w:left="142"/>
              <w:rPr>
                <w:rFonts w:ascii="Arial" w:hAnsi="Arial" w:cs="Arial"/>
                <w:sz w:val="22"/>
                <w:szCs w:val="22"/>
              </w:rPr>
            </w:pPr>
            <w:r w:rsidRPr="00EB2215">
              <w:rPr>
                <w:rFonts w:ascii="Arial" w:hAnsi="Arial" w:cs="Arial"/>
                <w:sz w:val="22"/>
                <w:szCs w:val="22"/>
              </w:rPr>
              <w:t xml:space="preserve">Principles of Professional Conduct, Public and Administrative Law, and the Legal Systems of England and Wales </w:t>
            </w:r>
          </w:p>
        </w:tc>
        <w:tc>
          <w:tcPr>
            <w:tcW w:w="1843" w:type="dxa"/>
            <w:tcBorders>
              <w:top w:val="single" w:sz="12" w:space="0" w:color="auto"/>
              <w:left w:val="single" w:sz="8" w:space="0" w:color="000000"/>
              <w:bottom w:val="single" w:sz="4" w:space="0" w:color="000000"/>
              <w:right w:val="single" w:sz="8" w:space="0" w:color="000000"/>
            </w:tcBorders>
            <w:shd w:val="clear" w:color="auto" w:fill="auto"/>
          </w:tcPr>
          <w:p w14:paraId="5C3CD4ED" w14:textId="77777777" w:rsidR="0015472D" w:rsidRPr="00EB2215" w:rsidRDefault="0015472D" w:rsidP="00FF2C4A">
            <w:pPr>
              <w:ind w:left="142"/>
              <w:rPr>
                <w:rFonts w:ascii="Arial" w:hAnsi="Arial" w:cs="Arial"/>
                <w:sz w:val="22"/>
                <w:szCs w:val="22"/>
              </w:rPr>
            </w:pPr>
            <w:r w:rsidRPr="00EB2215">
              <w:rPr>
                <w:rFonts w:ascii="Arial" w:hAnsi="Arial" w:cs="Arial"/>
                <w:sz w:val="22"/>
                <w:szCs w:val="22"/>
              </w:rPr>
              <w:t>Legal System of England and Wales and Sources of law</w:t>
            </w:r>
          </w:p>
        </w:tc>
        <w:tc>
          <w:tcPr>
            <w:tcW w:w="1559" w:type="dxa"/>
            <w:gridSpan w:val="3"/>
            <w:tcBorders>
              <w:top w:val="single" w:sz="12" w:space="0" w:color="auto"/>
              <w:left w:val="single" w:sz="8" w:space="0" w:color="000000"/>
              <w:bottom w:val="single" w:sz="4" w:space="0" w:color="000000"/>
              <w:right w:val="single" w:sz="8" w:space="0" w:color="000000"/>
            </w:tcBorders>
            <w:shd w:val="clear" w:color="auto" w:fill="auto"/>
          </w:tcPr>
          <w:p w14:paraId="7C8ECB47" w14:textId="77777777" w:rsidR="00C2362C" w:rsidRDefault="0015472D" w:rsidP="00FF2C4A">
            <w:pPr>
              <w:ind w:left="142"/>
              <w:rPr>
                <w:rFonts w:ascii="Arial" w:hAnsi="Arial" w:cs="Arial"/>
                <w:sz w:val="22"/>
                <w:szCs w:val="22"/>
              </w:rPr>
            </w:pPr>
            <w:r w:rsidRPr="00EB2215">
              <w:rPr>
                <w:rFonts w:ascii="Arial" w:hAnsi="Arial" w:cs="Arial"/>
                <w:sz w:val="22"/>
                <w:szCs w:val="22"/>
              </w:rPr>
              <w:t xml:space="preserve">Constitutional law and </w:t>
            </w:r>
          </w:p>
          <w:p w14:paraId="24C15F77" w14:textId="0D1969E4" w:rsidR="0015472D" w:rsidRPr="00EB2215" w:rsidRDefault="0015472D" w:rsidP="00FF2C4A">
            <w:pPr>
              <w:ind w:left="142"/>
              <w:rPr>
                <w:rFonts w:ascii="Arial" w:hAnsi="Arial" w:cs="Arial"/>
                <w:sz w:val="22"/>
                <w:szCs w:val="22"/>
              </w:rPr>
            </w:pPr>
            <w:r w:rsidRPr="00EB2215">
              <w:rPr>
                <w:rFonts w:ascii="Arial" w:hAnsi="Arial" w:cs="Arial"/>
                <w:sz w:val="22"/>
                <w:szCs w:val="22"/>
              </w:rPr>
              <w:t>EU law</w:t>
            </w:r>
          </w:p>
          <w:p w14:paraId="29782A21" w14:textId="77777777" w:rsidR="0015472D" w:rsidRPr="00EB2215" w:rsidRDefault="0015472D" w:rsidP="00FF2C4A">
            <w:pPr>
              <w:ind w:left="142"/>
              <w:rPr>
                <w:rFonts w:ascii="Arial" w:hAnsi="Arial" w:cs="Arial"/>
                <w:sz w:val="22"/>
                <w:szCs w:val="22"/>
                <w:lang w:val="en-GB"/>
              </w:rPr>
            </w:pPr>
          </w:p>
        </w:tc>
        <w:tc>
          <w:tcPr>
            <w:tcW w:w="1486" w:type="dxa"/>
            <w:tcBorders>
              <w:top w:val="single" w:sz="12" w:space="0" w:color="auto"/>
              <w:left w:val="single" w:sz="8" w:space="0" w:color="000000"/>
              <w:bottom w:val="single" w:sz="4" w:space="0" w:color="000000"/>
              <w:right w:val="single" w:sz="8" w:space="0" w:color="000000"/>
            </w:tcBorders>
            <w:shd w:val="clear" w:color="auto" w:fill="auto"/>
          </w:tcPr>
          <w:p w14:paraId="01F4FBEC" w14:textId="6D62E8D0" w:rsidR="0015472D" w:rsidRPr="00EB2215" w:rsidRDefault="0015472D" w:rsidP="00FF2C4A">
            <w:pPr>
              <w:ind w:left="142"/>
              <w:rPr>
                <w:rFonts w:ascii="Arial" w:hAnsi="Arial" w:cs="Arial"/>
                <w:sz w:val="22"/>
                <w:szCs w:val="22"/>
              </w:rPr>
            </w:pPr>
            <w:r w:rsidRPr="00EB2215">
              <w:rPr>
                <w:rFonts w:ascii="Arial" w:hAnsi="Arial" w:cs="Arial"/>
                <w:sz w:val="22"/>
                <w:szCs w:val="22"/>
              </w:rPr>
              <w:t>The Human Rights Act 1998 and Equality Act 2010</w:t>
            </w:r>
          </w:p>
          <w:p w14:paraId="2E714E99" w14:textId="77777777" w:rsidR="0015472D" w:rsidRPr="00EB2215" w:rsidRDefault="0015472D" w:rsidP="00FF2C4A">
            <w:pPr>
              <w:ind w:left="142"/>
              <w:rPr>
                <w:rFonts w:ascii="Arial" w:hAnsi="Arial" w:cs="Arial"/>
                <w:sz w:val="22"/>
                <w:szCs w:val="22"/>
                <w:lang w:val="en-GB"/>
              </w:rPr>
            </w:pPr>
          </w:p>
        </w:tc>
        <w:tc>
          <w:tcPr>
            <w:tcW w:w="2126" w:type="dxa"/>
            <w:tcBorders>
              <w:top w:val="single" w:sz="12" w:space="0" w:color="auto"/>
              <w:left w:val="single" w:sz="8" w:space="0" w:color="000000"/>
              <w:bottom w:val="single" w:sz="4" w:space="0" w:color="000000"/>
              <w:right w:val="single" w:sz="4" w:space="0" w:color="000000"/>
            </w:tcBorders>
            <w:shd w:val="clear" w:color="auto" w:fill="auto"/>
            <w:tcMar>
              <w:top w:w="17" w:type="dxa"/>
              <w:left w:w="13" w:type="dxa"/>
              <w:bottom w:w="0" w:type="dxa"/>
              <w:right w:w="13" w:type="dxa"/>
            </w:tcMar>
          </w:tcPr>
          <w:p w14:paraId="4BE11076" w14:textId="77777777" w:rsidR="0015472D" w:rsidRPr="00EB2215" w:rsidRDefault="0015472D" w:rsidP="00FF2C4A">
            <w:pPr>
              <w:ind w:left="60"/>
              <w:rPr>
                <w:rFonts w:ascii="Arial" w:hAnsi="Arial" w:cs="Arial"/>
                <w:sz w:val="22"/>
                <w:szCs w:val="22"/>
              </w:rPr>
            </w:pPr>
            <w:r w:rsidRPr="00EB2215">
              <w:rPr>
                <w:rFonts w:ascii="Arial" w:hAnsi="Arial" w:cs="Arial"/>
                <w:sz w:val="22"/>
                <w:szCs w:val="22"/>
              </w:rPr>
              <w:t>Legal services</w:t>
            </w:r>
          </w:p>
          <w:p w14:paraId="14415749" w14:textId="77777777" w:rsidR="0015472D" w:rsidRPr="00EB2215" w:rsidRDefault="0015472D" w:rsidP="00FF2C4A">
            <w:pPr>
              <w:ind w:left="60"/>
              <w:rPr>
                <w:rFonts w:ascii="Arial" w:hAnsi="Arial" w:cs="Arial"/>
                <w:sz w:val="22"/>
                <w:szCs w:val="22"/>
                <w:lang w:val="en-GB"/>
              </w:rPr>
            </w:pPr>
          </w:p>
        </w:tc>
        <w:tc>
          <w:tcPr>
            <w:tcW w:w="1843" w:type="dxa"/>
            <w:gridSpan w:val="2"/>
            <w:tcBorders>
              <w:top w:val="single" w:sz="12" w:space="0" w:color="auto"/>
              <w:left w:val="single" w:sz="4" w:space="0" w:color="000000"/>
              <w:bottom w:val="single" w:sz="4" w:space="0" w:color="000000"/>
              <w:right w:val="single" w:sz="4" w:space="0" w:color="000000"/>
            </w:tcBorders>
            <w:shd w:val="clear" w:color="auto" w:fill="auto"/>
            <w:tcMar>
              <w:top w:w="17" w:type="dxa"/>
              <w:left w:w="13" w:type="dxa"/>
              <w:bottom w:w="0" w:type="dxa"/>
              <w:right w:w="13" w:type="dxa"/>
            </w:tcMar>
          </w:tcPr>
          <w:p w14:paraId="29BE4BE2" w14:textId="77777777" w:rsidR="0015472D" w:rsidRPr="00EB2215" w:rsidRDefault="0015472D" w:rsidP="00FF2C4A">
            <w:pPr>
              <w:ind w:left="60"/>
              <w:rPr>
                <w:rFonts w:ascii="Arial" w:hAnsi="Arial" w:cs="Arial"/>
                <w:sz w:val="22"/>
                <w:szCs w:val="22"/>
              </w:rPr>
            </w:pPr>
            <w:r w:rsidRPr="00EB2215">
              <w:rPr>
                <w:rFonts w:ascii="Arial" w:hAnsi="Arial" w:cs="Arial"/>
                <w:sz w:val="22"/>
                <w:szCs w:val="22"/>
              </w:rPr>
              <w:t>Regulation: money laundering and financial services</w:t>
            </w:r>
          </w:p>
          <w:p w14:paraId="0471F812" w14:textId="77777777" w:rsidR="0015472D" w:rsidRPr="00EB2215" w:rsidRDefault="0015472D" w:rsidP="00FF2C4A">
            <w:pPr>
              <w:ind w:left="60"/>
              <w:rPr>
                <w:rFonts w:ascii="Arial" w:hAnsi="Arial" w:cs="Arial"/>
                <w:sz w:val="22"/>
                <w:szCs w:val="22"/>
                <w:lang w:val="en-GB"/>
              </w:rPr>
            </w:pPr>
          </w:p>
        </w:tc>
        <w:tc>
          <w:tcPr>
            <w:tcW w:w="2341" w:type="dxa"/>
            <w:gridSpan w:val="2"/>
            <w:tcBorders>
              <w:top w:val="single" w:sz="4" w:space="0" w:color="000000"/>
              <w:left w:val="single" w:sz="4" w:space="0" w:color="000000"/>
              <w:bottom w:val="single" w:sz="4" w:space="0" w:color="000000"/>
              <w:right w:val="single" w:sz="8" w:space="0" w:color="000000"/>
            </w:tcBorders>
            <w:shd w:val="clear" w:color="auto" w:fill="auto"/>
            <w:tcMar>
              <w:top w:w="17" w:type="dxa"/>
              <w:left w:w="13" w:type="dxa"/>
              <w:bottom w:w="0" w:type="dxa"/>
              <w:right w:w="13" w:type="dxa"/>
            </w:tcMar>
          </w:tcPr>
          <w:p w14:paraId="23466B49" w14:textId="77777777" w:rsidR="0015472D" w:rsidRPr="00EB2215" w:rsidRDefault="0015472D" w:rsidP="00FF2C4A">
            <w:pPr>
              <w:ind w:left="60"/>
              <w:rPr>
                <w:rFonts w:ascii="Arial" w:hAnsi="Arial" w:cs="Arial"/>
                <w:sz w:val="22"/>
                <w:szCs w:val="22"/>
                <w:lang w:val="en-GB"/>
              </w:rPr>
            </w:pPr>
            <w:r>
              <w:rPr>
                <w:rFonts w:ascii="Arial" w:hAnsi="Arial" w:cs="Arial"/>
                <w:sz w:val="22"/>
                <w:szCs w:val="22"/>
                <w:lang w:val="en-GB"/>
              </w:rPr>
              <w:t>Ethics, professiona</w:t>
            </w:r>
            <w:r w:rsidRPr="00EB2215">
              <w:rPr>
                <w:rFonts w:ascii="Arial" w:hAnsi="Arial" w:cs="Arial"/>
                <w:sz w:val="22"/>
                <w:szCs w:val="22"/>
                <w:lang w:val="en-GB"/>
              </w:rPr>
              <w:t>l conduct and regulation</w:t>
            </w:r>
          </w:p>
        </w:tc>
      </w:tr>
      <w:tr w:rsidR="004A6BF7" w:rsidRPr="00EB2215" w14:paraId="69967586" w14:textId="77777777" w:rsidTr="00FF2C4A">
        <w:trPr>
          <w:trHeight w:val="1041"/>
        </w:trPr>
        <w:tc>
          <w:tcPr>
            <w:tcW w:w="1702" w:type="dxa"/>
            <w:vMerge/>
            <w:tcBorders>
              <w:top w:val="single" w:sz="4" w:space="0" w:color="auto"/>
              <w:left w:val="single" w:sz="8" w:space="0" w:color="000000"/>
              <w:bottom w:val="single" w:sz="12" w:space="0" w:color="auto"/>
              <w:right w:val="single" w:sz="8" w:space="0" w:color="000000"/>
            </w:tcBorders>
            <w:shd w:val="clear" w:color="auto" w:fill="F2F2F2" w:themeFill="background1" w:themeFillShade="F2"/>
            <w:tcMar>
              <w:top w:w="17" w:type="dxa"/>
              <w:left w:w="13" w:type="dxa"/>
              <w:bottom w:w="0" w:type="dxa"/>
              <w:right w:w="13" w:type="dxa"/>
            </w:tcMar>
            <w:vAlign w:val="center"/>
          </w:tcPr>
          <w:p w14:paraId="7B6F0958" w14:textId="77777777" w:rsidR="004A6BF7" w:rsidRPr="00EB2215" w:rsidRDefault="004A6BF7" w:rsidP="004A6BF7">
            <w:pPr>
              <w:rPr>
                <w:rFonts w:ascii="Arial" w:hAnsi="Arial" w:cs="Arial"/>
                <w:i/>
                <w:sz w:val="22"/>
                <w:szCs w:val="22"/>
              </w:rPr>
            </w:pPr>
          </w:p>
        </w:tc>
        <w:tc>
          <w:tcPr>
            <w:tcW w:w="2268" w:type="dxa"/>
            <w:tcBorders>
              <w:top w:val="single" w:sz="4" w:space="0" w:color="000000"/>
              <w:left w:val="single" w:sz="8" w:space="0" w:color="000000"/>
              <w:bottom w:val="single" w:sz="12" w:space="0" w:color="auto"/>
              <w:right w:val="single" w:sz="8" w:space="0" w:color="000000"/>
            </w:tcBorders>
          </w:tcPr>
          <w:p w14:paraId="6DC67EFC" w14:textId="77777777" w:rsidR="004A6BF7" w:rsidRPr="00C9789A" w:rsidRDefault="004A6BF7" w:rsidP="00FF2C4A">
            <w:pPr>
              <w:ind w:left="142"/>
              <w:rPr>
                <w:rFonts w:ascii="Arial" w:hAnsi="Arial" w:cs="Arial"/>
                <w:sz w:val="22"/>
                <w:szCs w:val="22"/>
                <w:lang w:val="en-GB"/>
              </w:rPr>
            </w:pPr>
          </w:p>
          <w:p w14:paraId="730279DD" w14:textId="77777777" w:rsidR="004A6BF7" w:rsidRPr="00C9789A" w:rsidRDefault="004A6BF7" w:rsidP="00FF2C4A">
            <w:pPr>
              <w:ind w:left="142"/>
              <w:rPr>
                <w:rFonts w:ascii="Arial" w:hAnsi="Arial" w:cs="Arial"/>
                <w:sz w:val="22"/>
                <w:szCs w:val="22"/>
              </w:rPr>
            </w:pPr>
            <w:r w:rsidRPr="00C9789A">
              <w:rPr>
                <w:rFonts w:ascii="Arial" w:hAnsi="Arial" w:cs="Arial"/>
                <w:sz w:val="22"/>
                <w:szCs w:val="22"/>
              </w:rPr>
              <w:t xml:space="preserve">Criminal Law and Practice </w:t>
            </w:r>
          </w:p>
          <w:p w14:paraId="4109F7EA" w14:textId="77777777" w:rsidR="004A6BF7" w:rsidRPr="00C9789A" w:rsidRDefault="004A6BF7" w:rsidP="00FF2C4A">
            <w:pPr>
              <w:ind w:left="142"/>
              <w:rPr>
                <w:rFonts w:ascii="Arial" w:hAnsi="Arial" w:cs="Arial"/>
                <w:sz w:val="22"/>
                <w:szCs w:val="22"/>
                <w:lang w:val="en-GB"/>
              </w:rPr>
            </w:pPr>
          </w:p>
        </w:tc>
        <w:tc>
          <w:tcPr>
            <w:tcW w:w="4888" w:type="dxa"/>
            <w:gridSpan w:val="5"/>
            <w:tcBorders>
              <w:top w:val="single" w:sz="4" w:space="0" w:color="000000"/>
              <w:left w:val="single" w:sz="8" w:space="0" w:color="000000"/>
              <w:bottom w:val="single" w:sz="12" w:space="0" w:color="auto"/>
              <w:right w:val="single" w:sz="8" w:space="0" w:color="000000"/>
            </w:tcBorders>
          </w:tcPr>
          <w:p w14:paraId="3678A3C0" w14:textId="77777777" w:rsidR="004A6BF7" w:rsidRPr="00C9789A" w:rsidRDefault="004A6BF7" w:rsidP="00FF2C4A">
            <w:pPr>
              <w:ind w:left="142"/>
              <w:rPr>
                <w:rFonts w:ascii="Arial" w:hAnsi="Arial" w:cs="Arial"/>
                <w:sz w:val="22"/>
                <w:szCs w:val="22"/>
              </w:rPr>
            </w:pPr>
            <w:r w:rsidRPr="00C9789A">
              <w:rPr>
                <w:rFonts w:ascii="Arial" w:hAnsi="Arial" w:cs="Arial"/>
                <w:sz w:val="22"/>
                <w:szCs w:val="22"/>
              </w:rPr>
              <w:t>Core principles of criminal liability</w:t>
            </w:r>
          </w:p>
          <w:p w14:paraId="4D2ECB20" w14:textId="77777777" w:rsidR="004A6BF7" w:rsidRPr="00C9789A" w:rsidRDefault="004A6BF7" w:rsidP="00FF2C4A">
            <w:pPr>
              <w:ind w:left="142"/>
              <w:rPr>
                <w:rFonts w:ascii="Arial" w:hAnsi="Arial" w:cs="Arial"/>
                <w:sz w:val="22"/>
                <w:szCs w:val="22"/>
                <w:lang w:val="en-GB"/>
              </w:rPr>
            </w:pPr>
          </w:p>
        </w:tc>
        <w:tc>
          <w:tcPr>
            <w:tcW w:w="3260" w:type="dxa"/>
            <w:gridSpan w:val="2"/>
            <w:tcBorders>
              <w:top w:val="single" w:sz="4" w:space="0" w:color="000000"/>
              <w:left w:val="single" w:sz="8" w:space="0" w:color="000000"/>
              <w:bottom w:val="single" w:sz="12" w:space="0" w:color="auto"/>
              <w:right w:val="single" w:sz="8" w:space="0" w:color="000000"/>
            </w:tcBorders>
            <w:shd w:val="clear" w:color="auto" w:fill="auto"/>
            <w:tcMar>
              <w:top w:w="17" w:type="dxa"/>
              <w:left w:w="13" w:type="dxa"/>
              <w:bottom w:w="0" w:type="dxa"/>
              <w:right w:w="13" w:type="dxa"/>
            </w:tcMar>
            <w:vAlign w:val="center"/>
          </w:tcPr>
          <w:p w14:paraId="17336451" w14:textId="77777777" w:rsidR="004A6BF7" w:rsidRPr="00C9789A" w:rsidRDefault="004A6BF7" w:rsidP="00FF2C4A">
            <w:pPr>
              <w:ind w:left="60"/>
              <w:rPr>
                <w:rFonts w:ascii="Arial" w:hAnsi="Arial" w:cs="Arial"/>
                <w:sz w:val="22"/>
                <w:szCs w:val="22"/>
              </w:rPr>
            </w:pPr>
            <w:r w:rsidRPr="00C9789A">
              <w:rPr>
                <w:rFonts w:ascii="Arial" w:hAnsi="Arial" w:cs="Arial"/>
                <w:sz w:val="22"/>
                <w:szCs w:val="22"/>
              </w:rPr>
              <w:t>The procedure and processes involved in advising clients, including vulnerable clients, at the police station</w:t>
            </w:r>
          </w:p>
        </w:tc>
        <w:tc>
          <w:tcPr>
            <w:tcW w:w="3050" w:type="dxa"/>
            <w:gridSpan w:val="3"/>
            <w:tcBorders>
              <w:top w:val="single" w:sz="4" w:space="0" w:color="000000"/>
              <w:left w:val="single" w:sz="4" w:space="0" w:color="000000"/>
              <w:bottom w:val="single" w:sz="12" w:space="0" w:color="auto"/>
              <w:right w:val="single" w:sz="8" w:space="0" w:color="000000"/>
            </w:tcBorders>
            <w:shd w:val="clear" w:color="auto" w:fill="auto"/>
            <w:vAlign w:val="center"/>
          </w:tcPr>
          <w:p w14:paraId="299C3B2A" w14:textId="77777777" w:rsidR="004A6BF7" w:rsidRPr="00C9789A" w:rsidRDefault="004A6BF7" w:rsidP="00FF2C4A">
            <w:pPr>
              <w:ind w:left="60"/>
              <w:rPr>
                <w:rFonts w:ascii="Arial" w:hAnsi="Arial" w:cs="Arial"/>
                <w:sz w:val="22"/>
                <w:szCs w:val="22"/>
              </w:rPr>
            </w:pPr>
            <w:r w:rsidRPr="00C9789A">
              <w:rPr>
                <w:rFonts w:ascii="Arial" w:hAnsi="Arial" w:cs="Arial"/>
                <w:sz w:val="22"/>
                <w:szCs w:val="22"/>
              </w:rPr>
              <w:t>The procedures and processes involved in criminal litigation</w:t>
            </w:r>
          </w:p>
        </w:tc>
      </w:tr>
    </w:tbl>
    <w:p w14:paraId="4C278985" w14:textId="77777777" w:rsidR="00EB2215" w:rsidRDefault="00EB2215" w:rsidP="000A72FF">
      <w:pPr>
        <w:rPr>
          <w:rFonts w:ascii="Arial" w:hAnsi="Arial" w:cs="Arial"/>
          <w:sz w:val="22"/>
          <w:szCs w:val="22"/>
        </w:rPr>
        <w:sectPr w:rsidR="00EB2215" w:rsidSect="00FF2C4A">
          <w:pgSz w:w="16840" w:h="11900" w:orient="landscape"/>
          <w:pgMar w:top="1560" w:right="1440" w:bottom="1800" w:left="1440" w:header="708" w:footer="708" w:gutter="0"/>
          <w:cols w:space="708"/>
          <w:docGrid w:linePitch="360"/>
        </w:sectPr>
      </w:pPr>
    </w:p>
    <w:p w14:paraId="23D3861D" w14:textId="21F40C9C" w:rsidR="00104C75" w:rsidRDefault="00F12F17" w:rsidP="00343E33">
      <w:pPr>
        <w:pStyle w:val="Default"/>
        <w:rPr>
          <w:b/>
          <w:sz w:val="22"/>
          <w:szCs w:val="22"/>
        </w:rPr>
      </w:pPr>
      <w:r>
        <w:rPr>
          <w:b/>
          <w:sz w:val="22"/>
          <w:szCs w:val="22"/>
        </w:rPr>
        <w:lastRenderedPageBreak/>
        <w:t>T</w:t>
      </w:r>
      <w:r w:rsidR="00104C75" w:rsidRPr="00FF2C4A">
        <w:rPr>
          <w:b/>
          <w:sz w:val="22"/>
          <w:szCs w:val="22"/>
        </w:rPr>
        <w:t xml:space="preserve">he new </w:t>
      </w:r>
      <w:r w:rsidR="00FD6BD2" w:rsidRPr="00FF2C4A">
        <w:rPr>
          <w:b/>
          <w:sz w:val="22"/>
          <w:szCs w:val="22"/>
        </w:rPr>
        <w:t xml:space="preserve">regulatory </w:t>
      </w:r>
      <w:r w:rsidR="00104C75" w:rsidRPr="00FF2C4A">
        <w:rPr>
          <w:b/>
          <w:sz w:val="22"/>
          <w:szCs w:val="22"/>
        </w:rPr>
        <w:t>environment</w:t>
      </w:r>
      <w:r>
        <w:rPr>
          <w:b/>
          <w:sz w:val="22"/>
          <w:szCs w:val="22"/>
        </w:rPr>
        <w:t xml:space="preserve"> – the changes</w:t>
      </w:r>
    </w:p>
    <w:p w14:paraId="04CCD55D" w14:textId="77777777" w:rsidR="000C41F4" w:rsidRPr="00FF2C4A" w:rsidRDefault="000C41F4" w:rsidP="00343E33">
      <w:pPr>
        <w:pStyle w:val="Default"/>
        <w:rPr>
          <w:b/>
          <w:sz w:val="22"/>
          <w:szCs w:val="22"/>
        </w:rPr>
      </w:pPr>
    </w:p>
    <w:p w14:paraId="4122078F" w14:textId="2B951B85" w:rsidR="00B37508" w:rsidRDefault="004C5BC7" w:rsidP="00343E33">
      <w:pPr>
        <w:pStyle w:val="Default"/>
        <w:rPr>
          <w:sz w:val="22"/>
          <w:szCs w:val="22"/>
        </w:rPr>
      </w:pPr>
      <w:r>
        <w:rPr>
          <w:sz w:val="22"/>
          <w:szCs w:val="22"/>
        </w:rPr>
        <w:t>The</w:t>
      </w:r>
      <w:r w:rsidR="00104C75">
        <w:rPr>
          <w:sz w:val="22"/>
          <w:szCs w:val="22"/>
        </w:rPr>
        <w:t xml:space="preserve"> key </w:t>
      </w:r>
      <w:r w:rsidR="00C2362C">
        <w:rPr>
          <w:sz w:val="22"/>
          <w:szCs w:val="22"/>
        </w:rPr>
        <w:t xml:space="preserve">impacts of the </w:t>
      </w:r>
      <w:r w:rsidR="00104C75">
        <w:rPr>
          <w:sz w:val="22"/>
          <w:szCs w:val="22"/>
        </w:rPr>
        <w:t xml:space="preserve">regulatory </w:t>
      </w:r>
      <w:r w:rsidR="00C2362C">
        <w:rPr>
          <w:sz w:val="22"/>
          <w:szCs w:val="22"/>
        </w:rPr>
        <w:t>changes</w:t>
      </w:r>
      <w:r w:rsidR="00092C7C">
        <w:rPr>
          <w:sz w:val="22"/>
          <w:szCs w:val="22"/>
        </w:rPr>
        <w:t xml:space="preserve"> </w:t>
      </w:r>
      <w:r w:rsidR="00C2362C">
        <w:rPr>
          <w:sz w:val="22"/>
          <w:szCs w:val="22"/>
        </w:rPr>
        <w:t>are</w:t>
      </w:r>
      <w:r w:rsidR="00092C7C">
        <w:rPr>
          <w:sz w:val="22"/>
          <w:szCs w:val="22"/>
        </w:rPr>
        <w:t>:</w:t>
      </w:r>
      <w:r>
        <w:rPr>
          <w:sz w:val="22"/>
          <w:szCs w:val="22"/>
        </w:rPr>
        <w:t xml:space="preserve"> (i)</w:t>
      </w:r>
      <w:r w:rsidR="002E0AF3">
        <w:rPr>
          <w:sz w:val="22"/>
          <w:szCs w:val="22"/>
        </w:rPr>
        <w:t xml:space="preserve"> no mandatory</w:t>
      </w:r>
      <w:r w:rsidR="00FD6BD2">
        <w:rPr>
          <w:sz w:val="22"/>
          <w:szCs w:val="22"/>
        </w:rPr>
        <w:t xml:space="preserve"> common start point </w:t>
      </w:r>
      <w:r>
        <w:rPr>
          <w:sz w:val="22"/>
          <w:szCs w:val="22"/>
        </w:rPr>
        <w:t xml:space="preserve">for </w:t>
      </w:r>
      <w:r w:rsidR="00E61F3E">
        <w:rPr>
          <w:sz w:val="22"/>
          <w:szCs w:val="22"/>
        </w:rPr>
        <w:t>SRA and BSB</w:t>
      </w:r>
      <w:r>
        <w:rPr>
          <w:sz w:val="22"/>
          <w:szCs w:val="22"/>
        </w:rPr>
        <w:t xml:space="preserve"> requirements</w:t>
      </w:r>
      <w:r w:rsidR="000901C0">
        <w:rPr>
          <w:sz w:val="22"/>
          <w:szCs w:val="22"/>
        </w:rPr>
        <w:t>,</w:t>
      </w:r>
      <w:r w:rsidR="00FD6BD2">
        <w:rPr>
          <w:sz w:val="22"/>
          <w:szCs w:val="22"/>
        </w:rPr>
        <w:t xml:space="preserve"> (ii) </w:t>
      </w:r>
      <w:r w:rsidR="0057472B">
        <w:rPr>
          <w:sz w:val="22"/>
          <w:szCs w:val="22"/>
        </w:rPr>
        <w:t xml:space="preserve">the </w:t>
      </w:r>
      <w:r w:rsidR="00092C7C">
        <w:rPr>
          <w:sz w:val="22"/>
          <w:szCs w:val="22"/>
        </w:rPr>
        <w:t>removal</w:t>
      </w:r>
      <w:r w:rsidR="00E61F3E">
        <w:rPr>
          <w:sz w:val="22"/>
          <w:szCs w:val="22"/>
        </w:rPr>
        <w:t xml:space="preserve"> of </w:t>
      </w:r>
      <w:r w:rsidR="00092C7C">
        <w:rPr>
          <w:sz w:val="22"/>
          <w:szCs w:val="22"/>
        </w:rPr>
        <w:t xml:space="preserve">separate </w:t>
      </w:r>
      <w:r w:rsidR="003D06C7">
        <w:rPr>
          <w:sz w:val="22"/>
          <w:szCs w:val="22"/>
        </w:rPr>
        <w:t xml:space="preserve">academic </w:t>
      </w:r>
      <w:r w:rsidR="0057472B">
        <w:rPr>
          <w:sz w:val="22"/>
          <w:szCs w:val="22"/>
        </w:rPr>
        <w:t>and vocational stage</w:t>
      </w:r>
      <w:r w:rsidR="003D06C7">
        <w:rPr>
          <w:sz w:val="22"/>
          <w:szCs w:val="22"/>
        </w:rPr>
        <w:t>s</w:t>
      </w:r>
      <w:r w:rsidR="00E61F3E">
        <w:rPr>
          <w:sz w:val="22"/>
          <w:szCs w:val="22"/>
        </w:rPr>
        <w:t xml:space="preserve"> for the SQE</w:t>
      </w:r>
      <w:r w:rsidR="00871ECD">
        <w:rPr>
          <w:sz w:val="22"/>
          <w:szCs w:val="22"/>
        </w:rPr>
        <w:t>, (ii</w:t>
      </w:r>
      <w:r w:rsidR="00FD6BD2">
        <w:rPr>
          <w:sz w:val="22"/>
          <w:szCs w:val="22"/>
        </w:rPr>
        <w:t>i</w:t>
      </w:r>
      <w:r w:rsidR="00871ECD">
        <w:rPr>
          <w:sz w:val="22"/>
          <w:szCs w:val="22"/>
        </w:rPr>
        <w:t xml:space="preserve">) </w:t>
      </w:r>
      <w:r w:rsidR="00835A29">
        <w:rPr>
          <w:sz w:val="22"/>
          <w:szCs w:val="22"/>
        </w:rPr>
        <w:t>an</w:t>
      </w:r>
      <w:r w:rsidR="00910F25">
        <w:rPr>
          <w:sz w:val="22"/>
          <w:szCs w:val="22"/>
        </w:rPr>
        <w:t xml:space="preserve"> </w:t>
      </w:r>
      <w:r w:rsidR="00E61F3E">
        <w:rPr>
          <w:sz w:val="22"/>
          <w:szCs w:val="22"/>
        </w:rPr>
        <w:t xml:space="preserve">approach to learning </w:t>
      </w:r>
      <w:r w:rsidR="00092C7C">
        <w:rPr>
          <w:sz w:val="22"/>
          <w:szCs w:val="22"/>
        </w:rPr>
        <w:t xml:space="preserve">for the SQE </w:t>
      </w:r>
      <w:r w:rsidR="00835A29">
        <w:rPr>
          <w:sz w:val="22"/>
          <w:szCs w:val="22"/>
        </w:rPr>
        <w:t xml:space="preserve">that is </w:t>
      </w:r>
      <w:r w:rsidR="00E61F3E">
        <w:rPr>
          <w:sz w:val="22"/>
          <w:szCs w:val="22"/>
        </w:rPr>
        <w:t>training</w:t>
      </w:r>
      <w:r w:rsidR="00376D10">
        <w:rPr>
          <w:sz w:val="22"/>
          <w:szCs w:val="22"/>
        </w:rPr>
        <w:t xml:space="preserve"> in the law</w:t>
      </w:r>
      <w:r w:rsidR="00835A29">
        <w:rPr>
          <w:sz w:val="22"/>
          <w:szCs w:val="22"/>
        </w:rPr>
        <w:t xml:space="preserve"> not academic law</w:t>
      </w:r>
      <w:r w:rsidR="00E61F3E">
        <w:rPr>
          <w:sz w:val="22"/>
          <w:szCs w:val="22"/>
        </w:rPr>
        <w:t xml:space="preserve">, </w:t>
      </w:r>
      <w:r w:rsidR="00933D78">
        <w:rPr>
          <w:sz w:val="22"/>
          <w:szCs w:val="22"/>
        </w:rPr>
        <w:t>(iv</w:t>
      </w:r>
      <w:r w:rsidR="00314520">
        <w:rPr>
          <w:sz w:val="22"/>
          <w:szCs w:val="22"/>
        </w:rPr>
        <w:t>)</w:t>
      </w:r>
      <w:r w:rsidR="00FD6BD2">
        <w:rPr>
          <w:sz w:val="22"/>
          <w:szCs w:val="22"/>
        </w:rPr>
        <w:t xml:space="preserve"> the</w:t>
      </w:r>
      <w:r w:rsidR="00A93E0E">
        <w:rPr>
          <w:sz w:val="22"/>
          <w:szCs w:val="22"/>
        </w:rPr>
        <w:t xml:space="preserve"> </w:t>
      </w:r>
      <w:r w:rsidR="00EE4BCB">
        <w:rPr>
          <w:sz w:val="22"/>
          <w:szCs w:val="22"/>
        </w:rPr>
        <w:t>SQE</w:t>
      </w:r>
      <w:r w:rsidR="00FD6BD2">
        <w:rPr>
          <w:sz w:val="22"/>
          <w:szCs w:val="22"/>
        </w:rPr>
        <w:t xml:space="preserve"> will be</w:t>
      </w:r>
      <w:r w:rsidR="00EE4BCB">
        <w:rPr>
          <w:sz w:val="22"/>
          <w:szCs w:val="22"/>
        </w:rPr>
        <w:t xml:space="preserve"> </w:t>
      </w:r>
      <w:r w:rsidR="00E61F3E">
        <w:rPr>
          <w:sz w:val="22"/>
          <w:szCs w:val="22"/>
        </w:rPr>
        <w:t>an entirely</w:t>
      </w:r>
      <w:r w:rsidR="00EE4BCB">
        <w:rPr>
          <w:sz w:val="22"/>
          <w:szCs w:val="22"/>
        </w:rPr>
        <w:t xml:space="preserve"> external exam</w:t>
      </w:r>
      <w:r w:rsidR="000901C0">
        <w:rPr>
          <w:sz w:val="22"/>
          <w:szCs w:val="22"/>
        </w:rPr>
        <w:t>,</w:t>
      </w:r>
      <w:r w:rsidR="003C1A23">
        <w:rPr>
          <w:sz w:val="22"/>
          <w:szCs w:val="22"/>
        </w:rPr>
        <w:t xml:space="preserve"> and (v) in addition to course</w:t>
      </w:r>
      <w:r w:rsidR="00540522">
        <w:rPr>
          <w:sz w:val="22"/>
          <w:szCs w:val="22"/>
        </w:rPr>
        <w:t>/prep</w:t>
      </w:r>
      <w:r w:rsidR="003C1A23">
        <w:rPr>
          <w:sz w:val="22"/>
          <w:szCs w:val="22"/>
        </w:rPr>
        <w:t xml:space="preserve"> </w:t>
      </w:r>
      <w:r w:rsidR="00092C7C">
        <w:rPr>
          <w:sz w:val="22"/>
          <w:szCs w:val="22"/>
        </w:rPr>
        <w:t>fees</w:t>
      </w:r>
      <w:r w:rsidR="00540522">
        <w:rPr>
          <w:sz w:val="22"/>
          <w:szCs w:val="22"/>
        </w:rPr>
        <w:t>,</w:t>
      </w:r>
      <w:r w:rsidR="003C1A23">
        <w:rPr>
          <w:sz w:val="22"/>
          <w:szCs w:val="22"/>
        </w:rPr>
        <w:t xml:space="preserve"> students will pay </w:t>
      </w:r>
      <w:r w:rsidR="000901C0">
        <w:rPr>
          <w:sz w:val="22"/>
          <w:szCs w:val="22"/>
        </w:rPr>
        <w:t xml:space="preserve">significant </w:t>
      </w:r>
      <w:r w:rsidR="003C1A23">
        <w:rPr>
          <w:sz w:val="22"/>
          <w:szCs w:val="22"/>
        </w:rPr>
        <w:t>SQE fees.</w:t>
      </w:r>
      <w:r w:rsidR="003C1A23">
        <w:rPr>
          <w:rStyle w:val="FootnoteReference"/>
          <w:sz w:val="22"/>
          <w:szCs w:val="22"/>
        </w:rPr>
        <w:footnoteReference w:id="65"/>
      </w:r>
      <w:r w:rsidR="003C1A23">
        <w:rPr>
          <w:sz w:val="22"/>
          <w:szCs w:val="22"/>
        </w:rPr>
        <w:t xml:space="preserve"> </w:t>
      </w:r>
    </w:p>
    <w:p w14:paraId="6CBDB964" w14:textId="77777777" w:rsidR="004C5BC7" w:rsidRDefault="004C5BC7" w:rsidP="00343E33">
      <w:pPr>
        <w:pStyle w:val="Default"/>
        <w:rPr>
          <w:sz w:val="22"/>
          <w:szCs w:val="22"/>
        </w:rPr>
      </w:pPr>
    </w:p>
    <w:p w14:paraId="21B77221" w14:textId="43D82049" w:rsidR="004241BC" w:rsidRDefault="004C5BC7" w:rsidP="004241BC">
      <w:pPr>
        <w:rPr>
          <w:rFonts w:ascii="Arial" w:eastAsia="Times New Roman" w:hAnsi="Arial" w:cs="Arial"/>
          <w:sz w:val="22"/>
          <w:szCs w:val="22"/>
        </w:rPr>
      </w:pPr>
      <w:r w:rsidRPr="004241BC">
        <w:rPr>
          <w:rFonts w:ascii="Arial" w:hAnsi="Arial" w:cs="Arial"/>
          <w:sz w:val="22"/>
          <w:szCs w:val="22"/>
        </w:rPr>
        <w:t xml:space="preserve">All of these considerations point to a </w:t>
      </w:r>
      <w:r w:rsidR="0054156F">
        <w:rPr>
          <w:rFonts w:ascii="Arial" w:hAnsi="Arial" w:cs="Arial"/>
          <w:sz w:val="22"/>
          <w:szCs w:val="22"/>
        </w:rPr>
        <w:t>course</w:t>
      </w:r>
      <w:r w:rsidR="00540522">
        <w:rPr>
          <w:rFonts w:ascii="Arial" w:hAnsi="Arial" w:cs="Arial"/>
          <w:sz w:val="22"/>
          <w:szCs w:val="22"/>
        </w:rPr>
        <w:t>/prep</w:t>
      </w:r>
      <w:r w:rsidR="0054156F">
        <w:rPr>
          <w:rFonts w:ascii="Arial" w:hAnsi="Arial" w:cs="Arial"/>
          <w:sz w:val="22"/>
          <w:szCs w:val="22"/>
        </w:rPr>
        <w:t xml:space="preserve"> for </w:t>
      </w:r>
      <w:r w:rsidR="004241BC" w:rsidRPr="004241BC">
        <w:rPr>
          <w:rFonts w:ascii="Arial" w:hAnsi="Arial" w:cs="Arial"/>
          <w:sz w:val="22"/>
          <w:szCs w:val="22"/>
        </w:rPr>
        <w:t>SQE that is exclusive</w:t>
      </w:r>
      <w:r w:rsidR="0054156F">
        <w:rPr>
          <w:rFonts w:ascii="Arial" w:hAnsi="Arial" w:cs="Arial"/>
          <w:sz w:val="22"/>
          <w:szCs w:val="22"/>
        </w:rPr>
        <w:t xml:space="preserve"> to its needs and </w:t>
      </w:r>
      <w:r w:rsidR="002E0AF3">
        <w:rPr>
          <w:rFonts w:ascii="Arial" w:hAnsi="Arial" w:cs="Arial"/>
          <w:sz w:val="22"/>
          <w:szCs w:val="22"/>
        </w:rPr>
        <w:t xml:space="preserve">one that </w:t>
      </w:r>
      <w:r w:rsidR="00E70184">
        <w:rPr>
          <w:rFonts w:ascii="Arial" w:hAnsi="Arial" w:cs="Arial"/>
          <w:sz w:val="22"/>
          <w:szCs w:val="22"/>
        </w:rPr>
        <w:t>is unlikely</w:t>
      </w:r>
      <w:r w:rsidR="0054156F">
        <w:rPr>
          <w:rFonts w:ascii="Arial" w:hAnsi="Arial" w:cs="Arial"/>
          <w:sz w:val="22"/>
          <w:szCs w:val="22"/>
        </w:rPr>
        <w:t xml:space="preserve"> to serve well</w:t>
      </w:r>
      <w:r w:rsidR="004241BC" w:rsidRPr="004241BC">
        <w:rPr>
          <w:rFonts w:ascii="Arial" w:hAnsi="Arial" w:cs="Arial"/>
          <w:sz w:val="22"/>
          <w:szCs w:val="22"/>
        </w:rPr>
        <w:t xml:space="preserve"> the requirements for the </w:t>
      </w:r>
      <w:r w:rsidR="00835A29">
        <w:rPr>
          <w:rFonts w:ascii="Arial" w:hAnsi="Arial" w:cs="Arial"/>
          <w:sz w:val="22"/>
          <w:szCs w:val="22"/>
        </w:rPr>
        <w:t>Bar route. The BSB claims that the differences are not so significant</w:t>
      </w:r>
      <w:r w:rsidR="004241BC" w:rsidRPr="004241BC">
        <w:rPr>
          <w:rFonts w:ascii="Arial" w:hAnsi="Arial" w:cs="Arial"/>
          <w:sz w:val="22"/>
          <w:szCs w:val="22"/>
        </w:rPr>
        <w:t xml:space="preserve"> as it is likely to consider preparation for the SQE as</w:t>
      </w:r>
      <w:r w:rsidR="004241BC">
        <w:rPr>
          <w:rFonts w:ascii="Arial" w:hAnsi="Arial" w:cs="Arial"/>
          <w:sz w:val="22"/>
          <w:szCs w:val="22"/>
        </w:rPr>
        <w:t xml:space="preserve"> meetings its academic requirements. In support of this the BSB and the SRA have issued a ‘j</w:t>
      </w:r>
      <w:r w:rsidR="004241BC" w:rsidRPr="004F6670">
        <w:rPr>
          <w:rFonts w:ascii="Arial" w:hAnsi="Arial" w:cs="Arial"/>
          <w:sz w:val="22"/>
          <w:szCs w:val="22"/>
        </w:rPr>
        <w:t>oint protocol</w:t>
      </w:r>
      <w:r w:rsidR="004241BC">
        <w:rPr>
          <w:rFonts w:ascii="Arial" w:hAnsi="Arial" w:cs="Arial"/>
          <w:sz w:val="22"/>
          <w:szCs w:val="22"/>
        </w:rPr>
        <w:t>’</w:t>
      </w:r>
      <w:r w:rsidR="004241BC" w:rsidRPr="004F6670">
        <w:rPr>
          <w:rFonts w:ascii="Arial" w:hAnsi="Arial" w:cs="Arial"/>
          <w:sz w:val="22"/>
          <w:szCs w:val="22"/>
        </w:rPr>
        <w:t xml:space="preserve"> on the </w:t>
      </w:r>
      <w:r w:rsidR="004241BC">
        <w:rPr>
          <w:rFonts w:ascii="Arial" w:hAnsi="Arial" w:cs="Arial"/>
          <w:sz w:val="22"/>
          <w:szCs w:val="22"/>
        </w:rPr>
        <w:t>‘</w:t>
      </w:r>
      <w:r w:rsidR="004241BC" w:rsidRPr="004F6670">
        <w:rPr>
          <w:rFonts w:ascii="Arial" w:hAnsi="Arial" w:cs="Arial"/>
          <w:sz w:val="22"/>
          <w:szCs w:val="22"/>
        </w:rPr>
        <w:t>academic stage</w:t>
      </w:r>
      <w:r w:rsidR="004241BC">
        <w:rPr>
          <w:rFonts w:ascii="Arial" w:hAnsi="Arial" w:cs="Arial"/>
          <w:sz w:val="22"/>
          <w:szCs w:val="22"/>
        </w:rPr>
        <w:t>’</w:t>
      </w:r>
      <w:r w:rsidR="00540522">
        <w:rPr>
          <w:rFonts w:ascii="Arial" w:hAnsi="Arial" w:cs="Arial"/>
          <w:sz w:val="22"/>
          <w:szCs w:val="22"/>
        </w:rPr>
        <w:t xml:space="preserve">. </w:t>
      </w:r>
      <w:r w:rsidR="00DA7694">
        <w:rPr>
          <w:rFonts w:ascii="Arial" w:hAnsi="Arial" w:cs="Arial"/>
          <w:sz w:val="22"/>
          <w:szCs w:val="22"/>
        </w:rPr>
        <w:t xml:space="preserve">The claim for </w:t>
      </w:r>
      <w:r w:rsidR="00540522">
        <w:rPr>
          <w:rFonts w:ascii="Arial" w:hAnsi="Arial" w:cs="Arial"/>
          <w:sz w:val="22"/>
          <w:szCs w:val="22"/>
        </w:rPr>
        <w:t xml:space="preserve">a </w:t>
      </w:r>
      <w:r w:rsidR="00DA7694">
        <w:rPr>
          <w:rFonts w:ascii="Arial" w:hAnsi="Arial" w:cs="Arial"/>
          <w:sz w:val="22"/>
          <w:szCs w:val="22"/>
        </w:rPr>
        <w:t>commonality</w:t>
      </w:r>
      <w:r w:rsidR="004241BC">
        <w:rPr>
          <w:rFonts w:ascii="Arial" w:hAnsi="Arial" w:cs="Arial"/>
          <w:sz w:val="22"/>
          <w:szCs w:val="22"/>
        </w:rPr>
        <w:t xml:space="preserve"> is </w:t>
      </w:r>
      <w:r w:rsidR="00DA7694">
        <w:rPr>
          <w:rFonts w:ascii="Arial" w:hAnsi="Arial" w:cs="Arial"/>
          <w:sz w:val="22"/>
          <w:szCs w:val="22"/>
        </w:rPr>
        <w:t xml:space="preserve">premised on the fact that </w:t>
      </w:r>
      <w:r w:rsidR="004241BC" w:rsidRPr="004F6670">
        <w:rPr>
          <w:rFonts w:ascii="Arial" w:hAnsi="Arial" w:cs="Arial"/>
          <w:sz w:val="22"/>
          <w:szCs w:val="22"/>
        </w:rPr>
        <w:t xml:space="preserve">both regulators will require students to demonstrate knowledge of </w:t>
      </w:r>
      <w:r w:rsidR="004241BC">
        <w:rPr>
          <w:rFonts w:ascii="Arial" w:hAnsi="Arial" w:cs="Arial"/>
          <w:sz w:val="22"/>
          <w:szCs w:val="22"/>
        </w:rPr>
        <w:t>the current</w:t>
      </w:r>
      <w:r w:rsidR="004241BC" w:rsidRPr="004F6670">
        <w:rPr>
          <w:rFonts w:ascii="Arial" w:eastAsia="Times New Roman" w:hAnsi="Arial" w:cs="Arial"/>
          <w:sz w:val="22"/>
          <w:szCs w:val="22"/>
        </w:rPr>
        <w:t xml:space="preserve"> core subjects</w:t>
      </w:r>
      <w:r w:rsidR="00913EEE">
        <w:rPr>
          <w:rFonts w:ascii="Arial" w:eastAsia="Times New Roman" w:hAnsi="Arial" w:cs="Arial"/>
          <w:sz w:val="22"/>
          <w:szCs w:val="22"/>
        </w:rPr>
        <w:t xml:space="preserve"> and because</w:t>
      </w:r>
      <w:r w:rsidR="00835A29">
        <w:rPr>
          <w:rFonts w:ascii="Arial" w:eastAsia="Times New Roman" w:hAnsi="Arial" w:cs="Arial"/>
          <w:sz w:val="22"/>
          <w:szCs w:val="22"/>
        </w:rPr>
        <w:t>,</w:t>
      </w:r>
      <w:r w:rsidR="00913EEE">
        <w:rPr>
          <w:rFonts w:ascii="Arial" w:eastAsia="Times New Roman" w:hAnsi="Arial" w:cs="Arial"/>
          <w:sz w:val="22"/>
          <w:szCs w:val="22"/>
        </w:rPr>
        <w:t xml:space="preserve"> beyond </w:t>
      </w:r>
      <w:r w:rsidR="00835A29">
        <w:rPr>
          <w:rFonts w:ascii="Arial" w:eastAsia="Times New Roman" w:hAnsi="Arial" w:cs="Arial"/>
          <w:sz w:val="22"/>
          <w:szCs w:val="22"/>
        </w:rPr>
        <w:t>stipulating</w:t>
      </w:r>
      <w:r w:rsidR="00913EEE">
        <w:rPr>
          <w:rFonts w:ascii="Arial" w:eastAsia="Times New Roman" w:hAnsi="Arial" w:cs="Arial"/>
          <w:sz w:val="22"/>
          <w:szCs w:val="22"/>
        </w:rPr>
        <w:t xml:space="preserve"> these core areas of law, the </w:t>
      </w:r>
      <w:r w:rsidR="00540522">
        <w:rPr>
          <w:rFonts w:ascii="Arial" w:eastAsia="Times New Roman" w:hAnsi="Arial" w:cs="Arial"/>
          <w:sz w:val="22"/>
          <w:szCs w:val="22"/>
        </w:rPr>
        <w:t xml:space="preserve">new </w:t>
      </w:r>
      <w:r w:rsidR="00913EEE">
        <w:rPr>
          <w:rFonts w:ascii="Arial" w:eastAsia="Times New Roman" w:hAnsi="Arial" w:cs="Arial"/>
          <w:sz w:val="22"/>
          <w:szCs w:val="22"/>
        </w:rPr>
        <w:t xml:space="preserve">BSB </w:t>
      </w:r>
      <w:r w:rsidR="00540522">
        <w:rPr>
          <w:rFonts w:ascii="Arial" w:eastAsia="Times New Roman" w:hAnsi="Arial" w:cs="Arial"/>
          <w:sz w:val="22"/>
          <w:szCs w:val="22"/>
        </w:rPr>
        <w:t>rules are flexible on</w:t>
      </w:r>
      <w:r w:rsidR="00835A29">
        <w:rPr>
          <w:rFonts w:ascii="Arial" w:eastAsia="Times New Roman" w:hAnsi="Arial" w:cs="Arial"/>
          <w:sz w:val="22"/>
          <w:szCs w:val="22"/>
        </w:rPr>
        <w:t xml:space="preserve"> content, assessment and </w:t>
      </w:r>
      <w:r w:rsidR="00913EEE">
        <w:rPr>
          <w:rFonts w:ascii="Arial" w:eastAsia="Times New Roman" w:hAnsi="Arial" w:cs="Arial"/>
          <w:sz w:val="22"/>
          <w:szCs w:val="22"/>
        </w:rPr>
        <w:t>credits</w:t>
      </w:r>
      <w:r w:rsidR="00835A29">
        <w:rPr>
          <w:rFonts w:ascii="Arial" w:eastAsia="Times New Roman" w:hAnsi="Arial" w:cs="Arial"/>
          <w:sz w:val="22"/>
          <w:szCs w:val="22"/>
        </w:rPr>
        <w:t xml:space="preserve"> of learning</w:t>
      </w:r>
      <w:r w:rsidR="004241BC" w:rsidRPr="004F6670">
        <w:rPr>
          <w:rFonts w:ascii="Arial" w:eastAsia="Times New Roman" w:hAnsi="Arial" w:cs="Arial"/>
          <w:sz w:val="22"/>
          <w:szCs w:val="22"/>
        </w:rPr>
        <w:t>.</w:t>
      </w:r>
      <w:r w:rsidR="004241BC" w:rsidRPr="004F6670">
        <w:rPr>
          <w:rStyle w:val="FootnoteReference"/>
          <w:rFonts w:ascii="Arial" w:hAnsi="Arial" w:cs="Arial"/>
          <w:sz w:val="22"/>
          <w:szCs w:val="22"/>
        </w:rPr>
        <w:footnoteReference w:id="66"/>
      </w:r>
      <w:r w:rsidR="004241BC" w:rsidRPr="004F6670">
        <w:rPr>
          <w:rFonts w:ascii="Arial" w:eastAsia="Times New Roman" w:hAnsi="Arial" w:cs="Arial"/>
          <w:sz w:val="22"/>
          <w:szCs w:val="22"/>
        </w:rPr>
        <w:t xml:space="preserve">  </w:t>
      </w:r>
      <w:r w:rsidR="00540522">
        <w:rPr>
          <w:rFonts w:ascii="Arial" w:eastAsia="Times New Roman" w:hAnsi="Arial" w:cs="Arial"/>
          <w:sz w:val="22"/>
          <w:szCs w:val="22"/>
        </w:rPr>
        <w:t>I</w:t>
      </w:r>
      <w:r w:rsidR="004241BC">
        <w:rPr>
          <w:rFonts w:ascii="Arial" w:eastAsia="Times New Roman" w:hAnsi="Arial" w:cs="Arial"/>
          <w:sz w:val="22"/>
          <w:szCs w:val="22"/>
        </w:rPr>
        <w:t xml:space="preserve">t </w:t>
      </w:r>
      <w:r w:rsidR="004241BC">
        <w:rPr>
          <w:rFonts w:ascii="Arial" w:hAnsi="Arial" w:cs="Arial"/>
          <w:sz w:val="22"/>
          <w:szCs w:val="22"/>
        </w:rPr>
        <w:t>would be highly desirable</w:t>
      </w:r>
      <w:r w:rsidR="004241BC">
        <w:rPr>
          <w:rFonts w:ascii="Arial" w:eastAsia="Times New Roman" w:hAnsi="Arial" w:cs="Arial"/>
          <w:sz w:val="22"/>
          <w:szCs w:val="22"/>
        </w:rPr>
        <w:t xml:space="preserve"> if courses emerge which prepares effectively for both the Bar and the SQE </w:t>
      </w:r>
      <w:r w:rsidR="004241BC">
        <w:rPr>
          <w:rFonts w:ascii="Arial" w:hAnsi="Arial" w:cs="Arial"/>
          <w:sz w:val="22"/>
          <w:szCs w:val="22"/>
        </w:rPr>
        <w:t xml:space="preserve">as it would allow NLG to make a delayed and better informed career choice after having studied some law. </w:t>
      </w:r>
      <w:r w:rsidR="004241BC">
        <w:rPr>
          <w:rFonts w:ascii="Arial" w:eastAsia="Times New Roman" w:hAnsi="Arial" w:cs="Arial"/>
          <w:sz w:val="22"/>
          <w:szCs w:val="22"/>
        </w:rPr>
        <w:t>But</w:t>
      </w:r>
      <w:r w:rsidR="00540522">
        <w:rPr>
          <w:rFonts w:ascii="Arial" w:eastAsia="Times New Roman" w:hAnsi="Arial" w:cs="Arial"/>
          <w:sz w:val="22"/>
          <w:szCs w:val="22"/>
        </w:rPr>
        <w:t>,</w:t>
      </w:r>
      <w:r w:rsidR="004241BC">
        <w:rPr>
          <w:rFonts w:ascii="Arial" w:eastAsia="Times New Roman" w:hAnsi="Arial" w:cs="Arial"/>
          <w:sz w:val="22"/>
          <w:szCs w:val="22"/>
        </w:rPr>
        <w:t xml:space="preserve"> </w:t>
      </w:r>
      <w:r w:rsidR="00835A29">
        <w:rPr>
          <w:rFonts w:ascii="Arial" w:eastAsia="Times New Roman" w:hAnsi="Arial" w:cs="Arial"/>
          <w:sz w:val="22"/>
          <w:szCs w:val="22"/>
        </w:rPr>
        <w:t xml:space="preserve">the differences of approach are significant and </w:t>
      </w:r>
      <w:r w:rsidR="004241BC">
        <w:rPr>
          <w:rFonts w:ascii="Arial" w:eastAsia="Times New Roman" w:hAnsi="Arial" w:cs="Arial"/>
          <w:sz w:val="22"/>
          <w:szCs w:val="22"/>
        </w:rPr>
        <w:t xml:space="preserve">it is hard to be confident that </w:t>
      </w:r>
      <w:r w:rsidR="00C2362C">
        <w:rPr>
          <w:rFonts w:ascii="Arial" w:eastAsia="Times New Roman" w:hAnsi="Arial" w:cs="Arial"/>
          <w:sz w:val="22"/>
          <w:szCs w:val="22"/>
        </w:rPr>
        <w:t xml:space="preserve">a joint course </w:t>
      </w:r>
      <w:r w:rsidR="004241BC">
        <w:rPr>
          <w:rFonts w:ascii="Arial" w:eastAsia="Times New Roman" w:hAnsi="Arial" w:cs="Arial"/>
          <w:sz w:val="22"/>
          <w:szCs w:val="22"/>
        </w:rPr>
        <w:t>will emerge</w:t>
      </w:r>
      <w:r w:rsidR="00C2362C">
        <w:rPr>
          <w:rFonts w:ascii="Arial" w:eastAsia="Times New Roman" w:hAnsi="Arial" w:cs="Arial"/>
          <w:sz w:val="22"/>
          <w:szCs w:val="22"/>
        </w:rPr>
        <w:t>, let alone be prevalent</w:t>
      </w:r>
      <w:r w:rsidR="004241BC">
        <w:rPr>
          <w:rFonts w:ascii="Arial" w:eastAsia="Times New Roman" w:hAnsi="Arial" w:cs="Arial"/>
          <w:sz w:val="22"/>
          <w:szCs w:val="22"/>
        </w:rPr>
        <w:t xml:space="preserve">. A </w:t>
      </w:r>
      <w:r w:rsidR="004241BC" w:rsidRPr="004F6670">
        <w:rPr>
          <w:rFonts w:ascii="Arial" w:eastAsia="Times New Roman" w:hAnsi="Arial" w:cs="Arial"/>
          <w:sz w:val="22"/>
          <w:szCs w:val="22"/>
        </w:rPr>
        <w:t>course in academic core law will take a student one ste</w:t>
      </w:r>
      <w:r w:rsidR="004241BC">
        <w:rPr>
          <w:rFonts w:ascii="Arial" w:eastAsia="Times New Roman" w:hAnsi="Arial" w:cs="Arial"/>
          <w:sz w:val="22"/>
          <w:szCs w:val="22"/>
        </w:rPr>
        <w:t xml:space="preserve">p towards qualification for the Bar, but would not be sufficient </w:t>
      </w:r>
      <w:r w:rsidR="00DA7694">
        <w:rPr>
          <w:rFonts w:ascii="Arial" w:eastAsia="Times New Roman" w:hAnsi="Arial" w:cs="Arial"/>
          <w:sz w:val="22"/>
          <w:szCs w:val="22"/>
        </w:rPr>
        <w:t>for</w:t>
      </w:r>
      <w:r w:rsidR="004241BC">
        <w:rPr>
          <w:rFonts w:ascii="Arial" w:eastAsia="Times New Roman" w:hAnsi="Arial" w:cs="Arial"/>
          <w:sz w:val="22"/>
          <w:szCs w:val="22"/>
        </w:rPr>
        <w:t xml:space="preserve"> the SQE</w:t>
      </w:r>
      <w:r w:rsidR="004241BC" w:rsidRPr="004F6670">
        <w:rPr>
          <w:rFonts w:ascii="Arial" w:eastAsia="Times New Roman" w:hAnsi="Arial" w:cs="Arial"/>
          <w:sz w:val="22"/>
          <w:szCs w:val="22"/>
        </w:rPr>
        <w:t>.</w:t>
      </w:r>
      <w:r w:rsidR="004241BC">
        <w:rPr>
          <w:rFonts w:ascii="Arial" w:eastAsia="Times New Roman" w:hAnsi="Arial" w:cs="Arial"/>
          <w:sz w:val="22"/>
          <w:szCs w:val="22"/>
        </w:rPr>
        <w:t xml:space="preserve">  A common course developed around the SQE would probably result in </w:t>
      </w:r>
      <w:r w:rsidR="00835A29">
        <w:rPr>
          <w:rFonts w:ascii="Arial" w:eastAsia="Times New Roman" w:hAnsi="Arial" w:cs="Arial"/>
          <w:sz w:val="22"/>
          <w:szCs w:val="22"/>
        </w:rPr>
        <w:t xml:space="preserve">duplication of learning for Bar </w:t>
      </w:r>
      <w:r w:rsidR="004241BC">
        <w:rPr>
          <w:rFonts w:ascii="Arial" w:eastAsia="Times New Roman" w:hAnsi="Arial" w:cs="Arial"/>
          <w:sz w:val="22"/>
          <w:szCs w:val="22"/>
        </w:rPr>
        <w:t xml:space="preserve">students and </w:t>
      </w:r>
      <w:r w:rsidR="00835A29">
        <w:rPr>
          <w:rFonts w:ascii="Arial" w:eastAsia="Times New Roman" w:hAnsi="Arial" w:cs="Arial"/>
          <w:sz w:val="22"/>
          <w:szCs w:val="22"/>
        </w:rPr>
        <w:t xml:space="preserve">risks </w:t>
      </w:r>
      <w:r w:rsidR="004241BC">
        <w:rPr>
          <w:rFonts w:ascii="Arial" w:eastAsia="Times New Roman" w:hAnsi="Arial" w:cs="Arial"/>
          <w:sz w:val="22"/>
          <w:szCs w:val="22"/>
        </w:rPr>
        <w:t>be</w:t>
      </w:r>
      <w:r w:rsidR="00835A29">
        <w:rPr>
          <w:rFonts w:ascii="Arial" w:eastAsia="Times New Roman" w:hAnsi="Arial" w:cs="Arial"/>
          <w:sz w:val="22"/>
          <w:szCs w:val="22"/>
        </w:rPr>
        <w:t>ing</w:t>
      </w:r>
      <w:r w:rsidR="004241BC">
        <w:rPr>
          <w:rFonts w:ascii="Arial" w:eastAsia="Times New Roman" w:hAnsi="Arial" w:cs="Arial"/>
          <w:sz w:val="22"/>
          <w:szCs w:val="22"/>
        </w:rPr>
        <w:t xml:space="preserve"> </w:t>
      </w:r>
      <w:r w:rsidR="00DA7694">
        <w:rPr>
          <w:rFonts w:ascii="Arial" w:eastAsia="Times New Roman" w:hAnsi="Arial" w:cs="Arial"/>
          <w:sz w:val="22"/>
          <w:szCs w:val="22"/>
        </w:rPr>
        <w:t xml:space="preserve">considered </w:t>
      </w:r>
      <w:r w:rsidR="00835A29">
        <w:rPr>
          <w:rFonts w:ascii="Arial" w:eastAsia="Times New Roman" w:hAnsi="Arial" w:cs="Arial"/>
          <w:sz w:val="22"/>
          <w:szCs w:val="22"/>
        </w:rPr>
        <w:t xml:space="preserve">by the market as </w:t>
      </w:r>
      <w:r w:rsidR="004241BC">
        <w:rPr>
          <w:rFonts w:ascii="Arial" w:eastAsia="Times New Roman" w:hAnsi="Arial" w:cs="Arial"/>
          <w:sz w:val="22"/>
          <w:szCs w:val="22"/>
        </w:rPr>
        <w:t xml:space="preserve">too light on </w:t>
      </w:r>
      <w:r w:rsidR="00DA7694">
        <w:rPr>
          <w:rFonts w:ascii="Arial" w:eastAsia="Times New Roman" w:hAnsi="Arial" w:cs="Arial"/>
          <w:sz w:val="22"/>
          <w:szCs w:val="22"/>
        </w:rPr>
        <w:t>core law</w:t>
      </w:r>
      <w:r w:rsidR="004241BC">
        <w:rPr>
          <w:rFonts w:ascii="Arial" w:eastAsia="Times New Roman" w:hAnsi="Arial" w:cs="Arial"/>
          <w:sz w:val="22"/>
          <w:szCs w:val="22"/>
        </w:rPr>
        <w:t>.</w:t>
      </w:r>
      <w:r w:rsidR="004241BC">
        <w:rPr>
          <w:rStyle w:val="FootnoteReference"/>
          <w:rFonts w:ascii="Arial" w:eastAsia="Times New Roman" w:hAnsi="Arial" w:cs="Arial"/>
          <w:sz w:val="22"/>
          <w:szCs w:val="22"/>
        </w:rPr>
        <w:footnoteReference w:id="67"/>
      </w:r>
      <w:r w:rsidR="00835A29">
        <w:rPr>
          <w:rFonts w:ascii="Arial" w:eastAsia="Times New Roman" w:hAnsi="Arial" w:cs="Arial"/>
          <w:sz w:val="22"/>
          <w:szCs w:val="22"/>
        </w:rPr>
        <w:t xml:space="preserve"> I</w:t>
      </w:r>
      <w:r w:rsidR="00E70184">
        <w:rPr>
          <w:rFonts w:ascii="Arial" w:eastAsia="Times New Roman" w:hAnsi="Arial" w:cs="Arial"/>
          <w:sz w:val="22"/>
          <w:szCs w:val="22"/>
        </w:rPr>
        <w:t xml:space="preserve">t is </w:t>
      </w:r>
      <w:r w:rsidR="004241BC">
        <w:rPr>
          <w:rFonts w:ascii="Arial" w:eastAsia="Times New Roman" w:hAnsi="Arial" w:cs="Arial"/>
          <w:sz w:val="22"/>
          <w:szCs w:val="22"/>
        </w:rPr>
        <w:t xml:space="preserve">debatable whether </w:t>
      </w:r>
      <w:r w:rsidR="00835A29">
        <w:rPr>
          <w:rFonts w:ascii="Arial" w:eastAsia="Times New Roman" w:hAnsi="Arial" w:cs="Arial"/>
          <w:sz w:val="22"/>
          <w:szCs w:val="22"/>
        </w:rPr>
        <w:t xml:space="preserve">such a </w:t>
      </w:r>
      <w:r w:rsidR="004241BC">
        <w:rPr>
          <w:rFonts w:ascii="Arial" w:eastAsia="Times New Roman" w:hAnsi="Arial" w:cs="Arial"/>
          <w:sz w:val="22"/>
          <w:szCs w:val="22"/>
        </w:rPr>
        <w:t xml:space="preserve">course would be </w:t>
      </w:r>
      <w:r w:rsidR="001D0973">
        <w:rPr>
          <w:rFonts w:ascii="Arial" w:eastAsia="Times New Roman" w:hAnsi="Arial" w:cs="Arial"/>
          <w:sz w:val="22"/>
          <w:szCs w:val="22"/>
        </w:rPr>
        <w:t xml:space="preserve">viable </w:t>
      </w:r>
      <w:r w:rsidR="00E70184">
        <w:rPr>
          <w:rFonts w:ascii="Arial" w:eastAsia="Times New Roman" w:hAnsi="Arial" w:cs="Arial"/>
          <w:sz w:val="22"/>
          <w:szCs w:val="22"/>
        </w:rPr>
        <w:t xml:space="preserve">where </w:t>
      </w:r>
      <w:r w:rsidR="001D0973">
        <w:rPr>
          <w:rFonts w:ascii="Arial" w:eastAsia="Times New Roman" w:hAnsi="Arial" w:cs="Arial"/>
          <w:sz w:val="22"/>
          <w:szCs w:val="22"/>
        </w:rPr>
        <w:t xml:space="preserve">it is in competition with </w:t>
      </w:r>
      <w:r w:rsidR="004241BC">
        <w:rPr>
          <w:rFonts w:ascii="Arial" w:eastAsia="Times New Roman" w:hAnsi="Arial" w:cs="Arial"/>
          <w:sz w:val="22"/>
          <w:szCs w:val="22"/>
        </w:rPr>
        <w:t>Ba</w:t>
      </w:r>
      <w:r w:rsidR="001D0973">
        <w:rPr>
          <w:rFonts w:ascii="Arial" w:eastAsia="Times New Roman" w:hAnsi="Arial" w:cs="Arial"/>
          <w:sz w:val="22"/>
          <w:szCs w:val="22"/>
        </w:rPr>
        <w:t>r dedicated conversion courses which are</w:t>
      </w:r>
      <w:r w:rsidR="00E70184">
        <w:rPr>
          <w:rFonts w:ascii="Arial" w:eastAsia="Times New Roman" w:hAnsi="Arial" w:cs="Arial"/>
          <w:sz w:val="22"/>
          <w:szCs w:val="22"/>
        </w:rPr>
        <w:t xml:space="preserve"> </w:t>
      </w:r>
      <w:r w:rsidR="00C2362C">
        <w:rPr>
          <w:rFonts w:ascii="Arial" w:eastAsia="Times New Roman" w:hAnsi="Arial" w:cs="Arial"/>
          <w:sz w:val="22"/>
          <w:szCs w:val="22"/>
        </w:rPr>
        <w:t xml:space="preserve">feasible </w:t>
      </w:r>
      <w:r w:rsidR="00E70184">
        <w:rPr>
          <w:rFonts w:ascii="Arial" w:eastAsia="Times New Roman" w:hAnsi="Arial" w:cs="Arial"/>
          <w:sz w:val="22"/>
          <w:szCs w:val="22"/>
        </w:rPr>
        <w:t xml:space="preserve">given the </w:t>
      </w:r>
      <w:r w:rsidR="001D0973">
        <w:rPr>
          <w:rFonts w:ascii="Arial" w:eastAsia="Times New Roman" w:hAnsi="Arial" w:cs="Arial"/>
          <w:sz w:val="22"/>
          <w:szCs w:val="22"/>
        </w:rPr>
        <w:t xml:space="preserve">unique </w:t>
      </w:r>
      <w:r w:rsidR="00E70184">
        <w:rPr>
          <w:rFonts w:ascii="Arial" w:eastAsia="Times New Roman" w:hAnsi="Arial" w:cs="Arial"/>
          <w:sz w:val="22"/>
          <w:szCs w:val="22"/>
        </w:rPr>
        <w:t xml:space="preserve">attraction of the Bar to home and overseas students. </w:t>
      </w:r>
    </w:p>
    <w:p w14:paraId="5188CA52" w14:textId="77777777" w:rsidR="002B0DFA" w:rsidRDefault="002B0DFA" w:rsidP="00FF2C4A">
      <w:pPr>
        <w:rPr>
          <w:rFonts w:ascii="Arial" w:hAnsi="Arial" w:cs="Arial"/>
          <w:sz w:val="22"/>
          <w:szCs w:val="22"/>
        </w:rPr>
      </w:pPr>
    </w:p>
    <w:p w14:paraId="07C68FAC" w14:textId="1645AB4A" w:rsidR="00314520" w:rsidRDefault="00801A76" w:rsidP="00314520">
      <w:pPr>
        <w:rPr>
          <w:rFonts w:ascii="Arial" w:hAnsi="Arial" w:cs="Arial"/>
          <w:sz w:val="22"/>
          <w:szCs w:val="22"/>
        </w:rPr>
      </w:pPr>
      <w:r>
        <w:rPr>
          <w:rFonts w:ascii="Arial" w:hAnsi="Arial" w:cs="Arial"/>
          <w:sz w:val="22"/>
          <w:szCs w:val="22"/>
        </w:rPr>
        <w:t xml:space="preserve">For </w:t>
      </w:r>
      <w:r w:rsidR="00092C7C">
        <w:rPr>
          <w:rFonts w:ascii="Arial" w:hAnsi="Arial" w:cs="Arial"/>
          <w:sz w:val="22"/>
          <w:szCs w:val="22"/>
        </w:rPr>
        <w:t>universities</w:t>
      </w:r>
      <w:r>
        <w:rPr>
          <w:rFonts w:ascii="Arial" w:hAnsi="Arial" w:cs="Arial"/>
          <w:sz w:val="22"/>
          <w:szCs w:val="22"/>
        </w:rPr>
        <w:t xml:space="preserve"> </w:t>
      </w:r>
      <w:r w:rsidR="002E0AF3">
        <w:rPr>
          <w:rFonts w:ascii="Arial" w:hAnsi="Arial" w:cs="Arial"/>
          <w:sz w:val="22"/>
          <w:szCs w:val="22"/>
        </w:rPr>
        <w:t xml:space="preserve">currently </w:t>
      </w:r>
      <w:r>
        <w:rPr>
          <w:rFonts w:ascii="Arial" w:hAnsi="Arial" w:cs="Arial"/>
          <w:sz w:val="22"/>
          <w:szCs w:val="22"/>
        </w:rPr>
        <w:t>offering</w:t>
      </w:r>
      <w:r w:rsidR="00314520" w:rsidRPr="00DE1DF7">
        <w:rPr>
          <w:rFonts w:ascii="Arial" w:hAnsi="Arial" w:cs="Arial"/>
          <w:sz w:val="22"/>
          <w:szCs w:val="22"/>
        </w:rPr>
        <w:t xml:space="preserve"> a</w:t>
      </w:r>
      <w:r w:rsidR="00910F25">
        <w:rPr>
          <w:rFonts w:ascii="Arial" w:hAnsi="Arial" w:cs="Arial"/>
          <w:sz w:val="22"/>
          <w:szCs w:val="22"/>
        </w:rPr>
        <w:t xml:space="preserve"> </w:t>
      </w:r>
      <w:r w:rsidR="004178B8">
        <w:rPr>
          <w:rFonts w:ascii="Arial" w:hAnsi="Arial" w:cs="Arial"/>
          <w:sz w:val="22"/>
          <w:szCs w:val="22"/>
        </w:rPr>
        <w:t xml:space="preserve">conversion </w:t>
      </w:r>
      <w:r w:rsidR="00314520" w:rsidRPr="00DE1DF7">
        <w:rPr>
          <w:rFonts w:ascii="Arial" w:hAnsi="Arial" w:cs="Arial"/>
          <w:sz w:val="22"/>
          <w:szCs w:val="22"/>
        </w:rPr>
        <w:t>course</w:t>
      </w:r>
      <w:r w:rsidR="000758BC">
        <w:rPr>
          <w:rFonts w:ascii="Arial" w:hAnsi="Arial" w:cs="Arial"/>
          <w:sz w:val="22"/>
          <w:szCs w:val="22"/>
        </w:rPr>
        <w:t xml:space="preserve"> </w:t>
      </w:r>
      <w:r>
        <w:rPr>
          <w:rFonts w:ascii="Arial" w:hAnsi="Arial" w:cs="Arial"/>
          <w:sz w:val="22"/>
          <w:szCs w:val="22"/>
        </w:rPr>
        <w:t>in an</w:t>
      </w:r>
      <w:r w:rsidR="00910F25">
        <w:rPr>
          <w:rFonts w:ascii="Arial" w:hAnsi="Arial" w:cs="Arial"/>
          <w:sz w:val="22"/>
          <w:szCs w:val="22"/>
        </w:rPr>
        <w:t xml:space="preserve"> academic tradition, SQE </w:t>
      </w:r>
      <w:r>
        <w:rPr>
          <w:rFonts w:ascii="Arial" w:hAnsi="Arial" w:cs="Arial"/>
          <w:sz w:val="22"/>
          <w:szCs w:val="22"/>
        </w:rPr>
        <w:t xml:space="preserve">Part </w:t>
      </w:r>
      <w:r w:rsidR="00910F25">
        <w:rPr>
          <w:rFonts w:ascii="Arial" w:hAnsi="Arial" w:cs="Arial"/>
          <w:sz w:val="22"/>
          <w:szCs w:val="22"/>
        </w:rPr>
        <w:t xml:space="preserve">1 </w:t>
      </w:r>
      <w:r w:rsidR="00314520" w:rsidRPr="00DE1DF7">
        <w:rPr>
          <w:rFonts w:ascii="Arial" w:hAnsi="Arial" w:cs="Arial"/>
          <w:sz w:val="22"/>
          <w:szCs w:val="22"/>
        </w:rPr>
        <w:t xml:space="preserve">is a radical departure. </w:t>
      </w:r>
      <w:r>
        <w:rPr>
          <w:rFonts w:ascii="Arial" w:hAnsi="Arial" w:cs="Arial"/>
          <w:sz w:val="22"/>
          <w:szCs w:val="22"/>
        </w:rPr>
        <w:t>S</w:t>
      </w:r>
      <w:r w:rsidR="00314520" w:rsidRPr="00DE1DF7">
        <w:rPr>
          <w:rFonts w:ascii="Arial" w:hAnsi="Arial" w:cs="Arial"/>
          <w:sz w:val="22"/>
          <w:szCs w:val="22"/>
        </w:rPr>
        <w:t>ome universities may consider that a clinic approach to learning law will fac</w:t>
      </w:r>
      <w:r w:rsidR="00376D10">
        <w:rPr>
          <w:rFonts w:ascii="Arial" w:hAnsi="Arial" w:cs="Arial"/>
          <w:sz w:val="22"/>
          <w:szCs w:val="22"/>
        </w:rPr>
        <w:t>ilitate an approach to learning</w:t>
      </w:r>
      <w:r>
        <w:rPr>
          <w:rFonts w:ascii="Arial" w:hAnsi="Arial" w:cs="Arial"/>
          <w:sz w:val="22"/>
          <w:szCs w:val="22"/>
        </w:rPr>
        <w:t xml:space="preserve"> Part 2</w:t>
      </w:r>
      <w:r w:rsidR="00314520" w:rsidRPr="00DE1DF7">
        <w:rPr>
          <w:rFonts w:ascii="Arial" w:hAnsi="Arial" w:cs="Arial"/>
          <w:sz w:val="22"/>
          <w:szCs w:val="22"/>
        </w:rPr>
        <w:t xml:space="preserve">, but </w:t>
      </w:r>
      <w:r>
        <w:rPr>
          <w:rFonts w:ascii="Arial" w:hAnsi="Arial" w:cs="Arial"/>
          <w:sz w:val="22"/>
          <w:szCs w:val="22"/>
        </w:rPr>
        <w:t>resources will determine</w:t>
      </w:r>
      <w:r w:rsidR="00314520">
        <w:rPr>
          <w:rFonts w:ascii="Arial" w:hAnsi="Arial" w:cs="Arial"/>
          <w:sz w:val="22"/>
          <w:szCs w:val="22"/>
        </w:rPr>
        <w:t xml:space="preserve"> this.</w:t>
      </w:r>
      <w:r w:rsidR="00D25302">
        <w:rPr>
          <w:rStyle w:val="FootnoteReference"/>
          <w:rFonts w:ascii="Arial" w:hAnsi="Arial" w:cs="Arial"/>
          <w:sz w:val="22"/>
          <w:szCs w:val="22"/>
        </w:rPr>
        <w:footnoteReference w:id="68"/>
      </w:r>
      <w:r w:rsidR="00314520">
        <w:rPr>
          <w:rFonts w:ascii="Arial" w:hAnsi="Arial" w:cs="Arial"/>
          <w:sz w:val="22"/>
          <w:szCs w:val="22"/>
        </w:rPr>
        <w:t xml:space="preserve">  </w:t>
      </w:r>
      <w:r w:rsidR="00314520" w:rsidRPr="00DE1DF7">
        <w:rPr>
          <w:rFonts w:ascii="Arial" w:hAnsi="Arial" w:cs="Arial"/>
          <w:sz w:val="22"/>
          <w:szCs w:val="22"/>
        </w:rPr>
        <w:t xml:space="preserve">For university law schools not </w:t>
      </w:r>
      <w:r w:rsidR="00C30277">
        <w:rPr>
          <w:rFonts w:ascii="Arial" w:hAnsi="Arial" w:cs="Arial"/>
          <w:sz w:val="22"/>
          <w:szCs w:val="22"/>
        </w:rPr>
        <w:t xml:space="preserve">currently </w:t>
      </w:r>
      <w:r w:rsidR="00314520" w:rsidRPr="00DE1DF7">
        <w:rPr>
          <w:rFonts w:ascii="Arial" w:hAnsi="Arial" w:cs="Arial"/>
          <w:sz w:val="22"/>
          <w:szCs w:val="22"/>
        </w:rPr>
        <w:t>offering vocational cour</w:t>
      </w:r>
      <w:r w:rsidR="00910F25">
        <w:rPr>
          <w:rFonts w:ascii="Arial" w:hAnsi="Arial" w:cs="Arial"/>
          <w:sz w:val="22"/>
          <w:szCs w:val="22"/>
        </w:rPr>
        <w:t>ses</w:t>
      </w:r>
      <w:r w:rsidR="00314520">
        <w:rPr>
          <w:rFonts w:ascii="Arial" w:hAnsi="Arial" w:cs="Arial"/>
          <w:sz w:val="22"/>
          <w:szCs w:val="22"/>
        </w:rPr>
        <w:t>, where academic law is the</w:t>
      </w:r>
      <w:r w:rsidR="00314520" w:rsidRPr="00DE1DF7">
        <w:rPr>
          <w:rFonts w:ascii="Arial" w:hAnsi="Arial" w:cs="Arial"/>
          <w:sz w:val="22"/>
          <w:szCs w:val="22"/>
        </w:rPr>
        <w:t xml:space="preserve"> domain, the debate around the purpose</w:t>
      </w:r>
      <w:r w:rsidR="001D0973">
        <w:rPr>
          <w:rFonts w:ascii="Arial" w:hAnsi="Arial" w:cs="Arial"/>
          <w:sz w:val="22"/>
          <w:szCs w:val="22"/>
        </w:rPr>
        <w:t>s</w:t>
      </w:r>
      <w:r w:rsidR="00314520" w:rsidRPr="00DE1DF7">
        <w:rPr>
          <w:rFonts w:ascii="Arial" w:hAnsi="Arial" w:cs="Arial"/>
          <w:sz w:val="22"/>
          <w:szCs w:val="22"/>
        </w:rPr>
        <w:t xml:space="preserve"> of a law degree and the law school</w:t>
      </w:r>
      <w:r w:rsidR="00910F25">
        <w:rPr>
          <w:rFonts w:ascii="Arial" w:hAnsi="Arial" w:cs="Arial"/>
          <w:sz w:val="22"/>
          <w:szCs w:val="22"/>
        </w:rPr>
        <w:t>,</w:t>
      </w:r>
      <w:r w:rsidR="003F3876">
        <w:rPr>
          <w:rFonts w:ascii="Arial" w:hAnsi="Arial" w:cs="Arial"/>
          <w:sz w:val="22"/>
          <w:szCs w:val="22"/>
        </w:rPr>
        <w:t xml:space="preserve"> tradition</w:t>
      </w:r>
      <w:r w:rsidR="00910F25">
        <w:rPr>
          <w:rFonts w:ascii="Arial" w:hAnsi="Arial" w:cs="Arial"/>
          <w:sz w:val="22"/>
          <w:szCs w:val="22"/>
        </w:rPr>
        <w:t>ally</w:t>
      </w:r>
      <w:r w:rsidR="003F3876">
        <w:rPr>
          <w:rFonts w:ascii="Arial" w:hAnsi="Arial" w:cs="Arial"/>
          <w:sz w:val="22"/>
          <w:szCs w:val="22"/>
        </w:rPr>
        <w:t xml:space="preserve"> presented as</w:t>
      </w:r>
      <w:r w:rsidR="00314520" w:rsidRPr="00DE1DF7">
        <w:rPr>
          <w:rFonts w:ascii="Arial" w:hAnsi="Arial" w:cs="Arial"/>
          <w:sz w:val="22"/>
          <w:szCs w:val="22"/>
        </w:rPr>
        <w:t xml:space="preserve"> </w:t>
      </w:r>
      <w:r w:rsidR="00314520">
        <w:rPr>
          <w:rFonts w:ascii="Arial" w:hAnsi="Arial" w:cs="Arial"/>
          <w:sz w:val="22"/>
          <w:szCs w:val="22"/>
        </w:rPr>
        <w:t>liberal education against</w:t>
      </w:r>
      <w:r w:rsidR="003F3876">
        <w:rPr>
          <w:rFonts w:ascii="Arial" w:hAnsi="Arial" w:cs="Arial"/>
          <w:sz w:val="22"/>
          <w:szCs w:val="22"/>
        </w:rPr>
        <w:t xml:space="preserve"> training, </w:t>
      </w:r>
      <w:r w:rsidR="00314520">
        <w:rPr>
          <w:rFonts w:ascii="Arial" w:hAnsi="Arial" w:cs="Arial"/>
          <w:sz w:val="22"/>
          <w:szCs w:val="22"/>
        </w:rPr>
        <w:t>an</w:t>
      </w:r>
      <w:r>
        <w:rPr>
          <w:rFonts w:ascii="Arial" w:hAnsi="Arial" w:cs="Arial"/>
          <w:sz w:val="22"/>
          <w:szCs w:val="22"/>
        </w:rPr>
        <w:t xml:space="preserve">d costs associated </w:t>
      </w:r>
      <w:r w:rsidR="00376D10">
        <w:rPr>
          <w:rFonts w:ascii="Arial" w:hAnsi="Arial" w:cs="Arial"/>
          <w:sz w:val="22"/>
          <w:szCs w:val="22"/>
        </w:rPr>
        <w:t xml:space="preserve">with </w:t>
      </w:r>
      <w:r>
        <w:rPr>
          <w:rFonts w:ascii="Arial" w:hAnsi="Arial" w:cs="Arial"/>
          <w:sz w:val="22"/>
          <w:szCs w:val="22"/>
        </w:rPr>
        <w:t>a</w:t>
      </w:r>
      <w:r w:rsidR="00314520">
        <w:rPr>
          <w:rFonts w:ascii="Arial" w:hAnsi="Arial" w:cs="Arial"/>
          <w:sz w:val="22"/>
          <w:szCs w:val="22"/>
        </w:rPr>
        <w:t xml:space="preserve"> SQE</w:t>
      </w:r>
      <w:r>
        <w:rPr>
          <w:rFonts w:ascii="Arial" w:hAnsi="Arial" w:cs="Arial"/>
          <w:sz w:val="22"/>
          <w:szCs w:val="22"/>
        </w:rPr>
        <w:t xml:space="preserve"> course</w:t>
      </w:r>
      <w:r w:rsidR="00314520">
        <w:rPr>
          <w:rFonts w:ascii="Arial" w:hAnsi="Arial" w:cs="Arial"/>
          <w:sz w:val="22"/>
          <w:szCs w:val="22"/>
        </w:rPr>
        <w:t xml:space="preserve">, </w:t>
      </w:r>
      <w:r w:rsidR="00314520" w:rsidRPr="00DE1DF7">
        <w:rPr>
          <w:rFonts w:ascii="Arial" w:hAnsi="Arial" w:cs="Arial"/>
          <w:sz w:val="22"/>
          <w:szCs w:val="22"/>
        </w:rPr>
        <w:t>will</w:t>
      </w:r>
      <w:r w:rsidR="00D56623">
        <w:rPr>
          <w:rFonts w:ascii="Arial" w:hAnsi="Arial" w:cs="Arial"/>
          <w:sz w:val="22"/>
          <w:szCs w:val="22"/>
        </w:rPr>
        <w:t xml:space="preserve"> </w:t>
      </w:r>
      <w:r w:rsidR="00314520" w:rsidRPr="00DE1DF7">
        <w:rPr>
          <w:rFonts w:ascii="Arial" w:hAnsi="Arial" w:cs="Arial"/>
          <w:sz w:val="22"/>
          <w:szCs w:val="22"/>
        </w:rPr>
        <w:t>favour</w:t>
      </w:r>
      <w:r w:rsidR="00910F25">
        <w:rPr>
          <w:rFonts w:ascii="Arial" w:hAnsi="Arial" w:cs="Arial"/>
          <w:sz w:val="22"/>
          <w:szCs w:val="22"/>
        </w:rPr>
        <w:t xml:space="preserve"> </w:t>
      </w:r>
      <w:r w:rsidR="006A2CAF">
        <w:rPr>
          <w:rFonts w:ascii="Arial" w:hAnsi="Arial" w:cs="Arial"/>
          <w:sz w:val="22"/>
          <w:szCs w:val="22"/>
        </w:rPr>
        <w:t>a</w:t>
      </w:r>
      <w:r w:rsidR="00910F25">
        <w:rPr>
          <w:rFonts w:ascii="Arial" w:hAnsi="Arial" w:cs="Arial"/>
          <w:sz w:val="22"/>
          <w:szCs w:val="22"/>
        </w:rPr>
        <w:t xml:space="preserve"> defen</w:t>
      </w:r>
      <w:r w:rsidR="006A2CAF">
        <w:rPr>
          <w:rFonts w:ascii="Arial" w:hAnsi="Arial" w:cs="Arial"/>
          <w:sz w:val="22"/>
          <w:szCs w:val="22"/>
        </w:rPr>
        <w:t>ce of</w:t>
      </w:r>
      <w:r w:rsidR="003F3876">
        <w:rPr>
          <w:rFonts w:ascii="Arial" w:hAnsi="Arial" w:cs="Arial"/>
          <w:sz w:val="22"/>
          <w:szCs w:val="22"/>
        </w:rPr>
        <w:t xml:space="preserve"> the</w:t>
      </w:r>
      <w:r w:rsidR="00314520" w:rsidRPr="00DE1DF7">
        <w:rPr>
          <w:rFonts w:ascii="Arial" w:hAnsi="Arial" w:cs="Arial"/>
          <w:sz w:val="22"/>
          <w:szCs w:val="22"/>
        </w:rPr>
        <w:t xml:space="preserve"> </w:t>
      </w:r>
      <w:r w:rsidR="001D0973">
        <w:rPr>
          <w:rFonts w:ascii="Arial" w:hAnsi="Arial" w:cs="Arial"/>
          <w:sz w:val="22"/>
          <w:szCs w:val="22"/>
        </w:rPr>
        <w:t>liberal degree</w:t>
      </w:r>
      <w:r w:rsidR="00314520" w:rsidRPr="00DE1DF7">
        <w:rPr>
          <w:rFonts w:ascii="Arial" w:hAnsi="Arial" w:cs="Arial"/>
          <w:sz w:val="22"/>
          <w:szCs w:val="22"/>
        </w:rPr>
        <w:t xml:space="preserve">. </w:t>
      </w:r>
      <w:r w:rsidR="00910F25">
        <w:rPr>
          <w:rFonts w:ascii="Arial" w:hAnsi="Arial" w:cs="Arial"/>
          <w:sz w:val="22"/>
          <w:szCs w:val="22"/>
        </w:rPr>
        <w:t xml:space="preserve">This means </w:t>
      </w:r>
      <w:r w:rsidR="000901C0">
        <w:rPr>
          <w:rFonts w:ascii="Arial" w:hAnsi="Arial" w:cs="Arial"/>
          <w:sz w:val="22"/>
          <w:szCs w:val="22"/>
        </w:rPr>
        <w:t xml:space="preserve">that </w:t>
      </w:r>
      <w:r w:rsidR="00C2362C">
        <w:rPr>
          <w:rFonts w:ascii="Arial" w:hAnsi="Arial" w:cs="Arial"/>
          <w:sz w:val="22"/>
          <w:szCs w:val="22"/>
        </w:rPr>
        <w:t>universities</w:t>
      </w:r>
      <w:r w:rsidR="00910F25">
        <w:rPr>
          <w:rFonts w:ascii="Arial" w:hAnsi="Arial" w:cs="Arial"/>
          <w:sz w:val="22"/>
          <w:szCs w:val="22"/>
        </w:rPr>
        <w:t xml:space="preserve"> currently offering </w:t>
      </w:r>
      <w:r w:rsidR="004178B8">
        <w:rPr>
          <w:rFonts w:ascii="Arial" w:hAnsi="Arial" w:cs="Arial"/>
          <w:sz w:val="22"/>
          <w:szCs w:val="22"/>
        </w:rPr>
        <w:t xml:space="preserve">the vocational course </w:t>
      </w:r>
      <w:r w:rsidR="00314520">
        <w:rPr>
          <w:rFonts w:ascii="Arial" w:hAnsi="Arial" w:cs="Arial"/>
          <w:sz w:val="22"/>
          <w:szCs w:val="22"/>
        </w:rPr>
        <w:t xml:space="preserve">(LPC) </w:t>
      </w:r>
      <w:r w:rsidR="000901C0">
        <w:rPr>
          <w:rFonts w:ascii="Arial" w:hAnsi="Arial" w:cs="Arial"/>
          <w:sz w:val="22"/>
          <w:szCs w:val="22"/>
        </w:rPr>
        <w:t>an</w:t>
      </w:r>
      <w:r w:rsidR="0003514A">
        <w:rPr>
          <w:rFonts w:ascii="Arial" w:hAnsi="Arial" w:cs="Arial"/>
          <w:sz w:val="22"/>
          <w:szCs w:val="22"/>
        </w:rPr>
        <w:t>d others prepared to invest in</w:t>
      </w:r>
      <w:r w:rsidR="000901C0">
        <w:rPr>
          <w:rFonts w:ascii="Arial" w:hAnsi="Arial" w:cs="Arial"/>
          <w:sz w:val="22"/>
          <w:szCs w:val="22"/>
        </w:rPr>
        <w:t xml:space="preserve"> new model</w:t>
      </w:r>
      <w:r w:rsidR="0003514A">
        <w:rPr>
          <w:rFonts w:ascii="Arial" w:hAnsi="Arial" w:cs="Arial"/>
          <w:sz w:val="22"/>
          <w:szCs w:val="22"/>
        </w:rPr>
        <w:t>s</w:t>
      </w:r>
      <w:r w:rsidR="000901C0">
        <w:rPr>
          <w:rFonts w:ascii="Arial" w:hAnsi="Arial" w:cs="Arial"/>
          <w:sz w:val="22"/>
          <w:szCs w:val="22"/>
        </w:rPr>
        <w:t xml:space="preserve"> </w:t>
      </w:r>
      <w:r w:rsidR="00092C7C">
        <w:rPr>
          <w:rFonts w:ascii="Arial" w:hAnsi="Arial" w:cs="Arial"/>
          <w:sz w:val="22"/>
          <w:szCs w:val="22"/>
        </w:rPr>
        <w:t>will be</w:t>
      </w:r>
      <w:r w:rsidR="004178B8">
        <w:rPr>
          <w:rFonts w:ascii="Arial" w:hAnsi="Arial" w:cs="Arial"/>
          <w:sz w:val="22"/>
          <w:szCs w:val="22"/>
        </w:rPr>
        <w:t xml:space="preserve"> </w:t>
      </w:r>
      <w:r w:rsidR="00910F25">
        <w:rPr>
          <w:rFonts w:ascii="Arial" w:hAnsi="Arial" w:cs="Arial"/>
          <w:sz w:val="22"/>
          <w:szCs w:val="22"/>
        </w:rPr>
        <w:t xml:space="preserve">best placed to </w:t>
      </w:r>
      <w:r w:rsidR="0003514A">
        <w:rPr>
          <w:rFonts w:ascii="Arial" w:hAnsi="Arial" w:cs="Arial"/>
          <w:sz w:val="22"/>
          <w:szCs w:val="22"/>
        </w:rPr>
        <w:t xml:space="preserve">offer </w:t>
      </w:r>
      <w:r w:rsidR="001D0973">
        <w:rPr>
          <w:rFonts w:ascii="Arial" w:hAnsi="Arial" w:cs="Arial"/>
          <w:sz w:val="22"/>
          <w:szCs w:val="22"/>
        </w:rPr>
        <w:t xml:space="preserve">NLG </w:t>
      </w:r>
      <w:r w:rsidR="006A2CAF">
        <w:rPr>
          <w:rFonts w:ascii="Arial" w:hAnsi="Arial" w:cs="Arial"/>
          <w:sz w:val="22"/>
          <w:szCs w:val="22"/>
        </w:rPr>
        <w:t>‘</w:t>
      </w:r>
      <w:r w:rsidR="0003514A">
        <w:rPr>
          <w:rFonts w:ascii="Arial" w:hAnsi="Arial" w:cs="Arial"/>
          <w:sz w:val="22"/>
          <w:szCs w:val="22"/>
        </w:rPr>
        <w:t>prep</w:t>
      </w:r>
      <w:r w:rsidR="006A2CAF">
        <w:rPr>
          <w:rFonts w:ascii="Arial" w:hAnsi="Arial" w:cs="Arial"/>
          <w:sz w:val="22"/>
          <w:szCs w:val="22"/>
        </w:rPr>
        <w:t>’</w:t>
      </w:r>
      <w:r w:rsidR="0003514A">
        <w:rPr>
          <w:rFonts w:ascii="Arial" w:hAnsi="Arial" w:cs="Arial"/>
          <w:sz w:val="22"/>
          <w:szCs w:val="22"/>
        </w:rPr>
        <w:t xml:space="preserve"> courses for </w:t>
      </w:r>
      <w:r w:rsidR="00910F25">
        <w:rPr>
          <w:rFonts w:ascii="Arial" w:hAnsi="Arial" w:cs="Arial"/>
          <w:sz w:val="22"/>
          <w:szCs w:val="22"/>
        </w:rPr>
        <w:t>the SQE.</w:t>
      </w:r>
    </w:p>
    <w:p w14:paraId="678271D4" w14:textId="77777777" w:rsidR="00DE1DF7" w:rsidRPr="00DE1DF7" w:rsidRDefault="00DE1DF7" w:rsidP="00DE1DF7">
      <w:pPr>
        <w:rPr>
          <w:rFonts w:ascii="Arial" w:hAnsi="Arial" w:cs="Arial"/>
          <w:sz w:val="22"/>
          <w:szCs w:val="22"/>
        </w:rPr>
      </w:pPr>
    </w:p>
    <w:p w14:paraId="1255C2A3" w14:textId="77777777" w:rsidR="00154C0E" w:rsidRDefault="00154C0E" w:rsidP="006700D4">
      <w:pPr>
        <w:widowControl w:val="0"/>
        <w:autoSpaceDE w:val="0"/>
        <w:autoSpaceDN w:val="0"/>
        <w:adjustRightInd w:val="0"/>
        <w:rPr>
          <w:rFonts w:ascii="Arial" w:hAnsi="Arial" w:cs="Arial"/>
          <w:sz w:val="22"/>
          <w:szCs w:val="22"/>
        </w:rPr>
      </w:pPr>
    </w:p>
    <w:p w14:paraId="7F189AE9" w14:textId="7A6F6E7E" w:rsidR="000C41F4" w:rsidRDefault="00F12F17" w:rsidP="00F12F17">
      <w:pPr>
        <w:pStyle w:val="Default"/>
        <w:rPr>
          <w:b/>
          <w:sz w:val="22"/>
          <w:szCs w:val="22"/>
        </w:rPr>
      </w:pPr>
      <w:r>
        <w:rPr>
          <w:b/>
          <w:sz w:val="22"/>
          <w:szCs w:val="22"/>
        </w:rPr>
        <w:t>T</w:t>
      </w:r>
      <w:r w:rsidRPr="00FF2C4A">
        <w:rPr>
          <w:b/>
          <w:sz w:val="22"/>
          <w:szCs w:val="22"/>
        </w:rPr>
        <w:t>he new regulatory environment</w:t>
      </w:r>
      <w:r>
        <w:rPr>
          <w:b/>
          <w:sz w:val="22"/>
          <w:szCs w:val="22"/>
        </w:rPr>
        <w:t xml:space="preserve"> - </w:t>
      </w:r>
      <w:r w:rsidR="00104C75" w:rsidRPr="00FF2C4A">
        <w:rPr>
          <w:b/>
          <w:sz w:val="22"/>
          <w:szCs w:val="22"/>
        </w:rPr>
        <w:t>the market</w:t>
      </w:r>
    </w:p>
    <w:p w14:paraId="743CEC97" w14:textId="7CF7D138" w:rsidR="00026FFE" w:rsidRDefault="00636D37" w:rsidP="00CB7DF9">
      <w:pPr>
        <w:widowControl w:val="0"/>
        <w:autoSpaceDE w:val="0"/>
        <w:autoSpaceDN w:val="0"/>
        <w:adjustRightInd w:val="0"/>
        <w:rPr>
          <w:rFonts w:ascii="Arial" w:hAnsi="Arial" w:cs="Arial"/>
          <w:sz w:val="22"/>
          <w:szCs w:val="22"/>
        </w:rPr>
      </w:pPr>
      <w:r w:rsidRPr="00104C75">
        <w:rPr>
          <w:rFonts w:ascii="Arial" w:hAnsi="Arial" w:cs="Arial"/>
          <w:sz w:val="22"/>
          <w:szCs w:val="22"/>
        </w:rPr>
        <w:br/>
      </w:r>
      <w:r w:rsidR="001C588A">
        <w:rPr>
          <w:rFonts w:ascii="Arial" w:hAnsi="Arial" w:cs="Arial"/>
          <w:sz w:val="22"/>
          <w:szCs w:val="22"/>
        </w:rPr>
        <w:t>The SR</w:t>
      </w:r>
      <w:r w:rsidR="00104C75">
        <w:rPr>
          <w:rFonts w:ascii="Arial" w:hAnsi="Arial" w:cs="Arial"/>
          <w:sz w:val="22"/>
          <w:szCs w:val="22"/>
        </w:rPr>
        <w:t>A</w:t>
      </w:r>
      <w:r w:rsidR="003F3876">
        <w:rPr>
          <w:rFonts w:ascii="Arial" w:hAnsi="Arial" w:cs="Arial"/>
          <w:sz w:val="22"/>
          <w:szCs w:val="22"/>
        </w:rPr>
        <w:t>’s hands-off approach</w:t>
      </w:r>
      <w:r w:rsidR="0003514A">
        <w:rPr>
          <w:rFonts w:ascii="Arial" w:hAnsi="Arial" w:cs="Arial"/>
          <w:sz w:val="22"/>
          <w:szCs w:val="22"/>
        </w:rPr>
        <w:t xml:space="preserve"> </w:t>
      </w:r>
      <w:r w:rsidR="00801A76">
        <w:rPr>
          <w:rFonts w:ascii="Arial" w:hAnsi="Arial" w:cs="Arial"/>
          <w:sz w:val="22"/>
          <w:szCs w:val="22"/>
        </w:rPr>
        <w:t xml:space="preserve">will </w:t>
      </w:r>
      <w:r w:rsidR="00BB2BE9">
        <w:rPr>
          <w:rFonts w:ascii="Arial" w:hAnsi="Arial" w:cs="Arial"/>
          <w:sz w:val="22"/>
          <w:szCs w:val="22"/>
        </w:rPr>
        <w:t xml:space="preserve">enable </w:t>
      </w:r>
      <w:r w:rsidR="00E44AD1">
        <w:rPr>
          <w:rFonts w:ascii="Arial" w:hAnsi="Arial" w:cs="Arial"/>
          <w:sz w:val="22"/>
          <w:szCs w:val="22"/>
        </w:rPr>
        <w:t>the market condition</w:t>
      </w:r>
      <w:r w:rsidR="005F3DDF">
        <w:rPr>
          <w:rFonts w:ascii="Arial" w:hAnsi="Arial" w:cs="Arial"/>
          <w:sz w:val="22"/>
          <w:szCs w:val="22"/>
        </w:rPr>
        <w:t>s</w:t>
      </w:r>
      <w:r w:rsidR="00E44AD1">
        <w:rPr>
          <w:rFonts w:ascii="Arial" w:hAnsi="Arial" w:cs="Arial"/>
          <w:sz w:val="22"/>
          <w:szCs w:val="22"/>
        </w:rPr>
        <w:t xml:space="preserve"> for competition</w:t>
      </w:r>
      <w:r w:rsidR="00E44AD1" w:rsidRPr="00D8109D">
        <w:rPr>
          <w:rFonts w:ascii="Arial" w:hAnsi="Arial" w:cs="Arial"/>
          <w:sz w:val="22"/>
          <w:szCs w:val="22"/>
        </w:rPr>
        <w:t>.</w:t>
      </w:r>
      <w:r w:rsidR="00D8109D" w:rsidRPr="00D8109D">
        <w:rPr>
          <w:rStyle w:val="FootnoteReference"/>
          <w:rFonts w:ascii="Arial" w:hAnsi="Arial" w:cs="Arial"/>
          <w:sz w:val="22"/>
          <w:szCs w:val="22"/>
        </w:rPr>
        <w:footnoteReference w:id="69"/>
      </w:r>
      <w:r w:rsidR="00D8109D">
        <w:rPr>
          <w:rFonts w:ascii="Arial" w:hAnsi="Arial" w:cs="Arial"/>
          <w:sz w:val="22"/>
          <w:szCs w:val="22"/>
        </w:rPr>
        <w:t xml:space="preserve"> </w:t>
      </w:r>
      <w:r w:rsidR="00E44AD1">
        <w:rPr>
          <w:rFonts w:ascii="Arial" w:hAnsi="Arial" w:cs="Arial"/>
          <w:sz w:val="22"/>
          <w:szCs w:val="22"/>
        </w:rPr>
        <w:t xml:space="preserve"> There will undoubtedly </w:t>
      </w:r>
      <w:r w:rsidR="00F12F17">
        <w:rPr>
          <w:rFonts w:ascii="Arial" w:hAnsi="Arial" w:cs="Arial"/>
          <w:sz w:val="22"/>
          <w:szCs w:val="22"/>
        </w:rPr>
        <w:t xml:space="preserve">continue to </w:t>
      </w:r>
      <w:r w:rsidR="00E44AD1">
        <w:rPr>
          <w:rFonts w:ascii="Arial" w:hAnsi="Arial" w:cs="Arial"/>
          <w:sz w:val="22"/>
          <w:szCs w:val="22"/>
        </w:rPr>
        <w:t xml:space="preserve">be a competitive market for NLG – currently worth </w:t>
      </w:r>
      <w:r w:rsidR="00E44AD1">
        <w:rPr>
          <w:rFonts w:ascii="Arial" w:hAnsi="Arial" w:cs="Arial"/>
          <w:sz w:val="22"/>
          <w:szCs w:val="22"/>
        </w:rPr>
        <w:lastRenderedPageBreak/>
        <w:t>around £40 million, and combined with the current LPC market, worth around £200 million a year.</w:t>
      </w:r>
      <w:r w:rsidR="00E44AD1">
        <w:rPr>
          <w:rStyle w:val="FootnoteReference"/>
          <w:rFonts w:ascii="Arial" w:hAnsi="Arial" w:cs="Arial"/>
          <w:sz w:val="22"/>
          <w:szCs w:val="22"/>
        </w:rPr>
        <w:footnoteReference w:id="70"/>
      </w:r>
      <w:r w:rsidR="00B01F34">
        <w:rPr>
          <w:rFonts w:ascii="Arial" w:hAnsi="Arial" w:cs="Arial"/>
          <w:sz w:val="22"/>
          <w:szCs w:val="22"/>
        </w:rPr>
        <w:t xml:space="preserve"> For </w:t>
      </w:r>
      <w:r w:rsidR="00E44AD1">
        <w:rPr>
          <w:rFonts w:ascii="Arial" w:hAnsi="Arial" w:cs="Arial"/>
          <w:sz w:val="22"/>
          <w:szCs w:val="22"/>
        </w:rPr>
        <w:t xml:space="preserve">reasons that have been explored, both providers and students have a common interest in a conversion phase or prep which is as short as possible. </w:t>
      </w:r>
      <w:r w:rsidR="00B01F34">
        <w:rPr>
          <w:rFonts w:ascii="Arial" w:hAnsi="Arial" w:cs="Arial"/>
          <w:sz w:val="22"/>
          <w:szCs w:val="22"/>
        </w:rPr>
        <w:t>That said, for non-sponsored students, a course that is too short and does not offer an award, will not attract a postgraduate loan.</w:t>
      </w:r>
      <w:r w:rsidR="00B01F34">
        <w:rPr>
          <w:rStyle w:val="FootnoteReference"/>
          <w:rFonts w:ascii="Arial" w:hAnsi="Arial" w:cs="Arial"/>
          <w:sz w:val="22"/>
          <w:szCs w:val="22"/>
        </w:rPr>
        <w:footnoteReference w:id="71"/>
      </w:r>
      <w:r w:rsidR="00B01F34">
        <w:rPr>
          <w:rFonts w:ascii="Arial" w:hAnsi="Arial" w:cs="Arial"/>
          <w:sz w:val="22"/>
          <w:szCs w:val="22"/>
        </w:rPr>
        <w:t xml:space="preserve"> </w:t>
      </w:r>
      <w:r w:rsidR="008406C3">
        <w:rPr>
          <w:rFonts w:ascii="Arial" w:hAnsi="Arial" w:cs="Arial"/>
          <w:sz w:val="22"/>
          <w:szCs w:val="22"/>
        </w:rPr>
        <w:t>Firms</w:t>
      </w:r>
      <w:r w:rsidR="00DD71D0">
        <w:rPr>
          <w:rFonts w:ascii="Arial" w:hAnsi="Arial" w:cs="Arial"/>
          <w:sz w:val="22"/>
          <w:szCs w:val="22"/>
        </w:rPr>
        <w:t>,</w:t>
      </w:r>
      <w:r w:rsidR="008406C3">
        <w:rPr>
          <w:rFonts w:ascii="Arial" w:hAnsi="Arial" w:cs="Arial"/>
          <w:sz w:val="22"/>
          <w:szCs w:val="22"/>
        </w:rPr>
        <w:t xml:space="preserve"> especially city firms</w:t>
      </w:r>
      <w:r w:rsidR="00DD71D0">
        <w:rPr>
          <w:rFonts w:ascii="Arial" w:hAnsi="Arial" w:cs="Arial"/>
          <w:sz w:val="22"/>
          <w:szCs w:val="22"/>
        </w:rPr>
        <w:t>,</w:t>
      </w:r>
      <w:r w:rsidR="008406C3">
        <w:rPr>
          <w:rFonts w:ascii="Arial" w:hAnsi="Arial" w:cs="Arial"/>
          <w:sz w:val="22"/>
          <w:szCs w:val="22"/>
        </w:rPr>
        <w:t xml:space="preserve"> wi</w:t>
      </w:r>
      <w:r w:rsidR="003C1A23">
        <w:rPr>
          <w:rFonts w:ascii="Arial" w:hAnsi="Arial" w:cs="Arial"/>
          <w:sz w:val="22"/>
          <w:szCs w:val="22"/>
        </w:rPr>
        <w:t>th</w:t>
      </w:r>
      <w:r w:rsidR="008406C3">
        <w:rPr>
          <w:rFonts w:ascii="Arial" w:hAnsi="Arial" w:cs="Arial"/>
          <w:sz w:val="22"/>
          <w:szCs w:val="22"/>
        </w:rPr>
        <w:t xml:space="preserve"> </w:t>
      </w:r>
      <w:r w:rsidR="001B0B55">
        <w:rPr>
          <w:rFonts w:ascii="Arial" w:hAnsi="Arial" w:cs="Arial"/>
          <w:sz w:val="22"/>
          <w:szCs w:val="22"/>
        </w:rPr>
        <w:t>resources and clout</w:t>
      </w:r>
      <w:r w:rsidR="003C1A23">
        <w:rPr>
          <w:rFonts w:ascii="Arial" w:hAnsi="Arial" w:cs="Arial"/>
          <w:sz w:val="22"/>
          <w:szCs w:val="22"/>
        </w:rPr>
        <w:t>,</w:t>
      </w:r>
      <w:r w:rsidR="008406C3">
        <w:rPr>
          <w:rFonts w:ascii="Arial" w:hAnsi="Arial" w:cs="Arial"/>
          <w:sz w:val="22"/>
          <w:szCs w:val="22"/>
        </w:rPr>
        <w:t xml:space="preserve"> </w:t>
      </w:r>
      <w:r w:rsidR="00DD71D0">
        <w:rPr>
          <w:rFonts w:ascii="Arial" w:hAnsi="Arial" w:cs="Arial"/>
          <w:sz w:val="22"/>
          <w:szCs w:val="22"/>
        </w:rPr>
        <w:t xml:space="preserve">will </w:t>
      </w:r>
      <w:r w:rsidR="008406C3">
        <w:rPr>
          <w:rFonts w:ascii="Arial" w:hAnsi="Arial" w:cs="Arial"/>
          <w:sz w:val="22"/>
          <w:szCs w:val="22"/>
        </w:rPr>
        <w:t xml:space="preserve">have an appetite to work with </w:t>
      </w:r>
      <w:r w:rsidR="003C1A23">
        <w:rPr>
          <w:rFonts w:ascii="Arial" w:hAnsi="Arial" w:cs="Arial"/>
          <w:sz w:val="22"/>
          <w:szCs w:val="22"/>
        </w:rPr>
        <w:t xml:space="preserve">course </w:t>
      </w:r>
      <w:r w:rsidR="008406C3">
        <w:rPr>
          <w:rFonts w:ascii="Arial" w:hAnsi="Arial" w:cs="Arial"/>
          <w:sz w:val="22"/>
          <w:szCs w:val="22"/>
        </w:rPr>
        <w:t>providers to ‘re-engineer’ course</w:t>
      </w:r>
      <w:r w:rsidR="00801A76">
        <w:rPr>
          <w:rFonts w:ascii="Arial" w:hAnsi="Arial" w:cs="Arial"/>
          <w:sz w:val="22"/>
          <w:szCs w:val="22"/>
        </w:rPr>
        <w:t>s</w:t>
      </w:r>
      <w:r w:rsidR="008406C3">
        <w:rPr>
          <w:rFonts w:ascii="Arial" w:hAnsi="Arial" w:cs="Arial"/>
          <w:sz w:val="22"/>
          <w:szCs w:val="22"/>
        </w:rPr>
        <w:t xml:space="preserve"> to suit their needs.</w:t>
      </w:r>
      <w:r w:rsidR="008406C3">
        <w:rPr>
          <w:rStyle w:val="FootnoteReference"/>
          <w:rFonts w:ascii="Arial" w:hAnsi="Arial" w:cs="Arial"/>
          <w:sz w:val="22"/>
          <w:szCs w:val="22"/>
        </w:rPr>
        <w:footnoteReference w:id="72"/>
      </w:r>
      <w:r w:rsidR="008406C3">
        <w:rPr>
          <w:rFonts w:ascii="Arial" w:hAnsi="Arial" w:cs="Arial"/>
          <w:sz w:val="22"/>
          <w:szCs w:val="22"/>
        </w:rPr>
        <w:t xml:space="preserve"> </w:t>
      </w:r>
      <w:r w:rsidR="00E44AD1">
        <w:rPr>
          <w:rFonts w:ascii="Arial" w:hAnsi="Arial" w:cs="Arial"/>
          <w:sz w:val="22"/>
          <w:szCs w:val="22"/>
        </w:rPr>
        <w:t>All providers though, whatever their approach,</w:t>
      </w:r>
      <w:r w:rsidR="003C1A23">
        <w:rPr>
          <w:rFonts w:ascii="Arial" w:hAnsi="Arial" w:cs="Arial"/>
          <w:sz w:val="22"/>
          <w:szCs w:val="22"/>
        </w:rPr>
        <w:t xml:space="preserve"> will </w:t>
      </w:r>
      <w:r w:rsidR="00092C7C">
        <w:rPr>
          <w:rFonts w:ascii="Arial" w:hAnsi="Arial" w:cs="Arial"/>
          <w:sz w:val="22"/>
          <w:szCs w:val="22"/>
        </w:rPr>
        <w:t>need to prepare for a prescribed</w:t>
      </w:r>
      <w:r w:rsidR="00BB2BE9">
        <w:rPr>
          <w:rFonts w:ascii="Arial" w:hAnsi="Arial" w:cs="Arial"/>
          <w:sz w:val="22"/>
          <w:szCs w:val="22"/>
        </w:rPr>
        <w:t xml:space="preserve"> </w:t>
      </w:r>
      <w:r w:rsidR="00092C7C">
        <w:rPr>
          <w:rFonts w:ascii="Arial" w:hAnsi="Arial" w:cs="Arial"/>
          <w:sz w:val="22"/>
          <w:szCs w:val="22"/>
        </w:rPr>
        <w:t xml:space="preserve">syllabus and </w:t>
      </w:r>
      <w:r w:rsidR="00376D10">
        <w:rPr>
          <w:rFonts w:ascii="Arial" w:hAnsi="Arial" w:cs="Arial"/>
          <w:sz w:val="22"/>
          <w:szCs w:val="22"/>
        </w:rPr>
        <w:t>external examination.</w:t>
      </w:r>
    </w:p>
    <w:p w14:paraId="1273A026" w14:textId="77777777" w:rsidR="00CD7FA7" w:rsidRDefault="00CD7FA7" w:rsidP="00CD7FA7">
      <w:pPr>
        <w:widowControl w:val="0"/>
        <w:autoSpaceDE w:val="0"/>
        <w:autoSpaceDN w:val="0"/>
        <w:adjustRightInd w:val="0"/>
        <w:rPr>
          <w:rFonts w:ascii="Arial" w:hAnsi="Arial" w:cs="Arial"/>
          <w:sz w:val="22"/>
          <w:szCs w:val="22"/>
        </w:rPr>
      </w:pPr>
    </w:p>
    <w:p w14:paraId="78D3898C" w14:textId="6FDCDAE9" w:rsidR="00CB7DF9" w:rsidRPr="00FF2C4A" w:rsidRDefault="00B814DD">
      <w:pPr>
        <w:widowControl w:val="0"/>
        <w:autoSpaceDE w:val="0"/>
        <w:autoSpaceDN w:val="0"/>
        <w:adjustRightInd w:val="0"/>
        <w:rPr>
          <w:rFonts w:ascii="Arial" w:hAnsi="Arial" w:cs="Arial"/>
          <w:strike/>
          <w:sz w:val="22"/>
          <w:szCs w:val="22"/>
        </w:rPr>
      </w:pPr>
      <w:r>
        <w:rPr>
          <w:rFonts w:ascii="Arial" w:hAnsi="Arial" w:cs="Arial"/>
          <w:sz w:val="22"/>
          <w:szCs w:val="22"/>
        </w:rPr>
        <w:t>T</w:t>
      </w:r>
      <w:r w:rsidR="000C7721">
        <w:rPr>
          <w:rFonts w:ascii="Arial" w:hAnsi="Arial" w:cs="Arial"/>
          <w:sz w:val="22"/>
          <w:szCs w:val="22"/>
        </w:rPr>
        <w:t>here w</w:t>
      </w:r>
      <w:r w:rsidR="00E71134">
        <w:rPr>
          <w:rFonts w:ascii="Arial" w:hAnsi="Arial" w:cs="Arial"/>
          <w:sz w:val="22"/>
          <w:szCs w:val="22"/>
        </w:rPr>
        <w:t>ere</w:t>
      </w:r>
      <w:r w:rsidR="00591968">
        <w:rPr>
          <w:rFonts w:ascii="Arial" w:hAnsi="Arial" w:cs="Arial"/>
          <w:sz w:val="22"/>
          <w:szCs w:val="22"/>
        </w:rPr>
        <w:t xml:space="preserve"> a</w:t>
      </w:r>
      <w:r w:rsidR="001C588A">
        <w:rPr>
          <w:rFonts w:ascii="Arial" w:hAnsi="Arial" w:cs="Arial"/>
          <w:sz w:val="22"/>
          <w:szCs w:val="22"/>
        </w:rPr>
        <w:t xml:space="preserve">round </w:t>
      </w:r>
      <w:r w:rsidR="001B0B55">
        <w:rPr>
          <w:rFonts w:ascii="Arial" w:hAnsi="Arial" w:cs="Arial"/>
          <w:sz w:val="22"/>
          <w:szCs w:val="22"/>
        </w:rPr>
        <w:t>5</w:t>
      </w:r>
      <w:r w:rsidR="000C7721">
        <w:rPr>
          <w:rFonts w:ascii="Arial" w:hAnsi="Arial" w:cs="Arial"/>
          <w:sz w:val="22"/>
          <w:szCs w:val="22"/>
        </w:rPr>
        <w:t>00</w:t>
      </w:r>
      <w:r w:rsidR="001B0B55">
        <w:rPr>
          <w:rFonts w:ascii="Arial" w:hAnsi="Arial" w:cs="Arial"/>
          <w:sz w:val="22"/>
          <w:szCs w:val="22"/>
        </w:rPr>
        <w:t>0+</w:t>
      </w:r>
      <w:r w:rsidR="000C7721">
        <w:rPr>
          <w:rFonts w:ascii="Arial" w:hAnsi="Arial" w:cs="Arial"/>
          <w:sz w:val="22"/>
          <w:szCs w:val="22"/>
        </w:rPr>
        <w:t xml:space="preserve"> </w:t>
      </w:r>
      <w:r w:rsidR="00CD7FA7">
        <w:rPr>
          <w:rFonts w:ascii="Arial" w:hAnsi="Arial" w:cs="Arial"/>
          <w:sz w:val="22"/>
          <w:szCs w:val="22"/>
        </w:rPr>
        <w:t>NLG</w:t>
      </w:r>
      <w:r w:rsidR="000C7721">
        <w:rPr>
          <w:rFonts w:ascii="Arial" w:hAnsi="Arial" w:cs="Arial"/>
          <w:sz w:val="22"/>
          <w:szCs w:val="22"/>
        </w:rPr>
        <w:t xml:space="preserve"> </w:t>
      </w:r>
      <w:r w:rsidR="005334A9">
        <w:rPr>
          <w:rFonts w:ascii="Arial" w:hAnsi="Arial" w:cs="Arial"/>
          <w:sz w:val="22"/>
          <w:szCs w:val="22"/>
        </w:rPr>
        <w:t>in 2016/17.</w:t>
      </w:r>
      <w:r w:rsidR="00591968">
        <w:rPr>
          <w:rStyle w:val="FootnoteReference"/>
          <w:rFonts w:ascii="Arial" w:hAnsi="Arial" w:cs="Arial"/>
          <w:sz w:val="22"/>
          <w:szCs w:val="22"/>
        </w:rPr>
        <w:footnoteReference w:id="73"/>
      </w:r>
      <w:r w:rsidR="005334A9">
        <w:rPr>
          <w:rFonts w:ascii="Arial" w:hAnsi="Arial" w:cs="Arial"/>
          <w:sz w:val="22"/>
          <w:szCs w:val="22"/>
        </w:rPr>
        <w:t xml:space="preserve"> </w:t>
      </w:r>
      <w:r w:rsidR="000C7721">
        <w:rPr>
          <w:rFonts w:ascii="Arial" w:hAnsi="Arial" w:cs="Arial"/>
          <w:sz w:val="22"/>
          <w:szCs w:val="22"/>
        </w:rPr>
        <w:t>B</w:t>
      </w:r>
      <w:r w:rsidR="00104C75">
        <w:rPr>
          <w:rFonts w:ascii="Arial" w:hAnsi="Arial" w:cs="Arial"/>
          <w:sz w:val="22"/>
          <w:szCs w:val="22"/>
        </w:rPr>
        <w:t>ased</w:t>
      </w:r>
      <w:r w:rsidR="000C7721">
        <w:rPr>
          <w:rFonts w:ascii="Arial" w:hAnsi="Arial" w:cs="Arial"/>
          <w:sz w:val="22"/>
          <w:szCs w:val="22"/>
        </w:rPr>
        <w:t xml:space="preserve"> on</w:t>
      </w:r>
      <w:r w:rsidR="00026FFE">
        <w:rPr>
          <w:rFonts w:ascii="Arial" w:hAnsi="Arial" w:cs="Arial"/>
          <w:sz w:val="22"/>
          <w:szCs w:val="22"/>
        </w:rPr>
        <w:t xml:space="preserve"> </w:t>
      </w:r>
      <w:r>
        <w:rPr>
          <w:rFonts w:ascii="Arial" w:hAnsi="Arial" w:cs="Arial"/>
          <w:sz w:val="22"/>
          <w:szCs w:val="22"/>
        </w:rPr>
        <w:t>available</w:t>
      </w:r>
      <w:r w:rsidR="00026FFE">
        <w:rPr>
          <w:rFonts w:ascii="Arial" w:hAnsi="Arial" w:cs="Arial"/>
          <w:sz w:val="22"/>
          <w:szCs w:val="22"/>
        </w:rPr>
        <w:t xml:space="preserve"> </w:t>
      </w:r>
      <w:r w:rsidR="006A2CAF">
        <w:rPr>
          <w:rFonts w:ascii="Arial" w:hAnsi="Arial" w:cs="Arial"/>
          <w:sz w:val="22"/>
          <w:szCs w:val="22"/>
        </w:rPr>
        <w:t>information and some estimating,</w:t>
      </w:r>
      <w:r w:rsidR="00E71134">
        <w:rPr>
          <w:rFonts w:ascii="Arial" w:hAnsi="Arial" w:cs="Arial"/>
          <w:sz w:val="22"/>
          <w:szCs w:val="22"/>
        </w:rPr>
        <w:t xml:space="preserve"> perhaps around </w:t>
      </w:r>
      <w:r w:rsidR="0027573C">
        <w:rPr>
          <w:rFonts w:ascii="Arial" w:hAnsi="Arial" w:cs="Arial"/>
          <w:sz w:val="22"/>
          <w:szCs w:val="22"/>
        </w:rPr>
        <w:t>3000</w:t>
      </w:r>
      <w:r w:rsidR="00EE75BF">
        <w:rPr>
          <w:rFonts w:ascii="Arial" w:hAnsi="Arial" w:cs="Arial"/>
          <w:sz w:val="22"/>
          <w:szCs w:val="22"/>
        </w:rPr>
        <w:t>, (25-30%),</w:t>
      </w:r>
      <w:r w:rsidR="0027573C">
        <w:rPr>
          <w:rFonts w:ascii="Arial" w:hAnsi="Arial" w:cs="Arial"/>
          <w:sz w:val="22"/>
          <w:szCs w:val="22"/>
        </w:rPr>
        <w:t xml:space="preserve"> of the 11</w:t>
      </w:r>
      <w:r w:rsidR="005334A9">
        <w:rPr>
          <w:rFonts w:ascii="Arial" w:hAnsi="Arial" w:cs="Arial"/>
          <w:sz w:val="22"/>
          <w:szCs w:val="22"/>
        </w:rPr>
        <w:t>000 students on the L</w:t>
      </w:r>
      <w:r w:rsidR="00104C75">
        <w:rPr>
          <w:rFonts w:ascii="Arial" w:hAnsi="Arial" w:cs="Arial"/>
          <w:sz w:val="22"/>
          <w:szCs w:val="22"/>
        </w:rPr>
        <w:t>PC</w:t>
      </w:r>
      <w:r w:rsidR="00E71134">
        <w:rPr>
          <w:rFonts w:ascii="Arial" w:hAnsi="Arial" w:cs="Arial"/>
          <w:sz w:val="22"/>
          <w:szCs w:val="22"/>
        </w:rPr>
        <w:t>,</w:t>
      </w:r>
      <w:r w:rsidR="00104C75">
        <w:rPr>
          <w:rFonts w:ascii="Arial" w:hAnsi="Arial" w:cs="Arial"/>
          <w:sz w:val="22"/>
          <w:szCs w:val="22"/>
        </w:rPr>
        <w:t xml:space="preserve"> </w:t>
      </w:r>
      <w:r w:rsidR="00E71134">
        <w:rPr>
          <w:rFonts w:ascii="Arial" w:hAnsi="Arial" w:cs="Arial"/>
          <w:sz w:val="22"/>
          <w:szCs w:val="22"/>
        </w:rPr>
        <w:t>are NLG</w:t>
      </w:r>
      <w:r w:rsidR="00104C75">
        <w:rPr>
          <w:rFonts w:ascii="Arial" w:hAnsi="Arial" w:cs="Arial"/>
          <w:sz w:val="22"/>
          <w:szCs w:val="22"/>
        </w:rPr>
        <w:t>.</w:t>
      </w:r>
      <w:r w:rsidR="006B73D6">
        <w:rPr>
          <w:rStyle w:val="FootnoteReference"/>
          <w:rFonts w:ascii="Arial" w:hAnsi="Arial" w:cs="Arial"/>
          <w:sz w:val="22"/>
          <w:szCs w:val="22"/>
        </w:rPr>
        <w:footnoteReference w:id="74"/>
      </w:r>
      <w:r w:rsidR="0027573C">
        <w:rPr>
          <w:rFonts w:ascii="Arial" w:hAnsi="Arial" w:cs="Arial"/>
          <w:sz w:val="22"/>
          <w:szCs w:val="22"/>
        </w:rPr>
        <w:t xml:space="preserve"> Thus the</w:t>
      </w:r>
      <w:r w:rsidR="00104C75">
        <w:rPr>
          <w:rFonts w:ascii="Arial" w:hAnsi="Arial" w:cs="Arial"/>
          <w:sz w:val="22"/>
          <w:szCs w:val="22"/>
        </w:rPr>
        <w:t xml:space="preserve"> majority</w:t>
      </w:r>
      <w:r w:rsidR="003F3876">
        <w:rPr>
          <w:rFonts w:ascii="Arial" w:hAnsi="Arial" w:cs="Arial"/>
          <w:sz w:val="22"/>
          <w:szCs w:val="22"/>
        </w:rPr>
        <w:t xml:space="preserve"> of students </w:t>
      </w:r>
      <w:r>
        <w:rPr>
          <w:rFonts w:ascii="Arial" w:hAnsi="Arial" w:cs="Arial"/>
          <w:sz w:val="22"/>
          <w:szCs w:val="22"/>
        </w:rPr>
        <w:t>taking the SQE</w:t>
      </w:r>
      <w:r w:rsidR="003F3876">
        <w:rPr>
          <w:rFonts w:ascii="Arial" w:hAnsi="Arial" w:cs="Arial"/>
          <w:sz w:val="22"/>
          <w:szCs w:val="22"/>
        </w:rPr>
        <w:t xml:space="preserve"> will</w:t>
      </w:r>
      <w:r w:rsidR="00026FFE">
        <w:rPr>
          <w:rFonts w:ascii="Arial" w:hAnsi="Arial" w:cs="Arial"/>
          <w:sz w:val="22"/>
          <w:szCs w:val="22"/>
        </w:rPr>
        <w:t xml:space="preserve"> </w:t>
      </w:r>
      <w:r w:rsidR="003F3876">
        <w:rPr>
          <w:rFonts w:ascii="Arial" w:hAnsi="Arial" w:cs="Arial"/>
          <w:sz w:val="22"/>
          <w:szCs w:val="22"/>
        </w:rPr>
        <w:t>be, at least for the foreseeable future</w:t>
      </w:r>
      <w:r w:rsidR="00714158">
        <w:rPr>
          <w:rFonts w:ascii="Arial" w:hAnsi="Arial" w:cs="Arial"/>
          <w:sz w:val="22"/>
          <w:szCs w:val="22"/>
        </w:rPr>
        <w:t>,</w:t>
      </w:r>
      <w:r w:rsidR="00170E45">
        <w:rPr>
          <w:rFonts w:ascii="Arial" w:hAnsi="Arial" w:cs="Arial"/>
          <w:sz w:val="22"/>
          <w:szCs w:val="22"/>
        </w:rPr>
        <w:t xml:space="preserve"> </w:t>
      </w:r>
      <w:r w:rsidR="005334A9">
        <w:rPr>
          <w:rFonts w:ascii="Arial" w:hAnsi="Arial" w:cs="Arial"/>
          <w:sz w:val="22"/>
          <w:szCs w:val="22"/>
        </w:rPr>
        <w:t xml:space="preserve">law degree </w:t>
      </w:r>
      <w:r w:rsidR="003F3876">
        <w:rPr>
          <w:rFonts w:ascii="Arial" w:hAnsi="Arial" w:cs="Arial"/>
          <w:sz w:val="22"/>
          <w:szCs w:val="22"/>
        </w:rPr>
        <w:t>students</w:t>
      </w:r>
      <w:r w:rsidR="005334A9">
        <w:rPr>
          <w:rFonts w:ascii="Arial" w:hAnsi="Arial" w:cs="Arial"/>
          <w:sz w:val="22"/>
          <w:szCs w:val="22"/>
        </w:rPr>
        <w:t>.</w:t>
      </w:r>
      <w:r w:rsidR="0053211E">
        <w:rPr>
          <w:rFonts w:ascii="Arial" w:hAnsi="Arial" w:cs="Arial"/>
          <w:sz w:val="22"/>
          <w:szCs w:val="22"/>
        </w:rPr>
        <w:t xml:space="preserve"> </w:t>
      </w:r>
      <w:r w:rsidR="00EE75BF">
        <w:rPr>
          <w:rFonts w:ascii="Arial" w:hAnsi="Arial" w:cs="Arial"/>
          <w:sz w:val="22"/>
          <w:szCs w:val="22"/>
        </w:rPr>
        <w:t>D</w:t>
      </w:r>
      <w:r w:rsidR="00170E45">
        <w:rPr>
          <w:rFonts w:ascii="Arial" w:hAnsi="Arial" w:cs="Arial"/>
          <w:sz w:val="22"/>
          <w:szCs w:val="22"/>
        </w:rPr>
        <w:t xml:space="preserve">o NLG have to be </w:t>
      </w:r>
      <w:r w:rsidR="00714158">
        <w:rPr>
          <w:rFonts w:ascii="Arial" w:hAnsi="Arial" w:cs="Arial"/>
          <w:sz w:val="22"/>
          <w:szCs w:val="22"/>
        </w:rPr>
        <w:t>separated from</w:t>
      </w:r>
      <w:r w:rsidR="00170E45">
        <w:rPr>
          <w:rFonts w:ascii="Arial" w:hAnsi="Arial" w:cs="Arial"/>
          <w:sz w:val="22"/>
          <w:szCs w:val="22"/>
        </w:rPr>
        <w:t xml:space="preserve"> law </w:t>
      </w:r>
      <w:r w:rsidR="00714158">
        <w:rPr>
          <w:rFonts w:ascii="Arial" w:hAnsi="Arial" w:cs="Arial"/>
          <w:sz w:val="22"/>
          <w:szCs w:val="22"/>
        </w:rPr>
        <w:t xml:space="preserve">degree </w:t>
      </w:r>
      <w:r w:rsidR="00170E45">
        <w:rPr>
          <w:rFonts w:ascii="Arial" w:hAnsi="Arial" w:cs="Arial"/>
          <w:sz w:val="22"/>
          <w:szCs w:val="22"/>
        </w:rPr>
        <w:t xml:space="preserve">students? </w:t>
      </w:r>
      <w:r w:rsidR="00714158">
        <w:rPr>
          <w:rFonts w:ascii="Arial" w:hAnsi="Arial" w:cs="Arial"/>
          <w:sz w:val="22"/>
          <w:szCs w:val="22"/>
        </w:rPr>
        <w:t xml:space="preserve">May be not </w:t>
      </w:r>
      <w:r w:rsidR="00946560">
        <w:rPr>
          <w:rFonts w:ascii="Arial" w:hAnsi="Arial" w:cs="Arial"/>
          <w:sz w:val="22"/>
          <w:szCs w:val="22"/>
        </w:rPr>
        <w:t xml:space="preserve">or not </w:t>
      </w:r>
      <w:r w:rsidR="00714158">
        <w:rPr>
          <w:rFonts w:ascii="Arial" w:hAnsi="Arial" w:cs="Arial"/>
          <w:sz w:val="22"/>
          <w:szCs w:val="22"/>
        </w:rPr>
        <w:t xml:space="preserve">too much. All students will need to be prepared </w:t>
      </w:r>
      <w:r w:rsidR="00946560">
        <w:rPr>
          <w:rFonts w:ascii="Arial" w:hAnsi="Arial" w:cs="Arial"/>
          <w:sz w:val="22"/>
          <w:szCs w:val="22"/>
        </w:rPr>
        <w:t xml:space="preserve">in a </w:t>
      </w:r>
      <w:r w:rsidR="00946560" w:rsidRPr="00B01F34">
        <w:rPr>
          <w:rFonts w:ascii="Arial" w:hAnsi="Arial" w:cs="Arial"/>
          <w:i/>
          <w:sz w:val="22"/>
          <w:szCs w:val="22"/>
        </w:rPr>
        <w:t>method</w:t>
      </w:r>
      <w:r w:rsidR="00946560">
        <w:rPr>
          <w:rFonts w:ascii="Arial" w:hAnsi="Arial" w:cs="Arial"/>
          <w:sz w:val="22"/>
          <w:szCs w:val="22"/>
        </w:rPr>
        <w:t xml:space="preserve"> for the SQE</w:t>
      </w:r>
      <w:r w:rsidR="00714158">
        <w:rPr>
          <w:rFonts w:ascii="Arial" w:hAnsi="Arial" w:cs="Arial"/>
          <w:sz w:val="22"/>
          <w:szCs w:val="22"/>
        </w:rPr>
        <w:t xml:space="preserve">. </w:t>
      </w:r>
      <w:r w:rsidR="00170E45">
        <w:rPr>
          <w:rFonts w:ascii="Arial" w:hAnsi="Arial" w:cs="Arial"/>
          <w:sz w:val="22"/>
          <w:szCs w:val="22"/>
        </w:rPr>
        <w:t>If a</w:t>
      </w:r>
      <w:r w:rsidR="00714158">
        <w:rPr>
          <w:rFonts w:ascii="Arial" w:hAnsi="Arial" w:cs="Arial"/>
          <w:sz w:val="22"/>
          <w:szCs w:val="22"/>
        </w:rPr>
        <w:t>ny</w:t>
      </w:r>
      <w:r w:rsidR="00170E45">
        <w:rPr>
          <w:rFonts w:ascii="Arial" w:hAnsi="Arial" w:cs="Arial"/>
          <w:sz w:val="22"/>
          <w:szCs w:val="22"/>
        </w:rPr>
        <w:t xml:space="preserve"> group of </w:t>
      </w:r>
      <w:r w:rsidR="007A7842">
        <w:rPr>
          <w:rFonts w:ascii="Arial" w:hAnsi="Arial" w:cs="Arial"/>
          <w:sz w:val="22"/>
          <w:szCs w:val="22"/>
        </w:rPr>
        <w:t>students need</w:t>
      </w:r>
      <w:r w:rsidR="00714158">
        <w:rPr>
          <w:rFonts w:ascii="Arial" w:hAnsi="Arial" w:cs="Arial"/>
          <w:sz w:val="22"/>
          <w:szCs w:val="22"/>
        </w:rPr>
        <w:t>s</w:t>
      </w:r>
      <w:r w:rsidR="007A7842">
        <w:rPr>
          <w:rFonts w:ascii="Arial" w:hAnsi="Arial" w:cs="Arial"/>
          <w:sz w:val="22"/>
          <w:szCs w:val="22"/>
        </w:rPr>
        <w:t xml:space="preserve"> converting it </w:t>
      </w:r>
      <w:r w:rsidR="00714158">
        <w:rPr>
          <w:rFonts w:ascii="Arial" w:hAnsi="Arial" w:cs="Arial"/>
          <w:sz w:val="22"/>
          <w:szCs w:val="22"/>
        </w:rPr>
        <w:t>will</w:t>
      </w:r>
      <w:r w:rsidR="00170E45">
        <w:rPr>
          <w:rFonts w:ascii="Arial" w:hAnsi="Arial" w:cs="Arial"/>
          <w:sz w:val="22"/>
          <w:szCs w:val="22"/>
        </w:rPr>
        <w:t xml:space="preserve"> be law degree students to a new form o</w:t>
      </w:r>
      <w:r w:rsidR="00714158">
        <w:rPr>
          <w:rFonts w:ascii="Arial" w:hAnsi="Arial" w:cs="Arial"/>
          <w:sz w:val="22"/>
          <w:szCs w:val="22"/>
        </w:rPr>
        <w:t xml:space="preserve">f learning </w:t>
      </w:r>
      <w:r w:rsidR="007A7842">
        <w:rPr>
          <w:rFonts w:ascii="Arial" w:hAnsi="Arial" w:cs="Arial"/>
          <w:sz w:val="22"/>
          <w:szCs w:val="22"/>
        </w:rPr>
        <w:t>and assessment</w:t>
      </w:r>
      <w:r w:rsidR="00714158">
        <w:rPr>
          <w:rFonts w:ascii="Arial" w:hAnsi="Arial" w:cs="Arial"/>
          <w:sz w:val="22"/>
          <w:szCs w:val="22"/>
        </w:rPr>
        <w:t xml:space="preserve"> in law</w:t>
      </w:r>
      <w:r w:rsidR="00170E45">
        <w:rPr>
          <w:rFonts w:ascii="Arial" w:hAnsi="Arial" w:cs="Arial"/>
          <w:sz w:val="22"/>
          <w:szCs w:val="22"/>
        </w:rPr>
        <w:t xml:space="preserve"> </w:t>
      </w:r>
      <w:r w:rsidR="00946560">
        <w:rPr>
          <w:rFonts w:ascii="Arial" w:hAnsi="Arial" w:cs="Arial"/>
          <w:sz w:val="22"/>
          <w:szCs w:val="22"/>
        </w:rPr>
        <w:t xml:space="preserve">given the </w:t>
      </w:r>
      <w:r w:rsidR="00EE75BF">
        <w:rPr>
          <w:rFonts w:ascii="Arial" w:hAnsi="Arial" w:cs="Arial"/>
          <w:sz w:val="22"/>
          <w:szCs w:val="22"/>
        </w:rPr>
        <w:t xml:space="preserve">radical </w:t>
      </w:r>
      <w:r w:rsidR="00714158">
        <w:rPr>
          <w:rFonts w:ascii="Arial" w:hAnsi="Arial" w:cs="Arial"/>
          <w:sz w:val="22"/>
          <w:szCs w:val="22"/>
        </w:rPr>
        <w:t>dif</w:t>
      </w:r>
      <w:r w:rsidR="00946560">
        <w:rPr>
          <w:rFonts w:ascii="Arial" w:hAnsi="Arial" w:cs="Arial"/>
          <w:sz w:val="22"/>
          <w:szCs w:val="22"/>
        </w:rPr>
        <w:t xml:space="preserve">ference </w:t>
      </w:r>
      <w:r w:rsidR="001D0973">
        <w:rPr>
          <w:rFonts w:ascii="Arial" w:hAnsi="Arial" w:cs="Arial"/>
          <w:sz w:val="22"/>
          <w:szCs w:val="22"/>
        </w:rPr>
        <w:t xml:space="preserve">to </w:t>
      </w:r>
      <w:r w:rsidR="00DA7694">
        <w:rPr>
          <w:rFonts w:ascii="Arial" w:hAnsi="Arial" w:cs="Arial"/>
          <w:sz w:val="22"/>
          <w:szCs w:val="22"/>
        </w:rPr>
        <w:t>learning</w:t>
      </w:r>
      <w:r w:rsidR="00B21486">
        <w:rPr>
          <w:rFonts w:ascii="Arial" w:hAnsi="Arial" w:cs="Arial"/>
          <w:sz w:val="22"/>
          <w:szCs w:val="22"/>
        </w:rPr>
        <w:t xml:space="preserve"> law </w:t>
      </w:r>
      <w:r w:rsidR="00946560">
        <w:rPr>
          <w:rFonts w:ascii="Arial" w:hAnsi="Arial" w:cs="Arial"/>
          <w:sz w:val="22"/>
          <w:szCs w:val="22"/>
        </w:rPr>
        <w:t>on an undergraduate course</w:t>
      </w:r>
      <w:r w:rsidR="00170E45">
        <w:rPr>
          <w:rFonts w:ascii="Arial" w:hAnsi="Arial" w:cs="Arial"/>
          <w:sz w:val="22"/>
          <w:szCs w:val="22"/>
        </w:rPr>
        <w:t xml:space="preserve">. </w:t>
      </w:r>
      <w:r w:rsidR="00714158">
        <w:rPr>
          <w:rFonts w:ascii="Arial" w:hAnsi="Arial" w:cs="Arial"/>
          <w:sz w:val="22"/>
          <w:szCs w:val="22"/>
        </w:rPr>
        <w:t xml:space="preserve">Even for </w:t>
      </w:r>
      <w:r w:rsidR="0077110E">
        <w:rPr>
          <w:rFonts w:ascii="Arial" w:hAnsi="Arial" w:cs="Arial"/>
          <w:sz w:val="22"/>
          <w:szCs w:val="22"/>
        </w:rPr>
        <w:t xml:space="preserve">core law </w:t>
      </w:r>
      <w:r w:rsidR="00F12F17">
        <w:rPr>
          <w:rFonts w:ascii="Arial" w:hAnsi="Arial" w:cs="Arial"/>
          <w:sz w:val="22"/>
          <w:szCs w:val="22"/>
        </w:rPr>
        <w:t xml:space="preserve">already </w:t>
      </w:r>
      <w:r w:rsidR="0077110E">
        <w:rPr>
          <w:rFonts w:ascii="Arial" w:hAnsi="Arial" w:cs="Arial"/>
          <w:sz w:val="22"/>
          <w:szCs w:val="22"/>
        </w:rPr>
        <w:t>learned on a law degree, it</w:t>
      </w:r>
      <w:r w:rsidR="00170E45">
        <w:rPr>
          <w:rFonts w:ascii="Arial" w:hAnsi="Arial" w:cs="Arial"/>
          <w:sz w:val="22"/>
          <w:szCs w:val="22"/>
        </w:rPr>
        <w:t xml:space="preserve"> will have to be recovered</w:t>
      </w:r>
      <w:r w:rsidR="0077110E">
        <w:rPr>
          <w:rFonts w:ascii="Arial" w:hAnsi="Arial" w:cs="Arial"/>
          <w:sz w:val="22"/>
          <w:szCs w:val="22"/>
        </w:rPr>
        <w:t xml:space="preserve"> (</w:t>
      </w:r>
      <w:r w:rsidR="00D8109D">
        <w:rPr>
          <w:rFonts w:ascii="Arial" w:hAnsi="Arial" w:cs="Arial"/>
          <w:sz w:val="22"/>
          <w:szCs w:val="22"/>
        </w:rPr>
        <w:t>some of it from</w:t>
      </w:r>
      <w:r w:rsidR="0077110E">
        <w:rPr>
          <w:rFonts w:ascii="Arial" w:hAnsi="Arial" w:cs="Arial"/>
          <w:sz w:val="22"/>
          <w:szCs w:val="22"/>
        </w:rPr>
        <w:t xml:space="preserve"> three years prior)</w:t>
      </w:r>
      <w:r w:rsidR="00170E45">
        <w:rPr>
          <w:rFonts w:ascii="Arial" w:hAnsi="Arial" w:cs="Arial"/>
          <w:sz w:val="22"/>
          <w:szCs w:val="22"/>
        </w:rPr>
        <w:t xml:space="preserve"> and repackaged </w:t>
      </w:r>
      <w:r w:rsidR="00283BCB">
        <w:rPr>
          <w:rFonts w:ascii="Arial" w:hAnsi="Arial" w:cs="Arial"/>
          <w:sz w:val="22"/>
          <w:szCs w:val="22"/>
        </w:rPr>
        <w:t xml:space="preserve">as ‘vignettes’ of </w:t>
      </w:r>
      <w:r w:rsidR="00D8109D">
        <w:rPr>
          <w:rFonts w:ascii="Arial" w:hAnsi="Arial" w:cs="Arial"/>
          <w:sz w:val="22"/>
          <w:szCs w:val="22"/>
        </w:rPr>
        <w:t>law</w:t>
      </w:r>
      <w:r w:rsidR="00283BCB">
        <w:rPr>
          <w:rFonts w:ascii="Arial" w:hAnsi="Arial" w:cs="Arial"/>
          <w:sz w:val="22"/>
          <w:szCs w:val="22"/>
        </w:rPr>
        <w:t xml:space="preserve"> </w:t>
      </w:r>
      <w:r w:rsidR="00170E45">
        <w:rPr>
          <w:rFonts w:ascii="Arial" w:hAnsi="Arial" w:cs="Arial"/>
          <w:sz w:val="22"/>
          <w:szCs w:val="22"/>
        </w:rPr>
        <w:t>for the SQE.</w:t>
      </w:r>
      <w:r w:rsidR="00283BCB">
        <w:rPr>
          <w:rStyle w:val="FootnoteReference"/>
          <w:rFonts w:ascii="Arial" w:hAnsi="Arial" w:cs="Arial"/>
          <w:sz w:val="22"/>
          <w:szCs w:val="22"/>
        </w:rPr>
        <w:footnoteReference w:id="75"/>
      </w:r>
      <w:r w:rsidR="00714158">
        <w:rPr>
          <w:rFonts w:ascii="Arial" w:hAnsi="Arial" w:cs="Arial"/>
          <w:sz w:val="22"/>
          <w:szCs w:val="22"/>
        </w:rPr>
        <w:t xml:space="preserve"> Given</w:t>
      </w:r>
      <w:r w:rsidR="00170E45">
        <w:rPr>
          <w:rFonts w:ascii="Arial" w:hAnsi="Arial" w:cs="Arial"/>
          <w:sz w:val="22"/>
          <w:szCs w:val="22"/>
        </w:rPr>
        <w:t xml:space="preserve"> this</w:t>
      </w:r>
      <w:r w:rsidR="00714158">
        <w:rPr>
          <w:rFonts w:ascii="Arial" w:hAnsi="Arial" w:cs="Arial"/>
          <w:sz w:val="22"/>
          <w:szCs w:val="22"/>
        </w:rPr>
        <w:t>,</w:t>
      </w:r>
      <w:r w:rsidR="00170E45">
        <w:rPr>
          <w:rFonts w:ascii="Arial" w:hAnsi="Arial" w:cs="Arial"/>
          <w:sz w:val="22"/>
          <w:szCs w:val="22"/>
        </w:rPr>
        <w:t xml:space="preserve"> perhaps NLG are </w:t>
      </w:r>
      <w:r w:rsidR="0077110E">
        <w:rPr>
          <w:rFonts w:ascii="Arial" w:hAnsi="Arial" w:cs="Arial"/>
          <w:sz w:val="22"/>
          <w:szCs w:val="22"/>
        </w:rPr>
        <w:t xml:space="preserve">not </w:t>
      </w:r>
      <w:r w:rsidR="00714158">
        <w:rPr>
          <w:rFonts w:ascii="Arial" w:hAnsi="Arial" w:cs="Arial"/>
          <w:sz w:val="22"/>
          <w:szCs w:val="22"/>
        </w:rPr>
        <w:t>at such a disadvantage</w:t>
      </w:r>
      <w:r w:rsidR="00B21486">
        <w:rPr>
          <w:rFonts w:ascii="Arial" w:hAnsi="Arial" w:cs="Arial"/>
          <w:sz w:val="22"/>
          <w:szCs w:val="22"/>
        </w:rPr>
        <w:t xml:space="preserve">. That said NLG will need </w:t>
      </w:r>
      <w:r w:rsidR="00170E45">
        <w:rPr>
          <w:rFonts w:ascii="Arial" w:hAnsi="Arial" w:cs="Arial"/>
          <w:sz w:val="22"/>
          <w:szCs w:val="22"/>
        </w:rPr>
        <w:t>to address a complete lack of legal knowledge, concepts and terminology</w:t>
      </w:r>
      <w:r w:rsidR="00B21486">
        <w:rPr>
          <w:rFonts w:ascii="Arial" w:hAnsi="Arial" w:cs="Arial"/>
          <w:sz w:val="22"/>
          <w:szCs w:val="22"/>
        </w:rPr>
        <w:t xml:space="preserve"> and</w:t>
      </w:r>
      <w:r w:rsidR="007A7842">
        <w:rPr>
          <w:rFonts w:ascii="Arial" w:hAnsi="Arial" w:cs="Arial"/>
          <w:sz w:val="22"/>
          <w:szCs w:val="22"/>
        </w:rPr>
        <w:t xml:space="preserve"> </w:t>
      </w:r>
      <w:r w:rsidR="00170E45">
        <w:rPr>
          <w:rFonts w:ascii="Arial" w:hAnsi="Arial" w:cs="Arial"/>
          <w:sz w:val="22"/>
          <w:szCs w:val="22"/>
        </w:rPr>
        <w:t>will</w:t>
      </w:r>
      <w:r w:rsidR="00B21486">
        <w:rPr>
          <w:rFonts w:ascii="Arial" w:hAnsi="Arial" w:cs="Arial"/>
          <w:sz w:val="22"/>
          <w:szCs w:val="22"/>
        </w:rPr>
        <w:t xml:space="preserve"> need formation </w:t>
      </w:r>
      <w:r w:rsidR="007A7842">
        <w:rPr>
          <w:rFonts w:ascii="Arial" w:hAnsi="Arial" w:cs="Arial"/>
          <w:sz w:val="22"/>
          <w:szCs w:val="22"/>
        </w:rPr>
        <w:t>in legal research</w:t>
      </w:r>
      <w:r w:rsidR="00B21486">
        <w:rPr>
          <w:rFonts w:ascii="Arial" w:hAnsi="Arial" w:cs="Arial"/>
          <w:sz w:val="22"/>
          <w:szCs w:val="22"/>
        </w:rPr>
        <w:t xml:space="preserve"> skills</w:t>
      </w:r>
      <w:r w:rsidR="00170E45">
        <w:rPr>
          <w:rFonts w:ascii="Arial" w:hAnsi="Arial" w:cs="Arial"/>
          <w:sz w:val="22"/>
          <w:szCs w:val="22"/>
        </w:rPr>
        <w:t>.</w:t>
      </w:r>
      <w:r w:rsidR="00170E45">
        <w:rPr>
          <w:rStyle w:val="FootnoteReference"/>
          <w:rFonts w:ascii="Arial" w:hAnsi="Arial" w:cs="Arial"/>
          <w:sz w:val="22"/>
          <w:szCs w:val="22"/>
        </w:rPr>
        <w:footnoteReference w:id="76"/>
      </w:r>
      <w:r w:rsidR="00170E45">
        <w:rPr>
          <w:rFonts w:ascii="Arial" w:hAnsi="Arial" w:cs="Arial"/>
          <w:sz w:val="22"/>
          <w:szCs w:val="22"/>
        </w:rPr>
        <w:t xml:space="preserve"> </w:t>
      </w:r>
      <w:r w:rsidR="00946560">
        <w:rPr>
          <w:rFonts w:ascii="Arial" w:hAnsi="Arial" w:cs="Arial"/>
          <w:sz w:val="22"/>
          <w:szCs w:val="22"/>
        </w:rPr>
        <w:t xml:space="preserve">Though </w:t>
      </w:r>
      <w:r w:rsidR="001D0973">
        <w:rPr>
          <w:rFonts w:ascii="Arial" w:hAnsi="Arial" w:cs="Arial"/>
          <w:sz w:val="22"/>
          <w:szCs w:val="22"/>
        </w:rPr>
        <w:t xml:space="preserve">research skills are likely to </w:t>
      </w:r>
      <w:r w:rsidR="00B21486">
        <w:rPr>
          <w:rFonts w:ascii="Arial" w:hAnsi="Arial" w:cs="Arial"/>
          <w:sz w:val="22"/>
          <w:szCs w:val="22"/>
        </w:rPr>
        <w:t xml:space="preserve">be taught from scratch </w:t>
      </w:r>
      <w:r w:rsidR="00946560">
        <w:rPr>
          <w:rFonts w:ascii="Arial" w:hAnsi="Arial" w:cs="Arial"/>
          <w:sz w:val="22"/>
          <w:szCs w:val="22"/>
        </w:rPr>
        <w:t>for all students given views expressed abou</w:t>
      </w:r>
      <w:r w:rsidR="0077110E">
        <w:rPr>
          <w:rFonts w:ascii="Arial" w:hAnsi="Arial" w:cs="Arial"/>
          <w:sz w:val="22"/>
          <w:szCs w:val="22"/>
        </w:rPr>
        <w:t xml:space="preserve">t the poor </w:t>
      </w:r>
      <w:r w:rsidR="00714158">
        <w:rPr>
          <w:rFonts w:ascii="Arial" w:hAnsi="Arial" w:cs="Arial"/>
          <w:sz w:val="22"/>
          <w:szCs w:val="22"/>
        </w:rPr>
        <w:t>skills</w:t>
      </w:r>
      <w:r w:rsidR="00946560">
        <w:rPr>
          <w:rFonts w:ascii="Arial" w:hAnsi="Arial" w:cs="Arial"/>
          <w:sz w:val="22"/>
          <w:szCs w:val="22"/>
        </w:rPr>
        <w:t xml:space="preserve"> of law graduates</w:t>
      </w:r>
      <w:r w:rsidR="00714158">
        <w:rPr>
          <w:rFonts w:ascii="Arial" w:hAnsi="Arial" w:cs="Arial"/>
          <w:sz w:val="22"/>
          <w:szCs w:val="22"/>
        </w:rPr>
        <w:t>.</w:t>
      </w:r>
      <w:r w:rsidR="00946560">
        <w:rPr>
          <w:rStyle w:val="FootnoteReference"/>
          <w:rFonts w:ascii="Arial" w:hAnsi="Arial" w:cs="Arial"/>
          <w:sz w:val="22"/>
          <w:szCs w:val="22"/>
        </w:rPr>
        <w:footnoteReference w:id="77"/>
      </w:r>
      <w:r w:rsidR="00714158">
        <w:rPr>
          <w:rFonts w:ascii="Arial" w:hAnsi="Arial" w:cs="Arial"/>
          <w:sz w:val="22"/>
          <w:szCs w:val="22"/>
        </w:rPr>
        <w:t xml:space="preserve"> </w:t>
      </w:r>
      <w:r w:rsidR="00D8109D">
        <w:rPr>
          <w:rFonts w:ascii="Arial" w:hAnsi="Arial" w:cs="Arial"/>
          <w:sz w:val="22"/>
          <w:szCs w:val="22"/>
        </w:rPr>
        <w:t xml:space="preserve"> All this </w:t>
      </w:r>
      <w:r w:rsidR="001D6B16">
        <w:rPr>
          <w:rFonts w:ascii="Arial" w:hAnsi="Arial" w:cs="Arial"/>
          <w:sz w:val="22"/>
          <w:szCs w:val="22"/>
        </w:rPr>
        <w:t xml:space="preserve">makes it possible to consider </w:t>
      </w:r>
      <w:r w:rsidR="00D8109D">
        <w:rPr>
          <w:rFonts w:ascii="Arial" w:hAnsi="Arial" w:cs="Arial"/>
          <w:sz w:val="22"/>
          <w:szCs w:val="22"/>
        </w:rPr>
        <w:t>th</w:t>
      </w:r>
      <w:r w:rsidR="00CA43FC">
        <w:rPr>
          <w:rFonts w:ascii="Arial" w:hAnsi="Arial" w:cs="Arial"/>
          <w:sz w:val="22"/>
          <w:szCs w:val="22"/>
        </w:rPr>
        <w:t xml:space="preserve">at </w:t>
      </w:r>
      <w:r w:rsidR="00BB2BE9">
        <w:rPr>
          <w:rFonts w:ascii="Arial" w:hAnsi="Arial" w:cs="Arial"/>
          <w:sz w:val="22"/>
          <w:szCs w:val="22"/>
        </w:rPr>
        <w:t xml:space="preserve">some providers </w:t>
      </w:r>
      <w:r w:rsidR="001D6B16">
        <w:rPr>
          <w:rFonts w:ascii="Arial" w:hAnsi="Arial" w:cs="Arial"/>
          <w:sz w:val="22"/>
          <w:szCs w:val="22"/>
        </w:rPr>
        <w:t>may</w:t>
      </w:r>
      <w:r w:rsidR="00BB2BE9">
        <w:rPr>
          <w:rFonts w:ascii="Arial" w:hAnsi="Arial" w:cs="Arial"/>
          <w:sz w:val="22"/>
          <w:szCs w:val="22"/>
        </w:rPr>
        <w:t xml:space="preserve"> operate on the basis that </w:t>
      </w:r>
      <w:r w:rsidR="00CA43FC">
        <w:rPr>
          <w:rFonts w:ascii="Arial" w:hAnsi="Arial" w:cs="Arial"/>
          <w:sz w:val="22"/>
          <w:szCs w:val="22"/>
        </w:rPr>
        <w:t xml:space="preserve">NLG </w:t>
      </w:r>
      <w:r w:rsidR="00BB2BE9">
        <w:rPr>
          <w:rFonts w:ascii="Arial" w:hAnsi="Arial" w:cs="Arial"/>
          <w:sz w:val="22"/>
          <w:szCs w:val="22"/>
        </w:rPr>
        <w:t xml:space="preserve">are not </w:t>
      </w:r>
      <w:r w:rsidR="00CA43FC">
        <w:rPr>
          <w:rFonts w:ascii="Arial" w:hAnsi="Arial" w:cs="Arial"/>
          <w:sz w:val="22"/>
          <w:szCs w:val="22"/>
        </w:rPr>
        <w:t>so</w:t>
      </w:r>
      <w:r w:rsidR="00D8109D">
        <w:rPr>
          <w:rFonts w:ascii="Arial" w:hAnsi="Arial" w:cs="Arial"/>
          <w:sz w:val="22"/>
          <w:szCs w:val="22"/>
        </w:rPr>
        <w:t xml:space="preserve"> far behind law graduates and </w:t>
      </w:r>
      <w:r w:rsidR="00B21486">
        <w:rPr>
          <w:rFonts w:ascii="Arial" w:hAnsi="Arial" w:cs="Arial"/>
          <w:sz w:val="22"/>
          <w:szCs w:val="22"/>
        </w:rPr>
        <w:t xml:space="preserve">will </w:t>
      </w:r>
      <w:r w:rsidR="00BB2BE9">
        <w:rPr>
          <w:rFonts w:ascii="Arial" w:hAnsi="Arial" w:cs="Arial"/>
          <w:sz w:val="22"/>
          <w:szCs w:val="22"/>
        </w:rPr>
        <w:t xml:space="preserve">offer them </w:t>
      </w:r>
      <w:r w:rsidR="00B21486">
        <w:rPr>
          <w:rFonts w:ascii="Arial" w:hAnsi="Arial" w:cs="Arial"/>
          <w:sz w:val="22"/>
          <w:szCs w:val="22"/>
        </w:rPr>
        <w:t>a</w:t>
      </w:r>
      <w:r w:rsidR="007A7842">
        <w:rPr>
          <w:rFonts w:ascii="Arial" w:hAnsi="Arial" w:cs="Arial"/>
          <w:sz w:val="22"/>
          <w:szCs w:val="22"/>
        </w:rPr>
        <w:t xml:space="preserve"> </w:t>
      </w:r>
      <w:r w:rsidR="0077110E">
        <w:rPr>
          <w:rFonts w:ascii="Arial" w:hAnsi="Arial" w:cs="Arial"/>
          <w:sz w:val="22"/>
          <w:szCs w:val="22"/>
        </w:rPr>
        <w:t>SQE</w:t>
      </w:r>
      <w:r w:rsidR="007A7842">
        <w:rPr>
          <w:rFonts w:ascii="Arial" w:hAnsi="Arial" w:cs="Arial"/>
          <w:sz w:val="22"/>
          <w:szCs w:val="22"/>
        </w:rPr>
        <w:t xml:space="preserve"> </w:t>
      </w:r>
      <w:r w:rsidR="00B21486">
        <w:rPr>
          <w:rFonts w:ascii="Arial" w:hAnsi="Arial" w:cs="Arial"/>
          <w:sz w:val="22"/>
          <w:szCs w:val="22"/>
        </w:rPr>
        <w:t>course with a</w:t>
      </w:r>
      <w:r w:rsidR="0053211E">
        <w:rPr>
          <w:rFonts w:ascii="Arial" w:hAnsi="Arial" w:cs="Arial"/>
          <w:sz w:val="22"/>
          <w:szCs w:val="22"/>
        </w:rPr>
        <w:t xml:space="preserve"> </w:t>
      </w:r>
      <w:r w:rsidR="001D6B16">
        <w:rPr>
          <w:rFonts w:ascii="Arial" w:hAnsi="Arial" w:cs="Arial"/>
          <w:sz w:val="22"/>
          <w:szCs w:val="22"/>
        </w:rPr>
        <w:t xml:space="preserve">short </w:t>
      </w:r>
      <w:r w:rsidR="00A15E1B">
        <w:rPr>
          <w:rFonts w:ascii="Arial" w:hAnsi="Arial" w:cs="Arial"/>
          <w:sz w:val="22"/>
          <w:szCs w:val="22"/>
        </w:rPr>
        <w:t xml:space="preserve">dedicated </w:t>
      </w:r>
      <w:r w:rsidR="0053211E">
        <w:rPr>
          <w:rFonts w:ascii="Arial" w:hAnsi="Arial" w:cs="Arial"/>
          <w:sz w:val="22"/>
          <w:szCs w:val="22"/>
        </w:rPr>
        <w:t>c</w:t>
      </w:r>
      <w:r w:rsidR="00B21486">
        <w:rPr>
          <w:rFonts w:ascii="Arial" w:hAnsi="Arial" w:cs="Arial"/>
          <w:sz w:val="22"/>
          <w:szCs w:val="22"/>
        </w:rPr>
        <w:t>atch-up</w:t>
      </w:r>
      <w:r w:rsidR="0053211E">
        <w:rPr>
          <w:rFonts w:ascii="Arial" w:hAnsi="Arial" w:cs="Arial"/>
          <w:sz w:val="22"/>
          <w:szCs w:val="22"/>
        </w:rPr>
        <w:t xml:space="preserve"> phase (set of modules)</w:t>
      </w:r>
      <w:r w:rsidR="00B21486">
        <w:rPr>
          <w:rFonts w:ascii="Arial" w:hAnsi="Arial" w:cs="Arial"/>
          <w:sz w:val="22"/>
          <w:szCs w:val="22"/>
        </w:rPr>
        <w:t>,</w:t>
      </w:r>
      <w:r w:rsidR="00946560">
        <w:rPr>
          <w:rFonts w:ascii="Arial" w:hAnsi="Arial" w:cs="Arial"/>
          <w:sz w:val="22"/>
          <w:szCs w:val="22"/>
        </w:rPr>
        <w:t xml:space="preserve"> or </w:t>
      </w:r>
      <w:r w:rsidR="00CA43FC">
        <w:rPr>
          <w:rFonts w:ascii="Arial" w:hAnsi="Arial" w:cs="Arial"/>
          <w:sz w:val="22"/>
          <w:szCs w:val="22"/>
        </w:rPr>
        <w:t xml:space="preserve">perhaps more radically, </w:t>
      </w:r>
      <w:r w:rsidR="001D6B16">
        <w:rPr>
          <w:rFonts w:ascii="Arial" w:hAnsi="Arial" w:cs="Arial"/>
          <w:sz w:val="22"/>
          <w:szCs w:val="22"/>
        </w:rPr>
        <w:t>may</w:t>
      </w:r>
      <w:r w:rsidR="00BB2BE9">
        <w:rPr>
          <w:rFonts w:ascii="Arial" w:hAnsi="Arial" w:cs="Arial"/>
          <w:sz w:val="22"/>
          <w:szCs w:val="22"/>
        </w:rPr>
        <w:t xml:space="preserve"> </w:t>
      </w:r>
      <w:r w:rsidR="00C354C6">
        <w:rPr>
          <w:rFonts w:ascii="Arial" w:hAnsi="Arial" w:cs="Arial"/>
          <w:sz w:val="22"/>
          <w:szCs w:val="22"/>
        </w:rPr>
        <w:t>offer a</w:t>
      </w:r>
      <w:r w:rsidR="00CA43FC">
        <w:rPr>
          <w:rFonts w:ascii="Arial" w:hAnsi="Arial" w:cs="Arial"/>
          <w:sz w:val="22"/>
          <w:szCs w:val="22"/>
        </w:rPr>
        <w:t xml:space="preserve"> course which proposes to</w:t>
      </w:r>
      <w:r w:rsidR="00DB6486">
        <w:rPr>
          <w:rFonts w:ascii="Arial" w:hAnsi="Arial" w:cs="Arial"/>
          <w:sz w:val="22"/>
          <w:szCs w:val="22"/>
        </w:rPr>
        <w:t xml:space="preserve"> </w:t>
      </w:r>
      <w:r w:rsidR="0008598E">
        <w:rPr>
          <w:rFonts w:ascii="Arial" w:hAnsi="Arial" w:cs="Arial"/>
          <w:sz w:val="22"/>
          <w:szCs w:val="22"/>
        </w:rPr>
        <w:t xml:space="preserve">law </w:t>
      </w:r>
      <w:r w:rsidR="001D0973">
        <w:rPr>
          <w:rFonts w:ascii="Arial" w:hAnsi="Arial" w:cs="Arial"/>
          <w:sz w:val="22"/>
          <w:szCs w:val="22"/>
        </w:rPr>
        <w:t xml:space="preserve">degree students </w:t>
      </w:r>
      <w:r w:rsidR="00CA43FC">
        <w:rPr>
          <w:rFonts w:ascii="Arial" w:hAnsi="Arial" w:cs="Arial"/>
          <w:sz w:val="22"/>
          <w:szCs w:val="22"/>
        </w:rPr>
        <w:t xml:space="preserve">to </w:t>
      </w:r>
      <w:r w:rsidR="001D0973">
        <w:rPr>
          <w:rFonts w:ascii="Arial" w:hAnsi="Arial" w:cs="Arial"/>
          <w:sz w:val="22"/>
          <w:szCs w:val="22"/>
        </w:rPr>
        <w:t xml:space="preserve">start at the </w:t>
      </w:r>
      <w:r w:rsidR="00CA43FC">
        <w:rPr>
          <w:rFonts w:ascii="Arial" w:hAnsi="Arial" w:cs="Arial"/>
          <w:sz w:val="22"/>
          <w:szCs w:val="22"/>
        </w:rPr>
        <w:t xml:space="preserve">beginning with </w:t>
      </w:r>
      <w:r w:rsidR="001D0973">
        <w:rPr>
          <w:rFonts w:ascii="Arial" w:hAnsi="Arial" w:cs="Arial"/>
          <w:sz w:val="22"/>
          <w:szCs w:val="22"/>
        </w:rPr>
        <w:t>NLG students.</w:t>
      </w:r>
    </w:p>
    <w:p w14:paraId="6650C574" w14:textId="77777777" w:rsidR="00830D5E" w:rsidRPr="004F6670" w:rsidRDefault="00830D5E" w:rsidP="00830D5E">
      <w:pPr>
        <w:rPr>
          <w:rFonts w:ascii="Arial" w:hAnsi="Arial" w:cs="Arial"/>
          <w:sz w:val="22"/>
          <w:szCs w:val="22"/>
        </w:rPr>
      </w:pPr>
    </w:p>
    <w:p w14:paraId="54BA7467" w14:textId="42E41A42" w:rsidR="001C588A" w:rsidRDefault="00A15E1B" w:rsidP="00CA43FC">
      <w:pPr>
        <w:rPr>
          <w:rFonts w:ascii="Arial" w:hAnsi="Arial" w:cs="Arial"/>
          <w:sz w:val="22"/>
          <w:szCs w:val="22"/>
        </w:rPr>
      </w:pPr>
      <w:r>
        <w:rPr>
          <w:rFonts w:ascii="Arial" w:hAnsi="Arial" w:cs="Arial"/>
          <w:sz w:val="22"/>
          <w:szCs w:val="22"/>
        </w:rPr>
        <w:t>The approach for p</w:t>
      </w:r>
      <w:r w:rsidR="0053211E">
        <w:rPr>
          <w:rFonts w:ascii="Arial" w:hAnsi="Arial" w:cs="Arial"/>
          <w:sz w:val="22"/>
          <w:szCs w:val="22"/>
        </w:rPr>
        <w:t xml:space="preserve">reparation for SQE Part 2 will be the same </w:t>
      </w:r>
      <w:r w:rsidR="0077110E">
        <w:rPr>
          <w:rFonts w:ascii="Arial" w:hAnsi="Arial" w:cs="Arial"/>
          <w:sz w:val="22"/>
          <w:szCs w:val="22"/>
        </w:rPr>
        <w:t xml:space="preserve">for all </w:t>
      </w:r>
      <w:r w:rsidR="0092435D">
        <w:rPr>
          <w:rFonts w:ascii="Arial" w:hAnsi="Arial" w:cs="Arial"/>
          <w:sz w:val="22"/>
          <w:szCs w:val="22"/>
        </w:rPr>
        <w:t>students,</w:t>
      </w:r>
      <w:r w:rsidR="0077110E">
        <w:rPr>
          <w:rFonts w:ascii="Arial" w:hAnsi="Arial" w:cs="Arial"/>
          <w:sz w:val="22"/>
          <w:szCs w:val="22"/>
        </w:rPr>
        <w:t xml:space="preserve"> </w:t>
      </w:r>
      <w:r w:rsidR="00170E45">
        <w:rPr>
          <w:rFonts w:ascii="Arial" w:hAnsi="Arial" w:cs="Arial"/>
          <w:sz w:val="22"/>
          <w:szCs w:val="22"/>
        </w:rPr>
        <w:t>as</w:t>
      </w:r>
      <w:r w:rsidR="0053211E">
        <w:rPr>
          <w:rFonts w:ascii="Arial" w:hAnsi="Arial" w:cs="Arial"/>
          <w:sz w:val="22"/>
          <w:szCs w:val="22"/>
        </w:rPr>
        <w:t xml:space="preserve"> </w:t>
      </w:r>
      <w:r w:rsidR="005721D9">
        <w:rPr>
          <w:rFonts w:ascii="Arial" w:hAnsi="Arial" w:cs="Arial"/>
          <w:sz w:val="22"/>
          <w:szCs w:val="22"/>
        </w:rPr>
        <w:t xml:space="preserve">it will be assumed that </w:t>
      </w:r>
      <w:r w:rsidR="0053211E">
        <w:rPr>
          <w:rFonts w:ascii="Arial" w:hAnsi="Arial" w:cs="Arial"/>
          <w:sz w:val="22"/>
          <w:szCs w:val="22"/>
        </w:rPr>
        <w:t>law graduates</w:t>
      </w:r>
      <w:r w:rsidR="00170E45">
        <w:rPr>
          <w:rFonts w:ascii="Arial" w:hAnsi="Arial" w:cs="Arial"/>
          <w:sz w:val="22"/>
          <w:szCs w:val="22"/>
        </w:rPr>
        <w:t xml:space="preserve"> have no </w:t>
      </w:r>
      <w:r w:rsidR="005721D9">
        <w:rPr>
          <w:rFonts w:ascii="Arial" w:hAnsi="Arial" w:cs="Arial"/>
          <w:sz w:val="22"/>
          <w:szCs w:val="22"/>
        </w:rPr>
        <w:t>prior experience or advantage</w:t>
      </w:r>
      <w:r w:rsidR="0053211E">
        <w:rPr>
          <w:rFonts w:ascii="Arial" w:hAnsi="Arial" w:cs="Arial"/>
          <w:sz w:val="22"/>
          <w:szCs w:val="22"/>
        </w:rPr>
        <w:t xml:space="preserve">. </w:t>
      </w:r>
      <w:r w:rsidR="00183B9A">
        <w:rPr>
          <w:rFonts w:ascii="Arial" w:hAnsi="Arial" w:cs="Arial"/>
          <w:sz w:val="22"/>
          <w:szCs w:val="22"/>
        </w:rPr>
        <w:t>T</w:t>
      </w:r>
      <w:r w:rsidR="00830D5E" w:rsidRPr="004F6670">
        <w:rPr>
          <w:rFonts w:ascii="Arial" w:hAnsi="Arial" w:cs="Arial"/>
          <w:sz w:val="22"/>
          <w:szCs w:val="22"/>
        </w:rPr>
        <w:t xml:space="preserve">he </w:t>
      </w:r>
      <w:r w:rsidR="00CB7DF9">
        <w:rPr>
          <w:rFonts w:ascii="Arial" w:hAnsi="Arial" w:cs="Arial"/>
          <w:sz w:val="22"/>
          <w:szCs w:val="22"/>
        </w:rPr>
        <w:t xml:space="preserve">separation between </w:t>
      </w:r>
      <w:r w:rsidR="00B3582D">
        <w:rPr>
          <w:rFonts w:ascii="Arial" w:hAnsi="Arial" w:cs="Arial"/>
          <w:sz w:val="22"/>
          <w:szCs w:val="22"/>
        </w:rPr>
        <w:t xml:space="preserve">Part 1 </w:t>
      </w:r>
      <w:r w:rsidR="00CB7DF9">
        <w:rPr>
          <w:rFonts w:ascii="Arial" w:hAnsi="Arial" w:cs="Arial"/>
          <w:sz w:val="22"/>
          <w:szCs w:val="22"/>
        </w:rPr>
        <w:t xml:space="preserve">and </w:t>
      </w:r>
      <w:r w:rsidR="00EE75BF">
        <w:rPr>
          <w:rFonts w:ascii="Arial" w:hAnsi="Arial" w:cs="Arial"/>
          <w:sz w:val="22"/>
          <w:szCs w:val="22"/>
        </w:rPr>
        <w:t>Part 2</w:t>
      </w:r>
      <w:r w:rsidR="00183B9A">
        <w:rPr>
          <w:rFonts w:ascii="Arial" w:hAnsi="Arial" w:cs="Arial"/>
          <w:sz w:val="22"/>
          <w:szCs w:val="22"/>
        </w:rPr>
        <w:t xml:space="preserve"> </w:t>
      </w:r>
      <w:r w:rsidR="00CB7DF9">
        <w:rPr>
          <w:rFonts w:ascii="Arial" w:hAnsi="Arial" w:cs="Arial"/>
          <w:sz w:val="22"/>
          <w:szCs w:val="22"/>
        </w:rPr>
        <w:t>allows providers</w:t>
      </w:r>
      <w:r w:rsidR="002131B3">
        <w:rPr>
          <w:rFonts w:ascii="Arial" w:hAnsi="Arial" w:cs="Arial"/>
          <w:sz w:val="22"/>
          <w:szCs w:val="22"/>
        </w:rPr>
        <w:t xml:space="preserve"> if they choose</w:t>
      </w:r>
      <w:r w:rsidR="00CB7DF9">
        <w:rPr>
          <w:rFonts w:ascii="Arial" w:hAnsi="Arial" w:cs="Arial"/>
          <w:sz w:val="22"/>
          <w:szCs w:val="22"/>
        </w:rPr>
        <w:t xml:space="preserve"> to</w:t>
      </w:r>
      <w:r w:rsidR="00871ECD">
        <w:rPr>
          <w:rFonts w:ascii="Arial" w:hAnsi="Arial" w:cs="Arial"/>
          <w:sz w:val="22"/>
          <w:szCs w:val="22"/>
        </w:rPr>
        <w:t>, to</w:t>
      </w:r>
      <w:r w:rsidR="00CB7DF9">
        <w:rPr>
          <w:rFonts w:ascii="Arial" w:hAnsi="Arial" w:cs="Arial"/>
          <w:sz w:val="22"/>
          <w:szCs w:val="22"/>
        </w:rPr>
        <w:t xml:space="preserve"> </w:t>
      </w:r>
      <w:r w:rsidR="001D6B16">
        <w:rPr>
          <w:rFonts w:ascii="Arial" w:hAnsi="Arial" w:cs="Arial"/>
          <w:sz w:val="22"/>
          <w:szCs w:val="22"/>
        </w:rPr>
        <w:t xml:space="preserve">offer </w:t>
      </w:r>
      <w:r w:rsidR="00EE75BF">
        <w:rPr>
          <w:rFonts w:ascii="Arial" w:hAnsi="Arial" w:cs="Arial"/>
          <w:sz w:val="22"/>
          <w:szCs w:val="22"/>
        </w:rPr>
        <w:t>a</w:t>
      </w:r>
      <w:r w:rsidR="00F05C63">
        <w:rPr>
          <w:rFonts w:ascii="Arial" w:hAnsi="Arial" w:cs="Arial"/>
          <w:sz w:val="22"/>
          <w:szCs w:val="22"/>
        </w:rPr>
        <w:t xml:space="preserve"> separate </w:t>
      </w:r>
      <w:r w:rsidR="00CB7DF9">
        <w:rPr>
          <w:rFonts w:ascii="Arial" w:hAnsi="Arial" w:cs="Arial"/>
          <w:sz w:val="22"/>
          <w:szCs w:val="22"/>
        </w:rPr>
        <w:t>prep</w:t>
      </w:r>
      <w:r w:rsidR="00EE75BF">
        <w:rPr>
          <w:rFonts w:ascii="Arial" w:hAnsi="Arial" w:cs="Arial"/>
          <w:sz w:val="22"/>
          <w:szCs w:val="22"/>
        </w:rPr>
        <w:t>aration course</w:t>
      </w:r>
      <w:r w:rsidR="00CC44CB">
        <w:rPr>
          <w:rFonts w:ascii="Arial" w:hAnsi="Arial" w:cs="Arial"/>
          <w:sz w:val="22"/>
          <w:szCs w:val="22"/>
        </w:rPr>
        <w:t xml:space="preserve"> for Part</w:t>
      </w:r>
      <w:r w:rsidR="00F05C63">
        <w:rPr>
          <w:rFonts w:ascii="Arial" w:hAnsi="Arial" w:cs="Arial"/>
          <w:sz w:val="22"/>
          <w:szCs w:val="22"/>
        </w:rPr>
        <w:t xml:space="preserve"> 2</w:t>
      </w:r>
      <w:r w:rsidR="00CC44CB">
        <w:rPr>
          <w:rFonts w:ascii="Arial" w:hAnsi="Arial" w:cs="Arial"/>
          <w:sz w:val="22"/>
          <w:szCs w:val="22"/>
        </w:rPr>
        <w:t xml:space="preserve">.  </w:t>
      </w:r>
      <w:r w:rsidR="00BE6D0A">
        <w:rPr>
          <w:rFonts w:ascii="Arial" w:hAnsi="Arial" w:cs="Arial"/>
          <w:sz w:val="22"/>
          <w:szCs w:val="22"/>
        </w:rPr>
        <w:t>The logic of the des</w:t>
      </w:r>
      <w:r w:rsidR="00CC44CB">
        <w:rPr>
          <w:rFonts w:ascii="Arial" w:hAnsi="Arial" w:cs="Arial"/>
          <w:sz w:val="22"/>
          <w:szCs w:val="22"/>
        </w:rPr>
        <w:t xml:space="preserve">ign of the SQE is that </w:t>
      </w:r>
      <w:r w:rsidR="00F05C63">
        <w:rPr>
          <w:rFonts w:ascii="Arial" w:hAnsi="Arial" w:cs="Arial"/>
          <w:sz w:val="22"/>
          <w:szCs w:val="22"/>
        </w:rPr>
        <w:t>P</w:t>
      </w:r>
      <w:r w:rsidR="00CC44CB">
        <w:rPr>
          <w:rFonts w:ascii="Arial" w:hAnsi="Arial" w:cs="Arial"/>
          <w:sz w:val="22"/>
          <w:szCs w:val="22"/>
        </w:rPr>
        <w:t>art 2 should be</w:t>
      </w:r>
      <w:r w:rsidR="00BE6D0A">
        <w:rPr>
          <w:rFonts w:ascii="Arial" w:hAnsi="Arial" w:cs="Arial"/>
          <w:sz w:val="22"/>
          <w:szCs w:val="22"/>
        </w:rPr>
        <w:t xml:space="preserve"> </w:t>
      </w:r>
      <w:r w:rsidR="00616706">
        <w:rPr>
          <w:rFonts w:ascii="Arial" w:hAnsi="Arial" w:cs="Arial"/>
          <w:sz w:val="22"/>
          <w:szCs w:val="22"/>
        </w:rPr>
        <w:t xml:space="preserve">taken two years </w:t>
      </w:r>
      <w:r w:rsidR="00CB7DF9" w:rsidRPr="004F6670">
        <w:rPr>
          <w:rFonts w:ascii="Arial" w:hAnsi="Arial" w:cs="Arial"/>
          <w:sz w:val="22"/>
          <w:szCs w:val="22"/>
        </w:rPr>
        <w:t xml:space="preserve">after completion of </w:t>
      </w:r>
      <w:r w:rsidR="00920F9F">
        <w:rPr>
          <w:rFonts w:ascii="Arial" w:hAnsi="Arial" w:cs="Arial"/>
          <w:sz w:val="22"/>
          <w:szCs w:val="22"/>
        </w:rPr>
        <w:t>relevant work experience</w:t>
      </w:r>
      <w:r w:rsidR="00CB7DF9" w:rsidRPr="004F6670">
        <w:rPr>
          <w:rFonts w:ascii="Arial" w:hAnsi="Arial" w:cs="Arial"/>
          <w:sz w:val="22"/>
          <w:szCs w:val="22"/>
        </w:rPr>
        <w:t xml:space="preserve">. But this is not </w:t>
      </w:r>
      <w:r w:rsidR="00CC44CB">
        <w:rPr>
          <w:rFonts w:ascii="Arial" w:hAnsi="Arial" w:cs="Arial"/>
          <w:sz w:val="22"/>
          <w:szCs w:val="22"/>
        </w:rPr>
        <w:t>fixed</w:t>
      </w:r>
      <w:r w:rsidR="00CB7DF9" w:rsidRPr="004F6670">
        <w:rPr>
          <w:rFonts w:ascii="Arial" w:hAnsi="Arial" w:cs="Arial"/>
          <w:sz w:val="22"/>
          <w:szCs w:val="22"/>
        </w:rPr>
        <w:t xml:space="preserve"> and a student will be able to take </w:t>
      </w:r>
      <w:r w:rsidR="00CC44CB">
        <w:rPr>
          <w:rFonts w:ascii="Arial" w:hAnsi="Arial" w:cs="Arial"/>
          <w:sz w:val="22"/>
          <w:szCs w:val="22"/>
        </w:rPr>
        <w:t>Part 2</w:t>
      </w:r>
      <w:r w:rsidR="00CB7DF9">
        <w:rPr>
          <w:rFonts w:ascii="Arial" w:hAnsi="Arial" w:cs="Arial"/>
          <w:sz w:val="22"/>
          <w:szCs w:val="22"/>
        </w:rPr>
        <w:t xml:space="preserve"> </w:t>
      </w:r>
      <w:r w:rsidR="00EE75BF">
        <w:rPr>
          <w:rFonts w:ascii="Arial" w:hAnsi="Arial" w:cs="Arial"/>
          <w:sz w:val="22"/>
          <w:szCs w:val="22"/>
        </w:rPr>
        <w:t xml:space="preserve">assessment </w:t>
      </w:r>
      <w:r w:rsidR="00CB7DF9">
        <w:rPr>
          <w:rFonts w:ascii="Arial" w:hAnsi="Arial" w:cs="Arial"/>
          <w:sz w:val="22"/>
          <w:szCs w:val="22"/>
        </w:rPr>
        <w:t xml:space="preserve">straight </w:t>
      </w:r>
      <w:r w:rsidR="00CC44CB">
        <w:rPr>
          <w:rFonts w:ascii="Arial" w:hAnsi="Arial" w:cs="Arial"/>
          <w:sz w:val="22"/>
          <w:szCs w:val="22"/>
        </w:rPr>
        <w:t xml:space="preserve">after </w:t>
      </w:r>
      <w:r w:rsidR="00EE75BF">
        <w:rPr>
          <w:rFonts w:ascii="Arial" w:hAnsi="Arial" w:cs="Arial"/>
          <w:sz w:val="22"/>
          <w:szCs w:val="22"/>
        </w:rPr>
        <w:t xml:space="preserve">passing </w:t>
      </w:r>
      <w:r w:rsidR="00CC44CB">
        <w:rPr>
          <w:rFonts w:ascii="Arial" w:hAnsi="Arial" w:cs="Arial"/>
          <w:sz w:val="22"/>
          <w:szCs w:val="22"/>
        </w:rPr>
        <w:t>Part</w:t>
      </w:r>
      <w:r w:rsidR="00CB7DF9" w:rsidRPr="004F6670">
        <w:rPr>
          <w:rFonts w:ascii="Arial" w:hAnsi="Arial" w:cs="Arial"/>
          <w:sz w:val="22"/>
          <w:szCs w:val="22"/>
        </w:rPr>
        <w:t xml:space="preserve"> 1 and before any </w:t>
      </w:r>
      <w:r w:rsidR="00EE75BF">
        <w:rPr>
          <w:rFonts w:ascii="Arial" w:hAnsi="Arial" w:cs="Arial"/>
          <w:sz w:val="22"/>
          <w:szCs w:val="22"/>
        </w:rPr>
        <w:t xml:space="preserve">dedicated </w:t>
      </w:r>
      <w:r w:rsidR="00871ECD">
        <w:rPr>
          <w:rFonts w:ascii="Arial" w:hAnsi="Arial" w:cs="Arial"/>
          <w:sz w:val="22"/>
          <w:szCs w:val="22"/>
        </w:rPr>
        <w:t>work experience</w:t>
      </w:r>
      <w:r w:rsidR="00CB7DF9" w:rsidRPr="004F6670">
        <w:rPr>
          <w:rFonts w:ascii="Arial" w:hAnsi="Arial" w:cs="Arial"/>
          <w:sz w:val="22"/>
          <w:szCs w:val="22"/>
        </w:rPr>
        <w:t>.</w:t>
      </w:r>
      <w:r w:rsidR="00CB7DF9">
        <w:rPr>
          <w:rFonts w:ascii="Arial" w:hAnsi="Arial" w:cs="Arial"/>
          <w:sz w:val="22"/>
          <w:szCs w:val="22"/>
        </w:rPr>
        <w:t xml:space="preserve"> Financial constraints may dictate th</w:t>
      </w:r>
      <w:r w:rsidR="00F63A10">
        <w:rPr>
          <w:rFonts w:ascii="Arial" w:hAnsi="Arial" w:cs="Arial"/>
          <w:sz w:val="22"/>
          <w:szCs w:val="22"/>
        </w:rPr>
        <w:t>a</w:t>
      </w:r>
      <w:r w:rsidR="00920F9F">
        <w:rPr>
          <w:rFonts w:ascii="Arial" w:hAnsi="Arial" w:cs="Arial"/>
          <w:sz w:val="22"/>
          <w:szCs w:val="22"/>
        </w:rPr>
        <w:t>t</w:t>
      </w:r>
      <w:r w:rsidR="00F63A10">
        <w:rPr>
          <w:rFonts w:ascii="Arial" w:hAnsi="Arial" w:cs="Arial"/>
          <w:sz w:val="22"/>
          <w:szCs w:val="22"/>
        </w:rPr>
        <w:t xml:space="preserve"> unsponsored</w:t>
      </w:r>
      <w:r w:rsidR="007B6B17">
        <w:rPr>
          <w:rFonts w:ascii="Arial" w:hAnsi="Arial" w:cs="Arial"/>
          <w:sz w:val="22"/>
          <w:szCs w:val="22"/>
        </w:rPr>
        <w:t xml:space="preserve"> students take P</w:t>
      </w:r>
      <w:r w:rsidR="00CB7DF9">
        <w:rPr>
          <w:rFonts w:ascii="Arial" w:hAnsi="Arial" w:cs="Arial"/>
          <w:sz w:val="22"/>
          <w:szCs w:val="22"/>
        </w:rPr>
        <w:t xml:space="preserve">art 2 after </w:t>
      </w:r>
      <w:r w:rsidR="00871ECD">
        <w:rPr>
          <w:rFonts w:ascii="Arial" w:hAnsi="Arial" w:cs="Arial"/>
          <w:sz w:val="22"/>
          <w:szCs w:val="22"/>
        </w:rPr>
        <w:t>work experience</w:t>
      </w:r>
      <w:r w:rsidR="00CC44CB">
        <w:rPr>
          <w:rFonts w:ascii="Arial" w:hAnsi="Arial" w:cs="Arial"/>
          <w:sz w:val="22"/>
          <w:szCs w:val="22"/>
        </w:rPr>
        <w:t xml:space="preserve">, </w:t>
      </w:r>
      <w:r w:rsidR="00F05C63">
        <w:rPr>
          <w:rFonts w:ascii="Arial" w:hAnsi="Arial" w:cs="Arial"/>
          <w:sz w:val="22"/>
          <w:szCs w:val="22"/>
        </w:rPr>
        <w:t>which</w:t>
      </w:r>
      <w:r w:rsidR="007B6B17">
        <w:rPr>
          <w:rFonts w:ascii="Arial" w:hAnsi="Arial" w:cs="Arial"/>
          <w:sz w:val="22"/>
          <w:szCs w:val="22"/>
        </w:rPr>
        <w:t xml:space="preserve"> would address the </w:t>
      </w:r>
      <w:r w:rsidR="00D56623">
        <w:rPr>
          <w:rFonts w:ascii="Arial" w:hAnsi="Arial" w:cs="Arial"/>
          <w:sz w:val="22"/>
          <w:szCs w:val="22"/>
        </w:rPr>
        <w:t xml:space="preserve">current </w:t>
      </w:r>
      <w:r w:rsidR="00CC44CB">
        <w:rPr>
          <w:rFonts w:ascii="Arial" w:hAnsi="Arial" w:cs="Arial"/>
          <w:sz w:val="22"/>
          <w:szCs w:val="22"/>
        </w:rPr>
        <w:t>LPC gamble</w:t>
      </w:r>
      <w:r w:rsidR="00CB7DF9">
        <w:rPr>
          <w:rFonts w:ascii="Arial" w:hAnsi="Arial" w:cs="Arial"/>
          <w:sz w:val="22"/>
          <w:szCs w:val="22"/>
        </w:rPr>
        <w:t>. However</w:t>
      </w:r>
      <w:r w:rsidR="00CB7DF9" w:rsidRPr="004F6670">
        <w:rPr>
          <w:rFonts w:ascii="Arial" w:hAnsi="Arial" w:cs="Arial"/>
          <w:sz w:val="22"/>
          <w:szCs w:val="22"/>
        </w:rPr>
        <w:t xml:space="preserve"> </w:t>
      </w:r>
      <w:r w:rsidR="002A3F94">
        <w:rPr>
          <w:rFonts w:ascii="Arial" w:hAnsi="Arial" w:cs="Arial"/>
          <w:sz w:val="22"/>
          <w:szCs w:val="22"/>
        </w:rPr>
        <w:t>there is a view</w:t>
      </w:r>
      <w:r w:rsidR="00465F4C">
        <w:rPr>
          <w:rFonts w:ascii="Arial" w:hAnsi="Arial" w:cs="Arial"/>
          <w:sz w:val="22"/>
          <w:szCs w:val="22"/>
        </w:rPr>
        <w:t xml:space="preserve"> </w:t>
      </w:r>
      <w:r w:rsidR="00CB7DF9">
        <w:rPr>
          <w:rFonts w:ascii="Arial" w:hAnsi="Arial" w:cs="Arial"/>
          <w:sz w:val="22"/>
          <w:szCs w:val="22"/>
        </w:rPr>
        <w:t xml:space="preserve">that </w:t>
      </w:r>
      <w:r w:rsidR="00CB7DF9" w:rsidRPr="004F6670">
        <w:rPr>
          <w:rFonts w:ascii="Arial" w:hAnsi="Arial" w:cs="Arial"/>
          <w:sz w:val="22"/>
          <w:szCs w:val="22"/>
        </w:rPr>
        <w:t xml:space="preserve">city firms have a preference for </w:t>
      </w:r>
      <w:r w:rsidR="00170E45">
        <w:rPr>
          <w:rFonts w:ascii="Arial" w:hAnsi="Arial" w:cs="Arial"/>
          <w:sz w:val="22"/>
          <w:szCs w:val="22"/>
        </w:rPr>
        <w:t xml:space="preserve">both </w:t>
      </w:r>
      <w:r w:rsidR="00CB7DF9" w:rsidRPr="004F6670">
        <w:rPr>
          <w:rFonts w:ascii="Arial" w:hAnsi="Arial" w:cs="Arial"/>
          <w:sz w:val="22"/>
          <w:szCs w:val="22"/>
        </w:rPr>
        <w:t xml:space="preserve">SQE 1 and SQE 2 </w:t>
      </w:r>
      <w:r w:rsidR="00F05C63">
        <w:rPr>
          <w:rFonts w:ascii="Arial" w:hAnsi="Arial" w:cs="Arial"/>
          <w:sz w:val="22"/>
          <w:szCs w:val="22"/>
        </w:rPr>
        <w:t xml:space="preserve">to be </w:t>
      </w:r>
      <w:r w:rsidR="0053211E">
        <w:rPr>
          <w:rFonts w:ascii="Arial" w:hAnsi="Arial" w:cs="Arial"/>
          <w:sz w:val="22"/>
          <w:szCs w:val="22"/>
        </w:rPr>
        <w:t xml:space="preserve">completed </w:t>
      </w:r>
      <w:r w:rsidR="00CB7DF9" w:rsidRPr="004F6670">
        <w:rPr>
          <w:rFonts w:ascii="Arial" w:hAnsi="Arial" w:cs="Arial"/>
          <w:sz w:val="22"/>
          <w:szCs w:val="22"/>
        </w:rPr>
        <w:t xml:space="preserve">before </w:t>
      </w:r>
      <w:r w:rsidR="00871ECD">
        <w:rPr>
          <w:rFonts w:ascii="Arial" w:hAnsi="Arial" w:cs="Arial"/>
          <w:sz w:val="22"/>
          <w:szCs w:val="22"/>
        </w:rPr>
        <w:t>the start of work</w:t>
      </w:r>
      <w:r w:rsidR="00B21486">
        <w:rPr>
          <w:rFonts w:ascii="Arial" w:hAnsi="Arial" w:cs="Arial"/>
          <w:sz w:val="22"/>
          <w:szCs w:val="22"/>
        </w:rPr>
        <w:t xml:space="preserve"> </w:t>
      </w:r>
      <w:r w:rsidR="00B21486">
        <w:rPr>
          <w:rFonts w:ascii="Arial" w:hAnsi="Arial" w:cs="Arial"/>
          <w:sz w:val="22"/>
          <w:szCs w:val="22"/>
        </w:rPr>
        <w:lastRenderedPageBreak/>
        <w:t>experience</w:t>
      </w:r>
      <w:r w:rsidR="00871ECD">
        <w:rPr>
          <w:rFonts w:ascii="Arial" w:hAnsi="Arial" w:cs="Arial"/>
          <w:sz w:val="22"/>
          <w:szCs w:val="22"/>
        </w:rPr>
        <w:t xml:space="preserve">. </w:t>
      </w:r>
      <w:r w:rsidR="00465F4C">
        <w:rPr>
          <w:rFonts w:ascii="Arial" w:hAnsi="Arial" w:cs="Arial"/>
          <w:sz w:val="22"/>
          <w:szCs w:val="22"/>
        </w:rPr>
        <w:t xml:space="preserve"> </w:t>
      </w:r>
      <w:r w:rsidR="002A3F94">
        <w:rPr>
          <w:rFonts w:ascii="Arial" w:hAnsi="Arial" w:cs="Arial"/>
          <w:sz w:val="22"/>
          <w:szCs w:val="22"/>
        </w:rPr>
        <w:t xml:space="preserve">If this is so, it </w:t>
      </w:r>
      <w:r w:rsidR="00F63A10">
        <w:rPr>
          <w:rFonts w:ascii="Arial" w:hAnsi="Arial" w:cs="Arial"/>
          <w:sz w:val="22"/>
          <w:szCs w:val="22"/>
        </w:rPr>
        <w:t xml:space="preserve">points to </w:t>
      </w:r>
      <w:r w:rsidR="00CA43FC">
        <w:rPr>
          <w:rFonts w:ascii="Arial" w:hAnsi="Arial" w:cs="Arial"/>
          <w:sz w:val="22"/>
          <w:szCs w:val="22"/>
        </w:rPr>
        <w:t xml:space="preserve">a refiguring of </w:t>
      </w:r>
      <w:r w:rsidR="00BB2BE9">
        <w:rPr>
          <w:rFonts w:ascii="Arial" w:hAnsi="Arial" w:cs="Arial"/>
          <w:sz w:val="22"/>
          <w:szCs w:val="22"/>
        </w:rPr>
        <w:t xml:space="preserve">some </w:t>
      </w:r>
      <w:r w:rsidR="005842D5">
        <w:rPr>
          <w:rFonts w:ascii="Arial" w:hAnsi="Arial" w:cs="Arial"/>
          <w:sz w:val="22"/>
          <w:szCs w:val="22"/>
        </w:rPr>
        <w:t>LPC</w:t>
      </w:r>
      <w:r w:rsidR="00BB2BE9">
        <w:rPr>
          <w:rFonts w:ascii="Arial" w:hAnsi="Arial" w:cs="Arial"/>
          <w:sz w:val="22"/>
          <w:szCs w:val="22"/>
        </w:rPr>
        <w:t>s</w:t>
      </w:r>
      <w:r w:rsidR="00EE75BF">
        <w:rPr>
          <w:rFonts w:ascii="Arial" w:hAnsi="Arial" w:cs="Arial"/>
          <w:sz w:val="22"/>
          <w:szCs w:val="22"/>
        </w:rPr>
        <w:t xml:space="preserve"> </w:t>
      </w:r>
      <w:r w:rsidR="00616706">
        <w:rPr>
          <w:rFonts w:ascii="Arial" w:hAnsi="Arial" w:cs="Arial"/>
          <w:sz w:val="22"/>
          <w:szCs w:val="22"/>
        </w:rPr>
        <w:t xml:space="preserve">into a </w:t>
      </w:r>
      <w:r w:rsidR="00BB2BE9">
        <w:rPr>
          <w:rFonts w:ascii="Arial" w:hAnsi="Arial" w:cs="Arial"/>
          <w:sz w:val="22"/>
          <w:szCs w:val="22"/>
        </w:rPr>
        <w:t xml:space="preserve">single </w:t>
      </w:r>
      <w:r w:rsidR="00616706">
        <w:rPr>
          <w:rFonts w:ascii="Arial" w:hAnsi="Arial" w:cs="Arial"/>
          <w:sz w:val="22"/>
          <w:szCs w:val="22"/>
        </w:rPr>
        <w:t>SQE prep course</w:t>
      </w:r>
      <w:r w:rsidR="001D6B16">
        <w:rPr>
          <w:rFonts w:ascii="Arial" w:hAnsi="Arial" w:cs="Arial"/>
          <w:sz w:val="22"/>
          <w:szCs w:val="22"/>
        </w:rPr>
        <w:t xml:space="preserve"> covering both P</w:t>
      </w:r>
      <w:r w:rsidR="00BB2BE9">
        <w:rPr>
          <w:rFonts w:ascii="Arial" w:hAnsi="Arial" w:cs="Arial"/>
          <w:sz w:val="22"/>
          <w:szCs w:val="22"/>
        </w:rPr>
        <w:t>arts</w:t>
      </w:r>
      <w:r w:rsidR="001D6B16">
        <w:rPr>
          <w:rFonts w:ascii="Arial" w:hAnsi="Arial" w:cs="Arial"/>
          <w:sz w:val="22"/>
          <w:szCs w:val="22"/>
        </w:rPr>
        <w:t>.</w:t>
      </w:r>
    </w:p>
    <w:p w14:paraId="447DBAE3" w14:textId="77777777" w:rsidR="002A3F94" w:rsidRDefault="002A3F94" w:rsidP="00CA43FC">
      <w:pPr>
        <w:rPr>
          <w:rFonts w:ascii="Arial" w:hAnsi="Arial" w:cs="Arial"/>
          <w:sz w:val="22"/>
          <w:szCs w:val="22"/>
        </w:rPr>
      </w:pPr>
    </w:p>
    <w:p w14:paraId="267781FD" w14:textId="77777777" w:rsidR="002A3F94" w:rsidRDefault="002A3F94" w:rsidP="00CA43FC">
      <w:pPr>
        <w:rPr>
          <w:rFonts w:ascii="Arial" w:hAnsi="Arial" w:cs="Arial"/>
          <w:sz w:val="22"/>
          <w:szCs w:val="22"/>
        </w:rPr>
      </w:pPr>
    </w:p>
    <w:p w14:paraId="51C2937C" w14:textId="77777777" w:rsidR="002A3F94" w:rsidRDefault="002A3F94" w:rsidP="00CA43FC">
      <w:pPr>
        <w:rPr>
          <w:rFonts w:ascii="Arial" w:hAnsi="Arial" w:cs="Arial"/>
          <w:sz w:val="22"/>
          <w:szCs w:val="22"/>
        </w:rPr>
      </w:pPr>
    </w:p>
    <w:p w14:paraId="10106E89" w14:textId="77777777" w:rsidR="001C588A" w:rsidRDefault="001C588A" w:rsidP="005841FD">
      <w:pPr>
        <w:widowControl w:val="0"/>
        <w:autoSpaceDE w:val="0"/>
        <w:autoSpaceDN w:val="0"/>
        <w:adjustRightInd w:val="0"/>
        <w:rPr>
          <w:rFonts w:ascii="Arial" w:hAnsi="Arial" w:cs="Arial"/>
          <w:b/>
          <w:sz w:val="22"/>
          <w:szCs w:val="22"/>
        </w:rPr>
      </w:pPr>
      <w:r w:rsidRPr="00FF2C4A">
        <w:rPr>
          <w:rFonts w:ascii="Arial" w:hAnsi="Arial" w:cs="Arial"/>
          <w:b/>
          <w:sz w:val="22"/>
          <w:szCs w:val="22"/>
        </w:rPr>
        <w:t>Addressing diversity</w:t>
      </w:r>
    </w:p>
    <w:p w14:paraId="616D2C73" w14:textId="77777777" w:rsidR="000C41F4" w:rsidRPr="00FF2C4A" w:rsidRDefault="000C41F4" w:rsidP="005841FD">
      <w:pPr>
        <w:widowControl w:val="0"/>
        <w:autoSpaceDE w:val="0"/>
        <w:autoSpaceDN w:val="0"/>
        <w:adjustRightInd w:val="0"/>
        <w:rPr>
          <w:rFonts w:ascii="Arial" w:hAnsi="Arial" w:cs="Arial"/>
          <w:b/>
          <w:sz w:val="22"/>
          <w:szCs w:val="22"/>
        </w:rPr>
      </w:pPr>
    </w:p>
    <w:p w14:paraId="344F17D6" w14:textId="366C1900" w:rsidR="00D75084" w:rsidRDefault="007B1DC6" w:rsidP="005841FD">
      <w:pPr>
        <w:widowControl w:val="0"/>
        <w:autoSpaceDE w:val="0"/>
        <w:autoSpaceDN w:val="0"/>
        <w:adjustRightInd w:val="0"/>
        <w:rPr>
          <w:rFonts w:ascii="Arial" w:hAnsi="Arial" w:cs="Arial"/>
          <w:sz w:val="22"/>
          <w:szCs w:val="22"/>
        </w:rPr>
      </w:pPr>
      <w:r>
        <w:rPr>
          <w:rFonts w:ascii="Arial" w:hAnsi="Arial" w:cs="Arial"/>
          <w:sz w:val="22"/>
          <w:szCs w:val="22"/>
        </w:rPr>
        <w:t>Reduced fees for students or</w:t>
      </w:r>
      <w:r w:rsidR="00082B39">
        <w:rPr>
          <w:rFonts w:ascii="Arial" w:hAnsi="Arial" w:cs="Arial"/>
          <w:sz w:val="22"/>
          <w:szCs w:val="22"/>
        </w:rPr>
        <w:t xml:space="preserve"> </w:t>
      </w:r>
      <w:r>
        <w:rPr>
          <w:rFonts w:ascii="Arial" w:hAnsi="Arial" w:cs="Arial"/>
          <w:sz w:val="22"/>
          <w:szCs w:val="22"/>
        </w:rPr>
        <w:t>at least clear opportunities to progress without large upfront c</w:t>
      </w:r>
      <w:r w:rsidR="00EE75BF">
        <w:rPr>
          <w:rFonts w:ascii="Arial" w:hAnsi="Arial" w:cs="Arial"/>
          <w:sz w:val="22"/>
          <w:szCs w:val="22"/>
        </w:rPr>
        <w:t xml:space="preserve">osts of LPC proportions will benefit </w:t>
      </w:r>
      <w:r>
        <w:rPr>
          <w:rFonts w:ascii="Arial" w:hAnsi="Arial" w:cs="Arial"/>
          <w:sz w:val="22"/>
          <w:szCs w:val="22"/>
        </w:rPr>
        <w:t xml:space="preserve">students and </w:t>
      </w:r>
      <w:r w:rsidR="00EE75BF">
        <w:rPr>
          <w:rFonts w:ascii="Arial" w:hAnsi="Arial" w:cs="Arial"/>
          <w:sz w:val="22"/>
          <w:szCs w:val="22"/>
        </w:rPr>
        <w:t xml:space="preserve">is </w:t>
      </w:r>
      <w:r w:rsidR="001121F3">
        <w:rPr>
          <w:rFonts w:ascii="Arial" w:hAnsi="Arial" w:cs="Arial"/>
          <w:sz w:val="22"/>
          <w:szCs w:val="22"/>
        </w:rPr>
        <w:t xml:space="preserve">a necessary outcome for </w:t>
      </w:r>
      <w:r>
        <w:rPr>
          <w:rFonts w:ascii="Arial" w:hAnsi="Arial" w:cs="Arial"/>
          <w:sz w:val="22"/>
          <w:szCs w:val="22"/>
        </w:rPr>
        <w:t>LSB</w:t>
      </w:r>
      <w:r w:rsidR="001121F3">
        <w:rPr>
          <w:rFonts w:ascii="Arial" w:hAnsi="Arial" w:cs="Arial"/>
          <w:sz w:val="22"/>
          <w:szCs w:val="22"/>
        </w:rPr>
        <w:t xml:space="preserve"> approval of the SQE</w:t>
      </w:r>
      <w:r>
        <w:rPr>
          <w:rFonts w:ascii="Arial" w:hAnsi="Arial" w:cs="Arial"/>
          <w:sz w:val="22"/>
          <w:szCs w:val="22"/>
        </w:rPr>
        <w:t>.</w:t>
      </w:r>
      <w:r w:rsidR="00CF796E">
        <w:rPr>
          <w:rStyle w:val="FootnoteReference"/>
          <w:rFonts w:ascii="Arial" w:hAnsi="Arial" w:cs="Arial"/>
          <w:sz w:val="22"/>
          <w:szCs w:val="22"/>
        </w:rPr>
        <w:footnoteReference w:id="78"/>
      </w:r>
    </w:p>
    <w:p w14:paraId="59524156" w14:textId="77777777" w:rsidR="000D4588" w:rsidRDefault="000D4588" w:rsidP="005841FD">
      <w:pPr>
        <w:widowControl w:val="0"/>
        <w:autoSpaceDE w:val="0"/>
        <w:autoSpaceDN w:val="0"/>
        <w:adjustRightInd w:val="0"/>
        <w:rPr>
          <w:rFonts w:ascii="Arial" w:hAnsi="Arial" w:cs="Arial"/>
          <w:sz w:val="22"/>
          <w:szCs w:val="22"/>
        </w:rPr>
      </w:pPr>
    </w:p>
    <w:p w14:paraId="7CAC6D7E" w14:textId="43D01CB5" w:rsidR="00DD038C" w:rsidRDefault="00D75084" w:rsidP="005841FD">
      <w:pPr>
        <w:widowControl w:val="0"/>
        <w:autoSpaceDE w:val="0"/>
        <w:autoSpaceDN w:val="0"/>
        <w:adjustRightInd w:val="0"/>
        <w:rPr>
          <w:rFonts w:ascii="Arial" w:hAnsi="Arial" w:cs="Arial"/>
          <w:sz w:val="22"/>
          <w:szCs w:val="22"/>
        </w:rPr>
      </w:pPr>
      <w:r>
        <w:rPr>
          <w:rFonts w:ascii="Arial" w:hAnsi="Arial" w:cs="Arial"/>
          <w:sz w:val="22"/>
          <w:szCs w:val="22"/>
        </w:rPr>
        <w:t xml:space="preserve">On the other hand </w:t>
      </w:r>
      <w:r w:rsidR="00EE75BF">
        <w:rPr>
          <w:rFonts w:ascii="Arial" w:hAnsi="Arial" w:cs="Arial"/>
          <w:sz w:val="22"/>
          <w:szCs w:val="22"/>
        </w:rPr>
        <w:t>there is the risk of</w:t>
      </w:r>
      <w:r w:rsidR="00046339">
        <w:rPr>
          <w:rFonts w:ascii="Arial" w:hAnsi="Arial" w:cs="Arial"/>
          <w:sz w:val="22"/>
          <w:szCs w:val="22"/>
        </w:rPr>
        <w:t xml:space="preserve"> new </w:t>
      </w:r>
      <w:r>
        <w:rPr>
          <w:rFonts w:ascii="Arial" w:hAnsi="Arial" w:cs="Arial"/>
          <w:sz w:val="22"/>
          <w:szCs w:val="22"/>
        </w:rPr>
        <w:t>barrier</w:t>
      </w:r>
      <w:r w:rsidR="00F05C63">
        <w:rPr>
          <w:rFonts w:ascii="Arial" w:hAnsi="Arial" w:cs="Arial"/>
          <w:sz w:val="22"/>
          <w:szCs w:val="22"/>
        </w:rPr>
        <w:t>s</w:t>
      </w:r>
      <w:r>
        <w:rPr>
          <w:rFonts w:ascii="Arial" w:hAnsi="Arial" w:cs="Arial"/>
          <w:sz w:val="22"/>
          <w:szCs w:val="22"/>
        </w:rPr>
        <w:t xml:space="preserve"> </w:t>
      </w:r>
      <w:r w:rsidR="00BE6D0A">
        <w:rPr>
          <w:rFonts w:ascii="Arial" w:hAnsi="Arial" w:cs="Arial"/>
          <w:sz w:val="22"/>
          <w:szCs w:val="22"/>
        </w:rPr>
        <w:t>appearing</w:t>
      </w:r>
      <w:r w:rsidR="005721D9">
        <w:rPr>
          <w:rFonts w:ascii="Arial" w:hAnsi="Arial" w:cs="Arial"/>
          <w:sz w:val="22"/>
          <w:szCs w:val="22"/>
        </w:rPr>
        <w:t>. One will</w:t>
      </w:r>
      <w:r w:rsidR="00F05C63">
        <w:rPr>
          <w:rFonts w:ascii="Arial" w:hAnsi="Arial" w:cs="Arial"/>
          <w:sz w:val="22"/>
          <w:szCs w:val="22"/>
        </w:rPr>
        <w:t xml:space="preserve"> be</w:t>
      </w:r>
      <w:r w:rsidR="00BE6D0A">
        <w:rPr>
          <w:rFonts w:ascii="Arial" w:hAnsi="Arial" w:cs="Arial"/>
          <w:sz w:val="22"/>
          <w:szCs w:val="22"/>
        </w:rPr>
        <w:t xml:space="preserve"> in the form </w:t>
      </w:r>
      <w:r w:rsidR="001013C8">
        <w:rPr>
          <w:rFonts w:ascii="Arial" w:hAnsi="Arial" w:cs="Arial"/>
          <w:sz w:val="22"/>
          <w:szCs w:val="22"/>
        </w:rPr>
        <w:t>of</w:t>
      </w:r>
      <w:r w:rsidR="005842D5">
        <w:rPr>
          <w:rFonts w:ascii="Arial" w:hAnsi="Arial" w:cs="Arial"/>
          <w:sz w:val="22"/>
          <w:szCs w:val="22"/>
        </w:rPr>
        <w:t xml:space="preserve"> information confusion</w:t>
      </w:r>
      <w:r w:rsidR="00F63A10">
        <w:rPr>
          <w:rFonts w:ascii="Arial" w:hAnsi="Arial" w:cs="Arial"/>
          <w:sz w:val="22"/>
          <w:szCs w:val="22"/>
        </w:rPr>
        <w:t xml:space="preserve"> and </w:t>
      </w:r>
      <w:r>
        <w:rPr>
          <w:rFonts w:ascii="Arial" w:hAnsi="Arial" w:cs="Arial"/>
          <w:sz w:val="22"/>
          <w:szCs w:val="22"/>
        </w:rPr>
        <w:t>replac</w:t>
      </w:r>
      <w:r w:rsidR="00ED2353">
        <w:rPr>
          <w:rFonts w:ascii="Arial" w:hAnsi="Arial" w:cs="Arial"/>
          <w:sz w:val="22"/>
          <w:szCs w:val="22"/>
        </w:rPr>
        <w:t xml:space="preserve">ing the </w:t>
      </w:r>
      <w:r w:rsidR="000D4588">
        <w:rPr>
          <w:rFonts w:ascii="Arial" w:hAnsi="Arial" w:cs="Arial"/>
          <w:sz w:val="22"/>
          <w:szCs w:val="22"/>
        </w:rPr>
        <w:t>(</w:t>
      </w:r>
      <w:r w:rsidR="00ED2353">
        <w:rPr>
          <w:rFonts w:ascii="Arial" w:hAnsi="Arial" w:cs="Arial"/>
          <w:sz w:val="22"/>
          <w:szCs w:val="22"/>
        </w:rPr>
        <w:t>alleged</w:t>
      </w:r>
      <w:r w:rsidR="000D4588">
        <w:rPr>
          <w:rFonts w:ascii="Arial" w:hAnsi="Arial" w:cs="Arial"/>
          <w:sz w:val="22"/>
          <w:szCs w:val="22"/>
        </w:rPr>
        <w:t>)</w:t>
      </w:r>
      <w:r w:rsidR="00046339">
        <w:rPr>
          <w:rFonts w:ascii="Arial" w:hAnsi="Arial" w:cs="Arial"/>
          <w:sz w:val="22"/>
          <w:szCs w:val="22"/>
        </w:rPr>
        <w:t xml:space="preserve"> inconsistent LPC</w:t>
      </w:r>
      <w:r>
        <w:rPr>
          <w:rFonts w:ascii="Arial" w:hAnsi="Arial" w:cs="Arial"/>
          <w:sz w:val="22"/>
          <w:szCs w:val="22"/>
        </w:rPr>
        <w:t xml:space="preserve"> standards</w:t>
      </w:r>
      <w:r w:rsidR="00ED2353">
        <w:rPr>
          <w:rFonts w:ascii="Arial" w:hAnsi="Arial" w:cs="Arial"/>
          <w:sz w:val="22"/>
          <w:szCs w:val="22"/>
        </w:rPr>
        <w:t xml:space="preserve"> </w:t>
      </w:r>
      <w:r w:rsidR="00474977">
        <w:rPr>
          <w:rFonts w:ascii="Arial" w:hAnsi="Arial" w:cs="Arial"/>
          <w:sz w:val="22"/>
          <w:szCs w:val="22"/>
        </w:rPr>
        <w:t>with inconsistent</w:t>
      </w:r>
      <w:r w:rsidR="00ED2353">
        <w:rPr>
          <w:rFonts w:ascii="Arial" w:hAnsi="Arial" w:cs="Arial"/>
          <w:sz w:val="22"/>
          <w:szCs w:val="22"/>
        </w:rPr>
        <w:t xml:space="preserve"> claims</w:t>
      </w:r>
      <w:r w:rsidR="00474977">
        <w:rPr>
          <w:rFonts w:ascii="Arial" w:hAnsi="Arial" w:cs="Arial"/>
          <w:sz w:val="22"/>
          <w:szCs w:val="22"/>
        </w:rPr>
        <w:t xml:space="preserve"> and outcomes</w:t>
      </w:r>
      <w:r w:rsidR="005842D5">
        <w:rPr>
          <w:rFonts w:ascii="Arial" w:hAnsi="Arial" w:cs="Arial"/>
          <w:sz w:val="22"/>
          <w:szCs w:val="22"/>
        </w:rPr>
        <w:t xml:space="preserve">. </w:t>
      </w:r>
      <w:r w:rsidR="004F5CE4">
        <w:rPr>
          <w:rFonts w:ascii="Arial" w:hAnsi="Arial" w:cs="Arial"/>
          <w:sz w:val="22"/>
          <w:szCs w:val="22"/>
        </w:rPr>
        <w:t>If the SRA itself concludes</w:t>
      </w:r>
      <w:r w:rsidR="001121F3">
        <w:rPr>
          <w:rFonts w:ascii="Arial" w:hAnsi="Arial" w:cs="Arial"/>
          <w:sz w:val="22"/>
          <w:szCs w:val="22"/>
        </w:rPr>
        <w:t>, as it does,</w:t>
      </w:r>
      <w:r w:rsidR="004F5CE4">
        <w:rPr>
          <w:rFonts w:ascii="Arial" w:hAnsi="Arial" w:cs="Arial"/>
          <w:sz w:val="22"/>
          <w:szCs w:val="22"/>
        </w:rPr>
        <w:t xml:space="preserve"> that the differential pass</w:t>
      </w:r>
      <w:r w:rsidR="002671D7">
        <w:rPr>
          <w:rFonts w:ascii="Arial" w:hAnsi="Arial" w:cs="Arial"/>
          <w:sz w:val="22"/>
          <w:szCs w:val="22"/>
        </w:rPr>
        <w:t xml:space="preserve"> </w:t>
      </w:r>
      <w:r w:rsidR="004F5CE4">
        <w:rPr>
          <w:rFonts w:ascii="Arial" w:hAnsi="Arial" w:cs="Arial"/>
          <w:sz w:val="22"/>
          <w:szCs w:val="22"/>
        </w:rPr>
        <w:t xml:space="preserve">rates on GDL and LPC are difficult </w:t>
      </w:r>
      <w:r w:rsidR="00F12F17">
        <w:rPr>
          <w:rFonts w:ascii="Arial" w:hAnsi="Arial" w:cs="Arial"/>
          <w:sz w:val="22"/>
          <w:szCs w:val="22"/>
        </w:rPr>
        <w:t xml:space="preserve">to </w:t>
      </w:r>
      <w:r w:rsidR="004F5CE4">
        <w:rPr>
          <w:rFonts w:ascii="Arial" w:hAnsi="Arial" w:cs="Arial"/>
          <w:sz w:val="22"/>
          <w:szCs w:val="22"/>
        </w:rPr>
        <w:t>interpret – then how does it expect NLG in an unreg</w:t>
      </w:r>
      <w:r w:rsidR="002671D7">
        <w:rPr>
          <w:rFonts w:ascii="Arial" w:hAnsi="Arial" w:cs="Arial"/>
          <w:sz w:val="22"/>
          <w:szCs w:val="22"/>
        </w:rPr>
        <w:t xml:space="preserve">ulated market to understand </w:t>
      </w:r>
      <w:r w:rsidR="004F5CE4">
        <w:rPr>
          <w:rFonts w:ascii="Arial" w:hAnsi="Arial" w:cs="Arial"/>
          <w:sz w:val="22"/>
          <w:szCs w:val="22"/>
        </w:rPr>
        <w:t>differentials in pass</w:t>
      </w:r>
      <w:r w:rsidR="002671D7">
        <w:rPr>
          <w:rFonts w:ascii="Arial" w:hAnsi="Arial" w:cs="Arial"/>
          <w:sz w:val="22"/>
          <w:szCs w:val="22"/>
        </w:rPr>
        <w:t xml:space="preserve"> </w:t>
      </w:r>
      <w:r w:rsidR="004F5CE4">
        <w:rPr>
          <w:rFonts w:ascii="Arial" w:hAnsi="Arial" w:cs="Arial"/>
          <w:sz w:val="22"/>
          <w:szCs w:val="22"/>
        </w:rPr>
        <w:t xml:space="preserve">rates </w:t>
      </w:r>
      <w:r w:rsidR="00D56623">
        <w:rPr>
          <w:rFonts w:ascii="Arial" w:hAnsi="Arial" w:cs="Arial"/>
          <w:sz w:val="22"/>
          <w:szCs w:val="22"/>
        </w:rPr>
        <w:t xml:space="preserve">and claims </w:t>
      </w:r>
      <w:r w:rsidR="004F5CE4">
        <w:rPr>
          <w:rFonts w:ascii="Arial" w:hAnsi="Arial" w:cs="Arial"/>
          <w:sz w:val="22"/>
          <w:szCs w:val="22"/>
        </w:rPr>
        <w:t>between SQE providers?</w:t>
      </w:r>
      <w:r w:rsidR="004F5CE4">
        <w:rPr>
          <w:rStyle w:val="FootnoteReference"/>
          <w:rFonts w:ascii="Arial" w:hAnsi="Arial" w:cs="Arial"/>
          <w:sz w:val="22"/>
          <w:szCs w:val="22"/>
        </w:rPr>
        <w:footnoteReference w:id="79"/>
      </w:r>
      <w:r w:rsidR="001121F3">
        <w:rPr>
          <w:rFonts w:ascii="Arial" w:hAnsi="Arial" w:cs="Arial"/>
          <w:sz w:val="22"/>
          <w:szCs w:val="22"/>
        </w:rPr>
        <w:t xml:space="preserve"> </w:t>
      </w:r>
      <w:r w:rsidR="00CA43FC">
        <w:rPr>
          <w:rFonts w:ascii="Arial" w:eastAsia="Times New Roman" w:hAnsi="Arial" w:cs="Arial"/>
          <w:sz w:val="22"/>
          <w:szCs w:val="22"/>
          <w:lang w:val="en-GB"/>
        </w:rPr>
        <w:t>Who will be trusted in this market</w:t>
      </w:r>
      <w:r w:rsidR="008E13B5">
        <w:rPr>
          <w:rFonts w:ascii="Arial" w:eastAsia="Times New Roman" w:hAnsi="Arial" w:cs="Arial"/>
          <w:sz w:val="22"/>
          <w:szCs w:val="22"/>
          <w:lang w:val="en-GB"/>
        </w:rPr>
        <w:t>?</w:t>
      </w:r>
      <w:r w:rsidR="008E13B5">
        <w:rPr>
          <w:rStyle w:val="FootnoteReference"/>
          <w:rFonts w:ascii="Arial" w:eastAsia="Times New Roman" w:hAnsi="Arial" w:cs="Arial"/>
          <w:sz w:val="22"/>
          <w:szCs w:val="22"/>
          <w:lang w:val="en-GB"/>
        </w:rPr>
        <w:footnoteReference w:id="80"/>
      </w:r>
      <w:r w:rsidR="008E13B5">
        <w:rPr>
          <w:rFonts w:ascii="Arial" w:eastAsia="Times New Roman" w:hAnsi="Arial" w:cs="Arial"/>
          <w:sz w:val="22"/>
          <w:szCs w:val="22"/>
          <w:lang w:val="en-GB"/>
        </w:rPr>
        <w:t xml:space="preserve"> </w:t>
      </w:r>
      <w:r w:rsidR="00A15E1B">
        <w:rPr>
          <w:rFonts w:ascii="Arial" w:hAnsi="Arial" w:cs="Arial"/>
          <w:sz w:val="22"/>
          <w:szCs w:val="22"/>
        </w:rPr>
        <w:t>A city-</w:t>
      </w:r>
      <w:r w:rsidR="00F05C63">
        <w:rPr>
          <w:rFonts w:ascii="Arial" w:hAnsi="Arial" w:cs="Arial"/>
          <w:sz w:val="22"/>
          <w:szCs w:val="22"/>
        </w:rPr>
        <w:t xml:space="preserve">endorsed course </w:t>
      </w:r>
      <w:r w:rsidR="00A15E1B">
        <w:rPr>
          <w:rFonts w:ascii="Arial" w:hAnsi="Arial" w:cs="Arial"/>
          <w:sz w:val="22"/>
          <w:szCs w:val="22"/>
        </w:rPr>
        <w:t>may</w:t>
      </w:r>
      <w:r w:rsidR="008E13B5">
        <w:rPr>
          <w:rFonts w:ascii="Arial" w:hAnsi="Arial" w:cs="Arial"/>
          <w:sz w:val="22"/>
          <w:szCs w:val="22"/>
        </w:rPr>
        <w:t xml:space="preserve"> become the </w:t>
      </w:r>
      <w:r w:rsidR="00CA43FC">
        <w:rPr>
          <w:rFonts w:ascii="Arial" w:hAnsi="Arial" w:cs="Arial"/>
          <w:sz w:val="22"/>
          <w:szCs w:val="22"/>
        </w:rPr>
        <w:t xml:space="preserve">de facto </w:t>
      </w:r>
      <w:r w:rsidR="008E13B5">
        <w:rPr>
          <w:rFonts w:ascii="Arial" w:hAnsi="Arial" w:cs="Arial"/>
          <w:sz w:val="22"/>
          <w:szCs w:val="22"/>
        </w:rPr>
        <w:t xml:space="preserve">mark of quality, and for </w:t>
      </w:r>
      <w:r w:rsidR="00A15E1B">
        <w:rPr>
          <w:rFonts w:ascii="Arial" w:hAnsi="Arial" w:cs="Arial"/>
          <w:sz w:val="22"/>
          <w:szCs w:val="22"/>
        </w:rPr>
        <w:t>NLG (and</w:t>
      </w:r>
      <w:r w:rsidR="00F05C63">
        <w:rPr>
          <w:rFonts w:ascii="Arial" w:hAnsi="Arial" w:cs="Arial"/>
          <w:sz w:val="22"/>
          <w:szCs w:val="22"/>
        </w:rPr>
        <w:t xml:space="preserve"> other students) who seek a car</w:t>
      </w:r>
      <w:r w:rsidR="002671D7">
        <w:rPr>
          <w:rFonts w:ascii="Arial" w:hAnsi="Arial" w:cs="Arial"/>
          <w:sz w:val="22"/>
          <w:szCs w:val="22"/>
        </w:rPr>
        <w:t>eer in the city</w:t>
      </w:r>
      <w:r w:rsidR="001D6B16">
        <w:rPr>
          <w:rFonts w:ascii="Arial" w:hAnsi="Arial" w:cs="Arial"/>
          <w:sz w:val="22"/>
          <w:szCs w:val="22"/>
        </w:rPr>
        <w:t>,</w:t>
      </w:r>
      <w:r w:rsidR="002671D7">
        <w:rPr>
          <w:rFonts w:ascii="Arial" w:hAnsi="Arial" w:cs="Arial"/>
          <w:sz w:val="22"/>
          <w:szCs w:val="22"/>
        </w:rPr>
        <w:t xml:space="preserve"> </w:t>
      </w:r>
      <w:r w:rsidR="008E13B5">
        <w:rPr>
          <w:rFonts w:ascii="Arial" w:hAnsi="Arial" w:cs="Arial"/>
          <w:sz w:val="22"/>
          <w:szCs w:val="22"/>
        </w:rPr>
        <w:t xml:space="preserve">be seen as a necessity, but it may also represent </w:t>
      </w:r>
      <w:r w:rsidR="005721D9">
        <w:rPr>
          <w:rFonts w:ascii="Arial" w:hAnsi="Arial" w:cs="Arial"/>
          <w:sz w:val="22"/>
          <w:szCs w:val="22"/>
        </w:rPr>
        <w:t>an expensive</w:t>
      </w:r>
      <w:r w:rsidR="00F05C63">
        <w:rPr>
          <w:rFonts w:ascii="Arial" w:hAnsi="Arial" w:cs="Arial"/>
          <w:sz w:val="22"/>
          <w:szCs w:val="22"/>
        </w:rPr>
        <w:t xml:space="preserve"> SQE gamble if there </w:t>
      </w:r>
      <w:r w:rsidR="002671D7">
        <w:rPr>
          <w:rFonts w:ascii="Arial" w:hAnsi="Arial" w:cs="Arial"/>
          <w:sz w:val="22"/>
          <w:szCs w:val="22"/>
        </w:rPr>
        <w:t>is no promise of work</w:t>
      </w:r>
      <w:r w:rsidR="00F05C63">
        <w:rPr>
          <w:rFonts w:ascii="Arial" w:hAnsi="Arial" w:cs="Arial"/>
          <w:sz w:val="22"/>
          <w:szCs w:val="22"/>
        </w:rPr>
        <w:t xml:space="preserve"> at the end of it.</w:t>
      </w:r>
      <w:r w:rsidR="00C409DE">
        <w:rPr>
          <w:rStyle w:val="FootnoteReference"/>
          <w:rFonts w:ascii="Arial" w:hAnsi="Arial" w:cs="Arial"/>
          <w:sz w:val="22"/>
          <w:szCs w:val="22"/>
        </w:rPr>
        <w:footnoteReference w:id="81"/>
      </w:r>
      <w:r w:rsidR="00F05C63">
        <w:rPr>
          <w:rFonts w:ascii="Arial" w:hAnsi="Arial" w:cs="Arial"/>
          <w:sz w:val="22"/>
          <w:szCs w:val="22"/>
        </w:rPr>
        <w:t xml:space="preserve"> Others may be tempted or have no choice but </w:t>
      </w:r>
      <w:r>
        <w:rPr>
          <w:rFonts w:ascii="Arial" w:hAnsi="Arial" w:cs="Arial"/>
          <w:sz w:val="22"/>
          <w:szCs w:val="22"/>
        </w:rPr>
        <w:t>to gamble on cheaper courses</w:t>
      </w:r>
      <w:r w:rsidR="00F05C63">
        <w:rPr>
          <w:rFonts w:ascii="Arial" w:hAnsi="Arial" w:cs="Arial"/>
          <w:sz w:val="22"/>
          <w:szCs w:val="22"/>
        </w:rPr>
        <w:t xml:space="preserve"> of </w:t>
      </w:r>
      <w:r w:rsidR="00170E45">
        <w:rPr>
          <w:rFonts w:ascii="Arial" w:hAnsi="Arial" w:cs="Arial"/>
          <w:sz w:val="22"/>
          <w:szCs w:val="22"/>
        </w:rPr>
        <w:t>unknown</w:t>
      </w:r>
      <w:r w:rsidR="00F05C63">
        <w:rPr>
          <w:rFonts w:ascii="Arial" w:hAnsi="Arial" w:cs="Arial"/>
          <w:sz w:val="22"/>
          <w:szCs w:val="22"/>
        </w:rPr>
        <w:t xml:space="preserve"> quality.</w:t>
      </w:r>
      <w:r w:rsidR="00283BCB">
        <w:rPr>
          <w:rStyle w:val="FootnoteReference"/>
          <w:rFonts w:ascii="Arial" w:hAnsi="Arial" w:cs="Arial"/>
          <w:sz w:val="22"/>
          <w:szCs w:val="22"/>
        </w:rPr>
        <w:footnoteReference w:id="82"/>
      </w:r>
      <w:r w:rsidR="00F05C63">
        <w:rPr>
          <w:rFonts w:ascii="Arial" w:hAnsi="Arial" w:cs="Arial"/>
          <w:sz w:val="22"/>
          <w:szCs w:val="22"/>
        </w:rPr>
        <w:t xml:space="preserve"> All of this </w:t>
      </w:r>
      <w:r>
        <w:rPr>
          <w:rFonts w:ascii="Arial" w:hAnsi="Arial" w:cs="Arial"/>
          <w:sz w:val="22"/>
          <w:szCs w:val="22"/>
        </w:rPr>
        <w:t>suggest</w:t>
      </w:r>
      <w:r w:rsidR="00F05C63">
        <w:rPr>
          <w:rFonts w:ascii="Arial" w:hAnsi="Arial" w:cs="Arial"/>
          <w:sz w:val="22"/>
          <w:szCs w:val="22"/>
        </w:rPr>
        <w:t xml:space="preserve">s </w:t>
      </w:r>
      <w:r>
        <w:rPr>
          <w:rFonts w:ascii="Arial" w:hAnsi="Arial" w:cs="Arial"/>
          <w:sz w:val="22"/>
          <w:szCs w:val="22"/>
        </w:rPr>
        <w:t xml:space="preserve">difficult decisions especially </w:t>
      </w:r>
      <w:r w:rsidR="00170E45">
        <w:rPr>
          <w:rFonts w:ascii="Arial" w:hAnsi="Arial" w:cs="Arial"/>
          <w:sz w:val="22"/>
          <w:szCs w:val="22"/>
        </w:rPr>
        <w:t xml:space="preserve">for </w:t>
      </w:r>
      <w:r>
        <w:rPr>
          <w:rFonts w:ascii="Arial" w:hAnsi="Arial" w:cs="Arial"/>
          <w:sz w:val="22"/>
          <w:szCs w:val="22"/>
        </w:rPr>
        <w:t>th</w:t>
      </w:r>
      <w:r w:rsidR="00474977">
        <w:rPr>
          <w:rFonts w:ascii="Arial" w:hAnsi="Arial" w:cs="Arial"/>
          <w:sz w:val="22"/>
          <w:szCs w:val="22"/>
        </w:rPr>
        <w:t>e many</w:t>
      </w:r>
      <w:r>
        <w:rPr>
          <w:rFonts w:ascii="Arial" w:hAnsi="Arial" w:cs="Arial"/>
          <w:sz w:val="22"/>
          <w:szCs w:val="22"/>
        </w:rPr>
        <w:t xml:space="preserve"> </w:t>
      </w:r>
      <w:r w:rsidR="00F05C63">
        <w:rPr>
          <w:rFonts w:ascii="Arial" w:hAnsi="Arial" w:cs="Arial"/>
          <w:sz w:val="22"/>
          <w:szCs w:val="22"/>
        </w:rPr>
        <w:t xml:space="preserve">students </w:t>
      </w:r>
      <w:r>
        <w:rPr>
          <w:rFonts w:ascii="Arial" w:hAnsi="Arial" w:cs="Arial"/>
          <w:sz w:val="22"/>
          <w:szCs w:val="22"/>
        </w:rPr>
        <w:t xml:space="preserve">who </w:t>
      </w:r>
      <w:r w:rsidR="00A15E1B">
        <w:rPr>
          <w:rFonts w:ascii="Arial" w:hAnsi="Arial" w:cs="Arial"/>
          <w:sz w:val="22"/>
          <w:szCs w:val="22"/>
        </w:rPr>
        <w:t>will be</w:t>
      </w:r>
      <w:r>
        <w:rPr>
          <w:rFonts w:ascii="Arial" w:hAnsi="Arial" w:cs="Arial"/>
          <w:sz w:val="22"/>
          <w:szCs w:val="22"/>
        </w:rPr>
        <w:t xml:space="preserve"> unfunded, un</w:t>
      </w:r>
      <w:r w:rsidR="005721D9">
        <w:rPr>
          <w:rFonts w:ascii="Arial" w:hAnsi="Arial" w:cs="Arial"/>
          <w:sz w:val="22"/>
          <w:szCs w:val="22"/>
        </w:rPr>
        <w:t xml:space="preserve">sure and </w:t>
      </w:r>
      <w:r>
        <w:rPr>
          <w:rFonts w:ascii="Arial" w:hAnsi="Arial" w:cs="Arial"/>
          <w:sz w:val="22"/>
          <w:szCs w:val="22"/>
        </w:rPr>
        <w:t>lacking access to quality</w:t>
      </w:r>
      <w:r w:rsidR="00474977">
        <w:rPr>
          <w:rFonts w:ascii="Arial" w:hAnsi="Arial" w:cs="Arial"/>
          <w:sz w:val="22"/>
          <w:szCs w:val="22"/>
        </w:rPr>
        <w:t>, dependable and</w:t>
      </w:r>
      <w:r>
        <w:rPr>
          <w:rFonts w:ascii="Arial" w:hAnsi="Arial" w:cs="Arial"/>
          <w:sz w:val="22"/>
          <w:szCs w:val="22"/>
        </w:rPr>
        <w:t xml:space="preserve"> independent advice.</w:t>
      </w:r>
      <w:r w:rsidR="0000673B">
        <w:rPr>
          <w:rStyle w:val="FootnoteReference"/>
          <w:rFonts w:ascii="Arial" w:hAnsi="Arial" w:cs="Arial"/>
          <w:sz w:val="22"/>
          <w:szCs w:val="22"/>
        </w:rPr>
        <w:footnoteReference w:id="83"/>
      </w:r>
      <w:r>
        <w:rPr>
          <w:rFonts w:ascii="Arial" w:hAnsi="Arial" w:cs="Arial"/>
          <w:sz w:val="22"/>
          <w:szCs w:val="22"/>
        </w:rPr>
        <w:t xml:space="preserve"> Compounding this will be </w:t>
      </w:r>
      <w:r w:rsidR="000D4588">
        <w:rPr>
          <w:rFonts w:ascii="Arial" w:hAnsi="Arial" w:cs="Arial"/>
          <w:sz w:val="22"/>
          <w:szCs w:val="22"/>
        </w:rPr>
        <w:t>regulatory divergence between the</w:t>
      </w:r>
      <w:r w:rsidR="00046339">
        <w:rPr>
          <w:rFonts w:ascii="Arial" w:hAnsi="Arial" w:cs="Arial"/>
          <w:sz w:val="22"/>
          <w:szCs w:val="22"/>
        </w:rPr>
        <w:t xml:space="preserve"> SRA and</w:t>
      </w:r>
      <w:r w:rsidR="000D4588">
        <w:rPr>
          <w:rFonts w:ascii="Arial" w:hAnsi="Arial" w:cs="Arial"/>
          <w:sz w:val="22"/>
          <w:szCs w:val="22"/>
        </w:rPr>
        <w:t xml:space="preserve"> </w:t>
      </w:r>
      <w:r w:rsidR="00F12F17">
        <w:rPr>
          <w:rFonts w:ascii="Arial" w:hAnsi="Arial" w:cs="Arial"/>
          <w:sz w:val="22"/>
          <w:szCs w:val="22"/>
        </w:rPr>
        <w:t xml:space="preserve">the </w:t>
      </w:r>
      <w:r w:rsidR="000D4588">
        <w:rPr>
          <w:rFonts w:ascii="Arial" w:hAnsi="Arial" w:cs="Arial"/>
          <w:sz w:val="22"/>
          <w:szCs w:val="22"/>
        </w:rPr>
        <w:t>BSB</w:t>
      </w:r>
      <w:r w:rsidR="008E13B5">
        <w:rPr>
          <w:rFonts w:ascii="Arial" w:hAnsi="Arial" w:cs="Arial"/>
          <w:sz w:val="22"/>
          <w:szCs w:val="22"/>
        </w:rPr>
        <w:t xml:space="preserve"> meaning that the </w:t>
      </w:r>
      <w:r w:rsidR="00144EBF">
        <w:rPr>
          <w:rFonts w:ascii="Arial" w:hAnsi="Arial" w:cs="Arial"/>
          <w:sz w:val="22"/>
          <w:szCs w:val="22"/>
        </w:rPr>
        <w:t xml:space="preserve">NLG </w:t>
      </w:r>
      <w:r w:rsidR="005842D5">
        <w:rPr>
          <w:rFonts w:ascii="Arial" w:hAnsi="Arial" w:cs="Arial"/>
          <w:sz w:val="22"/>
          <w:szCs w:val="22"/>
        </w:rPr>
        <w:t xml:space="preserve">will make </w:t>
      </w:r>
      <w:r w:rsidR="00144EBF">
        <w:rPr>
          <w:rFonts w:ascii="Arial" w:hAnsi="Arial" w:cs="Arial"/>
          <w:sz w:val="22"/>
          <w:szCs w:val="22"/>
        </w:rPr>
        <w:t xml:space="preserve">a decisive </w:t>
      </w:r>
      <w:r w:rsidR="001A55B4" w:rsidRPr="004F6670">
        <w:rPr>
          <w:rFonts w:ascii="Arial" w:hAnsi="Arial" w:cs="Arial"/>
          <w:sz w:val="22"/>
          <w:szCs w:val="22"/>
        </w:rPr>
        <w:t>choice</w:t>
      </w:r>
      <w:r w:rsidR="00144EBF">
        <w:rPr>
          <w:rFonts w:ascii="Arial" w:hAnsi="Arial" w:cs="Arial"/>
          <w:sz w:val="22"/>
          <w:szCs w:val="22"/>
        </w:rPr>
        <w:t xml:space="preserve"> </w:t>
      </w:r>
      <w:r w:rsidR="00FB4E48">
        <w:rPr>
          <w:rFonts w:ascii="Arial" w:hAnsi="Arial" w:cs="Arial"/>
          <w:sz w:val="22"/>
          <w:szCs w:val="22"/>
        </w:rPr>
        <w:t>before the study of any law</w:t>
      </w:r>
      <w:r w:rsidR="00BF3322">
        <w:rPr>
          <w:rFonts w:ascii="Arial" w:hAnsi="Arial" w:cs="Arial"/>
          <w:sz w:val="22"/>
          <w:szCs w:val="22"/>
        </w:rPr>
        <w:t>,</w:t>
      </w:r>
      <w:r w:rsidR="00FB4E48">
        <w:rPr>
          <w:rFonts w:ascii="Arial" w:hAnsi="Arial" w:cs="Arial"/>
          <w:sz w:val="22"/>
          <w:szCs w:val="22"/>
        </w:rPr>
        <w:t xml:space="preserve"> </w:t>
      </w:r>
      <w:r w:rsidR="00144EBF">
        <w:rPr>
          <w:rFonts w:ascii="Arial" w:hAnsi="Arial" w:cs="Arial"/>
          <w:sz w:val="22"/>
          <w:szCs w:val="22"/>
        </w:rPr>
        <w:t>w</w:t>
      </w:r>
      <w:r w:rsidR="005842D5">
        <w:rPr>
          <w:rFonts w:ascii="Arial" w:hAnsi="Arial" w:cs="Arial"/>
          <w:sz w:val="22"/>
          <w:szCs w:val="22"/>
        </w:rPr>
        <w:t xml:space="preserve">hich </w:t>
      </w:r>
      <w:r w:rsidR="00871ECD">
        <w:rPr>
          <w:rFonts w:ascii="Arial" w:hAnsi="Arial" w:cs="Arial"/>
          <w:sz w:val="22"/>
          <w:szCs w:val="22"/>
        </w:rPr>
        <w:t xml:space="preserve">is likely to </w:t>
      </w:r>
      <w:r w:rsidR="00046339">
        <w:rPr>
          <w:rFonts w:ascii="Arial" w:hAnsi="Arial" w:cs="Arial"/>
          <w:sz w:val="22"/>
          <w:szCs w:val="22"/>
        </w:rPr>
        <w:t>be a decision</w:t>
      </w:r>
      <w:r w:rsidR="00771682">
        <w:rPr>
          <w:rFonts w:ascii="Arial" w:hAnsi="Arial" w:cs="Arial"/>
          <w:sz w:val="22"/>
          <w:szCs w:val="22"/>
        </w:rPr>
        <w:t xml:space="preserve"> with risk</w:t>
      </w:r>
      <w:r w:rsidR="00046339">
        <w:rPr>
          <w:rFonts w:ascii="Arial" w:hAnsi="Arial" w:cs="Arial"/>
          <w:sz w:val="22"/>
          <w:szCs w:val="22"/>
        </w:rPr>
        <w:t xml:space="preserve"> </w:t>
      </w:r>
      <w:r w:rsidR="00144EBF">
        <w:rPr>
          <w:rFonts w:ascii="Arial" w:hAnsi="Arial" w:cs="Arial"/>
          <w:sz w:val="22"/>
          <w:szCs w:val="22"/>
        </w:rPr>
        <w:t>for many students.</w:t>
      </w:r>
      <w:r w:rsidR="004F158B">
        <w:rPr>
          <w:rFonts w:ascii="Arial" w:eastAsia="Times New Roman" w:hAnsi="Arial" w:cs="Arial"/>
          <w:sz w:val="22"/>
          <w:szCs w:val="22"/>
          <w:lang w:val="en-GB"/>
        </w:rPr>
        <w:t xml:space="preserve"> </w:t>
      </w:r>
      <w:r w:rsidR="00046339">
        <w:rPr>
          <w:rFonts w:ascii="Arial" w:eastAsia="Times New Roman" w:hAnsi="Arial" w:cs="Arial"/>
          <w:sz w:val="22"/>
          <w:szCs w:val="22"/>
          <w:lang w:val="en-GB"/>
        </w:rPr>
        <w:t>An</w:t>
      </w:r>
      <w:r w:rsidR="00FB4E48">
        <w:rPr>
          <w:rFonts w:ascii="Arial" w:eastAsia="Times New Roman" w:hAnsi="Arial" w:cs="Arial"/>
          <w:sz w:val="22"/>
          <w:szCs w:val="22"/>
          <w:lang w:val="en-GB"/>
        </w:rPr>
        <w:t xml:space="preserve"> appreciation of the realities of the split in the profession i</w:t>
      </w:r>
      <w:r w:rsidR="002671D7">
        <w:rPr>
          <w:rFonts w:ascii="Arial" w:eastAsia="Times New Roman" w:hAnsi="Arial" w:cs="Arial"/>
          <w:sz w:val="22"/>
          <w:szCs w:val="22"/>
          <w:lang w:val="en-GB"/>
        </w:rPr>
        <w:t xml:space="preserve">s far from clear </w:t>
      </w:r>
      <w:r w:rsidR="00F12F17">
        <w:rPr>
          <w:rFonts w:ascii="Arial" w:eastAsia="Times New Roman" w:hAnsi="Arial" w:cs="Arial"/>
          <w:sz w:val="22"/>
          <w:szCs w:val="22"/>
          <w:lang w:val="en-GB"/>
        </w:rPr>
        <w:t xml:space="preserve">to those </w:t>
      </w:r>
      <w:r w:rsidR="00D5702E">
        <w:rPr>
          <w:rFonts w:ascii="Arial" w:eastAsia="Times New Roman" w:hAnsi="Arial" w:cs="Arial"/>
          <w:sz w:val="22"/>
          <w:szCs w:val="22"/>
          <w:lang w:val="en-GB"/>
        </w:rPr>
        <w:t xml:space="preserve">starting from </w:t>
      </w:r>
      <w:r w:rsidR="00F12F17">
        <w:rPr>
          <w:rFonts w:ascii="Arial" w:eastAsia="Times New Roman" w:hAnsi="Arial" w:cs="Arial"/>
          <w:sz w:val="22"/>
          <w:szCs w:val="22"/>
          <w:lang w:val="en-GB"/>
        </w:rPr>
        <w:t>the outside</w:t>
      </w:r>
      <w:r w:rsidR="00FB4E48">
        <w:rPr>
          <w:rFonts w:ascii="Arial" w:eastAsia="Times New Roman" w:hAnsi="Arial" w:cs="Arial"/>
          <w:sz w:val="22"/>
          <w:szCs w:val="22"/>
          <w:lang w:val="en-GB"/>
        </w:rPr>
        <w:t xml:space="preserve">. </w:t>
      </w:r>
    </w:p>
    <w:p w14:paraId="7DF171FB" w14:textId="77777777" w:rsidR="00DD038C" w:rsidRDefault="00DD038C" w:rsidP="005841FD">
      <w:pPr>
        <w:widowControl w:val="0"/>
        <w:autoSpaceDE w:val="0"/>
        <w:autoSpaceDN w:val="0"/>
        <w:adjustRightInd w:val="0"/>
        <w:rPr>
          <w:rFonts w:ascii="Arial" w:hAnsi="Arial" w:cs="Arial"/>
          <w:sz w:val="22"/>
          <w:szCs w:val="22"/>
        </w:rPr>
      </w:pPr>
    </w:p>
    <w:p w14:paraId="32AEAA16" w14:textId="20F1E83C" w:rsidR="00DD038C" w:rsidRDefault="00DD038C" w:rsidP="00DD038C">
      <w:pPr>
        <w:rPr>
          <w:rFonts w:ascii="Arial" w:hAnsi="Arial" w:cs="Arial"/>
          <w:sz w:val="22"/>
          <w:szCs w:val="22"/>
        </w:rPr>
      </w:pPr>
      <w:r w:rsidRPr="00FF2C4A">
        <w:rPr>
          <w:rFonts w:ascii="Arial" w:hAnsi="Arial" w:cs="Arial"/>
          <w:sz w:val="22"/>
          <w:szCs w:val="22"/>
        </w:rPr>
        <w:t xml:space="preserve">The SRA has been at pains to emphasise, </w:t>
      </w:r>
      <w:r w:rsidR="000C41F4">
        <w:rPr>
          <w:rFonts w:ascii="Arial" w:hAnsi="Arial" w:cs="Arial"/>
          <w:sz w:val="22"/>
          <w:szCs w:val="22"/>
        </w:rPr>
        <w:t xml:space="preserve">perhaps </w:t>
      </w:r>
      <w:r w:rsidRPr="00FF2C4A">
        <w:rPr>
          <w:rFonts w:ascii="Arial" w:hAnsi="Arial" w:cs="Arial"/>
          <w:sz w:val="22"/>
          <w:szCs w:val="22"/>
        </w:rPr>
        <w:t>with some</w:t>
      </w:r>
      <w:r w:rsidR="00990E0E">
        <w:rPr>
          <w:rFonts w:ascii="Arial" w:hAnsi="Arial" w:cs="Arial"/>
          <w:sz w:val="22"/>
          <w:szCs w:val="22"/>
        </w:rPr>
        <w:t xml:space="preserve"> </w:t>
      </w:r>
      <w:r w:rsidRPr="00FF2C4A">
        <w:rPr>
          <w:rFonts w:ascii="Arial" w:hAnsi="Arial" w:cs="Arial"/>
          <w:sz w:val="22"/>
          <w:szCs w:val="22"/>
        </w:rPr>
        <w:t xml:space="preserve">justification, the validity of the SQE as </w:t>
      </w:r>
      <w:r w:rsidR="00965BCE">
        <w:rPr>
          <w:rFonts w:ascii="Arial" w:hAnsi="Arial" w:cs="Arial"/>
          <w:sz w:val="22"/>
          <w:szCs w:val="22"/>
        </w:rPr>
        <w:t xml:space="preserve">the solution to </w:t>
      </w:r>
      <w:r w:rsidRPr="00FF2C4A">
        <w:rPr>
          <w:rFonts w:ascii="Arial" w:hAnsi="Arial" w:cs="Arial"/>
          <w:sz w:val="22"/>
          <w:szCs w:val="22"/>
        </w:rPr>
        <w:t xml:space="preserve">inconsistent </w:t>
      </w:r>
      <w:r w:rsidR="006874F0">
        <w:rPr>
          <w:rFonts w:ascii="Arial" w:hAnsi="Arial" w:cs="Arial"/>
          <w:sz w:val="22"/>
          <w:szCs w:val="22"/>
        </w:rPr>
        <w:t>pass rates</w:t>
      </w:r>
      <w:r w:rsidR="006874F0" w:rsidRPr="00FF2C4A">
        <w:rPr>
          <w:rFonts w:ascii="Arial" w:hAnsi="Arial" w:cs="Arial"/>
          <w:sz w:val="22"/>
          <w:szCs w:val="22"/>
        </w:rPr>
        <w:t xml:space="preserve"> </w:t>
      </w:r>
      <w:r w:rsidRPr="00FF2C4A">
        <w:rPr>
          <w:rFonts w:ascii="Arial" w:hAnsi="Arial" w:cs="Arial"/>
          <w:sz w:val="22"/>
          <w:szCs w:val="22"/>
        </w:rPr>
        <w:t>between institutions</w:t>
      </w:r>
      <w:r w:rsidR="000C41F4">
        <w:rPr>
          <w:rFonts w:ascii="Arial" w:hAnsi="Arial" w:cs="Arial"/>
          <w:sz w:val="22"/>
          <w:szCs w:val="22"/>
        </w:rPr>
        <w:t>,</w:t>
      </w:r>
      <w:r w:rsidRPr="00FF2C4A">
        <w:rPr>
          <w:rFonts w:ascii="Arial" w:hAnsi="Arial" w:cs="Arial"/>
          <w:sz w:val="22"/>
          <w:szCs w:val="22"/>
        </w:rPr>
        <w:t xml:space="preserve"> as well as</w:t>
      </w:r>
      <w:r w:rsidR="007D387D">
        <w:rPr>
          <w:rFonts w:ascii="Arial" w:hAnsi="Arial" w:cs="Arial"/>
          <w:sz w:val="22"/>
          <w:szCs w:val="22"/>
        </w:rPr>
        <w:t xml:space="preserve"> seeking to</w:t>
      </w:r>
      <w:r w:rsidRPr="00FF2C4A">
        <w:rPr>
          <w:rFonts w:ascii="Arial" w:hAnsi="Arial" w:cs="Arial"/>
          <w:sz w:val="22"/>
          <w:szCs w:val="22"/>
        </w:rPr>
        <w:t xml:space="preserve"> </w:t>
      </w:r>
      <w:r w:rsidR="00A15E1B">
        <w:rPr>
          <w:rFonts w:ascii="Arial" w:hAnsi="Arial" w:cs="Arial"/>
          <w:sz w:val="22"/>
          <w:szCs w:val="22"/>
        </w:rPr>
        <w:t xml:space="preserve">justify </w:t>
      </w:r>
      <w:r w:rsidR="00965BCE">
        <w:rPr>
          <w:rFonts w:ascii="Arial" w:hAnsi="Arial" w:cs="Arial"/>
          <w:sz w:val="22"/>
          <w:szCs w:val="22"/>
        </w:rPr>
        <w:t xml:space="preserve">the validity of </w:t>
      </w:r>
      <w:r w:rsidRPr="00FF2C4A">
        <w:rPr>
          <w:rFonts w:ascii="Arial" w:hAnsi="Arial" w:cs="Arial"/>
          <w:sz w:val="22"/>
          <w:szCs w:val="22"/>
        </w:rPr>
        <w:t xml:space="preserve">its format - multiple-choice </w:t>
      </w:r>
      <w:r w:rsidR="00965BCE">
        <w:rPr>
          <w:rFonts w:ascii="Arial" w:hAnsi="Arial" w:cs="Arial"/>
          <w:sz w:val="22"/>
          <w:szCs w:val="22"/>
        </w:rPr>
        <w:t xml:space="preserve"> - </w:t>
      </w:r>
      <w:r w:rsidR="000C41F4">
        <w:rPr>
          <w:rFonts w:ascii="Arial" w:hAnsi="Arial" w:cs="Arial"/>
          <w:sz w:val="22"/>
          <w:szCs w:val="22"/>
        </w:rPr>
        <w:t>as</w:t>
      </w:r>
      <w:r w:rsidR="003E7A43">
        <w:rPr>
          <w:rFonts w:ascii="Arial" w:hAnsi="Arial" w:cs="Arial"/>
          <w:sz w:val="22"/>
          <w:szCs w:val="22"/>
        </w:rPr>
        <w:t xml:space="preserve"> </w:t>
      </w:r>
      <w:r w:rsidR="00D5702E">
        <w:rPr>
          <w:rFonts w:ascii="Arial" w:hAnsi="Arial" w:cs="Arial"/>
          <w:sz w:val="22"/>
          <w:szCs w:val="22"/>
        </w:rPr>
        <w:t xml:space="preserve">an </w:t>
      </w:r>
      <w:r w:rsidR="003E7A43">
        <w:rPr>
          <w:rFonts w:ascii="Arial" w:hAnsi="Arial" w:cs="Arial"/>
          <w:sz w:val="22"/>
          <w:szCs w:val="22"/>
        </w:rPr>
        <w:t>appropriate</w:t>
      </w:r>
      <w:r w:rsidRPr="00FF2C4A">
        <w:rPr>
          <w:rFonts w:ascii="Arial" w:hAnsi="Arial" w:cs="Arial"/>
          <w:sz w:val="22"/>
          <w:szCs w:val="22"/>
        </w:rPr>
        <w:t xml:space="preserve"> test </w:t>
      </w:r>
      <w:r w:rsidR="00CA43FC">
        <w:rPr>
          <w:rFonts w:ascii="Arial" w:hAnsi="Arial" w:cs="Arial"/>
          <w:sz w:val="22"/>
          <w:szCs w:val="22"/>
        </w:rPr>
        <w:t>format</w:t>
      </w:r>
      <w:r w:rsidRPr="00FF2C4A">
        <w:rPr>
          <w:rFonts w:ascii="Arial" w:hAnsi="Arial" w:cs="Arial"/>
          <w:sz w:val="22"/>
          <w:szCs w:val="22"/>
        </w:rPr>
        <w:t>.</w:t>
      </w:r>
      <w:r w:rsidR="001121F3">
        <w:rPr>
          <w:rStyle w:val="FootnoteReference"/>
          <w:sz w:val="22"/>
          <w:szCs w:val="22"/>
        </w:rPr>
        <w:footnoteReference w:id="84"/>
      </w:r>
      <w:r w:rsidR="001121F3">
        <w:rPr>
          <w:sz w:val="22"/>
          <w:szCs w:val="22"/>
        </w:rPr>
        <w:t xml:space="preserve"> </w:t>
      </w:r>
      <w:r w:rsidRPr="00FF2C4A">
        <w:rPr>
          <w:rFonts w:ascii="Arial" w:hAnsi="Arial" w:cs="Arial"/>
          <w:sz w:val="22"/>
          <w:szCs w:val="22"/>
        </w:rPr>
        <w:t xml:space="preserve"> </w:t>
      </w:r>
      <w:r w:rsidR="004C14DC">
        <w:rPr>
          <w:rFonts w:ascii="Arial" w:hAnsi="Arial" w:cs="Arial"/>
          <w:sz w:val="22"/>
          <w:szCs w:val="22"/>
        </w:rPr>
        <w:t xml:space="preserve">The SRA </w:t>
      </w:r>
      <w:r w:rsidR="007D387D">
        <w:rPr>
          <w:rFonts w:ascii="Arial" w:hAnsi="Arial" w:cs="Arial"/>
          <w:sz w:val="22"/>
          <w:szCs w:val="22"/>
        </w:rPr>
        <w:t xml:space="preserve">also </w:t>
      </w:r>
      <w:r w:rsidR="00CA43FC">
        <w:rPr>
          <w:rFonts w:ascii="Arial" w:hAnsi="Arial" w:cs="Arial"/>
          <w:sz w:val="22"/>
          <w:szCs w:val="22"/>
        </w:rPr>
        <w:t xml:space="preserve">appears </w:t>
      </w:r>
      <w:r w:rsidR="007D387D">
        <w:rPr>
          <w:rFonts w:ascii="Arial" w:hAnsi="Arial" w:cs="Arial"/>
          <w:sz w:val="22"/>
          <w:szCs w:val="22"/>
        </w:rPr>
        <w:t xml:space="preserve">confident </w:t>
      </w:r>
      <w:r w:rsidR="004C14DC">
        <w:rPr>
          <w:rFonts w:ascii="Arial" w:hAnsi="Arial" w:cs="Arial"/>
          <w:sz w:val="22"/>
          <w:szCs w:val="22"/>
        </w:rPr>
        <w:t xml:space="preserve">that increased choice of prep courses will increase </w:t>
      </w:r>
      <w:r w:rsidR="001121F3">
        <w:rPr>
          <w:rFonts w:ascii="Arial" w:hAnsi="Arial" w:cs="Arial"/>
          <w:sz w:val="22"/>
          <w:szCs w:val="22"/>
        </w:rPr>
        <w:t xml:space="preserve">the </w:t>
      </w:r>
      <w:r w:rsidR="004C14DC">
        <w:rPr>
          <w:rFonts w:ascii="Arial" w:hAnsi="Arial" w:cs="Arial"/>
          <w:sz w:val="22"/>
          <w:szCs w:val="22"/>
        </w:rPr>
        <w:t>numbers able to afford to take the exam</w:t>
      </w:r>
      <w:r w:rsidR="001121F3">
        <w:rPr>
          <w:rFonts w:ascii="Arial" w:hAnsi="Arial" w:cs="Arial"/>
          <w:sz w:val="22"/>
          <w:szCs w:val="22"/>
        </w:rPr>
        <w:t>ination</w:t>
      </w:r>
      <w:r w:rsidR="007D387D">
        <w:rPr>
          <w:rFonts w:ascii="Arial" w:hAnsi="Arial" w:cs="Arial"/>
          <w:sz w:val="22"/>
          <w:szCs w:val="22"/>
        </w:rPr>
        <w:t xml:space="preserve">. But it has been conspicuously unassertive that the SQE will </w:t>
      </w:r>
      <w:r w:rsidR="001121F3">
        <w:rPr>
          <w:rFonts w:ascii="Arial" w:hAnsi="Arial" w:cs="Arial"/>
          <w:sz w:val="22"/>
          <w:szCs w:val="22"/>
        </w:rPr>
        <w:t xml:space="preserve">help </w:t>
      </w:r>
      <w:r w:rsidR="007D387D">
        <w:rPr>
          <w:rFonts w:ascii="Arial" w:hAnsi="Arial" w:cs="Arial"/>
          <w:sz w:val="22"/>
          <w:szCs w:val="22"/>
        </w:rPr>
        <w:t>address BME under-achievement</w:t>
      </w:r>
      <w:r w:rsidR="00965BCE">
        <w:rPr>
          <w:rFonts w:ascii="Arial" w:hAnsi="Arial" w:cs="Arial"/>
          <w:sz w:val="22"/>
          <w:szCs w:val="22"/>
        </w:rPr>
        <w:t>.</w:t>
      </w:r>
      <w:r w:rsidR="003933E7">
        <w:rPr>
          <w:rStyle w:val="FootnoteReference"/>
          <w:rFonts w:ascii="Arial" w:hAnsi="Arial" w:cs="Arial"/>
          <w:sz w:val="22"/>
          <w:szCs w:val="22"/>
        </w:rPr>
        <w:footnoteReference w:id="85"/>
      </w:r>
    </w:p>
    <w:p w14:paraId="71BFEA3A" w14:textId="77777777" w:rsidR="003E7A43" w:rsidRPr="000C41F4" w:rsidRDefault="003E7A43" w:rsidP="00DD038C">
      <w:pPr>
        <w:rPr>
          <w:rFonts w:ascii="Arial" w:hAnsi="Arial" w:cs="Arial"/>
          <w:strike/>
          <w:sz w:val="22"/>
          <w:szCs w:val="22"/>
        </w:rPr>
      </w:pPr>
    </w:p>
    <w:p w14:paraId="258B71FD" w14:textId="7E4CEFF3" w:rsidR="001A669F" w:rsidRDefault="001A669F" w:rsidP="00DD038C">
      <w:pPr>
        <w:widowControl w:val="0"/>
        <w:autoSpaceDE w:val="0"/>
        <w:autoSpaceDN w:val="0"/>
        <w:adjustRightInd w:val="0"/>
        <w:rPr>
          <w:rFonts w:ascii="Arial" w:hAnsi="Arial" w:cs="Arial"/>
          <w:sz w:val="22"/>
          <w:szCs w:val="22"/>
        </w:rPr>
      </w:pPr>
      <w:r>
        <w:rPr>
          <w:rFonts w:ascii="Arial" w:hAnsi="Arial" w:cs="Arial"/>
          <w:sz w:val="22"/>
          <w:szCs w:val="22"/>
        </w:rPr>
        <w:t>If the SRA’s qualified lawyer transfer</w:t>
      </w:r>
      <w:r w:rsidR="0092435D">
        <w:rPr>
          <w:rFonts w:ascii="Arial" w:hAnsi="Arial" w:cs="Arial"/>
          <w:sz w:val="22"/>
          <w:szCs w:val="22"/>
        </w:rPr>
        <w:t xml:space="preserve"> assessment</w:t>
      </w:r>
      <w:r w:rsidRPr="002363EB">
        <w:rPr>
          <w:rFonts w:ascii="Arial" w:hAnsi="Arial" w:cs="Arial"/>
          <w:sz w:val="22"/>
          <w:szCs w:val="22"/>
        </w:rPr>
        <w:t xml:space="preserve"> </w:t>
      </w:r>
      <w:r>
        <w:rPr>
          <w:rFonts w:ascii="Arial" w:hAnsi="Arial" w:cs="Arial"/>
          <w:sz w:val="22"/>
          <w:szCs w:val="22"/>
        </w:rPr>
        <w:t xml:space="preserve">is </w:t>
      </w:r>
      <w:r w:rsidR="00670809">
        <w:rPr>
          <w:rFonts w:ascii="Arial" w:hAnsi="Arial" w:cs="Arial"/>
          <w:sz w:val="22"/>
          <w:szCs w:val="22"/>
        </w:rPr>
        <w:t xml:space="preserve">a valid comparator – it </w:t>
      </w:r>
      <w:r>
        <w:rPr>
          <w:rFonts w:ascii="Arial" w:hAnsi="Arial" w:cs="Arial"/>
          <w:sz w:val="22"/>
          <w:szCs w:val="22"/>
        </w:rPr>
        <w:t xml:space="preserve">is very </w:t>
      </w:r>
      <w:r w:rsidRPr="002363EB">
        <w:rPr>
          <w:rFonts w:ascii="Arial" w:hAnsi="Arial" w:cs="Arial"/>
          <w:sz w:val="22"/>
          <w:szCs w:val="22"/>
        </w:rPr>
        <w:t>similar to SQE</w:t>
      </w:r>
      <w:r>
        <w:rPr>
          <w:rFonts w:ascii="Arial" w:hAnsi="Arial" w:cs="Arial"/>
          <w:sz w:val="22"/>
          <w:szCs w:val="22"/>
        </w:rPr>
        <w:t xml:space="preserve"> both in terms of</w:t>
      </w:r>
      <w:r w:rsidR="00D5702E">
        <w:rPr>
          <w:rFonts w:ascii="Arial" w:hAnsi="Arial" w:cs="Arial"/>
          <w:sz w:val="22"/>
          <w:szCs w:val="22"/>
        </w:rPr>
        <w:t xml:space="preserve"> proposing</w:t>
      </w:r>
      <w:r>
        <w:rPr>
          <w:rFonts w:ascii="Arial" w:hAnsi="Arial" w:cs="Arial"/>
          <w:sz w:val="22"/>
          <w:szCs w:val="22"/>
        </w:rPr>
        <w:t xml:space="preserve"> prep</w:t>
      </w:r>
      <w:r w:rsidR="0092435D">
        <w:rPr>
          <w:rFonts w:ascii="Arial" w:hAnsi="Arial" w:cs="Arial"/>
          <w:sz w:val="22"/>
          <w:szCs w:val="22"/>
        </w:rPr>
        <w:t>aration</w:t>
      </w:r>
      <w:r>
        <w:rPr>
          <w:rFonts w:ascii="Arial" w:hAnsi="Arial" w:cs="Arial"/>
          <w:sz w:val="22"/>
          <w:szCs w:val="22"/>
        </w:rPr>
        <w:t xml:space="preserve"> through non-accredited courses and its assessment format</w:t>
      </w:r>
      <w:r>
        <w:rPr>
          <w:rStyle w:val="FootnoteReference"/>
          <w:rFonts w:ascii="Arial" w:hAnsi="Arial" w:cs="Arial"/>
          <w:sz w:val="22"/>
          <w:szCs w:val="22"/>
        </w:rPr>
        <w:footnoteReference w:id="86"/>
      </w:r>
      <w:r w:rsidRPr="002363EB">
        <w:rPr>
          <w:rFonts w:ascii="Arial" w:hAnsi="Arial" w:cs="Arial"/>
          <w:sz w:val="22"/>
          <w:szCs w:val="22"/>
        </w:rPr>
        <w:t xml:space="preserve"> </w:t>
      </w:r>
      <w:r w:rsidR="00670809">
        <w:rPr>
          <w:rFonts w:ascii="Arial" w:hAnsi="Arial" w:cs="Arial"/>
          <w:sz w:val="22"/>
          <w:szCs w:val="22"/>
        </w:rPr>
        <w:t xml:space="preserve">- </w:t>
      </w:r>
      <w:r>
        <w:rPr>
          <w:rFonts w:ascii="Arial" w:hAnsi="Arial" w:cs="Arial"/>
          <w:sz w:val="22"/>
          <w:szCs w:val="22"/>
        </w:rPr>
        <w:t xml:space="preserve">SQE Part 1 </w:t>
      </w:r>
      <w:r w:rsidRPr="002363EB">
        <w:rPr>
          <w:rFonts w:ascii="Arial" w:hAnsi="Arial" w:cs="Arial"/>
          <w:sz w:val="22"/>
          <w:szCs w:val="22"/>
        </w:rPr>
        <w:t>will be tough to pass.</w:t>
      </w:r>
      <w:r>
        <w:rPr>
          <w:rStyle w:val="FootnoteReference"/>
          <w:rFonts w:ascii="Arial" w:hAnsi="Arial" w:cs="Arial"/>
          <w:sz w:val="22"/>
          <w:szCs w:val="22"/>
        </w:rPr>
        <w:footnoteReference w:id="87"/>
      </w:r>
      <w:r>
        <w:rPr>
          <w:rFonts w:ascii="Arial" w:hAnsi="Arial" w:cs="Arial"/>
          <w:sz w:val="22"/>
          <w:szCs w:val="22"/>
        </w:rPr>
        <w:t xml:space="preserve">  </w:t>
      </w:r>
    </w:p>
    <w:p w14:paraId="41278AEA" w14:textId="77777777" w:rsidR="001A669F" w:rsidRDefault="001A669F" w:rsidP="00DD038C">
      <w:pPr>
        <w:widowControl w:val="0"/>
        <w:autoSpaceDE w:val="0"/>
        <w:autoSpaceDN w:val="0"/>
        <w:adjustRightInd w:val="0"/>
        <w:rPr>
          <w:rFonts w:ascii="Arial" w:hAnsi="Arial" w:cs="Arial"/>
          <w:sz w:val="22"/>
          <w:szCs w:val="22"/>
        </w:rPr>
      </w:pPr>
    </w:p>
    <w:p w14:paraId="250908A7" w14:textId="7F80EC46" w:rsidR="001A669F" w:rsidRDefault="001D6B16" w:rsidP="00DD038C">
      <w:pPr>
        <w:widowControl w:val="0"/>
        <w:autoSpaceDE w:val="0"/>
        <w:autoSpaceDN w:val="0"/>
        <w:adjustRightInd w:val="0"/>
        <w:rPr>
          <w:rFonts w:ascii="Arial" w:hAnsi="Arial" w:cs="Arial"/>
          <w:sz w:val="22"/>
          <w:szCs w:val="22"/>
        </w:rPr>
      </w:pPr>
      <w:r>
        <w:rPr>
          <w:rFonts w:ascii="Arial" w:hAnsi="Arial" w:cs="Arial"/>
          <w:sz w:val="22"/>
          <w:szCs w:val="22"/>
        </w:rPr>
        <w:t>The unseen closed book</w:t>
      </w:r>
      <w:r w:rsidR="005901A2">
        <w:rPr>
          <w:rFonts w:ascii="Arial" w:hAnsi="Arial" w:cs="Arial"/>
          <w:sz w:val="22"/>
          <w:szCs w:val="22"/>
        </w:rPr>
        <w:t xml:space="preserve"> </w:t>
      </w:r>
      <w:r w:rsidR="00DD038C" w:rsidRPr="00FF2C4A">
        <w:rPr>
          <w:rFonts w:ascii="Arial" w:hAnsi="Arial" w:cs="Arial"/>
          <w:sz w:val="22"/>
          <w:szCs w:val="22"/>
        </w:rPr>
        <w:t xml:space="preserve">law examination </w:t>
      </w:r>
      <w:r w:rsidR="007D387D">
        <w:rPr>
          <w:rFonts w:ascii="Arial" w:hAnsi="Arial" w:cs="Arial"/>
          <w:sz w:val="22"/>
          <w:szCs w:val="22"/>
        </w:rPr>
        <w:t>is suspect</w:t>
      </w:r>
      <w:r w:rsidR="005901A2">
        <w:rPr>
          <w:rFonts w:ascii="Arial" w:hAnsi="Arial" w:cs="Arial"/>
          <w:sz w:val="22"/>
          <w:szCs w:val="22"/>
        </w:rPr>
        <w:t xml:space="preserve"> as </w:t>
      </w:r>
      <w:r w:rsidR="007D387D">
        <w:rPr>
          <w:rFonts w:ascii="Arial" w:hAnsi="Arial" w:cs="Arial"/>
          <w:sz w:val="22"/>
          <w:szCs w:val="22"/>
        </w:rPr>
        <w:t xml:space="preserve">an </w:t>
      </w:r>
      <w:r w:rsidR="00DD038C" w:rsidRPr="00FF2C4A">
        <w:rPr>
          <w:rFonts w:ascii="Arial" w:hAnsi="Arial" w:cs="Arial"/>
          <w:sz w:val="22"/>
          <w:szCs w:val="22"/>
        </w:rPr>
        <w:t>old</w:t>
      </w:r>
      <w:r w:rsidR="00D5702E">
        <w:rPr>
          <w:rFonts w:ascii="Arial" w:hAnsi="Arial" w:cs="Arial"/>
          <w:sz w:val="22"/>
          <w:szCs w:val="22"/>
        </w:rPr>
        <w:t>-</w:t>
      </w:r>
      <w:r w:rsidR="00DD038C" w:rsidRPr="00FF2C4A">
        <w:rPr>
          <w:rFonts w:ascii="Arial" w:hAnsi="Arial" w:cs="Arial"/>
          <w:sz w:val="22"/>
          <w:szCs w:val="22"/>
        </w:rPr>
        <w:t xml:space="preserve">fashioned and dated form of assessment </w:t>
      </w:r>
      <w:r w:rsidR="007D387D">
        <w:rPr>
          <w:rFonts w:ascii="Arial" w:hAnsi="Arial" w:cs="Arial"/>
          <w:sz w:val="22"/>
          <w:szCs w:val="22"/>
        </w:rPr>
        <w:t>which is over-</w:t>
      </w:r>
      <w:r w:rsidR="00A01258">
        <w:rPr>
          <w:rFonts w:ascii="Arial" w:hAnsi="Arial" w:cs="Arial"/>
          <w:sz w:val="22"/>
          <w:szCs w:val="22"/>
        </w:rPr>
        <w:t xml:space="preserve">reliant on the </w:t>
      </w:r>
      <w:r w:rsidR="00DD038C" w:rsidRPr="00FF2C4A">
        <w:rPr>
          <w:rFonts w:ascii="Arial" w:hAnsi="Arial" w:cs="Arial"/>
          <w:sz w:val="22"/>
          <w:szCs w:val="22"/>
        </w:rPr>
        <w:t>power of memory. Ormrod criticised it</w:t>
      </w:r>
      <w:r w:rsidR="003E7A43">
        <w:rPr>
          <w:rFonts w:ascii="Arial" w:hAnsi="Arial" w:cs="Arial"/>
          <w:sz w:val="22"/>
          <w:szCs w:val="22"/>
        </w:rPr>
        <w:t xml:space="preserve"> on this basis</w:t>
      </w:r>
      <w:r w:rsidR="00A15E1B">
        <w:rPr>
          <w:rFonts w:ascii="Arial" w:hAnsi="Arial" w:cs="Arial"/>
          <w:sz w:val="22"/>
          <w:szCs w:val="22"/>
        </w:rPr>
        <w:t>,</w:t>
      </w:r>
      <w:r w:rsidR="00771682">
        <w:rPr>
          <w:rFonts w:ascii="Arial" w:hAnsi="Arial" w:cs="Arial"/>
          <w:sz w:val="22"/>
          <w:szCs w:val="22"/>
        </w:rPr>
        <w:t xml:space="preserve"> as have</w:t>
      </w:r>
      <w:r w:rsidR="003E7A43">
        <w:rPr>
          <w:rFonts w:ascii="Arial" w:hAnsi="Arial" w:cs="Arial"/>
          <w:sz w:val="22"/>
          <w:szCs w:val="22"/>
        </w:rPr>
        <w:t xml:space="preserve"> others.</w:t>
      </w:r>
      <w:r w:rsidR="00DD038C" w:rsidRPr="00FF2C4A">
        <w:rPr>
          <w:rStyle w:val="FootnoteReference"/>
          <w:rFonts w:ascii="Arial" w:hAnsi="Arial" w:cs="Arial"/>
          <w:sz w:val="22"/>
          <w:szCs w:val="22"/>
        </w:rPr>
        <w:footnoteReference w:id="88"/>
      </w:r>
      <w:r w:rsidR="00A01258">
        <w:rPr>
          <w:rFonts w:ascii="Arial" w:hAnsi="Arial" w:cs="Arial"/>
          <w:sz w:val="22"/>
          <w:szCs w:val="22"/>
        </w:rPr>
        <w:t xml:space="preserve"> T</w:t>
      </w:r>
      <w:r w:rsidR="00DD038C" w:rsidRPr="00FF2C4A">
        <w:rPr>
          <w:rFonts w:ascii="Arial" w:hAnsi="Arial" w:cs="Arial"/>
          <w:sz w:val="22"/>
          <w:szCs w:val="22"/>
        </w:rPr>
        <w:t xml:space="preserve">he weakness of </w:t>
      </w:r>
      <w:r w:rsidR="00FD0EBC">
        <w:rPr>
          <w:rFonts w:ascii="Arial" w:hAnsi="Arial" w:cs="Arial"/>
          <w:sz w:val="22"/>
          <w:szCs w:val="22"/>
        </w:rPr>
        <w:t>an</w:t>
      </w:r>
      <w:r w:rsidR="004C14DC">
        <w:rPr>
          <w:rFonts w:ascii="Arial" w:hAnsi="Arial" w:cs="Arial"/>
          <w:sz w:val="22"/>
          <w:szCs w:val="22"/>
        </w:rPr>
        <w:t xml:space="preserve">y </w:t>
      </w:r>
      <w:r w:rsidR="00DD038C" w:rsidRPr="00FF2C4A">
        <w:rPr>
          <w:rFonts w:ascii="Arial" w:hAnsi="Arial" w:cs="Arial"/>
          <w:sz w:val="22"/>
          <w:szCs w:val="22"/>
        </w:rPr>
        <w:t>examination extend</w:t>
      </w:r>
      <w:r w:rsidR="004A5057">
        <w:rPr>
          <w:rFonts w:ascii="Arial" w:hAnsi="Arial" w:cs="Arial"/>
          <w:sz w:val="22"/>
          <w:szCs w:val="22"/>
        </w:rPr>
        <w:t>s</w:t>
      </w:r>
      <w:r w:rsidR="00DD038C" w:rsidRPr="00FF2C4A">
        <w:rPr>
          <w:rFonts w:ascii="Arial" w:hAnsi="Arial" w:cs="Arial"/>
          <w:sz w:val="22"/>
          <w:szCs w:val="22"/>
        </w:rPr>
        <w:t xml:space="preserve"> </w:t>
      </w:r>
      <w:r w:rsidR="00CA43FC">
        <w:rPr>
          <w:rFonts w:ascii="Arial" w:hAnsi="Arial" w:cs="Arial"/>
          <w:sz w:val="22"/>
          <w:szCs w:val="22"/>
        </w:rPr>
        <w:t xml:space="preserve">further </w:t>
      </w:r>
      <w:r w:rsidR="00DD038C" w:rsidRPr="00FF2C4A">
        <w:rPr>
          <w:rFonts w:ascii="Arial" w:hAnsi="Arial" w:cs="Arial"/>
          <w:sz w:val="22"/>
          <w:szCs w:val="22"/>
        </w:rPr>
        <w:t xml:space="preserve">to its methodical value </w:t>
      </w:r>
      <w:r w:rsidR="00FD0EBC">
        <w:rPr>
          <w:rFonts w:ascii="Arial" w:hAnsi="Arial" w:cs="Arial"/>
          <w:sz w:val="22"/>
          <w:szCs w:val="22"/>
        </w:rPr>
        <w:t xml:space="preserve">where </w:t>
      </w:r>
      <w:r w:rsidR="00F34A53">
        <w:rPr>
          <w:rFonts w:ascii="Arial" w:hAnsi="Arial" w:cs="Arial"/>
          <w:sz w:val="22"/>
          <w:szCs w:val="22"/>
        </w:rPr>
        <w:t>it fails to enable</w:t>
      </w:r>
      <w:r w:rsidR="00DD038C" w:rsidRPr="00FF2C4A">
        <w:rPr>
          <w:rFonts w:ascii="Arial" w:hAnsi="Arial" w:cs="Arial"/>
          <w:sz w:val="22"/>
          <w:szCs w:val="22"/>
        </w:rPr>
        <w:t xml:space="preserve"> learning and achievement.</w:t>
      </w:r>
      <w:r w:rsidR="00DD038C" w:rsidRPr="00FF2C4A">
        <w:rPr>
          <w:rStyle w:val="FootnoteReference"/>
          <w:rFonts w:ascii="Arial" w:hAnsi="Arial" w:cs="Arial"/>
          <w:sz w:val="22"/>
          <w:szCs w:val="22"/>
        </w:rPr>
        <w:footnoteReference w:id="89"/>
      </w:r>
      <w:r w:rsidR="00DD038C" w:rsidRPr="00FF2C4A">
        <w:rPr>
          <w:rFonts w:ascii="Arial" w:hAnsi="Arial" w:cs="Arial"/>
          <w:sz w:val="22"/>
          <w:szCs w:val="22"/>
        </w:rPr>
        <w:t xml:space="preserve"> </w:t>
      </w:r>
      <w:r w:rsidR="001121F3">
        <w:rPr>
          <w:rFonts w:ascii="Arial" w:hAnsi="Arial" w:cs="Arial"/>
          <w:sz w:val="22"/>
          <w:szCs w:val="22"/>
        </w:rPr>
        <w:t>A</w:t>
      </w:r>
      <w:r w:rsidR="007D387D">
        <w:rPr>
          <w:rFonts w:ascii="Arial" w:hAnsi="Arial" w:cs="Arial"/>
          <w:sz w:val="22"/>
          <w:szCs w:val="22"/>
        </w:rPr>
        <w:t xml:space="preserve"> centralised examination</w:t>
      </w:r>
      <w:r w:rsidR="00CA43FC">
        <w:rPr>
          <w:rFonts w:ascii="Arial" w:hAnsi="Arial" w:cs="Arial"/>
          <w:sz w:val="22"/>
          <w:szCs w:val="22"/>
        </w:rPr>
        <w:t>,</w:t>
      </w:r>
      <w:r w:rsidR="007D387D">
        <w:rPr>
          <w:rFonts w:ascii="Arial" w:hAnsi="Arial" w:cs="Arial"/>
          <w:sz w:val="22"/>
          <w:szCs w:val="22"/>
        </w:rPr>
        <w:t xml:space="preserve"> even a modernised one</w:t>
      </w:r>
      <w:r w:rsidR="00CA43FC">
        <w:rPr>
          <w:rFonts w:ascii="Arial" w:hAnsi="Arial" w:cs="Arial"/>
          <w:sz w:val="22"/>
          <w:szCs w:val="22"/>
        </w:rPr>
        <w:t>,</w:t>
      </w:r>
      <w:r w:rsidR="007D387D">
        <w:rPr>
          <w:rFonts w:ascii="Arial" w:hAnsi="Arial" w:cs="Arial"/>
          <w:sz w:val="22"/>
          <w:szCs w:val="22"/>
        </w:rPr>
        <w:t xml:space="preserve"> does not address the</w:t>
      </w:r>
      <w:r w:rsidR="001121F3">
        <w:rPr>
          <w:rFonts w:ascii="Arial" w:hAnsi="Arial" w:cs="Arial"/>
          <w:sz w:val="22"/>
          <w:szCs w:val="22"/>
        </w:rPr>
        <w:t>se</w:t>
      </w:r>
      <w:r w:rsidR="007D387D">
        <w:rPr>
          <w:rFonts w:ascii="Arial" w:hAnsi="Arial" w:cs="Arial"/>
          <w:sz w:val="22"/>
          <w:szCs w:val="22"/>
        </w:rPr>
        <w:t xml:space="preserve"> problem</w:t>
      </w:r>
      <w:r w:rsidR="001121F3">
        <w:rPr>
          <w:rFonts w:ascii="Arial" w:hAnsi="Arial" w:cs="Arial"/>
          <w:sz w:val="22"/>
          <w:szCs w:val="22"/>
        </w:rPr>
        <w:t>s</w:t>
      </w:r>
      <w:r w:rsidR="007D387D">
        <w:rPr>
          <w:rFonts w:ascii="Arial" w:hAnsi="Arial" w:cs="Arial"/>
          <w:sz w:val="22"/>
          <w:szCs w:val="22"/>
        </w:rPr>
        <w:t xml:space="preserve">. </w:t>
      </w:r>
      <w:r w:rsidR="00670809">
        <w:rPr>
          <w:rFonts w:ascii="Arial" w:hAnsi="Arial" w:cs="Arial"/>
          <w:sz w:val="22"/>
          <w:szCs w:val="22"/>
        </w:rPr>
        <w:t>Data on US Bar examinat</w:t>
      </w:r>
      <w:r w:rsidR="00CA43FC">
        <w:rPr>
          <w:rFonts w:ascii="Arial" w:hAnsi="Arial" w:cs="Arial"/>
          <w:sz w:val="22"/>
          <w:szCs w:val="22"/>
        </w:rPr>
        <w:t>ions</w:t>
      </w:r>
      <w:r w:rsidR="00D5702E">
        <w:rPr>
          <w:rFonts w:ascii="Arial" w:hAnsi="Arial" w:cs="Arial"/>
          <w:sz w:val="22"/>
          <w:szCs w:val="22"/>
        </w:rPr>
        <w:t>,</w:t>
      </w:r>
      <w:r w:rsidR="00CA43FC">
        <w:rPr>
          <w:rFonts w:ascii="Arial" w:hAnsi="Arial" w:cs="Arial"/>
          <w:sz w:val="22"/>
          <w:szCs w:val="22"/>
        </w:rPr>
        <w:t xml:space="preserve"> which are</w:t>
      </w:r>
      <w:r w:rsidR="00670809">
        <w:rPr>
          <w:rFonts w:ascii="Arial" w:hAnsi="Arial" w:cs="Arial"/>
          <w:sz w:val="22"/>
          <w:szCs w:val="22"/>
        </w:rPr>
        <w:t xml:space="preserve"> </w:t>
      </w:r>
      <w:r w:rsidR="00D5702E">
        <w:rPr>
          <w:rFonts w:ascii="Arial" w:hAnsi="Arial" w:cs="Arial"/>
          <w:sz w:val="22"/>
          <w:szCs w:val="22"/>
        </w:rPr>
        <w:t xml:space="preserve">freely </w:t>
      </w:r>
      <w:r w:rsidR="00670809">
        <w:rPr>
          <w:rFonts w:ascii="Arial" w:hAnsi="Arial" w:cs="Arial"/>
          <w:sz w:val="22"/>
          <w:szCs w:val="22"/>
        </w:rPr>
        <w:t xml:space="preserve">available on the </w:t>
      </w:r>
      <w:r w:rsidR="00FD0EBC">
        <w:rPr>
          <w:rFonts w:ascii="Arial" w:hAnsi="Arial" w:cs="Arial"/>
          <w:sz w:val="22"/>
          <w:szCs w:val="22"/>
        </w:rPr>
        <w:t>internet</w:t>
      </w:r>
      <w:r w:rsidR="00D5702E">
        <w:rPr>
          <w:rFonts w:ascii="Arial" w:hAnsi="Arial" w:cs="Arial"/>
          <w:sz w:val="22"/>
          <w:szCs w:val="22"/>
        </w:rPr>
        <w:t>,</w:t>
      </w:r>
      <w:r w:rsidR="00FD0EBC">
        <w:rPr>
          <w:rFonts w:ascii="Arial" w:hAnsi="Arial" w:cs="Arial"/>
          <w:sz w:val="22"/>
          <w:szCs w:val="22"/>
        </w:rPr>
        <w:t xml:space="preserve"> </w:t>
      </w:r>
      <w:r w:rsidR="001A669F">
        <w:rPr>
          <w:rFonts w:ascii="Arial" w:hAnsi="Arial" w:cs="Arial"/>
          <w:sz w:val="22"/>
          <w:szCs w:val="22"/>
        </w:rPr>
        <w:t>show that</w:t>
      </w:r>
      <w:r w:rsidR="00FD0EBC">
        <w:rPr>
          <w:rFonts w:ascii="Arial" w:hAnsi="Arial" w:cs="Arial"/>
          <w:sz w:val="22"/>
          <w:szCs w:val="22"/>
        </w:rPr>
        <w:t xml:space="preserve"> </w:t>
      </w:r>
      <w:r w:rsidR="004A5057">
        <w:rPr>
          <w:rFonts w:ascii="Arial" w:hAnsi="Arial" w:cs="Arial"/>
          <w:sz w:val="22"/>
          <w:szCs w:val="22"/>
        </w:rPr>
        <w:t xml:space="preserve">there is a significant </w:t>
      </w:r>
      <w:r w:rsidR="00FD0EBC">
        <w:rPr>
          <w:rFonts w:ascii="Arial" w:hAnsi="Arial" w:cs="Arial"/>
          <w:sz w:val="22"/>
          <w:szCs w:val="22"/>
        </w:rPr>
        <w:t xml:space="preserve">BME gap even with their well-established centralised examinations. </w:t>
      </w:r>
    </w:p>
    <w:p w14:paraId="4BEBAE60" w14:textId="77777777" w:rsidR="001A669F" w:rsidRDefault="001A669F" w:rsidP="00DD038C">
      <w:pPr>
        <w:widowControl w:val="0"/>
        <w:autoSpaceDE w:val="0"/>
        <w:autoSpaceDN w:val="0"/>
        <w:adjustRightInd w:val="0"/>
        <w:rPr>
          <w:rFonts w:ascii="Arial" w:hAnsi="Arial" w:cs="Arial"/>
          <w:sz w:val="22"/>
          <w:szCs w:val="22"/>
        </w:rPr>
      </w:pPr>
    </w:p>
    <w:p w14:paraId="6A89A3E9" w14:textId="4F011E64" w:rsidR="00DD038C" w:rsidRPr="00FF2C4A" w:rsidRDefault="00102F38" w:rsidP="00DD038C">
      <w:pPr>
        <w:widowControl w:val="0"/>
        <w:autoSpaceDE w:val="0"/>
        <w:autoSpaceDN w:val="0"/>
        <w:adjustRightInd w:val="0"/>
        <w:rPr>
          <w:rFonts w:ascii="Arial" w:hAnsi="Arial" w:cs="Arial"/>
          <w:sz w:val="22"/>
          <w:szCs w:val="22"/>
        </w:rPr>
      </w:pPr>
      <w:r>
        <w:rPr>
          <w:rFonts w:ascii="Arial" w:hAnsi="Arial" w:cs="Arial"/>
          <w:sz w:val="22"/>
          <w:szCs w:val="22"/>
        </w:rPr>
        <w:t>F</w:t>
      </w:r>
      <w:r w:rsidR="00DB5BA7">
        <w:rPr>
          <w:rFonts w:ascii="Arial" w:hAnsi="Arial" w:cs="Arial"/>
          <w:sz w:val="22"/>
          <w:szCs w:val="22"/>
        </w:rPr>
        <w:t>or all its modern</w:t>
      </w:r>
      <w:r w:rsidR="00231087">
        <w:rPr>
          <w:rFonts w:ascii="Arial" w:hAnsi="Arial" w:cs="Arial"/>
          <w:sz w:val="22"/>
          <w:szCs w:val="22"/>
        </w:rPr>
        <w:t>ised</w:t>
      </w:r>
      <w:r w:rsidR="00DB5BA7">
        <w:rPr>
          <w:rFonts w:ascii="Arial" w:hAnsi="Arial" w:cs="Arial"/>
          <w:sz w:val="22"/>
          <w:szCs w:val="22"/>
        </w:rPr>
        <w:t xml:space="preserve"> form and claims of validity</w:t>
      </w:r>
      <w:r>
        <w:rPr>
          <w:rFonts w:ascii="Arial" w:hAnsi="Arial" w:cs="Arial"/>
          <w:sz w:val="22"/>
          <w:szCs w:val="22"/>
        </w:rPr>
        <w:t>,</w:t>
      </w:r>
      <w:r w:rsidR="00DB5BA7">
        <w:rPr>
          <w:rFonts w:ascii="Arial" w:hAnsi="Arial" w:cs="Arial"/>
          <w:sz w:val="22"/>
          <w:szCs w:val="22"/>
        </w:rPr>
        <w:t xml:space="preserve"> </w:t>
      </w:r>
      <w:r w:rsidR="001A669F">
        <w:rPr>
          <w:rFonts w:ascii="Arial" w:hAnsi="Arial" w:cs="Arial"/>
          <w:sz w:val="22"/>
          <w:szCs w:val="22"/>
        </w:rPr>
        <w:t>SQE Part 1</w:t>
      </w:r>
      <w:r w:rsidR="00DB5BA7">
        <w:rPr>
          <w:rFonts w:ascii="Arial" w:hAnsi="Arial" w:cs="Arial"/>
          <w:sz w:val="22"/>
          <w:szCs w:val="22"/>
        </w:rPr>
        <w:t xml:space="preserve"> </w:t>
      </w:r>
      <w:r w:rsidR="00DD038C" w:rsidRPr="00FF2C4A">
        <w:rPr>
          <w:rFonts w:ascii="Arial" w:hAnsi="Arial" w:cs="Arial"/>
          <w:sz w:val="22"/>
          <w:szCs w:val="22"/>
        </w:rPr>
        <w:t>will</w:t>
      </w:r>
      <w:r w:rsidR="004A5057">
        <w:rPr>
          <w:rFonts w:ascii="Arial" w:hAnsi="Arial" w:cs="Arial"/>
          <w:sz w:val="22"/>
          <w:szCs w:val="22"/>
        </w:rPr>
        <w:t>,</w:t>
      </w:r>
      <w:r w:rsidR="00DD038C" w:rsidRPr="00FF2C4A">
        <w:rPr>
          <w:rFonts w:ascii="Arial" w:hAnsi="Arial" w:cs="Arial"/>
          <w:sz w:val="22"/>
          <w:szCs w:val="22"/>
        </w:rPr>
        <w:t xml:space="preserve"> </w:t>
      </w:r>
      <w:r w:rsidR="00A15E1B">
        <w:rPr>
          <w:rFonts w:ascii="Arial" w:hAnsi="Arial" w:cs="Arial"/>
          <w:sz w:val="22"/>
          <w:szCs w:val="22"/>
        </w:rPr>
        <w:t>as an unseen closed-</w:t>
      </w:r>
      <w:r w:rsidR="00990E0E">
        <w:rPr>
          <w:rFonts w:ascii="Arial" w:hAnsi="Arial" w:cs="Arial"/>
          <w:sz w:val="22"/>
          <w:szCs w:val="22"/>
        </w:rPr>
        <w:t>book exam</w:t>
      </w:r>
      <w:r w:rsidR="004A5057">
        <w:rPr>
          <w:rFonts w:ascii="Arial" w:hAnsi="Arial" w:cs="Arial"/>
          <w:sz w:val="22"/>
          <w:szCs w:val="22"/>
        </w:rPr>
        <w:t>,</w:t>
      </w:r>
      <w:r w:rsidR="00990E0E">
        <w:rPr>
          <w:rFonts w:ascii="Arial" w:hAnsi="Arial" w:cs="Arial"/>
          <w:sz w:val="22"/>
          <w:szCs w:val="22"/>
        </w:rPr>
        <w:t xml:space="preserve"> </w:t>
      </w:r>
      <w:r w:rsidR="00DD038C" w:rsidRPr="00FF2C4A">
        <w:rPr>
          <w:rFonts w:ascii="Arial" w:hAnsi="Arial" w:cs="Arial"/>
          <w:sz w:val="22"/>
          <w:szCs w:val="22"/>
        </w:rPr>
        <w:t xml:space="preserve">be </w:t>
      </w:r>
      <w:r w:rsidR="00990E0E">
        <w:rPr>
          <w:rFonts w:ascii="Arial" w:hAnsi="Arial" w:cs="Arial"/>
          <w:sz w:val="22"/>
          <w:szCs w:val="22"/>
        </w:rPr>
        <w:t xml:space="preserve">approached fundamentally as a </w:t>
      </w:r>
      <w:r w:rsidR="00DD038C" w:rsidRPr="00FF2C4A">
        <w:rPr>
          <w:rFonts w:ascii="Arial" w:hAnsi="Arial" w:cs="Arial"/>
          <w:sz w:val="22"/>
          <w:szCs w:val="22"/>
        </w:rPr>
        <w:t>test of memory</w:t>
      </w:r>
      <w:r w:rsidR="001121F3">
        <w:rPr>
          <w:rFonts w:ascii="Arial" w:hAnsi="Arial" w:cs="Arial"/>
          <w:sz w:val="22"/>
          <w:szCs w:val="22"/>
        </w:rPr>
        <w:t xml:space="preserve"> and</w:t>
      </w:r>
      <w:r w:rsidR="00A15E1B">
        <w:rPr>
          <w:rFonts w:ascii="Arial" w:hAnsi="Arial" w:cs="Arial"/>
          <w:sz w:val="22"/>
          <w:szCs w:val="22"/>
        </w:rPr>
        <w:t xml:space="preserve"> </w:t>
      </w:r>
      <w:r w:rsidR="00990E0E">
        <w:rPr>
          <w:rFonts w:ascii="Arial" w:hAnsi="Arial" w:cs="Arial"/>
          <w:sz w:val="22"/>
          <w:szCs w:val="22"/>
        </w:rPr>
        <w:t>tactics</w:t>
      </w:r>
      <w:r w:rsidR="00DD038C" w:rsidRPr="00FF2C4A">
        <w:rPr>
          <w:rFonts w:ascii="Arial" w:hAnsi="Arial" w:cs="Arial"/>
          <w:sz w:val="22"/>
          <w:szCs w:val="22"/>
        </w:rPr>
        <w:t>.</w:t>
      </w:r>
      <w:r w:rsidR="0020302B">
        <w:rPr>
          <w:rStyle w:val="FootnoteReference"/>
          <w:rFonts w:ascii="Arial" w:hAnsi="Arial" w:cs="Arial"/>
          <w:sz w:val="22"/>
          <w:szCs w:val="22"/>
        </w:rPr>
        <w:footnoteReference w:id="90"/>
      </w:r>
      <w:r w:rsidR="00DD038C" w:rsidRPr="00FF2C4A">
        <w:rPr>
          <w:rFonts w:ascii="Arial" w:hAnsi="Arial" w:cs="Arial"/>
          <w:sz w:val="22"/>
          <w:szCs w:val="22"/>
        </w:rPr>
        <w:t xml:space="preserve"> </w:t>
      </w:r>
      <w:r w:rsidR="00011F10">
        <w:rPr>
          <w:rFonts w:ascii="Arial" w:hAnsi="Arial" w:cs="Arial"/>
          <w:sz w:val="22"/>
          <w:szCs w:val="22"/>
        </w:rPr>
        <w:t>What the</w:t>
      </w:r>
      <w:r>
        <w:rPr>
          <w:rFonts w:ascii="Arial" w:hAnsi="Arial" w:cs="Arial"/>
          <w:sz w:val="22"/>
          <w:szCs w:val="22"/>
        </w:rPr>
        <w:t xml:space="preserve"> US </w:t>
      </w:r>
      <w:r w:rsidR="00231087">
        <w:rPr>
          <w:rFonts w:ascii="Arial" w:hAnsi="Arial" w:cs="Arial"/>
          <w:sz w:val="22"/>
          <w:szCs w:val="22"/>
        </w:rPr>
        <w:t xml:space="preserve">state </w:t>
      </w:r>
      <w:r>
        <w:rPr>
          <w:rFonts w:ascii="Arial" w:hAnsi="Arial" w:cs="Arial"/>
          <w:sz w:val="22"/>
          <w:szCs w:val="22"/>
        </w:rPr>
        <w:t xml:space="preserve">Bar exams </w:t>
      </w:r>
      <w:r w:rsidR="00011F10">
        <w:rPr>
          <w:rFonts w:ascii="Arial" w:hAnsi="Arial" w:cs="Arial"/>
          <w:sz w:val="22"/>
          <w:szCs w:val="22"/>
        </w:rPr>
        <w:t xml:space="preserve">indicate, if they </w:t>
      </w:r>
      <w:r>
        <w:rPr>
          <w:rFonts w:ascii="Arial" w:hAnsi="Arial" w:cs="Arial"/>
          <w:sz w:val="22"/>
          <w:szCs w:val="22"/>
        </w:rPr>
        <w:t>are a fair comparison,</w:t>
      </w:r>
      <w:r w:rsidR="001A669F">
        <w:rPr>
          <w:rFonts w:ascii="Arial" w:hAnsi="Arial" w:cs="Arial"/>
          <w:sz w:val="22"/>
          <w:szCs w:val="22"/>
        </w:rPr>
        <w:t xml:space="preserve"> </w:t>
      </w:r>
      <w:r w:rsidR="004A5057">
        <w:rPr>
          <w:rFonts w:ascii="Arial" w:hAnsi="Arial" w:cs="Arial"/>
          <w:sz w:val="22"/>
          <w:szCs w:val="22"/>
        </w:rPr>
        <w:t xml:space="preserve">is </w:t>
      </w:r>
      <w:r w:rsidR="00011F10">
        <w:rPr>
          <w:rFonts w:ascii="Arial" w:hAnsi="Arial" w:cs="Arial"/>
          <w:sz w:val="22"/>
          <w:szCs w:val="22"/>
        </w:rPr>
        <w:t xml:space="preserve">that Part 1 of the </w:t>
      </w:r>
      <w:r w:rsidR="00231087">
        <w:rPr>
          <w:rFonts w:ascii="Arial" w:hAnsi="Arial" w:cs="Arial"/>
          <w:sz w:val="22"/>
          <w:szCs w:val="22"/>
        </w:rPr>
        <w:t>SQE</w:t>
      </w:r>
      <w:r w:rsidR="009C15FA">
        <w:rPr>
          <w:rFonts w:ascii="Arial" w:hAnsi="Arial" w:cs="Arial"/>
          <w:sz w:val="22"/>
          <w:szCs w:val="22"/>
        </w:rPr>
        <w:t xml:space="preserve"> </w:t>
      </w:r>
      <w:r w:rsidR="00231087">
        <w:rPr>
          <w:rFonts w:ascii="Arial" w:hAnsi="Arial" w:cs="Arial"/>
          <w:sz w:val="22"/>
          <w:szCs w:val="22"/>
        </w:rPr>
        <w:t xml:space="preserve">will </w:t>
      </w:r>
      <w:r w:rsidR="00011F10">
        <w:rPr>
          <w:rFonts w:ascii="Arial" w:hAnsi="Arial" w:cs="Arial"/>
          <w:sz w:val="22"/>
          <w:szCs w:val="22"/>
        </w:rPr>
        <w:t xml:space="preserve">become </w:t>
      </w:r>
      <w:r w:rsidR="00D5702E">
        <w:rPr>
          <w:rFonts w:ascii="Arial" w:hAnsi="Arial" w:cs="Arial"/>
          <w:sz w:val="22"/>
          <w:szCs w:val="22"/>
        </w:rPr>
        <w:t>a</w:t>
      </w:r>
      <w:r w:rsidR="00011F10">
        <w:rPr>
          <w:rFonts w:ascii="Arial" w:hAnsi="Arial" w:cs="Arial"/>
          <w:sz w:val="22"/>
          <w:szCs w:val="22"/>
        </w:rPr>
        <w:t xml:space="preserve"> </w:t>
      </w:r>
      <w:r w:rsidR="001742E2">
        <w:rPr>
          <w:rFonts w:ascii="Arial" w:hAnsi="Arial" w:cs="Arial"/>
          <w:sz w:val="22"/>
          <w:szCs w:val="22"/>
        </w:rPr>
        <w:t>barrier to diversity in the profession</w:t>
      </w:r>
      <w:r>
        <w:rPr>
          <w:rFonts w:ascii="Arial" w:hAnsi="Arial" w:cs="Arial"/>
          <w:sz w:val="22"/>
          <w:szCs w:val="22"/>
        </w:rPr>
        <w:t>.</w:t>
      </w:r>
      <w:r>
        <w:rPr>
          <w:rStyle w:val="FootnoteReference"/>
          <w:rFonts w:ascii="Arial" w:hAnsi="Arial" w:cs="Arial"/>
          <w:sz w:val="22"/>
          <w:szCs w:val="22"/>
        </w:rPr>
        <w:footnoteReference w:id="91"/>
      </w:r>
      <w:r>
        <w:rPr>
          <w:rFonts w:ascii="Arial" w:hAnsi="Arial" w:cs="Arial"/>
          <w:sz w:val="22"/>
          <w:szCs w:val="22"/>
        </w:rPr>
        <w:t xml:space="preserve"> </w:t>
      </w:r>
    </w:p>
    <w:p w14:paraId="3D6210C3" w14:textId="77777777" w:rsidR="005841FD" w:rsidRPr="004F6670" w:rsidRDefault="005841FD" w:rsidP="005841FD">
      <w:pPr>
        <w:widowControl w:val="0"/>
        <w:autoSpaceDE w:val="0"/>
        <w:autoSpaceDN w:val="0"/>
        <w:adjustRightInd w:val="0"/>
        <w:rPr>
          <w:rFonts w:ascii="Arial" w:hAnsi="Arial" w:cs="Arial"/>
          <w:sz w:val="22"/>
          <w:szCs w:val="22"/>
        </w:rPr>
      </w:pPr>
    </w:p>
    <w:p w14:paraId="7629F0FD" w14:textId="77777777" w:rsidR="00D616B9" w:rsidRDefault="00D616B9" w:rsidP="00314391">
      <w:pPr>
        <w:rPr>
          <w:rFonts w:ascii="Arial" w:hAnsi="Arial" w:cs="Arial"/>
          <w:b/>
          <w:i/>
          <w:sz w:val="22"/>
          <w:szCs w:val="22"/>
        </w:rPr>
      </w:pPr>
    </w:p>
    <w:p w14:paraId="420F062F" w14:textId="77777777" w:rsidR="0040125C" w:rsidRPr="004F6670" w:rsidRDefault="0040125C" w:rsidP="00314391">
      <w:pPr>
        <w:rPr>
          <w:rFonts w:ascii="Arial" w:hAnsi="Arial" w:cs="Arial"/>
          <w:b/>
          <w:i/>
          <w:sz w:val="22"/>
          <w:szCs w:val="22"/>
        </w:rPr>
      </w:pPr>
    </w:p>
    <w:p w14:paraId="556CFEAE" w14:textId="77777777" w:rsidR="00FD593E" w:rsidRDefault="00B85CA1" w:rsidP="005E4C3F">
      <w:pPr>
        <w:rPr>
          <w:rFonts w:ascii="Arial" w:hAnsi="Arial" w:cs="Arial"/>
          <w:b/>
          <w:sz w:val="22"/>
          <w:szCs w:val="22"/>
        </w:rPr>
      </w:pPr>
      <w:r w:rsidRPr="004F6670">
        <w:rPr>
          <w:rFonts w:ascii="Arial" w:hAnsi="Arial" w:cs="Arial"/>
          <w:b/>
          <w:sz w:val="22"/>
          <w:szCs w:val="22"/>
        </w:rPr>
        <w:t>Conclusion</w:t>
      </w:r>
    </w:p>
    <w:p w14:paraId="51734F99" w14:textId="77777777" w:rsidR="005E4C3F" w:rsidRPr="00FF2C4A" w:rsidRDefault="005E4C3F" w:rsidP="005E4C3F">
      <w:pPr>
        <w:rPr>
          <w:rFonts w:ascii="Arial" w:hAnsi="Arial" w:cs="Arial"/>
          <w:sz w:val="22"/>
          <w:szCs w:val="22"/>
        </w:rPr>
      </w:pPr>
    </w:p>
    <w:p w14:paraId="4FC17A1F" w14:textId="78F7CC46" w:rsidR="00EA2739" w:rsidRPr="00E671F4" w:rsidRDefault="00EA2739" w:rsidP="00EA2739">
      <w:pPr>
        <w:widowControl w:val="0"/>
        <w:autoSpaceDE w:val="0"/>
        <w:autoSpaceDN w:val="0"/>
        <w:adjustRightInd w:val="0"/>
        <w:rPr>
          <w:rFonts w:ascii="Arial" w:hAnsi="Arial" w:cs="Arial"/>
          <w:sz w:val="22"/>
          <w:szCs w:val="22"/>
        </w:rPr>
      </w:pPr>
      <w:r w:rsidRPr="00E671F4">
        <w:rPr>
          <w:rFonts w:ascii="Arial" w:hAnsi="Arial" w:cs="Arial"/>
          <w:sz w:val="22"/>
          <w:szCs w:val="22"/>
        </w:rPr>
        <w:t xml:space="preserve">The purpose of this article </w:t>
      </w:r>
      <w:r w:rsidR="00E65329" w:rsidRPr="00E671F4">
        <w:rPr>
          <w:rFonts w:ascii="Arial" w:hAnsi="Arial" w:cs="Arial"/>
          <w:sz w:val="22"/>
          <w:szCs w:val="22"/>
        </w:rPr>
        <w:t>is</w:t>
      </w:r>
      <w:r w:rsidRPr="00E671F4">
        <w:rPr>
          <w:rFonts w:ascii="Arial" w:hAnsi="Arial" w:cs="Arial"/>
          <w:sz w:val="22"/>
          <w:szCs w:val="22"/>
        </w:rPr>
        <w:t xml:space="preserve"> to consider the future f</w:t>
      </w:r>
      <w:r w:rsidR="004C14DC">
        <w:rPr>
          <w:rFonts w:ascii="Arial" w:hAnsi="Arial" w:cs="Arial"/>
          <w:sz w:val="22"/>
          <w:szCs w:val="22"/>
        </w:rPr>
        <w:t>or the conversion course</w:t>
      </w:r>
      <w:r w:rsidRPr="00E671F4">
        <w:rPr>
          <w:rFonts w:ascii="Arial" w:hAnsi="Arial" w:cs="Arial"/>
          <w:sz w:val="22"/>
          <w:szCs w:val="22"/>
        </w:rPr>
        <w:t xml:space="preserve">. </w:t>
      </w:r>
      <w:r w:rsidR="00E65329" w:rsidRPr="00E671F4">
        <w:rPr>
          <w:rFonts w:ascii="Arial" w:hAnsi="Arial" w:cs="Arial"/>
          <w:sz w:val="22"/>
          <w:szCs w:val="22"/>
        </w:rPr>
        <w:t xml:space="preserve">The NLG route via the conversion course has become </w:t>
      </w:r>
      <w:r w:rsidR="0038614A">
        <w:rPr>
          <w:rFonts w:ascii="Arial" w:hAnsi="Arial" w:cs="Arial"/>
          <w:sz w:val="22"/>
          <w:szCs w:val="22"/>
        </w:rPr>
        <w:t>a normal route for entry into</w:t>
      </w:r>
      <w:r w:rsidR="00E65329" w:rsidRPr="00E671F4">
        <w:rPr>
          <w:rFonts w:ascii="Arial" w:hAnsi="Arial" w:cs="Arial"/>
          <w:sz w:val="22"/>
          <w:szCs w:val="22"/>
        </w:rPr>
        <w:t xml:space="preserve"> the legal profession particularly into city firms and the </w:t>
      </w:r>
      <w:r w:rsidR="00C50A17">
        <w:rPr>
          <w:rFonts w:ascii="Arial" w:hAnsi="Arial" w:cs="Arial"/>
          <w:sz w:val="22"/>
          <w:szCs w:val="22"/>
        </w:rPr>
        <w:t>B</w:t>
      </w:r>
      <w:r w:rsidR="00E65329" w:rsidRPr="00E671F4">
        <w:rPr>
          <w:rFonts w:ascii="Arial" w:hAnsi="Arial" w:cs="Arial"/>
          <w:sz w:val="22"/>
          <w:szCs w:val="22"/>
        </w:rPr>
        <w:t>ar. But after 30 years</w:t>
      </w:r>
      <w:r w:rsidR="00C50A17">
        <w:rPr>
          <w:rFonts w:ascii="Arial" w:hAnsi="Arial" w:cs="Arial"/>
          <w:sz w:val="22"/>
          <w:szCs w:val="22"/>
        </w:rPr>
        <w:t>,</w:t>
      </w:r>
      <w:r w:rsidR="004C14DC">
        <w:rPr>
          <w:rFonts w:ascii="Arial" w:hAnsi="Arial" w:cs="Arial"/>
          <w:sz w:val="22"/>
          <w:szCs w:val="22"/>
        </w:rPr>
        <w:t xml:space="preserve"> the course </w:t>
      </w:r>
      <w:r w:rsidR="00592D2D">
        <w:rPr>
          <w:rFonts w:ascii="Arial" w:hAnsi="Arial" w:cs="Arial"/>
          <w:sz w:val="22"/>
          <w:szCs w:val="22"/>
        </w:rPr>
        <w:t xml:space="preserve">will have </w:t>
      </w:r>
      <w:r w:rsidR="004C14DC">
        <w:rPr>
          <w:rFonts w:ascii="Arial" w:hAnsi="Arial" w:cs="Arial"/>
          <w:sz w:val="22"/>
          <w:szCs w:val="22"/>
        </w:rPr>
        <w:t>to</w:t>
      </w:r>
      <w:r w:rsidR="00E65329" w:rsidRPr="00E671F4">
        <w:rPr>
          <w:rFonts w:ascii="Arial" w:hAnsi="Arial" w:cs="Arial"/>
          <w:sz w:val="22"/>
          <w:szCs w:val="22"/>
        </w:rPr>
        <w:t xml:space="preserve"> chang</w:t>
      </w:r>
      <w:r w:rsidR="004C14DC">
        <w:rPr>
          <w:rFonts w:ascii="Arial" w:hAnsi="Arial" w:cs="Arial"/>
          <w:sz w:val="22"/>
          <w:szCs w:val="22"/>
        </w:rPr>
        <w:t>e</w:t>
      </w:r>
      <w:r w:rsidR="00E65329" w:rsidRPr="00E671F4">
        <w:rPr>
          <w:rFonts w:ascii="Arial" w:hAnsi="Arial" w:cs="Arial"/>
          <w:sz w:val="22"/>
          <w:szCs w:val="22"/>
        </w:rPr>
        <w:t xml:space="preserve"> as</w:t>
      </w:r>
      <w:r w:rsidR="00592D2D">
        <w:rPr>
          <w:rFonts w:ascii="Arial" w:hAnsi="Arial" w:cs="Arial"/>
          <w:sz w:val="22"/>
          <w:szCs w:val="22"/>
        </w:rPr>
        <w:t>, subject to LSB approval,</w:t>
      </w:r>
      <w:r w:rsidR="00E65329" w:rsidRPr="00E671F4">
        <w:rPr>
          <w:rFonts w:ascii="Arial" w:hAnsi="Arial" w:cs="Arial"/>
          <w:sz w:val="22"/>
          <w:szCs w:val="22"/>
        </w:rPr>
        <w:t xml:space="preserve"> the regulatory </w:t>
      </w:r>
      <w:r w:rsidRPr="00E671F4">
        <w:rPr>
          <w:rFonts w:ascii="Arial" w:hAnsi="Arial" w:cs="Arial"/>
          <w:sz w:val="22"/>
          <w:szCs w:val="22"/>
        </w:rPr>
        <w:t xml:space="preserve">landscape </w:t>
      </w:r>
      <w:r w:rsidR="00592D2D">
        <w:rPr>
          <w:rFonts w:ascii="Arial" w:hAnsi="Arial" w:cs="Arial"/>
          <w:sz w:val="22"/>
          <w:szCs w:val="22"/>
        </w:rPr>
        <w:t>for qualification will be</w:t>
      </w:r>
      <w:r w:rsidR="00E65329" w:rsidRPr="00E671F4">
        <w:rPr>
          <w:rFonts w:ascii="Arial" w:hAnsi="Arial" w:cs="Arial"/>
          <w:sz w:val="22"/>
          <w:szCs w:val="22"/>
        </w:rPr>
        <w:t xml:space="preserve"> chang</w:t>
      </w:r>
      <w:r w:rsidR="00DE58DB">
        <w:rPr>
          <w:rFonts w:ascii="Arial" w:hAnsi="Arial" w:cs="Arial"/>
          <w:sz w:val="22"/>
          <w:szCs w:val="22"/>
        </w:rPr>
        <w:t>ing</w:t>
      </w:r>
      <w:r w:rsidR="00592D2D">
        <w:rPr>
          <w:rFonts w:ascii="Arial" w:hAnsi="Arial" w:cs="Arial"/>
          <w:sz w:val="22"/>
          <w:szCs w:val="22"/>
        </w:rPr>
        <w:t>, fundamentally</w:t>
      </w:r>
      <w:r w:rsidR="00E65329" w:rsidRPr="00E671F4">
        <w:rPr>
          <w:rFonts w:ascii="Arial" w:hAnsi="Arial" w:cs="Arial"/>
          <w:sz w:val="22"/>
          <w:szCs w:val="22"/>
        </w:rPr>
        <w:t xml:space="preserve">. </w:t>
      </w:r>
    </w:p>
    <w:p w14:paraId="227BB8ED" w14:textId="77777777" w:rsidR="0038614A" w:rsidRDefault="0038614A" w:rsidP="00EA2739">
      <w:pPr>
        <w:widowControl w:val="0"/>
        <w:autoSpaceDE w:val="0"/>
        <w:autoSpaceDN w:val="0"/>
        <w:adjustRightInd w:val="0"/>
        <w:rPr>
          <w:rFonts w:ascii="Arial" w:hAnsi="Arial" w:cs="Arial"/>
          <w:sz w:val="22"/>
          <w:szCs w:val="22"/>
        </w:rPr>
      </w:pPr>
    </w:p>
    <w:p w14:paraId="1E875765" w14:textId="2FBCCE96" w:rsidR="00EA2739" w:rsidRPr="00E671F4" w:rsidRDefault="00592D2D" w:rsidP="00EA2739">
      <w:pPr>
        <w:widowControl w:val="0"/>
        <w:autoSpaceDE w:val="0"/>
        <w:autoSpaceDN w:val="0"/>
        <w:adjustRightInd w:val="0"/>
        <w:rPr>
          <w:rFonts w:ascii="Arial" w:hAnsi="Arial" w:cs="Arial"/>
          <w:sz w:val="22"/>
          <w:szCs w:val="22"/>
        </w:rPr>
      </w:pPr>
      <w:r>
        <w:rPr>
          <w:rFonts w:ascii="Arial" w:hAnsi="Arial" w:cs="Arial"/>
          <w:sz w:val="22"/>
          <w:szCs w:val="22"/>
        </w:rPr>
        <w:t>In</w:t>
      </w:r>
      <w:r w:rsidR="0038614A">
        <w:rPr>
          <w:rFonts w:ascii="Arial" w:hAnsi="Arial" w:cs="Arial"/>
          <w:sz w:val="22"/>
          <w:szCs w:val="22"/>
        </w:rPr>
        <w:t xml:space="preserve"> the market</w:t>
      </w:r>
      <w:r>
        <w:rPr>
          <w:rFonts w:ascii="Arial" w:hAnsi="Arial" w:cs="Arial"/>
          <w:sz w:val="22"/>
          <w:szCs w:val="22"/>
        </w:rPr>
        <w:t xml:space="preserve"> for recruits,</w:t>
      </w:r>
      <w:r w:rsidR="0038614A">
        <w:rPr>
          <w:rFonts w:ascii="Arial" w:hAnsi="Arial" w:cs="Arial"/>
          <w:sz w:val="22"/>
          <w:szCs w:val="22"/>
        </w:rPr>
        <w:t xml:space="preserve"> a </w:t>
      </w:r>
      <w:r w:rsidR="00E65329" w:rsidRPr="00E671F4">
        <w:rPr>
          <w:rFonts w:ascii="Arial" w:hAnsi="Arial" w:cs="Arial"/>
          <w:sz w:val="22"/>
          <w:szCs w:val="22"/>
        </w:rPr>
        <w:t>NLG</w:t>
      </w:r>
      <w:r w:rsidR="00EA2739" w:rsidRPr="00E671F4">
        <w:rPr>
          <w:rFonts w:ascii="Arial" w:hAnsi="Arial" w:cs="Arial"/>
          <w:sz w:val="22"/>
          <w:szCs w:val="22"/>
        </w:rPr>
        <w:t xml:space="preserve"> </w:t>
      </w:r>
      <w:r w:rsidR="0038614A">
        <w:rPr>
          <w:rFonts w:ascii="Arial" w:hAnsi="Arial" w:cs="Arial"/>
          <w:sz w:val="22"/>
          <w:szCs w:val="22"/>
        </w:rPr>
        <w:t>is a good choice if</w:t>
      </w:r>
      <w:r>
        <w:rPr>
          <w:rFonts w:ascii="Arial" w:hAnsi="Arial" w:cs="Arial"/>
          <w:sz w:val="22"/>
          <w:szCs w:val="22"/>
        </w:rPr>
        <w:t>,</w:t>
      </w:r>
      <w:r w:rsidR="0038614A">
        <w:rPr>
          <w:rFonts w:ascii="Arial" w:hAnsi="Arial" w:cs="Arial"/>
          <w:sz w:val="22"/>
          <w:szCs w:val="22"/>
        </w:rPr>
        <w:t xml:space="preserve"> </w:t>
      </w:r>
      <w:r w:rsidR="00E65329" w:rsidRPr="00E671F4">
        <w:rPr>
          <w:rFonts w:ascii="Arial" w:hAnsi="Arial" w:cs="Arial"/>
          <w:sz w:val="22"/>
          <w:szCs w:val="22"/>
        </w:rPr>
        <w:t xml:space="preserve">like a law </w:t>
      </w:r>
      <w:r w:rsidR="0038614A">
        <w:rPr>
          <w:rFonts w:ascii="Arial" w:hAnsi="Arial" w:cs="Arial"/>
          <w:sz w:val="22"/>
          <w:szCs w:val="22"/>
        </w:rPr>
        <w:t xml:space="preserve">degree </w:t>
      </w:r>
      <w:r w:rsidR="00E65329" w:rsidRPr="00E671F4">
        <w:rPr>
          <w:rFonts w:ascii="Arial" w:hAnsi="Arial" w:cs="Arial"/>
          <w:sz w:val="22"/>
          <w:szCs w:val="22"/>
        </w:rPr>
        <w:t xml:space="preserve">student, </w:t>
      </w:r>
      <w:r>
        <w:rPr>
          <w:rFonts w:ascii="Arial" w:hAnsi="Arial" w:cs="Arial"/>
          <w:sz w:val="22"/>
          <w:szCs w:val="22"/>
        </w:rPr>
        <w:t xml:space="preserve">s/he </w:t>
      </w:r>
      <w:r w:rsidR="00E65329" w:rsidRPr="00E671F4">
        <w:rPr>
          <w:rFonts w:ascii="Arial" w:hAnsi="Arial" w:cs="Arial"/>
          <w:sz w:val="22"/>
          <w:szCs w:val="22"/>
        </w:rPr>
        <w:t xml:space="preserve">studied as an undergraduate at a </w:t>
      </w:r>
      <w:r w:rsidR="0038614A">
        <w:rPr>
          <w:rFonts w:ascii="Arial" w:hAnsi="Arial" w:cs="Arial"/>
          <w:sz w:val="22"/>
          <w:szCs w:val="22"/>
        </w:rPr>
        <w:t>‘good’, i</w:t>
      </w:r>
      <w:r w:rsidR="00D4759B">
        <w:rPr>
          <w:rFonts w:ascii="Arial" w:hAnsi="Arial" w:cs="Arial"/>
          <w:sz w:val="22"/>
          <w:szCs w:val="22"/>
        </w:rPr>
        <w:t>.</w:t>
      </w:r>
      <w:r w:rsidR="0038614A">
        <w:rPr>
          <w:rFonts w:ascii="Arial" w:hAnsi="Arial" w:cs="Arial"/>
          <w:sz w:val="22"/>
          <w:szCs w:val="22"/>
        </w:rPr>
        <w:t>e</w:t>
      </w:r>
      <w:r w:rsidR="00D4759B">
        <w:rPr>
          <w:rFonts w:ascii="Arial" w:hAnsi="Arial" w:cs="Arial"/>
          <w:sz w:val="22"/>
          <w:szCs w:val="22"/>
        </w:rPr>
        <w:t>.,</w:t>
      </w:r>
      <w:r w:rsidR="0038614A">
        <w:rPr>
          <w:rFonts w:ascii="Arial" w:hAnsi="Arial" w:cs="Arial"/>
          <w:sz w:val="22"/>
          <w:szCs w:val="22"/>
        </w:rPr>
        <w:t xml:space="preserve"> </w:t>
      </w:r>
      <w:r>
        <w:rPr>
          <w:rFonts w:ascii="Arial" w:hAnsi="Arial" w:cs="Arial"/>
          <w:sz w:val="22"/>
          <w:szCs w:val="22"/>
        </w:rPr>
        <w:t xml:space="preserve">pre-1992 </w:t>
      </w:r>
      <w:r w:rsidR="00EA2739" w:rsidRPr="00E671F4">
        <w:rPr>
          <w:rFonts w:ascii="Arial" w:hAnsi="Arial" w:cs="Arial"/>
          <w:sz w:val="22"/>
          <w:szCs w:val="22"/>
        </w:rPr>
        <w:t>universit</w:t>
      </w:r>
      <w:r w:rsidR="00E65329" w:rsidRPr="00E671F4">
        <w:rPr>
          <w:rFonts w:ascii="Arial" w:hAnsi="Arial" w:cs="Arial"/>
          <w:sz w:val="22"/>
          <w:szCs w:val="22"/>
        </w:rPr>
        <w:t>y</w:t>
      </w:r>
      <w:r w:rsidR="00EA2739" w:rsidRPr="00E671F4">
        <w:rPr>
          <w:rFonts w:ascii="Arial" w:hAnsi="Arial" w:cs="Arial"/>
          <w:sz w:val="22"/>
          <w:szCs w:val="22"/>
        </w:rPr>
        <w:t xml:space="preserve">. </w:t>
      </w:r>
      <w:r w:rsidR="005E0CD4">
        <w:rPr>
          <w:rFonts w:ascii="Arial" w:hAnsi="Arial" w:cs="Arial"/>
          <w:sz w:val="22"/>
          <w:szCs w:val="22"/>
        </w:rPr>
        <w:t>E</w:t>
      </w:r>
      <w:r w:rsidR="0038614A" w:rsidRPr="00E671F4">
        <w:rPr>
          <w:rFonts w:ascii="Arial" w:hAnsi="Arial" w:cs="Arial"/>
          <w:sz w:val="22"/>
          <w:szCs w:val="22"/>
        </w:rPr>
        <w:t>xtra maturity and wider experiences</w:t>
      </w:r>
      <w:r w:rsidR="0038614A">
        <w:rPr>
          <w:rFonts w:ascii="Arial" w:hAnsi="Arial" w:cs="Arial"/>
          <w:sz w:val="22"/>
          <w:szCs w:val="22"/>
        </w:rPr>
        <w:t xml:space="preserve"> count for little with this approach.</w:t>
      </w:r>
      <w:r w:rsidR="003F4D34">
        <w:rPr>
          <w:rFonts w:ascii="Arial" w:hAnsi="Arial" w:cs="Arial"/>
          <w:sz w:val="22"/>
          <w:szCs w:val="22"/>
        </w:rPr>
        <w:t xml:space="preserve"> </w:t>
      </w:r>
      <w:r w:rsidR="00D4759B">
        <w:rPr>
          <w:rFonts w:ascii="Arial" w:hAnsi="Arial" w:cs="Arial"/>
          <w:sz w:val="22"/>
          <w:szCs w:val="22"/>
        </w:rPr>
        <w:t>T</w:t>
      </w:r>
      <w:r w:rsidR="0038614A">
        <w:rPr>
          <w:rFonts w:ascii="Arial" w:hAnsi="Arial" w:cs="Arial"/>
          <w:sz w:val="22"/>
          <w:szCs w:val="22"/>
        </w:rPr>
        <w:t>his</w:t>
      </w:r>
      <w:r w:rsidR="00EA2739" w:rsidRPr="00E671F4">
        <w:rPr>
          <w:rFonts w:ascii="Arial" w:hAnsi="Arial" w:cs="Arial"/>
          <w:sz w:val="22"/>
          <w:szCs w:val="22"/>
        </w:rPr>
        <w:t xml:space="preserve"> impact</w:t>
      </w:r>
      <w:r w:rsidR="006A5A28" w:rsidRPr="00E671F4">
        <w:rPr>
          <w:rFonts w:ascii="Arial" w:hAnsi="Arial" w:cs="Arial"/>
          <w:sz w:val="22"/>
          <w:szCs w:val="22"/>
        </w:rPr>
        <w:t>s</w:t>
      </w:r>
      <w:r w:rsidR="00EA2739" w:rsidRPr="00E671F4">
        <w:rPr>
          <w:rFonts w:ascii="Arial" w:hAnsi="Arial" w:cs="Arial"/>
          <w:sz w:val="22"/>
          <w:szCs w:val="22"/>
        </w:rPr>
        <w:t xml:space="preserve"> negatively on BME students</w:t>
      </w:r>
      <w:r w:rsidR="006A5A28" w:rsidRPr="00E671F4">
        <w:rPr>
          <w:rFonts w:ascii="Arial" w:hAnsi="Arial" w:cs="Arial"/>
          <w:sz w:val="22"/>
          <w:szCs w:val="22"/>
        </w:rPr>
        <w:t xml:space="preserve"> aspiring to enter the legal professions</w:t>
      </w:r>
      <w:r w:rsidR="00EA2739" w:rsidRPr="00E671F4">
        <w:rPr>
          <w:rFonts w:ascii="Arial" w:hAnsi="Arial" w:cs="Arial"/>
          <w:sz w:val="22"/>
          <w:szCs w:val="22"/>
        </w:rPr>
        <w:t xml:space="preserve"> who</w:t>
      </w:r>
      <w:r w:rsidR="00412BCE">
        <w:rPr>
          <w:rFonts w:ascii="Arial" w:hAnsi="Arial" w:cs="Arial"/>
          <w:sz w:val="22"/>
          <w:szCs w:val="22"/>
        </w:rPr>
        <w:t xml:space="preserve"> </w:t>
      </w:r>
      <w:r w:rsidR="0038614A">
        <w:rPr>
          <w:rFonts w:ascii="Arial" w:hAnsi="Arial" w:cs="Arial"/>
          <w:sz w:val="22"/>
          <w:szCs w:val="22"/>
        </w:rPr>
        <w:t xml:space="preserve">remain </w:t>
      </w:r>
      <w:r w:rsidR="00EA2739" w:rsidRPr="00E671F4">
        <w:rPr>
          <w:rFonts w:ascii="Arial" w:hAnsi="Arial" w:cs="Arial"/>
          <w:sz w:val="22"/>
          <w:szCs w:val="22"/>
        </w:rPr>
        <w:t>under</w:t>
      </w:r>
      <w:r w:rsidR="006A5A28" w:rsidRPr="00E671F4">
        <w:rPr>
          <w:rFonts w:ascii="Arial" w:hAnsi="Arial" w:cs="Arial"/>
          <w:sz w:val="22"/>
          <w:szCs w:val="22"/>
        </w:rPr>
        <w:t>-</w:t>
      </w:r>
      <w:r w:rsidR="00EA2739" w:rsidRPr="00E671F4">
        <w:rPr>
          <w:rFonts w:ascii="Arial" w:hAnsi="Arial" w:cs="Arial"/>
          <w:sz w:val="22"/>
          <w:szCs w:val="22"/>
        </w:rPr>
        <w:t>represented at these universities.</w:t>
      </w:r>
      <w:r w:rsidR="0092435D">
        <w:rPr>
          <w:rFonts w:ascii="Arial" w:hAnsi="Arial" w:cs="Arial"/>
          <w:sz w:val="22"/>
          <w:szCs w:val="22"/>
        </w:rPr>
        <w:t xml:space="preserve"> While t</w:t>
      </w:r>
      <w:r w:rsidR="00412BCE">
        <w:rPr>
          <w:rFonts w:ascii="Arial" w:hAnsi="Arial" w:cs="Arial"/>
          <w:sz w:val="22"/>
          <w:szCs w:val="22"/>
        </w:rPr>
        <w:t xml:space="preserve">here are </w:t>
      </w:r>
      <w:r w:rsidR="00DE58DB">
        <w:rPr>
          <w:rFonts w:ascii="Arial" w:hAnsi="Arial" w:cs="Arial"/>
          <w:sz w:val="22"/>
          <w:szCs w:val="22"/>
        </w:rPr>
        <w:t>commercial</w:t>
      </w:r>
      <w:r w:rsidR="00DE58DB" w:rsidRPr="00E671F4">
        <w:rPr>
          <w:rFonts w:ascii="Arial" w:hAnsi="Arial" w:cs="Arial"/>
          <w:sz w:val="22"/>
          <w:szCs w:val="22"/>
        </w:rPr>
        <w:t xml:space="preserve"> </w:t>
      </w:r>
      <w:r w:rsidR="006A5A28" w:rsidRPr="00E671F4">
        <w:rPr>
          <w:rFonts w:ascii="Arial" w:hAnsi="Arial" w:cs="Arial"/>
          <w:sz w:val="22"/>
          <w:szCs w:val="22"/>
        </w:rPr>
        <w:t xml:space="preserve">reasons for </w:t>
      </w:r>
      <w:r w:rsidR="00132A4F">
        <w:rPr>
          <w:rFonts w:ascii="Arial" w:hAnsi="Arial" w:cs="Arial"/>
          <w:sz w:val="22"/>
          <w:szCs w:val="22"/>
        </w:rPr>
        <w:t>this approach</w:t>
      </w:r>
      <w:r w:rsidR="0092435D">
        <w:rPr>
          <w:rFonts w:ascii="Arial" w:hAnsi="Arial" w:cs="Arial"/>
          <w:sz w:val="22"/>
          <w:szCs w:val="22"/>
        </w:rPr>
        <w:t xml:space="preserve">, </w:t>
      </w:r>
      <w:r w:rsidR="00EA2739" w:rsidRPr="00E671F4">
        <w:rPr>
          <w:rFonts w:ascii="Arial" w:hAnsi="Arial" w:cs="Arial"/>
          <w:sz w:val="22"/>
          <w:szCs w:val="22"/>
        </w:rPr>
        <w:t xml:space="preserve">there is something </w:t>
      </w:r>
      <w:r w:rsidR="00D4759B">
        <w:rPr>
          <w:rFonts w:ascii="Arial" w:hAnsi="Arial" w:cs="Arial"/>
          <w:sz w:val="22"/>
          <w:szCs w:val="22"/>
        </w:rPr>
        <w:t>wrong with</w:t>
      </w:r>
      <w:r w:rsidR="0038614A">
        <w:rPr>
          <w:rFonts w:ascii="Arial" w:hAnsi="Arial" w:cs="Arial"/>
          <w:sz w:val="22"/>
          <w:szCs w:val="22"/>
        </w:rPr>
        <w:t xml:space="preserve"> a profession</w:t>
      </w:r>
      <w:r w:rsidR="00D4759B">
        <w:rPr>
          <w:rFonts w:ascii="Arial" w:hAnsi="Arial" w:cs="Arial"/>
          <w:sz w:val="22"/>
          <w:szCs w:val="22"/>
        </w:rPr>
        <w:t>,</w:t>
      </w:r>
      <w:r w:rsidR="0038614A">
        <w:rPr>
          <w:rFonts w:ascii="Arial" w:hAnsi="Arial" w:cs="Arial"/>
          <w:sz w:val="22"/>
          <w:szCs w:val="22"/>
        </w:rPr>
        <w:t xml:space="preserve"> which</w:t>
      </w:r>
      <w:r w:rsidR="00011F10">
        <w:rPr>
          <w:rFonts w:ascii="Arial" w:hAnsi="Arial" w:cs="Arial"/>
          <w:sz w:val="22"/>
          <w:szCs w:val="22"/>
        </w:rPr>
        <w:t>,</w:t>
      </w:r>
      <w:r w:rsidR="00915332">
        <w:rPr>
          <w:rFonts w:ascii="Arial" w:hAnsi="Arial" w:cs="Arial"/>
          <w:sz w:val="22"/>
          <w:szCs w:val="22"/>
        </w:rPr>
        <w:t xml:space="preserve"> </w:t>
      </w:r>
      <w:r w:rsidR="00D4759B">
        <w:rPr>
          <w:rFonts w:ascii="Arial" w:hAnsi="Arial" w:cs="Arial"/>
          <w:sz w:val="22"/>
          <w:szCs w:val="22"/>
        </w:rPr>
        <w:t xml:space="preserve">if it </w:t>
      </w:r>
      <w:r w:rsidR="00132A4F">
        <w:rPr>
          <w:rFonts w:ascii="Arial" w:hAnsi="Arial" w:cs="Arial"/>
          <w:sz w:val="22"/>
          <w:szCs w:val="22"/>
        </w:rPr>
        <w:t xml:space="preserve">sincerely </w:t>
      </w:r>
      <w:r w:rsidR="00915332">
        <w:rPr>
          <w:rFonts w:ascii="Arial" w:hAnsi="Arial" w:cs="Arial"/>
          <w:sz w:val="22"/>
          <w:szCs w:val="22"/>
        </w:rPr>
        <w:t>believes in equal opportunity</w:t>
      </w:r>
      <w:r w:rsidR="00132A4F">
        <w:rPr>
          <w:rFonts w:ascii="Arial" w:hAnsi="Arial" w:cs="Arial"/>
          <w:sz w:val="22"/>
          <w:szCs w:val="22"/>
        </w:rPr>
        <w:t>,</w:t>
      </w:r>
      <w:r w:rsidR="0092435D">
        <w:rPr>
          <w:rFonts w:ascii="Arial" w:hAnsi="Arial" w:cs="Arial"/>
          <w:sz w:val="22"/>
          <w:szCs w:val="22"/>
        </w:rPr>
        <w:t xml:space="preserve"> persists in </w:t>
      </w:r>
      <w:r w:rsidR="00DE58DB">
        <w:rPr>
          <w:rFonts w:ascii="Arial" w:hAnsi="Arial" w:cs="Arial"/>
          <w:sz w:val="22"/>
          <w:szCs w:val="22"/>
        </w:rPr>
        <w:t>fail</w:t>
      </w:r>
      <w:r w:rsidR="0092435D">
        <w:rPr>
          <w:rFonts w:ascii="Arial" w:hAnsi="Arial" w:cs="Arial"/>
          <w:sz w:val="22"/>
          <w:szCs w:val="22"/>
        </w:rPr>
        <w:t>ing</w:t>
      </w:r>
      <w:r w:rsidR="00DE58DB">
        <w:rPr>
          <w:rFonts w:ascii="Arial" w:hAnsi="Arial" w:cs="Arial"/>
          <w:sz w:val="22"/>
          <w:szCs w:val="22"/>
        </w:rPr>
        <w:t xml:space="preserve"> to </w:t>
      </w:r>
      <w:r w:rsidR="001D6B16">
        <w:rPr>
          <w:rFonts w:ascii="Arial" w:hAnsi="Arial" w:cs="Arial"/>
          <w:sz w:val="22"/>
          <w:szCs w:val="22"/>
        </w:rPr>
        <w:t xml:space="preserve">significantly </w:t>
      </w:r>
      <w:r w:rsidR="00011F10">
        <w:rPr>
          <w:rFonts w:ascii="Arial" w:hAnsi="Arial" w:cs="Arial"/>
          <w:sz w:val="22"/>
          <w:szCs w:val="22"/>
        </w:rPr>
        <w:t>invest in and diversify the approach</w:t>
      </w:r>
      <w:r w:rsidR="00132A4F">
        <w:rPr>
          <w:rFonts w:ascii="Arial" w:hAnsi="Arial" w:cs="Arial"/>
          <w:sz w:val="22"/>
          <w:szCs w:val="22"/>
        </w:rPr>
        <w:t xml:space="preserve"> for consideration of </w:t>
      </w:r>
      <w:r w:rsidR="005E0CD4">
        <w:rPr>
          <w:rFonts w:ascii="Arial" w:hAnsi="Arial" w:cs="Arial"/>
          <w:sz w:val="22"/>
          <w:szCs w:val="22"/>
        </w:rPr>
        <w:t>recruits</w:t>
      </w:r>
      <w:r w:rsidR="0092435D">
        <w:rPr>
          <w:rFonts w:ascii="Arial" w:hAnsi="Arial" w:cs="Arial"/>
          <w:sz w:val="22"/>
          <w:szCs w:val="22"/>
        </w:rPr>
        <w:t xml:space="preserve">. </w:t>
      </w:r>
      <w:r w:rsidR="0038614A">
        <w:rPr>
          <w:rFonts w:ascii="Arial" w:hAnsi="Arial" w:cs="Arial"/>
          <w:sz w:val="22"/>
          <w:szCs w:val="22"/>
        </w:rPr>
        <w:t>It is hard to see h</w:t>
      </w:r>
      <w:r w:rsidR="00D4759B">
        <w:rPr>
          <w:rFonts w:ascii="Arial" w:hAnsi="Arial" w:cs="Arial"/>
          <w:sz w:val="22"/>
          <w:szCs w:val="22"/>
        </w:rPr>
        <w:t>ow</w:t>
      </w:r>
      <w:r w:rsidR="00E671F4">
        <w:rPr>
          <w:rFonts w:ascii="Arial" w:hAnsi="Arial" w:cs="Arial"/>
          <w:sz w:val="22"/>
          <w:szCs w:val="22"/>
        </w:rPr>
        <w:t xml:space="preserve"> the</w:t>
      </w:r>
      <w:r w:rsidR="00F90FB4">
        <w:rPr>
          <w:rFonts w:ascii="Arial" w:hAnsi="Arial" w:cs="Arial"/>
          <w:sz w:val="22"/>
          <w:szCs w:val="22"/>
        </w:rPr>
        <w:t>se</w:t>
      </w:r>
      <w:r w:rsidR="00E671F4">
        <w:rPr>
          <w:rFonts w:ascii="Arial" w:hAnsi="Arial" w:cs="Arial"/>
          <w:sz w:val="22"/>
          <w:szCs w:val="22"/>
        </w:rPr>
        <w:t xml:space="preserve"> </w:t>
      </w:r>
      <w:r w:rsidR="00DE58DB">
        <w:rPr>
          <w:rFonts w:ascii="Arial" w:hAnsi="Arial" w:cs="Arial"/>
          <w:sz w:val="22"/>
          <w:szCs w:val="22"/>
        </w:rPr>
        <w:t xml:space="preserve">regulatory </w:t>
      </w:r>
      <w:r w:rsidR="00E671F4">
        <w:rPr>
          <w:rFonts w:ascii="Arial" w:hAnsi="Arial" w:cs="Arial"/>
          <w:sz w:val="22"/>
          <w:szCs w:val="22"/>
        </w:rPr>
        <w:t xml:space="preserve">reforms </w:t>
      </w:r>
      <w:r w:rsidR="0038614A">
        <w:rPr>
          <w:rFonts w:ascii="Arial" w:hAnsi="Arial" w:cs="Arial"/>
          <w:sz w:val="22"/>
          <w:szCs w:val="22"/>
        </w:rPr>
        <w:t xml:space="preserve">will </w:t>
      </w:r>
      <w:r w:rsidR="00E671F4">
        <w:rPr>
          <w:rFonts w:ascii="Arial" w:hAnsi="Arial" w:cs="Arial"/>
          <w:sz w:val="22"/>
          <w:szCs w:val="22"/>
        </w:rPr>
        <w:t>change attitude</w:t>
      </w:r>
      <w:r w:rsidR="00D5702E">
        <w:rPr>
          <w:rFonts w:ascii="Arial" w:hAnsi="Arial" w:cs="Arial"/>
          <w:sz w:val="22"/>
          <w:szCs w:val="22"/>
        </w:rPr>
        <w:t>s</w:t>
      </w:r>
      <w:r w:rsidR="00F90FB4">
        <w:rPr>
          <w:rFonts w:ascii="Arial" w:hAnsi="Arial" w:cs="Arial"/>
          <w:sz w:val="22"/>
          <w:szCs w:val="22"/>
        </w:rPr>
        <w:t xml:space="preserve"> and approach</w:t>
      </w:r>
      <w:r w:rsidR="00D5702E">
        <w:rPr>
          <w:rFonts w:ascii="Arial" w:hAnsi="Arial" w:cs="Arial"/>
          <w:sz w:val="22"/>
          <w:szCs w:val="22"/>
        </w:rPr>
        <w:t>es</w:t>
      </w:r>
      <w:r w:rsidR="0038614A">
        <w:rPr>
          <w:rFonts w:ascii="Arial" w:hAnsi="Arial" w:cs="Arial"/>
          <w:sz w:val="22"/>
          <w:szCs w:val="22"/>
        </w:rPr>
        <w:t>.</w:t>
      </w:r>
    </w:p>
    <w:p w14:paraId="49308F70" w14:textId="77777777" w:rsidR="00EA2739" w:rsidRPr="00E671F4" w:rsidRDefault="00EA2739" w:rsidP="00EA2739">
      <w:pPr>
        <w:widowControl w:val="0"/>
        <w:autoSpaceDE w:val="0"/>
        <w:autoSpaceDN w:val="0"/>
        <w:adjustRightInd w:val="0"/>
        <w:rPr>
          <w:rFonts w:ascii="Arial" w:hAnsi="Arial" w:cs="Arial"/>
          <w:sz w:val="22"/>
          <w:szCs w:val="22"/>
        </w:rPr>
      </w:pPr>
    </w:p>
    <w:p w14:paraId="66FB9C0B" w14:textId="5564937D" w:rsidR="00EA2739" w:rsidRPr="00E671F4" w:rsidRDefault="006A5A28" w:rsidP="00EA2739">
      <w:pPr>
        <w:widowControl w:val="0"/>
        <w:autoSpaceDE w:val="0"/>
        <w:autoSpaceDN w:val="0"/>
        <w:adjustRightInd w:val="0"/>
        <w:rPr>
          <w:rFonts w:ascii="Arial" w:hAnsi="Arial" w:cs="Arial"/>
          <w:sz w:val="22"/>
          <w:szCs w:val="22"/>
        </w:rPr>
      </w:pPr>
      <w:r w:rsidRPr="00E671F4">
        <w:rPr>
          <w:rFonts w:ascii="Arial" w:hAnsi="Arial" w:cs="Arial"/>
          <w:sz w:val="22"/>
          <w:szCs w:val="22"/>
        </w:rPr>
        <w:t xml:space="preserve">This article </w:t>
      </w:r>
      <w:r w:rsidR="00412BCE">
        <w:rPr>
          <w:rFonts w:ascii="Arial" w:hAnsi="Arial" w:cs="Arial"/>
          <w:sz w:val="22"/>
          <w:szCs w:val="22"/>
        </w:rPr>
        <w:t xml:space="preserve">has </w:t>
      </w:r>
      <w:r w:rsidRPr="00E671F4">
        <w:rPr>
          <w:rFonts w:ascii="Arial" w:hAnsi="Arial" w:cs="Arial"/>
          <w:sz w:val="22"/>
          <w:szCs w:val="22"/>
        </w:rPr>
        <w:t xml:space="preserve">argued </w:t>
      </w:r>
      <w:r w:rsidR="00EA2739" w:rsidRPr="00E671F4">
        <w:rPr>
          <w:rFonts w:ascii="Arial" w:hAnsi="Arial" w:cs="Arial"/>
          <w:sz w:val="22"/>
          <w:szCs w:val="22"/>
        </w:rPr>
        <w:t>that the</w:t>
      </w:r>
      <w:r w:rsidRPr="00E671F4">
        <w:rPr>
          <w:rFonts w:ascii="Arial" w:hAnsi="Arial" w:cs="Arial"/>
          <w:sz w:val="22"/>
          <w:szCs w:val="22"/>
        </w:rPr>
        <w:t xml:space="preserve">re is something wrong </w:t>
      </w:r>
      <w:r w:rsidR="00405BE6">
        <w:rPr>
          <w:rFonts w:ascii="Arial" w:hAnsi="Arial" w:cs="Arial"/>
          <w:sz w:val="22"/>
          <w:szCs w:val="22"/>
        </w:rPr>
        <w:t xml:space="preserve">too </w:t>
      </w:r>
      <w:r w:rsidRPr="00E671F4">
        <w:rPr>
          <w:rFonts w:ascii="Arial" w:hAnsi="Arial" w:cs="Arial"/>
          <w:sz w:val="22"/>
          <w:szCs w:val="22"/>
        </w:rPr>
        <w:t>with the</w:t>
      </w:r>
      <w:r w:rsidR="00EA2739" w:rsidRPr="00E671F4">
        <w:rPr>
          <w:rFonts w:ascii="Arial" w:hAnsi="Arial" w:cs="Arial"/>
          <w:sz w:val="22"/>
          <w:szCs w:val="22"/>
        </w:rPr>
        <w:t xml:space="preserve"> </w:t>
      </w:r>
      <w:r w:rsidR="00915332">
        <w:rPr>
          <w:rFonts w:ascii="Arial" w:hAnsi="Arial" w:cs="Arial"/>
          <w:sz w:val="22"/>
          <w:szCs w:val="22"/>
        </w:rPr>
        <w:t xml:space="preserve">current </w:t>
      </w:r>
      <w:r w:rsidR="00EA2739" w:rsidRPr="00E671F4">
        <w:rPr>
          <w:rFonts w:ascii="Arial" w:hAnsi="Arial" w:cs="Arial"/>
          <w:sz w:val="22"/>
          <w:szCs w:val="22"/>
        </w:rPr>
        <w:t>conversion course</w:t>
      </w:r>
      <w:r w:rsidRPr="00E671F4">
        <w:rPr>
          <w:rFonts w:ascii="Arial" w:hAnsi="Arial" w:cs="Arial"/>
          <w:sz w:val="22"/>
          <w:szCs w:val="22"/>
        </w:rPr>
        <w:t xml:space="preserve"> </w:t>
      </w:r>
      <w:r w:rsidR="0092435D">
        <w:rPr>
          <w:rFonts w:ascii="Arial" w:hAnsi="Arial" w:cs="Arial"/>
          <w:sz w:val="22"/>
          <w:szCs w:val="22"/>
        </w:rPr>
        <w:t>given</w:t>
      </w:r>
      <w:r w:rsidRPr="00E671F4">
        <w:rPr>
          <w:rFonts w:ascii="Arial" w:hAnsi="Arial" w:cs="Arial"/>
          <w:sz w:val="22"/>
          <w:szCs w:val="22"/>
        </w:rPr>
        <w:t xml:space="preserve"> that </w:t>
      </w:r>
      <w:r w:rsidR="00EA2739" w:rsidRPr="00E671F4">
        <w:rPr>
          <w:rFonts w:ascii="Arial" w:hAnsi="Arial" w:cs="Arial"/>
          <w:sz w:val="22"/>
          <w:szCs w:val="22"/>
        </w:rPr>
        <w:t>BME students</w:t>
      </w:r>
      <w:r w:rsidR="00915332">
        <w:rPr>
          <w:rFonts w:ascii="Arial" w:hAnsi="Arial" w:cs="Arial"/>
          <w:sz w:val="22"/>
          <w:szCs w:val="22"/>
        </w:rPr>
        <w:t>,</w:t>
      </w:r>
      <w:r w:rsidR="00EA2739" w:rsidRPr="00E671F4">
        <w:rPr>
          <w:rFonts w:ascii="Arial" w:hAnsi="Arial" w:cs="Arial"/>
          <w:sz w:val="22"/>
          <w:szCs w:val="22"/>
        </w:rPr>
        <w:t xml:space="preserve"> </w:t>
      </w:r>
      <w:r w:rsidR="00011F10">
        <w:rPr>
          <w:rFonts w:ascii="Arial" w:hAnsi="Arial" w:cs="Arial"/>
          <w:sz w:val="22"/>
          <w:szCs w:val="22"/>
        </w:rPr>
        <w:t xml:space="preserve">and </w:t>
      </w:r>
      <w:r w:rsidR="00EA2739" w:rsidRPr="00E671F4">
        <w:rPr>
          <w:rFonts w:ascii="Arial" w:hAnsi="Arial" w:cs="Arial"/>
          <w:sz w:val="22"/>
          <w:szCs w:val="22"/>
        </w:rPr>
        <w:t>notably black students</w:t>
      </w:r>
      <w:r w:rsidR="00915332">
        <w:rPr>
          <w:rFonts w:ascii="Arial" w:hAnsi="Arial" w:cs="Arial"/>
          <w:sz w:val="22"/>
          <w:szCs w:val="22"/>
        </w:rPr>
        <w:t>,</w:t>
      </w:r>
      <w:r w:rsidR="00EA2739" w:rsidRPr="00E671F4">
        <w:rPr>
          <w:rFonts w:ascii="Arial" w:hAnsi="Arial" w:cs="Arial"/>
          <w:sz w:val="22"/>
          <w:szCs w:val="22"/>
        </w:rPr>
        <w:t xml:space="preserve"> </w:t>
      </w:r>
      <w:r w:rsidRPr="00E671F4">
        <w:rPr>
          <w:rFonts w:ascii="Arial" w:hAnsi="Arial" w:cs="Arial"/>
          <w:sz w:val="22"/>
          <w:szCs w:val="22"/>
        </w:rPr>
        <w:t>have a</w:t>
      </w:r>
      <w:r w:rsidR="00EA2739" w:rsidRPr="00E671F4">
        <w:rPr>
          <w:rFonts w:ascii="Arial" w:hAnsi="Arial" w:cs="Arial"/>
          <w:sz w:val="22"/>
          <w:szCs w:val="22"/>
        </w:rPr>
        <w:t xml:space="preserve"> high r</w:t>
      </w:r>
      <w:r w:rsidRPr="00E671F4">
        <w:rPr>
          <w:rFonts w:ascii="Arial" w:hAnsi="Arial" w:cs="Arial"/>
          <w:sz w:val="22"/>
          <w:szCs w:val="22"/>
        </w:rPr>
        <w:t xml:space="preserve">esit rate and low </w:t>
      </w:r>
      <w:r w:rsidR="00086238">
        <w:rPr>
          <w:rFonts w:ascii="Arial" w:hAnsi="Arial" w:cs="Arial"/>
          <w:sz w:val="22"/>
          <w:szCs w:val="22"/>
        </w:rPr>
        <w:t xml:space="preserve">achievement </w:t>
      </w:r>
      <w:r w:rsidRPr="00E671F4">
        <w:rPr>
          <w:rFonts w:ascii="Arial" w:hAnsi="Arial" w:cs="Arial"/>
          <w:sz w:val="22"/>
          <w:szCs w:val="22"/>
        </w:rPr>
        <w:t>rate</w:t>
      </w:r>
      <w:r w:rsidR="00EA2739" w:rsidRPr="00E671F4">
        <w:rPr>
          <w:rFonts w:ascii="Arial" w:hAnsi="Arial" w:cs="Arial"/>
          <w:sz w:val="22"/>
          <w:szCs w:val="22"/>
        </w:rPr>
        <w:t xml:space="preserve">. </w:t>
      </w:r>
      <w:r w:rsidR="005E0CD4">
        <w:rPr>
          <w:rFonts w:ascii="Arial" w:hAnsi="Arial" w:cs="Arial"/>
          <w:sz w:val="22"/>
          <w:szCs w:val="22"/>
        </w:rPr>
        <w:t xml:space="preserve">Black students resit exams at three times the rate of white students. </w:t>
      </w:r>
      <w:r w:rsidR="00086238">
        <w:rPr>
          <w:rFonts w:ascii="Arial" w:hAnsi="Arial" w:cs="Arial"/>
          <w:sz w:val="22"/>
          <w:szCs w:val="22"/>
        </w:rPr>
        <w:t>N</w:t>
      </w:r>
      <w:r w:rsidRPr="00E671F4">
        <w:rPr>
          <w:rFonts w:ascii="Arial" w:hAnsi="Arial" w:cs="Arial"/>
          <w:sz w:val="22"/>
          <w:szCs w:val="22"/>
        </w:rPr>
        <w:t xml:space="preserve">ot one of the 109 </w:t>
      </w:r>
      <w:r w:rsidR="003F4D34">
        <w:rPr>
          <w:rFonts w:ascii="Arial" w:hAnsi="Arial" w:cs="Arial"/>
          <w:sz w:val="22"/>
          <w:szCs w:val="22"/>
        </w:rPr>
        <w:t>full-</w:t>
      </w:r>
      <w:r w:rsidR="00011F10">
        <w:rPr>
          <w:rFonts w:ascii="Arial" w:hAnsi="Arial" w:cs="Arial"/>
          <w:sz w:val="22"/>
          <w:szCs w:val="22"/>
        </w:rPr>
        <w:t xml:space="preserve">time </w:t>
      </w:r>
      <w:r w:rsidR="005E0CD4">
        <w:rPr>
          <w:rFonts w:ascii="Arial" w:hAnsi="Arial" w:cs="Arial"/>
          <w:sz w:val="22"/>
          <w:szCs w:val="22"/>
        </w:rPr>
        <w:t>black NLG</w:t>
      </w:r>
      <w:r w:rsidR="0092435D">
        <w:rPr>
          <w:rFonts w:ascii="Arial" w:hAnsi="Arial" w:cs="Arial"/>
          <w:sz w:val="22"/>
          <w:szCs w:val="22"/>
        </w:rPr>
        <w:t xml:space="preserve"> </w:t>
      </w:r>
      <w:r w:rsidRPr="00E671F4">
        <w:rPr>
          <w:rFonts w:ascii="Arial" w:hAnsi="Arial" w:cs="Arial"/>
          <w:sz w:val="22"/>
          <w:szCs w:val="22"/>
        </w:rPr>
        <w:t xml:space="preserve">was awarded a distinction </w:t>
      </w:r>
      <w:r w:rsidR="0092435D">
        <w:rPr>
          <w:rFonts w:ascii="Arial" w:hAnsi="Arial" w:cs="Arial"/>
          <w:sz w:val="22"/>
          <w:szCs w:val="22"/>
        </w:rPr>
        <w:t xml:space="preserve">on any course </w:t>
      </w:r>
      <w:r w:rsidRPr="00E671F4">
        <w:rPr>
          <w:rFonts w:ascii="Arial" w:hAnsi="Arial" w:cs="Arial"/>
          <w:sz w:val="22"/>
          <w:szCs w:val="22"/>
        </w:rPr>
        <w:t xml:space="preserve">in 2015. </w:t>
      </w:r>
      <w:r w:rsidR="00D4759B" w:rsidRPr="00E671F4">
        <w:rPr>
          <w:rFonts w:ascii="Arial" w:hAnsi="Arial" w:cs="Arial"/>
          <w:sz w:val="22"/>
          <w:szCs w:val="22"/>
        </w:rPr>
        <w:t>There i</w:t>
      </w:r>
      <w:r w:rsidR="00D4759B">
        <w:rPr>
          <w:rFonts w:ascii="Arial" w:hAnsi="Arial" w:cs="Arial"/>
          <w:sz w:val="22"/>
          <w:szCs w:val="22"/>
        </w:rPr>
        <w:t>s</w:t>
      </w:r>
      <w:r w:rsidR="00D4759B" w:rsidRPr="00E671F4">
        <w:rPr>
          <w:rFonts w:ascii="Arial" w:hAnsi="Arial" w:cs="Arial"/>
          <w:sz w:val="22"/>
          <w:szCs w:val="22"/>
        </w:rPr>
        <w:t xml:space="preserve"> something </w:t>
      </w:r>
      <w:r w:rsidR="00412BCE">
        <w:rPr>
          <w:rFonts w:ascii="Arial" w:hAnsi="Arial" w:cs="Arial"/>
          <w:sz w:val="22"/>
          <w:szCs w:val="22"/>
        </w:rPr>
        <w:t>wrong -</w:t>
      </w:r>
      <w:r w:rsidR="00D4759B" w:rsidRPr="00E671F4">
        <w:rPr>
          <w:rFonts w:ascii="Arial" w:hAnsi="Arial" w:cs="Arial"/>
          <w:sz w:val="22"/>
          <w:szCs w:val="22"/>
        </w:rPr>
        <w:t xml:space="preserve"> these </w:t>
      </w:r>
      <w:r w:rsidR="00D4759B">
        <w:rPr>
          <w:rFonts w:ascii="Arial" w:hAnsi="Arial" w:cs="Arial"/>
          <w:sz w:val="22"/>
          <w:szCs w:val="22"/>
        </w:rPr>
        <w:t xml:space="preserve">students </w:t>
      </w:r>
      <w:r w:rsidR="001D6B16">
        <w:rPr>
          <w:rFonts w:ascii="Arial" w:hAnsi="Arial" w:cs="Arial"/>
          <w:sz w:val="22"/>
          <w:szCs w:val="22"/>
        </w:rPr>
        <w:t>were all</w:t>
      </w:r>
      <w:r w:rsidR="00D4759B" w:rsidRPr="00E671F4">
        <w:rPr>
          <w:rFonts w:ascii="Arial" w:hAnsi="Arial" w:cs="Arial"/>
          <w:sz w:val="22"/>
          <w:szCs w:val="22"/>
        </w:rPr>
        <w:t xml:space="preserve"> successful graduates</w:t>
      </w:r>
      <w:r w:rsidR="00D4759B">
        <w:rPr>
          <w:rFonts w:ascii="Arial" w:hAnsi="Arial" w:cs="Arial"/>
          <w:sz w:val="22"/>
          <w:szCs w:val="22"/>
        </w:rPr>
        <w:t>.</w:t>
      </w:r>
    </w:p>
    <w:p w14:paraId="5D9E4276" w14:textId="77777777" w:rsidR="00EA2739" w:rsidRPr="00E671F4" w:rsidRDefault="00EA2739" w:rsidP="00EA2739">
      <w:pPr>
        <w:widowControl w:val="0"/>
        <w:autoSpaceDE w:val="0"/>
        <w:autoSpaceDN w:val="0"/>
        <w:adjustRightInd w:val="0"/>
        <w:rPr>
          <w:rFonts w:ascii="Arial" w:hAnsi="Arial" w:cs="Arial"/>
          <w:sz w:val="22"/>
          <w:szCs w:val="22"/>
        </w:rPr>
      </w:pPr>
    </w:p>
    <w:p w14:paraId="1B689B5C" w14:textId="3057E677" w:rsidR="00E65329" w:rsidRPr="00E671F4" w:rsidRDefault="00EA2739" w:rsidP="00E671F4">
      <w:pPr>
        <w:widowControl w:val="0"/>
        <w:autoSpaceDE w:val="0"/>
        <w:autoSpaceDN w:val="0"/>
        <w:adjustRightInd w:val="0"/>
        <w:rPr>
          <w:rFonts w:ascii="Arial" w:eastAsia="Times New Roman" w:hAnsi="Arial" w:cs="Arial"/>
          <w:color w:val="000000"/>
          <w:sz w:val="22"/>
          <w:szCs w:val="22"/>
        </w:rPr>
      </w:pPr>
      <w:r w:rsidRPr="00E671F4">
        <w:rPr>
          <w:rFonts w:ascii="Arial" w:hAnsi="Arial" w:cs="Arial"/>
          <w:sz w:val="22"/>
          <w:szCs w:val="22"/>
        </w:rPr>
        <w:lastRenderedPageBreak/>
        <w:t>The reforms of the</w:t>
      </w:r>
      <w:r w:rsidR="00915332">
        <w:rPr>
          <w:rFonts w:ascii="Arial" w:hAnsi="Arial" w:cs="Arial"/>
          <w:sz w:val="22"/>
          <w:szCs w:val="22"/>
        </w:rPr>
        <w:t xml:space="preserve"> routes to qualification</w:t>
      </w:r>
      <w:r w:rsidR="0092435D">
        <w:rPr>
          <w:rFonts w:ascii="Arial" w:hAnsi="Arial" w:cs="Arial"/>
          <w:sz w:val="22"/>
          <w:szCs w:val="22"/>
        </w:rPr>
        <w:t xml:space="preserve"> will force </w:t>
      </w:r>
      <w:r w:rsidRPr="00E671F4">
        <w:rPr>
          <w:rFonts w:ascii="Arial" w:hAnsi="Arial" w:cs="Arial"/>
          <w:sz w:val="22"/>
          <w:szCs w:val="22"/>
        </w:rPr>
        <w:t>providers to re</w:t>
      </w:r>
      <w:r w:rsidR="003F4D34">
        <w:rPr>
          <w:rFonts w:ascii="Arial" w:hAnsi="Arial" w:cs="Arial"/>
          <w:sz w:val="22"/>
          <w:szCs w:val="22"/>
        </w:rPr>
        <w:t>-</w:t>
      </w:r>
      <w:r w:rsidRPr="00E671F4">
        <w:rPr>
          <w:rFonts w:ascii="Arial" w:hAnsi="Arial" w:cs="Arial"/>
          <w:sz w:val="22"/>
          <w:szCs w:val="22"/>
        </w:rPr>
        <w:t>think courses.</w:t>
      </w:r>
      <w:r w:rsidR="006A5A28" w:rsidRPr="00E671F4">
        <w:rPr>
          <w:rFonts w:ascii="Arial" w:hAnsi="Arial" w:cs="Arial"/>
          <w:sz w:val="22"/>
          <w:szCs w:val="22"/>
        </w:rPr>
        <w:t xml:space="preserve"> </w:t>
      </w:r>
      <w:r w:rsidRPr="00E671F4">
        <w:rPr>
          <w:rFonts w:ascii="Arial" w:hAnsi="Arial" w:cs="Arial"/>
          <w:sz w:val="22"/>
          <w:szCs w:val="22"/>
        </w:rPr>
        <w:t>The form of the SQE, the divergen</w:t>
      </w:r>
      <w:r w:rsidR="006A5A28" w:rsidRPr="00E671F4">
        <w:rPr>
          <w:rFonts w:ascii="Arial" w:hAnsi="Arial" w:cs="Arial"/>
          <w:sz w:val="22"/>
          <w:szCs w:val="22"/>
        </w:rPr>
        <w:t>ce</w:t>
      </w:r>
      <w:r w:rsidRPr="00E671F4">
        <w:rPr>
          <w:rFonts w:ascii="Arial" w:hAnsi="Arial" w:cs="Arial"/>
          <w:sz w:val="22"/>
          <w:szCs w:val="22"/>
        </w:rPr>
        <w:t xml:space="preserve"> from the requirements </w:t>
      </w:r>
      <w:r w:rsidR="00F34A53">
        <w:rPr>
          <w:rFonts w:ascii="Arial" w:hAnsi="Arial" w:cs="Arial"/>
          <w:sz w:val="22"/>
          <w:szCs w:val="22"/>
        </w:rPr>
        <w:t xml:space="preserve">for the </w:t>
      </w:r>
      <w:r w:rsidR="00915332">
        <w:rPr>
          <w:rFonts w:ascii="Arial" w:hAnsi="Arial" w:cs="Arial"/>
          <w:sz w:val="22"/>
          <w:szCs w:val="22"/>
        </w:rPr>
        <w:t>Ba</w:t>
      </w:r>
      <w:r w:rsidRPr="00E671F4">
        <w:rPr>
          <w:rFonts w:ascii="Arial" w:hAnsi="Arial" w:cs="Arial"/>
          <w:sz w:val="22"/>
          <w:szCs w:val="22"/>
        </w:rPr>
        <w:t xml:space="preserve">r, and a </w:t>
      </w:r>
      <w:r w:rsidR="00915332">
        <w:rPr>
          <w:rFonts w:ascii="Arial" w:hAnsi="Arial" w:cs="Arial"/>
          <w:sz w:val="22"/>
          <w:szCs w:val="22"/>
        </w:rPr>
        <w:t>sizeable</w:t>
      </w:r>
      <w:r w:rsidR="00915332" w:rsidRPr="00E671F4">
        <w:rPr>
          <w:rFonts w:ascii="Arial" w:hAnsi="Arial" w:cs="Arial"/>
          <w:sz w:val="22"/>
          <w:szCs w:val="22"/>
        </w:rPr>
        <w:t xml:space="preserve"> </w:t>
      </w:r>
      <w:r w:rsidRPr="00E671F4">
        <w:rPr>
          <w:rFonts w:ascii="Arial" w:hAnsi="Arial" w:cs="Arial"/>
          <w:sz w:val="22"/>
          <w:szCs w:val="22"/>
        </w:rPr>
        <w:t>market</w:t>
      </w:r>
      <w:r w:rsidR="0092435D">
        <w:rPr>
          <w:rFonts w:ascii="Arial" w:hAnsi="Arial" w:cs="Arial"/>
          <w:sz w:val="22"/>
          <w:szCs w:val="22"/>
        </w:rPr>
        <w:t>,</w:t>
      </w:r>
      <w:r w:rsidR="006A5A28" w:rsidRPr="00E671F4">
        <w:rPr>
          <w:rFonts w:ascii="Arial" w:hAnsi="Arial" w:cs="Arial"/>
          <w:sz w:val="22"/>
          <w:szCs w:val="22"/>
        </w:rPr>
        <w:t xml:space="preserve"> </w:t>
      </w:r>
      <w:r w:rsidRPr="00E671F4">
        <w:rPr>
          <w:rFonts w:ascii="Arial" w:hAnsi="Arial" w:cs="Arial"/>
          <w:sz w:val="22"/>
          <w:szCs w:val="22"/>
        </w:rPr>
        <w:t>point</w:t>
      </w:r>
      <w:r w:rsidR="00405BE6">
        <w:rPr>
          <w:rFonts w:ascii="Arial" w:hAnsi="Arial" w:cs="Arial"/>
          <w:sz w:val="22"/>
          <w:szCs w:val="22"/>
        </w:rPr>
        <w:t xml:space="preserve"> to an </w:t>
      </w:r>
      <w:r w:rsidRPr="00E671F4">
        <w:rPr>
          <w:rFonts w:ascii="Arial" w:hAnsi="Arial" w:cs="Arial"/>
          <w:sz w:val="22"/>
          <w:szCs w:val="22"/>
        </w:rPr>
        <w:t xml:space="preserve">environment </w:t>
      </w:r>
      <w:r w:rsidR="006A5A28" w:rsidRPr="00E671F4">
        <w:rPr>
          <w:rFonts w:ascii="Arial" w:hAnsi="Arial" w:cs="Arial"/>
          <w:sz w:val="22"/>
          <w:szCs w:val="22"/>
        </w:rPr>
        <w:t xml:space="preserve">defined </w:t>
      </w:r>
      <w:r w:rsidR="003F4D34">
        <w:rPr>
          <w:rFonts w:ascii="Arial" w:hAnsi="Arial" w:cs="Arial"/>
          <w:sz w:val="22"/>
          <w:szCs w:val="22"/>
        </w:rPr>
        <w:t>firstly</w:t>
      </w:r>
      <w:r w:rsidR="00D5702E">
        <w:rPr>
          <w:rFonts w:ascii="Arial" w:hAnsi="Arial" w:cs="Arial"/>
          <w:sz w:val="22"/>
          <w:szCs w:val="22"/>
        </w:rPr>
        <w:t>,</w:t>
      </w:r>
      <w:r w:rsidR="003F4D34">
        <w:rPr>
          <w:rFonts w:ascii="Arial" w:hAnsi="Arial" w:cs="Arial"/>
          <w:sz w:val="22"/>
          <w:szCs w:val="22"/>
        </w:rPr>
        <w:t xml:space="preserve"> </w:t>
      </w:r>
      <w:r w:rsidR="006A5A28" w:rsidRPr="00E671F4">
        <w:rPr>
          <w:rFonts w:ascii="Arial" w:hAnsi="Arial" w:cs="Arial"/>
          <w:sz w:val="22"/>
          <w:szCs w:val="22"/>
        </w:rPr>
        <w:t xml:space="preserve">by </w:t>
      </w:r>
      <w:r w:rsidR="00405BE6">
        <w:rPr>
          <w:rFonts w:ascii="Arial" w:hAnsi="Arial" w:cs="Arial"/>
          <w:sz w:val="22"/>
          <w:szCs w:val="22"/>
        </w:rPr>
        <w:t>no</w:t>
      </w:r>
      <w:r w:rsidR="00A61B56">
        <w:rPr>
          <w:rFonts w:ascii="Arial" w:hAnsi="Arial" w:cs="Arial"/>
          <w:sz w:val="22"/>
          <w:szCs w:val="22"/>
        </w:rPr>
        <w:t xml:space="preserve"> or little</w:t>
      </w:r>
      <w:r w:rsidR="00405BE6">
        <w:rPr>
          <w:rFonts w:ascii="Arial" w:hAnsi="Arial" w:cs="Arial"/>
          <w:sz w:val="22"/>
          <w:szCs w:val="22"/>
        </w:rPr>
        <w:t xml:space="preserve"> </w:t>
      </w:r>
      <w:r w:rsidRPr="00E671F4">
        <w:rPr>
          <w:rFonts w:ascii="Arial" w:hAnsi="Arial" w:cs="Arial"/>
          <w:sz w:val="22"/>
          <w:szCs w:val="22"/>
        </w:rPr>
        <w:t>choice</w:t>
      </w:r>
      <w:r w:rsidR="00405BE6">
        <w:rPr>
          <w:rFonts w:ascii="Arial" w:hAnsi="Arial" w:cs="Arial"/>
          <w:sz w:val="22"/>
          <w:szCs w:val="22"/>
        </w:rPr>
        <w:t xml:space="preserve"> </w:t>
      </w:r>
      <w:r w:rsidR="001D6B16">
        <w:rPr>
          <w:rFonts w:ascii="Arial" w:hAnsi="Arial" w:cs="Arial"/>
          <w:sz w:val="22"/>
          <w:szCs w:val="22"/>
        </w:rPr>
        <w:t xml:space="preserve">for NLG </w:t>
      </w:r>
      <w:r w:rsidR="00405BE6">
        <w:rPr>
          <w:rFonts w:ascii="Arial" w:hAnsi="Arial" w:cs="Arial"/>
          <w:sz w:val="22"/>
          <w:szCs w:val="22"/>
        </w:rPr>
        <w:t xml:space="preserve">but to choose </w:t>
      </w:r>
      <w:r w:rsidR="00D5702E">
        <w:rPr>
          <w:rFonts w:ascii="Arial" w:hAnsi="Arial" w:cs="Arial"/>
          <w:sz w:val="22"/>
          <w:szCs w:val="22"/>
        </w:rPr>
        <w:t xml:space="preserve">from the outset </w:t>
      </w:r>
      <w:r w:rsidR="00405BE6">
        <w:rPr>
          <w:rFonts w:ascii="Arial" w:hAnsi="Arial" w:cs="Arial"/>
          <w:sz w:val="22"/>
          <w:szCs w:val="22"/>
        </w:rPr>
        <w:t>between th</w:t>
      </w:r>
      <w:r w:rsidR="003F4D34">
        <w:rPr>
          <w:rFonts w:ascii="Arial" w:hAnsi="Arial" w:cs="Arial"/>
          <w:sz w:val="22"/>
          <w:szCs w:val="22"/>
        </w:rPr>
        <w:t>e Bar route or SQE</w:t>
      </w:r>
      <w:r w:rsidR="00405BE6">
        <w:rPr>
          <w:rFonts w:ascii="Arial" w:hAnsi="Arial" w:cs="Arial"/>
          <w:sz w:val="22"/>
          <w:szCs w:val="22"/>
        </w:rPr>
        <w:t>, then</w:t>
      </w:r>
      <w:r w:rsidR="001D6B16">
        <w:rPr>
          <w:rFonts w:ascii="Arial" w:hAnsi="Arial" w:cs="Arial"/>
          <w:sz w:val="22"/>
          <w:szCs w:val="22"/>
        </w:rPr>
        <w:t>,</w:t>
      </w:r>
      <w:r w:rsidR="00405BE6">
        <w:rPr>
          <w:rFonts w:ascii="Arial" w:hAnsi="Arial" w:cs="Arial"/>
          <w:sz w:val="22"/>
          <w:szCs w:val="22"/>
        </w:rPr>
        <w:t xml:space="preserve"> once the decision is made</w:t>
      </w:r>
      <w:r w:rsidR="003F4D34">
        <w:rPr>
          <w:rFonts w:ascii="Arial" w:hAnsi="Arial" w:cs="Arial"/>
          <w:sz w:val="22"/>
          <w:szCs w:val="22"/>
        </w:rPr>
        <w:t>, a</w:t>
      </w:r>
      <w:r w:rsidR="00405BE6">
        <w:rPr>
          <w:rFonts w:ascii="Arial" w:hAnsi="Arial" w:cs="Arial"/>
          <w:sz w:val="22"/>
          <w:szCs w:val="22"/>
        </w:rPr>
        <w:t xml:space="preserve"> </w:t>
      </w:r>
      <w:r w:rsidR="00A61B56">
        <w:rPr>
          <w:rFonts w:ascii="Arial" w:hAnsi="Arial" w:cs="Arial"/>
          <w:sz w:val="22"/>
          <w:szCs w:val="22"/>
        </w:rPr>
        <w:t xml:space="preserve">second decision about which is the best </w:t>
      </w:r>
      <w:r w:rsidR="00405BE6">
        <w:rPr>
          <w:rFonts w:ascii="Arial" w:hAnsi="Arial" w:cs="Arial"/>
          <w:sz w:val="22"/>
          <w:szCs w:val="22"/>
        </w:rPr>
        <w:t>prep course</w:t>
      </w:r>
      <w:r w:rsidRPr="00E671F4">
        <w:rPr>
          <w:rFonts w:ascii="Arial" w:hAnsi="Arial" w:cs="Arial"/>
          <w:sz w:val="22"/>
          <w:szCs w:val="22"/>
        </w:rPr>
        <w:t xml:space="preserve">. </w:t>
      </w:r>
      <w:r w:rsidR="006A5A28" w:rsidRPr="00E671F4">
        <w:rPr>
          <w:rFonts w:ascii="Arial" w:hAnsi="Arial" w:cs="Arial"/>
          <w:sz w:val="22"/>
          <w:szCs w:val="22"/>
        </w:rPr>
        <w:t>W</w:t>
      </w:r>
      <w:r w:rsidR="00915332">
        <w:rPr>
          <w:rFonts w:ascii="Arial" w:hAnsi="Arial" w:cs="Arial"/>
          <w:sz w:val="22"/>
          <w:szCs w:val="22"/>
        </w:rPr>
        <w:t>h</w:t>
      </w:r>
      <w:r w:rsidR="006A5A28" w:rsidRPr="00E671F4">
        <w:rPr>
          <w:rFonts w:ascii="Arial" w:hAnsi="Arial" w:cs="Arial"/>
          <w:sz w:val="22"/>
          <w:szCs w:val="22"/>
        </w:rPr>
        <w:t>ile</w:t>
      </w:r>
      <w:r w:rsidRPr="00E671F4">
        <w:rPr>
          <w:rFonts w:ascii="Arial" w:hAnsi="Arial" w:cs="Arial"/>
          <w:sz w:val="22"/>
          <w:szCs w:val="22"/>
        </w:rPr>
        <w:t xml:space="preserve"> competition </w:t>
      </w:r>
      <w:r w:rsidR="00D4759B">
        <w:rPr>
          <w:rFonts w:ascii="Arial" w:hAnsi="Arial" w:cs="Arial"/>
          <w:sz w:val="22"/>
          <w:szCs w:val="22"/>
        </w:rPr>
        <w:t>may</w:t>
      </w:r>
      <w:r w:rsidR="001D6B16">
        <w:rPr>
          <w:rFonts w:ascii="Arial" w:hAnsi="Arial" w:cs="Arial"/>
          <w:sz w:val="22"/>
          <w:szCs w:val="22"/>
        </w:rPr>
        <w:t xml:space="preserve"> </w:t>
      </w:r>
      <w:r w:rsidR="006A5A28" w:rsidRPr="00E671F4">
        <w:rPr>
          <w:rFonts w:ascii="Arial" w:hAnsi="Arial" w:cs="Arial"/>
          <w:sz w:val="22"/>
          <w:szCs w:val="22"/>
        </w:rPr>
        <w:t xml:space="preserve">lead to some </w:t>
      </w:r>
      <w:r w:rsidRPr="00E671F4">
        <w:rPr>
          <w:rFonts w:ascii="Arial" w:hAnsi="Arial" w:cs="Arial"/>
          <w:sz w:val="22"/>
          <w:szCs w:val="22"/>
        </w:rPr>
        <w:t>low</w:t>
      </w:r>
      <w:r w:rsidR="00086238">
        <w:rPr>
          <w:rFonts w:ascii="Arial" w:hAnsi="Arial" w:cs="Arial"/>
          <w:sz w:val="22"/>
          <w:szCs w:val="22"/>
        </w:rPr>
        <w:t>er-</w:t>
      </w:r>
      <w:r w:rsidRPr="00E671F4">
        <w:rPr>
          <w:rFonts w:ascii="Arial" w:hAnsi="Arial" w:cs="Arial"/>
          <w:sz w:val="22"/>
          <w:szCs w:val="22"/>
        </w:rPr>
        <w:t>price</w:t>
      </w:r>
      <w:r w:rsidR="006A5A28" w:rsidRPr="00E671F4">
        <w:rPr>
          <w:rFonts w:ascii="Arial" w:hAnsi="Arial" w:cs="Arial"/>
          <w:sz w:val="22"/>
          <w:szCs w:val="22"/>
        </w:rPr>
        <w:t>d course</w:t>
      </w:r>
      <w:r w:rsidR="00086238">
        <w:rPr>
          <w:rFonts w:ascii="Arial" w:hAnsi="Arial" w:cs="Arial"/>
          <w:sz w:val="22"/>
          <w:szCs w:val="22"/>
        </w:rPr>
        <w:t>s</w:t>
      </w:r>
      <w:r w:rsidRPr="00E671F4">
        <w:rPr>
          <w:rFonts w:ascii="Arial" w:hAnsi="Arial" w:cs="Arial"/>
          <w:sz w:val="22"/>
          <w:szCs w:val="22"/>
        </w:rPr>
        <w:t xml:space="preserve">, there is nothing </w:t>
      </w:r>
      <w:r w:rsidR="006A5A28" w:rsidRPr="00E671F4">
        <w:rPr>
          <w:rFonts w:ascii="Arial" w:hAnsi="Arial" w:cs="Arial"/>
          <w:sz w:val="22"/>
          <w:szCs w:val="22"/>
        </w:rPr>
        <w:t xml:space="preserve">in the reforms to give confidence that </w:t>
      </w:r>
      <w:r w:rsidR="0051077B" w:rsidRPr="00E671F4">
        <w:rPr>
          <w:rFonts w:ascii="Arial" w:hAnsi="Arial" w:cs="Arial"/>
          <w:sz w:val="22"/>
          <w:szCs w:val="22"/>
        </w:rPr>
        <w:t>the market or studen</w:t>
      </w:r>
      <w:r w:rsidR="00915332">
        <w:rPr>
          <w:rFonts w:ascii="Arial" w:hAnsi="Arial" w:cs="Arial"/>
          <w:sz w:val="22"/>
          <w:szCs w:val="22"/>
        </w:rPr>
        <w:t>t</w:t>
      </w:r>
      <w:r w:rsidR="0051077B" w:rsidRPr="00E671F4">
        <w:rPr>
          <w:rFonts w:ascii="Arial" w:hAnsi="Arial" w:cs="Arial"/>
          <w:sz w:val="22"/>
          <w:szCs w:val="22"/>
        </w:rPr>
        <w:t>s ability to negotiate through it</w:t>
      </w:r>
      <w:r w:rsidR="0092435D">
        <w:rPr>
          <w:rFonts w:ascii="Arial" w:hAnsi="Arial" w:cs="Arial"/>
          <w:sz w:val="22"/>
          <w:szCs w:val="22"/>
        </w:rPr>
        <w:t>,</w:t>
      </w:r>
      <w:r w:rsidR="0051077B" w:rsidRPr="00E671F4">
        <w:rPr>
          <w:rFonts w:ascii="Arial" w:hAnsi="Arial" w:cs="Arial"/>
          <w:sz w:val="22"/>
          <w:szCs w:val="22"/>
        </w:rPr>
        <w:t xml:space="preserve"> will lead to </w:t>
      </w:r>
      <w:r w:rsidRPr="00E671F4">
        <w:rPr>
          <w:rFonts w:ascii="Arial" w:hAnsi="Arial" w:cs="Arial"/>
          <w:sz w:val="22"/>
          <w:szCs w:val="22"/>
        </w:rPr>
        <w:t>fair</w:t>
      </w:r>
      <w:r w:rsidR="00086238">
        <w:rPr>
          <w:rFonts w:ascii="Arial" w:hAnsi="Arial" w:cs="Arial"/>
          <w:sz w:val="22"/>
          <w:szCs w:val="22"/>
        </w:rPr>
        <w:t>er</w:t>
      </w:r>
      <w:r w:rsidRPr="00E671F4">
        <w:rPr>
          <w:rFonts w:ascii="Arial" w:hAnsi="Arial" w:cs="Arial"/>
          <w:sz w:val="22"/>
          <w:szCs w:val="22"/>
        </w:rPr>
        <w:t xml:space="preserve"> and equal opportunities. The future for </w:t>
      </w:r>
      <w:r w:rsidR="0051077B" w:rsidRPr="00E671F4">
        <w:rPr>
          <w:rFonts w:ascii="Arial" w:hAnsi="Arial" w:cs="Arial"/>
          <w:sz w:val="22"/>
          <w:szCs w:val="22"/>
        </w:rPr>
        <w:t>the N</w:t>
      </w:r>
      <w:r w:rsidRPr="00E671F4">
        <w:rPr>
          <w:rFonts w:ascii="Arial" w:hAnsi="Arial" w:cs="Arial"/>
          <w:sz w:val="22"/>
          <w:szCs w:val="22"/>
        </w:rPr>
        <w:t xml:space="preserve">LG </w:t>
      </w:r>
      <w:r w:rsidR="00103E6C">
        <w:rPr>
          <w:rFonts w:ascii="Arial" w:hAnsi="Arial" w:cs="Arial"/>
          <w:sz w:val="22"/>
          <w:szCs w:val="22"/>
        </w:rPr>
        <w:t xml:space="preserve">would seem to be </w:t>
      </w:r>
      <w:r w:rsidRPr="00E671F4">
        <w:rPr>
          <w:rFonts w:ascii="Arial" w:hAnsi="Arial" w:cs="Arial"/>
          <w:sz w:val="22"/>
          <w:szCs w:val="22"/>
        </w:rPr>
        <w:t xml:space="preserve">more </w:t>
      </w:r>
      <w:r w:rsidR="008F37B2">
        <w:rPr>
          <w:rFonts w:ascii="Arial" w:hAnsi="Arial" w:cs="Arial"/>
          <w:sz w:val="22"/>
          <w:szCs w:val="22"/>
        </w:rPr>
        <w:t xml:space="preserve">variety </w:t>
      </w:r>
      <w:r w:rsidR="00F90FB4">
        <w:rPr>
          <w:rFonts w:ascii="Arial" w:hAnsi="Arial" w:cs="Arial"/>
          <w:sz w:val="22"/>
          <w:szCs w:val="22"/>
        </w:rPr>
        <w:t xml:space="preserve">but </w:t>
      </w:r>
      <w:r w:rsidR="0092435D">
        <w:rPr>
          <w:rFonts w:ascii="Arial" w:hAnsi="Arial" w:cs="Arial"/>
          <w:sz w:val="22"/>
          <w:szCs w:val="22"/>
        </w:rPr>
        <w:t xml:space="preserve">also more </w:t>
      </w:r>
      <w:r w:rsidR="008F37B2">
        <w:rPr>
          <w:rFonts w:ascii="Arial" w:hAnsi="Arial" w:cs="Arial"/>
          <w:sz w:val="22"/>
          <w:szCs w:val="22"/>
        </w:rPr>
        <w:t>uncertainty</w:t>
      </w:r>
      <w:r w:rsidR="0092435D">
        <w:rPr>
          <w:rFonts w:ascii="Arial" w:hAnsi="Arial" w:cs="Arial"/>
          <w:sz w:val="22"/>
          <w:szCs w:val="22"/>
        </w:rPr>
        <w:t xml:space="preserve"> </w:t>
      </w:r>
      <w:r w:rsidR="006A2018">
        <w:rPr>
          <w:rFonts w:ascii="Arial" w:hAnsi="Arial" w:cs="Arial"/>
          <w:sz w:val="22"/>
          <w:szCs w:val="22"/>
        </w:rPr>
        <w:t xml:space="preserve">and risk, </w:t>
      </w:r>
      <w:r w:rsidR="00E454C8">
        <w:rPr>
          <w:rFonts w:ascii="Arial" w:hAnsi="Arial" w:cs="Arial"/>
          <w:sz w:val="22"/>
          <w:szCs w:val="22"/>
        </w:rPr>
        <w:t xml:space="preserve">which is </w:t>
      </w:r>
      <w:r w:rsidR="002E135A">
        <w:rPr>
          <w:rFonts w:ascii="Arial" w:hAnsi="Arial" w:cs="Arial"/>
          <w:sz w:val="22"/>
          <w:szCs w:val="22"/>
        </w:rPr>
        <w:t>likely to lead</w:t>
      </w:r>
      <w:r w:rsidR="008F37B2">
        <w:rPr>
          <w:rFonts w:ascii="Arial" w:hAnsi="Arial" w:cs="Arial"/>
          <w:sz w:val="22"/>
          <w:szCs w:val="22"/>
        </w:rPr>
        <w:t xml:space="preserve"> to </w:t>
      </w:r>
      <w:r w:rsidR="00103E6C">
        <w:rPr>
          <w:rFonts w:ascii="Arial" w:hAnsi="Arial" w:cs="Arial"/>
          <w:sz w:val="22"/>
          <w:szCs w:val="22"/>
        </w:rPr>
        <w:t>re-situat</w:t>
      </w:r>
      <w:r w:rsidR="0092435D">
        <w:rPr>
          <w:rFonts w:ascii="Arial" w:hAnsi="Arial" w:cs="Arial"/>
          <w:sz w:val="22"/>
          <w:szCs w:val="22"/>
        </w:rPr>
        <w:t>ion</w:t>
      </w:r>
      <w:r w:rsidR="00E454C8">
        <w:rPr>
          <w:rFonts w:ascii="Arial" w:hAnsi="Arial" w:cs="Arial"/>
          <w:sz w:val="22"/>
          <w:szCs w:val="22"/>
        </w:rPr>
        <w:t>,</w:t>
      </w:r>
      <w:r w:rsidR="006A2018">
        <w:rPr>
          <w:rFonts w:ascii="Arial" w:hAnsi="Arial" w:cs="Arial"/>
          <w:sz w:val="22"/>
          <w:szCs w:val="22"/>
        </w:rPr>
        <w:t xml:space="preserve"> but</w:t>
      </w:r>
      <w:r w:rsidR="00103E6C">
        <w:rPr>
          <w:rFonts w:ascii="Arial" w:hAnsi="Arial" w:cs="Arial"/>
          <w:sz w:val="22"/>
          <w:szCs w:val="22"/>
        </w:rPr>
        <w:t xml:space="preserve"> </w:t>
      </w:r>
      <w:r w:rsidR="008F37B2">
        <w:rPr>
          <w:rFonts w:ascii="Arial" w:hAnsi="Arial" w:cs="Arial"/>
          <w:sz w:val="22"/>
          <w:szCs w:val="22"/>
        </w:rPr>
        <w:t>not a removal</w:t>
      </w:r>
      <w:r w:rsidR="006A2018">
        <w:rPr>
          <w:rFonts w:ascii="Arial" w:hAnsi="Arial" w:cs="Arial"/>
          <w:sz w:val="22"/>
          <w:szCs w:val="22"/>
        </w:rPr>
        <w:t>,</w:t>
      </w:r>
      <w:r w:rsidR="008F37B2">
        <w:rPr>
          <w:rFonts w:ascii="Arial" w:hAnsi="Arial" w:cs="Arial"/>
          <w:sz w:val="22"/>
          <w:szCs w:val="22"/>
        </w:rPr>
        <w:t xml:space="preserve"> of</w:t>
      </w:r>
      <w:r w:rsidR="0092435D">
        <w:rPr>
          <w:rFonts w:ascii="Arial" w:hAnsi="Arial" w:cs="Arial"/>
          <w:sz w:val="22"/>
          <w:szCs w:val="22"/>
        </w:rPr>
        <w:t xml:space="preserve"> </w:t>
      </w:r>
      <w:r w:rsidR="008F37B2">
        <w:rPr>
          <w:rFonts w:ascii="Arial" w:hAnsi="Arial" w:cs="Arial"/>
          <w:sz w:val="22"/>
          <w:szCs w:val="22"/>
        </w:rPr>
        <w:t xml:space="preserve">blockers to diversity in the profession. </w:t>
      </w:r>
      <w:r w:rsidR="00E65329" w:rsidRPr="00E671F4">
        <w:rPr>
          <w:rFonts w:ascii="Arial" w:eastAsia="Times New Roman" w:hAnsi="Arial" w:cs="Arial"/>
          <w:color w:val="000000"/>
          <w:sz w:val="22"/>
          <w:szCs w:val="22"/>
        </w:rPr>
        <w:t>I</w:t>
      </w:r>
      <w:r w:rsidR="00F90FB4">
        <w:rPr>
          <w:rFonts w:ascii="Arial" w:eastAsia="Times New Roman" w:hAnsi="Arial" w:cs="Arial"/>
          <w:color w:val="000000"/>
          <w:sz w:val="22"/>
          <w:szCs w:val="22"/>
        </w:rPr>
        <w:t xml:space="preserve">t seems to this author that </w:t>
      </w:r>
      <w:r w:rsidR="0092435D">
        <w:rPr>
          <w:rFonts w:ascii="Arial" w:eastAsia="Times New Roman" w:hAnsi="Arial" w:cs="Arial"/>
          <w:color w:val="000000"/>
          <w:sz w:val="22"/>
          <w:szCs w:val="22"/>
        </w:rPr>
        <w:t xml:space="preserve">to </w:t>
      </w:r>
      <w:r w:rsidR="002E135A">
        <w:rPr>
          <w:rFonts w:ascii="Arial" w:eastAsia="Times New Roman" w:hAnsi="Arial" w:cs="Arial"/>
          <w:color w:val="000000"/>
          <w:sz w:val="22"/>
          <w:szCs w:val="22"/>
        </w:rPr>
        <w:t xml:space="preserve">achieve </w:t>
      </w:r>
      <w:r w:rsidR="00A61B56">
        <w:rPr>
          <w:rFonts w:ascii="Arial" w:eastAsia="Times New Roman" w:hAnsi="Arial" w:cs="Arial"/>
          <w:color w:val="000000"/>
          <w:sz w:val="22"/>
          <w:szCs w:val="22"/>
        </w:rPr>
        <w:t xml:space="preserve">an increased rate of </w:t>
      </w:r>
      <w:r w:rsidR="002E135A">
        <w:rPr>
          <w:rFonts w:ascii="Arial" w:eastAsia="Times New Roman" w:hAnsi="Arial" w:cs="Arial"/>
          <w:color w:val="000000"/>
          <w:sz w:val="22"/>
          <w:szCs w:val="22"/>
        </w:rPr>
        <w:t>diversity across the profession,</w:t>
      </w:r>
      <w:r w:rsidR="00A76671">
        <w:rPr>
          <w:rFonts w:ascii="Arial" w:eastAsia="Times New Roman" w:hAnsi="Arial" w:cs="Arial"/>
          <w:color w:val="000000"/>
          <w:sz w:val="22"/>
          <w:szCs w:val="22"/>
        </w:rPr>
        <w:t xml:space="preserve"> </w:t>
      </w:r>
      <w:r w:rsidR="00086238">
        <w:rPr>
          <w:rFonts w:ascii="Arial" w:eastAsia="Times New Roman" w:hAnsi="Arial" w:cs="Arial"/>
          <w:color w:val="000000"/>
          <w:sz w:val="22"/>
          <w:szCs w:val="22"/>
        </w:rPr>
        <w:t xml:space="preserve">the regulators </w:t>
      </w:r>
      <w:r w:rsidR="000F7A2F">
        <w:rPr>
          <w:rFonts w:ascii="Arial" w:eastAsia="Times New Roman" w:hAnsi="Arial" w:cs="Arial"/>
          <w:color w:val="000000"/>
          <w:sz w:val="22"/>
          <w:szCs w:val="22"/>
        </w:rPr>
        <w:t xml:space="preserve">cannot </w:t>
      </w:r>
      <w:r w:rsidR="002E135A">
        <w:rPr>
          <w:rFonts w:ascii="Arial" w:eastAsia="Times New Roman" w:hAnsi="Arial" w:cs="Arial"/>
          <w:color w:val="000000"/>
          <w:sz w:val="22"/>
          <w:szCs w:val="22"/>
        </w:rPr>
        <w:t xml:space="preserve">simply </w:t>
      </w:r>
      <w:r w:rsidR="000F7A2F">
        <w:rPr>
          <w:rFonts w:ascii="Arial" w:eastAsia="Times New Roman" w:hAnsi="Arial" w:cs="Arial"/>
          <w:color w:val="000000"/>
          <w:sz w:val="22"/>
          <w:szCs w:val="22"/>
        </w:rPr>
        <w:t xml:space="preserve">rely on the market. </w:t>
      </w:r>
      <w:r w:rsidR="00A76671">
        <w:rPr>
          <w:rFonts w:ascii="Arial" w:eastAsia="Times New Roman" w:hAnsi="Arial" w:cs="Arial"/>
          <w:color w:val="000000"/>
          <w:sz w:val="22"/>
          <w:szCs w:val="22"/>
        </w:rPr>
        <w:t xml:space="preserve">There </w:t>
      </w:r>
      <w:r w:rsidR="002E135A">
        <w:rPr>
          <w:rFonts w:ascii="Arial" w:eastAsia="Times New Roman" w:hAnsi="Arial" w:cs="Arial"/>
          <w:color w:val="000000"/>
          <w:sz w:val="22"/>
          <w:szCs w:val="22"/>
        </w:rPr>
        <w:t xml:space="preserve">may be a desire to achieve </w:t>
      </w:r>
      <w:r w:rsidR="00A61B56">
        <w:rPr>
          <w:rFonts w:ascii="Arial" w:eastAsia="Times New Roman" w:hAnsi="Arial" w:cs="Arial"/>
          <w:color w:val="000000"/>
          <w:sz w:val="22"/>
          <w:szCs w:val="22"/>
        </w:rPr>
        <w:t xml:space="preserve">increased </w:t>
      </w:r>
      <w:r w:rsidR="002E135A">
        <w:rPr>
          <w:rFonts w:ascii="Arial" w:eastAsia="Times New Roman" w:hAnsi="Arial" w:cs="Arial"/>
          <w:color w:val="000000"/>
          <w:sz w:val="22"/>
          <w:szCs w:val="22"/>
        </w:rPr>
        <w:t>diversity with these reforms but there is simply</w:t>
      </w:r>
      <w:r w:rsidR="00A76671">
        <w:rPr>
          <w:rFonts w:ascii="Arial" w:eastAsia="Times New Roman" w:hAnsi="Arial" w:cs="Arial"/>
          <w:color w:val="000000"/>
          <w:sz w:val="22"/>
          <w:szCs w:val="22"/>
        </w:rPr>
        <w:t xml:space="preserve"> no reason </w:t>
      </w:r>
      <w:r w:rsidR="002E135A">
        <w:rPr>
          <w:rFonts w:ascii="Arial" w:eastAsia="Times New Roman" w:hAnsi="Arial" w:cs="Arial"/>
          <w:color w:val="000000"/>
          <w:sz w:val="22"/>
          <w:szCs w:val="22"/>
        </w:rPr>
        <w:t xml:space="preserve">or evidence </w:t>
      </w:r>
      <w:r w:rsidR="00A76671">
        <w:rPr>
          <w:rFonts w:ascii="Arial" w:eastAsia="Times New Roman" w:hAnsi="Arial" w:cs="Arial"/>
          <w:color w:val="000000"/>
          <w:sz w:val="22"/>
          <w:szCs w:val="22"/>
        </w:rPr>
        <w:t>to expect an empathetic market</w:t>
      </w:r>
      <w:r w:rsidR="006A2018">
        <w:rPr>
          <w:rFonts w:ascii="Arial" w:eastAsia="Times New Roman" w:hAnsi="Arial" w:cs="Arial"/>
          <w:color w:val="000000"/>
          <w:sz w:val="22"/>
          <w:szCs w:val="22"/>
        </w:rPr>
        <w:t xml:space="preserve"> or favourable forces within in it to deliver </w:t>
      </w:r>
      <w:r w:rsidR="00BE3DAC">
        <w:rPr>
          <w:rFonts w:ascii="Arial" w:eastAsia="Times New Roman" w:hAnsi="Arial" w:cs="Arial"/>
          <w:color w:val="000000"/>
          <w:sz w:val="22"/>
          <w:szCs w:val="22"/>
        </w:rPr>
        <w:t>it</w:t>
      </w:r>
      <w:r w:rsidR="006A2018">
        <w:rPr>
          <w:rFonts w:ascii="Arial" w:eastAsia="Times New Roman" w:hAnsi="Arial" w:cs="Arial"/>
          <w:color w:val="000000"/>
          <w:sz w:val="22"/>
          <w:szCs w:val="22"/>
        </w:rPr>
        <w:t xml:space="preserve">. </w:t>
      </w:r>
    </w:p>
    <w:p w14:paraId="171CE0E1" w14:textId="77777777" w:rsidR="00E65329" w:rsidRDefault="00E65329" w:rsidP="00EA2739">
      <w:pPr>
        <w:widowControl w:val="0"/>
        <w:autoSpaceDE w:val="0"/>
        <w:autoSpaceDN w:val="0"/>
        <w:adjustRightInd w:val="0"/>
        <w:rPr>
          <w:rFonts w:ascii="Consolas" w:hAnsi="Consolas" w:cs="Consolas"/>
        </w:rPr>
      </w:pPr>
    </w:p>
    <w:p w14:paraId="49EBE404" w14:textId="77777777" w:rsidR="00EA2739" w:rsidRPr="004F6670" w:rsidRDefault="00EA2739" w:rsidP="00314391">
      <w:pPr>
        <w:widowControl w:val="0"/>
        <w:autoSpaceDE w:val="0"/>
        <w:autoSpaceDN w:val="0"/>
        <w:adjustRightInd w:val="0"/>
        <w:rPr>
          <w:rFonts w:ascii="Arial" w:hAnsi="Arial" w:cs="Arial"/>
          <w:sz w:val="22"/>
          <w:szCs w:val="22"/>
        </w:rPr>
      </w:pPr>
    </w:p>
    <w:sectPr w:rsidR="00EA2739" w:rsidRPr="004F6670" w:rsidSect="00EB22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1B1A" w14:textId="77777777" w:rsidR="00664677" w:rsidRDefault="00664677" w:rsidP="00413BC3">
      <w:r>
        <w:separator/>
      </w:r>
    </w:p>
  </w:endnote>
  <w:endnote w:type="continuationSeparator" w:id="0">
    <w:p w14:paraId="46253641" w14:textId="77777777" w:rsidR="00664677" w:rsidRDefault="00664677" w:rsidP="0041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4826" w14:textId="77777777" w:rsidR="00664677" w:rsidRDefault="00664677" w:rsidP="00413BC3">
      <w:r>
        <w:separator/>
      </w:r>
    </w:p>
  </w:footnote>
  <w:footnote w:type="continuationSeparator" w:id="0">
    <w:p w14:paraId="21E2B704" w14:textId="77777777" w:rsidR="00664677" w:rsidRDefault="00664677" w:rsidP="00413BC3">
      <w:r>
        <w:continuationSeparator/>
      </w:r>
    </w:p>
  </w:footnote>
  <w:footnote w:id="1">
    <w:p w14:paraId="1F4EDF6A" w14:textId="033D66C9" w:rsidR="004F3462" w:rsidRPr="00EF475E" w:rsidRDefault="004F3462" w:rsidP="0023391A">
      <w:pPr>
        <w:pStyle w:val="FootnoteText"/>
        <w:rPr>
          <w:rFonts w:ascii="Arial" w:hAnsi="Arial" w:cs="Arial"/>
          <w:sz w:val="20"/>
          <w:szCs w:val="20"/>
        </w:rPr>
      </w:pPr>
      <w:r w:rsidRPr="00EF475E">
        <w:rPr>
          <w:rStyle w:val="FootnoteReference"/>
          <w:rFonts w:ascii="Arial" w:hAnsi="Arial" w:cs="Arial"/>
          <w:sz w:val="20"/>
          <w:szCs w:val="20"/>
        </w:rPr>
        <w:footnoteRef/>
      </w:r>
      <w:r w:rsidRPr="00EF475E">
        <w:rPr>
          <w:rFonts w:ascii="Arial" w:hAnsi="Arial" w:cs="Arial"/>
          <w:sz w:val="20"/>
          <w:szCs w:val="20"/>
        </w:rPr>
        <w:t xml:space="preserve"> The date for the implementation of the SQE has been put back to Autumn 2021 and as a consequence the last moment to start conversion course under current regulations is before autumn 2021.  </w:t>
      </w:r>
    </w:p>
  </w:footnote>
  <w:footnote w:id="2">
    <w:p w14:paraId="2FDD9756" w14:textId="72C8D1EE" w:rsidR="004F3462" w:rsidRPr="00EF475E" w:rsidRDefault="004F3462">
      <w:pPr>
        <w:pStyle w:val="FootnoteText"/>
        <w:rPr>
          <w:rFonts w:ascii="Arial" w:hAnsi="Arial" w:cs="Arial"/>
          <w:sz w:val="20"/>
          <w:szCs w:val="20"/>
        </w:rPr>
      </w:pPr>
      <w:r w:rsidRPr="00EF475E">
        <w:rPr>
          <w:rStyle w:val="FootnoteReference"/>
          <w:rFonts w:ascii="Arial" w:hAnsi="Arial" w:cs="Arial"/>
          <w:sz w:val="20"/>
          <w:szCs w:val="20"/>
        </w:rPr>
        <w:footnoteRef/>
      </w:r>
      <w:r w:rsidRPr="00EF475E">
        <w:rPr>
          <w:rFonts w:ascii="Arial" w:hAnsi="Arial" w:cs="Arial"/>
          <w:sz w:val="20"/>
          <w:szCs w:val="20"/>
        </w:rPr>
        <w:t xml:space="preserve"> SRA Information Note (December 2017) sent to providers of accredited law courses.</w:t>
      </w:r>
    </w:p>
  </w:footnote>
  <w:footnote w:id="3">
    <w:p w14:paraId="2B0EE06D" w14:textId="77777777" w:rsidR="004F3462" w:rsidRDefault="004F3462" w:rsidP="00582EA2">
      <w:pPr>
        <w:pStyle w:val="FootnoteText"/>
      </w:pPr>
      <w:r w:rsidRPr="00EF475E">
        <w:rPr>
          <w:rStyle w:val="FootnoteReference"/>
          <w:rFonts w:ascii="Arial" w:hAnsi="Arial" w:cs="Arial"/>
          <w:sz w:val="20"/>
          <w:szCs w:val="20"/>
        </w:rPr>
        <w:footnoteRef/>
      </w:r>
      <w:r w:rsidRPr="00EF475E">
        <w:rPr>
          <w:rFonts w:ascii="Arial" w:hAnsi="Arial" w:cs="Arial"/>
          <w:sz w:val="20"/>
          <w:szCs w:val="20"/>
        </w:rPr>
        <w:t xml:space="preserve"> It is expected that the SRA will seek approval in 2019, see Legal Services Board, ‘Summary of Decision’ (</w:t>
      </w:r>
      <w:r w:rsidRPr="00EF475E">
        <w:rPr>
          <w:rFonts w:ascii="Arial" w:eastAsia="Times New Roman" w:hAnsi="Arial" w:cs="Arial"/>
          <w:sz w:val="20"/>
          <w:szCs w:val="20"/>
          <w:lang w:val="en-GB"/>
        </w:rPr>
        <w:t xml:space="preserve">LSB final decision notice 26 March 2018) para 15; 30; </w:t>
      </w:r>
      <w:r w:rsidRPr="00EF475E">
        <w:rPr>
          <w:rFonts w:ascii="Arial" w:hAnsi="Arial" w:cs="Arial"/>
          <w:sz w:val="20"/>
          <w:szCs w:val="20"/>
        </w:rPr>
        <w:t xml:space="preserve">the BSB changes </w:t>
      </w:r>
      <w:r>
        <w:rPr>
          <w:rFonts w:ascii="Arial" w:hAnsi="Arial" w:cs="Arial"/>
          <w:sz w:val="20"/>
          <w:szCs w:val="20"/>
        </w:rPr>
        <w:t>were approved in February 2019; information on the LSB website,</w:t>
      </w:r>
      <w:r w:rsidRPr="00EF475E">
        <w:rPr>
          <w:rFonts w:ascii="Arial" w:hAnsi="Arial" w:cs="Arial"/>
          <w:sz w:val="20"/>
          <w:szCs w:val="20"/>
        </w:rPr>
        <w:t xml:space="preserve"> </w:t>
      </w:r>
      <w:r w:rsidRPr="00EF475E">
        <w:rPr>
          <w:rFonts w:ascii="Arial" w:eastAsia="Times New Roman" w:hAnsi="Arial" w:cs="Arial"/>
          <w:sz w:val="20"/>
          <w:szCs w:val="20"/>
          <w:lang w:val="en-GB"/>
        </w:rPr>
        <w:t>&lt;www.legalservicesboard.org.uk/what_we_do/regulation/pdf/2018/FINAL_decision_notice.pdf&gt; accessed 30 April 2019.</w:t>
      </w:r>
    </w:p>
  </w:footnote>
  <w:footnote w:id="4">
    <w:p w14:paraId="1ABA9D24" w14:textId="4EEFD337" w:rsidR="004F3462" w:rsidRPr="00E671F4" w:rsidRDefault="004F3462" w:rsidP="009E459B">
      <w:pPr>
        <w:pStyle w:val="FootnoteText"/>
        <w:rPr>
          <w:rFonts w:ascii="Arial" w:hAnsi="Arial" w:cs="Arial"/>
          <w:sz w:val="20"/>
          <w:szCs w:val="20"/>
        </w:rPr>
      </w:pPr>
      <w:r w:rsidRPr="00E671F4">
        <w:rPr>
          <w:rStyle w:val="FootnoteReference"/>
          <w:rFonts w:ascii="Arial" w:hAnsi="Arial" w:cs="Arial"/>
          <w:sz w:val="20"/>
          <w:szCs w:val="20"/>
        </w:rPr>
        <w:footnoteRef/>
      </w:r>
      <w:r w:rsidRPr="00E671F4">
        <w:rPr>
          <w:rFonts w:ascii="Arial" w:hAnsi="Arial" w:cs="Arial"/>
          <w:sz w:val="20"/>
          <w:szCs w:val="20"/>
        </w:rPr>
        <w:t xml:space="preserve"> SRA, ‘How Diverse are Law Firms?’ (2017), &lt;www.sra.org.uk/solicitors/diversity-toolkit/diverse-law-firms.page&gt; acc</w:t>
      </w:r>
      <w:r>
        <w:rPr>
          <w:rFonts w:ascii="Arial" w:hAnsi="Arial" w:cs="Arial"/>
          <w:sz w:val="20"/>
          <w:szCs w:val="20"/>
        </w:rPr>
        <w:t>essed 5 February 2019; LETR (n 6</w:t>
      </w:r>
      <w:r w:rsidRPr="00E671F4">
        <w:rPr>
          <w:rFonts w:ascii="Arial" w:hAnsi="Arial" w:cs="Arial"/>
          <w:sz w:val="20"/>
          <w:szCs w:val="20"/>
        </w:rPr>
        <w:t>) para 3.32.</w:t>
      </w:r>
    </w:p>
  </w:footnote>
  <w:footnote w:id="5">
    <w:p w14:paraId="042B3411" w14:textId="77777777" w:rsidR="004F3462" w:rsidRPr="00E40B21" w:rsidRDefault="004F3462" w:rsidP="00EC1019">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Legal Services Board, ‘The Regulatory Objectives – The Legal Service Act’ para 43 &lt;</w:t>
      </w:r>
      <w:hyperlink r:id="rId1" w:history="1">
        <w:r w:rsidRPr="00E40B21">
          <w:rPr>
            <w:rStyle w:val="Hyperlink"/>
            <w:rFonts w:ascii="Arial" w:hAnsi="Arial" w:cs="Arial"/>
            <w:sz w:val="20"/>
            <w:szCs w:val="20"/>
          </w:rPr>
          <w:t>www.legalservicesboard.org.uk/news_publications/publications/pdf/regulatory_objectives.pdf</w:t>
        </w:r>
      </w:hyperlink>
      <w:r w:rsidRPr="00E40B21">
        <w:rPr>
          <w:rFonts w:ascii="Arial" w:hAnsi="Arial" w:cs="Arial"/>
          <w:sz w:val="20"/>
          <w:szCs w:val="20"/>
        </w:rPr>
        <w:t>&gt; accessed 24 April 2019.</w:t>
      </w:r>
    </w:p>
  </w:footnote>
  <w:footnote w:id="6">
    <w:p w14:paraId="08791651" w14:textId="77777777" w:rsidR="004F3462" w:rsidRPr="00E40B21" w:rsidRDefault="004F3462" w:rsidP="007E0F66">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J. Webb, J. Ching, P Maharg and A. Sherr, Setting Standards: The Future of Legal Services Education and Training Regulation in England and Wales (2013) (LETR) para 1.1;</w:t>
      </w:r>
    </w:p>
    <w:p w14:paraId="2859E65D" w14:textId="09F448B9" w:rsidR="004F3462" w:rsidRPr="006E1CB0" w:rsidRDefault="004F3462" w:rsidP="007E0F66">
      <w:pPr>
        <w:pStyle w:val="FootnoteText"/>
        <w:rPr>
          <w:rFonts w:ascii="Arial" w:hAnsi="Arial" w:cs="Arial"/>
          <w:sz w:val="20"/>
          <w:szCs w:val="20"/>
        </w:rPr>
      </w:pPr>
      <w:r w:rsidRPr="006E1CB0">
        <w:rPr>
          <w:rFonts w:ascii="Arial" w:hAnsi="Arial" w:cs="Arial"/>
          <w:sz w:val="20"/>
          <w:szCs w:val="20"/>
        </w:rPr>
        <w:t>for Ormrod see (n 13).</w:t>
      </w:r>
    </w:p>
  </w:footnote>
  <w:footnote w:id="7">
    <w:p w14:paraId="1BE73576" w14:textId="5AAA910E" w:rsidR="004F3462" w:rsidRPr="006E1CB0" w:rsidRDefault="004F3462" w:rsidP="002D2060">
      <w:pPr>
        <w:pStyle w:val="FootnoteText"/>
        <w:rPr>
          <w:rFonts w:ascii="Arial" w:hAnsi="Arial" w:cs="Arial"/>
          <w:sz w:val="20"/>
          <w:szCs w:val="20"/>
        </w:rPr>
      </w:pPr>
      <w:r w:rsidRPr="006E1CB0">
        <w:rPr>
          <w:rStyle w:val="FootnoteReference"/>
          <w:rFonts w:ascii="Arial" w:hAnsi="Arial" w:cs="Arial"/>
          <w:sz w:val="20"/>
          <w:szCs w:val="20"/>
        </w:rPr>
        <w:footnoteRef/>
      </w:r>
      <w:r w:rsidRPr="006E1CB0">
        <w:rPr>
          <w:rFonts w:ascii="Arial" w:hAnsi="Arial" w:cs="Arial"/>
          <w:sz w:val="20"/>
          <w:szCs w:val="20"/>
        </w:rPr>
        <w:t xml:space="preserve"> LETR (n 6) para 2.106, 2.172 - 2.175.</w:t>
      </w:r>
    </w:p>
  </w:footnote>
  <w:footnote w:id="8">
    <w:p w14:paraId="0FFAA1C6" w14:textId="14AA5368" w:rsidR="004F3462" w:rsidRPr="006E1CB0" w:rsidRDefault="004F3462" w:rsidP="00BD43E6">
      <w:pPr>
        <w:pStyle w:val="FootnoteText"/>
        <w:rPr>
          <w:rFonts w:ascii="Arial" w:hAnsi="Arial" w:cs="Arial"/>
          <w:sz w:val="20"/>
          <w:szCs w:val="20"/>
        </w:rPr>
      </w:pPr>
      <w:r w:rsidRPr="006E1CB0">
        <w:rPr>
          <w:rStyle w:val="FootnoteReference"/>
          <w:rFonts w:ascii="Arial" w:hAnsi="Arial" w:cs="Arial"/>
          <w:sz w:val="20"/>
          <w:szCs w:val="20"/>
        </w:rPr>
        <w:footnoteRef/>
      </w:r>
      <w:r w:rsidRPr="006E1CB0">
        <w:rPr>
          <w:rFonts w:ascii="Arial" w:hAnsi="Arial" w:cs="Arial"/>
          <w:sz w:val="20"/>
          <w:szCs w:val="20"/>
        </w:rPr>
        <w:t xml:space="preserve"> ibid para 2.118; though no concerns were identified with the conversion course.</w:t>
      </w:r>
    </w:p>
  </w:footnote>
  <w:footnote w:id="9">
    <w:p w14:paraId="0D142FE9" w14:textId="2329061D" w:rsidR="004F3462" w:rsidRPr="006E1CB0" w:rsidRDefault="004F3462">
      <w:pPr>
        <w:pStyle w:val="FootnoteText"/>
        <w:rPr>
          <w:rFonts w:ascii="Arial" w:hAnsi="Arial"/>
          <w:sz w:val="20"/>
          <w:szCs w:val="20"/>
        </w:rPr>
      </w:pPr>
      <w:r w:rsidRPr="006E1CB0">
        <w:rPr>
          <w:rStyle w:val="FootnoteReference"/>
          <w:rFonts w:ascii="Arial" w:hAnsi="Arial"/>
          <w:sz w:val="20"/>
          <w:szCs w:val="20"/>
        </w:rPr>
        <w:footnoteRef/>
      </w:r>
      <w:r w:rsidRPr="006E1CB0">
        <w:rPr>
          <w:rFonts w:ascii="Arial" w:hAnsi="Arial"/>
          <w:sz w:val="20"/>
          <w:szCs w:val="20"/>
        </w:rPr>
        <w:t xml:space="preserve"> Ibid para 6.11 - ‘</w:t>
      </w:r>
      <w:r w:rsidRPr="006E1CB0">
        <w:rPr>
          <w:rFonts w:ascii="Arial" w:hAnsi="Arial" w:cs="Arial"/>
          <w:sz w:val="20"/>
          <w:szCs w:val="20"/>
        </w:rPr>
        <w:t>LPC gamble’ tag – the upfront fees for a whole vocational course without a promise of a training contract; or equivalent for the Bar route with a BPTC gamble.</w:t>
      </w:r>
    </w:p>
  </w:footnote>
  <w:footnote w:id="10">
    <w:p w14:paraId="1D1CDB5C" w14:textId="77777777" w:rsidR="004F3462" w:rsidRPr="002050D2" w:rsidRDefault="004F3462" w:rsidP="002D2060">
      <w:pPr>
        <w:pStyle w:val="FootnoteText"/>
        <w:rPr>
          <w:rFonts w:ascii="Arial" w:hAnsi="Arial" w:cs="Arial"/>
          <w:sz w:val="20"/>
          <w:szCs w:val="20"/>
        </w:rPr>
      </w:pPr>
      <w:r w:rsidRPr="002050D2">
        <w:rPr>
          <w:rStyle w:val="FootnoteReference"/>
          <w:rFonts w:ascii="Arial" w:hAnsi="Arial" w:cs="Arial"/>
          <w:sz w:val="20"/>
          <w:szCs w:val="20"/>
        </w:rPr>
        <w:footnoteRef/>
      </w:r>
      <w:r w:rsidRPr="002050D2">
        <w:rPr>
          <w:rFonts w:ascii="Arial" w:hAnsi="Arial" w:cs="Arial"/>
          <w:sz w:val="20"/>
          <w:szCs w:val="20"/>
        </w:rPr>
        <w:t xml:space="preserve"> ibid para</w:t>
      </w:r>
      <w:r w:rsidRPr="002050D2">
        <w:rPr>
          <w:rFonts w:ascii="Arial" w:eastAsia="Times New Roman" w:hAnsi="Arial" w:cs="Arial"/>
          <w:sz w:val="20"/>
          <w:szCs w:val="20"/>
          <w:lang w:val="en-GB"/>
        </w:rPr>
        <w:t xml:space="preserve"> 2.169 and 2.176</w:t>
      </w:r>
      <w:r w:rsidRPr="002050D2">
        <w:rPr>
          <w:rFonts w:ascii="Arial" w:hAnsi="Arial" w:cs="Arial"/>
          <w:sz w:val="20"/>
          <w:szCs w:val="20"/>
          <w:lang w:val="en-GB"/>
        </w:rPr>
        <w:t>; cf para 7.39.</w:t>
      </w:r>
    </w:p>
  </w:footnote>
  <w:footnote w:id="11">
    <w:p w14:paraId="3CF6CF28" w14:textId="3E324ADB" w:rsidR="004F3462" w:rsidRDefault="004F3462" w:rsidP="005D6E86">
      <w:r w:rsidRPr="002050D2">
        <w:rPr>
          <w:rStyle w:val="FootnoteReference"/>
          <w:rFonts w:ascii="Arial" w:hAnsi="Arial" w:cs="Arial"/>
          <w:sz w:val="20"/>
          <w:szCs w:val="20"/>
        </w:rPr>
        <w:footnoteRef/>
      </w:r>
      <w:r>
        <w:t xml:space="preserve"> </w:t>
      </w:r>
      <w:r w:rsidRPr="005D6E86">
        <w:rPr>
          <w:rFonts w:ascii="Arial" w:hAnsi="Arial" w:cs="Arial"/>
          <w:sz w:val="20"/>
          <w:szCs w:val="20"/>
        </w:rPr>
        <w:t>Legal Services Board ‘</w:t>
      </w:r>
      <w:r w:rsidRPr="00E2349F">
        <w:rPr>
          <w:rFonts w:ascii="Arial" w:eastAsia="Times New Roman" w:hAnsi="Arial" w:cs="Arial"/>
          <w:sz w:val="20"/>
          <w:szCs w:val="20"/>
          <w:lang w:val="en-GB"/>
        </w:rPr>
        <w:t>Guidance on regulatory arrangements</w:t>
      </w:r>
      <w:r w:rsidRPr="005D6E86">
        <w:rPr>
          <w:rFonts w:ascii="Arial" w:eastAsia="Times New Roman" w:hAnsi="Arial" w:cs="Arial"/>
          <w:i/>
          <w:iCs/>
          <w:sz w:val="20"/>
          <w:szCs w:val="20"/>
          <w:lang w:val="en-GB"/>
        </w:rPr>
        <w:t xml:space="preserve"> </w:t>
      </w:r>
      <w:r w:rsidRPr="00E2349F">
        <w:rPr>
          <w:rFonts w:ascii="Arial" w:eastAsia="Times New Roman" w:hAnsi="Arial" w:cs="Arial"/>
          <w:sz w:val="20"/>
          <w:szCs w:val="20"/>
          <w:lang w:val="en-GB"/>
        </w:rPr>
        <w:t>for education and training</w:t>
      </w:r>
      <w:r w:rsidRPr="005D6E86">
        <w:rPr>
          <w:rFonts w:ascii="Arial" w:eastAsia="Times New Roman" w:hAnsi="Arial" w:cs="Arial"/>
          <w:i/>
          <w:iCs/>
          <w:sz w:val="20"/>
          <w:szCs w:val="20"/>
          <w:lang w:val="en-GB"/>
        </w:rPr>
        <w:t xml:space="preserve"> </w:t>
      </w:r>
      <w:r w:rsidRPr="00E2349F">
        <w:rPr>
          <w:rFonts w:ascii="Arial" w:eastAsia="Times New Roman" w:hAnsi="Arial" w:cs="Arial"/>
          <w:sz w:val="20"/>
          <w:szCs w:val="20"/>
          <w:lang w:val="en-GB"/>
        </w:rPr>
        <w:t>issued under section 162 of the Legal Services Act 2007</w:t>
      </w:r>
      <w:r w:rsidRPr="005D6E86">
        <w:rPr>
          <w:rFonts w:ascii="Arial" w:eastAsia="Times New Roman" w:hAnsi="Arial" w:cs="Arial"/>
          <w:sz w:val="20"/>
          <w:szCs w:val="20"/>
          <w:lang w:val="en-GB"/>
        </w:rPr>
        <w:t xml:space="preserve">’  </w:t>
      </w:r>
      <w:r w:rsidRPr="005D6E86">
        <w:rPr>
          <w:rFonts w:ascii="Arial" w:hAnsi="Arial" w:cs="Arial"/>
          <w:sz w:val="20"/>
          <w:szCs w:val="20"/>
        </w:rPr>
        <w:t>&lt;www.legalservicesboard.org.uk/what_we_do/regulation/pdf/20140304_LSB_Education_And_Training_Guidance.pdf&gt; accessed 10 May 2019.</w:t>
      </w:r>
    </w:p>
  </w:footnote>
  <w:footnote w:id="12">
    <w:p w14:paraId="77181543" w14:textId="42DF2F37" w:rsidR="004F3462" w:rsidRPr="006E1CB0" w:rsidRDefault="004F3462">
      <w:pPr>
        <w:pStyle w:val="FootnoteText"/>
        <w:rPr>
          <w:rFonts w:ascii="Arial" w:hAnsi="Arial" w:cs="Arial"/>
          <w:sz w:val="20"/>
          <w:szCs w:val="20"/>
        </w:rPr>
      </w:pPr>
      <w:r w:rsidRPr="006E1CB0">
        <w:rPr>
          <w:rStyle w:val="FootnoteReference"/>
          <w:rFonts w:ascii="Arial" w:hAnsi="Arial" w:cs="Arial"/>
          <w:sz w:val="20"/>
          <w:szCs w:val="20"/>
        </w:rPr>
        <w:footnoteRef/>
      </w:r>
      <w:r w:rsidRPr="006E1CB0">
        <w:rPr>
          <w:rFonts w:ascii="Arial" w:hAnsi="Arial" w:cs="Arial"/>
          <w:sz w:val="20"/>
          <w:szCs w:val="20"/>
        </w:rPr>
        <w:t xml:space="preserve"> Black and minority ethnic = non-white; refer Advance HE on ‘BME’ acronym,  &lt;www.ecu.ac.uk/guidance-resources/using-data-and-evidence/use-language-race-ethnicity&gt; accessed 24 April 2019.</w:t>
      </w:r>
    </w:p>
  </w:footnote>
  <w:footnote w:id="13">
    <w:p w14:paraId="4F7A66DE" w14:textId="77777777" w:rsidR="004F3462" w:rsidRPr="006E1CB0" w:rsidRDefault="004F3462" w:rsidP="00FF50BE">
      <w:pPr>
        <w:pStyle w:val="FootnoteText"/>
        <w:rPr>
          <w:rFonts w:ascii="Arial" w:hAnsi="Arial" w:cs="Arial"/>
          <w:sz w:val="20"/>
          <w:szCs w:val="20"/>
        </w:rPr>
      </w:pPr>
      <w:r w:rsidRPr="006E1CB0">
        <w:rPr>
          <w:rStyle w:val="FootnoteReference"/>
          <w:rFonts w:ascii="Arial" w:hAnsi="Arial" w:cs="Arial"/>
          <w:sz w:val="20"/>
          <w:szCs w:val="20"/>
        </w:rPr>
        <w:footnoteRef/>
      </w:r>
      <w:r w:rsidRPr="006E1CB0">
        <w:rPr>
          <w:rFonts w:ascii="Arial" w:hAnsi="Arial" w:cs="Arial"/>
          <w:sz w:val="20"/>
          <w:szCs w:val="20"/>
        </w:rPr>
        <w:t xml:space="preserve"> </w:t>
      </w:r>
      <w:r w:rsidRPr="006E1CB0">
        <w:rPr>
          <w:rFonts w:ascii="Arial" w:hAnsi="Arial" w:cs="Arial"/>
          <w:i/>
          <w:sz w:val="20"/>
          <w:szCs w:val="20"/>
        </w:rPr>
        <w:t>Report of the Committee on Legal Education</w:t>
      </w:r>
      <w:r w:rsidRPr="006E1CB0">
        <w:rPr>
          <w:rFonts w:ascii="Arial" w:hAnsi="Arial" w:cs="Arial"/>
          <w:sz w:val="20"/>
          <w:szCs w:val="20"/>
        </w:rPr>
        <w:t xml:space="preserve"> (Cmnd 4595 March 1971) (Ormrod).</w:t>
      </w:r>
    </w:p>
  </w:footnote>
  <w:footnote w:id="14">
    <w:p w14:paraId="25C93063" w14:textId="77777777" w:rsidR="004F3462" w:rsidRPr="00EF561C" w:rsidRDefault="004F3462">
      <w:pPr>
        <w:pStyle w:val="FootnoteText"/>
        <w:rPr>
          <w:rFonts w:ascii="Arial" w:hAnsi="Arial" w:cs="Arial"/>
          <w:sz w:val="20"/>
          <w:szCs w:val="20"/>
        </w:rPr>
      </w:pPr>
      <w:r w:rsidRPr="00EF561C">
        <w:rPr>
          <w:rStyle w:val="FootnoteReference"/>
          <w:rFonts w:ascii="Arial" w:hAnsi="Arial" w:cs="Arial"/>
          <w:sz w:val="20"/>
          <w:szCs w:val="20"/>
        </w:rPr>
        <w:footnoteRef/>
      </w:r>
      <w:r w:rsidRPr="00EF561C">
        <w:rPr>
          <w:rFonts w:ascii="Arial" w:hAnsi="Arial" w:cs="Arial"/>
          <w:sz w:val="20"/>
          <w:szCs w:val="20"/>
        </w:rPr>
        <w:t xml:space="preserve"> ibid para 35.</w:t>
      </w:r>
    </w:p>
  </w:footnote>
  <w:footnote w:id="15">
    <w:p w14:paraId="3252025C" w14:textId="77777777" w:rsidR="004F3462" w:rsidRPr="00EF561C" w:rsidRDefault="004F3462" w:rsidP="00FF50BE">
      <w:pPr>
        <w:pStyle w:val="FootnoteText"/>
        <w:rPr>
          <w:rFonts w:ascii="Arial" w:hAnsi="Arial" w:cs="Arial"/>
          <w:strike/>
          <w:sz w:val="20"/>
          <w:szCs w:val="20"/>
        </w:rPr>
      </w:pPr>
      <w:r w:rsidRPr="00EF561C">
        <w:rPr>
          <w:rStyle w:val="FootnoteReference"/>
          <w:rFonts w:ascii="Arial" w:hAnsi="Arial" w:cs="Arial"/>
          <w:sz w:val="20"/>
          <w:szCs w:val="20"/>
        </w:rPr>
        <w:footnoteRef/>
      </w:r>
      <w:r w:rsidRPr="00EF561C">
        <w:rPr>
          <w:rFonts w:ascii="Arial" w:hAnsi="Arial" w:cs="Arial"/>
          <w:sz w:val="20"/>
          <w:szCs w:val="20"/>
        </w:rPr>
        <w:t xml:space="preserve"> SRA website, ‘Qualifying Law Degree Providers’ &lt;</w:t>
      </w:r>
      <w:hyperlink r:id="rId2" w:history="1">
        <w:r w:rsidRPr="00EF561C">
          <w:rPr>
            <w:rStyle w:val="Hyperlink"/>
            <w:rFonts w:ascii="Arial" w:hAnsi="Arial" w:cs="Arial"/>
            <w:sz w:val="20"/>
            <w:szCs w:val="20"/>
          </w:rPr>
          <w:t>www.sra.org.uk/students/courses/Qualifying-law-degree-providers.page</w:t>
        </w:r>
      </w:hyperlink>
      <w:r w:rsidRPr="00EF561C">
        <w:rPr>
          <w:rFonts w:ascii="Arial" w:hAnsi="Arial" w:cs="Arial"/>
          <w:sz w:val="20"/>
          <w:szCs w:val="20"/>
        </w:rPr>
        <w:t>&gt; accessed 24 April 2019.</w:t>
      </w:r>
    </w:p>
  </w:footnote>
  <w:footnote w:id="16">
    <w:p w14:paraId="0F314656" w14:textId="77777777" w:rsidR="004F3462" w:rsidRPr="00EF561C" w:rsidRDefault="004F3462" w:rsidP="00C616A8">
      <w:pPr>
        <w:pStyle w:val="FootnoteText"/>
        <w:rPr>
          <w:rFonts w:ascii="Arial" w:hAnsi="Arial" w:cs="Arial"/>
          <w:sz w:val="20"/>
          <w:szCs w:val="20"/>
        </w:rPr>
      </w:pPr>
      <w:r w:rsidRPr="00EF561C">
        <w:rPr>
          <w:rStyle w:val="FootnoteReference"/>
          <w:rFonts w:ascii="Arial" w:hAnsi="Arial" w:cs="Arial"/>
          <w:sz w:val="20"/>
          <w:szCs w:val="20"/>
        </w:rPr>
        <w:footnoteRef/>
      </w:r>
      <w:r w:rsidRPr="00EF561C">
        <w:rPr>
          <w:rFonts w:ascii="Arial" w:hAnsi="Arial" w:cs="Arial"/>
          <w:sz w:val="20"/>
          <w:szCs w:val="20"/>
        </w:rPr>
        <w:t xml:space="preserve"> SRA and BSB, ‘Joint Statement on the Academic Stage of Training’ (1999), &lt;www.sra.org.uk/students/academic-stage-joint-statement-bsb-law-society.page&gt; accessed 24 April 2019.</w:t>
      </w:r>
    </w:p>
  </w:footnote>
  <w:footnote w:id="17">
    <w:p w14:paraId="70640C95" w14:textId="2FAE529E" w:rsidR="004F3462" w:rsidRPr="00EF561C" w:rsidRDefault="004F3462" w:rsidP="004836E1">
      <w:pPr>
        <w:pStyle w:val="FootnoteText"/>
        <w:rPr>
          <w:rFonts w:ascii="Arial" w:hAnsi="Arial" w:cs="Arial"/>
          <w:sz w:val="20"/>
          <w:szCs w:val="20"/>
        </w:rPr>
      </w:pPr>
      <w:r w:rsidRPr="00EF561C">
        <w:rPr>
          <w:rStyle w:val="FootnoteReference"/>
          <w:rFonts w:ascii="Arial" w:hAnsi="Arial" w:cs="Arial"/>
          <w:sz w:val="20"/>
          <w:szCs w:val="20"/>
        </w:rPr>
        <w:footnoteRef/>
      </w:r>
      <w:r>
        <w:rPr>
          <w:rFonts w:ascii="Arial" w:hAnsi="Arial" w:cs="Arial"/>
          <w:sz w:val="20"/>
          <w:szCs w:val="20"/>
        </w:rPr>
        <w:t xml:space="preserve"> Ormrod (n 13</w:t>
      </w:r>
      <w:r w:rsidRPr="00EF561C">
        <w:rPr>
          <w:rFonts w:ascii="Arial" w:hAnsi="Arial" w:cs="Arial"/>
          <w:sz w:val="20"/>
          <w:szCs w:val="20"/>
        </w:rPr>
        <w:t>) para 98.</w:t>
      </w:r>
    </w:p>
  </w:footnote>
  <w:footnote w:id="18">
    <w:p w14:paraId="4943AAF0" w14:textId="77777777" w:rsidR="004F3462" w:rsidRPr="00EF561C" w:rsidRDefault="004F3462" w:rsidP="004B584D">
      <w:pPr>
        <w:widowControl w:val="0"/>
        <w:autoSpaceDE w:val="0"/>
        <w:autoSpaceDN w:val="0"/>
        <w:adjustRightInd w:val="0"/>
        <w:rPr>
          <w:rFonts w:ascii="Arial" w:hAnsi="Arial" w:cs="Arial"/>
          <w:sz w:val="20"/>
          <w:szCs w:val="20"/>
        </w:rPr>
      </w:pPr>
      <w:r w:rsidRPr="00EF561C">
        <w:rPr>
          <w:rStyle w:val="FootnoteReference"/>
          <w:rFonts w:ascii="Arial" w:hAnsi="Arial" w:cs="Arial"/>
          <w:sz w:val="20"/>
          <w:szCs w:val="20"/>
        </w:rPr>
        <w:footnoteRef/>
      </w:r>
      <w:r w:rsidRPr="00EF561C">
        <w:rPr>
          <w:rFonts w:ascii="Arial" w:hAnsi="Arial" w:cs="Arial"/>
          <w:sz w:val="20"/>
          <w:szCs w:val="20"/>
        </w:rPr>
        <w:t xml:space="preserve"> ibid 103; para 112-113.</w:t>
      </w:r>
    </w:p>
  </w:footnote>
  <w:footnote w:id="19">
    <w:p w14:paraId="440187F0" w14:textId="77777777" w:rsidR="004F3462" w:rsidRPr="006E1CB0" w:rsidRDefault="004F3462" w:rsidP="0084280D">
      <w:pPr>
        <w:pStyle w:val="FootnoteText"/>
        <w:rPr>
          <w:rFonts w:ascii="Arial" w:hAnsi="Arial" w:cs="Arial"/>
          <w:sz w:val="20"/>
          <w:szCs w:val="20"/>
        </w:rPr>
      </w:pPr>
      <w:r w:rsidRPr="00EF561C">
        <w:rPr>
          <w:rStyle w:val="FootnoteReference"/>
          <w:rFonts w:ascii="Arial" w:hAnsi="Arial" w:cs="Arial"/>
          <w:sz w:val="20"/>
          <w:szCs w:val="20"/>
        </w:rPr>
        <w:footnoteRef/>
      </w:r>
      <w:r w:rsidRPr="00EF561C">
        <w:rPr>
          <w:rFonts w:ascii="Arial" w:hAnsi="Arial" w:cs="Arial"/>
          <w:sz w:val="20"/>
          <w:szCs w:val="20"/>
        </w:rPr>
        <w:t xml:space="preserve"> ibid para 113.</w:t>
      </w:r>
    </w:p>
  </w:footnote>
  <w:footnote w:id="20">
    <w:p w14:paraId="09C8D85C" w14:textId="77777777" w:rsidR="004F3462" w:rsidRPr="006E1CB0" w:rsidRDefault="004F3462" w:rsidP="0090616D">
      <w:pPr>
        <w:pStyle w:val="Heading3"/>
        <w:spacing w:before="0"/>
        <w:rPr>
          <w:rFonts w:ascii="Arial" w:hAnsi="Arial" w:cs="Arial"/>
          <w:sz w:val="20"/>
          <w:szCs w:val="20"/>
        </w:rPr>
      </w:pPr>
      <w:r w:rsidRPr="006E1CB0">
        <w:rPr>
          <w:rStyle w:val="FootnoteReference"/>
          <w:rFonts w:ascii="Arial" w:hAnsi="Arial" w:cs="Arial"/>
          <w:b w:val="0"/>
          <w:color w:val="auto"/>
          <w:sz w:val="20"/>
          <w:szCs w:val="20"/>
        </w:rPr>
        <w:footnoteRef/>
      </w:r>
      <w:r w:rsidRPr="006E1CB0">
        <w:rPr>
          <w:rFonts w:ascii="Arial" w:hAnsi="Arial" w:cs="Arial"/>
          <w:b w:val="0"/>
          <w:color w:val="auto"/>
          <w:sz w:val="20"/>
          <w:szCs w:val="20"/>
        </w:rPr>
        <w:t xml:space="preserve"> </w:t>
      </w:r>
      <w:r w:rsidRPr="006E1CB0">
        <w:rPr>
          <w:rStyle w:val="ro"/>
          <w:rFonts w:ascii="Arial" w:eastAsia="Times New Roman" w:hAnsi="Arial" w:cs="Arial"/>
          <w:b w:val="0"/>
          <w:color w:val="auto"/>
          <w:sz w:val="20"/>
          <w:szCs w:val="20"/>
        </w:rPr>
        <w:t>Peter Birks,</w:t>
      </w:r>
      <w:r w:rsidRPr="006E1CB0">
        <w:rPr>
          <w:rFonts w:ascii="Arial" w:eastAsia="Times New Roman" w:hAnsi="Arial" w:cs="Arial"/>
          <w:b w:val="0"/>
          <w:color w:val="auto"/>
          <w:sz w:val="20"/>
          <w:szCs w:val="20"/>
        </w:rPr>
        <w:t xml:space="preserve"> ‘</w:t>
      </w:r>
      <w:r w:rsidRPr="006E1CB0">
        <w:rPr>
          <w:rStyle w:val="Strong"/>
          <w:rFonts w:ascii="Arial" w:eastAsia="Times New Roman" w:hAnsi="Arial" w:cs="Arial"/>
          <w:bCs/>
          <w:color w:val="auto"/>
          <w:sz w:val="20"/>
          <w:szCs w:val="20"/>
        </w:rPr>
        <w:t>One Year Lawyers’</w:t>
      </w:r>
      <w:r w:rsidRPr="006E1CB0">
        <w:rPr>
          <w:rFonts w:ascii="Arial" w:eastAsia="Times New Roman" w:hAnsi="Arial" w:cs="Arial"/>
          <w:b w:val="0"/>
          <w:color w:val="auto"/>
          <w:sz w:val="20"/>
          <w:szCs w:val="20"/>
        </w:rPr>
        <w:t xml:space="preserve"> (14 August 1992) </w:t>
      </w:r>
      <w:r w:rsidRPr="006E1CB0">
        <w:rPr>
          <w:rFonts w:ascii="Arial" w:hAnsi="Arial" w:cs="Arial"/>
          <w:b w:val="0"/>
          <w:color w:val="auto"/>
          <w:sz w:val="20"/>
          <w:szCs w:val="20"/>
        </w:rPr>
        <w:t xml:space="preserve">142 NLJ 1152; see also Lord Chancellor’s Advisory Committee on Legal Education and Conduct, </w:t>
      </w:r>
      <w:r w:rsidRPr="006E1CB0">
        <w:rPr>
          <w:rFonts w:ascii="Arial" w:hAnsi="Arial" w:cs="Arial"/>
          <w:b w:val="0"/>
          <w:i/>
          <w:color w:val="auto"/>
          <w:sz w:val="20"/>
          <w:szCs w:val="20"/>
        </w:rPr>
        <w:t>First Report on Legal Education and Training</w:t>
      </w:r>
      <w:r w:rsidRPr="006E1CB0">
        <w:rPr>
          <w:rFonts w:ascii="Arial" w:hAnsi="Arial" w:cs="Arial"/>
          <w:b w:val="0"/>
          <w:color w:val="auto"/>
          <w:sz w:val="20"/>
          <w:szCs w:val="20"/>
        </w:rPr>
        <w:t xml:space="preserve"> (April 1996) 69.</w:t>
      </w:r>
    </w:p>
  </w:footnote>
  <w:footnote w:id="21">
    <w:p w14:paraId="7920F08C" w14:textId="3326AA56" w:rsidR="004F3462" w:rsidRPr="0072195F" w:rsidRDefault="004F3462" w:rsidP="00BC6E66">
      <w:pPr>
        <w:pStyle w:val="FootnoteText"/>
        <w:rPr>
          <w:rFonts w:ascii="Arial" w:hAnsi="Arial" w:cs="Arial"/>
          <w:sz w:val="20"/>
          <w:szCs w:val="20"/>
        </w:rPr>
      </w:pPr>
      <w:r w:rsidRPr="006E1CB0">
        <w:rPr>
          <w:rStyle w:val="FootnoteReference"/>
          <w:rFonts w:ascii="Arial" w:hAnsi="Arial" w:cs="Arial"/>
          <w:sz w:val="20"/>
          <w:szCs w:val="20"/>
        </w:rPr>
        <w:footnoteRef/>
      </w:r>
      <w:r>
        <w:rPr>
          <w:rFonts w:ascii="Arial" w:hAnsi="Arial" w:cs="Arial"/>
          <w:sz w:val="20"/>
          <w:szCs w:val="20"/>
        </w:rPr>
        <w:t xml:space="preserve"> Ormrod (n 13</w:t>
      </w:r>
      <w:r w:rsidRPr="006E1CB0">
        <w:rPr>
          <w:rFonts w:ascii="Arial" w:hAnsi="Arial" w:cs="Arial"/>
          <w:sz w:val="20"/>
          <w:szCs w:val="20"/>
        </w:rPr>
        <w:t>) para 113.</w:t>
      </w:r>
    </w:p>
  </w:footnote>
  <w:footnote w:id="22">
    <w:p w14:paraId="7FB934B9" w14:textId="77777777" w:rsidR="004F3462" w:rsidRPr="00E40B21" w:rsidRDefault="004F3462">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Advisory Committee on Legal Education, ‘Second Report’ (9 November 1973).</w:t>
      </w:r>
    </w:p>
  </w:footnote>
  <w:footnote w:id="23">
    <w:p w14:paraId="7F28A5CC" w14:textId="77777777" w:rsidR="004F3462" w:rsidRPr="00E671F4" w:rsidRDefault="004F3462">
      <w:pPr>
        <w:pStyle w:val="FootnoteText"/>
        <w:rPr>
          <w:rFonts w:ascii="Arial" w:hAnsi="Arial" w:cs="Arial"/>
          <w:sz w:val="20"/>
          <w:szCs w:val="20"/>
        </w:rPr>
      </w:pPr>
      <w:r w:rsidRPr="00E671F4">
        <w:rPr>
          <w:rStyle w:val="FootnoteReference"/>
          <w:rFonts w:ascii="Arial" w:hAnsi="Arial" w:cs="Arial"/>
          <w:sz w:val="20"/>
          <w:szCs w:val="20"/>
        </w:rPr>
        <w:footnoteRef/>
      </w:r>
      <w:r w:rsidRPr="00E671F4">
        <w:rPr>
          <w:rFonts w:ascii="Arial" w:hAnsi="Arial" w:cs="Arial"/>
          <w:sz w:val="20"/>
          <w:szCs w:val="20"/>
        </w:rPr>
        <w:t xml:space="preserve"> The Law Society’s regulatory role has since been separated off </w:t>
      </w:r>
      <w:r w:rsidRPr="00E40B21">
        <w:rPr>
          <w:rFonts w:ascii="Arial" w:hAnsi="Arial" w:cs="Arial"/>
          <w:sz w:val="20"/>
          <w:szCs w:val="20"/>
        </w:rPr>
        <w:t>to</w:t>
      </w:r>
      <w:r w:rsidRPr="00E671F4">
        <w:rPr>
          <w:rFonts w:ascii="Arial" w:hAnsi="Arial" w:cs="Arial"/>
          <w:sz w:val="20"/>
          <w:szCs w:val="20"/>
        </w:rPr>
        <w:t xml:space="preserve"> the SRA.</w:t>
      </w:r>
    </w:p>
  </w:footnote>
  <w:footnote w:id="24">
    <w:p w14:paraId="556D8868" w14:textId="77777777" w:rsidR="004F3462" w:rsidRPr="00E40B21" w:rsidRDefault="004F3462" w:rsidP="00720E20">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Referred to in a letter from Mr Justice Bingham to the Senate of the Inns of Court and the Bar (16 January 1985).</w:t>
      </w:r>
    </w:p>
  </w:footnote>
  <w:footnote w:id="25">
    <w:p w14:paraId="6616DD03" w14:textId="77777777" w:rsidR="004F3462" w:rsidRPr="00E40B21" w:rsidRDefault="004F3462" w:rsidP="00704FE4">
      <w:pPr>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Society of Public Teachers of Law (now SLS) 1990 paper for the Lord Chancellor’s Advisory Committee on Legal Education (19 September 1990) para 3 states 1989-90 as first year of the common course.</w:t>
      </w:r>
    </w:p>
    <w:p w14:paraId="1629B720" w14:textId="77777777" w:rsidR="004F3462" w:rsidRPr="00E40B21" w:rsidRDefault="004F3462" w:rsidP="00704FE4">
      <w:pPr>
        <w:rPr>
          <w:rFonts w:ascii="Arial" w:hAnsi="Arial" w:cs="Arial"/>
          <w:sz w:val="20"/>
          <w:szCs w:val="20"/>
        </w:rPr>
      </w:pPr>
      <w:r w:rsidRPr="00E40B21">
        <w:rPr>
          <w:rFonts w:ascii="Arial" w:hAnsi="Arial" w:cs="Arial"/>
          <w:sz w:val="20"/>
          <w:szCs w:val="20"/>
        </w:rPr>
        <w:t xml:space="preserve"> The Law Society reformed its Part 1 in 1978 to be come the ‘common profession exam’ (CPE) as a course primarily for students intending to qualify as solicitors and separate from the Bar’s conversion course, the Diploma in Law, run at City University and the Polytechnic of Central London. Given that the courses were similar it was possible to transfer after completing the conversion course from one branch to the other for the vocational stage but it was not necessarily easy. (Ref. Law Society Training Committee Fourth Report June 1994 point 6.)</w:t>
      </w:r>
      <w:r w:rsidRPr="00E40B21">
        <w:rPr>
          <w:rFonts w:ascii="Arial" w:hAnsi="Arial" w:cs="Arial"/>
          <w:i/>
          <w:sz w:val="20"/>
          <w:szCs w:val="20"/>
        </w:rPr>
        <w:t xml:space="preserve"> </w:t>
      </w:r>
    </w:p>
  </w:footnote>
  <w:footnote w:id="26">
    <w:p w14:paraId="596303D7" w14:textId="77777777" w:rsidR="004F3462" w:rsidRPr="00E40B21" w:rsidRDefault="004F3462">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SRA website, ‘CPE/GDL Course Providers’ &lt;</w:t>
      </w:r>
      <w:hyperlink r:id="rId3" w:history="1">
        <w:r w:rsidRPr="00E40B21">
          <w:rPr>
            <w:rStyle w:val="Hyperlink"/>
            <w:rFonts w:ascii="Arial" w:hAnsi="Arial" w:cs="Arial"/>
            <w:sz w:val="20"/>
            <w:szCs w:val="20"/>
          </w:rPr>
          <w:t>www.sra.org.uk/students/courses/CPE-GDL-course-providers.page</w:t>
        </w:r>
      </w:hyperlink>
      <w:r w:rsidRPr="00E40B21">
        <w:rPr>
          <w:rFonts w:ascii="Arial" w:hAnsi="Arial" w:cs="Arial"/>
          <w:sz w:val="20"/>
          <w:szCs w:val="20"/>
        </w:rPr>
        <w:t>&gt; accessed 24 April 2019.</w:t>
      </w:r>
    </w:p>
    <w:p w14:paraId="4697384E" w14:textId="0AF0E95F" w:rsidR="004F3462" w:rsidRPr="00E40B21" w:rsidRDefault="004F3462">
      <w:pPr>
        <w:pStyle w:val="FootnoteText"/>
        <w:rPr>
          <w:rFonts w:ascii="Arial" w:hAnsi="Arial" w:cs="Arial"/>
          <w:sz w:val="20"/>
          <w:szCs w:val="20"/>
        </w:rPr>
      </w:pPr>
      <w:r>
        <w:rPr>
          <w:rFonts w:ascii="Arial" w:hAnsi="Arial" w:cs="Arial"/>
          <w:sz w:val="20"/>
          <w:szCs w:val="20"/>
        </w:rPr>
        <w:t>SRA monitoring data indicates n</w:t>
      </w:r>
      <w:r w:rsidRPr="00E40B21">
        <w:rPr>
          <w:rFonts w:ascii="Arial" w:hAnsi="Arial" w:cs="Arial"/>
          <w:sz w:val="20"/>
          <w:szCs w:val="20"/>
        </w:rPr>
        <w:t>ot all courses run</w:t>
      </w:r>
      <w:r>
        <w:rPr>
          <w:rFonts w:ascii="Arial" w:hAnsi="Arial" w:cs="Arial"/>
          <w:sz w:val="20"/>
          <w:szCs w:val="20"/>
        </w:rPr>
        <w:t>, 29 ran courses ran in 2016-17; presumably insufficient</w:t>
      </w:r>
      <w:r w:rsidRPr="00E40B21">
        <w:rPr>
          <w:rFonts w:ascii="Arial" w:hAnsi="Arial" w:cs="Arial"/>
          <w:sz w:val="20"/>
          <w:szCs w:val="20"/>
        </w:rPr>
        <w:t xml:space="preserve"> numbers of application</w:t>
      </w:r>
      <w:r>
        <w:rPr>
          <w:rFonts w:ascii="Arial" w:hAnsi="Arial" w:cs="Arial"/>
          <w:sz w:val="20"/>
          <w:szCs w:val="20"/>
        </w:rPr>
        <w:t>s meant some courses did not run</w:t>
      </w:r>
      <w:r w:rsidRPr="00E40B21">
        <w:rPr>
          <w:rFonts w:ascii="Arial" w:hAnsi="Arial" w:cs="Arial"/>
          <w:sz w:val="20"/>
          <w:szCs w:val="20"/>
        </w:rPr>
        <w:t>.</w:t>
      </w:r>
    </w:p>
  </w:footnote>
  <w:footnote w:id="27">
    <w:p w14:paraId="3257E313" w14:textId="72CAB174" w:rsidR="004F3462" w:rsidRPr="00E40B21" w:rsidRDefault="004F3462" w:rsidP="0030249A">
      <w:pPr>
        <w:pStyle w:val="FootnoteText"/>
        <w:rPr>
          <w:rFonts w:ascii="Arial" w:hAnsi="Arial" w:cs="Arial"/>
          <w:sz w:val="20"/>
          <w:szCs w:val="20"/>
        </w:rPr>
      </w:pPr>
      <w:r w:rsidRPr="00E40B21">
        <w:rPr>
          <w:rStyle w:val="FootnoteReference"/>
          <w:rFonts w:ascii="Arial" w:hAnsi="Arial" w:cs="Arial"/>
          <w:sz w:val="20"/>
          <w:szCs w:val="20"/>
        </w:rPr>
        <w:footnoteRef/>
      </w:r>
      <w:r>
        <w:rPr>
          <w:rFonts w:ascii="Arial" w:hAnsi="Arial" w:cs="Arial"/>
          <w:sz w:val="20"/>
          <w:szCs w:val="20"/>
        </w:rPr>
        <w:t xml:space="preserve"> Joint Statement 1999 (n 16</w:t>
      </w:r>
      <w:r w:rsidRPr="00E40B21">
        <w:rPr>
          <w:rFonts w:ascii="Arial" w:hAnsi="Arial" w:cs="Arial"/>
          <w:sz w:val="20"/>
          <w:szCs w:val="20"/>
        </w:rPr>
        <w:t>).</w:t>
      </w:r>
    </w:p>
  </w:footnote>
  <w:footnote w:id="28">
    <w:p w14:paraId="70AF2877" w14:textId="09BD3E14" w:rsidR="004F3462" w:rsidRPr="00E40B21" w:rsidRDefault="004F3462" w:rsidP="00894895">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Some GDLs were ini</w:t>
      </w:r>
      <w:r>
        <w:rPr>
          <w:rFonts w:ascii="Arial" w:hAnsi="Arial" w:cs="Arial"/>
          <w:sz w:val="20"/>
          <w:szCs w:val="20"/>
        </w:rPr>
        <w:t>tially ‘Pg DL’ to indicate post</w:t>
      </w:r>
      <w:r w:rsidRPr="00E40B21">
        <w:rPr>
          <w:rFonts w:ascii="Arial" w:hAnsi="Arial" w:cs="Arial"/>
          <w:sz w:val="20"/>
          <w:szCs w:val="20"/>
        </w:rPr>
        <w:t xml:space="preserve">graduate-ness. </w:t>
      </w:r>
      <w:r>
        <w:rPr>
          <w:rFonts w:ascii="Arial" w:hAnsi="Arial" w:cs="Arial"/>
          <w:sz w:val="20"/>
          <w:szCs w:val="20"/>
        </w:rPr>
        <w:t>For courses validated at level 6 (graduate level), t</w:t>
      </w:r>
      <w:r w:rsidRPr="00E40B21">
        <w:rPr>
          <w:rFonts w:ascii="Arial" w:hAnsi="Arial" w:cs="Arial"/>
          <w:sz w:val="20"/>
          <w:szCs w:val="20"/>
        </w:rPr>
        <w:t xml:space="preserve">his was changed to ‘GDL’ to avoid confusion and </w:t>
      </w:r>
      <w:r>
        <w:rPr>
          <w:rFonts w:ascii="Arial" w:hAnsi="Arial" w:cs="Arial"/>
          <w:sz w:val="20"/>
          <w:szCs w:val="20"/>
        </w:rPr>
        <w:t>to fit better</w:t>
      </w:r>
      <w:r w:rsidRPr="00E40B21">
        <w:rPr>
          <w:rFonts w:ascii="Arial" w:hAnsi="Arial" w:cs="Arial"/>
          <w:sz w:val="20"/>
          <w:szCs w:val="20"/>
        </w:rPr>
        <w:t xml:space="preserve"> with the framework of higher education qualifications.</w:t>
      </w:r>
    </w:p>
  </w:footnote>
  <w:footnote w:id="29">
    <w:p w14:paraId="0AB051E6" w14:textId="77777777" w:rsidR="004F3462" w:rsidRPr="00E40B21" w:rsidRDefault="004F3462" w:rsidP="00B45B35">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SRA and BSB, ‘Joint Academic Stage Handbook’ (November 2012) Appendix L.</w:t>
      </w:r>
    </w:p>
    <w:p w14:paraId="294290FD" w14:textId="77777777" w:rsidR="004F3462" w:rsidRPr="00E40B21" w:rsidRDefault="004F3462" w:rsidP="00B45B35">
      <w:pPr>
        <w:pStyle w:val="FootnoteText"/>
        <w:rPr>
          <w:rFonts w:ascii="Arial" w:hAnsi="Arial" w:cs="Arial"/>
          <w:sz w:val="20"/>
          <w:szCs w:val="20"/>
        </w:rPr>
      </w:pPr>
      <w:r w:rsidRPr="00E40B21">
        <w:rPr>
          <w:rFonts w:ascii="Arial" w:hAnsi="Arial" w:cs="Arial"/>
          <w:sz w:val="20"/>
          <w:szCs w:val="20"/>
        </w:rPr>
        <w:t>This requirement is not stated in the latest guidance in the 2014 Joint Academic Stage Handbook (July 2014).</w:t>
      </w:r>
    </w:p>
  </w:footnote>
  <w:footnote w:id="30">
    <w:p w14:paraId="79C108BB" w14:textId="77777777" w:rsidR="004F3462" w:rsidRPr="00E40B21" w:rsidRDefault="004F3462">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The preamble accompanying the 1995 Joint Statement recognised ‘the value of employing a variety of methods of assessment … rather than relying on one method such as written unseen examinations.’</w:t>
      </w:r>
    </w:p>
  </w:footnote>
  <w:footnote w:id="31">
    <w:p w14:paraId="7D78F16E" w14:textId="6506AD51" w:rsidR="004F3462" w:rsidRPr="00D72E4A" w:rsidRDefault="004F3462" w:rsidP="00E27985">
      <w:pPr>
        <w:pStyle w:val="FootnoteText"/>
        <w:rPr>
          <w:rFonts w:ascii="Arial" w:hAnsi="Arial" w:cs="Arial"/>
          <w:sz w:val="20"/>
          <w:szCs w:val="20"/>
        </w:rPr>
      </w:pPr>
      <w:r w:rsidRPr="00E40B21">
        <w:rPr>
          <w:rStyle w:val="FootnoteReference"/>
          <w:rFonts w:ascii="Arial" w:hAnsi="Arial" w:cs="Arial"/>
          <w:sz w:val="20"/>
          <w:szCs w:val="20"/>
        </w:rPr>
        <w:footnoteRef/>
      </w:r>
      <w:r w:rsidRPr="00E40B21">
        <w:rPr>
          <w:rFonts w:ascii="Arial" w:hAnsi="Arial" w:cs="Arial"/>
          <w:sz w:val="20"/>
          <w:szCs w:val="20"/>
        </w:rPr>
        <w:t xml:space="preserve"> Society of Pub</w:t>
      </w:r>
      <w:r>
        <w:rPr>
          <w:rFonts w:ascii="Arial" w:hAnsi="Arial" w:cs="Arial"/>
          <w:sz w:val="20"/>
          <w:szCs w:val="20"/>
        </w:rPr>
        <w:t>lic Teachers of Law (1990) (n 25</w:t>
      </w:r>
      <w:r w:rsidRPr="00E40B21">
        <w:rPr>
          <w:rFonts w:ascii="Arial" w:hAnsi="Arial" w:cs="Arial"/>
          <w:sz w:val="20"/>
          <w:szCs w:val="20"/>
        </w:rPr>
        <w:t>) - suspicion that teachers on CPE courses can’t resist to ‘connive in cramming’, para 12.2; similar criticism reported in (1994) 28 The Law Teacher (Government and Education news) 177; Graham Ferris, ‘The Solicitors Qualification Examination: something for all? Some challenges facing law schools in England and Wales’ (2018) 52(4) The Law Teacher 519, 520.</w:t>
      </w:r>
    </w:p>
  </w:footnote>
  <w:footnote w:id="32">
    <w:p w14:paraId="70D1707D" w14:textId="3C032B42" w:rsidR="004F3462" w:rsidRPr="0040219B" w:rsidRDefault="004F3462" w:rsidP="00FA0C26">
      <w:pPr>
        <w:pStyle w:val="Default"/>
        <w:rPr>
          <w:rFonts w:eastAsia="Times New Roman"/>
          <w:sz w:val="20"/>
          <w:szCs w:val="20"/>
        </w:rPr>
      </w:pPr>
      <w:r w:rsidRPr="00B652B0">
        <w:rPr>
          <w:rStyle w:val="FootnoteReference"/>
          <w:sz w:val="20"/>
          <w:szCs w:val="20"/>
        </w:rPr>
        <w:footnoteRef/>
      </w:r>
      <w:r w:rsidRPr="00B652B0">
        <w:rPr>
          <w:sz w:val="20"/>
          <w:szCs w:val="20"/>
        </w:rPr>
        <w:t xml:space="preserve"> </w:t>
      </w:r>
      <w:r w:rsidRPr="00B652B0">
        <w:rPr>
          <w:rFonts w:eastAsia="Times New Roman"/>
          <w:color w:val="auto"/>
          <w:sz w:val="20"/>
          <w:szCs w:val="20"/>
        </w:rPr>
        <w:t>SRA, ‘</w:t>
      </w:r>
      <w:r w:rsidRPr="00B652B0">
        <w:rPr>
          <w:color w:val="auto"/>
          <w:sz w:val="20"/>
          <w:szCs w:val="20"/>
        </w:rPr>
        <w:t>B</w:t>
      </w:r>
      <w:r w:rsidRPr="00B652B0">
        <w:rPr>
          <w:bCs/>
          <w:color w:val="auto"/>
          <w:sz w:val="20"/>
          <w:szCs w:val="20"/>
        </w:rPr>
        <w:t xml:space="preserve">aseline attainment data: legal education, training and post-qualification - </w:t>
      </w:r>
      <w:r w:rsidRPr="00B652B0">
        <w:rPr>
          <w:color w:val="auto"/>
          <w:sz w:val="20"/>
          <w:szCs w:val="20"/>
        </w:rPr>
        <w:t xml:space="preserve">Supporting paper’ (October 2015) </w:t>
      </w:r>
      <w:hyperlink r:id="rId4" w:anchor="base" w:history="1">
        <w:r w:rsidRPr="00B652B0">
          <w:rPr>
            <w:rStyle w:val="Hyperlink"/>
            <w:rFonts w:eastAsia="Times New Roman"/>
            <w:sz w:val="20"/>
            <w:szCs w:val="20"/>
          </w:rPr>
          <w:t>www.sra.org.uk/sra/policy/sqe/research-reports.page#base</w:t>
        </w:r>
      </w:hyperlink>
      <w:r w:rsidRPr="00B652B0">
        <w:rPr>
          <w:rFonts w:eastAsia="Times New Roman"/>
          <w:color w:val="auto"/>
          <w:sz w:val="20"/>
          <w:szCs w:val="20"/>
        </w:rPr>
        <w:t xml:space="preserve"> - author’s data extrapolated from this report. E</w:t>
      </w:r>
      <w:r w:rsidRPr="00B652B0">
        <w:rPr>
          <w:rFonts w:eastAsia="Times New Roman"/>
          <w:sz w:val="20"/>
          <w:szCs w:val="20"/>
        </w:rPr>
        <w:t>lsewhere the SRA has stated that that ‘</w:t>
      </w:r>
      <w:r w:rsidRPr="00B652B0">
        <w:rPr>
          <w:rFonts w:eastAsia="Times New Roman" w:cs="Times New Roman"/>
          <w:sz w:val="20"/>
          <w:szCs w:val="20"/>
        </w:rPr>
        <w:t xml:space="preserve">fewer than 1% of full time students on the Graduate Diploma in Law (GDL) fail’ - </w:t>
      </w:r>
      <w:r w:rsidRPr="00B652B0">
        <w:rPr>
          <w:rFonts w:eastAsia="Times New Roman"/>
          <w:sz w:val="20"/>
          <w:szCs w:val="20"/>
        </w:rPr>
        <w:t>see SRA webpages for 2015 at &lt;</w:t>
      </w:r>
      <w:hyperlink r:id="rId5" w:history="1">
        <w:r w:rsidRPr="00B652B0">
          <w:rPr>
            <w:rStyle w:val="Hyperlink"/>
            <w:rFonts w:eastAsia="Times New Roman"/>
            <w:sz w:val="20"/>
            <w:szCs w:val="20"/>
          </w:rPr>
          <w:t>www.sra.org.uk/sra/consultations/t4t-assessing-competence.page</w:t>
        </w:r>
      </w:hyperlink>
      <w:r w:rsidRPr="00B652B0">
        <w:rPr>
          <w:rFonts w:eastAsia="Times New Roman"/>
          <w:sz w:val="20"/>
          <w:szCs w:val="20"/>
        </w:rPr>
        <w:t>&gt;. The difference suggests either error</w:t>
      </w:r>
      <w:r>
        <w:rPr>
          <w:rFonts w:eastAsia="Times New Roman"/>
          <w:sz w:val="20"/>
          <w:szCs w:val="20"/>
        </w:rPr>
        <w:t>s</w:t>
      </w:r>
      <w:r w:rsidRPr="00B652B0">
        <w:rPr>
          <w:rFonts w:eastAsia="Times New Roman"/>
          <w:sz w:val="20"/>
          <w:szCs w:val="20"/>
        </w:rPr>
        <w:t xml:space="preserve"> or a di</w:t>
      </w:r>
      <w:r>
        <w:rPr>
          <w:rFonts w:eastAsia="Times New Roman"/>
          <w:sz w:val="20"/>
          <w:szCs w:val="20"/>
        </w:rPr>
        <w:t xml:space="preserve">fferent way of interpreting </w:t>
      </w:r>
      <w:r w:rsidRPr="00B652B0">
        <w:rPr>
          <w:rFonts w:eastAsia="Times New Roman"/>
          <w:sz w:val="20"/>
          <w:szCs w:val="20"/>
        </w:rPr>
        <w:t>data; without doubt, as explored in</w:t>
      </w:r>
      <w:r>
        <w:rPr>
          <w:rFonts w:eastAsia="Times New Roman"/>
          <w:sz w:val="20"/>
          <w:szCs w:val="20"/>
        </w:rPr>
        <w:t xml:space="preserve"> this article, both figures hide</w:t>
      </w:r>
      <w:r w:rsidRPr="00B652B0">
        <w:rPr>
          <w:rFonts w:eastAsia="Times New Roman"/>
          <w:sz w:val="20"/>
          <w:szCs w:val="20"/>
        </w:rPr>
        <w:t xml:space="preserve"> significant differences between performance based upon </w:t>
      </w:r>
      <w:r w:rsidRPr="0040219B">
        <w:rPr>
          <w:rFonts w:eastAsia="Times New Roman"/>
          <w:sz w:val="20"/>
          <w:szCs w:val="20"/>
        </w:rPr>
        <w:t>race/ethnicity. Both webpages accessed 5 May 2019.</w:t>
      </w:r>
    </w:p>
  </w:footnote>
  <w:footnote w:id="33">
    <w:p w14:paraId="16991316" w14:textId="4C33F822" w:rsidR="004F3462" w:rsidRPr="0040219B" w:rsidRDefault="004F3462" w:rsidP="0040219B">
      <w:pPr>
        <w:pStyle w:val="FootnoteText"/>
        <w:rPr>
          <w:rFonts w:ascii="Arial" w:hAnsi="Arial" w:cs="Arial"/>
          <w:sz w:val="20"/>
          <w:szCs w:val="20"/>
        </w:rPr>
      </w:pPr>
      <w:r w:rsidRPr="0040219B">
        <w:rPr>
          <w:rStyle w:val="FootnoteReference"/>
          <w:rFonts w:ascii="Arial" w:hAnsi="Arial" w:cs="Arial"/>
          <w:sz w:val="20"/>
          <w:szCs w:val="20"/>
        </w:rPr>
        <w:footnoteRef/>
      </w:r>
      <w:r w:rsidRPr="0040219B">
        <w:rPr>
          <w:rFonts w:ascii="Arial" w:hAnsi="Arial" w:cs="Arial"/>
          <w:sz w:val="20"/>
          <w:szCs w:val="20"/>
        </w:rPr>
        <w:t xml:space="preserve"> SRA, ‘Monitoring and a</w:t>
      </w:r>
      <w:r>
        <w:rPr>
          <w:rFonts w:ascii="Arial" w:hAnsi="Arial" w:cs="Arial"/>
          <w:sz w:val="20"/>
          <w:szCs w:val="20"/>
        </w:rPr>
        <w:t>uthorization activity’ (</w:t>
      </w:r>
      <w:r w:rsidRPr="0040219B">
        <w:rPr>
          <w:rFonts w:ascii="Arial" w:hAnsi="Arial" w:cs="Arial"/>
          <w:sz w:val="20"/>
          <w:szCs w:val="20"/>
        </w:rPr>
        <w:t>2015-2017)</w:t>
      </w:r>
      <w:r>
        <w:rPr>
          <w:rFonts w:ascii="Arial" w:eastAsia="Times New Roman" w:hAnsi="Arial" w:cs="Arial"/>
          <w:sz w:val="20"/>
          <w:szCs w:val="20"/>
        </w:rPr>
        <w:t xml:space="preserve"> gives</w:t>
      </w:r>
      <w:r w:rsidRPr="0040219B">
        <w:rPr>
          <w:rFonts w:ascii="Arial" w:eastAsia="Times New Roman" w:hAnsi="Arial" w:cs="Arial"/>
          <w:sz w:val="20"/>
          <w:szCs w:val="20"/>
        </w:rPr>
        <w:t xml:space="preserve"> ‘completion rate’ for </w:t>
      </w:r>
      <w:r>
        <w:rPr>
          <w:rFonts w:ascii="Arial" w:eastAsia="Times New Roman" w:hAnsi="Arial" w:cs="Arial"/>
          <w:sz w:val="20"/>
          <w:szCs w:val="20"/>
        </w:rPr>
        <w:t xml:space="preserve">years </w:t>
      </w:r>
      <w:r w:rsidRPr="0040219B">
        <w:rPr>
          <w:rFonts w:ascii="Arial" w:eastAsia="Times New Roman" w:hAnsi="Arial" w:cs="Arial"/>
          <w:sz w:val="20"/>
          <w:szCs w:val="20"/>
        </w:rPr>
        <w:t xml:space="preserve">2014 and 2015 for full-time and part-time </w:t>
      </w:r>
      <w:r>
        <w:rPr>
          <w:rFonts w:ascii="Arial" w:eastAsia="Times New Roman" w:hAnsi="Arial" w:cs="Arial"/>
          <w:sz w:val="20"/>
          <w:szCs w:val="20"/>
        </w:rPr>
        <w:t xml:space="preserve">combined; </w:t>
      </w:r>
      <w:r w:rsidRPr="0040219B">
        <w:rPr>
          <w:rFonts w:ascii="Arial" w:eastAsia="Times New Roman" w:hAnsi="Arial" w:cs="Arial"/>
          <w:sz w:val="20"/>
          <w:szCs w:val="20"/>
        </w:rPr>
        <w:t xml:space="preserve">the latest data </w:t>
      </w:r>
      <w:r>
        <w:rPr>
          <w:rFonts w:ascii="Arial" w:eastAsia="Times New Roman" w:hAnsi="Arial" w:cs="Arial"/>
          <w:sz w:val="20"/>
          <w:szCs w:val="20"/>
        </w:rPr>
        <w:t xml:space="preserve">for 2016-17 does not provide any </w:t>
      </w:r>
      <w:r w:rsidRPr="0040219B">
        <w:rPr>
          <w:rFonts w:ascii="Arial" w:eastAsia="Times New Roman" w:hAnsi="Arial" w:cs="Arial"/>
          <w:sz w:val="20"/>
          <w:szCs w:val="20"/>
        </w:rPr>
        <w:t xml:space="preserve">overall </w:t>
      </w:r>
      <w:r>
        <w:rPr>
          <w:rFonts w:ascii="Arial" w:eastAsia="Times New Roman" w:hAnsi="Arial" w:cs="Arial"/>
          <w:sz w:val="20"/>
          <w:szCs w:val="20"/>
        </w:rPr>
        <w:t>completion rate,</w:t>
      </w:r>
    </w:p>
    <w:p w14:paraId="24CB843A" w14:textId="7B430327" w:rsidR="004F3462" w:rsidRPr="00B652B0" w:rsidRDefault="004F3462" w:rsidP="0040219B">
      <w:pPr>
        <w:pStyle w:val="Default"/>
        <w:rPr>
          <w:sz w:val="20"/>
          <w:szCs w:val="20"/>
        </w:rPr>
      </w:pPr>
      <w:r w:rsidRPr="0040219B">
        <w:rPr>
          <w:sz w:val="20"/>
          <w:szCs w:val="20"/>
        </w:rPr>
        <w:t>&lt;www.sra.org.uk/sra/how-we-work/reports/authorisation-monitoring-activity-2016-17.page&gt; accessed 26 April 2019.</w:t>
      </w:r>
    </w:p>
  </w:footnote>
  <w:footnote w:id="34">
    <w:p w14:paraId="2DD54CF8" w14:textId="6D65C4F0" w:rsidR="004F3462" w:rsidRPr="00B652B0" w:rsidRDefault="004F3462" w:rsidP="00FF254C">
      <w:pPr>
        <w:pStyle w:val="FootnoteText"/>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LETR (n 6) para 6.9; Vera Bermingham and John Hodgson, ‘Desiderata: What lawyers want from their recruits’ (2001) 35(1) The Law Teacher 1, 18.</w:t>
      </w:r>
    </w:p>
  </w:footnote>
  <w:footnote w:id="35">
    <w:p w14:paraId="6AF68CC0" w14:textId="56081D46" w:rsidR="004F3462" w:rsidRPr="00B652B0" w:rsidRDefault="004F3462">
      <w:pPr>
        <w:pStyle w:val="FootnoteText"/>
        <w:rPr>
          <w:rFonts w:ascii="Arial" w:hAnsi="Arial" w:cs="Arial"/>
          <w:sz w:val="20"/>
          <w:szCs w:val="20"/>
        </w:rPr>
      </w:pPr>
      <w:r w:rsidRPr="00B652B0">
        <w:rPr>
          <w:rStyle w:val="FootnoteReference"/>
          <w:rFonts w:ascii="Arial" w:hAnsi="Arial" w:cs="Arial"/>
          <w:sz w:val="20"/>
          <w:szCs w:val="20"/>
        </w:rPr>
        <w:footnoteRef/>
      </w:r>
      <w:r>
        <w:rPr>
          <w:rFonts w:ascii="Arial" w:hAnsi="Arial" w:cs="Arial"/>
          <w:sz w:val="20"/>
          <w:szCs w:val="20"/>
        </w:rPr>
        <w:t xml:space="preserve"> Bermingham and Hodgson (n 34</w:t>
      </w:r>
      <w:r w:rsidRPr="00B652B0">
        <w:rPr>
          <w:rFonts w:ascii="Arial" w:hAnsi="Arial" w:cs="Arial"/>
          <w:sz w:val="20"/>
          <w:szCs w:val="20"/>
        </w:rPr>
        <w:t>) 19.</w:t>
      </w:r>
    </w:p>
  </w:footnote>
  <w:footnote w:id="36">
    <w:p w14:paraId="0F82869B" w14:textId="7B84B59C" w:rsidR="004F3462" w:rsidRPr="00B652B0" w:rsidRDefault="004F3462" w:rsidP="00FA0C26">
      <w:pPr>
        <w:pStyle w:val="FootnoteText"/>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Extrapolation of data provided to the author by BSB;</w:t>
      </w:r>
      <w:r>
        <w:rPr>
          <w:rFonts w:ascii="Arial" w:hAnsi="Arial" w:cs="Arial"/>
          <w:sz w:val="20"/>
          <w:szCs w:val="20"/>
        </w:rPr>
        <w:t xml:space="preserve"> Bermingham and Hodgson (n 34</w:t>
      </w:r>
      <w:r w:rsidRPr="00B652B0">
        <w:rPr>
          <w:rFonts w:ascii="Arial" w:hAnsi="Arial" w:cs="Arial"/>
          <w:sz w:val="20"/>
          <w:szCs w:val="20"/>
        </w:rPr>
        <w:t>) 19.</w:t>
      </w:r>
    </w:p>
  </w:footnote>
  <w:footnote w:id="37">
    <w:p w14:paraId="1D72AEAB" w14:textId="77777777" w:rsidR="004F3462" w:rsidRPr="00B652B0" w:rsidRDefault="004F3462" w:rsidP="00FA0C26">
      <w:pPr>
        <w:pStyle w:val="FootnoteText"/>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Referred to in Nicholas Saunders, ‘From Cramming to Skills- The Development of Solicitors Education and Training since Ormrod’ (1996) 30 The Law Teacher 168, 172.</w:t>
      </w:r>
    </w:p>
  </w:footnote>
  <w:footnote w:id="38">
    <w:p w14:paraId="53A39F1A" w14:textId="624C9F83" w:rsidR="004F3462" w:rsidRPr="00B652B0" w:rsidRDefault="004F3462" w:rsidP="00FA0C26">
      <w:pPr>
        <w:widowControl w:val="0"/>
        <w:autoSpaceDE w:val="0"/>
        <w:autoSpaceDN w:val="0"/>
        <w:adjustRightInd w:val="0"/>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La</w:t>
      </w:r>
      <w:r>
        <w:rPr>
          <w:rFonts w:ascii="Arial" w:hAnsi="Arial" w:cs="Arial"/>
          <w:sz w:val="20"/>
          <w:szCs w:val="20"/>
        </w:rPr>
        <w:t xml:space="preserve">w Society Gazette published </w:t>
      </w:r>
      <w:r w:rsidRPr="00B652B0">
        <w:rPr>
          <w:rFonts w:ascii="Arial" w:hAnsi="Arial" w:cs="Arial"/>
          <w:sz w:val="20"/>
          <w:szCs w:val="20"/>
        </w:rPr>
        <w:t xml:space="preserve">data </w:t>
      </w:r>
      <w:r>
        <w:rPr>
          <w:rFonts w:ascii="Arial" w:hAnsi="Arial" w:cs="Arial"/>
          <w:sz w:val="20"/>
          <w:szCs w:val="20"/>
        </w:rPr>
        <w:t xml:space="preserve">about NLG </w:t>
      </w:r>
      <w:r w:rsidRPr="00B652B0">
        <w:rPr>
          <w:rFonts w:ascii="Arial" w:hAnsi="Arial" w:cs="Arial"/>
          <w:sz w:val="20"/>
          <w:szCs w:val="20"/>
        </w:rPr>
        <w:t xml:space="preserve">until 2015 and this shows that since the beginning of the century NLG </w:t>
      </w:r>
      <w:r>
        <w:rPr>
          <w:rFonts w:ascii="Arial" w:hAnsi="Arial" w:cs="Arial"/>
          <w:sz w:val="20"/>
          <w:szCs w:val="20"/>
        </w:rPr>
        <w:t xml:space="preserve">admission has on average been </w:t>
      </w:r>
      <w:r w:rsidRPr="00B652B0">
        <w:rPr>
          <w:rFonts w:ascii="Arial" w:hAnsi="Arial" w:cs="Arial"/>
          <w:sz w:val="20"/>
          <w:szCs w:val="20"/>
        </w:rPr>
        <w:t>nearer to 20%; cf LETR (n 6) 2.14.</w:t>
      </w:r>
    </w:p>
  </w:footnote>
  <w:footnote w:id="39">
    <w:p w14:paraId="471B7F23" w14:textId="77777777" w:rsidR="004F3462" w:rsidRPr="00B652B0" w:rsidRDefault="004F3462" w:rsidP="00FA0C26">
      <w:pPr>
        <w:widowControl w:val="0"/>
        <w:autoSpaceDE w:val="0"/>
        <w:autoSpaceDN w:val="0"/>
        <w:adjustRightInd w:val="0"/>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Heather Rolfe &amp; Tracy Anderson, ‘A firm choice: law firms' preferences in the recruitment of trainee solicitors’ </w:t>
      </w:r>
      <w:r w:rsidRPr="00B652B0">
        <w:rPr>
          <w:rFonts w:ascii="Arial" w:hAnsi="Arial" w:cs="Arial"/>
          <w:bCs/>
          <w:sz w:val="20"/>
          <w:szCs w:val="20"/>
        </w:rPr>
        <w:t>(2003)</w:t>
      </w:r>
      <w:r w:rsidRPr="00B652B0">
        <w:rPr>
          <w:rFonts w:ascii="Arial" w:hAnsi="Arial" w:cs="Arial"/>
          <w:b/>
          <w:bCs/>
          <w:sz w:val="20"/>
          <w:szCs w:val="20"/>
        </w:rPr>
        <w:t xml:space="preserve"> </w:t>
      </w:r>
      <w:r w:rsidRPr="00B652B0">
        <w:rPr>
          <w:rFonts w:ascii="Arial" w:hAnsi="Arial" w:cs="Arial"/>
          <w:bCs/>
          <w:sz w:val="20"/>
          <w:szCs w:val="20"/>
        </w:rPr>
        <w:t>10(3)</w:t>
      </w:r>
      <w:r w:rsidRPr="00B652B0">
        <w:rPr>
          <w:rFonts w:ascii="Arial" w:hAnsi="Arial" w:cs="Arial"/>
          <w:b/>
          <w:bCs/>
          <w:sz w:val="20"/>
          <w:szCs w:val="20"/>
        </w:rPr>
        <w:t xml:space="preserve"> </w:t>
      </w:r>
      <w:r w:rsidRPr="00B652B0">
        <w:rPr>
          <w:rFonts w:ascii="Arial" w:hAnsi="Arial" w:cs="Arial"/>
          <w:sz w:val="20"/>
          <w:szCs w:val="20"/>
        </w:rPr>
        <w:t>International Journal of the Legal Profession 315, 324.</w:t>
      </w:r>
    </w:p>
  </w:footnote>
  <w:footnote w:id="40">
    <w:p w14:paraId="04E941A1" w14:textId="5B2DFA81" w:rsidR="004F3462" w:rsidRPr="00E40B21" w:rsidRDefault="004F3462" w:rsidP="003E62F0">
      <w:pPr>
        <w:pStyle w:val="FootnoteText"/>
        <w:rPr>
          <w:rFonts w:ascii="Arial" w:hAnsi="Arial" w:cs="Arial"/>
          <w:sz w:val="20"/>
          <w:szCs w:val="20"/>
        </w:rPr>
      </w:pPr>
      <w:r w:rsidRPr="00B652B0">
        <w:rPr>
          <w:rStyle w:val="FootnoteReference"/>
          <w:rFonts w:ascii="Arial" w:hAnsi="Arial" w:cs="Arial"/>
          <w:sz w:val="20"/>
          <w:szCs w:val="20"/>
        </w:rPr>
        <w:footnoteRef/>
      </w:r>
      <w:r w:rsidRPr="00B652B0">
        <w:rPr>
          <w:rFonts w:ascii="Arial" w:hAnsi="Arial" w:cs="Arial"/>
          <w:sz w:val="20"/>
          <w:szCs w:val="20"/>
        </w:rPr>
        <w:t xml:space="preserve"> </w:t>
      </w:r>
      <w:r w:rsidRPr="00B652B0">
        <w:rPr>
          <w:rFonts w:ascii="Arial" w:eastAsia="Times New Roman" w:hAnsi="Arial" w:cs="Arial"/>
          <w:sz w:val="20"/>
          <w:szCs w:val="20"/>
        </w:rPr>
        <w:t>SRA Baseline atta</w:t>
      </w:r>
      <w:r>
        <w:rPr>
          <w:rFonts w:ascii="Arial" w:eastAsia="Times New Roman" w:hAnsi="Arial" w:cs="Arial"/>
          <w:sz w:val="20"/>
          <w:szCs w:val="20"/>
        </w:rPr>
        <w:t>inment data (October 2015) (n 32</w:t>
      </w:r>
      <w:r w:rsidRPr="00B652B0">
        <w:rPr>
          <w:rFonts w:ascii="Arial" w:eastAsia="Times New Roman" w:hAnsi="Arial" w:cs="Arial"/>
          <w:sz w:val="20"/>
          <w:szCs w:val="20"/>
        </w:rPr>
        <w:t xml:space="preserve">) </w:t>
      </w:r>
      <w:r w:rsidRPr="00B652B0">
        <w:rPr>
          <w:rFonts w:ascii="Arial" w:hAnsi="Arial" w:cs="Arial"/>
          <w:sz w:val="20"/>
          <w:szCs w:val="20"/>
        </w:rPr>
        <w:t>para 22</w:t>
      </w:r>
      <w:r w:rsidRPr="00B652B0">
        <w:rPr>
          <w:rFonts w:ascii="Arial" w:eastAsia="Times New Roman" w:hAnsi="Arial" w:cs="Arial"/>
          <w:sz w:val="20"/>
          <w:szCs w:val="20"/>
        </w:rPr>
        <w:t xml:space="preserve">; </w:t>
      </w:r>
      <w:r>
        <w:rPr>
          <w:rFonts w:ascii="Arial" w:hAnsi="Arial" w:cs="Arial"/>
          <w:sz w:val="20"/>
          <w:szCs w:val="20"/>
        </w:rPr>
        <w:t>LETR (n 6</w:t>
      </w:r>
      <w:r w:rsidRPr="00B652B0">
        <w:rPr>
          <w:rFonts w:ascii="Arial" w:hAnsi="Arial" w:cs="Arial"/>
          <w:sz w:val="20"/>
          <w:szCs w:val="20"/>
        </w:rPr>
        <w:t>) para 214.</w:t>
      </w:r>
    </w:p>
  </w:footnote>
  <w:footnote w:id="41">
    <w:p w14:paraId="03875DC9" w14:textId="3FEC2A72" w:rsidR="004F3462" w:rsidRPr="000F1909" w:rsidRDefault="004F3462" w:rsidP="004A4A0D">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Data provided to aut</w:t>
      </w:r>
      <w:r>
        <w:rPr>
          <w:rFonts w:ascii="Arial" w:hAnsi="Arial" w:cs="Arial"/>
          <w:sz w:val="20"/>
          <w:szCs w:val="20"/>
        </w:rPr>
        <w:t xml:space="preserve">hor by BSB shows that in </w:t>
      </w:r>
      <w:r w:rsidRPr="000F1909">
        <w:rPr>
          <w:rFonts w:ascii="Arial" w:hAnsi="Arial" w:cs="Arial"/>
          <w:sz w:val="20"/>
          <w:szCs w:val="20"/>
        </w:rPr>
        <w:t>years</w:t>
      </w:r>
      <w:r>
        <w:rPr>
          <w:rFonts w:ascii="Arial" w:hAnsi="Arial" w:cs="Arial"/>
          <w:sz w:val="20"/>
          <w:szCs w:val="20"/>
        </w:rPr>
        <w:t xml:space="preserve"> 2011-2015</w:t>
      </w:r>
      <w:r w:rsidRPr="000F1909">
        <w:rPr>
          <w:rFonts w:ascii="Arial" w:hAnsi="Arial" w:cs="Arial"/>
          <w:sz w:val="20"/>
          <w:szCs w:val="20"/>
        </w:rPr>
        <w:t xml:space="preserve"> NLG students </w:t>
      </w:r>
      <w:r>
        <w:rPr>
          <w:rFonts w:ascii="Arial" w:hAnsi="Arial" w:cs="Arial"/>
          <w:sz w:val="20"/>
          <w:szCs w:val="20"/>
        </w:rPr>
        <w:t>obtained 48% of all pupillages; data on percentage of NLG (GDL) on BPTC available on BSB website, &lt;</w:t>
      </w:r>
      <w:r w:rsidRPr="00592D2D">
        <w:rPr>
          <w:rFonts w:ascii="Arial" w:hAnsi="Arial" w:cs="Arial"/>
          <w:sz w:val="20"/>
          <w:szCs w:val="20"/>
        </w:rPr>
        <w:t>www.barstandardsboard.org.uk/media/1932232/bptc_key_statistics_report_2018.pdf</w:t>
      </w:r>
      <w:r>
        <w:rPr>
          <w:rFonts w:ascii="Arial" w:hAnsi="Arial" w:cs="Arial"/>
          <w:sz w:val="20"/>
          <w:szCs w:val="20"/>
        </w:rPr>
        <w:t>&gt; accessed 6 May 2019.</w:t>
      </w:r>
    </w:p>
  </w:footnote>
  <w:footnote w:id="42">
    <w:p w14:paraId="7B25A682" w14:textId="4BD36580" w:rsidR="004F3462" w:rsidRPr="000F1909" w:rsidRDefault="004F3462" w:rsidP="00FA7CFC">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LETR (n 6) para 2.14; similar reasons given in Lord Chancellor’s Advisory Committee on Legal Education’s First Consultative Conference (9 July 1993); see a</w:t>
      </w:r>
      <w:r>
        <w:rPr>
          <w:rFonts w:ascii="Arial" w:hAnsi="Arial" w:cs="Arial"/>
          <w:sz w:val="20"/>
          <w:szCs w:val="20"/>
        </w:rPr>
        <w:t>lso Bermingham and Hodgson (n 34</w:t>
      </w:r>
      <w:r w:rsidRPr="000F1909">
        <w:rPr>
          <w:rFonts w:ascii="Arial" w:hAnsi="Arial" w:cs="Arial"/>
          <w:sz w:val="20"/>
          <w:szCs w:val="20"/>
        </w:rPr>
        <w:t>) 12-13, 15.</w:t>
      </w:r>
    </w:p>
  </w:footnote>
  <w:footnote w:id="43">
    <w:p w14:paraId="1B583498" w14:textId="77777777" w:rsidR="004F3462" w:rsidRPr="000F1909" w:rsidRDefault="004F3462">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ibid 12.</w:t>
      </w:r>
    </w:p>
  </w:footnote>
  <w:footnote w:id="44">
    <w:p w14:paraId="21E66AD6" w14:textId="5C96089F" w:rsidR="004F3462" w:rsidRPr="000F1909" w:rsidRDefault="004F3462" w:rsidP="00CC494D">
      <w:pPr>
        <w:rPr>
          <w:rFonts w:ascii="Arial" w:eastAsia="Times New Roman" w:hAnsi="Arial" w:cs="Arial"/>
          <w:sz w:val="20"/>
          <w:szCs w:val="20"/>
          <w:lang w:val="en-GB"/>
        </w:rPr>
      </w:pPr>
      <w:r w:rsidRPr="000F1909">
        <w:rPr>
          <w:rStyle w:val="FootnoteReference"/>
          <w:rFonts w:ascii="Arial" w:hAnsi="Arial" w:cs="Arial"/>
          <w:sz w:val="20"/>
          <w:szCs w:val="20"/>
        </w:rPr>
        <w:footnoteRef/>
      </w:r>
      <w:r>
        <w:rPr>
          <w:rFonts w:ascii="Arial" w:hAnsi="Arial" w:cs="Arial"/>
          <w:sz w:val="20"/>
          <w:szCs w:val="20"/>
        </w:rPr>
        <w:t xml:space="preserve"> Bermingham and Hodgson (n 34</w:t>
      </w:r>
      <w:r w:rsidRPr="000F1909">
        <w:rPr>
          <w:rFonts w:ascii="Arial" w:hAnsi="Arial" w:cs="Arial"/>
          <w:sz w:val="20"/>
          <w:szCs w:val="20"/>
        </w:rPr>
        <w:t xml:space="preserve">) 33; </w:t>
      </w:r>
      <w:r>
        <w:rPr>
          <w:rFonts w:ascii="Arial" w:eastAsia="Times New Roman" w:hAnsi="Arial" w:cs="Arial"/>
          <w:sz w:val="20"/>
          <w:szCs w:val="20"/>
        </w:rPr>
        <w:t>Anderson and Rolfe (n 39</w:t>
      </w:r>
      <w:r w:rsidRPr="000F1909">
        <w:rPr>
          <w:rFonts w:ascii="Arial" w:eastAsia="Times New Roman" w:hAnsi="Arial" w:cs="Arial"/>
          <w:sz w:val="20"/>
          <w:szCs w:val="20"/>
        </w:rPr>
        <w:t>) 323; LETR (n 6) 2.142-2.143; Bridge Group, ‘</w:t>
      </w:r>
      <w:r w:rsidRPr="000F1909">
        <w:rPr>
          <w:rFonts w:ascii="Arial" w:hAnsi="Arial" w:cs="Arial"/>
          <w:sz w:val="20"/>
          <w:szCs w:val="20"/>
        </w:rPr>
        <w:t xml:space="preserve">Introduction of the Solicitors Qualifying Examination: Monitoring and Maximising Diversity’ (March 2017) 10 </w:t>
      </w:r>
      <w:r w:rsidRPr="000F1909">
        <w:rPr>
          <w:rFonts w:ascii="Arial" w:eastAsia="Times New Roman" w:hAnsi="Arial" w:cs="Arial"/>
          <w:sz w:val="20"/>
          <w:szCs w:val="20"/>
        </w:rPr>
        <w:t>&lt;</w:t>
      </w:r>
      <w:hyperlink r:id="rId6" w:anchor="base%3E" w:history="1">
        <w:r w:rsidRPr="000F1909">
          <w:rPr>
            <w:rStyle w:val="Hyperlink"/>
            <w:rFonts w:ascii="Arial" w:eastAsia="Times New Roman" w:hAnsi="Arial" w:cs="Arial"/>
            <w:sz w:val="20"/>
            <w:szCs w:val="20"/>
          </w:rPr>
          <w:t>www.sra.org.uk/sra/policy/sqe/research-reports.page#base%3E</w:t>
        </w:r>
      </w:hyperlink>
      <w:r w:rsidRPr="000F1909">
        <w:rPr>
          <w:rFonts w:ascii="Arial" w:eastAsia="Times New Roman" w:hAnsi="Arial" w:cs="Arial"/>
          <w:sz w:val="20"/>
          <w:szCs w:val="20"/>
        </w:rPr>
        <w:t>&gt; accessed 25 April 2019.</w:t>
      </w:r>
    </w:p>
  </w:footnote>
  <w:footnote w:id="45">
    <w:p w14:paraId="1F9D4F63" w14:textId="587CB3BC" w:rsidR="004F3462" w:rsidRPr="000F1909" w:rsidRDefault="004F3462" w:rsidP="00E3370C">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Rolfe a</w:t>
      </w:r>
      <w:r>
        <w:rPr>
          <w:rFonts w:ascii="Arial" w:hAnsi="Arial" w:cs="Arial"/>
          <w:sz w:val="20"/>
          <w:szCs w:val="20"/>
        </w:rPr>
        <w:t>nd Anderson (n 39</w:t>
      </w:r>
      <w:r w:rsidRPr="000F1909">
        <w:rPr>
          <w:rFonts w:ascii="Arial" w:hAnsi="Arial" w:cs="Arial"/>
          <w:sz w:val="20"/>
          <w:szCs w:val="20"/>
        </w:rPr>
        <w:t>) 325.</w:t>
      </w:r>
    </w:p>
  </w:footnote>
  <w:footnote w:id="46">
    <w:p w14:paraId="70FB52EB" w14:textId="7D5CBECC" w:rsidR="004F3462" w:rsidRPr="000F1909" w:rsidRDefault="004F3462">
      <w:pPr>
        <w:pStyle w:val="FootnoteText"/>
        <w:rPr>
          <w:rFonts w:ascii="Arial" w:hAnsi="Arial"/>
          <w:sz w:val="20"/>
          <w:szCs w:val="20"/>
          <w:lang w:val="en-GB"/>
        </w:rPr>
      </w:pPr>
      <w:r w:rsidRPr="000F1909">
        <w:rPr>
          <w:rStyle w:val="FootnoteReference"/>
          <w:rFonts w:ascii="Arial" w:hAnsi="Arial"/>
          <w:sz w:val="20"/>
          <w:szCs w:val="20"/>
        </w:rPr>
        <w:footnoteRef/>
      </w:r>
      <w:r w:rsidRPr="000F1909">
        <w:rPr>
          <w:rFonts w:ascii="Arial" w:hAnsi="Arial"/>
          <w:sz w:val="20"/>
          <w:szCs w:val="20"/>
        </w:rPr>
        <w:t xml:space="preserve"> </w:t>
      </w:r>
      <w:r w:rsidRPr="000F1909">
        <w:rPr>
          <w:rFonts w:ascii="Arial" w:hAnsi="Arial" w:cs="Arial"/>
          <w:sz w:val="20"/>
          <w:szCs w:val="20"/>
          <w:lang w:val="en-GB"/>
        </w:rPr>
        <w:t xml:space="preserve">Legal Services Board  - </w:t>
      </w:r>
      <w:r w:rsidRPr="000F1909">
        <w:rPr>
          <w:rFonts w:ascii="Arial" w:hAnsi="Arial" w:cs="Arial"/>
          <w:sz w:val="20"/>
          <w:szCs w:val="20"/>
        </w:rPr>
        <w:t xml:space="preserve">Application to LSB for the approval of amendments to the SRA’s authorisation of individuals regulatory arrangements related to the proposed introduction of a Solicitors Qualifying Examination (January 2018) </w:t>
      </w:r>
      <w:r w:rsidRPr="000F1909">
        <w:rPr>
          <w:rFonts w:ascii="Arial" w:hAnsi="Arial" w:cs="Arial"/>
          <w:sz w:val="20"/>
          <w:szCs w:val="20"/>
          <w:lang w:val="en-GB"/>
        </w:rPr>
        <w:t>para 131 &lt;</w:t>
      </w:r>
      <w:hyperlink r:id="rId7" w:history="1">
        <w:r w:rsidRPr="000F1909">
          <w:rPr>
            <w:rStyle w:val="Hyperlink"/>
            <w:rFonts w:ascii="Arial" w:hAnsi="Arial" w:cs="Arial"/>
            <w:sz w:val="20"/>
            <w:szCs w:val="20"/>
            <w:lang w:val="en-GB"/>
          </w:rPr>
          <w:t>https://www.legalservicesboard.org.uk/what_we_do/regulation/pdf/2018/SQE_LSB_application_January_2018__v_1.0_FINAL.pdf</w:t>
        </w:r>
      </w:hyperlink>
      <w:r w:rsidRPr="000F1909">
        <w:rPr>
          <w:rFonts w:ascii="Arial" w:hAnsi="Arial" w:cs="Arial"/>
          <w:sz w:val="20"/>
          <w:szCs w:val="20"/>
          <w:lang w:val="en-GB"/>
        </w:rPr>
        <w:t>&gt; accessed 29 April 2019.</w:t>
      </w:r>
    </w:p>
  </w:footnote>
  <w:footnote w:id="47">
    <w:p w14:paraId="4CE46E74" w14:textId="77777777" w:rsidR="004F3462" w:rsidRPr="000F1909" w:rsidRDefault="004F3462" w:rsidP="00B726AC">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House of Commons, ‘Briefing Paper: An Early History of British Race Relations Legislation’ (No. 8360, 9 July 2018).</w:t>
      </w:r>
    </w:p>
  </w:footnote>
  <w:footnote w:id="48">
    <w:p w14:paraId="726E344D" w14:textId="1A29979B" w:rsidR="004F3462" w:rsidRPr="000F1909" w:rsidRDefault="004F3462">
      <w:pPr>
        <w:pStyle w:val="FootnoteText"/>
        <w:rPr>
          <w:rFonts w:ascii="Arial" w:hAnsi="Arial" w:cs="Arial"/>
          <w:sz w:val="20"/>
          <w:szCs w:val="20"/>
        </w:rPr>
      </w:pPr>
      <w:r w:rsidRPr="000F1909">
        <w:rPr>
          <w:rStyle w:val="FootnoteReference"/>
          <w:rFonts w:ascii="Arial" w:hAnsi="Arial" w:cs="Arial"/>
          <w:sz w:val="20"/>
          <w:szCs w:val="20"/>
        </w:rPr>
        <w:footnoteRef/>
      </w:r>
      <w:r>
        <w:rPr>
          <w:rFonts w:ascii="Arial" w:hAnsi="Arial" w:cs="Arial"/>
          <w:sz w:val="20"/>
          <w:szCs w:val="20"/>
        </w:rPr>
        <w:t xml:space="preserve"> </w:t>
      </w:r>
      <w:r w:rsidRPr="000F1909">
        <w:rPr>
          <w:rFonts w:ascii="Arial" w:hAnsi="Arial" w:cs="Arial"/>
          <w:sz w:val="20"/>
          <w:szCs w:val="20"/>
        </w:rPr>
        <w:t>Susan Smith, ‘Exploring the Black and Minority Ethnic (BME) Student Attainment Gap: What Did It Tell Us? Actions to Address Home BME Undergraduate Students’ Degree Attainment’ (2017) 5(1) Journal of Perspectives in Appl</w:t>
      </w:r>
      <w:r>
        <w:rPr>
          <w:rFonts w:ascii="Arial" w:hAnsi="Arial" w:cs="Arial"/>
          <w:sz w:val="20"/>
          <w:szCs w:val="20"/>
        </w:rPr>
        <w:t>ied Academic Practice 48, 49-50</w:t>
      </w:r>
      <w:r w:rsidRPr="000F1909">
        <w:rPr>
          <w:rFonts w:ascii="Arial" w:hAnsi="Arial" w:cs="Arial"/>
          <w:sz w:val="20"/>
          <w:szCs w:val="20"/>
        </w:rPr>
        <w:t>; Advance HE, ‘Degree Attainment Gaps’ &lt;www.ecu.ac.uk/guidance-resources/student-recruitment-retention-attainment/student-attainment/degree-attainment-gaps/&gt; accessed 25 April 2019.</w:t>
      </w:r>
    </w:p>
  </w:footnote>
  <w:footnote w:id="49">
    <w:p w14:paraId="150BECA3" w14:textId="77777777" w:rsidR="004F3462" w:rsidRPr="000F1909" w:rsidRDefault="004F3462" w:rsidP="00BC460F">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The Law Society, ‘Entry Trends’ (2017-18) &lt;</w:t>
      </w:r>
      <w:hyperlink r:id="rId8" w:history="1">
        <w:r w:rsidRPr="000F1909">
          <w:rPr>
            <w:rStyle w:val="Hyperlink"/>
            <w:rFonts w:ascii="Arial" w:hAnsi="Arial" w:cs="Arial"/>
            <w:sz w:val="20"/>
            <w:szCs w:val="20"/>
          </w:rPr>
          <w:t>www.lawsociety.org.uk/law-careers/becoming-a-solicitor/entry-trends/</w:t>
        </w:r>
      </w:hyperlink>
      <w:r w:rsidRPr="000F1909">
        <w:rPr>
          <w:rFonts w:ascii="Arial" w:hAnsi="Arial" w:cs="Arial"/>
          <w:sz w:val="20"/>
          <w:szCs w:val="20"/>
        </w:rPr>
        <w:t>&gt; accessed 26 April 2019.</w:t>
      </w:r>
    </w:p>
  </w:footnote>
  <w:footnote w:id="50">
    <w:p w14:paraId="61906E70" w14:textId="77777777" w:rsidR="004F3462" w:rsidRPr="000F1909" w:rsidRDefault="004F3462" w:rsidP="0011053C">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LETR (n 6) 4.102, 2.118, 6.9</w:t>
      </w:r>
    </w:p>
  </w:footnote>
  <w:footnote w:id="51">
    <w:p w14:paraId="0581E3AA" w14:textId="77777777" w:rsidR="004F3462" w:rsidRPr="000F1909" w:rsidRDefault="004F3462" w:rsidP="003A2644">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ibid 6.34.</w:t>
      </w:r>
    </w:p>
  </w:footnote>
  <w:footnote w:id="52">
    <w:p w14:paraId="355CF8AE" w14:textId="2863B15A" w:rsidR="004F3462" w:rsidRPr="000F1909" w:rsidRDefault="004F3462" w:rsidP="005F0490">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w:t>
      </w:r>
      <w:r w:rsidRPr="000F1909">
        <w:rPr>
          <w:rFonts w:ascii="Arial" w:eastAsia="Times New Roman" w:hAnsi="Arial" w:cs="Arial"/>
          <w:sz w:val="20"/>
          <w:szCs w:val="20"/>
        </w:rPr>
        <w:t>SRA Baseline atta</w:t>
      </w:r>
      <w:r>
        <w:rPr>
          <w:rFonts w:ascii="Arial" w:eastAsia="Times New Roman" w:hAnsi="Arial" w:cs="Arial"/>
          <w:sz w:val="20"/>
          <w:szCs w:val="20"/>
        </w:rPr>
        <w:t>inment data (October 2015) (n 32</w:t>
      </w:r>
      <w:r w:rsidRPr="000F1909">
        <w:rPr>
          <w:rFonts w:ascii="Arial" w:eastAsia="Times New Roman" w:hAnsi="Arial" w:cs="Arial"/>
          <w:sz w:val="20"/>
          <w:szCs w:val="20"/>
        </w:rPr>
        <w:t xml:space="preserve">) </w:t>
      </w:r>
      <w:r w:rsidRPr="000F1909">
        <w:rPr>
          <w:rFonts w:ascii="Arial" w:hAnsi="Arial" w:cs="Arial"/>
          <w:sz w:val="20"/>
          <w:szCs w:val="20"/>
        </w:rPr>
        <w:t>10; SRA, ‘Monitoring and authorizatio</w:t>
      </w:r>
      <w:r>
        <w:rPr>
          <w:rFonts w:ascii="Arial" w:hAnsi="Arial" w:cs="Arial"/>
          <w:sz w:val="20"/>
          <w:szCs w:val="20"/>
        </w:rPr>
        <w:t>n activity’ (2015-2017) (n 33).</w:t>
      </w:r>
    </w:p>
  </w:footnote>
  <w:footnote w:id="53">
    <w:p w14:paraId="6C4E6267" w14:textId="5996DDB3" w:rsidR="004F3462" w:rsidRDefault="004F3462">
      <w:pPr>
        <w:pStyle w:val="FootnoteText"/>
      </w:pPr>
      <w:r>
        <w:rPr>
          <w:rStyle w:val="FootnoteReference"/>
        </w:rPr>
        <w:footnoteRef/>
      </w:r>
      <w:r>
        <w:t xml:space="preserve"> </w:t>
      </w:r>
      <w:r w:rsidRPr="000F1909">
        <w:rPr>
          <w:rFonts w:ascii="Arial" w:hAnsi="Arial" w:cs="Arial"/>
          <w:sz w:val="20"/>
          <w:szCs w:val="20"/>
        </w:rPr>
        <w:t>Bridge</w:t>
      </w:r>
      <w:r>
        <w:rPr>
          <w:rFonts w:ascii="Arial" w:hAnsi="Arial" w:cs="Arial"/>
          <w:sz w:val="20"/>
          <w:szCs w:val="20"/>
        </w:rPr>
        <w:t xml:space="preserve"> Group (n 44</w:t>
      </w:r>
      <w:r w:rsidRPr="000F1909">
        <w:rPr>
          <w:rFonts w:ascii="Arial" w:hAnsi="Arial" w:cs="Arial"/>
          <w:sz w:val="20"/>
          <w:szCs w:val="20"/>
        </w:rPr>
        <w:t>)</w:t>
      </w:r>
      <w:r>
        <w:rPr>
          <w:rFonts w:ascii="Arial" w:hAnsi="Arial" w:cs="Arial"/>
          <w:sz w:val="20"/>
          <w:szCs w:val="20"/>
        </w:rPr>
        <w:t xml:space="preserve">; Susan Smith (n 48) </w:t>
      </w:r>
      <w:r w:rsidRPr="000F1909">
        <w:rPr>
          <w:rFonts w:ascii="Arial" w:hAnsi="Arial" w:cs="Arial"/>
          <w:sz w:val="20"/>
          <w:szCs w:val="20"/>
        </w:rPr>
        <w:t>49-50.</w:t>
      </w:r>
    </w:p>
  </w:footnote>
  <w:footnote w:id="54">
    <w:p w14:paraId="4ABCF5EA" w14:textId="18AA44A6" w:rsidR="004F3462" w:rsidRPr="000F1909" w:rsidRDefault="004F3462" w:rsidP="003A2644">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Office for Students, ‘Topic Briefing: Black and minority ethnic (BME) students’ 5 &lt;</w:t>
      </w:r>
      <w:hyperlink r:id="rId9" w:history="1">
        <w:r w:rsidRPr="000F1909">
          <w:rPr>
            <w:rStyle w:val="Hyperlink"/>
            <w:rFonts w:ascii="Arial" w:hAnsi="Arial" w:cs="Arial"/>
            <w:sz w:val="20"/>
            <w:szCs w:val="20"/>
          </w:rPr>
          <w:t>www.officeforstudents.org.uk/media/145556db-8183-40b8-b7af-741bf2b55d79/topic-briefing_bme-students.pdf</w:t>
        </w:r>
      </w:hyperlink>
      <w:r w:rsidRPr="000F1909">
        <w:rPr>
          <w:rFonts w:ascii="Arial" w:hAnsi="Arial" w:cs="Arial"/>
          <w:sz w:val="20"/>
          <w:szCs w:val="20"/>
        </w:rPr>
        <w:t>&gt; accessed 26 April 2019.</w:t>
      </w:r>
    </w:p>
  </w:footnote>
  <w:footnote w:id="55">
    <w:p w14:paraId="135725BE" w14:textId="77777777" w:rsidR="004F3462" w:rsidRPr="00E671F4" w:rsidRDefault="004F3462" w:rsidP="00F74C5F">
      <w:pPr>
        <w:pStyle w:val="FootnoteText"/>
        <w:rPr>
          <w:rFonts w:ascii="Arial" w:hAnsi="Arial" w:cs="Arial"/>
          <w:sz w:val="20"/>
          <w:szCs w:val="20"/>
        </w:rPr>
      </w:pPr>
      <w:r w:rsidRPr="00E671F4">
        <w:rPr>
          <w:rStyle w:val="FootnoteReference"/>
          <w:rFonts w:ascii="Arial" w:hAnsi="Arial" w:cs="Arial"/>
          <w:sz w:val="20"/>
          <w:szCs w:val="20"/>
        </w:rPr>
        <w:footnoteRef/>
      </w:r>
      <w:r>
        <w:rPr>
          <w:rFonts w:ascii="Arial" w:hAnsi="Arial" w:cs="Arial"/>
          <w:sz w:val="20"/>
          <w:szCs w:val="20"/>
        </w:rPr>
        <w:t xml:space="preserve"> </w:t>
      </w:r>
      <w:r w:rsidRPr="00E671F4">
        <w:rPr>
          <w:rFonts w:ascii="Arial" w:hAnsi="Arial" w:cs="Arial"/>
          <w:sz w:val="20"/>
          <w:szCs w:val="20"/>
        </w:rPr>
        <w:t>Elaine Hall</w:t>
      </w:r>
      <w:r>
        <w:rPr>
          <w:rFonts w:ascii="Arial" w:hAnsi="Arial" w:cs="Arial"/>
          <w:sz w:val="20"/>
          <w:szCs w:val="20"/>
        </w:rPr>
        <w:t>,</w:t>
      </w:r>
      <w:r w:rsidRPr="00E671F4">
        <w:rPr>
          <w:rFonts w:ascii="Arial" w:hAnsi="Arial" w:cs="Arial"/>
          <w:sz w:val="20"/>
          <w:szCs w:val="20"/>
        </w:rPr>
        <w:t xml:space="preserve"> </w:t>
      </w:r>
      <w:r>
        <w:rPr>
          <w:rFonts w:ascii="Arial" w:hAnsi="Arial" w:cs="Arial"/>
          <w:sz w:val="20"/>
          <w:szCs w:val="20"/>
        </w:rPr>
        <w:t>‘</w:t>
      </w:r>
      <w:r w:rsidRPr="00E671F4">
        <w:rPr>
          <w:rFonts w:ascii="Arial" w:hAnsi="Arial" w:cs="Arial"/>
          <w:sz w:val="20"/>
          <w:szCs w:val="20"/>
        </w:rPr>
        <w:t>Glass Houses: how might we decide on a “good enough” assessment to become a solicitor?</w:t>
      </w:r>
      <w:r>
        <w:rPr>
          <w:rFonts w:ascii="Arial" w:hAnsi="Arial" w:cs="Arial"/>
          <w:sz w:val="20"/>
          <w:szCs w:val="20"/>
        </w:rPr>
        <w:t>’</w:t>
      </w:r>
      <w:r w:rsidRPr="00E671F4">
        <w:rPr>
          <w:rFonts w:ascii="Arial" w:hAnsi="Arial" w:cs="Arial"/>
          <w:sz w:val="20"/>
          <w:szCs w:val="20"/>
        </w:rPr>
        <w:t xml:space="preserve"> (2018) 52(4) The Law Teacher 453, 457.</w:t>
      </w:r>
    </w:p>
  </w:footnote>
  <w:footnote w:id="56">
    <w:p w14:paraId="4E32EF85" w14:textId="77777777" w:rsidR="004F3462" w:rsidRPr="00E40B21" w:rsidRDefault="004F3462" w:rsidP="00EB6DAB">
      <w:pPr>
        <w:pStyle w:val="FootnoteText"/>
        <w:rPr>
          <w:rFonts w:ascii="Arial" w:hAnsi="Arial" w:cs="Arial"/>
          <w:sz w:val="20"/>
          <w:szCs w:val="20"/>
        </w:rPr>
      </w:pPr>
      <w:r w:rsidRPr="000F1909">
        <w:rPr>
          <w:rStyle w:val="FootnoteReference"/>
          <w:rFonts w:ascii="Arial" w:hAnsi="Arial" w:cs="Arial"/>
          <w:sz w:val="20"/>
          <w:szCs w:val="20"/>
        </w:rPr>
        <w:footnoteRef/>
      </w:r>
      <w:r w:rsidRPr="000F1909">
        <w:rPr>
          <w:rFonts w:ascii="Arial" w:hAnsi="Arial" w:cs="Arial"/>
          <w:sz w:val="20"/>
          <w:szCs w:val="20"/>
        </w:rPr>
        <w:t xml:space="preserve"> Society of Public Teachers of Law (now SLS) 1990 paper for the Lord Chancellor’s Advisory Committee on Legal Education (19 September 1990) para 5.</w:t>
      </w:r>
    </w:p>
  </w:footnote>
  <w:footnote w:id="57">
    <w:p w14:paraId="235033E6" w14:textId="77F2B4DC" w:rsidR="004F3462" w:rsidRPr="00E671F4" w:rsidRDefault="004F3462" w:rsidP="00936D86">
      <w:pPr>
        <w:pStyle w:val="FootnoteText"/>
        <w:rPr>
          <w:rFonts w:ascii="Arial" w:hAnsi="Arial" w:cs="Arial"/>
          <w:sz w:val="20"/>
          <w:szCs w:val="20"/>
        </w:rPr>
      </w:pPr>
      <w:r w:rsidRPr="00E671F4">
        <w:rPr>
          <w:rStyle w:val="FootnoteReference"/>
          <w:rFonts w:ascii="Arial" w:hAnsi="Arial" w:cs="Arial"/>
          <w:sz w:val="20"/>
          <w:szCs w:val="20"/>
        </w:rPr>
        <w:footnoteRef/>
      </w:r>
      <w:r>
        <w:rPr>
          <w:rFonts w:ascii="Arial" w:hAnsi="Arial" w:cs="Arial"/>
          <w:sz w:val="20"/>
          <w:szCs w:val="20"/>
        </w:rPr>
        <w:t xml:space="preserve"> Susan Smith (n 48</w:t>
      </w:r>
      <w:r w:rsidRPr="00E671F4">
        <w:rPr>
          <w:rFonts w:ascii="Arial" w:hAnsi="Arial" w:cs="Arial"/>
          <w:sz w:val="20"/>
          <w:szCs w:val="20"/>
        </w:rPr>
        <w:t>) 49.</w:t>
      </w:r>
    </w:p>
  </w:footnote>
  <w:footnote w:id="58">
    <w:p w14:paraId="56E3B8C6" w14:textId="181519BB" w:rsidR="004F3462" w:rsidRPr="00E671F4" w:rsidRDefault="004F3462">
      <w:pPr>
        <w:pStyle w:val="FootnoteText"/>
        <w:rPr>
          <w:lang w:val="en-GB"/>
        </w:rPr>
      </w:pPr>
      <w:r w:rsidRPr="00E671F4">
        <w:rPr>
          <w:rStyle w:val="FootnoteReference"/>
          <w:rFonts w:ascii="Arial" w:hAnsi="Arial" w:cs="Arial"/>
          <w:sz w:val="20"/>
          <w:szCs w:val="20"/>
        </w:rPr>
        <w:footnoteRef/>
      </w:r>
      <w:r w:rsidRPr="00E671F4">
        <w:rPr>
          <w:rFonts w:ascii="Arial" w:hAnsi="Arial" w:cs="Arial"/>
          <w:sz w:val="20"/>
          <w:szCs w:val="20"/>
        </w:rPr>
        <w:t xml:space="preserve"> </w:t>
      </w:r>
      <w:r w:rsidRPr="00E671F4">
        <w:rPr>
          <w:rFonts w:ascii="Arial" w:hAnsi="Arial" w:cs="Arial"/>
          <w:sz w:val="20"/>
          <w:szCs w:val="20"/>
          <w:lang w:val="en-GB"/>
        </w:rPr>
        <w:t>L</w:t>
      </w:r>
      <w:r>
        <w:rPr>
          <w:rFonts w:ascii="Arial" w:hAnsi="Arial" w:cs="Arial"/>
          <w:sz w:val="20"/>
          <w:szCs w:val="20"/>
          <w:lang w:val="en-GB"/>
        </w:rPr>
        <w:t xml:space="preserve">egal </w:t>
      </w:r>
      <w:r w:rsidRPr="00E671F4">
        <w:rPr>
          <w:rFonts w:ascii="Arial" w:hAnsi="Arial" w:cs="Arial"/>
          <w:sz w:val="20"/>
          <w:szCs w:val="20"/>
          <w:lang w:val="en-GB"/>
        </w:rPr>
        <w:t>S</w:t>
      </w:r>
      <w:r>
        <w:rPr>
          <w:rFonts w:ascii="Arial" w:hAnsi="Arial" w:cs="Arial"/>
          <w:sz w:val="20"/>
          <w:szCs w:val="20"/>
          <w:lang w:val="en-GB"/>
        </w:rPr>
        <w:t xml:space="preserve">ervices </w:t>
      </w:r>
      <w:r w:rsidRPr="00E671F4">
        <w:rPr>
          <w:rFonts w:ascii="Arial" w:hAnsi="Arial" w:cs="Arial"/>
          <w:sz w:val="20"/>
          <w:szCs w:val="20"/>
          <w:lang w:val="en-GB"/>
        </w:rPr>
        <w:t>B</w:t>
      </w:r>
      <w:r>
        <w:rPr>
          <w:rFonts w:ascii="Arial" w:hAnsi="Arial" w:cs="Arial"/>
          <w:sz w:val="20"/>
          <w:szCs w:val="20"/>
          <w:lang w:val="en-GB"/>
        </w:rPr>
        <w:t>oard</w:t>
      </w:r>
      <w:r w:rsidRPr="00E671F4">
        <w:rPr>
          <w:rFonts w:ascii="Arial" w:hAnsi="Arial" w:cs="Arial"/>
          <w:sz w:val="20"/>
          <w:szCs w:val="20"/>
          <w:lang w:val="en-GB"/>
        </w:rPr>
        <w:t xml:space="preserve">  </w:t>
      </w:r>
      <w:r>
        <w:rPr>
          <w:rFonts w:ascii="Arial" w:hAnsi="Arial" w:cs="Arial"/>
          <w:sz w:val="20"/>
          <w:szCs w:val="20"/>
        </w:rPr>
        <w:t xml:space="preserve">(26 March 2018) (n 3) </w:t>
      </w:r>
      <w:r>
        <w:rPr>
          <w:rFonts w:ascii="Arial" w:hAnsi="Arial" w:cs="Arial"/>
          <w:sz w:val="20"/>
          <w:szCs w:val="20"/>
          <w:lang w:val="en-GB"/>
        </w:rPr>
        <w:t>para 6.</w:t>
      </w:r>
    </w:p>
  </w:footnote>
  <w:footnote w:id="59">
    <w:p w14:paraId="793462F0" w14:textId="77777777" w:rsidR="004F3462" w:rsidRPr="00E40B21" w:rsidRDefault="004F3462" w:rsidP="007A7F92">
      <w:pPr>
        <w:rPr>
          <w:rFonts w:ascii="Arial" w:eastAsia="Times New Roman" w:hAnsi="Arial" w:cs="Arial"/>
          <w:sz w:val="20"/>
          <w:szCs w:val="20"/>
          <w:lang w:val="en-GB"/>
        </w:rPr>
      </w:pPr>
      <w:r w:rsidRPr="00E40B21">
        <w:rPr>
          <w:rStyle w:val="FootnoteReference"/>
          <w:rFonts w:ascii="Arial" w:hAnsi="Arial" w:cs="Arial"/>
          <w:sz w:val="20"/>
          <w:szCs w:val="20"/>
        </w:rPr>
        <w:footnoteRef/>
      </w:r>
      <w:r w:rsidRPr="00E40B21">
        <w:rPr>
          <w:rFonts w:ascii="Arial" w:hAnsi="Arial" w:cs="Arial"/>
          <w:sz w:val="20"/>
          <w:szCs w:val="20"/>
        </w:rPr>
        <w:t xml:space="preserve"> BSB,</w:t>
      </w:r>
      <w:r w:rsidRPr="00E40B21">
        <w:rPr>
          <w:rFonts w:ascii="Arial" w:eastAsia="Times New Roman" w:hAnsi="Arial" w:cs="Arial"/>
          <w:sz w:val="20"/>
          <w:szCs w:val="20"/>
        </w:rPr>
        <w:t xml:space="preserve"> ‘</w:t>
      </w:r>
      <w:r w:rsidRPr="00E40B21">
        <w:rPr>
          <w:rFonts w:ascii="Arial" w:eastAsia="Times New Roman" w:hAnsi="Arial" w:cs="Arial"/>
          <w:sz w:val="20"/>
          <w:szCs w:val="20"/>
          <w:lang w:val="en-GB"/>
        </w:rPr>
        <w:t>BSB Policy Statement on Bar Training’ (March 2017) para 8 available &lt;www.barstandardsboard.org.uk/media/1825162/032317_fbt_-_policy_statement_version_for_publication.pdf&gt; accessed 5 February 2019.</w:t>
      </w:r>
    </w:p>
  </w:footnote>
  <w:footnote w:id="60">
    <w:p w14:paraId="2EBDDE4D" w14:textId="170B8C3D" w:rsidR="004F3462" w:rsidRPr="0071229C" w:rsidRDefault="004F3462" w:rsidP="009D7078">
      <w:pPr>
        <w:pStyle w:val="FootnoteText"/>
        <w:rPr>
          <w:rFonts w:ascii="Arial" w:hAnsi="Arial" w:cs="Arial"/>
          <w:sz w:val="20"/>
          <w:szCs w:val="20"/>
        </w:rPr>
      </w:pPr>
      <w:r w:rsidRPr="0071229C">
        <w:rPr>
          <w:rStyle w:val="FootnoteReference"/>
          <w:rFonts w:ascii="Arial" w:hAnsi="Arial" w:cs="Arial"/>
          <w:sz w:val="20"/>
          <w:szCs w:val="20"/>
        </w:rPr>
        <w:footnoteRef/>
      </w:r>
      <w:r w:rsidRPr="0071229C">
        <w:rPr>
          <w:rFonts w:ascii="Arial" w:hAnsi="Arial" w:cs="Arial"/>
          <w:sz w:val="20"/>
          <w:szCs w:val="20"/>
        </w:rPr>
        <w:t xml:space="preserve"> BSB website, ‘Bar Qualification Manual’ (1 April 2019) &lt;www.barstandardsboard.org.uk/media/1983635/bqm_part_2a_-_a3_completing_the_academic_component_-_conversion_courses.pdf &gt; accessed 10 May 2019.</w:t>
      </w:r>
    </w:p>
  </w:footnote>
  <w:footnote w:id="61">
    <w:p w14:paraId="78290B52" w14:textId="77777777" w:rsidR="004F3462" w:rsidRPr="00E40B21" w:rsidRDefault="004F3462" w:rsidP="0054156F">
      <w:pPr>
        <w:rPr>
          <w:rFonts w:ascii="Arial" w:hAnsi="Arial" w:cs="Arial"/>
          <w:sz w:val="20"/>
          <w:szCs w:val="20"/>
        </w:rPr>
      </w:pPr>
      <w:r w:rsidRPr="00E671F4">
        <w:rPr>
          <w:rStyle w:val="FootnoteReference"/>
          <w:rFonts w:ascii="Arial" w:hAnsi="Arial" w:cs="Arial"/>
          <w:sz w:val="20"/>
          <w:szCs w:val="20"/>
        </w:rPr>
        <w:footnoteRef/>
      </w:r>
      <w:r w:rsidRPr="00E671F4">
        <w:rPr>
          <w:rFonts w:ascii="Arial" w:hAnsi="Arial" w:cs="Arial"/>
          <w:sz w:val="20"/>
          <w:szCs w:val="20"/>
        </w:rPr>
        <w:t xml:space="preserve"> SRA Consultation Responses: A new route to qualification: the Solicitors qualifying examination.  Consultation on a proposal to introduce the Solicitors Qualifying Examination: Consultation responses (April 2017); reference the joint response from four law subject associations: the Socio-Legal Studies Association, the Committee of Heads of University Law Schools, the Association of Law Teachers and the Society of Legal Scholars</w:t>
      </w:r>
      <w:r w:rsidRPr="00E40B21">
        <w:rPr>
          <w:rFonts w:ascii="Arial" w:hAnsi="Arial" w:cs="Arial"/>
          <w:sz w:val="20"/>
          <w:szCs w:val="20"/>
        </w:rPr>
        <w:t>;</w:t>
      </w:r>
    </w:p>
    <w:p w14:paraId="59A43030" w14:textId="75BA6CC9" w:rsidR="004F3462" w:rsidRPr="00E671F4" w:rsidRDefault="004F3462" w:rsidP="0054156F">
      <w:pPr>
        <w:rPr>
          <w:rFonts w:ascii="Arial" w:hAnsi="Arial" w:cs="Arial"/>
          <w:sz w:val="20"/>
          <w:szCs w:val="20"/>
        </w:rPr>
      </w:pPr>
      <w:r w:rsidRPr="00E40B21">
        <w:rPr>
          <w:rFonts w:ascii="Arial" w:hAnsi="Arial" w:cs="Arial"/>
          <w:sz w:val="20"/>
          <w:szCs w:val="20"/>
        </w:rPr>
        <w:t xml:space="preserve">LSB has dismissed concerns about </w:t>
      </w:r>
      <w:r>
        <w:rPr>
          <w:rFonts w:ascii="Arial" w:hAnsi="Arial" w:cs="Arial"/>
          <w:sz w:val="20"/>
          <w:szCs w:val="20"/>
        </w:rPr>
        <w:t xml:space="preserve">a </w:t>
      </w:r>
      <w:r w:rsidRPr="00E40B21">
        <w:rPr>
          <w:rFonts w:ascii="Arial" w:hAnsi="Arial" w:cs="Arial"/>
          <w:sz w:val="20"/>
          <w:szCs w:val="20"/>
        </w:rPr>
        <w:t>loss of an academic stage learning law</w:t>
      </w:r>
      <w:r>
        <w:rPr>
          <w:rFonts w:ascii="Arial" w:hAnsi="Arial" w:cs="Arial"/>
          <w:sz w:val="20"/>
          <w:szCs w:val="20"/>
        </w:rPr>
        <w:t xml:space="preserve"> for qualification</w:t>
      </w:r>
      <w:r w:rsidRPr="00E40B21">
        <w:rPr>
          <w:rFonts w:ascii="Arial" w:hAnsi="Arial" w:cs="Arial"/>
          <w:sz w:val="20"/>
          <w:szCs w:val="20"/>
        </w:rPr>
        <w:t xml:space="preserve"> </w:t>
      </w:r>
      <w:r>
        <w:rPr>
          <w:rFonts w:ascii="Arial" w:hAnsi="Arial" w:cs="Arial"/>
          <w:sz w:val="20"/>
          <w:szCs w:val="20"/>
        </w:rPr>
        <w:t>(n 3) para 50; Elaine Hall (n 55</w:t>
      </w:r>
      <w:r w:rsidRPr="00E40B21">
        <w:rPr>
          <w:rFonts w:ascii="Arial" w:hAnsi="Arial" w:cs="Arial"/>
          <w:sz w:val="20"/>
          <w:szCs w:val="20"/>
        </w:rPr>
        <w:t>) 458.</w:t>
      </w:r>
    </w:p>
  </w:footnote>
  <w:footnote w:id="62">
    <w:p w14:paraId="06687650" w14:textId="1AEA9936" w:rsidR="004F3462" w:rsidRPr="00E671F4" w:rsidRDefault="004F3462">
      <w:pPr>
        <w:pStyle w:val="FootnoteText"/>
        <w:rPr>
          <w:sz w:val="20"/>
          <w:szCs w:val="20"/>
        </w:rPr>
      </w:pPr>
      <w:r w:rsidRPr="00E671F4">
        <w:rPr>
          <w:rStyle w:val="FootnoteReference"/>
          <w:rFonts w:ascii="Arial" w:hAnsi="Arial" w:cs="Arial"/>
          <w:sz w:val="20"/>
          <w:szCs w:val="20"/>
        </w:rPr>
        <w:footnoteRef/>
      </w:r>
      <w:r w:rsidRPr="00E671F4">
        <w:rPr>
          <w:rFonts w:ascii="Arial" w:hAnsi="Arial" w:cs="Arial"/>
          <w:sz w:val="20"/>
          <w:szCs w:val="20"/>
        </w:rPr>
        <w:t xml:space="preserve"> </w:t>
      </w:r>
      <w:proofErr w:type="spellStart"/>
      <w:r w:rsidR="00C354C6" w:rsidRPr="00E671F4">
        <w:rPr>
          <w:rFonts w:ascii="Arial" w:hAnsi="Arial" w:cs="Arial"/>
          <w:sz w:val="20"/>
          <w:szCs w:val="20"/>
        </w:rPr>
        <w:t>Cf</w:t>
      </w:r>
      <w:proofErr w:type="spellEnd"/>
      <w:r w:rsidR="00C354C6" w:rsidRPr="00E671F4">
        <w:rPr>
          <w:rFonts w:ascii="Arial" w:hAnsi="Arial" w:cs="Arial"/>
          <w:sz w:val="20"/>
          <w:szCs w:val="20"/>
        </w:rPr>
        <w:t xml:space="preserve"> Anthony</w:t>
      </w:r>
      <w:r w:rsidRPr="00E671F4">
        <w:rPr>
          <w:rFonts w:ascii="Arial" w:hAnsi="Arial" w:cs="Arial"/>
          <w:sz w:val="20"/>
          <w:szCs w:val="20"/>
        </w:rPr>
        <w:t xml:space="preserve"> </w:t>
      </w:r>
      <w:proofErr w:type="spellStart"/>
      <w:r w:rsidRPr="00E671F4">
        <w:rPr>
          <w:rFonts w:ascii="Arial" w:hAnsi="Arial" w:cs="Arial"/>
          <w:sz w:val="20"/>
          <w:szCs w:val="20"/>
        </w:rPr>
        <w:t>Bradney</w:t>
      </w:r>
      <w:proofErr w:type="spellEnd"/>
      <w:r w:rsidRPr="00E671F4">
        <w:rPr>
          <w:rFonts w:ascii="Arial" w:hAnsi="Arial" w:cs="Arial"/>
          <w:sz w:val="20"/>
          <w:szCs w:val="20"/>
        </w:rPr>
        <w:t>, ‘The success of university law schools in England and Wales: or how to fail’ (2018) 52(4) 490, 498.</w:t>
      </w:r>
    </w:p>
  </w:footnote>
  <w:footnote w:id="63">
    <w:p w14:paraId="708F95E1" w14:textId="6120807E" w:rsidR="004F3462" w:rsidRPr="00E671F4" w:rsidRDefault="004F3462">
      <w:pPr>
        <w:pStyle w:val="FootnoteText"/>
        <w:rPr>
          <w:rFonts w:ascii="Arial" w:hAnsi="Arial" w:cs="Arial"/>
          <w:sz w:val="20"/>
          <w:szCs w:val="20"/>
        </w:rPr>
      </w:pPr>
      <w:r w:rsidRPr="00E671F4">
        <w:rPr>
          <w:rStyle w:val="FootnoteReference"/>
          <w:rFonts w:ascii="Arial" w:hAnsi="Arial" w:cs="Arial"/>
          <w:sz w:val="20"/>
          <w:szCs w:val="20"/>
        </w:rPr>
        <w:footnoteRef/>
      </w:r>
      <w:r>
        <w:rPr>
          <w:rFonts w:ascii="Arial" w:hAnsi="Arial" w:cs="Arial"/>
          <w:sz w:val="20"/>
          <w:szCs w:val="20"/>
        </w:rPr>
        <w:t xml:space="preserve"> LSB (n 3</w:t>
      </w:r>
      <w:r w:rsidRPr="00E671F4">
        <w:rPr>
          <w:rFonts w:ascii="Arial" w:hAnsi="Arial" w:cs="Arial"/>
          <w:sz w:val="20"/>
          <w:szCs w:val="20"/>
        </w:rPr>
        <w:t>) para 35.</w:t>
      </w:r>
    </w:p>
  </w:footnote>
  <w:footnote w:id="64">
    <w:p w14:paraId="765276B8" w14:textId="67F4E4FD" w:rsidR="004F3462" w:rsidRPr="00C354C6" w:rsidRDefault="004F3462">
      <w:pPr>
        <w:pStyle w:val="FootnoteText"/>
        <w:rPr>
          <w:rFonts w:ascii="Arial" w:hAnsi="Arial" w:cs="Arial"/>
          <w:sz w:val="20"/>
          <w:szCs w:val="20"/>
        </w:rPr>
      </w:pPr>
      <w:r w:rsidRPr="00C354C6">
        <w:rPr>
          <w:rStyle w:val="FootnoteReference"/>
          <w:rFonts w:ascii="Arial" w:hAnsi="Arial" w:cs="Arial"/>
          <w:sz w:val="20"/>
          <w:szCs w:val="20"/>
        </w:rPr>
        <w:footnoteRef/>
      </w:r>
      <w:r w:rsidRPr="00C354C6">
        <w:rPr>
          <w:rFonts w:ascii="Arial" w:hAnsi="Arial" w:cs="Arial"/>
          <w:sz w:val="20"/>
          <w:szCs w:val="20"/>
        </w:rPr>
        <w:t xml:space="preserve"> SRA website</w:t>
      </w:r>
      <w:r>
        <w:rPr>
          <w:rFonts w:ascii="Arial" w:hAnsi="Arial" w:cs="Arial"/>
          <w:sz w:val="20"/>
          <w:szCs w:val="20"/>
        </w:rPr>
        <w:t xml:space="preserve"> for a report on this</w:t>
      </w:r>
      <w:r w:rsidRPr="00C354C6">
        <w:rPr>
          <w:rFonts w:ascii="Arial" w:hAnsi="Arial" w:cs="Arial"/>
          <w:sz w:val="20"/>
          <w:szCs w:val="20"/>
        </w:rPr>
        <w:t>, ‘AlphaPlus Report: Reviewing levels and the proposed content demands in the Solicitors Qualifying Exam’ &lt;www.sra.org.uk/sra/consultations/solicitors-qualifying-examination.page&gt; accessed 1 July 2019.</w:t>
      </w:r>
    </w:p>
  </w:footnote>
  <w:footnote w:id="65">
    <w:p w14:paraId="674B882A" w14:textId="77777777" w:rsidR="004F3462" w:rsidRPr="00D25302" w:rsidRDefault="004F3462">
      <w:pPr>
        <w:pStyle w:val="FootnoteText"/>
        <w:rPr>
          <w:rFonts w:ascii="Arial" w:hAnsi="Arial" w:cs="Arial"/>
          <w:sz w:val="20"/>
          <w:szCs w:val="20"/>
        </w:rPr>
      </w:pPr>
      <w:r w:rsidRPr="00D25302">
        <w:rPr>
          <w:rStyle w:val="FootnoteReference"/>
          <w:rFonts w:ascii="Arial" w:hAnsi="Arial" w:cs="Arial"/>
          <w:sz w:val="20"/>
          <w:szCs w:val="20"/>
        </w:rPr>
        <w:footnoteRef/>
      </w:r>
      <w:r w:rsidRPr="00D25302">
        <w:rPr>
          <w:rFonts w:ascii="Arial" w:hAnsi="Arial" w:cs="Arial"/>
          <w:sz w:val="20"/>
          <w:szCs w:val="20"/>
        </w:rPr>
        <w:t xml:space="preserve"> SRA website, ‘I want to be a solicitor’ &lt;www.sra.org.uk/sra/policy/sqe/solicitor-persona.page&gt; accessed 26 April 2019.</w:t>
      </w:r>
    </w:p>
  </w:footnote>
  <w:footnote w:id="66">
    <w:p w14:paraId="15A2287E" w14:textId="77777777" w:rsidR="004F3462" w:rsidRPr="00FF74E6" w:rsidRDefault="004F3462" w:rsidP="004241BC">
      <w:pPr>
        <w:pStyle w:val="FootnoteText"/>
        <w:rPr>
          <w:rFonts w:ascii="Arial" w:hAnsi="Arial" w:cs="Arial"/>
          <w:sz w:val="20"/>
          <w:szCs w:val="20"/>
        </w:rPr>
      </w:pPr>
      <w:r w:rsidRPr="00FF74E6">
        <w:rPr>
          <w:rStyle w:val="FootnoteReference"/>
          <w:rFonts w:ascii="Arial" w:hAnsi="Arial" w:cs="Arial"/>
          <w:sz w:val="20"/>
          <w:szCs w:val="20"/>
        </w:rPr>
        <w:footnoteRef/>
      </w:r>
      <w:r w:rsidRPr="00FF74E6">
        <w:rPr>
          <w:rFonts w:ascii="Arial" w:hAnsi="Arial" w:cs="Arial"/>
          <w:sz w:val="20"/>
          <w:szCs w:val="20"/>
        </w:rPr>
        <w:t xml:space="preserve"> SRA, ‘Common Protocol on the Academic Stage of Training’ (November 2018) available at &lt;www.sra.org.uk/students/academic-stage/common-protocol.page&gt; accessed 5 February 2019.</w:t>
      </w:r>
    </w:p>
  </w:footnote>
  <w:footnote w:id="67">
    <w:p w14:paraId="08F82EB6" w14:textId="77777777" w:rsidR="004F3462" w:rsidRPr="00FF74E6" w:rsidRDefault="004F3462" w:rsidP="004241BC">
      <w:pPr>
        <w:pStyle w:val="FootnoteText"/>
        <w:rPr>
          <w:rFonts w:ascii="Arial" w:hAnsi="Arial" w:cs="Arial"/>
          <w:sz w:val="20"/>
          <w:szCs w:val="20"/>
        </w:rPr>
      </w:pPr>
      <w:r w:rsidRPr="00FF74E6">
        <w:rPr>
          <w:rStyle w:val="FootnoteReference"/>
          <w:rFonts w:ascii="Arial" w:hAnsi="Arial" w:cs="Arial"/>
          <w:sz w:val="20"/>
          <w:szCs w:val="20"/>
        </w:rPr>
        <w:footnoteRef/>
      </w:r>
      <w:r w:rsidRPr="00FF74E6">
        <w:rPr>
          <w:rFonts w:ascii="Arial" w:hAnsi="Arial" w:cs="Arial"/>
          <w:sz w:val="20"/>
          <w:szCs w:val="20"/>
        </w:rPr>
        <w:t xml:space="preserve"> Deveral Capps </w:t>
      </w:r>
      <w:r w:rsidRPr="0071229C">
        <w:rPr>
          <w:rFonts w:ascii="Arial" w:hAnsi="Arial" w:cs="Arial"/>
          <w:i/>
          <w:sz w:val="20"/>
          <w:szCs w:val="20"/>
        </w:rPr>
        <w:t>et al</w:t>
      </w:r>
      <w:r w:rsidRPr="00FF74E6">
        <w:rPr>
          <w:rFonts w:ascii="Arial" w:hAnsi="Arial" w:cs="Arial"/>
          <w:sz w:val="20"/>
          <w:szCs w:val="20"/>
        </w:rPr>
        <w:t>, ‘Training for the Bar: education (r)evolution’ (2018) 52(4) The Law Teacher 499, 506-7.</w:t>
      </w:r>
    </w:p>
  </w:footnote>
  <w:footnote w:id="68">
    <w:p w14:paraId="0EDDCDF0" w14:textId="6CC24415" w:rsidR="004F3462" w:rsidRPr="00D25302" w:rsidRDefault="004F3462">
      <w:pPr>
        <w:pStyle w:val="FootnoteText"/>
        <w:rPr>
          <w:rFonts w:ascii="Arial" w:hAnsi="Arial" w:cs="Arial"/>
          <w:sz w:val="20"/>
          <w:szCs w:val="20"/>
        </w:rPr>
      </w:pPr>
      <w:r w:rsidRPr="00D25302">
        <w:rPr>
          <w:rStyle w:val="FootnoteReference"/>
          <w:rFonts w:ascii="Arial" w:hAnsi="Arial" w:cs="Arial"/>
          <w:sz w:val="20"/>
          <w:szCs w:val="20"/>
        </w:rPr>
        <w:footnoteRef/>
      </w:r>
      <w:r>
        <w:rPr>
          <w:rFonts w:ascii="Arial" w:hAnsi="Arial" w:cs="Arial"/>
          <w:sz w:val="20"/>
          <w:szCs w:val="20"/>
        </w:rPr>
        <w:t xml:space="preserve">  LSB (n 3</w:t>
      </w:r>
      <w:r w:rsidRPr="00D25302">
        <w:rPr>
          <w:rFonts w:ascii="Arial" w:hAnsi="Arial" w:cs="Arial"/>
          <w:sz w:val="20"/>
          <w:szCs w:val="20"/>
        </w:rPr>
        <w:t>) SRA application annex 7</w:t>
      </w:r>
      <w:r>
        <w:rPr>
          <w:rFonts w:ascii="Arial" w:hAnsi="Arial" w:cs="Arial"/>
          <w:sz w:val="20"/>
          <w:szCs w:val="20"/>
        </w:rPr>
        <w:t xml:space="preserve"> - </w:t>
      </w:r>
      <w:r w:rsidRPr="00D25302">
        <w:rPr>
          <w:rFonts w:ascii="Arial" w:hAnsi="Arial" w:cs="Arial"/>
          <w:sz w:val="20"/>
          <w:szCs w:val="20"/>
        </w:rPr>
        <w:t>mapping of learning outco</w:t>
      </w:r>
      <w:r>
        <w:rPr>
          <w:rFonts w:ascii="Arial" w:hAnsi="Arial" w:cs="Arial"/>
          <w:sz w:val="20"/>
          <w:szCs w:val="20"/>
        </w:rPr>
        <w:t>mes against</w:t>
      </w:r>
      <w:r w:rsidRPr="00D25302">
        <w:rPr>
          <w:rFonts w:ascii="Arial" w:hAnsi="Arial" w:cs="Arial"/>
          <w:sz w:val="20"/>
          <w:szCs w:val="20"/>
        </w:rPr>
        <w:t xml:space="preserve"> statement of solicitor competences.</w:t>
      </w:r>
    </w:p>
  </w:footnote>
  <w:footnote w:id="69">
    <w:p w14:paraId="0BD66CC8" w14:textId="77777777" w:rsidR="004F3462" w:rsidRPr="002363EB" w:rsidRDefault="004F3462" w:rsidP="00D8109D">
      <w:pPr>
        <w:pStyle w:val="FootnoteText"/>
        <w:rPr>
          <w:rFonts w:ascii="Arial" w:hAnsi="Arial" w:cs="Arial"/>
          <w:sz w:val="20"/>
          <w:szCs w:val="20"/>
        </w:rPr>
      </w:pPr>
      <w:r w:rsidRPr="006E1CB0">
        <w:rPr>
          <w:rStyle w:val="FootnoteReference"/>
          <w:rFonts w:ascii="Arial" w:hAnsi="Arial" w:cs="Arial"/>
          <w:sz w:val="20"/>
          <w:szCs w:val="20"/>
        </w:rPr>
        <w:footnoteRef/>
      </w:r>
      <w:r w:rsidRPr="006E1CB0">
        <w:rPr>
          <w:rFonts w:ascii="Arial" w:hAnsi="Arial" w:cs="Arial"/>
          <w:sz w:val="20"/>
          <w:szCs w:val="20"/>
        </w:rPr>
        <w:t xml:space="preserve"> To see the embryonic market refer to the SRA webpages, ‘List of Providers’ &lt;https://www.sra.org.uk/sra/policy/sqe/training-provider-list.page&gt; accessed 26 April 2019.</w:t>
      </w:r>
    </w:p>
  </w:footnote>
  <w:footnote w:id="70">
    <w:p w14:paraId="4EA26292" w14:textId="77777777" w:rsidR="004F3462" w:rsidRPr="00E671F4" w:rsidRDefault="004F3462" w:rsidP="00E44AD1">
      <w:pPr>
        <w:pStyle w:val="FootnoteText"/>
        <w:rPr>
          <w:rFonts w:ascii="Arial" w:hAnsi="Arial" w:cs="Arial"/>
          <w:sz w:val="20"/>
          <w:szCs w:val="20"/>
        </w:rPr>
      </w:pPr>
      <w:r w:rsidRPr="00D25302">
        <w:rPr>
          <w:rStyle w:val="FootnoteReference"/>
          <w:rFonts w:ascii="Arial" w:hAnsi="Arial" w:cs="Arial"/>
          <w:sz w:val="20"/>
          <w:szCs w:val="20"/>
        </w:rPr>
        <w:footnoteRef/>
      </w:r>
      <w:r w:rsidRPr="00D25302">
        <w:rPr>
          <w:rFonts w:ascii="Arial" w:hAnsi="Arial" w:cs="Arial"/>
          <w:sz w:val="20"/>
          <w:szCs w:val="20"/>
        </w:rPr>
        <w:t xml:space="preserve"> Figures by author based up fees quoted</w:t>
      </w:r>
      <w:r>
        <w:rPr>
          <w:rFonts w:ascii="Arial" w:hAnsi="Arial" w:cs="Arial"/>
          <w:sz w:val="20"/>
          <w:szCs w:val="20"/>
        </w:rPr>
        <w:t xml:space="preserve"> in LETR and latest known enrol</w:t>
      </w:r>
      <w:r w:rsidRPr="00E671F4">
        <w:rPr>
          <w:rFonts w:ascii="Arial" w:hAnsi="Arial" w:cs="Arial"/>
          <w:sz w:val="20"/>
          <w:szCs w:val="20"/>
        </w:rPr>
        <w:t>m</w:t>
      </w:r>
      <w:r>
        <w:rPr>
          <w:rFonts w:ascii="Arial" w:hAnsi="Arial" w:cs="Arial"/>
          <w:sz w:val="20"/>
          <w:szCs w:val="20"/>
        </w:rPr>
        <w:t>e</w:t>
      </w:r>
      <w:r w:rsidRPr="00E671F4">
        <w:rPr>
          <w:rFonts w:ascii="Arial" w:hAnsi="Arial" w:cs="Arial"/>
          <w:sz w:val="20"/>
          <w:szCs w:val="20"/>
        </w:rPr>
        <w:t>nt figures taking account of inflation.</w:t>
      </w:r>
    </w:p>
  </w:footnote>
  <w:footnote w:id="71">
    <w:p w14:paraId="378633AE" w14:textId="77777777" w:rsidR="004F3462" w:rsidRPr="00FF2C4A" w:rsidRDefault="004F3462" w:rsidP="00B01F34">
      <w:pPr>
        <w:pStyle w:val="FootnoteText"/>
        <w:rPr>
          <w:rFonts w:ascii="Arial" w:hAnsi="Arial" w:cs="Arial"/>
          <w:sz w:val="20"/>
          <w:szCs w:val="20"/>
        </w:rPr>
      </w:pPr>
      <w:r w:rsidRPr="00FF2C4A">
        <w:rPr>
          <w:rStyle w:val="FootnoteReference"/>
          <w:rFonts w:ascii="Arial" w:hAnsi="Arial" w:cs="Arial"/>
          <w:sz w:val="20"/>
          <w:szCs w:val="20"/>
        </w:rPr>
        <w:footnoteRef/>
      </w:r>
      <w:r w:rsidRPr="00FF2C4A">
        <w:rPr>
          <w:rFonts w:ascii="Arial" w:hAnsi="Arial" w:cs="Arial"/>
          <w:sz w:val="20"/>
          <w:szCs w:val="20"/>
        </w:rPr>
        <w:t xml:space="preserve"> UK Government webpages, ‘Master’s Loan’ &lt;https://www.gov.uk/masters-loan/eligibility&gt; accessed 26 April 2019.</w:t>
      </w:r>
    </w:p>
  </w:footnote>
  <w:footnote w:id="72">
    <w:p w14:paraId="57B3A5AC" w14:textId="6E973649" w:rsidR="004F3462" w:rsidRPr="00D25302" w:rsidRDefault="004F3462">
      <w:pPr>
        <w:pStyle w:val="FootnoteText"/>
        <w:rPr>
          <w:rFonts w:ascii="Arial" w:hAnsi="Arial" w:cs="Arial"/>
          <w:sz w:val="20"/>
          <w:szCs w:val="20"/>
        </w:rPr>
      </w:pPr>
      <w:r w:rsidRPr="00D25302">
        <w:rPr>
          <w:rStyle w:val="FootnoteReference"/>
          <w:rFonts w:ascii="Arial" w:hAnsi="Arial" w:cs="Arial"/>
          <w:sz w:val="20"/>
          <w:szCs w:val="20"/>
        </w:rPr>
        <w:footnoteRef/>
      </w:r>
      <w:r w:rsidRPr="00D25302">
        <w:rPr>
          <w:rFonts w:ascii="Arial" w:hAnsi="Arial" w:cs="Arial"/>
          <w:sz w:val="20"/>
          <w:szCs w:val="20"/>
        </w:rPr>
        <w:t xml:space="preserve"> LETR (n 6) 2.60.</w:t>
      </w:r>
    </w:p>
  </w:footnote>
  <w:footnote w:id="73">
    <w:p w14:paraId="7D638023" w14:textId="51DF22C1" w:rsidR="004F3462" w:rsidRPr="00FF2C4A" w:rsidRDefault="004F3462">
      <w:pPr>
        <w:pStyle w:val="FootnoteText"/>
        <w:rPr>
          <w:rFonts w:ascii="Arial" w:hAnsi="Arial" w:cs="Arial"/>
          <w:sz w:val="20"/>
          <w:szCs w:val="20"/>
        </w:rPr>
      </w:pPr>
      <w:r w:rsidRPr="00FF2C4A">
        <w:rPr>
          <w:rStyle w:val="FootnoteReference"/>
          <w:rFonts w:ascii="Arial" w:hAnsi="Arial" w:cs="Arial"/>
          <w:sz w:val="20"/>
          <w:szCs w:val="20"/>
        </w:rPr>
        <w:footnoteRef/>
      </w:r>
      <w:r w:rsidRPr="00FF2C4A">
        <w:rPr>
          <w:rFonts w:ascii="Arial" w:hAnsi="Arial" w:cs="Arial"/>
          <w:sz w:val="20"/>
          <w:szCs w:val="20"/>
        </w:rPr>
        <w:t xml:space="preserve"> </w:t>
      </w:r>
      <w:r w:rsidRPr="0027573C">
        <w:rPr>
          <w:rFonts w:ascii="Arial" w:hAnsi="Arial" w:cs="Arial"/>
          <w:sz w:val="20"/>
          <w:szCs w:val="20"/>
        </w:rPr>
        <w:t>SRA, ‘Monitoring and authorization activity’ (</w:t>
      </w:r>
      <w:r>
        <w:rPr>
          <w:rFonts w:ascii="Arial" w:hAnsi="Arial" w:cs="Arial"/>
          <w:sz w:val="20"/>
          <w:szCs w:val="20"/>
        </w:rPr>
        <w:t>2016-17 data) (n 33</w:t>
      </w:r>
      <w:r w:rsidRPr="0027573C">
        <w:rPr>
          <w:rFonts w:ascii="Arial" w:hAnsi="Arial" w:cs="Arial"/>
          <w:sz w:val="20"/>
          <w:szCs w:val="20"/>
        </w:rPr>
        <w:t xml:space="preserve">) </w:t>
      </w:r>
      <w:r>
        <w:rPr>
          <w:rFonts w:ascii="Arial" w:hAnsi="Arial" w:cs="Arial"/>
          <w:sz w:val="20"/>
          <w:szCs w:val="20"/>
        </w:rPr>
        <w:t xml:space="preserve">- this data </w:t>
      </w:r>
      <w:r w:rsidRPr="00FF2C4A">
        <w:rPr>
          <w:rFonts w:ascii="Arial" w:hAnsi="Arial" w:cs="Arial"/>
          <w:sz w:val="20"/>
          <w:szCs w:val="20"/>
        </w:rPr>
        <w:t>covers all NLG and would seem to include students repeating. So the number newly enrolling each year is down on this.</w:t>
      </w:r>
    </w:p>
  </w:footnote>
  <w:footnote w:id="74">
    <w:p w14:paraId="6D37AA76" w14:textId="7B255536" w:rsidR="004F3462" w:rsidRPr="006244CA" w:rsidRDefault="004F3462" w:rsidP="006B73D6">
      <w:pPr>
        <w:pStyle w:val="FootnoteText"/>
        <w:rPr>
          <w:rFonts w:ascii="Arial" w:hAnsi="Arial" w:cs="Arial"/>
          <w:sz w:val="20"/>
          <w:szCs w:val="20"/>
        </w:rPr>
      </w:pPr>
      <w:r w:rsidRPr="006244CA">
        <w:rPr>
          <w:rStyle w:val="FootnoteReference"/>
          <w:rFonts w:ascii="Arial" w:hAnsi="Arial" w:cs="Arial"/>
          <w:sz w:val="20"/>
          <w:szCs w:val="20"/>
        </w:rPr>
        <w:footnoteRef/>
      </w:r>
      <w:r w:rsidRPr="006244CA">
        <w:rPr>
          <w:rFonts w:ascii="Arial" w:hAnsi="Arial" w:cs="Arial"/>
          <w:sz w:val="20"/>
          <w:szCs w:val="20"/>
        </w:rPr>
        <w:t xml:space="preserve"> It is not possible to easily identify year on year the numbers of NLG on the LPC; recent BPTC data has been supplied to author by BSB. Extrapolating from available data, pass rate (72% in 2015) and with some estimation, one can suggest that around 2500-3000 of the approx. 11000 LPC places (2017) are taken up by NLG = approx. 25%-30% of LPC places; LETR (n 6) para 2.8.</w:t>
      </w:r>
    </w:p>
  </w:footnote>
  <w:footnote w:id="75">
    <w:p w14:paraId="0B935281" w14:textId="101E1759" w:rsidR="004F3462" w:rsidRPr="006244CA" w:rsidRDefault="004F3462">
      <w:pPr>
        <w:pStyle w:val="FootnoteText"/>
        <w:rPr>
          <w:rFonts w:ascii="Arial" w:hAnsi="Arial" w:cs="Arial"/>
          <w:sz w:val="20"/>
          <w:szCs w:val="20"/>
        </w:rPr>
      </w:pPr>
      <w:r w:rsidRPr="006244CA">
        <w:rPr>
          <w:rStyle w:val="FootnoteReference"/>
          <w:rFonts w:ascii="Arial" w:hAnsi="Arial" w:cs="Arial"/>
          <w:sz w:val="20"/>
          <w:szCs w:val="20"/>
        </w:rPr>
        <w:footnoteRef/>
      </w:r>
      <w:r>
        <w:rPr>
          <w:rFonts w:ascii="Arial" w:hAnsi="Arial" w:cs="Arial"/>
          <w:sz w:val="20"/>
          <w:szCs w:val="20"/>
        </w:rPr>
        <w:t xml:space="preserve"> Elaine Hall (n 55</w:t>
      </w:r>
      <w:r w:rsidRPr="006244CA">
        <w:rPr>
          <w:rFonts w:ascii="Arial" w:hAnsi="Arial" w:cs="Arial"/>
          <w:sz w:val="20"/>
          <w:szCs w:val="20"/>
        </w:rPr>
        <w:t>) 460.</w:t>
      </w:r>
    </w:p>
  </w:footnote>
  <w:footnote w:id="76">
    <w:p w14:paraId="2DD0C60D" w14:textId="065CCE12" w:rsidR="004F3462" w:rsidRPr="006244CA" w:rsidRDefault="004F3462" w:rsidP="00170E45">
      <w:pPr>
        <w:pStyle w:val="FootnoteText"/>
        <w:rPr>
          <w:rFonts w:ascii="Arial" w:hAnsi="Arial" w:cs="Arial"/>
          <w:sz w:val="20"/>
          <w:szCs w:val="20"/>
        </w:rPr>
      </w:pPr>
      <w:r w:rsidRPr="006244CA">
        <w:rPr>
          <w:rStyle w:val="FootnoteReference"/>
          <w:rFonts w:ascii="Arial" w:hAnsi="Arial" w:cs="Arial"/>
          <w:sz w:val="20"/>
          <w:szCs w:val="20"/>
        </w:rPr>
        <w:footnoteRef/>
      </w:r>
      <w:r>
        <w:rPr>
          <w:rFonts w:ascii="Arial" w:hAnsi="Arial" w:cs="Arial"/>
          <w:sz w:val="20"/>
          <w:szCs w:val="20"/>
        </w:rPr>
        <w:t xml:space="preserve"> </w:t>
      </w:r>
      <w:proofErr w:type="spellStart"/>
      <w:r w:rsidR="00C354C6">
        <w:rPr>
          <w:rFonts w:ascii="Arial" w:hAnsi="Arial" w:cs="Arial"/>
          <w:sz w:val="20"/>
          <w:szCs w:val="20"/>
        </w:rPr>
        <w:t>Bermingham</w:t>
      </w:r>
      <w:proofErr w:type="spellEnd"/>
      <w:r w:rsidR="00C354C6">
        <w:rPr>
          <w:rFonts w:ascii="Arial" w:hAnsi="Arial" w:cs="Arial"/>
          <w:sz w:val="20"/>
          <w:szCs w:val="20"/>
        </w:rPr>
        <w:t xml:space="preserve"> and</w:t>
      </w:r>
      <w:r>
        <w:rPr>
          <w:rFonts w:ascii="Arial" w:hAnsi="Arial" w:cs="Arial"/>
          <w:sz w:val="20"/>
          <w:szCs w:val="20"/>
        </w:rPr>
        <w:t xml:space="preserve"> Hodgson (n 34</w:t>
      </w:r>
      <w:r w:rsidRPr="006244CA">
        <w:rPr>
          <w:rFonts w:ascii="Arial" w:hAnsi="Arial" w:cs="Arial"/>
          <w:sz w:val="20"/>
          <w:szCs w:val="20"/>
        </w:rPr>
        <w:t>) 23; 26;</w:t>
      </w:r>
      <w:r>
        <w:rPr>
          <w:rFonts w:ascii="Arial" w:hAnsi="Arial" w:cs="Arial"/>
          <w:sz w:val="20"/>
          <w:szCs w:val="20"/>
        </w:rPr>
        <w:t xml:space="preserve"> LETR (n 6</w:t>
      </w:r>
      <w:r w:rsidRPr="006244CA">
        <w:rPr>
          <w:rFonts w:ascii="Arial" w:hAnsi="Arial" w:cs="Arial"/>
          <w:sz w:val="20"/>
          <w:szCs w:val="20"/>
        </w:rPr>
        <w:t>) 4.74.</w:t>
      </w:r>
    </w:p>
  </w:footnote>
  <w:footnote w:id="77">
    <w:p w14:paraId="65A69642" w14:textId="0171E726" w:rsidR="004F3462" w:rsidRPr="006244CA" w:rsidRDefault="004F3462">
      <w:pPr>
        <w:pStyle w:val="FootnoteText"/>
        <w:rPr>
          <w:rFonts w:ascii="Arial" w:hAnsi="Arial" w:cs="Arial"/>
          <w:sz w:val="20"/>
          <w:szCs w:val="20"/>
        </w:rPr>
      </w:pPr>
      <w:r w:rsidRPr="006244CA">
        <w:rPr>
          <w:rStyle w:val="FootnoteReference"/>
          <w:rFonts w:ascii="Arial" w:hAnsi="Arial" w:cs="Arial"/>
          <w:sz w:val="20"/>
          <w:szCs w:val="20"/>
        </w:rPr>
        <w:footnoteRef/>
      </w:r>
      <w:r w:rsidRPr="006244CA">
        <w:rPr>
          <w:rFonts w:ascii="Arial" w:hAnsi="Arial" w:cs="Arial"/>
          <w:sz w:val="20"/>
          <w:szCs w:val="20"/>
        </w:rPr>
        <w:t xml:space="preserve"> LETR (n 6) para 2.99</w:t>
      </w:r>
      <w:r>
        <w:rPr>
          <w:rFonts w:ascii="Arial" w:hAnsi="Arial" w:cs="Arial"/>
          <w:sz w:val="20"/>
          <w:szCs w:val="20"/>
        </w:rPr>
        <w:t>.</w:t>
      </w:r>
    </w:p>
  </w:footnote>
  <w:footnote w:id="78">
    <w:p w14:paraId="3D4ABA7D" w14:textId="366C53F0" w:rsidR="004F3462" w:rsidRPr="00E671F4" w:rsidRDefault="004F3462">
      <w:pPr>
        <w:pStyle w:val="FootnoteText"/>
        <w:rPr>
          <w:rFonts w:ascii="Arial" w:hAnsi="Arial" w:cs="Arial"/>
          <w:sz w:val="20"/>
          <w:szCs w:val="20"/>
        </w:rPr>
      </w:pPr>
      <w:r w:rsidRPr="006244CA">
        <w:rPr>
          <w:rStyle w:val="FootnoteReference"/>
          <w:rFonts w:ascii="Arial" w:hAnsi="Arial" w:cs="Arial"/>
          <w:sz w:val="20"/>
          <w:szCs w:val="20"/>
        </w:rPr>
        <w:footnoteRef/>
      </w:r>
      <w:r>
        <w:rPr>
          <w:rFonts w:ascii="Arial" w:hAnsi="Arial" w:cs="Arial"/>
          <w:sz w:val="20"/>
          <w:szCs w:val="20"/>
        </w:rPr>
        <w:t xml:space="preserve"> Bridge Group (n 44) paras 32-33; LSB (n 3</w:t>
      </w:r>
      <w:r w:rsidRPr="006244CA">
        <w:rPr>
          <w:rFonts w:ascii="Arial" w:hAnsi="Arial" w:cs="Arial"/>
          <w:sz w:val="20"/>
          <w:szCs w:val="20"/>
        </w:rPr>
        <w:t>) para 35.</w:t>
      </w:r>
    </w:p>
  </w:footnote>
  <w:footnote w:id="79">
    <w:p w14:paraId="3953439F" w14:textId="5C7A3255" w:rsidR="004F3462" w:rsidRPr="00FF74E6" w:rsidRDefault="004F3462">
      <w:pPr>
        <w:pStyle w:val="FootnoteText"/>
        <w:rPr>
          <w:rFonts w:ascii="Arial" w:hAnsi="Arial" w:cs="Arial"/>
          <w:sz w:val="20"/>
          <w:szCs w:val="20"/>
        </w:rPr>
      </w:pPr>
      <w:r w:rsidRPr="00FF74E6">
        <w:rPr>
          <w:rStyle w:val="FootnoteReference"/>
          <w:rFonts w:ascii="Arial" w:hAnsi="Arial" w:cs="Arial"/>
          <w:sz w:val="20"/>
          <w:szCs w:val="20"/>
        </w:rPr>
        <w:footnoteRef/>
      </w:r>
      <w:r>
        <w:rPr>
          <w:rFonts w:ascii="Arial" w:hAnsi="Arial" w:cs="Arial"/>
          <w:sz w:val="20"/>
          <w:szCs w:val="20"/>
        </w:rPr>
        <w:t xml:space="preserve"> SRA 2016-17 data (n 33</w:t>
      </w:r>
      <w:r w:rsidRPr="00FF74E6">
        <w:rPr>
          <w:rFonts w:ascii="Arial" w:hAnsi="Arial" w:cs="Arial"/>
          <w:sz w:val="20"/>
          <w:szCs w:val="20"/>
        </w:rPr>
        <w:t>) para 20, 35.</w:t>
      </w:r>
    </w:p>
  </w:footnote>
  <w:footnote w:id="80">
    <w:p w14:paraId="569E2E5A" w14:textId="2BD08EAE" w:rsidR="004F3462" w:rsidRPr="00E671F4" w:rsidRDefault="004F3462" w:rsidP="008E13B5">
      <w:pPr>
        <w:pStyle w:val="FootnoteText"/>
        <w:rPr>
          <w:rFonts w:ascii="Arial" w:hAnsi="Arial" w:cs="Arial"/>
          <w:sz w:val="20"/>
          <w:szCs w:val="20"/>
        </w:rPr>
      </w:pPr>
      <w:r w:rsidRPr="00FF74E6">
        <w:rPr>
          <w:rStyle w:val="FootnoteReference"/>
          <w:rFonts w:ascii="Arial" w:hAnsi="Arial" w:cs="Arial"/>
          <w:sz w:val="20"/>
          <w:szCs w:val="20"/>
        </w:rPr>
        <w:footnoteRef/>
      </w:r>
      <w:r w:rsidRPr="00FF74E6">
        <w:rPr>
          <w:rFonts w:ascii="Arial" w:hAnsi="Arial" w:cs="Arial"/>
          <w:sz w:val="20"/>
          <w:szCs w:val="20"/>
        </w:rPr>
        <w:t xml:space="preserve"> Anthony Bradney</w:t>
      </w:r>
      <w:r>
        <w:rPr>
          <w:rFonts w:ascii="Arial" w:hAnsi="Arial" w:cs="Arial"/>
          <w:sz w:val="20"/>
          <w:szCs w:val="20"/>
        </w:rPr>
        <w:t xml:space="preserve"> (n 62) 495; Deveral Capps (n 67</w:t>
      </w:r>
      <w:r w:rsidRPr="00FF74E6">
        <w:rPr>
          <w:rFonts w:ascii="Arial" w:hAnsi="Arial" w:cs="Arial"/>
          <w:sz w:val="20"/>
          <w:szCs w:val="20"/>
        </w:rPr>
        <w:t>) 502.</w:t>
      </w:r>
    </w:p>
  </w:footnote>
  <w:footnote w:id="81">
    <w:p w14:paraId="76E1181C" w14:textId="30C0663A" w:rsidR="004F3462" w:rsidRPr="006E3277" w:rsidRDefault="004F3462" w:rsidP="00E671F4">
      <w:pPr>
        <w:rPr>
          <w:rFonts w:ascii="Arial" w:hAnsi="Arial" w:cs="Arial"/>
          <w:i/>
          <w:sz w:val="20"/>
          <w:szCs w:val="20"/>
        </w:rPr>
      </w:pPr>
      <w:r w:rsidRPr="00FF74E6">
        <w:rPr>
          <w:rStyle w:val="FootnoteReference"/>
          <w:rFonts w:ascii="Arial" w:hAnsi="Arial" w:cs="Arial"/>
          <w:sz w:val="20"/>
          <w:szCs w:val="20"/>
        </w:rPr>
        <w:footnoteRef/>
      </w:r>
      <w:r w:rsidRPr="00FF74E6">
        <w:rPr>
          <w:rFonts w:ascii="Arial" w:hAnsi="Arial" w:cs="Arial"/>
          <w:sz w:val="20"/>
          <w:szCs w:val="20"/>
        </w:rPr>
        <w:t xml:space="preserve"> </w:t>
      </w:r>
      <w:r w:rsidRPr="00FF74E6">
        <w:rPr>
          <w:rFonts w:ascii="Arial" w:hAnsi="Arial" w:cs="Arial"/>
          <w:sz w:val="20"/>
          <w:szCs w:val="20"/>
          <w:lang w:val="en-GB"/>
        </w:rPr>
        <w:t>As the SRA has noted, ‘</w:t>
      </w:r>
      <w:r w:rsidRPr="00FF74E6">
        <w:rPr>
          <w:rFonts w:ascii="Arial" w:eastAsia="Times New Roman" w:hAnsi="Arial" w:cs="Arial"/>
          <w:sz w:val="20"/>
          <w:szCs w:val="20"/>
          <w:lang w:val="en-GB" w:eastAsia="en-GB"/>
        </w:rPr>
        <w:t>In a market where there is little or no independent information about the quality of courses, price is seen by stude</w:t>
      </w:r>
      <w:r>
        <w:rPr>
          <w:rFonts w:ascii="Arial" w:eastAsia="Times New Roman" w:hAnsi="Arial" w:cs="Arial"/>
          <w:sz w:val="20"/>
          <w:szCs w:val="20"/>
          <w:lang w:val="en-GB" w:eastAsia="en-GB"/>
        </w:rPr>
        <w:t>nts as a proxy for quality.’ ‘</w:t>
      </w:r>
      <w:r w:rsidRPr="006E3277">
        <w:rPr>
          <w:rFonts w:ascii="Arial" w:hAnsi="Arial" w:cs="Arial"/>
          <w:sz w:val="20"/>
          <w:szCs w:val="20"/>
        </w:rPr>
        <w:t>Solicitors Qualifying Examination (SQE) Equality, Diversity and Inclusion Risk Assessment</w:t>
      </w:r>
      <w:r>
        <w:rPr>
          <w:rFonts w:ascii="Arial" w:hAnsi="Arial" w:cs="Arial"/>
          <w:sz w:val="20"/>
          <w:szCs w:val="20"/>
        </w:rPr>
        <w:t>’</w:t>
      </w:r>
      <w:r w:rsidRPr="006E3277">
        <w:rPr>
          <w:rFonts w:ascii="Arial" w:hAnsi="Arial" w:cs="Arial"/>
          <w:sz w:val="20"/>
          <w:szCs w:val="20"/>
        </w:rPr>
        <w:t xml:space="preserve"> (April 2017)</w:t>
      </w:r>
      <w:r>
        <w:rPr>
          <w:rFonts w:ascii="Arial" w:hAnsi="Arial" w:cs="Arial"/>
          <w:sz w:val="20"/>
          <w:szCs w:val="20"/>
        </w:rPr>
        <w:t>.</w:t>
      </w:r>
    </w:p>
  </w:footnote>
  <w:footnote w:id="82">
    <w:p w14:paraId="3466EE0C" w14:textId="22E0BFB2" w:rsidR="004F3462" w:rsidRPr="00FF74E6" w:rsidRDefault="004F3462" w:rsidP="00E671F4">
      <w:pPr>
        <w:pStyle w:val="FootnoteText"/>
        <w:rPr>
          <w:rFonts w:ascii="Arial" w:hAnsi="Arial" w:cs="Arial"/>
          <w:sz w:val="20"/>
          <w:szCs w:val="20"/>
        </w:rPr>
      </w:pPr>
      <w:r w:rsidRPr="00FF74E6">
        <w:rPr>
          <w:rStyle w:val="FootnoteReference"/>
          <w:rFonts w:ascii="Arial" w:hAnsi="Arial" w:cs="Arial"/>
          <w:sz w:val="20"/>
          <w:szCs w:val="20"/>
        </w:rPr>
        <w:footnoteRef/>
      </w:r>
      <w:r>
        <w:rPr>
          <w:rFonts w:ascii="Arial" w:hAnsi="Arial" w:cs="Arial"/>
          <w:sz w:val="20"/>
          <w:szCs w:val="20"/>
        </w:rPr>
        <w:t xml:space="preserve"> LSB decision (n 3</w:t>
      </w:r>
      <w:r w:rsidRPr="00FF74E6">
        <w:rPr>
          <w:rFonts w:ascii="Arial" w:hAnsi="Arial" w:cs="Arial"/>
          <w:sz w:val="20"/>
          <w:szCs w:val="20"/>
        </w:rPr>
        <w:t xml:space="preserve">) para 22. </w:t>
      </w:r>
    </w:p>
  </w:footnote>
  <w:footnote w:id="83">
    <w:p w14:paraId="6BC71035" w14:textId="77777777" w:rsidR="004F3462" w:rsidRPr="00FF74E6" w:rsidRDefault="004F3462">
      <w:pPr>
        <w:pStyle w:val="FootnoteText"/>
        <w:rPr>
          <w:rFonts w:ascii="Arial" w:hAnsi="Arial" w:cs="Arial"/>
          <w:sz w:val="20"/>
          <w:szCs w:val="20"/>
        </w:rPr>
      </w:pPr>
      <w:r w:rsidRPr="00FF74E6">
        <w:rPr>
          <w:rStyle w:val="FootnoteReference"/>
          <w:rFonts w:ascii="Arial" w:hAnsi="Arial" w:cs="Arial"/>
          <w:sz w:val="20"/>
          <w:szCs w:val="20"/>
        </w:rPr>
        <w:footnoteRef/>
      </w:r>
      <w:r w:rsidRPr="00FF74E6">
        <w:rPr>
          <w:rFonts w:ascii="Arial" w:hAnsi="Arial" w:cs="Arial"/>
          <w:sz w:val="20"/>
          <w:szCs w:val="20"/>
        </w:rPr>
        <w:t xml:space="preserve"> ibid 37, 86.</w:t>
      </w:r>
    </w:p>
  </w:footnote>
  <w:footnote w:id="84">
    <w:p w14:paraId="78C931A4" w14:textId="3D2554E7" w:rsidR="004F3462" w:rsidRPr="00D25302" w:rsidRDefault="004F3462" w:rsidP="001121F3">
      <w:pPr>
        <w:pStyle w:val="FootnoteText"/>
        <w:rPr>
          <w:rFonts w:ascii="Arial" w:hAnsi="Arial" w:cs="Arial"/>
          <w:sz w:val="20"/>
          <w:szCs w:val="20"/>
        </w:rPr>
      </w:pPr>
      <w:r w:rsidRPr="00D25302">
        <w:rPr>
          <w:rStyle w:val="FootnoteReference"/>
          <w:rFonts w:ascii="Arial" w:hAnsi="Arial" w:cs="Arial"/>
          <w:sz w:val="20"/>
          <w:szCs w:val="20"/>
        </w:rPr>
        <w:footnoteRef/>
      </w:r>
      <w:r>
        <w:rPr>
          <w:rFonts w:ascii="Arial" w:hAnsi="Arial" w:cs="Arial"/>
          <w:sz w:val="20"/>
          <w:szCs w:val="20"/>
        </w:rPr>
        <w:t xml:space="preserve"> </w:t>
      </w:r>
      <w:r w:rsidRPr="00D25302">
        <w:rPr>
          <w:rFonts w:ascii="Arial" w:hAnsi="Arial" w:cs="Arial"/>
          <w:sz w:val="20"/>
          <w:szCs w:val="20"/>
        </w:rPr>
        <w:t>Cf LETR (n 6) 4.129.</w:t>
      </w:r>
    </w:p>
  </w:footnote>
  <w:footnote w:id="85">
    <w:p w14:paraId="5A211213" w14:textId="0EF0F2AD" w:rsidR="004F3462" w:rsidRPr="006E3277" w:rsidRDefault="004F3462">
      <w:pPr>
        <w:pStyle w:val="FootnoteText"/>
        <w:rPr>
          <w:rFonts w:ascii="Arial" w:hAnsi="Arial" w:cs="Arial"/>
          <w:sz w:val="20"/>
          <w:szCs w:val="20"/>
        </w:rPr>
      </w:pPr>
      <w:r w:rsidRPr="006E3277">
        <w:rPr>
          <w:rStyle w:val="FootnoteReference"/>
          <w:rFonts w:ascii="Arial" w:hAnsi="Arial" w:cs="Arial"/>
          <w:sz w:val="20"/>
          <w:szCs w:val="20"/>
        </w:rPr>
        <w:footnoteRef/>
      </w:r>
      <w:r w:rsidRPr="006E3277">
        <w:rPr>
          <w:rFonts w:ascii="Arial" w:hAnsi="Arial" w:cs="Arial"/>
          <w:sz w:val="20"/>
          <w:szCs w:val="20"/>
        </w:rPr>
        <w:t xml:space="preserve"> </w:t>
      </w:r>
      <w:r>
        <w:rPr>
          <w:rFonts w:ascii="Arial" w:eastAsia="Times New Roman" w:hAnsi="Arial" w:cs="Arial"/>
          <w:sz w:val="20"/>
          <w:szCs w:val="20"/>
        </w:rPr>
        <w:t>SRA (October 2015) (n 32</w:t>
      </w:r>
      <w:r w:rsidRPr="006E3277">
        <w:rPr>
          <w:rFonts w:ascii="Arial" w:eastAsia="Times New Roman" w:hAnsi="Arial" w:cs="Arial"/>
          <w:sz w:val="20"/>
          <w:szCs w:val="20"/>
        </w:rPr>
        <w:t xml:space="preserve">) </w:t>
      </w:r>
      <w:r w:rsidRPr="006E3277">
        <w:rPr>
          <w:rFonts w:ascii="Arial" w:hAnsi="Arial" w:cs="Arial"/>
          <w:sz w:val="20"/>
          <w:szCs w:val="20"/>
        </w:rPr>
        <w:t>6, ‘We can attempt to address the disparity at the point of qualification by introducing a centralised assessment, but there remains the legacy of prior disadvantage in the education system, which may limit the impact that these changes can have.’</w:t>
      </w:r>
    </w:p>
  </w:footnote>
  <w:footnote w:id="86">
    <w:p w14:paraId="4A61C1D3" w14:textId="02C05860" w:rsidR="004F3462" w:rsidRPr="006E3277" w:rsidRDefault="004F3462" w:rsidP="001A669F">
      <w:pPr>
        <w:pStyle w:val="FootnoteText"/>
        <w:rPr>
          <w:rFonts w:ascii="Arial" w:hAnsi="Arial" w:cs="Arial"/>
          <w:sz w:val="20"/>
          <w:szCs w:val="20"/>
        </w:rPr>
      </w:pPr>
      <w:r w:rsidRPr="006E3277">
        <w:rPr>
          <w:rStyle w:val="FootnoteReference"/>
          <w:rFonts w:ascii="Arial" w:hAnsi="Arial" w:cs="Arial"/>
          <w:sz w:val="20"/>
          <w:szCs w:val="20"/>
        </w:rPr>
        <w:footnoteRef/>
      </w:r>
      <w:r w:rsidRPr="006E3277">
        <w:rPr>
          <w:rFonts w:ascii="Arial" w:hAnsi="Arial" w:cs="Arial"/>
          <w:sz w:val="20"/>
          <w:szCs w:val="20"/>
        </w:rPr>
        <w:t xml:space="preserve"> LETR (n 6) para 5.32.</w:t>
      </w:r>
    </w:p>
  </w:footnote>
  <w:footnote w:id="87">
    <w:p w14:paraId="235596EB" w14:textId="77777777" w:rsidR="004F3462" w:rsidRPr="006E3277" w:rsidRDefault="004F3462" w:rsidP="001A669F">
      <w:pPr>
        <w:pStyle w:val="FootnoteText"/>
        <w:rPr>
          <w:rFonts w:ascii="Arial" w:hAnsi="Arial" w:cs="Arial"/>
          <w:sz w:val="20"/>
          <w:szCs w:val="20"/>
        </w:rPr>
      </w:pPr>
      <w:r w:rsidRPr="006E3277">
        <w:rPr>
          <w:rStyle w:val="FootnoteReference"/>
          <w:rFonts w:ascii="Arial" w:hAnsi="Arial" w:cs="Arial"/>
          <w:sz w:val="20"/>
          <w:szCs w:val="20"/>
        </w:rPr>
        <w:footnoteRef/>
      </w:r>
      <w:r w:rsidRPr="006E3277">
        <w:rPr>
          <w:rFonts w:ascii="Arial" w:hAnsi="Arial" w:cs="Arial"/>
          <w:sz w:val="20"/>
          <w:szCs w:val="20"/>
        </w:rPr>
        <w:t xml:space="preserve"> Kaplan QLTS website, ‘Results’ &lt;https://qlts.kaplan.co.uk/results&gt; accesses 26 April 2019; cf view of one person who expresses a sentiment that the exam may be too easy having been a guinea pig for the pilot of SQE Part 1 in Legal Check &lt;</w:t>
      </w:r>
      <w:hyperlink r:id="rId10" w:history="1">
        <w:r w:rsidRPr="006E3277">
          <w:rPr>
            <w:rStyle w:val="Hyperlink"/>
            <w:rFonts w:ascii="Arial" w:hAnsi="Arial" w:cs="Arial"/>
            <w:sz w:val="20"/>
            <w:szCs w:val="20"/>
          </w:rPr>
          <w:t>https://www.legalcheek.com/2019/04/i-was-among-the-first-to-sit-the-sqe-pilot-heres-what-i-thought/</w:t>
        </w:r>
      </w:hyperlink>
      <w:r w:rsidRPr="006E3277">
        <w:rPr>
          <w:rFonts w:ascii="Arial" w:hAnsi="Arial" w:cs="Arial"/>
          <w:sz w:val="20"/>
          <w:szCs w:val="20"/>
        </w:rPr>
        <w:t>&gt; accessed 2 May 2019</w:t>
      </w:r>
    </w:p>
  </w:footnote>
  <w:footnote w:id="88">
    <w:p w14:paraId="41BF5398" w14:textId="619C4E19" w:rsidR="004F3462" w:rsidRPr="006E3277" w:rsidRDefault="004F3462" w:rsidP="00DD038C">
      <w:pPr>
        <w:rPr>
          <w:rFonts w:ascii="Arial" w:hAnsi="Arial" w:cs="Arial"/>
          <w:sz w:val="20"/>
          <w:szCs w:val="20"/>
        </w:rPr>
      </w:pPr>
      <w:r w:rsidRPr="006E3277">
        <w:rPr>
          <w:rStyle w:val="FootnoteReference"/>
          <w:rFonts w:ascii="Arial" w:hAnsi="Arial" w:cs="Arial"/>
          <w:sz w:val="20"/>
          <w:szCs w:val="20"/>
        </w:rPr>
        <w:footnoteRef/>
      </w:r>
      <w:r>
        <w:rPr>
          <w:rFonts w:ascii="Arial" w:hAnsi="Arial" w:cs="Arial"/>
          <w:sz w:val="20"/>
          <w:szCs w:val="20"/>
        </w:rPr>
        <w:t xml:space="preserve"> Ormrod (n 13</w:t>
      </w:r>
      <w:r w:rsidRPr="006E3277">
        <w:rPr>
          <w:rFonts w:ascii="Arial" w:hAnsi="Arial" w:cs="Arial"/>
          <w:sz w:val="20"/>
          <w:szCs w:val="20"/>
        </w:rPr>
        <w:t xml:space="preserve">) para 84; Brian Abel-Smith and Robert Stevens, </w:t>
      </w:r>
      <w:r w:rsidRPr="006E3277">
        <w:rPr>
          <w:rFonts w:ascii="Arial" w:hAnsi="Arial" w:cs="Arial"/>
          <w:i/>
          <w:sz w:val="20"/>
          <w:szCs w:val="20"/>
        </w:rPr>
        <w:t xml:space="preserve">Lawyers and the Courts: </w:t>
      </w:r>
      <w:r w:rsidRPr="006E3277">
        <w:rPr>
          <w:rFonts w:ascii="Arial" w:eastAsia="Times New Roman" w:hAnsi="Arial" w:cs="Arial"/>
          <w:color w:val="000000"/>
          <w:sz w:val="20"/>
          <w:szCs w:val="20"/>
          <w:shd w:val="clear" w:color="auto" w:fill="FFFFFF"/>
          <w:lang w:val="en-GB"/>
        </w:rPr>
        <w:t>a sociological study of the English legal system, 1750-1965 (Harvard University Press 1967) 367, 372.</w:t>
      </w:r>
    </w:p>
  </w:footnote>
  <w:footnote w:id="89">
    <w:p w14:paraId="63F6CF40" w14:textId="6088E020" w:rsidR="004F3462" w:rsidRPr="006E3277" w:rsidRDefault="004F3462" w:rsidP="00DD038C">
      <w:pPr>
        <w:rPr>
          <w:rFonts w:ascii="Arial" w:hAnsi="Arial" w:cs="Arial"/>
          <w:sz w:val="20"/>
          <w:szCs w:val="20"/>
        </w:rPr>
      </w:pPr>
      <w:r w:rsidRPr="006E3277">
        <w:rPr>
          <w:rStyle w:val="FootnoteReference"/>
          <w:rFonts w:ascii="Arial" w:hAnsi="Arial" w:cs="Arial"/>
          <w:sz w:val="20"/>
          <w:szCs w:val="20"/>
        </w:rPr>
        <w:footnoteRef/>
      </w:r>
      <w:r w:rsidRPr="006E3277">
        <w:rPr>
          <w:rFonts w:ascii="Arial" w:hAnsi="Arial" w:cs="Arial"/>
          <w:sz w:val="20"/>
          <w:szCs w:val="20"/>
        </w:rPr>
        <w:t xml:space="preserve"> Michael Schneider and Franzis Preckel, ‘Variables Associated With Achievement in Higher Education: A Systematic Review of Meta-Analyses’ (2017) 143 (6) Psychological Bulletin 565, 588-589; Elaine Hall (</w:t>
      </w:r>
      <w:r>
        <w:rPr>
          <w:rFonts w:ascii="Arial" w:hAnsi="Arial" w:cs="Arial"/>
          <w:sz w:val="20"/>
          <w:szCs w:val="20"/>
        </w:rPr>
        <w:t>n 55</w:t>
      </w:r>
      <w:r w:rsidRPr="006E3277">
        <w:rPr>
          <w:rFonts w:ascii="Arial" w:hAnsi="Arial" w:cs="Arial"/>
          <w:sz w:val="20"/>
          <w:szCs w:val="20"/>
        </w:rPr>
        <w:t>) 463.</w:t>
      </w:r>
    </w:p>
  </w:footnote>
  <w:footnote w:id="90">
    <w:p w14:paraId="0E79ACB6" w14:textId="0A1C5E0A" w:rsidR="004F3462" w:rsidRPr="006E3277" w:rsidRDefault="004F3462">
      <w:pPr>
        <w:pStyle w:val="FootnoteText"/>
        <w:rPr>
          <w:rFonts w:ascii="Arial" w:hAnsi="Arial" w:cs="Arial"/>
          <w:sz w:val="20"/>
          <w:szCs w:val="20"/>
        </w:rPr>
      </w:pPr>
      <w:r w:rsidRPr="006E3277">
        <w:rPr>
          <w:rStyle w:val="FootnoteReference"/>
          <w:rFonts w:ascii="Arial" w:hAnsi="Arial" w:cs="Arial"/>
          <w:sz w:val="20"/>
          <w:szCs w:val="20"/>
        </w:rPr>
        <w:footnoteRef/>
      </w:r>
      <w:r>
        <w:rPr>
          <w:rFonts w:ascii="Arial" w:hAnsi="Arial" w:cs="Arial"/>
          <w:sz w:val="20"/>
          <w:szCs w:val="20"/>
        </w:rPr>
        <w:t xml:space="preserve"> Elaine Hall (n 55</w:t>
      </w:r>
      <w:r w:rsidRPr="006E3277">
        <w:rPr>
          <w:rFonts w:ascii="Arial" w:hAnsi="Arial" w:cs="Arial"/>
          <w:sz w:val="20"/>
          <w:szCs w:val="20"/>
        </w:rPr>
        <w:t>) 461-2.</w:t>
      </w:r>
    </w:p>
  </w:footnote>
  <w:footnote w:id="91">
    <w:p w14:paraId="74FC6F5D" w14:textId="6F5F2694" w:rsidR="004F3462" w:rsidRDefault="004F3462">
      <w:pPr>
        <w:pStyle w:val="FootnoteText"/>
      </w:pPr>
      <w:r w:rsidRPr="006E3277">
        <w:rPr>
          <w:rStyle w:val="FootnoteReference"/>
          <w:rFonts w:ascii="Arial" w:hAnsi="Arial" w:cs="Arial"/>
          <w:sz w:val="20"/>
          <w:szCs w:val="20"/>
        </w:rPr>
        <w:footnoteRef/>
      </w:r>
      <w:r w:rsidRPr="006E3277">
        <w:rPr>
          <w:rFonts w:ascii="Arial" w:hAnsi="Arial" w:cs="Arial"/>
          <w:sz w:val="20"/>
          <w:szCs w:val="20"/>
        </w:rPr>
        <w:t xml:space="preserve"> ibid 462</w:t>
      </w:r>
      <w:r>
        <w:rPr>
          <w:rFonts w:ascii="Arial" w:hAnsi="Arial" w:cs="Arial"/>
          <w:sz w:val="20"/>
          <w:szCs w:val="20"/>
        </w:rPr>
        <w:t xml:space="preserve"> – it is too narrow and risks becoming a bottleneck for Part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8"/>
    <w:multiLevelType w:val="hybridMultilevel"/>
    <w:tmpl w:val="BBD805D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7EE2"/>
    <w:multiLevelType w:val="hybridMultilevel"/>
    <w:tmpl w:val="ED0A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01E54"/>
    <w:multiLevelType w:val="multilevel"/>
    <w:tmpl w:val="6366C0B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61546"/>
    <w:multiLevelType w:val="hybridMultilevel"/>
    <w:tmpl w:val="A1F0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67A58"/>
    <w:multiLevelType w:val="hybridMultilevel"/>
    <w:tmpl w:val="8E3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34F91"/>
    <w:multiLevelType w:val="hybridMultilevel"/>
    <w:tmpl w:val="73D67580"/>
    <w:lvl w:ilvl="0" w:tplc="F7226A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84870"/>
    <w:multiLevelType w:val="hybridMultilevel"/>
    <w:tmpl w:val="5C1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4932"/>
    <w:multiLevelType w:val="hybridMultilevel"/>
    <w:tmpl w:val="0A12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A5B01"/>
    <w:multiLevelType w:val="hybridMultilevel"/>
    <w:tmpl w:val="7CD6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93104"/>
    <w:multiLevelType w:val="hybridMultilevel"/>
    <w:tmpl w:val="21BC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37E77"/>
    <w:multiLevelType w:val="hybridMultilevel"/>
    <w:tmpl w:val="CFDA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73C79"/>
    <w:multiLevelType w:val="hybridMultilevel"/>
    <w:tmpl w:val="E5D499D4"/>
    <w:lvl w:ilvl="0" w:tplc="EAF68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06798"/>
    <w:multiLevelType w:val="hybridMultilevel"/>
    <w:tmpl w:val="EE66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56923"/>
    <w:multiLevelType w:val="hybridMultilevel"/>
    <w:tmpl w:val="6FF8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C0C6C"/>
    <w:multiLevelType w:val="hybridMultilevel"/>
    <w:tmpl w:val="74E634A8"/>
    <w:lvl w:ilvl="0" w:tplc="1ED055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D3C8B"/>
    <w:multiLevelType w:val="hybridMultilevel"/>
    <w:tmpl w:val="C624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95D74"/>
    <w:multiLevelType w:val="hybridMultilevel"/>
    <w:tmpl w:val="A05C9B8E"/>
    <w:lvl w:ilvl="0" w:tplc="1ED055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773B9"/>
    <w:multiLevelType w:val="hybridMultilevel"/>
    <w:tmpl w:val="B020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45093"/>
    <w:multiLevelType w:val="hybridMultilevel"/>
    <w:tmpl w:val="9CFC0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DC75C3B"/>
    <w:multiLevelType w:val="hybridMultilevel"/>
    <w:tmpl w:val="F98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E6DD1"/>
    <w:multiLevelType w:val="hybridMultilevel"/>
    <w:tmpl w:val="91341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E71B9D"/>
    <w:multiLevelType w:val="hybridMultilevel"/>
    <w:tmpl w:val="B180F5A2"/>
    <w:lvl w:ilvl="0" w:tplc="F7226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F198A"/>
    <w:multiLevelType w:val="hybridMultilevel"/>
    <w:tmpl w:val="137A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66659"/>
    <w:multiLevelType w:val="hybridMultilevel"/>
    <w:tmpl w:val="5106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A596F"/>
    <w:multiLevelType w:val="hybridMultilevel"/>
    <w:tmpl w:val="D506EF74"/>
    <w:lvl w:ilvl="0" w:tplc="58621188">
      <w:start w:val="2"/>
      <w:numFmt w:val="lowerRoman"/>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0F25F4"/>
    <w:multiLevelType w:val="hybridMultilevel"/>
    <w:tmpl w:val="585C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E504F"/>
    <w:multiLevelType w:val="hybridMultilevel"/>
    <w:tmpl w:val="5328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808F9"/>
    <w:multiLevelType w:val="hybridMultilevel"/>
    <w:tmpl w:val="E9F8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5A2E"/>
    <w:multiLevelType w:val="hybridMultilevel"/>
    <w:tmpl w:val="B86E0D12"/>
    <w:lvl w:ilvl="0" w:tplc="F214A2C4">
      <w:start w:val="1"/>
      <w:numFmt w:val="bullet"/>
      <w:lvlText w:val="•"/>
      <w:lvlJc w:val="left"/>
      <w:pPr>
        <w:tabs>
          <w:tab w:val="num" w:pos="720"/>
        </w:tabs>
        <w:ind w:left="720" w:hanging="360"/>
      </w:pPr>
      <w:rPr>
        <w:rFonts w:ascii="Arial" w:hAnsi="Arial" w:hint="default"/>
      </w:rPr>
    </w:lvl>
    <w:lvl w:ilvl="1" w:tplc="C08E9582" w:tentative="1">
      <w:start w:val="1"/>
      <w:numFmt w:val="bullet"/>
      <w:lvlText w:val="•"/>
      <w:lvlJc w:val="left"/>
      <w:pPr>
        <w:tabs>
          <w:tab w:val="num" w:pos="1440"/>
        </w:tabs>
        <w:ind w:left="1440" w:hanging="360"/>
      </w:pPr>
      <w:rPr>
        <w:rFonts w:ascii="Arial" w:hAnsi="Arial" w:hint="default"/>
      </w:rPr>
    </w:lvl>
    <w:lvl w:ilvl="2" w:tplc="34FAE5B6" w:tentative="1">
      <w:start w:val="1"/>
      <w:numFmt w:val="bullet"/>
      <w:lvlText w:val="•"/>
      <w:lvlJc w:val="left"/>
      <w:pPr>
        <w:tabs>
          <w:tab w:val="num" w:pos="2160"/>
        </w:tabs>
        <w:ind w:left="2160" w:hanging="360"/>
      </w:pPr>
      <w:rPr>
        <w:rFonts w:ascii="Arial" w:hAnsi="Arial" w:hint="default"/>
      </w:rPr>
    </w:lvl>
    <w:lvl w:ilvl="3" w:tplc="11EA9A1E" w:tentative="1">
      <w:start w:val="1"/>
      <w:numFmt w:val="bullet"/>
      <w:lvlText w:val="•"/>
      <w:lvlJc w:val="left"/>
      <w:pPr>
        <w:tabs>
          <w:tab w:val="num" w:pos="2880"/>
        </w:tabs>
        <w:ind w:left="2880" w:hanging="360"/>
      </w:pPr>
      <w:rPr>
        <w:rFonts w:ascii="Arial" w:hAnsi="Arial" w:hint="default"/>
      </w:rPr>
    </w:lvl>
    <w:lvl w:ilvl="4" w:tplc="EC62F4EA" w:tentative="1">
      <w:start w:val="1"/>
      <w:numFmt w:val="bullet"/>
      <w:lvlText w:val="•"/>
      <w:lvlJc w:val="left"/>
      <w:pPr>
        <w:tabs>
          <w:tab w:val="num" w:pos="3600"/>
        </w:tabs>
        <w:ind w:left="3600" w:hanging="360"/>
      </w:pPr>
      <w:rPr>
        <w:rFonts w:ascii="Arial" w:hAnsi="Arial" w:hint="default"/>
      </w:rPr>
    </w:lvl>
    <w:lvl w:ilvl="5" w:tplc="7550E82C" w:tentative="1">
      <w:start w:val="1"/>
      <w:numFmt w:val="bullet"/>
      <w:lvlText w:val="•"/>
      <w:lvlJc w:val="left"/>
      <w:pPr>
        <w:tabs>
          <w:tab w:val="num" w:pos="4320"/>
        </w:tabs>
        <w:ind w:left="4320" w:hanging="360"/>
      </w:pPr>
      <w:rPr>
        <w:rFonts w:ascii="Arial" w:hAnsi="Arial" w:hint="default"/>
      </w:rPr>
    </w:lvl>
    <w:lvl w:ilvl="6" w:tplc="A2EE19F8" w:tentative="1">
      <w:start w:val="1"/>
      <w:numFmt w:val="bullet"/>
      <w:lvlText w:val="•"/>
      <w:lvlJc w:val="left"/>
      <w:pPr>
        <w:tabs>
          <w:tab w:val="num" w:pos="5040"/>
        </w:tabs>
        <w:ind w:left="5040" w:hanging="360"/>
      </w:pPr>
      <w:rPr>
        <w:rFonts w:ascii="Arial" w:hAnsi="Arial" w:hint="default"/>
      </w:rPr>
    </w:lvl>
    <w:lvl w:ilvl="7" w:tplc="A3127DB2" w:tentative="1">
      <w:start w:val="1"/>
      <w:numFmt w:val="bullet"/>
      <w:lvlText w:val="•"/>
      <w:lvlJc w:val="left"/>
      <w:pPr>
        <w:tabs>
          <w:tab w:val="num" w:pos="5760"/>
        </w:tabs>
        <w:ind w:left="5760" w:hanging="360"/>
      </w:pPr>
      <w:rPr>
        <w:rFonts w:ascii="Arial" w:hAnsi="Arial" w:hint="default"/>
      </w:rPr>
    </w:lvl>
    <w:lvl w:ilvl="8" w:tplc="7812AF5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8"/>
  </w:num>
  <w:num w:numId="3">
    <w:abstractNumId w:val="7"/>
  </w:num>
  <w:num w:numId="4">
    <w:abstractNumId w:val="17"/>
  </w:num>
  <w:num w:numId="5">
    <w:abstractNumId w:val="11"/>
  </w:num>
  <w:num w:numId="6">
    <w:abstractNumId w:val="24"/>
  </w:num>
  <w:num w:numId="7">
    <w:abstractNumId w:val="3"/>
  </w:num>
  <w:num w:numId="8">
    <w:abstractNumId w:val="5"/>
  </w:num>
  <w:num w:numId="9">
    <w:abstractNumId w:val="6"/>
  </w:num>
  <w:num w:numId="10">
    <w:abstractNumId w:val="21"/>
  </w:num>
  <w:num w:numId="11">
    <w:abstractNumId w:val="23"/>
  </w:num>
  <w:num w:numId="12">
    <w:abstractNumId w:val="18"/>
  </w:num>
  <w:num w:numId="13">
    <w:abstractNumId w:val="27"/>
  </w:num>
  <w:num w:numId="14">
    <w:abstractNumId w:val="15"/>
  </w:num>
  <w:num w:numId="15">
    <w:abstractNumId w:val="10"/>
  </w:num>
  <w:num w:numId="16">
    <w:abstractNumId w:val="0"/>
  </w:num>
  <w:num w:numId="17">
    <w:abstractNumId w:val="9"/>
  </w:num>
  <w:num w:numId="18">
    <w:abstractNumId w:val="16"/>
  </w:num>
  <w:num w:numId="19">
    <w:abstractNumId w:val="19"/>
  </w:num>
  <w:num w:numId="20">
    <w:abstractNumId w:val="25"/>
  </w:num>
  <w:num w:numId="21">
    <w:abstractNumId w:val="4"/>
  </w:num>
  <w:num w:numId="22">
    <w:abstractNumId w:val="26"/>
  </w:num>
  <w:num w:numId="23">
    <w:abstractNumId w:val="22"/>
  </w:num>
  <w:num w:numId="24">
    <w:abstractNumId w:val="13"/>
  </w:num>
  <w:num w:numId="25">
    <w:abstractNumId w:val="14"/>
  </w:num>
  <w:num w:numId="26">
    <w:abstractNumId w:val="20"/>
  </w:num>
  <w:num w:numId="27">
    <w:abstractNumId w:val="1"/>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BC"/>
    <w:rsid w:val="000004AF"/>
    <w:rsid w:val="00001407"/>
    <w:rsid w:val="00002387"/>
    <w:rsid w:val="0000250C"/>
    <w:rsid w:val="0000399F"/>
    <w:rsid w:val="0000446A"/>
    <w:rsid w:val="000049DB"/>
    <w:rsid w:val="0000673B"/>
    <w:rsid w:val="00006EC5"/>
    <w:rsid w:val="00007527"/>
    <w:rsid w:val="000119C2"/>
    <w:rsid w:val="00011F10"/>
    <w:rsid w:val="00012F62"/>
    <w:rsid w:val="00013CFC"/>
    <w:rsid w:val="000206CE"/>
    <w:rsid w:val="00020714"/>
    <w:rsid w:val="00023290"/>
    <w:rsid w:val="000243D7"/>
    <w:rsid w:val="00025A87"/>
    <w:rsid w:val="00025D04"/>
    <w:rsid w:val="00026FFE"/>
    <w:rsid w:val="000316F1"/>
    <w:rsid w:val="00031F69"/>
    <w:rsid w:val="00032A55"/>
    <w:rsid w:val="0003310D"/>
    <w:rsid w:val="000331C3"/>
    <w:rsid w:val="0003514A"/>
    <w:rsid w:val="00035F37"/>
    <w:rsid w:val="000371F4"/>
    <w:rsid w:val="000379BC"/>
    <w:rsid w:val="000412FE"/>
    <w:rsid w:val="00041EC3"/>
    <w:rsid w:val="000437CA"/>
    <w:rsid w:val="00043F31"/>
    <w:rsid w:val="0004400C"/>
    <w:rsid w:val="00044F77"/>
    <w:rsid w:val="000452A0"/>
    <w:rsid w:val="0004604E"/>
    <w:rsid w:val="00046339"/>
    <w:rsid w:val="000471DF"/>
    <w:rsid w:val="0005278C"/>
    <w:rsid w:val="00053314"/>
    <w:rsid w:val="00055380"/>
    <w:rsid w:val="000577C8"/>
    <w:rsid w:val="000579CB"/>
    <w:rsid w:val="00057C14"/>
    <w:rsid w:val="000601BD"/>
    <w:rsid w:val="00061DC4"/>
    <w:rsid w:val="00062622"/>
    <w:rsid w:val="00063C0F"/>
    <w:rsid w:val="00066224"/>
    <w:rsid w:val="000675C9"/>
    <w:rsid w:val="00067B9A"/>
    <w:rsid w:val="000708A8"/>
    <w:rsid w:val="00070BC7"/>
    <w:rsid w:val="00070C78"/>
    <w:rsid w:val="00070CA4"/>
    <w:rsid w:val="000725F1"/>
    <w:rsid w:val="00073549"/>
    <w:rsid w:val="00074040"/>
    <w:rsid w:val="00074BBC"/>
    <w:rsid w:val="000758BC"/>
    <w:rsid w:val="00075EBF"/>
    <w:rsid w:val="00076734"/>
    <w:rsid w:val="00076E8B"/>
    <w:rsid w:val="0008020E"/>
    <w:rsid w:val="000809A9"/>
    <w:rsid w:val="00082B39"/>
    <w:rsid w:val="0008354D"/>
    <w:rsid w:val="00085820"/>
    <w:rsid w:val="0008598E"/>
    <w:rsid w:val="00086238"/>
    <w:rsid w:val="000865D5"/>
    <w:rsid w:val="000870DC"/>
    <w:rsid w:val="00087726"/>
    <w:rsid w:val="000901C0"/>
    <w:rsid w:val="00091783"/>
    <w:rsid w:val="00091F8C"/>
    <w:rsid w:val="00092956"/>
    <w:rsid w:val="00092C7C"/>
    <w:rsid w:val="00093302"/>
    <w:rsid w:val="00094197"/>
    <w:rsid w:val="000941DE"/>
    <w:rsid w:val="000958EE"/>
    <w:rsid w:val="00095E61"/>
    <w:rsid w:val="00096C42"/>
    <w:rsid w:val="000A05C3"/>
    <w:rsid w:val="000A0A35"/>
    <w:rsid w:val="000A3E32"/>
    <w:rsid w:val="000A5B2C"/>
    <w:rsid w:val="000A5FB0"/>
    <w:rsid w:val="000A66F5"/>
    <w:rsid w:val="000A6983"/>
    <w:rsid w:val="000A72FF"/>
    <w:rsid w:val="000A7D23"/>
    <w:rsid w:val="000B06B3"/>
    <w:rsid w:val="000B2A9C"/>
    <w:rsid w:val="000B42C6"/>
    <w:rsid w:val="000B5071"/>
    <w:rsid w:val="000B70CF"/>
    <w:rsid w:val="000C179E"/>
    <w:rsid w:val="000C32A3"/>
    <w:rsid w:val="000C3F86"/>
    <w:rsid w:val="000C41F4"/>
    <w:rsid w:val="000C4EDA"/>
    <w:rsid w:val="000C7721"/>
    <w:rsid w:val="000C782E"/>
    <w:rsid w:val="000C7897"/>
    <w:rsid w:val="000D2FB2"/>
    <w:rsid w:val="000D4588"/>
    <w:rsid w:val="000E181A"/>
    <w:rsid w:val="000E22C8"/>
    <w:rsid w:val="000E2C42"/>
    <w:rsid w:val="000E33E0"/>
    <w:rsid w:val="000E3686"/>
    <w:rsid w:val="000E41CE"/>
    <w:rsid w:val="000E5175"/>
    <w:rsid w:val="000E6ECD"/>
    <w:rsid w:val="000F0239"/>
    <w:rsid w:val="000F1909"/>
    <w:rsid w:val="000F3B38"/>
    <w:rsid w:val="000F666C"/>
    <w:rsid w:val="000F7A2F"/>
    <w:rsid w:val="000F7FA4"/>
    <w:rsid w:val="001013C8"/>
    <w:rsid w:val="00101832"/>
    <w:rsid w:val="00101966"/>
    <w:rsid w:val="00102F38"/>
    <w:rsid w:val="00103E6C"/>
    <w:rsid w:val="00104C75"/>
    <w:rsid w:val="001058C1"/>
    <w:rsid w:val="0011053C"/>
    <w:rsid w:val="00111180"/>
    <w:rsid w:val="0011132D"/>
    <w:rsid w:val="001120A2"/>
    <w:rsid w:val="001121F3"/>
    <w:rsid w:val="00114B01"/>
    <w:rsid w:val="00116ACA"/>
    <w:rsid w:val="001173EA"/>
    <w:rsid w:val="001209A1"/>
    <w:rsid w:val="00121C9D"/>
    <w:rsid w:val="00121DF7"/>
    <w:rsid w:val="00122D0E"/>
    <w:rsid w:val="00122E21"/>
    <w:rsid w:val="001235F8"/>
    <w:rsid w:val="00123F45"/>
    <w:rsid w:val="001243DF"/>
    <w:rsid w:val="00125E6D"/>
    <w:rsid w:val="0012756C"/>
    <w:rsid w:val="00127929"/>
    <w:rsid w:val="00132A4F"/>
    <w:rsid w:val="001330BE"/>
    <w:rsid w:val="00133698"/>
    <w:rsid w:val="00133E94"/>
    <w:rsid w:val="0013432E"/>
    <w:rsid w:val="00136013"/>
    <w:rsid w:val="0013690A"/>
    <w:rsid w:val="00136EEA"/>
    <w:rsid w:val="0014047E"/>
    <w:rsid w:val="0014130F"/>
    <w:rsid w:val="00142726"/>
    <w:rsid w:val="00143E02"/>
    <w:rsid w:val="00144EBF"/>
    <w:rsid w:val="0014562B"/>
    <w:rsid w:val="0014603B"/>
    <w:rsid w:val="00146E3F"/>
    <w:rsid w:val="0014763B"/>
    <w:rsid w:val="001511BC"/>
    <w:rsid w:val="001511D9"/>
    <w:rsid w:val="001513CA"/>
    <w:rsid w:val="00151433"/>
    <w:rsid w:val="00152F4A"/>
    <w:rsid w:val="001531FA"/>
    <w:rsid w:val="001537E1"/>
    <w:rsid w:val="0015472D"/>
    <w:rsid w:val="00154C0E"/>
    <w:rsid w:val="00155D01"/>
    <w:rsid w:val="001564BB"/>
    <w:rsid w:val="00161F6E"/>
    <w:rsid w:val="00162558"/>
    <w:rsid w:val="00162C24"/>
    <w:rsid w:val="00162FCF"/>
    <w:rsid w:val="0016361A"/>
    <w:rsid w:val="00163FC6"/>
    <w:rsid w:val="00164360"/>
    <w:rsid w:val="00164A27"/>
    <w:rsid w:val="00164A39"/>
    <w:rsid w:val="001700F1"/>
    <w:rsid w:val="00170E45"/>
    <w:rsid w:val="001714D3"/>
    <w:rsid w:val="00172680"/>
    <w:rsid w:val="0017271D"/>
    <w:rsid w:val="001742E2"/>
    <w:rsid w:val="00174B5B"/>
    <w:rsid w:val="00174D7E"/>
    <w:rsid w:val="0017555F"/>
    <w:rsid w:val="00177B56"/>
    <w:rsid w:val="00183B9A"/>
    <w:rsid w:val="0018434D"/>
    <w:rsid w:val="0018456B"/>
    <w:rsid w:val="00184BAE"/>
    <w:rsid w:val="00185506"/>
    <w:rsid w:val="00185BEF"/>
    <w:rsid w:val="00186FD5"/>
    <w:rsid w:val="00190424"/>
    <w:rsid w:val="0019076D"/>
    <w:rsid w:val="001909B6"/>
    <w:rsid w:val="0019435B"/>
    <w:rsid w:val="00194E7D"/>
    <w:rsid w:val="00195BC8"/>
    <w:rsid w:val="001A02E6"/>
    <w:rsid w:val="001A0D00"/>
    <w:rsid w:val="001A372B"/>
    <w:rsid w:val="001A3917"/>
    <w:rsid w:val="001A55B4"/>
    <w:rsid w:val="001A62B1"/>
    <w:rsid w:val="001A669F"/>
    <w:rsid w:val="001A728A"/>
    <w:rsid w:val="001B0B55"/>
    <w:rsid w:val="001B3B68"/>
    <w:rsid w:val="001B4CBA"/>
    <w:rsid w:val="001B532A"/>
    <w:rsid w:val="001B555B"/>
    <w:rsid w:val="001B55BC"/>
    <w:rsid w:val="001B7BDB"/>
    <w:rsid w:val="001C0170"/>
    <w:rsid w:val="001C18C0"/>
    <w:rsid w:val="001C30F1"/>
    <w:rsid w:val="001C36F0"/>
    <w:rsid w:val="001C464B"/>
    <w:rsid w:val="001C537B"/>
    <w:rsid w:val="001C588A"/>
    <w:rsid w:val="001C63A2"/>
    <w:rsid w:val="001C64E0"/>
    <w:rsid w:val="001C6601"/>
    <w:rsid w:val="001C66A5"/>
    <w:rsid w:val="001C7F81"/>
    <w:rsid w:val="001D0973"/>
    <w:rsid w:val="001D1F2A"/>
    <w:rsid w:val="001D239D"/>
    <w:rsid w:val="001D260F"/>
    <w:rsid w:val="001D31AC"/>
    <w:rsid w:val="001D3BC3"/>
    <w:rsid w:val="001D4060"/>
    <w:rsid w:val="001D6B16"/>
    <w:rsid w:val="001D6B1F"/>
    <w:rsid w:val="001D6E75"/>
    <w:rsid w:val="001D709F"/>
    <w:rsid w:val="001D7858"/>
    <w:rsid w:val="001E0548"/>
    <w:rsid w:val="001E264D"/>
    <w:rsid w:val="001E2CBB"/>
    <w:rsid w:val="001E3AC3"/>
    <w:rsid w:val="001E486E"/>
    <w:rsid w:val="001E5D9A"/>
    <w:rsid w:val="001E6ACB"/>
    <w:rsid w:val="001E7187"/>
    <w:rsid w:val="001E7284"/>
    <w:rsid w:val="001F0804"/>
    <w:rsid w:val="001F0953"/>
    <w:rsid w:val="001F170B"/>
    <w:rsid w:val="001F2E7D"/>
    <w:rsid w:val="001F3387"/>
    <w:rsid w:val="001F40B4"/>
    <w:rsid w:val="001F4241"/>
    <w:rsid w:val="001F52C6"/>
    <w:rsid w:val="001F5883"/>
    <w:rsid w:val="001F7A01"/>
    <w:rsid w:val="0020010C"/>
    <w:rsid w:val="0020185C"/>
    <w:rsid w:val="002029BC"/>
    <w:rsid w:val="0020302B"/>
    <w:rsid w:val="002036F9"/>
    <w:rsid w:val="00203867"/>
    <w:rsid w:val="00203C5B"/>
    <w:rsid w:val="00203FCA"/>
    <w:rsid w:val="0020428C"/>
    <w:rsid w:val="002050D2"/>
    <w:rsid w:val="00205120"/>
    <w:rsid w:val="002131B3"/>
    <w:rsid w:val="00213F33"/>
    <w:rsid w:val="00215320"/>
    <w:rsid w:val="0021565B"/>
    <w:rsid w:val="002175A2"/>
    <w:rsid w:val="00220875"/>
    <w:rsid w:val="00221796"/>
    <w:rsid w:val="00222807"/>
    <w:rsid w:val="00224576"/>
    <w:rsid w:val="00224E36"/>
    <w:rsid w:val="00226253"/>
    <w:rsid w:val="00227540"/>
    <w:rsid w:val="00227565"/>
    <w:rsid w:val="00231087"/>
    <w:rsid w:val="0023217D"/>
    <w:rsid w:val="002323C0"/>
    <w:rsid w:val="002325C0"/>
    <w:rsid w:val="00232B77"/>
    <w:rsid w:val="0023391A"/>
    <w:rsid w:val="00233F51"/>
    <w:rsid w:val="00234166"/>
    <w:rsid w:val="00235BAB"/>
    <w:rsid w:val="00236818"/>
    <w:rsid w:val="00240352"/>
    <w:rsid w:val="002414BC"/>
    <w:rsid w:val="00242BA3"/>
    <w:rsid w:val="00243116"/>
    <w:rsid w:val="00244CE9"/>
    <w:rsid w:val="00245CC7"/>
    <w:rsid w:val="002460F7"/>
    <w:rsid w:val="002501BE"/>
    <w:rsid w:val="002505CF"/>
    <w:rsid w:val="00253122"/>
    <w:rsid w:val="00255F8F"/>
    <w:rsid w:val="0025680A"/>
    <w:rsid w:val="002569AA"/>
    <w:rsid w:val="00256A96"/>
    <w:rsid w:val="00256F2A"/>
    <w:rsid w:val="00257D2D"/>
    <w:rsid w:val="002602C5"/>
    <w:rsid w:val="00260CE8"/>
    <w:rsid w:val="00262674"/>
    <w:rsid w:val="002644CD"/>
    <w:rsid w:val="00266452"/>
    <w:rsid w:val="00266613"/>
    <w:rsid w:val="002671D7"/>
    <w:rsid w:val="00267382"/>
    <w:rsid w:val="00267B33"/>
    <w:rsid w:val="00270854"/>
    <w:rsid w:val="002712B9"/>
    <w:rsid w:val="002714E9"/>
    <w:rsid w:val="00271C53"/>
    <w:rsid w:val="002727E5"/>
    <w:rsid w:val="002727E6"/>
    <w:rsid w:val="00273BDF"/>
    <w:rsid w:val="0027486D"/>
    <w:rsid w:val="0027561B"/>
    <w:rsid w:val="0027573C"/>
    <w:rsid w:val="00280C63"/>
    <w:rsid w:val="00280DBC"/>
    <w:rsid w:val="00282250"/>
    <w:rsid w:val="00283BCB"/>
    <w:rsid w:val="00287511"/>
    <w:rsid w:val="0029023A"/>
    <w:rsid w:val="00292105"/>
    <w:rsid w:val="002928C1"/>
    <w:rsid w:val="00295A7D"/>
    <w:rsid w:val="00296666"/>
    <w:rsid w:val="00297392"/>
    <w:rsid w:val="002974BB"/>
    <w:rsid w:val="00297C88"/>
    <w:rsid w:val="002A1005"/>
    <w:rsid w:val="002A2204"/>
    <w:rsid w:val="002A29DB"/>
    <w:rsid w:val="002A3F94"/>
    <w:rsid w:val="002A403C"/>
    <w:rsid w:val="002B0DFA"/>
    <w:rsid w:val="002B1763"/>
    <w:rsid w:val="002B18C7"/>
    <w:rsid w:val="002B2698"/>
    <w:rsid w:val="002B296B"/>
    <w:rsid w:val="002B3AA7"/>
    <w:rsid w:val="002B661F"/>
    <w:rsid w:val="002C11B7"/>
    <w:rsid w:val="002C247D"/>
    <w:rsid w:val="002C2943"/>
    <w:rsid w:val="002C2F0F"/>
    <w:rsid w:val="002C33B8"/>
    <w:rsid w:val="002C4948"/>
    <w:rsid w:val="002C6253"/>
    <w:rsid w:val="002C7917"/>
    <w:rsid w:val="002D1EF8"/>
    <w:rsid w:val="002D2060"/>
    <w:rsid w:val="002D28F9"/>
    <w:rsid w:val="002D2D9A"/>
    <w:rsid w:val="002D3BA0"/>
    <w:rsid w:val="002D4643"/>
    <w:rsid w:val="002E0AF3"/>
    <w:rsid w:val="002E135A"/>
    <w:rsid w:val="002E305C"/>
    <w:rsid w:val="002F0E2B"/>
    <w:rsid w:val="002F4209"/>
    <w:rsid w:val="002F582A"/>
    <w:rsid w:val="002F5DA1"/>
    <w:rsid w:val="002F67BA"/>
    <w:rsid w:val="002F6B30"/>
    <w:rsid w:val="002F7230"/>
    <w:rsid w:val="002F790C"/>
    <w:rsid w:val="0030249A"/>
    <w:rsid w:val="00305B1F"/>
    <w:rsid w:val="003066C1"/>
    <w:rsid w:val="0031048D"/>
    <w:rsid w:val="0031290F"/>
    <w:rsid w:val="00314391"/>
    <w:rsid w:val="00314520"/>
    <w:rsid w:val="00314CE1"/>
    <w:rsid w:val="00315EA5"/>
    <w:rsid w:val="00316B7A"/>
    <w:rsid w:val="00323059"/>
    <w:rsid w:val="0032574D"/>
    <w:rsid w:val="00326F70"/>
    <w:rsid w:val="0032741F"/>
    <w:rsid w:val="00327F2D"/>
    <w:rsid w:val="00330B43"/>
    <w:rsid w:val="00330BAB"/>
    <w:rsid w:val="00331986"/>
    <w:rsid w:val="00331C38"/>
    <w:rsid w:val="00331C57"/>
    <w:rsid w:val="00332D44"/>
    <w:rsid w:val="0033356E"/>
    <w:rsid w:val="0033433D"/>
    <w:rsid w:val="00335650"/>
    <w:rsid w:val="003401E9"/>
    <w:rsid w:val="00343E33"/>
    <w:rsid w:val="00344A65"/>
    <w:rsid w:val="003462B4"/>
    <w:rsid w:val="00346B9A"/>
    <w:rsid w:val="00346FA1"/>
    <w:rsid w:val="00350085"/>
    <w:rsid w:val="00351476"/>
    <w:rsid w:val="003542E4"/>
    <w:rsid w:val="00354F25"/>
    <w:rsid w:val="00357E07"/>
    <w:rsid w:val="0036214C"/>
    <w:rsid w:val="003639D0"/>
    <w:rsid w:val="00363D47"/>
    <w:rsid w:val="00364A0A"/>
    <w:rsid w:val="003657D5"/>
    <w:rsid w:val="00371E98"/>
    <w:rsid w:val="00372722"/>
    <w:rsid w:val="00373889"/>
    <w:rsid w:val="00373D6A"/>
    <w:rsid w:val="00376554"/>
    <w:rsid w:val="00376D10"/>
    <w:rsid w:val="0037789C"/>
    <w:rsid w:val="003800BA"/>
    <w:rsid w:val="00381D8C"/>
    <w:rsid w:val="00382A9C"/>
    <w:rsid w:val="00384548"/>
    <w:rsid w:val="003845DC"/>
    <w:rsid w:val="00384C74"/>
    <w:rsid w:val="0038561F"/>
    <w:rsid w:val="0038614A"/>
    <w:rsid w:val="00386509"/>
    <w:rsid w:val="00390609"/>
    <w:rsid w:val="00390688"/>
    <w:rsid w:val="00391F9B"/>
    <w:rsid w:val="003933E7"/>
    <w:rsid w:val="00394D90"/>
    <w:rsid w:val="00395008"/>
    <w:rsid w:val="0039537B"/>
    <w:rsid w:val="003960A2"/>
    <w:rsid w:val="003A20B3"/>
    <w:rsid w:val="003A2644"/>
    <w:rsid w:val="003A2FB8"/>
    <w:rsid w:val="003A4AF6"/>
    <w:rsid w:val="003A593C"/>
    <w:rsid w:val="003B071D"/>
    <w:rsid w:val="003B1DAE"/>
    <w:rsid w:val="003B3905"/>
    <w:rsid w:val="003B4B54"/>
    <w:rsid w:val="003B6AF4"/>
    <w:rsid w:val="003B7A66"/>
    <w:rsid w:val="003B7BA4"/>
    <w:rsid w:val="003C1A23"/>
    <w:rsid w:val="003C2793"/>
    <w:rsid w:val="003C28C0"/>
    <w:rsid w:val="003C2993"/>
    <w:rsid w:val="003C4C64"/>
    <w:rsid w:val="003C7A51"/>
    <w:rsid w:val="003C7AB3"/>
    <w:rsid w:val="003D06C7"/>
    <w:rsid w:val="003D0F0A"/>
    <w:rsid w:val="003D63A6"/>
    <w:rsid w:val="003E1741"/>
    <w:rsid w:val="003E284F"/>
    <w:rsid w:val="003E2C3A"/>
    <w:rsid w:val="003E3791"/>
    <w:rsid w:val="003E415A"/>
    <w:rsid w:val="003E4233"/>
    <w:rsid w:val="003E4ADE"/>
    <w:rsid w:val="003E4F53"/>
    <w:rsid w:val="003E50A7"/>
    <w:rsid w:val="003E51A8"/>
    <w:rsid w:val="003E5D4B"/>
    <w:rsid w:val="003E5F87"/>
    <w:rsid w:val="003E62F0"/>
    <w:rsid w:val="003E6ECA"/>
    <w:rsid w:val="003E7A43"/>
    <w:rsid w:val="003E7C15"/>
    <w:rsid w:val="003F017A"/>
    <w:rsid w:val="003F0C17"/>
    <w:rsid w:val="003F19F7"/>
    <w:rsid w:val="003F2985"/>
    <w:rsid w:val="003F2E48"/>
    <w:rsid w:val="003F3876"/>
    <w:rsid w:val="003F4D34"/>
    <w:rsid w:val="003F5FB4"/>
    <w:rsid w:val="003F68D9"/>
    <w:rsid w:val="0040125C"/>
    <w:rsid w:val="0040219B"/>
    <w:rsid w:val="00402741"/>
    <w:rsid w:val="00402C92"/>
    <w:rsid w:val="00403277"/>
    <w:rsid w:val="00404239"/>
    <w:rsid w:val="0040575D"/>
    <w:rsid w:val="00405BE6"/>
    <w:rsid w:val="00407AFA"/>
    <w:rsid w:val="00407C42"/>
    <w:rsid w:val="00411A21"/>
    <w:rsid w:val="00411EB3"/>
    <w:rsid w:val="0041299E"/>
    <w:rsid w:val="00412BCE"/>
    <w:rsid w:val="00412D45"/>
    <w:rsid w:val="00413BA3"/>
    <w:rsid w:val="00413BC3"/>
    <w:rsid w:val="00417329"/>
    <w:rsid w:val="004178B8"/>
    <w:rsid w:val="0042120F"/>
    <w:rsid w:val="004241BC"/>
    <w:rsid w:val="00426EC4"/>
    <w:rsid w:val="00430D16"/>
    <w:rsid w:val="00431782"/>
    <w:rsid w:val="004317EC"/>
    <w:rsid w:val="00431A71"/>
    <w:rsid w:val="00432252"/>
    <w:rsid w:val="00432DF1"/>
    <w:rsid w:val="00435868"/>
    <w:rsid w:val="0043689B"/>
    <w:rsid w:val="00437F57"/>
    <w:rsid w:val="0044079F"/>
    <w:rsid w:val="004416FF"/>
    <w:rsid w:val="00442105"/>
    <w:rsid w:val="00442740"/>
    <w:rsid w:val="004431CA"/>
    <w:rsid w:val="0044572D"/>
    <w:rsid w:val="0044630B"/>
    <w:rsid w:val="00453B84"/>
    <w:rsid w:val="00453EE6"/>
    <w:rsid w:val="0045467A"/>
    <w:rsid w:val="00455A05"/>
    <w:rsid w:val="00455A40"/>
    <w:rsid w:val="00460356"/>
    <w:rsid w:val="00462489"/>
    <w:rsid w:val="00462743"/>
    <w:rsid w:val="00464077"/>
    <w:rsid w:val="004640BB"/>
    <w:rsid w:val="004651FA"/>
    <w:rsid w:val="00465CED"/>
    <w:rsid w:val="00465F4C"/>
    <w:rsid w:val="00471128"/>
    <w:rsid w:val="00473CDD"/>
    <w:rsid w:val="00474977"/>
    <w:rsid w:val="00476F23"/>
    <w:rsid w:val="00477112"/>
    <w:rsid w:val="00481DCD"/>
    <w:rsid w:val="004836E1"/>
    <w:rsid w:val="004859DF"/>
    <w:rsid w:val="00485AAD"/>
    <w:rsid w:val="004871DE"/>
    <w:rsid w:val="004871FD"/>
    <w:rsid w:val="00490EA2"/>
    <w:rsid w:val="00491AEC"/>
    <w:rsid w:val="00491CED"/>
    <w:rsid w:val="0049239C"/>
    <w:rsid w:val="00493B03"/>
    <w:rsid w:val="00493CE9"/>
    <w:rsid w:val="00494FF6"/>
    <w:rsid w:val="00495003"/>
    <w:rsid w:val="00496C7B"/>
    <w:rsid w:val="00497374"/>
    <w:rsid w:val="00497A84"/>
    <w:rsid w:val="004A0697"/>
    <w:rsid w:val="004A1144"/>
    <w:rsid w:val="004A16CD"/>
    <w:rsid w:val="004A20EB"/>
    <w:rsid w:val="004A4A0D"/>
    <w:rsid w:val="004A4A7A"/>
    <w:rsid w:val="004A5057"/>
    <w:rsid w:val="004A66C1"/>
    <w:rsid w:val="004A6BF7"/>
    <w:rsid w:val="004B30D3"/>
    <w:rsid w:val="004B3CE7"/>
    <w:rsid w:val="004B3DE2"/>
    <w:rsid w:val="004B4DC9"/>
    <w:rsid w:val="004B52DA"/>
    <w:rsid w:val="004B584D"/>
    <w:rsid w:val="004B6EC4"/>
    <w:rsid w:val="004B7E4F"/>
    <w:rsid w:val="004C1346"/>
    <w:rsid w:val="004C14DC"/>
    <w:rsid w:val="004C2DE8"/>
    <w:rsid w:val="004C43EF"/>
    <w:rsid w:val="004C5195"/>
    <w:rsid w:val="004C53A5"/>
    <w:rsid w:val="004C56D7"/>
    <w:rsid w:val="004C5BC7"/>
    <w:rsid w:val="004D1C8B"/>
    <w:rsid w:val="004D641E"/>
    <w:rsid w:val="004D72B7"/>
    <w:rsid w:val="004D7355"/>
    <w:rsid w:val="004E1FC4"/>
    <w:rsid w:val="004E47EA"/>
    <w:rsid w:val="004F158B"/>
    <w:rsid w:val="004F26E9"/>
    <w:rsid w:val="004F3462"/>
    <w:rsid w:val="004F4182"/>
    <w:rsid w:val="004F4380"/>
    <w:rsid w:val="004F45D7"/>
    <w:rsid w:val="004F47CC"/>
    <w:rsid w:val="004F5C67"/>
    <w:rsid w:val="004F5CE4"/>
    <w:rsid w:val="004F6670"/>
    <w:rsid w:val="004F7849"/>
    <w:rsid w:val="00500390"/>
    <w:rsid w:val="0050064E"/>
    <w:rsid w:val="00507789"/>
    <w:rsid w:val="00507A6B"/>
    <w:rsid w:val="00507AC1"/>
    <w:rsid w:val="0051077B"/>
    <w:rsid w:val="00511F8C"/>
    <w:rsid w:val="00514A48"/>
    <w:rsid w:val="00515B06"/>
    <w:rsid w:val="005173D1"/>
    <w:rsid w:val="00517465"/>
    <w:rsid w:val="005212BD"/>
    <w:rsid w:val="00521B23"/>
    <w:rsid w:val="00522523"/>
    <w:rsid w:val="005227BB"/>
    <w:rsid w:val="00523148"/>
    <w:rsid w:val="0052394A"/>
    <w:rsid w:val="00524F62"/>
    <w:rsid w:val="0052550D"/>
    <w:rsid w:val="005269A2"/>
    <w:rsid w:val="00531D4B"/>
    <w:rsid w:val="0053211E"/>
    <w:rsid w:val="00532B97"/>
    <w:rsid w:val="00532BCF"/>
    <w:rsid w:val="00532E01"/>
    <w:rsid w:val="005334A9"/>
    <w:rsid w:val="00534E1D"/>
    <w:rsid w:val="00535299"/>
    <w:rsid w:val="005354E8"/>
    <w:rsid w:val="00535D9A"/>
    <w:rsid w:val="005362B4"/>
    <w:rsid w:val="00536F7F"/>
    <w:rsid w:val="00537F77"/>
    <w:rsid w:val="00540522"/>
    <w:rsid w:val="0054156F"/>
    <w:rsid w:val="00542DA1"/>
    <w:rsid w:val="00543A9F"/>
    <w:rsid w:val="00544815"/>
    <w:rsid w:val="005452B9"/>
    <w:rsid w:val="00545629"/>
    <w:rsid w:val="00545E53"/>
    <w:rsid w:val="00546841"/>
    <w:rsid w:val="00546FD5"/>
    <w:rsid w:val="005478AD"/>
    <w:rsid w:val="00550689"/>
    <w:rsid w:val="00550D8C"/>
    <w:rsid w:val="00553FA5"/>
    <w:rsid w:val="005543A7"/>
    <w:rsid w:val="00555480"/>
    <w:rsid w:val="005579F7"/>
    <w:rsid w:val="00562D7F"/>
    <w:rsid w:val="00564A08"/>
    <w:rsid w:val="005664E3"/>
    <w:rsid w:val="00570F37"/>
    <w:rsid w:val="00571BA5"/>
    <w:rsid w:val="00571F87"/>
    <w:rsid w:val="005721D9"/>
    <w:rsid w:val="0057349A"/>
    <w:rsid w:val="0057472B"/>
    <w:rsid w:val="0057493F"/>
    <w:rsid w:val="00575552"/>
    <w:rsid w:val="005758A2"/>
    <w:rsid w:val="0057699F"/>
    <w:rsid w:val="005769D5"/>
    <w:rsid w:val="00577923"/>
    <w:rsid w:val="00582EA2"/>
    <w:rsid w:val="005841FD"/>
    <w:rsid w:val="005842D5"/>
    <w:rsid w:val="00586287"/>
    <w:rsid w:val="005868C3"/>
    <w:rsid w:val="00586ACA"/>
    <w:rsid w:val="005901A2"/>
    <w:rsid w:val="00591968"/>
    <w:rsid w:val="00591C78"/>
    <w:rsid w:val="00592117"/>
    <w:rsid w:val="005923DD"/>
    <w:rsid w:val="00592469"/>
    <w:rsid w:val="00592D2D"/>
    <w:rsid w:val="0059360E"/>
    <w:rsid w:val="00594339"/>
    <w:rsid w:val="00594BCA"/>
    <w:rsid w:val="005962B1"/>
    <w:rsid w:val="00596D6D"/>
    <w:rsid w:val="00596F54"/>
    <w:rsid w:val="005A6C07"/>
    <w:rsid w:val="005B1E76"/>
    <w:rsid w:val="005B24AD"/>
    <w:rsid w:val="005B2B69"/>
    <w:rsid w:val="005B4299"/>
    <w:rsid w:val="005B4906"/>
    <w:rsid w:val="005B538E"/>
    <w:rsid w:val="005C17F3"/>
    <w:rsid w:val="005C4752"/>
    <w:rsid w:val="005D27AA"/>
    <w:rsid w:val="005D3CDE"/>
    <w:rsid w:val="005D692F"/>
    <w:rsid w:val="005D69E5"/>
    <w:rsid w:val="005D6C1F"/>
    <w:rsid w:val="005D6E86"/>
    <w:rsid w:val="005D72F3"/>
    <w:rsid w:val="005D7C89"/>
    <w:rsid w:val="005E0CD4"/>
    <w:rsid w:val="005E0F9E"/>
    <w:rsid w:val="005E1FBB"/>
    <w:rsid w:val="005E4C3F"/>
    <w:rsid w:val="005E4C9D"/>
    <w:rsid w:val="005E617E"/>
    <w:rsid w:val="005E7FD0"/>
    <w:rsid w:val="005F0490"/>
    <w:rsid w:val="005F0F26"/>
    <w:rsid w:val="005F1DCA"/>
    <w:rsid w:val="005F233D"/>
    <w:rsid w:val="005F2AE7"/>
    <w:rsid w:val="005F39CD"/>
    <w:rsid w:val="005F3DDF"/>
    <w:rsid w:val="005F4D31"/>
    <w:rsid w:val="005F54B4"/>
    <w:rsid w:val="005F6203"/>
    <w:rsid w:val="005F72F6"/>
    <w:rsid w:val="005F7328"/>
    <w:rsid w:val="005F79C7"/>
    <w:rsid w:val="00600881"/>
    <w:rsid w:val="00600C80"/>
    <w:rsid w:val="00601B28"/>
    <w:rsid w:val="00602265"/>
    <w:rsid w:val="006028F1"/>
    <w:rsid w:val="00605A34"/>
    <w:rsid w:val="006067F1"/>
    <w:rsid w:val="006108D2"/>
    <w:rsid w:val="00610EFF"/>
    <w:rsid w:val="00612930"/>
    <w:rsid w:val="00613417"/>
    <w:rsid w:val="00615FCA"/>
    <w:rsid w:val="0061600E"/>
    <w:rsid w:val="00616706"/>
    <w:rsid w:val="006167CE"/>
    <w:rsid w:val="00616892"/>
    <w:rsid w:val="00616B38"/>
    <w:rsid w:val="0061760A"/>
    <w:rsid w:val="00620364"/>
    <w:rsid w:val="006244CA"/>
    <w:rsid w:val="006256EC"/>
    <w:rsid w:val="00626507"/>
    <w:rsid w:val="00626F1A"/>
    <w:rsid w:val="006276BF"/>
    <w:rsid w:val="00631253"/>
    <w:rsid w:val="00633123"/>
    <w:rsid w:val="00634CA9"/>
    <w:rsid w:val="006361AC"/>
    <w:rsid w:val="00636876"/>
    <w:rsid w:val="00636D37"/>
    <w:rsid w:val="00637A68"/>
    <w:rsid w:val="006405D7"/>
    <w:rsid w:val="00642AA3"/>
    <w:rsid w:val="00645089"/>
    <w:rsid w:val="00645113"/>
    <w:rsid w:val="00646577"/>
    <w:rsid w:val="006526B8"/>
    <w:rsid w:val="00653301"/>
    <w:rsid w:val="00654025"/>
    <w:rsid w:val="006540E2"/>
    <w:rsid w:val="006544CB"/>
    <w:rsid w:val="0065576B"/>
    <w:rsid w:val="00655D89"/>
    <w:rsid w:val="0065716A"/>
    <w:rsid w:val="00664677"/>
    <w:rsid w:val="00666C07"/>
    <w:rsid w:val="00667BFE"/>
    <w:rsid w:val="006700D4"/>
    <w:rsid w:val="00670809"/>
    <w:rsid w:val="00670824"/>
    <w:rsid w:val="00672243"/>
    <w:rsid w:val="0067259E"/>
    <w:rsid w:val="00675F96"/>
    <w:rsid w:val="00676F1E"/>
    <w:rsid w:val="006774F6"/>
    <w:rsid w:val="006775E5"/>
    <w:rsid w:val="00680006"/>
    <w:rsid w:val="00681014"/>
    <w:rsid w:val="0068144A"/>
    <w:rsid w:val="00684B2E"/>
    <w:rsid w:val="00684E20"/>
    <w:rsid w:val="0068694A"/>
    <w:rsid w:val="006874F0"/>
    <w:rsid w:val="006904A2"/>
    <w:rsid w:val="006910F7"/>
    <w:rsid w:val="006938E3"/>
    <w:rsid w:val="00694458"/>
    <w:rsid w:val="0069472D"/>
    <w:rsid w:val="00696635"/>
    <w:rsid w:val="00697E58"/>
    <w:rsid w:val="006A1137"/>
    <w:rsid w:val="006A1B19"/>
    <w:rsid w:val="006A2018"/>
    <w:rsid w:val="006A2613"/>
    <w:rsid w:val="006A267D"/>
    <w:rsid w:val="006A2CAF"/>
    <w:rsid w:val="006A2F08"/>
    <w:rsid w:val="006A5A28"/>
    <w:rsid w:val="006A5FA5"/>
    <w:rsid w:val="006A67FD"/>
    <w:rsid w:val="006B1BD2"/>
    <w:rsid w:val="006B419C"/>
    <w:rsid w:val="006B4C54"/>
    <w:rsid w:val="006B4EF3"/>
    <w:rsid w:val="006B5E9F"/>
    <w:rsid w:val="006B6947"/>
    <w:rsid w:val="006B73D6"/>
    <w:rsid w:val="006C0ECF"/>
    <w:rsid w:val="006C117B"/>
    <w:rsid w:val="006C21C0"/>
    <w:rsid w:val="006C679B"/>
    <w:rsid w:val="006C70E8"/>
    <w:rsid w:val="006D077A"/>
    <w:rsid w:val="006D0ABA"/>
    <w:rsid w:val="006D49D9"/>
    <w:rsid w:val="006D56A5"/>
    <w:rsid w:val="006D6021"/>
    <w:rsid w:val="006E01A0"/>
    <w:rsid w:val="006E055D"/>
    <w:rsid w:val="006E1CB0"/>
    <w:rsid w:val="006E1CBE"/>
    <w:rsid w:val="006E287E"/>
    <w:rsid w:val="006E3277"/>
    <w:rsid w:val="006E3471"/>
    <w:rsid w:val="006E5B34"/>
    <w:rsid w:val="006E7004"/>
    <w:rsid w:val="006E7CB7"/>
    <w:rsid w:val="006F02E0"/>
    <w:rsid w:val="006F0F13"/>
    <w:rsid w:val="006F2771"/>
    <w:rsid w:val="006F319C"/>
    <w:rsid w:val="006F4743"/>
    <w:rsid w:val="006F56BA"/>
    <w:rsid w:val="006F7B0D"/>
    <w:rsid w:val="00700656"/>
    <w:rsid w:val="00700A92"/>
    <w:rsid w:val="007015E1"/>
    <w:rsid w:val="0070194E"/>
    <w:rsid w:val="00704FE4"/>
    <w:rsid w:val="00710784"/>
    <w:rsid w:val="0071229C"/>
    <w:rsid w:val="0071346B"/>
    <w:rsid w:val="00713F0D"/>
    <w:rsid w:val="00714158"/>
    <w:rsid w:val="007145C8"/>
    <w:rsid w:val="00714743"/>
    <w:rsid w:val="00714BCA"/>
    <w:rsid w:val="00715584"/>
    <w:rsid w:val="007168DC"/>
    <w:rsid w:val="00720E20"/>
    <w:rsid w:val="0072195F"/>
    <w:rsid w:val="0072383C"/>
    <w:rsid w:val="00725743"/>
    <w:rsid w:val="0072578F"/>
    <w:rsid w:val="0072656B"/>
    <w:rsid w:val="007315A9"/>
    <w:rsid w:val="00731693"/>
    <w:rsid w:val="00731D16"/>
    <w:rsid w:val="0073251F"/>
    <w:rsid w:val="007335F4"/>
    <w:rsid w:val="007338F2"/>
    <w:rsid w:val="00733B73"/>
    <w:rsid w:val="00733B85"/>
    <w:rsid w:val="00734019"/>
    <w:rsid w:val="007342E7"/>
    <w:rsid w:val="0074130E"/>
    <w:rsid w:val="007426DF"/>
    <w:rsid w:val="00743E39"/>
    <w:rsid w:val="00745BC7"/>
    <w:rsid w:val="00745BD5"/>
    <w:rsid w:val="00747818"/>
    <w:rsid w:val="0075200D"/>
    <w:rsid w:val="007527EE"/>
    <w:rsid w:val="007545FC"/>
    <w:rsid w:val="00754988"/>
    <w:rsid w:val="007552D1"/>
    <w:rsid w:val="00757EC4"/>
    <w:rsid w:val="0076031F"/>
    <w:rsid w:val="00760543"/>
    <w:rsid w:val="00763B54"/>
    <w:rsid w:val="00765BB1"/>
    <w:rsid w:val="007665C1"/>
    <w:rsid w:val="00767589"/>
    <w:rsid w:val="007704B3"/>
    <w:rsid w:val="00770E40"/>
    <w:rsid w:val="0077110E"/>
    <w:rsid w:val="00771682"/>
    <w:rsid w:val="00771CD0"/>
    <w:rsid w:val="007725D5"/>
    <w:rsid w:val="007738F0"/>
    <w:rsid w:val="0077737F"/>
    <w:rsid w:val="00777760"/>
    <w:rsid w:val="0078420F"/>
    <w:rsid w:val="007852CE"/>
    <w:rsid w:val="007853BB"/>
    <w:rsid w:val="00786075"/>
    <w:rsid w:val="00791EA9"/>
    <w:rsid w:val="00791EBC"/>
    <w:rsid w:val="00793F85"/>
    <w:rsid w:val="00797051"/>
    <w:rsid w:val="007A0A5F"/>
    <w:rsid w:val="007A2A28"/>
    <w:rsid w:val="007A41A6"/>
    <w:rsid w:val="007A6CE2"/>
    <w:rsid w:val="007A7842"/>
    <w:rsid w:val="007A7F92"/>
    <w:rsid w:val="007B0722"/>
    <w:rsid w:val="007B1DC6"/>
    <w:rsid w:val="007B35EC"/>
    <w:rsid w:val="007B35F2"/>
    <w:rsid w:val="007B583C"/>
    <w:rsid w:val="007B62BF"/>
    <w:rsid w:val="007B6B17"/>
    <w:rsid w:val="007B7AD3"/>
    <w:rsid w:val="007C0C66"/>
    <w:rsid w:val="007C27B1"/>
    <w:rsid w:val="007C5685"/>
    <w:rsid w:val="007C629D"/>
    <w:rsid w:val="007D387D"/>
    <w:rsid w:val="007D3C39"/>
    <w:rsid w:val="007D521C"/>
    <w:rsid w:val="007D7221"/>
    <w:rsid w:val="007D75C4"/>
    <w:rsid w:val="007E0D3B"/>
    <w:rsid w:val="007E0F66"/>
    <w:rsid w:val="007E1078"/>
    <w:rsid w:val="007E4136"/>
    <w:rsid w:val="007E4A6F"/>
    <w:rsid w:val="007E6445"/>
    <w:rsid w:val="007F101D"/>
    <w:rsid w:val="007F1490"/>
    <w:rsid w:val="007F1689"/>
    <w:rsid w:val="007F1CF4"/>
    <w:rsid w:val="007F26C1"/>
    <w:rsid w:val="007F3412"/>
    <w:rsid w:val="007F5243"/>
    <w:rsid w:val="007F5D60"/>
    <w:rsid w:val="007F61A4"/>
    <w:rsid w:val="007F72AA"/>
    <w:rsid w:val="007F7ED0"/>
    <w:rsid w:val="0080012D"/>
    <w:rsid w:val="00801A76"/>
    <w:rsid w:val="00804577"/>
    <w:rsid w:val="00804F5B"/>
    <w:rsid w:val="00805A85"/>
    <w:rsid w:val="00810F75"/>
    <w:rsid w:val="0081168F"/>
    <w:rsid w:val="0081235D"/>
    <w:rsid w:val="00815519"/>
    <w:rsid w:val="00815D02"/>
    <w:rsid w:val="00820DA5"/>
    <w:rsid w:val="0082256B"/>
    <w:rsid w:val="0082270A"/>
    <w:rsid w:val="008229F3"/>
    <w:rsid w:val="008239BE"/>
    <w:rsid w:val="0082668A"/>
    <w:rsid w:val="00827C95"/>
    <w:rsid w:val="00827FA3"/>
    <w:rsid w:val="00830D5E"/>
    <w:rsid w:val="00831EA2"/>
    <w:rsid w:val="00832F7C"/>
    <w:rsid w:val="00833A71"/>
    <w:rsid w:val="00835A29"/>
    <w:rsid w:val="00836D30"/>
    <w:rsid w:val="008378F9"/>
    <w:rsid w:val="008405FE"/>
    <w:rsid w:val="008406C3"/>
    <w:rsid w:val="0084280D"/>
    <w:rsid w:val="00842F89"/>
    <w:rsid w:val="00843E4C"/>
    <w:rsid w:val="00844BE5"/>
    <w:rsid w:val="00845824"/>
    <w:rsid w:val="00845EA5"/>
    <w:rsid w:val="008465D8"/>
    <w:rsid w:val="008472CF"/>
    <w:rsid w:val="00847991"/>
    <w:rsid w:val="00850478"/>
    <w:rsid w:val="00850636"/>
    <w:rsid w:val="00850C3D"/>
    <w:rsid w:val="0085650C"/>
    <w:rsid w:val="0085714D"/>
    <w:rsid w:val="00860190"/>
    <w:rsid w:val="008616D4"/>
    <w:rsid w:val="00861D53"/>
    <w:rsid w:val="00863009"/>
    <w:rsid w:val="00863289"/>
    <w:rsid w:val="0086462B"/>
    <w:rsid w:val="00864B0C"/>
    <w:rsid w:val="00864BDA"/>
    <w:rsid w:val="00864D94"/>
    <w:rsid w:val="0086504E"/>
    <w:rsid w:val="00865E7A"/>
    <w:rsid w:val="008664C3"/>
    <w:rsid w:val="008668DE"/>
    <w:rsid w:val="00866964"/>
    <w:rsid w:val="008674F7"/>
    <w:rsid w:val="008715B9"/>
    <w:rsid w:val="008717EC"/>
    <w:rsid w:val="00871ECD"/>
    <w:rsid w:val="00873C1F"/>
    <w:rsid w:val="00874968"/>
    <w:rsid w:val="00876676"/>
    <w:rsid w:val="008768DC"/>
    <w:rsid w:val="00876DFB"/>
    <w:rsid w:val="0088420F"/>
    <w:rsid w:val="00891172"/>
    <w:rsid w:val="00894895"/>
    <w:rsid w:val="00895BC4"/>
    <w:rsid w:val="008960BF"/>
    <w:rsid w:val="00897C5D"/>
    <w:rsid w:val="00897DFF"/>
    <w:rsid w:val="008A1097"/>
    <w:rsid w:val="008A14EF"/>
    <w:rsid w:val="008A38BB"/>
    <w:rsid w:val="008A3F62"/>
    <w:rsid w:val="008A5E46"/>
    <w:rsid w:val="008A64DC"/>
    <w:rsid w:val="008A687E"/>
    <w:rsid w:val="008B0890"/>
    <w:rsid w:val="008B1E04"/>
    <w:rsid w:val="008B22D4"/>
    <w:rsid w:val="008B22D5"/>
    <w:rsid w:val="008B2E57"/>
    <w:rsid w:val="008B5102"/>
    <w:rsid w:val="008C0499"/>
    <w:rsid w:val="008C1730"/>
    <w:rsid w:val="008C5B5B"/>
    <w:rsid w:val="008C5D61"/>
    <w:rsid w:val="008C7786"/>
    <w:rsid w:val="008D2547"/>
    <w:rsid w:val="008D371D"/>
    <w:rsid w:val="008D3D2E"/>
    <w:rsid w:val="008D50F9"/>
    <w:rsid w:val="008D6705"/>
    <w:rsid w:val="008E13B5"/>
    <w:rsid w:val="008E1ABD"/>
    <w:rsid w:val="008E5EED"/>
    <w:rsid w:val="008E6FFD"/>
    <w:rsid w:val="008F03EB"/>
    <w:rsid w:val="008F3454"/>
    <w:rsid w:val="008F37B2"/>
    <w:rsid w:val="008F38A9"/>
    <w:rsid w:val="008F66FE"/>
    <w:rsid w:val="008F7F67"/>
    <w:rsid w:val="009004B7"/>
    <w:rsid w:val="0090242E"/>
    <w:rsid w:val="00905F8B"/>
    <w:rsid w:val="0090616D"/>
    <w:rsid w:val="009078ED"/>
    <w:rsid w:val="00910F25"/>
    <w:rsid w:val="0091167E"/>
    <w:rsid w:val="00911A78"/>
    <w:rsid w:val="00912496"/>
    <w:rsid w:val="00912DB4"/>
    <w:rsid w:val="00913EEE"/>
    <w:rsid w:val="0091423B"/>
    <w:rsid w:val="00915332"/>
    <w:rsid w:val="009207F9"/>
    <w:rsid w:val="00920F9F"/>
    <w:rsid w:val="009217C2"/>
    <w:rsid w:val="00922E01"/>
    <w:rsid w:val="0092342E"/>
    <w:rsid w:val="00923B3A"/>
    <w:rsid w:val="0092435D"/>
    <w:rsid w:val="00926E74"/>
    <w:rsid w:val="00927D18"/>
    <w:rsid w:val="009311D9"/>
    <w:rsid w:val="00931223"/>
    <w:rsid w:val="0093247C"/>
    <w:rsid w:val="009329B5"/>
    <w:rsid w:val="00933207"/>
    <w:rsid w:val="00933D78"/>
    <w:rsid w:val="009348EA"/>
    <w:rsid w:val="00936646"/>
    <w:rsid w:val="00936A8E"/>
    <w:rsid w:val="00936D86"/>
    <w:rsid w:val="00937BA3"/>
    <w:rsid w:val="00940DC5"/>
    <w:rsid w:val="00941894"/>
    <w:rsid w:val="009433DA"/>
    <w:rsid w:val="00944F60"/>
    <w:rsid w:val="009455E3"/>
    <w:rsid w:val="00946560"/>
    <w:rsid w:val="009466AA"/>
    <w:rsid w:val="009501D4"/>
    <w:rsid w:val="00950B0D"/>
    <w:rsid w:val="00953BB3"/>
    <w:rsid w:val="00953FF1"/>
    <w:rsid w:val="00954237"/>
    <w:rsid w:val="00954F9B"/>
    <w:rsid w:val="009558A3"/>
    <w:rsid w:val="00961B32"/>
    <w:rsid w:val="009658E4"/>
    <w:rsid w:val="00965BCE"/>
    <w:rsid w:val="00966100"/>
    <w:rsid w:val="009672FC"/>
    <w:rsid w:val="00975F24"/>
    <w:rsid w:val="00976399"/>
    <w:rsid w:val="009771B3"/>
    <w:rsid w:val="00977986"/>
    <w:rsid w:val="009804BA"/>
    <w:rsid w:val="009817BF"/>
    <w:rsid w:val="00981D5E"/>
    <w:rsid w:val="00981DA1"/>
    <w:rsid w:val="009823B1"/>
    <w:rsid w:val="00985C49"/>
    <w:rsid w:val="009878FA"/>
    <w:rsid w:val="00987D0D"/>
    <w:rsid w:val="009902F3"/>
    <w:rsid w:val="00990E0E"/>
    <w:rsid w:val="00992C80"/>
    <w:rsid w:val="0099487A"/>
    <w:rsid w:val="00994DCA"/>
    <w:rsid w:val="00996D69"/>
    <w:rsid w:val="00997E47"/>
    <w:rsid w:val="009A10AA"/>
    <w:rsid w:val="009A1EF5"/>
    <w:rsid w:val="009A2A8D"/>
    <w:rsid w:val="009A2BCC"/>
    <w:rsid w:val="009A2F9E"/>
    <w:rsid w:val="009A3516"/>
    <w:rsid w:val="009A6EBF"/>
    <w:rsid w:val="009A7155"/>
    <w:rsid w:val="009A7293"/>
    <w:rsid w:val="009A76FC"/>
    <w:rsid w:val="009A7E88"/>
    <w:rsid w:val="009B0E28"/>
    <w:rsid w:val="009B7BC8"/>
    <w:rsid w:val="009C0965"/>
    <w:rsid w:val="009C15FA"/>
    <w:rsid w:val="009C2A7D"/>
    <w:rsid w:val="009C31E1"/>
    <w:rsid w:val="009C32E9"/>
    <w:rsid w:val="009C397C"/>
    <w:rsid w:val="009C39B9"/>
    <w:rsid w:val="009C5A7D"/>
    <w:rsid w:val="009C64EE"/>
    <w:rsid w:val="009C7794"/>
    <w:rsid w:val="009D0E87"/>
    <w:rsid w:val="009D160F"/>
    <w:rsid w:val="009D207F"/>
    <w:rsid w:val="009D6C29"/>
    <w:rsid w:val="009D7078"/>
    <w:rsid w:val="009D767D"/>
    <w:rsid w:val="009E024A"/>
    <w:rsid w:val="009E41C2"/>
    <w:rsid w:val="009E459B"/>
    <w:rsid w:val="009F1019"/>
    <w:rsid w:val="009F2AAA"/>
    <w:rsid w:val="009F3494"/>
    <w:rsid w:val="009F3782"/>
    <w:rsid w:val="009F4C9A"/>
    <w:rsid w:val="009F616E"/>
    <w:rsid w:val="009F7874"/>
    <w:rsid w:val="00A00FCF"/>
    <w:rsid w:val="00A01258"/>
    <w:rsid w:val="00A0253B"/>
    <w:rsid w:val="00A03354"/>
    <w:rsid w:val="00A03C99"/>
    <w:rsid w:val="00A03EC5"/>
    <w:rsid w:val="00A04B66"/>
    <w:rsid w:val="00A053D1"/>
    <w:rsid w:val="00A06096"/>
    <w:rsid w:val="00A07E3E"/>
    <w:rsid w:val="00A1377D"/>
    <w:rsid w:val="00A14EAE"/>
    <w:rsid w:val="00A15E1B"/>
    <w:rsid w:val="00A203FD"/>
    <w:rsid w:val="00A21D9C"/>
    <w:rsid w:val="00A259DB"/>
    <w:rsid w:val="00A33028"/>
    <w:rsid w:val="00A3354C"/>
    <w:rsid w:val="00A33850"/>
    <w:rsid w:val="00A3428C"/>
    <w:rsid w:val="00A35932"/>
    <w:rsid w:val="00A35A1C"/>
    <w:rsid w:val="00A369CE"/>
    <w:rsid w:val="00A37115"/>
    <w:rsid w:val="00A430D6"/>
    <w:rsid w:val="00A4703F"/>
    <w:rsid w:val="00A47983"/>
    <w:rsid w:val="00A50CC7"/>
    <w:rsid w:val="00A522FA"/>
    <w:rsid w:val="00A52C55"/>
    <w:rsid w:val="00A548BC"/>
    <w:rsid w:val="00A54E23"/>
    <w:rsid w:val="00A56942"/>
    <w:rsid w:val="00A56A60"/>
    <w:rsid w:val="00A61B56"/>
    <w:rsid w:val="00A63BE3"/>
    <w:rsid w:val="00A67DAC"/>
    <w:rsid w:val="00A700F8"/>
    <w:rsid w:val="00A705DB"/>
    <w:rsid w:val="00A70BED"/>
    <w:rsid w:val="00A73CCA"/>
    <w:rsid w:val="00A754D9"/>
    <w:rsid w:val="00A75AC9"/>
    <w:rsid w:val="00A76129"/>
    <w:rsid w:val="00A761A4"/>
    <w:rsid w:val="00A76671"/>
    <w:rsid w:val="00A76EEF"/>
    <w:rsid w:val="00A76FE5"/>
    <w:rsid w:val="00A77C02"/>
    <w:rsid w:val="00A802A3"/>
    <w:rsid w:val="00A809A4"/>
    <w:rsid w:val="00A81023"/>
    <w:rsid w:val="00A83B45"/>
    <w:rsid w:val="00A843F0"/>
    <w:rsid w:val="00A84DE4"/>
    <w:rsid w:val="00A8583A"/>
    <w:rsid w:val="00A90CAA"/>
    <w:rsid w:val="00A918E4"/>
    <w:rsid w:val="00A91B7B"/>
    <w:rsid w:val="00A9370D"/>
    <w:rsid w:val="00A93E0E"/>
    <w:rsid w:val="00AA041C"/>
    <w:rsid w:val="00AA188B"/>
    <w:rsid w:val="00AA239A"/>
    <w:rsid w:val="00AA264C"/>
    <w:rsid w:val="00AA4C49"/>
    <w:rsid w:val="00AA6642"/>
    <w:rsid w:val="00AB21AF"/>
    <w:rsid w:val="00AB31D7"/>
    <w:rsid w:val="00AB5779"/>
    <w:rsid w:val="00AB5A9E"/>
    <w:rsid w:val="00AB5B4C"/>
    <w:rsid w:val="00AB6F05"/>
    <w:rsid w:val="00AB7C94"/>
    <w:rsid w:val="00AC1520"/>
    <w:rsid w:val="00AC3565"/>
    <w:rsid w:val="00AC35B7"/>
    <w:rsid w:val="00AC3601"/>
    <w:rsid w:val="00AC4200"/>
    <w:rsid w:val="00AC7AF4"/>
    <w:rsid w:val="00AC7C06"/>
    <w:rsid w:val="00AD024E"/>
    <w:rsid w:val="00AD28EF"/>
    <w:rsid w:val="00AD78C0"/>
    <w:rsid w:val="00AE3B72"/>
    <w:rsid w:val="00AE6D9E"/>
    <w:rsid w:val="00AE7FE1"/>
    <w:rsid w:val="00AF1D5B"/>
    <w:rsid w:val="00AF244E"/>
    <w:rsid w:val="00AF3222"/>
    <w:rsid w:val="00AF3C27"/>
    <w:rsid w:val="00AF4548"/>
    <w:rsid w:val="00AF47FE"/>
    <w:rsid w:val="00AF5CFF"/>
    <w:rsid w:val="00AF6A3D"/>
    <w:rsid w:val="00AF7E55"/>
    <w:rsid w:val="00B015BC"/>
    <w:rsid w:val="00B01F34"/>
    <w:rsid w:val="00B01FBA"/>
    <w:rsid w:val="00B03B05"/>
    <w:rsid w:val="00B060EB"/>
    <w:rsid w:val="00B11409"/>
    <w:rsid w:val="00B11699"/>
    <w:rsid w:val="00B16F39"/>
    <w:rsid w:val="00B17119"/>
    <w:rsid w:val="00B17F89"/>
    <w:rsid w:val="00B2092F"/>
    <w:rsid w:val="00B209B0"/>
    <w:rsid w:val="00B21486"/>
    <w:rsid w:val="00B21C98"/>
    <w:rsid w:val="00B21F0E"/>
    <w:rsid w:val="00B224A2"/>
    <w:rsid w:val="00B23EC8"/>
    <w:rsid w:val="00B24544"/>
    <w:rsid w:val="00B26BB0"/>
    <w:rsid w:val="00B270E1"/>
    <w:rsid w:val="00B3161A"/>
    <w:rsid w:val="00B344A5"/>
    <w:rsid w:val="00B3486F"/>
    <w:rsid w:val="00B34C6B"/>
    <w:rsid w:val="00B3582D"/>
    <w:rsid w:val="00B37508"/>
    <w:rsid w:val="00B37ACA"/>
    <w:rsid w:val="00B406F3"/>
    <w:rsid w:val="00B40F01"/>
    <w:rsid w:val="00B42863"/>
    <w:rsid w:val="00B457E6"/>
    <w:rsid w:val="00B45B35"/>
    <w:rsid w:val="00B5144C"/>
    <w:rsid w:val="00B5280C"/>
    <w:rsid w:val="00B5403F"/>
    <w:rsid w:val="00B54F8C"/>
    <w:rsid w:val="00B5575D"/>
    <w:rsid w:val="00B57E1F"/>
    <w:rsid w:val="00B60611"/>
    <w:rsid w:val="00B61AC3"/>
    <w:rsid w:val="00B63825"/>
    <w:rsid w:val="00B64AC5"/>
    <w:rsid w:val="00B652B0"/>
    <w:rsid w:val="00B67C5C"/>
    <w:rsid w:val="00B67E3F"/>
    <w:rsid w:val="00B701C3"/>
    <w:rsid w:val="00B70253"/>
    <w:rsid w:val="00B707FD"/>
    <w:rsid w:val="00B70BF1"/>
    <w:rsid w:val="00B7110A"/>
    <w:rsid w:val="00B718EE"/>
    <w:rsid w:val="00B71B6B"/>
    <w:rsid w:val="00B725E1"/>
    <w:rsid w:val="00B726AC"/>
    <w:rsid w:val="00B72E1B"/>
    <w:rsid w:val="00B73C7B"/>
    <w:rsid w:val="00B73EFC"/>
    <w:rsid w:val="00B751DE"/>
    <w:rsid w:val="00B814DD"/>
    <w:rsid w:val="00B81C8A"/>
    <w:rsid w:val="00B84AFD"/>
    <w:rsid w:val="00B84E0F"/>
    <w:rsid w:val="00B858E4"/>
    <w:rsid w:val="00B85CA1"/>
    <w:rsid w:val="00B85E6F"/>
    <w:rsid w:val="00B86666"/>
    <w:rsid w:val="00B8676E"/>
    <w:rsid w:val="00B86D28"/>
    <w:rsid w:val="00B87849"/>
    <w:rsid w:val="00B90761"/>
    <w:rsid w:val="00B91EC3"/>
    <w:rsid w:val="00B93F50"/>
    <w:rsid w:val="00B94F4F"/>
    <w:rsid w:val="00B9503A"/>
    <w:rsid w:val="00B951A5"/>
    <w:rsid w:val="00B96C13"/>
    <w:rsid w:val="00B97861"/>
    <w:rsid w:val="00B978DC"/>
    <w:rsid w:val="00BA015F"/>
    <w:rsid w:val="00BA23EE"/>
    <w:rsid w:val="00BA2500"/>
    <w:rsid w:val="00BA4A6B"/>
    <w:rsid w:val="00BA651C"/>
    <w:rsid w:val="00BA7229"/>
    <w:rsid w:val="00BB2BE9"/>
    <w:rsid w:val="00BB3225"/>
    <w:rsid w:val="00BB441F"/>
    <w:rsid w:val="00BB5AFD"/>
    <w:rsid w:val="00BB74D8"/>
    <w:rsid w:val="00BB771F"/>
    <w:rsid w:val="00BB772C"/>
    <w:rsid w:val="00BB78BB"/>
    <w:rsid w:val="00BC260E"/>
    <w:rsid w:val="00BC41F9"/>
    <w:rsid w:val="00BC460F"/>
    <w:rsid w:val="00BC5D70"/>
    <w:rsid w:val="00BC6E66"/>
    <w:rsid w:val="00BD06B4"/>
    <w:rsid w:val="00BD2550"/>
    <w:rsid w:val="00BD37C0"/>
    <w:rsid w:val="00BD43E6"/>
    <w:rsid w:val="00BD4A4A"/>
    <w:rsid w:val="00BD5DAB"/>
    <w:rsid w:val="00BD67C7"/>
    <w:rsid w:val="00BD6D36"/>
    <w:rsid w:val="00BE03A3"/>
    <w:rsid w:val="00BE1AD3"/>
    <w:rsid w:val="00BE1C65"/>
    <w:rsid w:val="00BE363C"/>
    <w:rsid w:val="00BE3DAC"/>
    <w:rsid w:val="00BE4703"/>
    <w:rsid w:val="00BE53FA"/>
    <w:rsid w:val="00BE6D0A"/>
    <w:rsid w:val="00BF0F0F"/>
    <w:rsid w:val="00BF1D3D"/>
    <w:rsid w:val="00BF2E60"/>
    <w:rsid w:val="00BF3201"/>
    <w:rsid w:val="00BF3322"/>
    <w:rsid w:val="00BF3DE4"/>
    <w:rsid w:val="00BF4B50"/>
    <w:rsid w:val="00BF58A0"/>
    <w:rsid w:val="00BF6500"/>
    <w:rsid w:val="00BF67BD"/>
    <w:rsid w:val="00BF6B65"/>
    <w:rsid w:val="00C00667"/>
    <w:rsid w:val="00C00779"/>
    <w:rsid w:val="00C0306F"/>
    <w:rsid w:val="00C03CED"/>
    <w:rsid w:val="00C060FD"/>
    <w:rsid w:val="00C1068C"/>
    <w:rsid w:val="00C10775"/>
    <w:rsid w:val="00C11A83"/>
    <w:rsid w:val="00C12A49"/>
    <w:rsid w:val="00C12F53"/>
    <w:rsid w:val="00C13BE1"/>
    <w:rsid w:val="00C16D4E"/>
    <w:rsid w:val="00C17814"/>
    <w:rsid w:val="00C2036A"/>
    <w:rsid w:val="00C21D8B"/>
    <w:rsid w:val="00C2362C"/>
    <w:rsid w:val="00C23C0D"/>
    <w:rsid w:val="00C24438"/>
    <w:rsid w:val="00C278CE"/>
    <w:rsid w:val="00C278DB"/>
    <w:rsid w:val="00C30277"/>
    <w:rsid w:val="00C33350"/>
    <w:rsid w:val="00C342A7"/>
    <w:rsid w:val="00C354C6"/>
    <w:rsid w:val="00C35948"/>
    <w:rsid w:val="00C36A59"/>
    <w:rsid w:val="00C37251"/>
    <w:rsid w:val="00C409DE"/>
    <w:rsid w:val="00C416AE"/>
    <w:rsid w:val="00C443CF"/>
    <w:rsid w:val="00C44C83"/>
    <w:rsid w:val="00C44D0B"/>
    <w:rsid w:val="00C45DA6"/>
    <w:rsid w:val="00C46798"/>
    <w:rsid w:val="00C508E4"/>
    <w:rsid w:val="00C509DF"/>
    <w:rsid w:val="00C50A17"/>
    <w:rsid w:val="00C50C13"/>
    <w:rsid w:val="00C532E0"/>
    <w:rsid w:val="00C53544"/>
    <w:rsid w:val="00C542DE"/>
    <w:rsid w:val="00C56B47"/>
    <w:rsid w:val="00C616A8"/>
    <w:rsid w:val="00C61C47"/>
    <w:rsid w:val="00C61F1B"/>
    <w:rsid w:val="00C63DC8"/>
    <w:rsid w:val="00C63F75"/>
    <w:rsid w:val="00C65208"/>
    <w:rsid w:val="00C6585D"/>
    <w:rsid w:val="00C74658"/>
    <w:rsid w:val="00C75B86"/>
    <w:rsid w:val="00C80206"/>
    <w:rsid w:val="00C812E6"/>
    <w:rsid w:val="00C812EC"/>
    <w:rsid w:val="00C82401"/>
    <w:rsid w:val="00C828C3"/>
    <w:rsid w:val="00C82F54"/>
    <w:rsid w:val="00C83B45"/>
    <w:rsid w:val="00C85787"/>
    <w:rsid w:val="00C858B1"/>
    <w:rsid w:val="00C859AE"/>
    <w:rsid w:val="00C8730A"/>
    <w:rsid w:val="00C91F09"/>
    <w:rsid w:val="00C92155"/>
    <w:rsid w:val="00C9244C"/>
    <w:rsid w:val="00C92A0B"/>
    <w:rsid w:val="00C94D73"/>
    <w:rsid w:val="00C96FAD"/>
    <w:rsid w:val="00C9789A"/>
    <w:rsid w:val="00CA0088"/>
    <w:rsid w:val="00CA2974"/>
    <w:rsid w:val="00CA2DC8"/>
    <w:rsid w:val="00CA3B11"/>
    <w:rsid w:val="00CA43FC"/>
    <w:rsid w:val="00CA5D70"/>
    <w:rsid w:val="00CB00A3"/>
    <w:rsid w:val="00CB2A72"/>
    <w:rsid w:val="00CB2AC5"/>
    <w:rsid w:val="00CB30B6"/>
    <w:rsid w:val="00CB4AA2"/>
    <w:rsid w:val="00CB66D6"/>
    <w:rsid w:val="00CB7DF9"/>
    <w:rsid w:val="00CC12D8"/>
    <w:rsid w:val="00CC17AB"/>
    <w:rsid w:val="00CC34FE"/>
    <w:rsid w:val="00CC44CB"/>
    <w:rsid w:val="00CC494D"/>
    <w:rsid w:val="00CC6868"/>
    <w:rsid w:val="00CD09F4"/>
    <w:rsid w:val="00CD28B2"/>
    <w:rsid w:val="00CD28CE"/>
    <w:rsid w:val="00CD6A7E"/>
    <w:rsid w:val="00CD6D74"/>
    <w:rsid w:val="00CD7675"/>
    <w:rsid w:val="00CD7FA7"/>
    <w:rsid w:val="00CE165A"/>
    <w:rsid w:val="00CE1EC0"/>
    <w:rsid w:val="00CE3346"/>
    <w:rsid w:val="00CE4047"/>
    <w:rsid w:val="00CE4AC9"/>
    <w:rsid w:val="00CE5771"/>
    <w:rsid w:val="00CE5E58"/>
    <w:rsid w:val="00CE6929"/>
    <w:rsid w:val="00CE6D3B"/>
    <w:rsid w:val="00CF17A2"/>
    <w:rsid w:val="00CF1B77"/>
    <w:rsid w:val="00CF38C7"/>
    <w:rsid w:val="00CF3DD9"/>
    <w:rsid w:val="00CF5C98"/>
    <w:rsid w:val="00CF61CF"/>
    <w:rsid w:val="00CF64C0"/>
    <w:rsid w:val="00CF65CE"/>
    <w:rsid w:val="00CF796E"/>
    <w:rsid w:val="00D00437"/>
    <w:rsid w:val="00D06A9B"/>
    <w:rsid w:val="00D06F13"/>
    <w:rsid w:val="00D104E7"/>
    <w:rsid w:val="00D11413"/>
    <w:rsid w:val="00D1678F"/>
    <w:rsid w:val="00D246A2"/>
    <w:rsid w:val="00D25302"/>
    <w:rsid w:val="00D256E4"/>
    <w:rsid w:val="00D300CE"/>
    <w:rsid w:val="00D30697"/>
    <w:rsid w:val="00D333A0"/>
    <w:rsid w:val="00D400F4"/>
    <w:rsid w:val="00D412F7"/>
    <w:rsid w:val="00D420B6"/>
    <w:rsid w:val="00D422D2"/>
    <w:rsid w:val="00D422DC"/>
    <w:rsid w:val="00D42534"/>
    <w:rsid w:val="00D42EE6"/>
    <w:rsid w:val="00D43B78"/>
    <w:rsid w:val="00D4557E"/>
    <w:rsid w:val="00D4649C"/>
    <w:rsid w:val="00D4759B"/>
    <w:rsid w:val="00D47C55"/>
    <w:rsid w:val="00D517DB"/>
    <w:rsid w:val="00D5199F"/>
    <w:rsid w:val="00D53230"/>
    <w:rsid w:val="00D53A27"/>
    <w:rsid w:val="00D5541D"/>
    <w:rsid w:val="00D56561"/>
    <w:rsid w:val="00D56623"/>
    <w:rsid w:val="00D5702E"/>
    <w:rsid w:val="00D5708D"/>
    <w:rsid w:val="00D616B9"/>
    <w:rsid w:val="00D62C37"/>
    <w:rsid w:val="00D631BD"/>
    <w:rsid w:val="00D63498"/>
    <w:rsid w:val="00D64BE5"/>
    <w:rsid w:val="00D667E5"/>
    <w:rsid w:val="00D70E6C"/>
    <w:rsid w:val="00D7245A"/>
    <w:rsid w:val="00D7273A"/>
    <w:rsid w:val="00D72E4A"/>
    <w:rsid w:val="00D740E5"/>
    <w:rsid w:val="00D75084"/>
    <w:rsid w:val="00D75302"/>
    <w:rsid w:val="00D756ED"/>
    <w:rsid w:val="00D76744"/>
    <w:rsid w:val="00D7794C"/>
    <w:rsid w:val="00D8109D"/>
    <w:rsid w:val="00D838F0"/>
    <w:rsid w:val="00D855B4"/>
    <w:rsid w:val="00D859AE"/>
    <w:rsid w:val="00D85A15"/>
    <w:rsid w:val="00D874FC"/>
    <w:rsid w:val="00D87834"/>
    <w:rsid w:val="00D9092C"/>
    <w:rsid w:val="00D918DD"/>
    <w:rsid w:val="00D9198E"/>
    <w:rsid w:val="00D933FB"/>
    <w:rsid w:val="00D93612"/>
    <w:rsid w:val="00D96E17"/>
    <w:rsid w:val="00D977C1"/>
    <w:rsid w:val="00DA020F"/>
    <w:rsid w:val="00DA1B51"/>
    <w:rsid w:val="00DA248A"/>
    <w:rsid w:val="00DA3339"/>
    <w:rsid w:val="00DA364F"/>
    <w:rsid w:val="00DA6208"/>
    <w:rsid w:val="00DA673E"/>
    <w:rsid w:val="00DA7694"/>
    <w:rsid w:val="00DB03CE"/>
    <w:rsid w:val="00DB0D10"/>
    <w:rsid w:val="00DB110F"/>
    <w:rsid w:val="00DB1C3A"/>
    <w:rsid w:val="00DB1F3D"/>
    <w:rsid w:val="00DB1F78"/>
    <w:rsid w:val="00DB2FB6"/>
    <w:rsid w:val="00DB5BA7"/>
    <w:rsid w:val="00DB6486"/>
    <w:rsid w:val="00DB7852"/>
    <w:rsid w:val="00DC0A94"/>
    <w:rsid w:val="00DC3953"/>
    <w:rsid w:val="00DC451E"/>
    <w:rsid w:val="00DC5FDD"/>
    <w:rsid w:val="00DC6C7F"/>
    <w:rsid w:val="00DC7860"/>
    <w:rsid w:val="00DD038C"/>
    <w:rsid w:val="00DD0F40"/>
    <w:rsid w:val="00DD11C7"/>
    <w:rsid w:val="00DD34D8"/>
    <w:rsid w:val="00DD3BA2"/>
    <w:rsid w:val="00DD54F7"/>
    <w:rsid w:val="00DD71D0"/>
    <w:rsid w:val="00DD7898"/>
    <w:rsid w:val="00DE1DF7"/>
    <w:rsid w:val="00DE3C72"/>
    <w:rsid w:val="00DE3CDB"/>
    <w:rsid w:val="00DE4602"/>
    <w:rsid w:val="00DE5114"/>
    <w:rsid w:val="00DE51DA"/>
    <w:rsid w:val="00DE58DB"/>
    <w:rsid w:val="00DF0DA2"/>
    <w:rsid w:val="00DF2069"/>
    <w:rsid w:val="00DF22EE"/>
    <w:rsid w:val="00DF27C9"/>
    <w:rsid w:val="00DF4094"/>
    <w:rsid w:val="00E00324"/>
    <w:rsid w:val="00E03E9C"/>
    <w:rsid w:val="00E0465B"/>
    <w:rsid w:val="00E051CB"/>
    <w:rsid w:val="00E056BE"/>
    <w:rsid w:val="00E06E89"/>
    <w:rsid w:val="00E074EB"/>
    <w:rsid w:val="00E07A9C"/>
    <w:rsid w:val="00E07C43"/>
    <w:rsid w:val="00E108CA"/>
    <w:rsid w:val="00E10BDB"/>
    <w:rsid w:val="00E149BB"/>
    <w:rsid w:val="00E1522B"/>
    <w:rsid w:val="00E207EC"/>
    <w:rsid w:val="00E2107A"/>
    <w:rsid w:val="00E217C7"/>
    <w:rsid w:val="00E24DB2"/>
    <w:rsid w:val="00E25127"/>
    <w:rsid w:val="00E25D8A"/>
    <w:rsid w:val="00E26404"/>
    <w:rsid w:val="00E27985"/>
    <w:rsid w:val="00E279CC"/>
    <w:rsid w:val="00E30AB4"/>
    <w:rsid w:val="00E310A4"/>
    <w:rsid w:val="00E322C8"/>
    <w:rsid w:val="00E3370C"/>
    <w:rsid w:val="00E35344"/>
    <w:rsid w:val="00E35EBC"/>
    <w:rsid w:val="00E371E5"/>
    <w:rsid w:val="00E400FD"/>
    <w:rsid w:val="00E40B21"/>
    <w:rsid w:val="00E42134"/>
    <w:rsid w:val="00E434FA"/>
    <w:rsid w:val="00E443D5"/>
    <w:rsid w:val="00E44677"/>
    <w:rsid w:val="00E44AD1"/>
    <w:rsid w:val="00E44BA1"/>
    <w:rsid w:val="00E452EB"/>
    <w:rsid w:val="00E454C8"/>
    <w:rsid w:val="00E459EA"/>
    <w:rsid w:val="00E45E69"/>
    <w:rsid w:val="00E50CF6"/>
    <w:rsid w:val="00E52CFB"/>
    <w:rsid w:val="00E546AF"/>
    <w:rsid w:val="00E55361"/>
    <w:rsid w:val="00E56567"/>
    <w:rsid w:val="00E56B6F"/>
    <w:rsid w:val="00E61F3E"/>
    <w:rsid w:val="00E6409F"/>
    <w:rsid w:val="00E65329"/>
    <w:rsid w:val="00E671F4"/>
    <w:rsid w:val="00E67313"/>
    <w:rsid w:val="00E70184"/>
    <w:rsid w:val="00E71134"/>
    <w:rsid w:val="00E71140"/>
    <w:rsid w:val="00E719CB"/>
    <w:rsid w:val="00E75A52"/>
    <w:rsid w:val="00E771AA"/>
    <w:rsid w:val="00E80D16"/>
    <w:rsid w:val="00E83323"/>
    <w:rsid w:val="00E86830"/>
    <w:rsid w:val="00E87778"/>
    <w:rsid w:val="00E91F0F"/>
    <w:rsid w:val="00E92FF5"/>
    <w:rsid w:val="00E942D2"/>
    <w:rsid w:val="00E97104"/>
    <w:rsid w:val="00EA2739"/>
    <w:rsid w:val="00EA3A73"/>
    <w:rsid w:val="00EA3D7F"/>
    <w:rsid w:val="00EA40AE"/>
    <w:rsid w:val="00EA44FC"/>
    <w:rsid w:val="00EA5E50"/>
    <w:rsid w:val="00EA622E"/>
    <w:rsid w:val="00EB04FD"/>
    <w:rsid w:val="00EB2215"/>
    <w:rsid w:val="00EB2CF1"/>
    <w:rsid w:val="00EB4EF5"/>
    <w:rsid w:val="00EB5F68"/>
    <w:rsid w:val="00EB6DAB"/>
    <w:rsid w:val="00EB6F0F"/>
    <w:rsid w:val="00EB7073"/>
    <w:rsid w:val="00EB7801"/>
    <w:rsid w:val="00EC02D2"/>
    <w:rsid w:val="00EC1019"/>
    <w:rsid w:val="00EC1C40"/>
    <w:rsid w:val="00EC4BFE"/>
    <w:rsid w:val="00EC5474"/>
    <w:rsid w:val="00EC7657"/>
    <w:rsid w:val="00ED06F9"/>
    <w:rsid w:val="00ED2353"/>
    <w:rsid w:val="00ED2DD6"/>
    <w:rsid w:val="00ED32DE"/>
    <w:rsid w:val="00ED354C"/>
    <w:rsid w:val="00ED5711"/>
    <w:rsid w:val="00ED7CF3"/>
    <w:rsid w:val="00EE395C"/>
    <w:rsid w:val="00EE3A3F"/>
    <w:rsid w:val="00EE48C3"/>
    <w:rsid w:val="00EE4BCB"/>
    <w:rsid w:val="00EE5EB6"/>
    <w:rsid w:val="00EE63B5"/>
    <w:rsid w:val="00EE75BF"/>
    <w:rsid w:val="00EF04A1"/>
    <w:rsid w:val="00EF05A4"/>
    <w:rsid w:val="00EF0FD9"/>
    <w:rsid w:val="00EF255E"/>
    <w:rsid w:val="00EF36FE"/>
    <w:rsid w:val="00EF475E"/>
    <w:rsid w:val="00EF561C"/>
    <w:rsid w:val="00F006AD"/>
    <w:rsid w:val="00F00BAB"/>
    <w:rsid w:val="00F03FCD"/>
    <w:rsid w:val="00F05C63"/>
    <w:rsid w:val="00F12F17"/>
    <w:rsid w:val="00F15A28"/>
    <w:rsid w:val="00F15A9A"/>
    <w:rsid w:val="00F22168"/>
    <w:rsid w:val="00F23A1D"/>
    <w:rsid w:val="00F23BA7"/>
    <w:rsid w:val="00F2778F"/>
    <w:rsid w:val="00F27892"/>
    <w:rsid w:val="00F31046"/>
    <w:rsid w:val="00F34A53"/>
    <w:rsid w:val="00F35E28"/>
    <w:rsid w:val="00F37322"/>
    <w:rsid w:val="00F37E23"/>
    <w:rsid w:val="00F42EFF"/>
    <w:rsid w:val="00F443D4"/>
    <w:rsid w:val="00F458D9"/>
    <w:rsid w:val="00F472B0"/>
    <w:rsid w:val="00F512AD"/>
    <w:rsid w:val="00F6151C"/>
    <w:rsid w:val="00F63A10"/>
    <w:rsid w:val="00F700A2"/>
    <w:rsid w:val="00F70D58"/>
    <w:rsid w:val="00F74C5F"/>
    <w:rsid w:val="00F75668"/>
    <w:rsid w:val="00F75887"/>
    <w:rsid w:val="00F80074"/>
    <w:rsid w:val="00F83479"/>
    <w:rsid w:val="00F83C66"/>
    <w:rsid w:val="00F84AF3"/>
    <w:rsid w:val="00F85220"/>
    <w:rsid w:val="00F85E6A"/>
    <w:rsid w:val="00F87A3F"/>
    <w:rsid w:val="00F90FB4"/>
    <w:rsid w:val="00F91393"/>
    <w:rsid w:val="00F92801"/>
    <w:rsid w:val="00F93351"/>
    <w:rsid w:val="00F95B3D"/>
    <w:rsid w:val="00F95CD5"/>
    <w:rsid w:val="00F96069"/>
    <w:rsid w:val="00FA0910"/>
    <w:rsid w:val="00FA0C26"/>
    <w:rsid w:val="00FA1693"/>
    <w:rsid w:val="00FA4E67"/>
    <w:rsid w:val="00FA5488"/>
    <w:rsid w:val="00FA7CFC"/>
    <w:rsid w:val="00FB0197"/>
    <w:rsid w:val="00FB1642"/>
    <w:rsid w:val="00FB1B74"/>
    <w:rsid w:val="00FB2A1A"/>
    <w:rsid w:val="00FB374E"/>
    <w:rsid w:val="00FB46B2"/>
    <w:rsid w:val="00FB4E21"/>
    <w:rsid w:val="00FB4E48"/>
    <w:rsid w:val="00FB751A"/>
    <w:rsid w:val="00FC1B1C"/>
    <w:rsid w:val="00FC25A2"/>
    <w:rsid w:val="00FC2E2F"/>
    <w:rsid w:val="00FC3133"/>
    <w:rsid w:val="00FC4921"/>
    <w:rsid w:val="00FC4BB9"/>
    <w:rsid w:val="00FC5883"/>
    <w:rsid w:val="00FD0EBC"/>
    <w:rsid w:val="00FD1A8F"/>
    <w:rsid w:val="00FD57C0"/>
    <w:rsid w:val="00FD593E"/>
    <w:rsid w:val="00FD5A63"/>
    <w:rsid w:val="00FD6617"/>
    <w:rsid w:val="00FD6BD2"/>
    <w:rsid w:val="00FD7489"/>
    <w:rsid w:val="00FE028A"/>
    <w:rsid w:val="00FE059D"/>
    <w:rsid w:val="00FE0787"/>
    <w:rsid w:val="00FE2FEC"/>
    <w:rsid w:val="00FE40F7"/>
    <w:rsid w:val="00FE4252"/>
    <w:rsid w:val="00FE6A04"/>
    <w:rsid w:val="00FE6D52"/>
    <w:rsid w:val="00FE77F9"/>
    <w:rsid w:val="00FE7A9E"/>
    <w:rsid w:val="00FF0C5B"/>
    <w:rsid w:val="00FF254C"/>
    <w:rsid w:val="00FF2C4A"/>
    <w:rsid w:val="00FF35E5"/>
    <w:rsid w:val="00FF3E34"/>
    <w:rsid w:val="00FF50BE"/>
    <w:rsid w:val="00FF5719"/>
    <w:rsid w:val="00FF573D"/>
    <w:rsid w:val="00FF6F3E"/>
    <w:rsid w:val="00FF6F56"/>
    <w:rsid w:val="00FF74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EE4C8"/>
  <w15:docId w15:val="{B544EF55-7F68-423B-B666-AA47FB3A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06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02C92"/>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unhideWhenUsed/>
    <w:qFormat/>
    <w:rsid w:val="00BD06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BC"/>
    <w:rPr>
      <w:color w:val="0000FF" w:themeColor="hyperlink"/>
      <w:u w:val="single"/>
    </w:rPr>
  </w:style>
  <w:style w:type="paragraph" w:customStyle="1" w:styleId="Default">
    <w:name w:val="Default"/>
    <w:rsid w:val="00A548BC"/>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1120A2"/>
    <w:pPr>
      <w:ind w:left="720"/>
      <w:contextualSpacing/>
    </w:pPr>
  </w:style>
  <w:style w:type="paragraph" w:styleId="NormalWeb">
    <w:name w:val="Normal (Web)"/>
    <w:basedOn w:val="Normal"/>
    <w:uiPriority w:val="99"/>
    <w:semiHidden/>
    <w:unhideWhenUsed/>
    <w:rsid w:val="00025A87"/>
    <w:pPr>
      <w:spacing w:before="100" w:beforeAutospacing="1" w:after="100" w:afterAutospacing="1"/>
    </w:pPr>
    <w:rPr>
      <w:rFonts w:ascii="Times" w:hAnsi="Times" w:cs="Times New Roman"/>
      <w:i/>
      <w:iCs/>
      <w:sz w:val="20"/>
      <w:szCs w:val="20"/>
      <w:lang w:val="en-GB"/>
    </w:rPr>
  </w:style>
  <w:style w:type="paragraph" w:styleId="FootnoteText">
    <w:name w:val="footnote text"/>
    <w:basedOn w:val="Normal"/>
    <w:link w:val="FootnoteTextChar"/>
    <w:uiPriority w:val="99"/>
    <w:unhideWhenUsed/>
    <w:rsid w:val="00413BC3"/>
  </w:style>
  <w:style w:type="character" w:customStyle="1" w:styleId="FootnoteTextChar">
    <w:name w:val="Footnote Text Char"/>
    <w:basedOn w:val="DefaultParagraphFont"/>
    <w:link w:val="FootnoteText"/>
    <w:uiPriority w:val="99"/>
    <w:rsid w:val="00413BC3"/>
  </w:style>
  <w:style w:type="character" w:styleId="FootnoteReference">
    <w:name w:val="footnote reference"/>
    <w:basedOn w:val="DefaultParagraphFont"/>
    <w:uiPriority w:val="99"/>
    <w:unhideWhenUsed/>
    <w:rsid w:val="00413BC3"/>
    <w:rPr>
      <w:vertAlign w:val="superscript"/>
    </w:rPr>
  </w:style>
  <w:style w:type="character" w:customStyle="1" w:styleId="apple-converted-space">
    <w:name w:val="apple-converted-space"/>
    <w:basedOn w:val="DefaultParagraphFont"/>
    <w:rsid w:val="00EA5E50"/>
  </w:style>
  <w:style w:type="character" w:customStyle="1" w:styleId="Heading2Char">
    <w:name w:val="Heading 2 Char"/>
    <w:basedOn w:val="DefaultParagraphFont"/>
    <w:link w:val="Heading2"/>
    <w:uiPriority w:val="9"/>
    <w:rsid w:val="00402C92"/>
    <w:rPr>
      <w:rFonts w:ascii="Times" w:hAnsi="Times"/>
      <w:b/>
      <w:bCs/>
      <w:sz w:val="36"/>
      <w:szCs w:val="36"/>
      <w:lang w:val="en-GB"/>
    </w:rPr>
  </w:style>
  <w:style w:type="character" w:customStyle="1" w:styleId="Heading3Char">
    <w:name w:val="Heading 3 Char"/>
    <w:basedOn w:val="DefaultParagraphFont"/>
    <w:link w:val="Heading3"/>
    <w:uiPriority w:val="9"/>
    <w:rsid w:val="00BD06B4"/>
    <w:rPr>
      <w:rFonts w:asciiTheme="majorHAnsi" w:eastAsiaTheme="majorEastAsia" w:hAnsiTheme="majorHAnsi" w:cstheme="majorBidi"/>
      <w:b/>
      <w:bCs/>
      <w:color w:val="4F81BD" w:themeColor="accent1"/>
    </w:rPr>
  </w:style>
  <w:style w:type="paragraph" w:customStyle="1" w:styleId="journalcite">
    <w:name w:val="journalcite"/>
    <w:basedOn w:val="Normal"/>
    <w:rsid w:val="00BD06B4"/>
    <w:pPr>
      <w:spacing w:before="100" w:beforeAutospacing="1" w:after="100" w:afterAutospacing="1"/>
    </w:pPr>
    <w:rPr>
      <w:rFonts w:ascii="Times" w:hAnsi="Times"/>
      <w:sz w:val="20"/>
      <w:szCs w:val="20"/>
      <w:lang w:val="en-GB"/>
    </w:rPr>
  </w:style>
  <w:style w:type="character" w:customStyle="1" w:styleId="Heading1Char">
    <w:name w:val="Heading 1 Char"/>
    <w:basedOn w:val="DefaultParagraphFont"/>
    <w:link w:val="Heading1"/>
    <w:uiPriority w:val="9"/>
    <w:rsid w:val="00BD06B4"/>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BD06B4"/>
    <w:rPr>
      <w:b/>
      <w:bCs/>
    </w:rPr>
  </w:style>
  <w:style w:type="character" w:customStyle="1" w:styleId="hit">
    <w:name w:val="hit"/>
    <w:basedOn w:val="DefaultParagraphFont"/>
    <w:rsid w:val="005D692F"/>
  </w:style>
  <w:style w:type="character" w:customStyle="1" w:styleId="contrib">
    <w:name w:val="contrib"/>
    <w:basedOn w:val="DefaultParagraphFont"/>
    <w:rsid w:val="005D692F"/>
  </w:style>
  <w:style w:type="character" w:customStyle="1" w:styleId="ro">
    <w:name w:val="ro"/>
    <w:basedOn w:val="DefaultParagraphFont"/>
    <w:rsid w:val="005D692F"/>
  </w:style>
  <w:style w:type="character" w:customStyle="1" w:styleId="nlmarticle-title">
    <w:name w:val="nlm_article-title"/>
    <w:basedOn w:val="DefaultParagraphFont"/>
    <w:rsid w:val="00C24438"/>
  </w:style>
  <w:style w:type="character" w:styleId="FollowedHyperlink">
    <w:name w:val="FollowedHyperlink"/>
    <w:basedOn w:val="DefaultParagraphFont"/>
    <w:uiPriority w:val="99"/>
    <w:semiHidden/>
    <w:unhideWhenUsed/>
    <w:rsid w:val="00226253"/>
    <w:rPr>
      <w:color w:val="800080" w:themeColor="followedHyperlink"/>
      <w:u w:val="single"/>
    </w:rPr>
  </w:style>
  <w:style w:type="table" w:styleId="TableGrid">
    <w:name w:val="Table Grid"/>
    <w:basedOn w:val="TableNormal"/>
    <w:uiPriority w:val="59"/>
    <w:rsid w:val="0059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29"/>
    <w:rPr>
      <w:rFonts w:ascii="Segoe UI" w:hAnsi="Segoe UI" w:cs="Segoe UI"/>
      <w:sz w:val="18"/>
      <w:szCs w:val="18"/>
    </w:rPr>
  </w:style>
  <w:style w:type="paragraph" w:styleId="Revision">
    <w:name w:val="Revision"/>
    <w:hidden/>
    <w:uiPriority w:val="99"/>
    <w:semiHidden/>
    <w:rsid w:val="0012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390">
      <w:bodyDiv w:val="1"/>
      <w:marLeft w:val="0"/>
      <w:marRight w:val="0"/>
      <w:marTop w:val="0"/>
      <w:marBottom w:val="0"/>
      <w:divBdr>
        <w:top w:val="none" w:sz="0" w:space="0" w:color="auto"/>
        <w:left w:val="none" w:sz="0" w:space="0" w:color="auto"/>
        <w:bottom w:val="none" w:sz="0" w:space="0" w:color="auto"/>
        <w:right w:val="none" w:sz="0" w:space="0" w:color="auto"/>
      </w:divBdr>
    </w:div>
    <w:div w:id="78871735">
      <w:bodyDiv w:val="1"/>
      <w:marLeft w:val="0"/>
      <w:marRight w:val="0"/>
      <w:marTop w:val="0"/>
      <w:marBottom w:val="0"/>
      <w:divBdr>
        <w:top w:val="none" w:sz="0" w:space="0" w:color="auto"/>
        <w:left w:val="none" w:sz="0" w:space="0" w:color="auto"/>
        <w:bottom w:val="none" w:sz="0" w:space="0" w:color="auto"/>
        <w:right w:val="none" w:sz="0" w:space="0" w:color="auto"/>
      </w:divBdr>
      <w:divsChild>
        <w:div w:id="746879883">
          <w:marLeft w:val="0"/>
          <w:marRight w:val="0"/>
          <w:marTop w:val="0"/>
          <w:marBottom w:val="0"/>
          <w:divBdr>
            <w:top w:val="none" w:sz="0" w:space="0" w:color="auto"/>
            <w:left w:val="none" w:sz="0" w:space="0" w:color="auto"/>
            <w:bottom w:val="none" w:sz="0" w:space="0" w:color="auto"/>
            <w:right w:val="none" w:sz="0" w:space="0" w:color="auto"/>
          </w:divBdr>
        </w:div>
        <w:div w:id="1072585942">
          <w:marLeft w:val="0"/>
          <w:marRight w:val="0"/>
          <w:marTop w:val="0"/>
          <w:marBottom w:val="0"/>
          <w:divBdr>
            <w:top w:val="none" w:sz="0" w:space="0" w:color="auto"/>
            <w:left w:val="none" w:sz="0" w:space="0" w:color="auto"/>
            <w:bottom w:val="none" w:sz="0" w:space="0" w:color="auto"/>
            <w:right w:val="none" w:sz="0" w:space="0" w:color="auto"/>
          </w:divBdr>
        </w:div>
        <w:div w:id="675309752">
          <w:marLeft w:val="0"/>
          <w:marRight w:val="0"/>
          <w:marTop w:val="0"/>
          <w:marBottom w:val="0"/>
          <w:divBdr>
            <w:top w:val="none" w:sz="0" w:space="0" w:color="auto"/>
            <w:left w:val="none" w:sz="0" w:space="0" w:color="auto"/>
            <w:bottom w:val="none" w:sz="0" w:space="0" w:color="auto"/>
            <w:right w:val="none" w:sz="0" w:space="0" w:color="auto"/>
          </w:divBdr>
        </w:div>
      </w:divsChild>
    </w:div>
    <w:div w:id="97063219">
      <w:bodyDiv w:val="1"/>
      <w:marLeft w:val="0"/>
      <w:marRight w:val="0"/>
      <w:marTop w:val="0"/>
      <w:marBottom w:val="0"/>
      <w:divBdr>
        <w:top w:val="none" w:sz="0" w:space="0" w:color="auto"/>
        <w:left w:val="none" w:sz="0" w:space="0" w:color="auto"/>
        <w:bottom w:val="none" w:sz="0" w:space="0" w:color="auto"/>
        <w:right w:val="none" w:sz="0" w:space="0" w:color="auto"/>
      </w:divBdr>
      <w:divsChild>
        <w:div w:id="1657687302">
          <w:marLeft w:val="0"/>
          <w:marRight w:val="0"/>
          <w:marTop w:val="0"/>
          <w:marBottom w:val="0"/>
          <w:divBdr>
            <w:top w:val="none" w:sz="0" w:space="0" w:color="auto"/>
            <w:left w:val="none" w:sz="0" w:space="0" w:color="auto"/>
            <w:bottom w:val="none" w:sz="0" w:space="0" w:color="auto"/>
            <w:right w:val="none" w:sz="0" w:space="0" w:color="auto"/>
          </w:divBdr>
        </w:div>
        <w:div w:id="50547184">
          <w:marLeft w:val="0"/>
          <w:marRight w:val="0"/>
          <w:marTop w:val="0"/>
          <w:marBottom w:val="0"/>
          <w:divBdr>
            <w:top w:val="none" w:sz="0" w:space="0" w:color="auto"/>
            <w:left w:val="none" w:sz="0" w:space="0" w:color="auto"/>
            <w:bottom w:val="none" w:sz="0" w:space="0" w:color="auto"/>
            <w:right w:val="none" w:sz="0" w:space="0" w:color="auto"/>
          </w:divBdr>
        </w:div>
        <w:div w:id="338312576">
          <w:marLeft w:val="0"/>
          <w:marRight w:val="0"/>
          <w:marTop w:val="0"/>
          <w:marBottom w:val="0"/>
          <w:divBdr>
            <w:top w:val="none" w:sz="0" w:space="0" w:color="auto"/>
            <w:left w:val="none" w:sz="0" w:space="0" w:color="auto"/>
            <w:bottom w:val="none" w:sz="0" w:space="0" w:color="auto"/>
            <w:right w:val="none" w:sz="0" w:space="0" w:color="auto"/>
          </w:divBdr>
        </w:div>
        <w:div w:id="1888099139">
          <w:marLeft w:val="0"/>
          <w:marRight w:val="0"/>
          <w:marTop w:val="0"/>
          <w:marBottom w:val="0"/>
          <w:divBdr>
            <w:top w:val="none" w:sz="0" w:space="0" w:color="auto"/>
            <w:left w:val="none" w:sz="0" w:space="0" w:color="auto"/>
            <w:bottom w:val="none" w:sz="0" w:space="0" w:color="auto"/>
            <w:right w:val="none" w:sz="0" w:space="0" w:color="auto"/>
          </w:divBdr>
        </w:div>
        <w:div w:id="1690257243">
          <w:marLeft w:val="0"/>
          <w:marRight w:val="0"/>
          <w:marTop w:val="0"/>
          <w:marBottom w:val="0"/>
          <w:divBdr>
            <w:top w:val="none" w:sz="0" w:space="0" w:color="auto"/>
            <w:left w:val="none" w:sz="0" w:space="0" w:color="auto"/>
            <w:bottom w:val="none" w:sz="0" w:space="0" w:color="auto"/>
            <w:right w:val="none" w:sz="0" w:space="0" w:color="auto"/>
          </w:divBdr>
        </w:div>
      </w:divsChild>
    </w:div>
    <w:div w:id="110324944">
      <w:bodyDiv w:val="1"/>
      <w:marLeft w:val="0"/>
      <w:marRight w:val="0"/>
      <w:marTop w:val="0"/>
      <w:marBottom w:val="0"/>
      <w:divBdr>
        <w:top w:val="none" w:sz="0" w:space="0" w:color="auto"/>
        <w:left w:val="none" w:sz="0" w:space="0" w:color="auto"/>
        <w:bottom w:val="none" w:sz="0" w:space="0" w:color="auto"/>
        <w:right w:val="none" w:sz="0" w:space="0" w:color="auto"/>
      </w:divBdr>
    </w:div>
    <w:div w:id="166992106">
      <w:bodyDiv w:val="1"/>
      <w:marLeft w:val="0"/>
      <w:marRight w:val="0"/>
      <w:marTop w:val="0"/>
      <w:marBottom w:val="0"/>
      <w:divBdr>
        <w:top w:val="none" w:sz="0" w:space="0" w:color="auto"/>
        <w:left w:val="none" w:sz="0" w:space="0" w:color="auto"/>
        <w:bottom w:val="none" w:sz="0" w:space="0" w:color="auto"/>
        <w:right w:val="none" w:sz="0" w:space="0" w:color="auto"/>
      </w:divBdr>
    </w:div>
    <w:div w:id="224151083">
      <w:bodyDiv w:val="1"/>
      <w:marLeft w:val="0"/>
      <w:marRight w:val="0"/>
      <w:marTop w:val="0"/>
      <w:marBottom w:val="0"/>
      <w:divBdr>
        <w:top w:val="none" w:sz="0" w:space="0" w:color="auto"/>
        <w:left w:val="none" w:sz="0" w:space="0" w:color="auto"/>
        <w:bottom w:val="none" w:sz="0" w:space="0" w:color="auto"/>
        <w:right w:val="none" w:sz="0" w:space="0" w:color="auto"/>
      </w:divBdr>
    </w:div>
    <w:div w:id="289938656">
      <w:bodyDiv w:val="1"/>
      <w:marLeft w:val="0"/>
      <w:marRight w:val="0"/>
      <w:marTop w:val="0"/>
      <w:marBottom w:val="0"/>
      <w:divBdr>
        <w:top w:val="none" w:sz="0" w:space="0" w:color="auto"/>
        <w:left w:val="none" w:sz="0" w:space="0" w:color="auto"/>
        <w:bottom w:val="none" w:sz="0" w:space="0" w:color="auto"/>
        <w:right w:val="none" w:sz="0" w:space="0" w:color="auto"/>
      </w:divBdr>
    </w:div>
    <w:div w:id="364065463">
      <w:bodyDiv w:val="1"/>
      <w:marLeft w:val="0"/>
      <w:marRight w:val="0"/>
      <w:marTop w:val="0"/>
      <w:marBottom w:val="0"/>
      <w:divBdr>
        <w:top w:val="none" w:sz="0" w:space="0" w:color="auto"/>
        <w:left w:val="none" w:sz="0" w:space="0" w:color="auto"/>
        <w:bottom w:val="none" w:sz="0" w:space="0" w:color="auto"/>
        <w:right w:val="none" w:sz="0" w:space="0" w:color="auto"/>
      </w:divBdr>
      <w:divsChild>
        <w:div w:id="1859077109">
          <w:marLeft w:val="0"/>
          <w:marRight w:val="0"/>
          <w:marTop w:val="0"/>
          <w:marBottom w:val="0"/>
          <w:divBdr>
            <w:top w:val="none" w:sz="0" w:space="0" w:color="auto"/>
            <w:left w:val="none" w:sz="0" w:space="0" w:color="auto"/>
            <w:bottom w:val="none" w:sz="0" w:space="0" w:color="auto"/>
            <w:right w:val="none" w:sz="0" w:space="0" w:color="auto"/>
          </w:divBdr>
        </w:div>
        <w:div w:id="564031166">
          <w:marLeft w:val="0"/>
          <w:marRight w:val="0"/>
          <w:marTop w:val="0"/>
          <w:marBottom w:val="0"/>
          <w:divBdr>
            <w:top w:val="none" w:sz="0" w:space="0" w:color="auto"/>
            <w:left w:val="none" w:sz="0" w:space="0" w:color="auto"/>
            <w:bottom w:val="none" w:sz="0" w:space="0" w:color="auto"/>
            <w:right w:val="none" w:sz="0" w:space="0" w:color="auto"/>
          </w:divBdr>
        </w:div>
        <w:div w:id="523052954">
          <w:marLeft w:val="0"/>
          <w:marRight w:val="0"/>
          <w:marTop w:val="0"/>
          <w:marBottom w:val="0"/>
          <w:divBdr>
            <w:top w:val="none" w:sz="0" w:space="0" w:color="auto"/>
            <w:left w:val="none" w:sz="0" w:space="0" w:color="auto"/>
            <w:bottom w:val="none" w:sz="0" w:space="0" w:color="auto"/>
            <w:right w:val="none" w:sz="0" w:space="0" w:color="auto"/>
          </w:divBdr>
        </w:div>
        <w:div w:id="1208953202">
          <w:marLeft w:val="0"/>
          <w:marRight w:val="0"/>
          <w:marTop w:val="0"/>
          <w:marBottom w:val="0"/>
          <w:divBdr>
            <w:top w:val="none" w:sz="0" w:space="0" w:color="auto"/>
            <w:left w:val="none" w:sz="0" w:space="0" w:color="auto"/>
            <w:bottom w:val="none" w:sz="0" w:space="0" w:color="auto"/>
            <w:right w:val="none" w:sz="0" w:space="0" w:color="auto"/>
          </w:divBdr>
        </w:div>
      </w:divsChild>
    </w:div>
    <w:div w:id="430400175">
      <w:bodyDiv w:val="1"/>
      <w:marLeft w:val="0"/>
      <w:marRight w:val="0"/>
      <w:marTop w:val="0"/>
      <w:marBottom w:val="0"/>
      <w:divBdr>
        <w:top w:val="none" w:sz="0" w:space="0" w:color="auto"/>
        <w:left w:val="none" w:sz="0" w:space="0" w:color="auto"/>
        <w:bottom w:val="none" w:sz="0" w:space="0" w:color="auto"/>
        <w:right w:val="none" w:sz="0" w:space="0" w:color="auto"/>
      </w:divBdr>
    </w:div>
    <w:div w:id="445731033">
      <w:bodyDiv w:val="1"/>
      <w:marLeft w:val="0"/>
      <w:marRight w:val="0"/>
      <w:marTop w:val="0"/>
      <w:marBottom w:val="0"/>
      <w:divBdr>
        <w:top w:val="none" w:sz="0" w:space="0" w:color="auto"/>
        <w:left w:val="none" w:sz="0" w:space="0" w:color="auto"/>
        <w:bottom w:val="none" w:sz="0" w:space="0" w:color="auto"/>
        <w:right w:val="none" w:sz="0" w:space="0" w:color="auto"/>
      </w:divBdr>
      <w:divsChild>
        <w:div w:id="1771461953">
          <w:marLeft w:val="0"/>
          <w:marRight w:val="0"/>
          <w:marTop w:val="0"/>
          <w:marBottom w:val="0"/>
          <w:divBdr>
            <w:top w:val="none" w:sz="0" w:space="0" w:color="auto"/>
            <w:left w:val="none" w:sz="0" w:space="0" w:color="auto"/>
            <w:bottom w:val="none" w:sz="0" w:space="0" w:color="auto"/>
            <w:right w:val="none" w:sz="0" w:space="0" w:color="auto"/>
          </w:divBdr>
          <w:divsChild>
            <w:div w:id="342319326">
              <w:marLeft w:val="0"/>
              <w:marRight w:val="0"/>
              <w:marTop w:val="0"/>
              <w:marBottom w:val="0"/>
              <w:divBdr>
                <w:top w:val="none" w:sz="0" w:space="0" w:color="auto"/>
                <w:left w:val="none" w:sz="0" w:space="0" w:color="auto"/>
                <w:bottom w:val="none" w:sz="0" w:space="0" w:color="auto"/>
                <w:right w:val="none" w:sz="0" w:space="0" w:color="auto"/>
              </w:divBdr>
            </w:div>
            <w:div w:id="1258363385">
              <w:marLeft w:val="0"/>
              <w:marRight w:val="0"/>
              <w:marTop w:val="0"/>
              <w:marBottom w:val="0"/>
              <w:divBdr>
                <w:top w:val="none" w:sz="0" w:space="0" w:color="auto"/>
                <w:left w:val="none" w:sz="0" w:space="0" w:color="auto"/>
                <w:bottom w:val="none" w:sz="0" w:space="0" w:color="auto"/>
                <w:right w:val="none" w:sz="0" w:space="0" w:color="auto"/>
              </w:divBdr>
            </w:div>
            <w:div w:id="45565045">
              <w:marLeft w:val="0"/>
              <w:marRight w:val="0"/>
              <w:marTop w:val="0"/>
              <w:marBottom w:val="0"/>
              <w:divBdr>
                <w:top w:val="none" w:sz="0" w:space="0" w:color="auto"/>
                <w:left w:val="none" w:sz="0" w:space="0" w:color="auto"/>
                <w:bottom w:val="none" w:sz="0" w:space="0" w:color="auto"/>
                <w:right w:val="none" w:sz="0" w:space="0" w:color="auto"/>
              </w:divBdr>
            </w:div>
            <w:div w:id="1255820109">
              <w:marLeft w:val="0"/>
              <w:marRight w:val="0"/>
              <w:marTop w:val="0"/>
              <w:marBottom w:val="0"/>
              <w:divBdr>
                <w:top w:val="none" w:sz="0" w:space="0" w:color="auto"/>
                <w:left w:val="none" w:sz="0" w:space="0" w:color="auto"/>
                <w:bottom w:val="none" w:sz="0" w:space="0" w:color="auto"/>
                <w:right w:val="none" w:sz="0" w:space="0" w:color="auto"/>
              </w:divBdr>
            </w:div>
            <w:div w:id="1798640854">
              <w:marLeft w:val="0"/>
              <w:marRight w:val="0"/>
              <w:marTop w:val="0"/>
              <w:marBottom w:val="0"/>
              <w:divBdr>
                <w:top w:val="none" w:sz="0" w:space="0" w:color="auto"/>
                <w:left w:val="none" w:sz="0" w:space="0" w:color="auto"/>
                <w:bottom w:val="none" w:sz="0" w:space="0" w:color="auto"/>
                <w:right w:val="none" w:sz="0" w:space="0" w:color="auto"/>
              </w:divBdr>
            </w:div>
            <w:div w:id="1659993089">
              <w:marLeft w:val="0"/>
              <w:marRight w:val="0"/>
              <w:marTop w:val="0"/>
              <w:marBottom w:val="0"/>
              <w:divBdr>
                <w:top w:val="none" w:sz="0" w:space="0" w:color="auto"/>
                <w:left w:val="none" w:sz="0" w:space="0" w:color="auto"/>
                <w:bottom w:val="none" w:sz="0" w:space="0" w:color="auto"/>
                <w:right w:val="none" w:sz="0" w:space="0" w:color="auto"/>
              </w:divBdr>
            </w:div>
            <w:div w:id="1703893435">
              <w:marLeft w:val="0"/>
              <w:marRight w:val="0"/>
              <w:marTop w:val="0"/>
              <w:marBottom w:val="0"/>
              <w:divBdr>
                <w:top w:val="none" w:sz="0" w:space="0" w:color="auto"/>
                <w:left w:val="none" w:sz="0" w:space="0" w:color="auto"/>
                <w:bottom w:val="none" w:sz="0" w:space="0" w:color="auto"/>
                <w:right w:val="none" w:sz="0" w:space="0" w:color="auto"/>
              </w:divBdr>
            </w:div>
            <w:div w:id="2017069711">
              <w:marLeft w:val="0"/>
              <w:marRight w:val="0"/>
              <w:marTop w:val="0"/>
              <w:marBottom w:val="0"/>
              <w:divBdr>
                <w:top w:val="none" w:sz="0" w:space="0" w:color="auto"/>
                <w:left w:val="none" w:sz="0" w:space="0" w:color="auto"/>
                <w:bottom w:val="none" w:sz="0" w:space="0" w:color="auto"/>
                <w:right w:val="none" w:sz="0" w:space="0" w:color="auto"/>
              </w:divBdr>
            </w:div>
            <w:div w:id="423578578">
              <w:marLeft w:val="0"/>
              <w:marRight w:val="0"/>
              <w:marTop w:val="0"/>
              <w:marBottom w:val="0"/>
              <w:divBdr>
                <w:top w:val="none" w:sz="0" w:space="0" w:color="auto"/>
                <w:left w:val="none" w:sz="0" w:space="0" w:color="auto"/>
                <w:bottom w:val="none" w:sz="0" w:space="0" w:color="auto"/>
                <w:right w:val="none" w:sz="0" w:space="0" w:color="auto"/>
              </w:divBdr>
            </w:div>
            <w:div w:id="1595170322">
              <w:marLeft w:val="0"/>
              <w:marRight w:val="0"/>
              <w:marTop w:val="0"/>
              <w:marBottom w:val="0"/>
              <w:divBdr>
                <w:top w:val="none" w:sz="0" w:space="0" w:color="auto"/>
                <w:left w:val="none" w:sz="0" w:space="0" w:color="auto"/>
                <w:bottom w:val="none" w:sz="0" w:space="0" w:color="auto"/>
                <w:right w:val="none" w:sz="0" w:space="0" w:color="auto"/>
              </w:divBdr>
            </w:div>
            <w:div w:id="1925603077">
              <w:marLeft w:val="0"/>
              <w:marRight w:val="0"/>
              <w:marTop w:val="0"/>
              <w:marBottom w:val="0"/>
              <w:divBdr>
                <w:top w:val="none" w:sz="0" w:space="0" w:color="auto"/>
                <w:left w:val="none" w:sz="0" w:space="0" w:color="auto"/>
                <w:bottom w:val="none" w:sz="0" w:space="0" w:color="auto"/>
                <w:right w:val="none" w:sz="0" w:space="0" w:color="auto"/>
              </w:divBdr>
            </w:div>
            <w:div w:id="1429697886">
              <w:marLeft w:val="0"/>
              <w:marRight w:val="0"/>
              <w:marTop w:val="0"/>
              <w:marBottom w:val="0"/>
              <w:divBdr>
                <w:top w:val="none" w:sz="0" w:space="0" w:color="auto"/>
                <w:left w:val="none" w:sz="0" w:space="0" w:color="auto"/>
                <w:bottom w:val="none" w:sz="0" w:space="0" w:color="auto"/>
                <w:right w:val="none" w:sz="0" w:space="0" w:color="auto"/>
              </w:divBdr>
            </w:div>
            <w:div w:id="856894965">
              <w:marLeft w:val="0"/>
              <w:marRight w:val="0"/>
              <w:marTop w:val="0"/>
              <w:marBottom w:val="0"/>
              <w:divBdr>
                <w:top w:val="none" w:sz="0" w:space="0" w:color="auto"/>
                <w:left w:val="none" w:sz="0" w:space="0" w:color="auto"/>
                <w:bottom w:val="none" w:sz="0" w:space="0" w:color="auto"/>
                <w:right w:val="none" w:sz="0" w:space="0" w:color="auto"/>
              </w:divBdr>
            </w:div>
            <w:div w:id="365522485">
              <w:marLeft w:val="0"/>
              <w:marRight w:val="0"/>
              <w:marTop w:val="0"/>
              <w:marBottom w:val="0"/>
              <w:divBdr>
                <w:top w:val="none" w:sz="0" w:space="0" w:color="auto"/>
                <w:left w:val="none" w:sz="0" w:space="0" w:color="auto"/>
                <w:bottom w:val="none" w:sz="0" w:space="0" w:color="auto"/>
                <w:right w:val="none" w:sz="0" w:space="0" w:color="auto"/>
              </w:divBdr>
            </w:div>
            <w:div w:id="470712051">
              <w:marLeft w:val="0"/>
              <w:marRight w:val="0"/>
              <w:marTop w:val="0"/>
              <w:marBottom w:val="0"/>
              <w:divBdr>
                <w:top w:val="none" w:sz="0" w:space="0" w:color="auto"/>
                <w:left w:val="none" w:sz="0" w:space="0" w:color="auto"/>
                <w:bottom w:val="none" w:sz="0" w:space="0" w:color="auto"/>
                <w:right w:val="none" w:sz="0" w:space="0" w:color="auto"/>
              </w:divBdr>
            </w:div>
            <w:div w:id="1322349831">
              <w:marLeft w:val="0"/>
              <w:marRight w:val="0"/>
              <w:marTop w:val="0"/>
              <w:marBottom w:val="0"/>
              <w:divBdr>
                <w:top w:val="none" w:sz="0" w:space="0" w:color="auto"/>
                <w:left w:val="none" w:sz="0" w:space="0" w:color="auto"/>
                <w:bottom w:val="none" w:sz="0" w:space="0" w:color="auto"/>
                <w:right w:val="none" w:sz="0" w:space="0" w:color="auto"/>
              </w:divBdr>
            </w:div>
            <w:div w:id="792215040">
              <w:marLeft w:val="0"/>
              <w:marRight w:val="0"/>
              <w:marTop w:val="0"/>
              <w:marBottom w:val="0"/>
              <w:divBdr>
                <w:top w:val="none" w:sz="0" w:space="0" w:color="auto"/>
                <w:left w:val="none" w:sz="0" w:space="0" w:color="auto"/>
                <w:bottom w:val="none" w:sz="0" w:space="0" w:color="auto"/>
                <w:right w:val="none" w:sz="0" w:space="0" w:color="auto"/>
              </w:divBdr>
            </w:div>
            <w:div w:id="547109942">
              <w:marLeft w:val="0"/>
              <w:marRight w:val="0"/>
              <w:marTop w:val="0"/>
              <w:marBottom w:val="0"/>
              <w:divBdr>
                <w:top w:val="none" w:sz="0" w:space="0" w:color="auto"/>
                <w:left w:val="none" w:sz="0" w:space="0" w:color="auto"/>
                <w:bottom w:val="none" w:sz="0" w:space="0" w:color="auto"/>
                <w:right w:val="none" w:sz="0" w:space="0" w:color="auto"/>
              </w:divBdr>
            </w:div>
            <w:div w:id="179509366">
              <w:marLeft w:val="0"/>
              <w:marRight w:val="0"/>
              <w:marTop w:val="0"/>
              <w:marBottom w:val="0"/>
              <w:divBdr>
                <w:top w:val="none" w:sz="0" w:space="0" w:color="auto"/>
                <w:left w:val="none" w:sz="0" w:space="0" w:color="auto"/>
                <w:bottom w:val="none" w:sz="0" w:space="0" w:color="auto"/>
                <w:right w:val="none" w:sz="0" w:space="0" w:color="auto"/>
              </w:divBdr>
            </w:div>
            <w:div w:id="61220715">
              <w:marLeft w:val="0"/>
              <w:marRight w:val="0"/>
              <w:marTop w:val="0"/>
              <w:marBottom w:val="0"/>
              <w:divBdr>
                <w:top w:val="none" w:sz="0" w:space="0" w:color="auto"/>
                <w:left w:val="none" w:sz="0" w:space="0" w:color="auto"/>
                <w:bottom w:val="none" w:sz="0" w:space="0" w:color="auto"/>
                <w:right w:val="none" w:sz="0" w:space="0" w:color="auto"/>
              </w:divBdr>
            </w:div>
            <w:div w:id="1114447552">
              <w:marLeft w:val="0"/>
              <w:marRight w:val="0"/>
              <w:marTop w:val="0"/>
              <w:marBottom w:val="0"/>
              <w:divBdr>
                <w:top w:val="none" w:sz="0" w:space="0" w:color="auto"/>
                <w:left w:val="none" w:sz="0" w:space="0" w:color="auto"/>
                <w:bottom w:val="none" w:sz="0" w:space="0" w:color="auto"/>
                <w:right w:val="none" w:sz="0" w:space="0" w:color="auto"/>
              </w:divBdr>
            </w:div>
            <w:div w:id="1253969274">
              <w:marLeft w:val="0"/>
              <w:marRight w:val="0"/>
              <w:marTop w:val="0"/>
              <w:marBottom w:val="0"/>
              <w:divBdr>
                <w:top w:val="none" w:sz="0" w:space="0" w:color="auto"/>
                <w:left w:val="none" w:sz="0" w:space="0" w:color="auto"/>
                <w:bottom w:val="none" w:sz="0" w:space="0" w:color="auto"/>
                <w:right w:val="none" w:sz="0" w:space="0" w:color="auto"/>
              </w:divBdr>
            </w:div>
            <w:div w:id="2080059246">
              <w:marLeft w:val="0"/>
              <w:marRight w:val="0"/>
              <w:marTop w:val="0"/>
              <w:marBottom w:val="0"/>
              <w:divBdr>
                <w:top w:val="none" w:sz="0" w:space="0" w:color="auto"/>
                <w:left w:val="none" w:sz="0" w:space="0" w:color="auto"/>
                <w:bottom w:val="none" w:sz="0" w:space="0" w:color="auto"/>
                <w:right w:val="none" w:sz="0" w:space="0" w:color="auto"/>
              </w:divBdr>
            </w:div>
            <w:div w:id="828978400">
              <w:marLeft w:val="0"/>
              <w:marRight w:val="0"/>
              <w:marTop w:val="0"/>
              <w:marBottom w:val="0"/>
              <w:divBdr>
                <w:top w:val="none" w:sz="0" w:space="0" w:color="auto"/>
                <w:left w:val="none" w:sz="0" w:space="0" w:color="auto"/>
                <w:bottom w:val="none" w:sz="0" w:space="0" w:color="auto"/>
                <w:right w:val="none" w:sz="0" w:space="0" w:color="auto"/>
              </w:divBdr>
            </w:div>
            <w:div w:id="486173407">
              <w:marLeft w:val="0"/>
              <w:marRight w:val="0"/>
              <w:marTop w:val="0"/>
              <w:marBottom w:val="0"/>
              <w:divBdr>
                <w:top w:val="none" w:sz="0" w:space="0" w:color="auto"/>
                <w:left w:val="none" w:sz="0" w:space="0" w:color="auto"/>
                <w:bottom w:val="none" w:sz="0" w:space="0" w:color="auto"/>
                <w:right w:val="none" w:sz="0" w:space="0" w:color="auto"/>
              </w:divBdr>
            </w:div>
            <w:div w:id="273829321">
              <w:marLeft w:val="0"/>
              <w:marRight w:val="0"/>
              <w:marTop w:val="0"/>
              <w:marBottom w:val="0"/>
              <w:divBdr>
                <w:top w:val="none" w:sz="0" w:space="0" w:color="auto"/>
                <w:left w:val="none" w:sz="0" w:space="0" w:color="auto"/>
                <w:bottom w:val="none" w:sz="0" w:space="0" w:color="auto"/>
                <w:right w:val="none" w:sz="0" w:space="0" w:color="auto"/>
              </w:divBdr>
            </w:div>
            <w:div w:id="687407452">
              <w:marLeft w:val="0"/>
              <w:marRight w:val="0"/>
              <w:marTop w:val="0"/>
              <w:marBottom w:val="0"/>
              <w:divBdr>
                <w:top w:val="none" w:sz="0" w:space="0" w:color="auto"/>
                <w:left w:val="none" w:sz="0" w:space="0" w:color="auto"/>
                <w:bottom w:val="none" w:sz="0" w:space="0" w:color="auto"/>
                <w:right w:val="none" w:sz="0" w:space="0" w:color="auto"/>
              </w:divBdr>
            </w:div>
            <w:div w:id="977802794">
              <w:marLeft w:val="0"/>
              <w:marRight w:val="0"/>
              <w:marTop w:val="0"/>
              <w:marBottom w:val="0"/>
              <w:divBdr>
                <w:top w:val="none" w:sz="0" w:space="0" w:color="auto"/>
                <w:left w:val="none" w:sz="0" w:space="0" w:color="auto"/>
                <w:bottom w:val="none" w:sz="0" w:space="0" w:color="auto"/>
                <w:right w:val="none" w:sz="0" w:space="0" w:color="auto"/>
              </w:divBdr>
            </w:div>
            <w:div w:id="1459252334">
              <w:marLeft w:val="0"/>
              <w:marRight w:val="0"/>
              <w:marTop w:val="0"/>
              <w:marBottom w:val="0"/>
              <w:divBdr>
                <w:top w:val="none" w:sz="0" w:space="0" w:color="auto"/>
                <w:left w:val="none" w:sz="0" w:space="0" w:color="auto"/>
                <w:bottom w:val="none" w:sz="0" w:space="0" w:color="auto"/>
                <w:right w:val="none" w:sz="0" w:space="0" w:color="auto"/>
              </w:divBdr>
            </w:div>
            <w:div w:id="1810970819">
              <w:marLeft w:val="0"/>
              <w:marRight w:val="0"/>
              <w:marTop w:val="0"/>
              <w:marBottom w:val="0"/>
              <w:divBdr>
                <w:top w:val="none" w:sz="0" w:space="0" w:color="auto"/>
                <w:left w:val="none" w:sz="0" w:space="0" w:color="auto"/>
                <w:bottom w:val="none" w:sz="0" w:space="0" w:color="auto"/>
                <w:right w:val="none" w:sz="0" w:space="0" w:color="auto"/>
              </w:divBdr>
            </w:div>
            <w:div w:id="780808164">
              <w:marLeft w:val="0"/>
              <w:marRight w:val="0"/>
              <w:marTop w:val="0"/>
              <w:marBottom w:val="0"/>
              <w:divBdr>
                <w:top w:val="none" w:sz="0" w:space="0" w:color="auto"/>
                <w:left w:val="none" w:sz="0" w:space="0" w:color="auto"/>
                <w:bottom w:val="none" w:sz="0" w:space="0" w:color="auto"/>
                <w:right w:val="none" w:sz="0" w:space="0" w:color="auto"/>
              </w:divBdr>
            </w:div>
            <w:div w:id="1135026011">
              <w:marLeft w:val="0"/>
              <w:marRight w:val="0"/>
              <w:marTop w:val="0"/>
              <w:marBottom w:val="0"/>
              <w:divBdr>
                <w:top w:val="none" w:sz="0" w:space="0" w:color="auto"/>
                <w:left w:val="none" w:sz="0" w:space="0" w:color="auto"/>
                <w:bottom w:val="none" w:sz="0" w:space="0" w:color="auto"/>
                <w:right w:val="none" w:sz="0" w:space="0" w:color="auto"/>
              </w:divBdr>
            </w:div>
            <w:div w:id="2122992132">
              <w:marLeft w:val="0"/>
              <w:marRight w:val="0"/>
              <w:marTop w:val="0"/>
              <w:marBottom w:val="0"/>
              <w:divBdr>
                <w:top w:val="none" w:sz="0" w:space="0" w:color="auto"/>
                <w:left w:val="none" w:sz="0" w:space="0" w:color="auto"/>
                <w:bottom w:val="none" w:sz="0" w:space="0" w:color="auto"/>
                <w:right w:val="none" w:sz="0" w:space="0" w:color="auto"/>
              </w:divBdr>
            </w:div>
            <w:div w:id="648366879">
              <w:marLeft w:val="0"/>
              <w:marRight w:val="0"/>
              <w:marTop w:val="0"/>
              <w:marBottom w:val="0"/>
              <w:divBdr>
                <w:top w:val="none" w:sz="0" w:space="0" w:color="auto"/>
                <w:left w:val="none" w:sz="0" w:space="0" w:color="auto"/>
                <w:bottom w:val="none" w:sz="0" w:space="0" w:color="auto"/>
                <w:right w:val="none" w:sz="0" w:space="0" w:color="auto"/>
              </w:divBdr>
            </w:div>
            <w:div w:id="306862105">
              <w:marLeft w:val="0"/>
              <w:marRight w:val="0"/>
              <w:marTop w:val="0"/>
              <w:marBottom w:val="0"/>
              <w:divBdr>
                <w:top w:val="none" w:sz="0" w:space="0" w:color="auto"/>
                <w:left w:val="none" w:sz="0" w:space="0" w:color="auto"/>
                <w:bottom w:val="none" w:sz="0" w:space="0" w:color="auto"/>
                <w:right w:val="none" w:sz="0" w:space="0" w:color="auto"/>
              </w:divBdr>
            </w:div>
            <w:div w:id="1191643168">
              <w:marLeft w:val="0"/>
              <w:marRight w:val="0"/>
              <w:marTop w:val="0"/>
              <w:marBottom w:val="0"/>
              <w:divBdr>
                <w:top w:val="none" w:sz="0" w:space="0" w:color="auto"/>
                <w:left w:val="none" w:sz="0" w:space="0" w:color="auto"/>
                <w:bottom w:val="none" w:sz="0" w:space="0" w:color="auto"/>
                <w:right w:val="none" w:sz="0" w:space="0" w:color="auto"/>
              </w:divBdr>
            </w:div>
            <w:div w:id="1093939034">
              <w:marLeft w:val="0"/>
              <w:marRight w:val="0"/>
              <w:marTop w:val="0"/>
              <w:marBottom w:val="0"/>
              <w:divBdr>
                <w:top w:val="none" w:sz="0" w:space="0" w:color="auto"/>
                <w:left w:val="none" w:sz="0" w:space="0" w:color="auto"/>
                <w:bottom w:val="none" w:sz="0" w:space="0" w:color="auto"/>
                <w:right w:val="none" w:sz="0" w:space="0" w:color="auto"/>
              </w:divBdr>
            </w:div>
            <w:div w:id="924799477">
              <w:marLeft w:val="0"/>
              <w:marRight w:val="0"/>
              <w:marTop w:val="0"/>
              <w:marBottom w:val="0"/>
              <w:divBdr>
                <w:top w:val="none" w:sz="0" w:space="0" w:color="auto"/>
                <w:left w:val="none" w:sz="0" w:space="0" w:color="auto"/>
                <w:bottom w:val="none" w:sz="0" w:space="0" w:color="auto"/>
                <w:right w:val="none" w:sz="0" w:space="0" w:color="auto"/>
              </w:divBdr>
            </w:div>
            <w:div w:id="1148549651">
              <w:marLeft w:val="0"/>
              <w:marRight w:val="0"/>
              <w:marTop w:val="0"/>
              <w:marBottom w:val="0"/>
              <w:divBdr>
                <w:top w:val="none" w:sz="0" w:space="0" w:color="auto"/>
                <w:left w:val="none" w:sz="0" w:space="0" w:color="auto"/>
                <w:bottom w:val="none" w:sz="0" w:space="0" w:color="auto"/>
                <w:right w:val="none" w:sz="0" w:space="0" w:color="auto"/>
              </w:divBdr>
            </w:div>
            <w:div w:id="1339774501">
              <w:marLeft w:val="0"/>
              <w:marRight w:val="0"/>
              <w:marTop w:val="0"/>
              <w:marBottom w:val="0"/>
              <w:divBdr>
                <w:top w:val="none" w:sz="0" w:space="0" w:color="auto"/>
                <w:left w:val="none" w:sz="0" w:space="0" w:color="auto"/>
                <w:bottom w:val="none" w:sz="0" w:space="0" w:color="auto"/>
                <w:right w:val="none" w:sz="0" w:space="0" w:color="auto"/>
              </w:divBdr>
            </w:div>
            <w:div w:id="1532450389">
              <w:marLeft w:val="0"/>
              <w:marRight w:val="0"/>
              <w:marTop w:val="0"/>
              <w:marBottom w:val="0"/>
              <w:divBdr>
                <w:top w:val="none" w:sz="0" w:space="0" w:color="auto"/>
                <w:left w:val="none" w:sz="0" w:space="0" w:color="auto"/>
                <w:bottom w:val="none" w:sz="0" w:space="0" w:color="auto"/>
                <w:right w:val="none" w:sz="0" w:space="0" w:color="auto"/>
              </w:divBdr>
            </w:div>
            <w:div w:id="486825830">
              <w:marLeft w:val="0"/>
              <w:marRight w:val="0"/>
              <w:marTop w:val="0"/>
              <w:marBottom w:val="0"/>
              <w:divBdr>
                <w:top w:val="none" w:sz="0" w:space="0" w:color="auto"/>
                <w:left w:val="none" w:sz="0" w:space="0" w:color="auto"/>
                <w:bottom w:val="none" w:sz="0" w:space="0" w:color="auto"/>
                <w:right w:val="none" w:sz="0" w:space="0" w:color="auto"/>
              </w:divBdr>
            </w:div>
            <w:div w:id="1734543283">
              <w:marLeft w:val="0"/>
              <w:marRight w:val="0"/>
              <w:marTop w:val="0"/>
              <w:marBottom w:val="0"/>
              <w:divBdr>
                <w:top w:val="none" w:sz="0" w:space="0" w:color="auto"/>
                <w:left w:val="none" w:sz="0" w:space="0" w:color="auto"/>
                <w:bottom w:val="none" w:sz="0" w:space="0" w:color="auto"/>
                <w:right w:val="none" w:sz="0" w:space="0" w:color="auto"/>
              </w:divBdr>
            </w:div>
            <w:div w:id="2031835019">
              <w:marLeft w:val="0"/>
              <w:marRight w:val="0"/>
              <w:marTop w:val="0"/>
              <w:marBottom w:val="0"/>
              <w:divBdr>
                <w:top w:val="none" w:sz="0" w:space="0" w:color="auto"/>
                <w:left w:val="none" w:sz="0" w:space="0" w:color="auto"/>
                <w:bottom w:val="none" w:sz="0" w:space="0" w:color="auto"/>
                <w:right w:val="none" w:sz="0" w:space="0" w:color="auto"/>
              </w:divBdr>
            </w:div>
            <w:div w:id="318996153">
              <w:marLeft w:val="0"/>
              <w:marRight w:val="0"/>
              <w:marTop w:val="0"/>
              <w:marBottom w:val="0"/>
              <w:divBdr>
                <w:top w:val="none" w:sz="0" w:space="0" w:color="auto"/>
                <w:left w:val="none" w:sz="0" w:space="0" w:color="auto"/>
                <w:bottom w:val="none" w:sz="0" w:space="0" w:color="auto"/>
                <w:right w:val="none" w:sz="0" w:space="0" w:color="auto"/>
              </w:divBdr>
            </w:div>
            <w:div w:id="1051804528">
              <w:marLeft w:val="0"/>
              <w:marRight w:val="0"/>
              <w:marTop w:val="0"/>
              <w:marBottom w:val="0"/>
              <w:divBdr>
                <w:top w:val="none" w:sz="0" w:space="0" w:color="auto"/>
                <w:left w:val="none" w:sz="0" w:space="0" w:color="auto"/>
                <w:bottom w:val="none" w:sz="0" w:space="0" w:color="auto"/>
                <w:right w:val="none" w:sz="0" w:space="0" w:color="auto"/>
              </w:divBdr>
            </w:div>
            <w:div w:id="818955795">
              <w:marLeft w:val="0"/>
              <w:marRight w:val="0"/>
              <w:marTop w:val="0"/>
              <w:marBottom w:val="0"/>
              <w:divBdr>
                <w:top w:val="none" w:sz="0" w:space="0" w:color="auto"/>
                <w:left w:val="none" w:sz="0" w:space="0" w:color="auto"/>
                <w:bottom w:val="none" w:sz="0" w:space="0" w:color="auto"/>
                <w:right w:val="none" w:sz="0" w:space="0" w:color="auto"/>
              </w:divBdr>
            </w:div>
            <w:div w:id="1994943135">
              <w:marLeft w:val="0"/>
              <w:marRight w:val="0"/>
              <w:marTop w:val="0"/>
              <w:marBottom w:val="0"/>
              <w:divBdr>
                <w:top w:val="none" w:sz="0" w:space="0" w:color="auto"/>
                <w:left w:val="none" w:sz="0" w:space="0" w:color="auto"/>
                <w:bottom w:val="none" w:sz="0" w:space="0" w:color="auto"/>
                <w:right w:val="none" w:sz="0" w:space="0" w:color="auto"/>
              </w:divBdr>
            </w:div>
            <w:div w:id="1867789348">
              <w:marLeft w:val="0"/>
              <w:marRight w:val="0"/>
              <w:marTop w:val="0"/>
              <w:marBottom w:val="0"/>
              <w:divBdr>
                <w:top w:val="none" w:sz="0" w:space="0" w:color="auto"/>
                <w:left w:val="none" w:sz="0" w:space="0" w:color="auto"/>
                <w:bottom w:val="none" w:sz="0" w:space="0" w:color="auto"/>
                <w:right w:val="none" w:sz="0" w:space="0" w:color="auto"/>
              </w:divBdr>
            </w:div>
            <w:div w:id="1422873947">
              <w:marLeft w:val="0"/>
              <w:marRight w:val="0"/>
              <w:marTop w:val="0"/>
              <w:marBottom w:val="0"/>
              <w:divBdr>
                <w:top w:val="none" w:sz="0" w:space="0" w:color="auto"/>
                <w:left w:val="none" w:sz="0" w:space="0" w:color="auto"/>
                <w:bottom w:val="none" w:sz="0" w:space="0" w:color="auto"/>
                <w:right w:val="none" w:sz="0" w:space="0" w:color="auto"/>
              </w:divBdr>
            </w:div>
            <w:div w:id="365647020">
              <w:marLeft w:val="0"/>
              <w:marRight w:val="0"/>
              <w:marTop w:val="0"/>
              <w:marBottom w:val="0"/>
              <w:divBdr>
                <w:top w:val="none" w:sz="0" w:space="0" w:color="auto"/>
                <w:left w:val="none" w:sz="0" w:space="0" w:color="auto"/>
                <w:bottom w:val="none" w:sz="0" w:space="0" w:color="auto"/>
                <w:right w:val="none" w:sz="0" w:space="0" w:color="auto"/>
              </w:divBdr>
            </w:div>
            <w:div w:id="1602253792">
              <w:marLeft w:val="0"/>
              <w:marRight w:val="0"/>
              <w:marTop w:val="0"/>
              <w:marBottom w:val="0"/>
              <w:divBdr>
                <w:top w:val="none" w:sz="0" w:space="0" w:color="auto"/>
                <w:left w:val="none" w:sz="0" w:space="0" w:color="auto"/>
                <w:bottom w:val="none" w:sz="0" w:space="0" w:color="auto"/>
                <w:right w:val="none" w:sz="0" w:space="0" w:color="auto"/>
              </w:divBdr>
            </w:div>
            <w:div w:id="1940598169">
              <w:marLeft w:val="0"/>
              <w:marRight w:val="0"/>
              <w:marTop w:val="0"/>
              <w:marBottom w:val="0"/>
              <w:divBdr>
                <w:top w:val="none" w:sz="0" w:space="0" w:color="auto"/>
                <w:left w:val="none" w:sz="0" w:space="0" w:color="auto"/>
                <w:bottom w:val="none" w:sz="0" w:space="0" w:color="auto"/>
                <w:right w:val="none" w:sz="0" w:space="0" w:color="auto"/>
              </w:divBdr>
            </w:div>
            <w:div w:id="1572084924">
              <w:marLeft w:val="0"/>
              <w:marRight w:val="0"/>
              <w:marTop w:val="0"/>
              <w:marBottom w:val="0"/>
              <w:divBdr>
                <w:top w:val="none" w:sz="0" w:space="0" w:color="auto"/>
                <w:left w:val="none" w:sz="0" w:space="0" w:color="auto"/>
                <w:bottom w:val="none" w:sz="0" w:space="0" w:color="auto"/>
                <w:right w:val="none" w:sz="0" w:space="0" w:color="auto"/>
              </w:divBdr>
            </w:div>
            <w:div w:id="1527523193">
              <w:marLeft w:val="0"/>
              <w:marRight w:val="0"/>
              <w:marTop w:val="0"/>
              <w:marBottom w:val="0"/>
              <w:divBdr>
                <w:top w:val="none" w:sz="0" w:space="0" w:color="auto"/>
                <w:left w:val="none" w:sz="0" w:space="0" w:color="auto"/>
                <w:bottom w:val="none" w:sz="0" w:space="0" w:color="auto"/>
                <w:right w:val="none" w:sz="0" w:space="0" w:color="auto"/>
              </w:divBdr>
            </w:div>
            <w:div w:id="1630623711">
              <w:marLeft w:val="0"/>
              <w:marRight w:val="0"/>
              <w:marTop w:val="0"/>
              <w:marBottom w:val="0"/>
              <w:divBdr>
                <w:top w:val="none" w:sz="0" w:space="0" w:color="auto"/>
                <w:left w:val="none" w:sz="0" w:space="0" w:color="auto"/>
                <w:bottom w:val="none" w:sz="0" w:space="0" w:color="auto"/>
                <w:right w:val="none" w:sz="0" w:space="0" w:color="auto"/>
              </w:divBdr>
            </w:div>
            <w:div w:id="827667859">
              <w:marLeft w:val="0"/>
              <w:marRight w:val="0"/>
              <w:marTop w:val="0"/>
              <w:marBottom w:val="0"/>
              <w:divBdr>
                <w:top w:val="none" w:sz="0" w:space="0" w:color="auto"/>
                <w:left w:val="none" w:sz="0" w:space="0" w:color="auto"/>
                <w:bottom w:val="none" w:sz="0" w:space="0" w:color="auto"/>
                <w:right w:val="none" w:sz="0" w:space="0" w:color="auto"/>
              </w:divBdr>
            </w:div>
            <w:div w:id="1406951247">
              <w:marLeft w:val="0"/>
              <w:marRight w:val="0"/>
              <w:marTop w:val="0"/>
              <w:marBottom w:val="0"/>
              <w:divBdr>
                <w:top w:val="none" w:sz="0" w:space="0" w:color="auto"/>
                <w:left w:val="none" w:sz="0" w:space="0" w:color="auto"/>
                <w:bottom w:val="none" w:sz="0" w:space="0" w:color="auto"/>
                <w:right w:val="none" w:sz="0" w:space="0" w:color="auto"/>
              </w:divBdr>
            </w:div>
            <w:div w:id="40598778">
              <w:marLeft w:val="0"/>
              <w:marRight w:val="0"/>
              <w:marTop w:val="0"/>
              <w:marBottom w:val="0"/>
              <w:divBdr>
                <w:top w:val="none" w:sz="0" w:space="0" w:color="auto"/>
                <w:left w:val="none" w:sz="0" w:space="0" w:color="auto"/>
                <w:bottom w:val="none" w:sz="0" w:space="0" w:color="auto"/>
                <w:right w:val="none" w:sz="0" w:space="0" w:color="auto"/>
              </w:divBdr>
            </w:div>
            <w:div w:id="1117677007">
              <w:marLeft w:val="0"/>
              <w:marRight w:val="0"/>
              <w:marTop w:val="0"/>
              <w:marBottom w:val="0"/>
              <w:divBdr>
                <w:top w:val="none" w:sz="0" w:space="0" w:color="auto"/>
                <w:left w:val="none" w:sz="0" w:space="0" w:color="auto"/>
                <w:bottom w:val="none" w:sz="0" w:space="0" w:color="auto"/>
                <w:right w:val="none" w:sz="0" w:space="0" w:color="auto"/>
              </w:divBdr>
            </w:div>
            <w:div w:id="1635909690">
              <w:marLeft w:val="0"/>
              <w:marRight w:val="0"/>
              <w:marTop w:val="0"/>
              <w:marBottom w:val="0"/>
              <w:divBdr>
                <w:top w:val="none" w:sz="0" w:space="0" w:color="auto"/>
                <w:left w:val="none" w:sz="0" w:space="0" w:color="auto"/>
                <w:bottom w:val="none" w:sz="0" w:space="0" w:color="auto"/>
                <w:right w:val="none" w:sz="0" w:space="0" w:color="auto"/>
              </w:divBdr>
            </w:div>
            <w:div w:id="1034501438">
              <w:marLeft w:val="0"/>
              <w:marRight w:val="0"/>
              <w:marTop w:val="0"/>
              <w:marBottom w:val="0"/>
              <w:divBdr>
                <w:top w:val="none" w:sz="0" w:space="0" w:color="auto"/>
                <w:left w:val="none" w:sz="0" w:space="0" w:color="auto"/>
                <w:bottom w:val="none" w:sz="0" w:space="0" w:color="auto"/>
                <w:right w:val="none" w:sz="0" w:space="0" w:color="auto"/>
              </w:divBdr>
            </w:div>
            <w:div w:id="194315305">
              <w:marLeft w:val="0"/>
              <w:marRight w:val="0"/>
              <w:marTop w:val="0"/>
              <w:marBottom w:val="0"/>
              <w:divBdr>
                <w:top w:val="none" w:sz="0" w:space="0" w:color="auto"/>
                <w:left w:val="none" w:sz="0" w:space="0" w:color="auto"/>
                <w:bottom w:val="none" w:sz="0" w:space="0" w:color="auto"/>
                <w:right w:val="none" w:sz="0" w:space="0" w:color="auto"/>
              </w:divBdr>
            </w:div>
            <w:div w:id="782266039">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1730690090">
              <w:marLeft w:val="0"/>
              <w:marRight w:val="0"/>
              <w:marTop w:val="0"/>
              <w:marBottom w:val="0"/>
              <w:divBdr>
                <w:top w:val="none" w:sz="0" w:space="0" w:color="auto"/>
                <w:left w:val="none" w:sz="0" w:space="0" w:color="auto"/>
                <w:bottom w:val="none" w:sz="0" w:space="0" w:color="auto"/>
                <w:right w:val="none" w:sz="0" w:space="0" w:color="auto"/>
              </w:divBdr>
            </w:div>
            <w:div w:id="737823775">
              <w:marLeft w:val="0"/>
              <w:marRight w:val="0"/>
              <w:marTop w:val="0"/>
              <w:marBottom w:val="0"/>
              <w:divBdr>
                <w:top w:val="none" w:sz="0" w:space="0" w:color="auto"/>
                <w:left w:val="none" w:sz="0" w:space="0" w:color="auto"/>
                <w:bottom w:val="none" w:sz="0" w:space="0" w:color="auto"/>
                <w:right w:val="none" w:sz="0" w:space="0" w:color="auto"/>
              </w:divBdr>
            </w:div>
            <w:div w:id="1452358932">
              <w:marLeft w:val="0"/>
              <w:marRight w:val="0"/>
              <w:marTop w:val="0"/>
              <w:marBottom w:val="0"/>
              <w:divBdr>
                <w:top w:val="none" w:sz="0" w:space="0" w:color="auto"/>
                <w:left w:val="none" w:sz="0" w:space="0" w:color="auto"/>
                <w:bottom w:val="none" w:sz="0" w:space="0" w:color="auto"/>
                <w:right w:val="none" w:sz="0" w:space="0" w:color="auto"/>
              </w:divBdr>
            </w:div>
            <w:div w:id="1172178986">
              <w:marLeft w:val="0"/>
              <w:marRight w:val="0"/>
              <w:marTop w:val="0"/>
              <w:marBottom w:val="0"/>
              <w:divBdr>
                <w:top w:val="none" w:sz="0" w:space="0" w:color="auto"/>
                <w:left w:val="none" w:sz="0" w:space="0" w:color="auto"/>
                <w:bottom w:val="none" w:sz="0" w:space="0" w:color="auto"/>
                <w:right w:val="none" w:sz="0" w:space="0" w:color="auto"/>
              </w:divBdr>
            </w:div>
            <w:div w:id="1060985664">
              <w:marLeft w:val="0"/>
              <w:marRight w:val="0"/>
              <w:marTop w:val="0"/>
              <w:marBottom w:val="0"/>
              <w:divBdr>
                <w:top w:val="none" w:sz="0" w:space="0" w:color="auto"/>
                <w:left w:val="none" w:sz="0" w:space="0" w:color="auto"/>
                <w:bottom w:val="none" w:sz="0" w:space="0" w:color="auto"/>
                <w:right w:val="none" w:sz="0" w:space="0" w:color="auto"/>
              </w:divBdr>
            </w:div>
            <w:div w:id="974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569">
      <w:bodyDiv w:val="1"/>
      <w:marLeft w:val="0"/>
      <w:marRight w:val="0"/>
      <w:marTop w:val="0"/>
      <w:marBottom w:val="0"/>
      <w:divBdr>
        <w:top w:val="none" w:sz="0" w:space="0" w:color="auto"/>
        <w:left w:val="none" w:sz="0" w:space="0" w:color="auto"/>
        <w:bottom w:val="none" w:sz="0" w:space="0" w:color="auto"/>
        <w:right w:val="none" w:sz="0" w:space="0" w:color="auto"/>
      </w:divBdr>
    </w:div>
    <w:div w:id="486096605">
      <w:bodyDiv w:val="1"/>
      <w:marLeft w:val="0"/>
      <w:marRight w:val="0"/>
      <w:marTop w:val="0"/>
      <w:marBottom w:val="0"/>
      <w:divBdr>
        <w:top w:val="none" w:sz="0" w:space="0" w:color="auto"/>
        <w:left w:val="none" w:sz="0" w:space="0" w:color="auto"/>
        <w:bottom w:val="none" w:sz="0" w:space="0" w:color="auto"/>
        <w:right w:val="none" w:sz="0" w:space="0" w:color="auto"/>
      </w:divBdr>
      <w:divsChild>
        <w:div w:id="499277533">
          <w:marLeft w:val="0"/>
          <w:marRight w:val="0"/>
          <w:marTop w:val="0"/>
          <w:marBottom w:val="0"/>
          <w:divBdr>
            <w:top w:val="none" w:sz="0" w:space="0" w:color="auto"/>
            <w:left w:val="none" w:sz="0" w:space="0" w:color="auto"/>
            <w:bottom w:val="none" w:sz="0" w:space="0" w:color="auto"/>
            <w:right w:val="none" w:sz="0" w:space="0" w:color="auto"/>
          </w:divBdr>
        </w:div>
        <w:div w:id="1929345302">
          <w:marLeft w:val="0"/>
          <w:marRight w:val="0"/>
          <w:marTop w:val="0"/>
          <w:marBottom w:val="0"/>
          <w:divBdr>
            <w:top w:val="none" w:sz="0" w:space="0" w:color="auto"/>
            <w:left w:val="none" w:sz="0" w:space="0" w:color="auto"/>
            <w:bottom w:val="none" w:sz="0" w:space="0" w:color="auto"/>
            <w:right w:val="none" w:sz="0" w:space="0" w:color="auto"/>
          </w:divBdr>
        </w:div>
        <w:div w:id="1570580579">
          <w:marLeft w:val="0"/>
          <w:marRight w:val="0"/>
          <w:marTop w:val="0"/>
          <w:marBottom w:val="0"/>
          <w:divBdr>
            <w:top w:val="none" w:sz="0" w:space="0" w:color="auto"/>
            <w:left w:val="none" w:sz="0" w:space="0" w:color="auto"/>
            <w:bottom w:val="none" w:sz="0" w:space="0" w:color="auto"/>
            <w:right w:val="none" w:sz="0" w:space="0" w:color="auto"/>
          </w:divBdr>
        </w:div>
        <w:div w:id="1872644879">
          <w:marLeft w:val="0"/>
          <w:marRight w:val="0"/>
          <w:marTop w:val="0"/>
          <w:marBottom w:val="0"/>
          <w:divBdr>
            <w:top w:val="none" w:sz="0" w:space="0" w:color="auto"/>
            <w:left w:val="none" w:sz="0" w:space="0" w:color="auto"/>
            <w:bottom w:val="none" w:sz="0" w:space="0" w:color="auto"/>
            <w:right w:val="none" w:sz="0" w:space="0" w:color="auto"/>
          </w:divBdr>
        </w:div>
      </w:divsChild>
    </w:div>
    <w:div w:id="488640961">
      <w:bodyDiv w:val="1"/>
      <w:marLeft w:val="0"/>
      <w:marRight w:val="0"/>
      <w:marTop w:val="0"/>
      <w:marBottom w:val="0"/>
      <w:divBdr>
        <w:top w:val="none" w:sz="0" w:space="0" w:color="auto"/>
        <w:left w:val="none" w:sz="0" w:space="0" w:color="auto"/>
        <w:bottom w:val="none" w:sz="0" w:space="0" w:color="auto"/>
        <w:right w:val="none" w:sz="0" w:space="0" w:color="auto"/>
      </w:divBdr>
    </w:div>
    <w:div w:id="498663802">
      <w:bodyDiv w:val="1"/>
      <w:marLeft w:val="0"/>
      <w:marRight w:val="0"/>
      <w:marTop w:val="0"/>
      <w:marBottom w:val="0"/>
      <w:divBdr>
        <w:top w:val="none" w:sz="0" w:space="0" w:color="auto"/>
        <w:left w:val="none" w:sz="0" w:space="0" w:color="auto"/>
        <w:bottom w:val="none" w:sz="0" w:space="0" w:color="auto"/>
        <w:right w:val="none" w:sz="0" w:space="0" w:color="auto"/>
      </w:divBdr>
    </w:div>
    <w:div w:id="547230699">
      <w:bodyDiv w:val="1"/>
      <w:marLeft w:val="0"/>
      <w:marRight w:val="0"/>
      <w:marTop w:val="0"/>
      <w:marBottom w:val="0"/>
      <w:divBdr>
        <w:top w:val="none" w:sz="0" w:space="0" w:color="auto"/>
        <w:left w:val="none" w:sz="0" w:space="0" w:color="auto"/>
        <w:bottom w:val="none" w:sz="0" w:space="0" w:color="auto"/>
        <w:right w:val="none" w:sz="0" w:space="0" w:color="auto"/>
      </w:divBdr>
    </w:div>
    <w:div w:id="589701271">
      <w:bodyDiv w:val="1"/>
      <w:marLeft w:val="0"/>
      <w:marRight w:val="0"/>
      <w:marTop w:val="0"/>
      <w:marBottom w:val="0"/>
      <w:divBdr>
        <w:top w:val="none" w:sz="0" w:space="0" w:color="auto"/>
        <w:left w:val="none" w:sz="0" w:space="0" w:color="auto"/>
        <w:bottom w:val="none" w:sz="0" w:space="0" w:color="auto"/>
        <w:right w:val="none" w:sz="0" w:space="0" w:color="auto"/>
      </w:divBdr>
    </w:div>
    <w:div w:id="617183819">
      <w:bodyDiv w:val="1"/>
      <w:marLeft w:val="0"/>
      <w:marRight w:val="0"/>
      <w:marTop w:val="0"/>
      <w:marBottom w:val="0"/>
      <w:divBdr>
        <w:top w:val="none" w:sz="0" w:space="0" w:color="auto"/>
        <w:left w:val="none" w:sz="0" w:space="0" w:color="auto"/>
        <w:bottom w:val="none" w:sz="0" w:space="0" w:color="auto"/>
        <w:right w:val="none" w:sz="0" w:space="0" w:color="auto"/>
      </w:divBdr>
    </w:div>
    <w:div w:id="682316835">
      <w:bodyDiv w:val="1"/>
      <w:marLeft w:val="0"/>
      <w:marRight w:val="0"/>
      <w:marTop w:val="0"/>
      <w:marBottom w:val="0"/>
      <w:divBdr>
        <w:top w:val="none" w:sz="0" w:space="0" w:color="auto"/>
        <w:left w:val="none" w:sz="0" w:space="0" w:color="auto"/>
        <w:bottom w:val="none" w:sz="0" w:space="0" w:color="auto"/>
        <w:right w:val="none" w:sz="0" w:space="0" w:color="auto"/>
      </w:divBdr>
      <w:divsChild>
        <w:div w:id="969942350">
          <w:marLeft w:val="0"/>
          <w:marRight w:val="0"/>
          <w:marTop w:val="0"/>
          <w:marBottom w:val="0"/>
          <w:divBdr>
            <w:top w:val="none" w:sz="0" w:space="0" w:color="auto"/>
            <w:left w:val="none" w:sz="0" w:space="0" w:color="auto"/>
            <w:bottom w:val="none" w:sz="0" w:space="0" w:color="auto"/>
            <w:right w:val="none" w:sz="0" w:space="0" w:color="auto"/>
          </w:divBdr>
        </w:div>
        <w:div w:id="907229007">
          <w:marLeft w:val="0"/>
          <w:marRight w:val="0"/>
          <w:marTop w:val="0"/>
          <w:marBottom w:val="0"/>
          <w:divBdr>
            <w:top w:val="none" w:sz="0" w:space="0" w:color="auto"/>
            <w:left w:val="none" w:sz="0" w:space="0" w:color="auto"/>
            <w:bottom w:val="none" w:sz="0" w:space="0" w:color="auto"/>
            <w:right w:val="none" w:sz="0" w:space="0" w:color="auto"/>
          </w:divBdr>
        </w:div>
        <w:div w:id="1754086702">
          <w:marLeft w:val="0"/>
          <w:marRight w:val="0"/>
          <w:marTop w:val="0"/>
          <w:marBottom w:val="0"/>
          <w:divBdr>
            <w:top w:val="none" w:sz="0" w:space="0" w:color="auto"/>
            <w:left w:val="none" w:sz="0" w:space="0" w:color="auto"/>
            <w:bottom w:val="none" w:sz="0" w:space="0" w:color="auto"/>
            <w:right w:val="none" w:sz="0" w:space="0" w:color="auto"/>
          </w:divBdr>
        </w:div>
      </w:divsChild>
    </w:div>
    <w:div w:id="704142520">
      <w:bodyDiv w:val="1"/>
      <w:marLeft w:val="0"/>
      <w:marRight w:val="0"/>
      <w:marTop w:val="0"/>
      <w:marBottom w:val="0"/>
      <w:divBdr>
        <w:top w:val="none" w:sz="0" w:space="0" w:color="auto"/>
        <w:left w:val="none" w:sz="0" w:space="0" w:color="auto"/>
        <w:bottom w:val="none" w:sz="0" w:space="0" w:color="auto"/>
        <w:right w:val="none" w:sz="0" w:space="0" w:color="auto"/>
      </w:divBdr>
    </w:div>
    <w:div w:id="707611398">
      <w:bodyDiv w:val="1"/>
      <w:marLeft w:val="0"/>
      <w:marRight w:val="0"/>
      <w:marTop w:val="0"/>
      <w:marBottom w:val="0"/>
      <w:divBdr>
        <w:top w:val="none" w:sz="0" w:space="0" w:color="auto"/>
        <w:left w:val="none" w:sz="0" w:space="0" w:color="auto"/>
        <w:bottom w:val="none" w:sz="0" w:space="0" w:color="auto"/>
        <w:right w:val="none" w:sz="0" w:space="0" w:color="auto"/>
      </w:divBdr>
    </w:div>
    <w:div w:id="725253685">
      <w:bodyDiv w:val="1"/>
      <w:marLeft w:val="0"/>
      <w:marRight w:val="0"/>
      <w:marTop w:val="0"/>
      <w:marBottom w:val="0"/>
      <w:divBdr>
        <w:top w:val="none" w:sz="0" w:space="0" w:color="auto"/>
        <w:left w:val="none" w:sz="0" w:space="0" w:color="auto"/>
        <w:bottom w:val="none" w:sz="0" w:space="0" w:color="auto"/>
        <w:right w:val="none" w:sz="0" w:space="0" w:color="auto"/>
      </w:divBdr>
    </w:div>
    <w:div w:id="749471757">
      <w:bodyDiv w:val="1"/>
      <w:marLeft w:val="0"/>
      <w:marRight w:val="0"/>
      <w:marTop w:val="0"/>
      <w:marBottom w:val="0"/>
      <w:divBdr>
        <w:top w:val="none" w:sz="0" w:space="0" w:color="auto"/>
        <w:left w:val="none" w:sz="0" w:space="0" w:color="auto"/>
        <w:bottom w:val="none" w:sz="0" w:space="0" w:color="auto"/>
        <w:right w:val="none" w:sz="0" w:space="0" w:color="auto"/>
      </w:divBdr>
      <w:divsChild>
        <w:div w:id="1876624663">
          <w:marLeft w:val="0"/>
          <w:marRight w:val="0"/>
          <w:marTop w:val="0"/>
          <w:marBottom w:val="0"/>
          <w:divBdr>
            <w:top w:val="none" w:sz="0" w:space="0" w:color="auto"/>
            <w:left w:val="none" w:sz="0" w:space="0" w:color="auto"/>
            <w:bottom w:val="none" w:sz="0" w:space="0" w:color="auto"/>
            <w:right w:val="none" w:sz="0" w:space="0" w:color="auto"/>
          </w:divBdr>
        </w:div>
        <w:div w:id="1479880451">
          <w:marLeft w:val="0"/>
          <w:marRight w:val="0"/>
          <w:marTop w:val="0"/>
          <w:marBottom w:val="0"/>
          <w:divBdr>
            <w:top w:val="none" w:sz="0" w:space="0" w:color="auto"/>
            <w:left w:val="none" w:sz="0" w:space="0" w:color="auto"/>
            <w:bottom w:val="none" w:sz="0" w:space="0" w:color="auto"/>
            <w:right w:val="none" w:sz="0" w:space="0" w:color="auto"/>
          </w:divBdr>
        </w:div>
        <w:div w:id="456879973">
          <w:marLeft w:val="0"/>
          <w:marRight w:val="0"/>
          <w:marTop w:val="0"/>
          <w:marBottom w:val="0"/>
          <w:divBdr>
            <w:top w:val="none" w:sz="0" w:space="0" w:color="auto"/>
            <w:left w:val="none" w:sz="0" w:space="0" w:color="auto"/>
            <w:bottom w:val="none" w:sz="0" w:space="0" w:color="auto"/>
            <w:right w:val="none" w:sz="0" w:space="0" w:color="auto"/>
          </w:divBdr>
        </w:div>
      </w:divsChild>
    </w:div>
    <w:div w:id="754934212">
      <w:bodyDiv w:val="1"/>
      <w:marLeft w:val="0"/>
      <w:marRight w:val="0"/>
      <w:marTop w:val="0"/>
      <w:marBottom w:val="0"/>
      <w:divBdr>
        <w:top w:val="none" w:sz="0" w:space="0" w:color="auto"/>
        <w:left w:val="none" w:sz="0" w:space="0" w:color="auto"/>
        <w:bottom w:val="none" w:sz="0" w:space="0" w:color="auto"/>
        <w:right w:val="none" w:sz="0" w:space="0" w:color="auto"/>
      </w:divBdr>
    </w:div>
    <w:div w:id="775951279">
      <w:bodyDiv w:val="1"/>
      <w:marLeft w:val="0"/>
      <w:marRight w:val="0"/>
      <w:marTop w:val="0"/>
      <w:marBottom w:val="0"/>
      <w:divBdr>
        <w:top w:val="none" w:sz="0" w:space="0" w:color="auto"/>
        <w:left w:val="none" w:sz="0" w:space="0" w:color="auto"/>
        <w:bottom w:val="none" w:sz="0" w:space="0" w:color="auto"/>
        <w:right w:val="none" w:sz="0" w:space="0" w:color="auto"/>
      </w:divBdr>
      <w:divsChild>
        <w:div w:id="1129543356">
          <w:marLeft w:val="0"/>
          <w:marRight w:val="0"/>
          <w:marTop w:val="0"/>
          <w:marBottom w:val="0"/>
          <w:divBdr>
            <w:top w:val="none" w:sz="0" w:space="0" w:color="auto"/>
            <w:left w:val="none" w:sz="0" w:space="0" w:color="auto"/>
            <w:bottom w:val="none" w:sz="0" w:space="0" w:color="auto"/>
            <w:right w:val="none" w:sz="0" w:space="0" w:color="auto"/>
          </w:divBdr>
          <w:divsChild>
            <w:div w:id="1146976315">
              <w:marLeft w:val="0"/>
              <w:marRight w:val="0"/>
              <w:marTop w:val="0"/>
              <w:marBottom w:val="0"/>
              <w:divBdr>
                <w:top w:val="none" w:sz="0" w:space="0" w:color="auto"/>
                <w:left w:val="none" w:sz="0" w:space="0" w:color="auto"/>
                <w:bottom w:val="none" w:sz="0" w:space="0" w:color="auto"/>
                <w:right w:val="none" w:sz="0" w:space="0" w:color="auto"/>
              </w:divBdr>
            </w:div>
            <w:div w:id="707993293">
              <w:marLeft w:val="0"/>
              <w:marRight w:val="0"/>
              <w:marTop w:val="0"/>
              <w:marBottom w:val="0"/>
              <w:divBdr>
                <w:top w:val="none" w:sz="0" w:space="0" w:color="auto"/>
                <w:left w:val="none" w:sz="0" w:space="0" w:color="auto"/>
                <w:bottom w:val="none" w:sz="0" w:space="0" w:color="auto"/>
                <w:right w:val="none" w:sz="0" w:space="0" w:color="auto"/>
              </w:divBdr>
            </w:div>
            <w:div w:id="767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1285">
      <w:bodyDiv w:val="1"/>
      <w:marLeft w:val="0"/>
      <w:marRight w:val="0"/>
      <w:marTop w:val="0"/>
      <w:marBottom w:val="0"/>
      <w:divBdr>
        <w:top w:val="none" w:sz="0" w:space="0" w:color="auto"/>
        <w:left w:val="none" w:sz="0" w:space="0" w:color="auto"/>
        <w:bottom w:val="none" w:sz="0" w:space="0" w:color="auto"/>
        <w:right w:val="none" w:sz="0" w:space="0" w:color="auto"/>
      </w:divBdr>
      <w:divsChild>
        <w:div w:id="190265414">
          <w:marLeft w:val="0"/>
          <w:marRight w:val="0"/>
          <w:marTop w:val="0"/>
          <w:marBottom w:val="0"/>
          <w:divBdr>
            <w:top w:val="none" w:sz="0" w:space="0" w:color="auto"/>
            <w:left w:val="none" w:sz="0" w:space="0" w:color="auto"/>
            <w:bottom w:val="none" w:sz="0" w:space="0" w:color="auto"/>
            <w:right w:val="none" w:sz="0" w:space="0" w:color="auto"/>
          </w:divBdr>
        </w:div>
        <w:div w:id="1937325942">
          <w:marLeft w:val="0"/>
          <w:marRight w:val="0"/>
          <w:marTop w:val="0"/>
          <w:marBottom w:val="0"/>
          <w:divBdr>
            <w:top w:val="none" w:sz="0" w:space="0" w:color="auto"/>
            <w:left w:val="none" w:sz="0" w:space="0" w:color="auto"/>
            <w:bottom w:val="none" w:sz="0" w:space="0" w:color="auto"/>
            <w:right w:val="none" w:sz="0" w:space="0" w:color="auto"/>
          </w:divBdr>
        </w:div>
        <w:div w:id="641350730">
          <w:marLeft w:val="0"/>
          <w:marRight w:val="0"/>
          <w:marTop w:val="0"/>
          <w:marBottom w:val="0"/>
          <w:divBdr>
            <w:top w:val="none" w:sz="0" w:space="0" w:color="auto"/>
            <w:left w:val="none" w:sz="0" w:space="0" w:color="auto"/>
            <w:bottom w:val="none" w:sz="0" w:space="0" w:color="auto"/>
            <w:right w:val="none" w:sz="0" w:space="0" w:color="auto"/>
          </w:divBdr>
        </w:div>
        <w:div w:id="97675329">
          <w:marLeft w:val="0"/>
          <w:marRight w:val="0"/>
          <w:marTop w:val="0"/>
          <w:marBottom w:val="0"/>
          <w:divBdr>
            <w:top w:val="none" w:sz="0" w:space="0" w:color="auto"/>
            <w:left w:val="none" w:sz="0" w:space="0" w:color="auto"/>
            <w:bottom w:val="none" w:sz="0" w:space="0" w:color="auto"/>
            <w:right w:val="none" w:sz="0" w:space="0" w:color="auto"/>
          </w:divBdr>
        </w:div>
        <w:div w:id="485056534">
          <w:marLeft w:val="0"/>
          <w:marRight w:val="0"/>
          <w:marTop w:val="0"/>
          <w:marBottom w:val="0"/>
          <w:divBdr>
            <w:top w:val="none" w:sz="0" w:space="0" w:color="auto"/>
            <w:left w:val="none" w:sz="0" w:space="0" w:color="auto"/>
            <w:bottom w:val="none" w:sz="0" w:space="0" w:color="auto"/>
            <w:right w:val="none" w:sz="0" w:space="0" w:color="auto"/>
          </w:divBdr>
        </w:div>
        <w:div w:id="1325236169">
          <w:marLeft w:val="0"/>
          <w:marRight w:val="0"/>
          <w:marTop w:val="0"/>
          <w:marBottom w:val="0"/>
          <w:divBdr>
            <w:top w:val="none" w:sz="0" w:space="0" w:color="auto"/>
            <w:left w:val="none" w:sz="0" w:space="0" w:color="auto"/>
            <w:bottom w:val="none" w:sz="0" w:space="0" w:color="auto"/>
            <w:right w:val="none" w:sz="0" w:space="0" w:color="auto"/>
          </w:divBdr>
        </w:div>
        <w:div w:id="1581789344">
          <w:marLeft w:val="0"/>
          <w:marRight w:val="0"/>
          <w:marTop w:val="0"/>
          <w:marBottom w:val="0"/>
          <w:divBdr>
            <w:top w:val="none" w:sz="0" w:space="0" w:color="auto"/>
            <w:left w:val="none" w:sz="0" w:space="0" w:color="auto"/>
            <w:bottom w:val="none" w:sz="0" w:space="0" w:color="auto"/>
            <w:right w:val="none" w:sz="0" w:space="0" w:color="auto"/>
          </w:divBdr>
        </w:div>
        <w:div w:id="325670819">
          <w:marLeft w:val="0"/>
          <w:marRight w:val="0"/>
          <w:marTop w:val="0"/>
          <w:marBottom w:val="0"/>
          <w:divBdr>
            <w:top w:val="none" w:sz="0" w:space="0" w:color="auto"/>
            <w:left w:val="none" w:sz="0" w:space="0" w:color="auto"/>
            <w:bottom w:val="none" w:sz="0" w:space="0" w:color="auto"/>
            <w:right w:val="none" w:sz="0" w:space="0" w:color="auto"/>
          </w:divBdr>
        </w:div>
        <w:div w:id="956062751">
          <w:marLeft w:val="0"/>
          <w:marRight w:val="0"/>
          <w:marTop w:val="0"/>
          <w:marBottom w:val="0"/>
          <w:divBdr>
            <w:top w:val="none" w:sz="0" w:space="0" w:color="auto"/>
            <w:left w:val="none" w:sz="0" w:space="0" w:color="auto"/>
            <w:bottom w:val="none" w:sz="0" w:space="0" w:color="auto"/>
            <w:right w:val="none" w:sz="0" w:space="0" w:color="auto"/>
          </w:divBdr>
        </w:div>
        <w:div w:id="592664949">
          <w:marLeft w:val="0"/>
          <w:marRight w:val="0"/>
          <w:marTop w:val="0"/>
          <w:marBottom w:val="0"/>
          <w:divBdr>
            <w:top w:val="none" w:sz="0" w:space="0" w:color="auto"/>
            <w:left w:val="none" w:sz="0" w:space="0" w:color="auto"/>
            <w:bottom w:val="none" w:sz="0" w:space="0" w:color="auto"/>
            <w:right w:val="none" w:sz="0" w:space="0" w:color="auto"/>
          </w:divBdr>
        </w:div>
        <w:div w:id="8220573">
          <w:marLeft w:val="0"/>
          <w:marRight w:val="0"/>
          <w:marTop w:val="0"/>
          <w:marBottom w:val="0"/>
          <w:divBdr>
            <w:top w:val="none" w:sz="0" w:space="0" w:color="auto"/>
            <w:left w:val="none" w:sz="0" w:space="0" w:color="auto"/>
            <w:bottom w:val="none" w:sz="0" w:space="0" w:color="auto"/>
            <w:right w:val="none" w:sz="0" w:space="0" w:color="auto"/>
          </w:divBdr>
        </w:div>
        <w:div w:id="370151411">
          <w:marLeft w:val="0"/>
          <w:marRight w:val="0"/>
          <w:marTop w:val="0"/>
          <w:marBottom w:val="0"/>
          <w:divBdr>
            <w:top w:val="none" w:sz="0" w:space="0" w:color="auto"/>
            <w:left w:val="none" w:sz="0" w:space="0" w:color="auto"/>
            <w:bottom w:val="none" w:sz="0" w:space="0" w:color="auto"/>
            <w:right w:val="none" w:sz="0" w:space="0" w:color="auto"/>
          </w:divBdr>
        </w:div>
        <w:div w:id="1801069700">
          <w:marLeft w:val="0"/>
          <w:marRight w:val="0"/>
          <w:marTop w:val="0"/>
          <w:marBottom w:val="0"/>
          <w:divBdr>
            <w:top w:val="none" w:sz="0" w:space="0" w:color="auto"/>
            <w:left w:val="none" w:sz="0" w:space="0" w:color="auto"/>
            <w:bottom w:val="none" w:sz="0" w:space="0" w:color="auto"/>
            <w:right w:val="none" w:sz="0" w:space="0" w:color="auto"/>
          </w:divBdr>
        </w:div>
        <w:div w:id="1632979137">
          <w:marLeft w:val="0"/>
          <w:marRight w:val="0"/>
          <w:marTop w:val="0"/>
          <w:marBottom w:val="0"/>
          <w:divBdr>
            <w:top w:val="none" w:sz="0" w:space="0" w:color="auto"/>
            <w:left w:val="none" w:sz="0" w:space="0" w:color="auto"/>
            <w:bottom w:val="none" w:sz="0" w:space="0" w:color="auto"/>
            <w:right w:val="none" w:sz="0" w:space="0" w:color="auto"/>
          </w:divBdr>
        </w:div>
        <w:div w:id="696850820">
          <w:marLeft w:val="0"/>
          <w:marRight w:val="0"/>
          <w:marTop w:val="0"/>
          <w:marBottom w:val="0"/>
          <w:divBdr>
            <w:top w:val="none" w:sz="0" w:space="0" w:color="auto"/>
            <w:left w:val="none" w:sz="0" w:space="0" w:color="auto"/>
            <w:bottom w:val="none" w:sz="0" w:space="0" w:color="auto"/>
            <w:right w:val="none" w:sz="0" w:space="0" w:color="auto"/>
          </w:divBdr>
        </w:div>
        <w:div w:id="1676104155">
          <w:marLeft w:val="0"/>
          <w:marRight w:val="0"/>
          <w:marTop w:val="0"/>
          <w:marBottom w:val="0"/>
          <w:divBdr>
            <w:top w:val="none" w:sz="0" w:space="0" w:color="auto"/>
            <w:left w:val="none" w:sz="0" w:space="0" w:color="auto"/>
            <w:bottom w:val="none" w:sz="0" w:space="0" w:color="auto"/>
            <w:right w:val="none" w:sz="0" w:space="0" w:color="auto"/>
          </w:divBdr>
        </w:div>
        <w:div w:id="1702970649">
          <w:marLeft w:val="0"/>
          <w:marRight w:val="0"/>
          <w:marTop w:val="0"/>
          <w:marBottom w:val="0"/>
          <w:divBdr>
            <w:top w:val="none" w:sz="0" w:space="0" w:color="auto"/>
            <w:left w:val="none" w:sz="0" w:space="0" w:color="auto"/>
            <w:bottom w:val="none" w:sz="0" w:space="0" w:color="auto"/>
            <w:right w:val="none" w:sz="0" w:space="0" w:color="auto"/>
          </w:divBdr>
        </w:div>
        <w:div w:id="2009138756">
          <w:marLeft w:val="0"/>
          <w:marRight w:val="0"/>
          <w:marTop w:val="0"/>
          <w:marBottom w:val="0"/>
          <w:divBdr>
            <w:top w:val="none" w:sz="0" w:space="0" w:color="auto"/>
            <w:left w:val="none" w:sz="0" w:space="0" w:color="auto"/>
            <w:bottom w:val="none" w:sz="0" w:space="0" w:color="auto"/>
            <w:right w:val="none" w:sz="0" w:space="0" w:color="auto"/>
          </w:divBdr>
        </w:div>
        <w:div w:id="1790396745">
          <w:marLeft w:val="0"/>
          <w:marRight w:val="0"/>
          <w:marTop w:val="0"/>
          <w:marBottom w:val="0"/>
          <w:divBdr>
            <w:top w:val="none" w:sz="0" w:space="0" w:color="auto"/>
            <w:left w:val="none" w:sz="0" w:space="0" w:color="auto"/>
            <w:bottom w:val="none" w:sz="0" w:space="0" w:color="auto"/>
            <w:right w:val="none" w:sz="0" w:space="0" w:color="auto"/>
          </w:divBdr>
        </w:div>
        <w:div w:id="488064161">
          <w:marLeft w:val="0"/>
          <w:marRight w:val="0"/>
          <w:marTop w:val="0"/>
          <w:marBottom w:val="0"/>
          <w:divBdr>
            <w:top w:val="none" w:sz="0" w:space="0" w:color="auto"/>
            <w:left w:val="none" w:sz="0" w:space="0" w:color="auto"/>
            <w:bottom w:val="none" w:sz="0" w:space="0" w:color="auto"/>
            <w:right w:val="none" w:sz="0" w:space="0" w:color="auto"/>
          </w:divBdr>
        </w:div>
        <w:div w:id="1850833680">
          <w:marLeft w:val="0"/>
          <w:marRight w:val="0"/>
          <w:marTop w:val="0"/>
          <w:marBottom w:val="0"/>
          <w:divBdr>
            <w:top w:val="none" w:sz="0" w:space="0" w:color="auto"/>
            <w:left w:val="none" w:sz="0" w:space="0" w:color="auto"/>
            <w:bottom w:val="none" w:sz="0" w:space="0" w:color="auto"/>
            <w:right w:val="none" w:sz="0" w:space="0" w:color="auto"/>
          </w:divBdr>
        </w:div>
        <w:div w:id="1236477569">
          <w:marLeft w:val="0"/>
          <w:marRight w:val="0"/>
          <w:marTop w:val="0"/>
          <w:marBottom w:val="0"/>
          <w:divBdr>
            <w:top w:val="none" w:sz="0" w:space="0" w:color="auto"/>
            <w:left w:val="none" w:sz="0" w:space="0" w:color="auto"/>
            <w:bottom w:val="none" w:sz="0" w:space="0" w:color="auto"/>
            <w:right w:val="none" w:sz="0" w:space="0" w:color="auto"/>
          </w:divBdr>
        </w:div>
        <w:div w:id="1081485172">
          <w:marLeft w:val="0"/>
          <w:marRight w:val="0"/>
          <w:marTop w:val="0"/>
          <w:marBottom w:val="0"/>
          <w:divBdr>
            <w:top w:val="none" w:sz="0" w:space="0" w:color="auto"/>
            <w:left w:val="none" w:sz="0" w:space="0" w:color="auto"/>
            <w:bottom w:val="none" w:sz="0" w:space="0" w:color="auto"/>
            <w:right w:val="none" w:sz="0" w:space="0" w:color="auto"/>
          </w:divBdr>
        </w:div>
        <w:div w:id="391199464">
          <w:marLeft w:val="0"/>
          <w:marRight w:val="0"/>
          <w:marTop w:val="0"/>
          <w:marBottom w:val="0"/>
          <w:divBdr>
            <w:top w:val="none" w:sz="0" w:space="0" w:color="auto"/>
            <w:left w:val="none" w:sz="0" w:space="0" w:color="auto"/>
            <w:bottom w:val="none" w:sz="0" w:space="0" w:color="auto"/>
            <w:right w:val="none" w:sz="0" w:space="0" w:color="auto"/>
          </w:divBdr>
        </w:div>
        <w:div w:id="1762067202">
          <w:marLeft w:val="0"/>
          <w:marRight w:val="0"/>
          <w:marTop w:val="0"/>
          <w:marBottom w:val="0"/>
          <w:divBdr>
            <w:top w:val="none" w:sz="0" w:space="0" w:color="auto"/>
            <w:left w:val="none" w:sz="0" w:space="0" w:color="auto"/>
            <w:bottom w:val="none" w:sz="0" w:space="0" w:color="auto"/>
            <w:right w:val="none" w:sz="0" w:space="0" w:color="auto"/>
          </w:divBdr>
        </w:div>
        <w:div w:id="1969774259">
          <w:marLeft w:val="0"/>
          <w:marRight w:val="0"/>
          <w:marTop w:val="0"/>
          <w:marBottom w:val="0"/>
          <w:divBdr>
            <w:top w:val="none" w:sz="0" w:space="0" w:color="auto"/>
            <w:left w:val="none" w:sz="0" w:space="0" w:color="auto"/>
            <w:bottom w:val="none" w:sz="0" w:space="0" w:color="auto"/>
            <w:right w:val="none" w:sz="0" w:space="0" w:color="auto"/>
          </w:divBdr>
        </w:div>
        <w:div w:id="421801908">
          <w:marLeft w:val="0"/>
          <w:marRight w:val="0"/>
          <w:marTop w:val="0"/>
          <w:marBottom w:val="0"/>
          <w:divBdr>
            <w:top w:val="none" w:sz="0" w:space="0" w:color="auto"/>
            <w:left w:val="none" w:sz="0" w:space="0" w:color="auto"/>
            <w:bottom w:val="none" w:sz="0" w:space="0" w:color="auto"/>
            <w:right w:val="none" w:sz="0" w:space="0" w:color="auto"/>
          </w:divBdr>
        </w:div>
        <w:div w:id="518396961">
          <w:marLeft w:val="0"/>
          <w:marRight w:val="0"/>
          <w:marTop w:val="0"/>
          <w:marBottom w:val="0"/>
          <w:divBdr>
            <w:top w:val="none" w:sz="0" w:space="0" w:color="auto"/>
            <w:left w:val="none" w:sz="0" w:space="0" w:color="auto"/>
            <w:bottom w:val="none" w:sz="0" w:space="0" w:color="auto"/>
            <w:right w:val="none" w:sz="0" w:space="0" w:color="auto"/>
          </w:divBdr>
        </w:div>
        <w:div w:id="806624046">
          <w:marLeft w:val="0"/>
          <w:marRight w:val="0"/>
          <w:marTop w:val="0"/>
          <w:marBottom w:val="0"/>
          <w:divBdr>
            <w:top w:val="none" w:sz="0" w:space="0" w:color="auto"/>
            <w:left w:val="none" w:sz="0" w:space="0" w:color="auto"/>
            <w:bottom w:val="none" w:sz="0" w:space="0" w:color="auto"/>
            <w:right w:val="none" w:sz="0" w:space="0" w:color="auto"/>
          </w:divBdr>
        </w:div>
        <w:div w:id="1345472502">
          <w:marLeft w:val="0"/>
          <w:marRight w:val="0"/>
          <w:marTop w:val="0"/>
          <w:marBottom w:val="0"/>
          <w:divBdr>
            <w:top w:val="none" w:sz="0" w:space="0" w:color="auto"/>
            <w:left w:val="none" w:sz="0" w:space="0" w:color="auto"/>
            <w:bottom w:val="none" w:sz="0" w:space="0" w:color="auto"/>
            <w:right w:val="none" w:sz="0" w:space="0" w:color="auto"/>
          </w:divBdr>
        </w:div>
        <w:div w:id="1317221965">
          <w:marLeft w:val="0"/>
          <w:marRight w:val="0"/>
          <w:marTop w:val="0"/>
          <w:marBottom w:val="0"/>
          <w:divBdr>
            <w:top w:val="none" w:sz="0" w:space="0" w:color="auto"/>
            <w:left w:val="none" w:sz="0" w:space="0" w:color="auto"/>
            <w:bottom w:val="none" w:sz="0" w:space="0" w:color="auto"/>
            <w:right w:val="none" w:sz="0" w:space="0" w:color="auto"/>
          </w:divBdr>
        </w:div>
        <w:div w:id="758793729">
          <w:marLeft w:val="0"/>
          <w:marRight w:val="0"/>
          <w:marTop w:val="0"/>
          <w:marBottom w:val="0"/>
          <w:divBdr>
            <w:top w:val="none" w:sz="0" w:space="0" w:color="auto"/>
            <w:left w:val="none" w:sz="0" w:space="0" w:color="auto"/>
            <w:bottom w:val="none" w:sz="0" w:space="0" w:color="auto"/>
            <w:right w:val="none" w:sz="0" w:space="0" w:color="auto"/>
          </w:divBdr>
        </w:div>
        <w:div w:id="916011335">
          <w:marLeft w:val="0"/>
          <w:marRight w:val="0"/>
          <w:marTop w:val="0"/>
          <w:marBottom w:val="0"/>
          <w:divBdr>
            <w:top w:val="none" w:sz="0" w:space="0" w:color="auto"/>
            <w:left w:val="none" w:sz="0" w:space="0" w:color="auto"/>
            <w:bottom w:val="none" w:sz="0" w:space="0" w:color="auto"/>
            <w:right w:val="none" w:sz="0" w:space="0" w:color="auto"/>
          </w:divBdr>
        </w:div>
        <w:div w:id="65491817">
          <w:marLeft w:val="0"/>
          <w:marRight w:val="0"/>
          <w:marTop w:val="0"/>
          <w:marBottom w:val="0"/>
          <w:divBdr>
            <w:top w:val="none" w:sz="0" w:space="0" w:color="auto"/>
            <w:left w:val="none" w:sz="0" w:space="0" w:color="auto"/>
            <w:bottom w:val="none" w:sz="0" w:space="0" w:color="auto"/>
            <w:right w:val="none" w:sz="0" w:space="0" w:color="auto"/>
          </w:divBdr>
        </w:div>
        <w:div w:id="221524126">
          <w:marLeft w:val="0"/>
          <w:marRight w:val="0"/>
          <w:marTop w:val="0"/>
          <w:marBottom w:val="0"/>
          <w:divBdr>
            <w:top w:val="none" w:sz="0" w:space="0" w:color="auto"/>
            <w:left w:val="none" w:sz="0" w:space="0" w:color="auto"/>
            <w:bottom w:val="none" w:sz="0" w:space="0" w:color="auto"/>
            <w:right w:val="none" w:sz="0" w:space="0" w:color="auto"/>
          </w:divBdr>
        </w:div>
      </w:divsChild>
    </w:div>
    <w:div w:id="855457428">
      <w:bodyDiv w:val="1"/>
      <w:marLeft w:val="0"/>
      <w:marRight w:val="0"/>
      <w:marTop w:val="0"/>
      <w:marBottom w:val="0"/>
      <w:divBdr>
        <w:top w:val="none" w:sz="0" w:space="0" w:color="auto"/>
        <w:left w:val="none" w:sz="0" w:space="0" w:color="auto"/>
        <w:bottom w:val="none" w:sz="0" w:space="0" w:color="auto"/>
        <w:right w:val="none" w:sz="0" w:space="0" w:color="auto"/>
      </w:divBdr>
    </w:div>
    <w:div w:id="894775574">
      <w:bodyDiv w:val="1"/>
      <w:marLeft w:val="0"/>
      <w:marRight w:val="0"/>
      <w:marTop w:val="0"/>
      <w:marBottom w:val="0"/>
      <w:divBdr>
        <w:top w:val="none" w:sz="0" w:space="0" w:color="auto"/>
        <w:left w:val="none" w:sz="0" w:space="0" w:color="auto"/>
        <w:bottom w:val="none" w:sz="0" w:space="0" w:color="auto"/>
        <w:right w:val="none" w:sz="0" w:space="0" w:color="auto"/>
      </w:divBdr>
    </w:div>
    <w:div w:id="929780335">
      <w:bodyDiv w:val="1"/>
      <w:marLeft w:val="0"/>
      <w:marRight w:val="0"/>
      <w:marTop w:val="0"/>
      <w:marBottom w:val="0"/>
      <w:divBdr>
        <w:top w:val="none" w:sz="0" w:space="0" w:color="auto"/>
        <w:left w:val="none" w:sz="0" w:space="0" w:color="auto"/>
        <w:bottom w:val="none" w:sz="0" w:space="0" w:color="auto"/>
        <w:right w:val="none" w:sz="0" w:space="0" w:color="auto"/>
      </w:divBdr>
    </w:div>
    <w:div w:id="1029598800">
      <w:bodyDiv w:val="1"/>
      <w:marLeft w:val="0"/>
      <w:marRight w:val="0"/>
      <w:marTop w:val="0"/>
      <w:marBottom w:val="0"/>
      <w:divBdr>
        <w:top w:val="none" w:sz="0" w:space="0" w:color="auto"/>
        <w:left w:val="none" w:sz="0" w:space="0" w:color="auto"/>
        <w:bottom w:val="none" w:sz="0" w:space="0" w:color="auto"/>
        <w:right w:val="none" w:sz="0" w:space="0" w:color="auto"/>
      </w:divBdr>
    </w:div>
    <w:div w:id="1038897413">
      <w:bodyDiv w:val="1"/>
      <w:marLeft w:val="0"/>
      <w:marRight w:val="0"/>
      <w:marTop w:val="0"/>
      <w:marBottom w:val="0"/>
      <w:divBdr>
        <w:top w:val="none" w:sz="0" w:space="0" w:color="auto"/>
        <w:left w:val="none" w:sz="0" w:space="0" w:color="auto"/>
        <w:bottom w:val="none" w:sz="0" w:space="0" w:color="auto"/>
        <w:right w:val="none" w:sz="0" w:space="0" w:color="auto"/>
      </w:divBdr>
    </w:div>
    <w:div w:id="1134182557">
      <w:bodyDiv w:val="1"/>
      <w:marLeft w:val="0"/>
      <w:marRight w:val="0"/>
      <w:marTop w:val="0"/>
      <w:marBottom w:val="0"/>
      <w:divBdr>
        <w:top w:val="none" w:sz="0" w:space="0" w:color="auto"/>
        <w:left w:val="none" w:sz="0" w:space="0" w:color="auto"/>
        <w:bottom w:val="none" w:sz="0" w:space="0" w:color="auto"/>
        <w:right w:val="none" w:sz="0" w:space="0" w:color="auto"/>
      </w:divBdr>
    </w:div>
    <w:div w:id="1137190065">
      <w:bodyDiv w:val="1"/>
      <w:marLeft w:val="0"/>
      <w:marRight w:val="0"/>
      <w:marTop w:val="0"/>
      <w:marBottom w:val="0"/>
      <w:divBdr>
        <w:top w:val="none" w:sz="0" w:space="0" w:color="auto"/>
        <w:left w:val="none" w:sz="0" w:space="0" w:color="auto"/>
        <w:bottom w:val="none" w:sz="0" w:space="0" w:color="auto"/>
        <w:right w:val="none" w:sz="0" w:space="0" w:color="auto"/>
      </w:divBdr>
    </w:div>
    <w:div w:id="1349020628">
      <w:bodyDiv w:val="1"/>
      <w:marLeft w:val="0"/>
      <w:marRight w:val="0"/>
      <w:marTop w:val="0"/>
      <w:marBottom w:val="0"/>
      <w:divBdr>
        <w:top w:val="none" w:sz="0" w:space="0" w:color="auto"/>
        <w:left w:val="none" w:sz="0" w:space="0" w:color="auto"/>
        <w:bottom w:val="none" w:sz="0" w:space="0" w:color="auto"/>
        <w:right w:val="none" w:sz="0" w:space="0" w:color="auto"/>
      </w:divBdr>
    </w:div>
    <w:div w:id="1366324786">
      <w:bodyDiv w:val="1"/>
      <w:marLeft w:val="0"/>
      <w:marRight w:val="0"/>
      <w:marTop w:val="0"/>
      <w:marBottom w:val="0"/>
      <w:divBdr>
        <w:top w:val="none" w:sz="0" w:space="0" w:color="auto"/>
        <w:left w:val="none" w:sz="0" w:space="0" w:color="auto"/>
        <w:bottom w:val="none" w:sz="0" w:space="0" w:color="auto"/>
        <w:right w:val="none" w:sz="0" w:space="0" w:color="auto"/>
      </w:divBdr>
      <w:divsChild>
        <w:div w:id="80101816">
          <w:marLeft w:val="274"/>
          <w:marRight w:val="0"/>
          <w:marTop w:val="0"/>
          <w:marBottom w:val="0"/>
          <w:divBdr>
            <w:top w:val="none" w:sz="0" w:space="0" w:color="auto"/>
            <w:left w:val="none" w:sz="0" w:space="0" w:color="auto"/>
            <w:bottom w:val="none" w:sz="0" w:space="0" w:color="auto"/>
            <w:right w:val="none" w:sz="0" w:space="0" w:color="auto"/>
          </w:divBdr>
        </w:div>
        <w:div w:id="254703983">
          <w:marLeft w:val="274"/>
          <w:marRight w:val="0"/>
          <w:marTop w:val="0"/>
          <w:marBottom w:val="0"/>
          <w:divBdr>
            <w:top w:val="none" w:sz="0" w:space="0" w:color="auto"/>
            <w:left w:val="none" w:sz="0" w:space="0" w:color="auto"/>
            <w:bottom w:val="none" w:sz="0" w:space="0" w:color="auto"/>
            <w:right w:val="none" w:sz="0" w:space="0" w:color="auto"/>
          </w:divBdr>
        </w:div>
        <w:div w:id="1787658057">
          <w:marLeft w:val="274"/>
          <w:marRight w:val="0"/>
          <w:marTop w:val="0"/>
          <w:marBottom w:val="0"/>
          <w:divBdr>
            <w:top w:val="none" w:sz="0" w:space="0" w:color="auto"/>
            <w:left w:val="none" w:sz="0" w:space="0" w:color="auto"/>
            <w:bottom w:val="none" w:sz="0" w:space="0" w:color="auto"/>
            <w:right w:val="none" w:sz="0" w:space="0" w:color="auto"/>
          </w:divBdr>
        </w:div>
      </w:divsChild>
    </w:div>
    <w:div w:id="1386416880">
      <w:bodyDiv w:val="1"/>
      <w:marLeft w:val="0"/>
      <w:marRight w:val="0"/>
      <w:marTop w:val="0"/>
      <w:marBottom w:val="0"/>
      <w:divBdr>
        <w:top w:val="none" w:sz="0" w:space="0" w:color="auto"/>
        <w:left w:val="none" w:sz="0" w:space="0" w:color="auto"/>
        <w:bottom w:val="none" w:sz="0" w:space="0" w:color="auto"/>
        <w:right w:val="none" w:sz="0" w:space="0" w:color="auto"/>
      </w:divBdr>
    </w:div>
    <w:div w:id="1405910754">
      <w:bodyDiv w:val="1"/>
      <w:marLeft w:val="0"/>
      <w:marRight w:val="0"/>
      <w:marTop w:val="0"/>
      <w:marBottom w:val="0"/>
      <w:divBdr>
        <w:top w:val="none" w:sz="0" w:space="0" w:color="auto"/>
        <w:left w:val="none" w:sz="0" w:space="0" w:color="auto"/>
        <w:bottom w:val="none" w:sz="0" w:space="0" w:color="auto"/>
        <w:right w:val="none" w:sz="0" w:space="0" w:color="auto"/>
      </w:divBdr>
    </w:div>
    <w:div w:id="1407993534">
      <w:bodyDiv w:val="1"/>
      <w:marLeft w:val="0"/>
      <w:marRight w:val="0"/>
      <w:marTop w:val="0"/>
      <w:marBottom w:val="0"/>
      <w:divBdr>
        <w:top w:val="none" w:sz="0" w:space="0" w:color="auto"/>
        <w:left w:val="none" w:sz="0" w:space="0" w:color="auto"/>
        <w:bottom w:val="none" w:sz="0" w:space="0" w:color="auto"/>
        <w:right w:val="none" w:sz="0" w:space="0" w:color="auto"/>
      </w:divBdr>
    </w:div>
    <w:div w:id="1537893631">
      <w:bodyDiv w:val="1"/>
      <w:marLeft w:val="0"/>
      <w:marRight w:val="0"/>
      <w:marTop w:val="0"/>
      <w:marBottom w:val="0"/>
      <w:divBdr>
        <w:top w:val="none" w:sz="0" w:space="0" w:color="auto"/>
        <w:left w:val="none" w:sz="0" w:space="0" w:color="auto"/>
        <w:bottom w:val="none" w:sz="0" w:space="0" w:color="auto"/>
        <w:right w:val="none" w:sz="0" w:space="0" w:color="auto"/>
      </w:divBdr>
    </w:div>
    <w:div w:id="1637881049">
      <w:bodyDiv w:val="1"/>
      <w:marLeft w:val="0"/>
      <w:marRight w:val="0"/>
      <w:marTop w:val="0"/>
      <w:marBottom w:val="0"/>
      <w:divBdr>
        <w:top w:val="none" w:sz="0" w:space="0" w:color="auto"/>
        <w:left w:val="none" w:sz="0" w:space="0" w:color="auto"/>
        <w:bottom w:val="none" w:sz="0" w:space="0" w:color="auto"/>
        <w:right w:val="none" w:sz="0" w:space="0" w:color="auto"/>
      </w:divBdr>
    </w:div>
    <w:div w:id="1684166178">
      <w:bodyDiv w:val="1"/>
      <w:marLeft w:val="0"/>
      <w:marRight w:val="0"/>
      <w:marTop w:val="0"/>
      <w:marBottom w:val="0"/>
      <w:divBdr>
        <w:top w:val="none" w:sz="0" w:space="0" w:color="auto"/>
        <w:left w:val="none" w:sz="0" w:space="0" w:color="auto"/>
        <w:bottom w:val="none" w:sz="0" w:space="0" w:color="auto"/>
        <w:right w:val="none" w:sz="0" w:space="0" w:color="auto"/>
      </w:divBdr>
    </w:div>
    <w:div w:id="1715276131">
      <w:bodyDiv w:val="1"/>
      <w:marLeft w:val="0"/>
      <w:marRight w:val="0"/>
      <w:marTop w:val="0"/>
      <w:marBottom w:val="0"/>
      <w:divBdr>
        <w:top w:val="none" w:sz="0" w:space="0" w:color="auto"/>
        <w:left w:val="none" w:sz="0" w:space="0" w:color="auto"/>
        <w:bottom w:val="none" w:sz="0" w:space="0" w:color="auto"/>
        <w:right w:val="none" w:sz="0" w:space="0" w:color="auto"/>
      </w:divBdr>
    </w:div>
    <w:div w:id="1718970404">
      <w:bodyDiv w:val="1"/>
      <w:marLeft w:val="0"/>
      <w:marRight w:val="0"/>
      <w:marTop w:val="0"/>
      <w:marBottom w:val="0"/>
      <w:divBdr>
        <w:top w:val="none" w:sz="0" w:space="0" w:color="auto"/>
        <w:left w:val="none" w:sz="0" w:space="0" w:color="auto"/>
        <w:bottom w:val="none" w:sz="0" w:space="0" w:color="auto"/>
        <w:right w:val="none" w:sz="0" w:space="0" w:color="auto"/>
      </w:divBdr>
      <w:divsChild>
        <w:div w:id="1159148611">
          <w:marLeft w:val="0"/>
          <w:marRight w:val="0"/>
          <w:marTop w:val="0"/>
          <w:marBottom w:val="0"/>
          <w:divBdr>
            <w:top w:val="none" w:sz="0" w:space="0" w:color="auto"/>
            <w:left w:val="none" w:sz="0" w:space="0" w:color="auto"/>
            <w:bottom w:val="none" w:sz="0" w:space="0" w:color="auto"/>
            <w:right w:val="none" w:sz="0" w:space="0" w:color="auto"/>
          </w:divBdr>
        </w:div>
        <w:div w:id="1968465219">
          <w:marLeft w:val="0"/>
          <w:marRight w:val="0"/>
          <w:marTop w:val="0"/>
          <w:marBottom w:val="0"/>
          <w:divBdr>
            <w:top w:val="none" w:sz="0" w:space="0" w:color="auto"/>
            <w:left w:val="none" w:sz="0" w:space="0" w:color="auto"/>
            <w:bottom w:val="none" w:sz="0" w:space="0" w:color="auto"/>
            <w:right w:val="none" w:sz="0" w:space="0" w:color="auto"/>
          </w:divBdr>
        </w:div>
      </w:divsChild>
    </w:div>
    <w:div w:id="1719088140">
      <w:bodyDiv w:val="1"/>
      <w:marLeft w:val="0"/>
      <w:marRight w:val="0"/>
      <w:marTop w:val="0"/>
      <w:marBottom w:val="0"/>
      <w:divBdr>
        <w:top w:val="none" w:sz="0" w:space="0" w:color="auto"/>
        <w:left w:val="none" w:sz="0" w:space="0" w:color="auto"/>
        <w:bottom w:val="none" w:sz="0" w:space="0" w:color="auto"/>
        <w:right w:val="none" w:sz="0" w:space="0" w:color="auto"/>
      </w:divBdr>
    </w:div>
    <w:div w:id="1758941226">
      <w:bodyDiv w:val="1"/>
      <w:marLeft w:val="0"/>
      <w:marRight w:val="0"/>
      <w:marTop w:val="0"/>
      <w:marBottom w:val="0"/>
      <w:divBdr>
        <w:top w:val="none" w:sz="0" w:space="0" w:color="auto"/>
        <w:left w:val="none" w:sz="0" w:space="0" w:color="auto"/>
        <w:bottom w:val="none" w:sz="0" w:space="0" w:color="auto"/>
        <w:right w:val="none" w:sz="0" w:space="0" w:color="auto"/>
      </w:divBdr>
    </w:div>
    <w:div w:id="1830094989">
      <w:bodyDiv w:val="1"/>
      <w:marLeft w:val="0"/>
      <w:marRight w:val="0"/>
      <w:marTop w:val="0"/>
      <w:marBottom w:val="0"/>
      <w:divBdr>
        <w:top w:val="none" w:sz="0" w:space="0" w:color="auto"/>
        <w:left w:val="none" w:sz="0" w:space="0" w:color="auto"/>
        <w:bottom w:val="none" w:sz="0" w:space="0" w:color="auto"/>
        <w:right w:val="none" w:sz="0" w:space="0" w:color="auto"/>
      </w:divBdr>
      <w:divsChild>
        <w:div w:id="70928130">
          <w:marLeft w:val="0"/>
          <w:marRight w:val="0"/>
          <w:marTop w:val="0"/>
          <w:marBottom w:val="0"/>
          <w:divBdr>
            <w:top w:val="none" w:sz="0" w:space="0" w:color="auto"/>
            <w:left w:val="none" w:sz="0" w:space="0" w:color="auto"/>
            <w:bottom w:val="none" w:sz="0" w:space="0" w:color="auto"/>
            <w:right w:val="none" w:sz="0" w:space="0" w:color="auto"/>
          </w:divBdr>
        </w:div>
        <w:div w:id="736244906">
          <w:marLeft w:val="0"/>
          <w:marRight w:val="0"/>
          <w:marTop w:val="0"/>
          <w:marBottom w:val="0"/>
          <w:divBdr>
            <w:top w:val="none" w:sz="0" w:space="0" w:color="auto"/>
            <w:left w:val="none" w:sz="0" w:space="0" w:color="auto"/>
            <w:bottom w:val="none" w:sz="0" w:space="0" w:color="auto"/>
            <w:right w:val="none" w:sz="0" w:space="0" w:color="auto"/>
          </w:divBdr>
        </w:div>
        <w:div w:id="2082605359">
          <w:marLeft w:val="0"/>
          <w:marRight w:val="0"/>
          <w:marTop w:val="0"/>
          <w:marBottom w:val="0"/>
          <w:divBdr>
            <w:top w:val="none" w:sz="0" w:space="0" w:color="auto"/>
            <w:left w:val="none" w:sz="0" w:space="0" w:color="auto"/>
            <w:bottom w:val="none" w:sz="0" w:space="0" w:color="auto"/>
            <w:right w:val="none" w:sz="0" w:space="0" w:color="auto"/>
          </w:divBdr>
        </w:div>
        <w:div w:id="1537499766">
          <w:marLeft w:val="0"/>
          <w:marRight w:val="0"/>
          <w:marTop w:val="0"/>
          <w:marBottom w:val="0"/>
          <w:divBdr>
            <w:top w:val="none" w:sz="0" w:space="0" w:color="auto"/>
            <w:left w:val="none" w:sz="0" w:space="0" w:color="auto"/>
            <w:bottom w:val="none" w:sz="0" w:space="0" w:color="auto"/>
            <w:right w:val="none" w:sz="0" w:space="0" w:color="auto"/>
          </w:divBdr>
        </w:div>
        <w:div w:id="2030987148">
          <w:marLeft w:val="0"/>
          <w:marRight w:val="0"/>
          <w:marTop w:val="0"/>
          <w:marBottom w:val="0"/>
          <w:divBdr>
            <w:top w:val="none" w:sz="0" w:space="0" w:color="auto"/>
            <w:left w:val="none" w:sz="0" w:space="0" w:color="auto"/>
            <w:bottom w:val="none" w:sz="0" w:space="0" w:color="auto"/>
            <w:right w:val="none" w:sz="0" w:space="0" w:color="auto"/>
          </w:divBdr>
        </w:div>
        <w:div w:id="2126849096">
          <w:marLeft w:val="0"/>
          <w:marRight w:val="0"/>
          <w:marTop w:val="0"/>
          <w:marBottom w:val="0"/>
          <w:divBdr>
            <w:top w:val="none" w:sz="0" w:space="0" w:color="auto"/>
            <w:left w:val="none" w:sz="0" w:space="0" w:color="auto"/>
            <w:bottom w:val="none" w:sz="0" w:space="0" w:color="auto"/>
            <w:right w:val="none" w:sz="0" w:space="0" w:color="auto"/>
          </w:divBdr>
        </w:div>
      </w:divsChild>
    </w:div>
    <w:div w:id="1858931659">
      <w:bodyDiv w:val="1"/>
      <w:marLeft w:val="0"/>
      <w:marRight w:val="0"/>
      <w:marTop w:val="0"/>
      <w:marBottom w:val="0"/>
      <w:divBdr>
        <w:top w:val="none" w:sz="0" w:space="0" w:color="auto"/>
        <w:left w:val="none" w:sz="0" w:space="0" w:color="auto"/>
        <w:bottom w:val="none" w:sz="0" w:space="0" w:color="auto"/>
        <w:right w:val="none" w:sz="0" w:space="0" w:color="auto"/>
      </w:divBdr>
      <w:divsChild>
        <w:div w:id="143088251">
          <w:marLeft w:val="0"/>
          <w:marRight w:val="0"/>
          <w:marTop w:val="0"/>
          <w:marBottom w:val="0"/>
          <w:divBdr>
            <w:top w:val="none" w:sz="0" w:space="0" w:color="auto"/>
            <w:left w:val="none" w:sz="0" w:space="0" w:color="auto"/>
            <w:bottom w:val="none" w:sz="0" w:space="0" w:color="auto"/>
            <w:right w:val="none" w:sz="0" w:space="0" w:color="auto"/>
          </w:divBdr>
        </w:div>
        <w:div w:id="1292785990">
          <w:marLeft w:val="0"/>
          <w:marRight w:val="0"/>
          <w:marTop w:val="0"/>
          <w:marBottom w:val="0"/>
          <w:divBdr>
            <w:top w:val="none" w:sz="0" w:space="0" w:color="auto"/>
            <w:left w:val="none" w:sz="0" w:space="0" w:color="auto"/>
            <w:bottom w:val="none" w:sz="0" w:space="0" w:color="auto"/>
            <w:right w:val="none" w:sz="0" w:space="0" w:color="auto"/>
          </w:divBdr>
        </w:div>
        <w:div w:id="1716932834">
          <w:marLeft w:val="0"/>
          <w:marRight w:val="0"/>
          <w:marTop w:val="0"/>
          <w:marBottom w:val="0"/>
          <w:divBdr>
            <w:top w:val="none" w:sz="0" w:space="0" w:color="auto"/>
            <w:left w:val="none" w:sz="0" w:space="0" w:color="auto"/>
            <w:bottom w:val="none" w:sz="0" w:space="0" w:color="auto"/>
            <w:right w:val="none" w:sz="0" w:space="0" w:color="auto"/>
          </w:divBdr>
        </w:div>
        <w:div w:id="393164988">
          <w:marLeft w:val="0"/>
          <w:marRight w:val="0"/>
          <w:marTop w:val="0"/>
          <w:marBottom w:val="0"/>
          <w:divBdr>
            <w:top w:val="none" w:sz="0" w:space="0" w:color="auto"/>
            <w:left w:val="none" w:sz="0" w:space="0" w:color="auto"/>
            <w:bottom w:val="none" w:sz="0" w:space="0" w:color="auto"/>
            <w:right w:val="none" w:sz="0" w:space="0" w:color="auto"/>
          </w:divBdr>
        </w:div>
        <w:div w:id="312369762">
          <w:marLeft w:val="0"/>
          <w:marRight w:val="0"/>
          <w:marTop w:val="0"/>
          <w:marBottom w:val="0"/>
          <w:divBdr>
            <w:top w:val="none" w:sz="0" w:space="0" w:color="auto"/>
            <w:left w:val="none" w:sz="0" w:space="0" w:color="auto"/>
            <w:bottom w:val="none" w:sz="0" w:space="0" w:color="auto"/>
            <w:right w:val="none" w:sz="0" w:space="0" w:color="auto"/>
          </w:divBdr>
        </w:div>
        <w:div w:id="1955481437">
          <w:marLeft w:val="0"/>
          <w:marRight w:val="0"/>
          <w:marTop w:val="0"/>
          <w:marBottom w:val="0"/>
          <w:divBdr>
            <w:top w:val="none" w:sz="0" w:space="0" w:color="auto"/>
            <w:left w:val="none" w:sz="0" w:space="0" w:color="auto"/>
            <w:bottom w:val="none" w:sz="0" w:space="0" w:color="auto"/>
            <w:right w:val="none" w:sz="0" w:space="0" w:color="auto"/>
          </w:divBdr>
        </w:div>
        <w:div w:id="1712800335">
          <w:marLeft w:val="0"/>
          <w:marRight w:val="0"/>
          <w:marTop w:val="0"/>
          <w:marBottom w:val="0"/>
          <w:divBdr>
            <w:top w:val="none" w:sz="0" w:space="0" w:color="auto"/>
            <w:left w:val="none" w:sz="0" w:space="0" w:color="auto"/>
            <w:bottom w:val="none" w:sz="0" w:space="0" w:color="auto"/>
            <w:right w:val="none" w:sz="0" w:space="0" w:color="auto"/>
          </w:divBdr>
        </w:div>
        <w:div w:id="1805193265">
          <w:marLeft w:val="0"/>
          <w:marRight w:val="0"/>
          <w:marTop w:val="0"/>
          <w:marBottom w:val="0"/>
          <w:divBdr>
            <w:top w:val="none" w:sz="0" w:space="0" w:color="auto"/>
            <w:left w:val="none" w:sz="0" w:space="0" w:color="auto"/>
            <w:bottom w:val="none" w:sz="0" w:space="0" w:color="auto"/>
            <w:right w:val="none" w:sz="0" w:space="0" w:color="auto"/>
          </w:divBdr>
        </w:div>
        <w:div w:id="1026254083">
          <w:marLeft w:val="0"/>
          <w:marRight w:val="0"/>
          <w:marTop w:val="0"/>
          <w:marBottom w:val="0"/>
          <w:divBdr>
            <w:top w:val="none" w:sz="0" w:space="0" w:color="auto"/>
            <w:left w:val="none" w:sz="0" w:space="0" w:color="auto"/>
            <w:bottom w:val="none" w:sz="0" w:space="0" w:color="auto"/>
            <w:right w:val="none" w:sz="0" w:space="0" w:color="auto"/>
          </w:divBdr>
        </w:div>
        <w:div w:id="1256357021">
          <w:marLeft w:val="0"/>
          <w:marRight w:val="0"/>
          <w:marTop w:val="0"/>
          <w:marBottom w:val="0"/>
          <w:divBdr>
            <w:top w:val="none" w:sz="0" w:space="0" w:color="auto"/>
            <w:left w:val="none" w:sz="0" w:space="0" w:color="auto"/>
            <w:bottom w:val="none" w:sz="0" w:space="0" w:color="auto"/>
            <w:right w:val="none" w:sz="0" w:space="0" w:color="auto"/>
          </w:divBdr>
        </w:div>
        <w:div w:id="783186614">
          <w:marLeft w:val="0"/>
          <w:marRight w:val="0"/>
          <w:marTop w:val="0"/>
          <w:marBottom w:val="0"/>
          <w:divBdr>
            <w:top w:val="none" w:sz="0" w:space="0" w:color="auto"/>
            <w:left w:val="none" w:sz="0" w:space="0" w:color="auto"/>
            <w:bottom w:val="none" w:sz="0" w:space="0" w:color="auto"/>
            <w:right w:val="none" w:sz="0" w:space="0" w:color="auto"/>
          </w:divBdr>
        </w:div>
        <w:div w:id="1020476100">
          <w:marLeft w:val="0"/>
          <w:marRight w:val="0"/>
          <w:marTop w:val="0"/>
          <w:marBottom w:val="0"/>
          <w:divBdr>
            <w:top w:val="none" w:sz="0" w:space="0" w:color="auto"/>
            <w:left w:val="none" w:sz="0" w:space="0" w:color="auto"/>
            <w:bottom w:val="none" w:sz="0" w:space="0" w:color="auto"/>
            <w:right w:val="none" w:sz="0" w:space="0" w:color="auto"/>
          </w:divBdr>
        </w:div>
        <w:div w:id="6561807">
          <w:marLeft w:val="0"/>
          <w:marRight w:val="0"/>
          <w:marTop w:val="0"/>
          <w:marBottom w:val="0"/>
          <w:divBdr>
            <w:top w:val="none" w:sz="0" w:space="0" w:color="auto"/>
            <w:left w:val="none" w:sz="0" w:space="0" w:color="auto"/>
            <w:bottom w:val="none" w:sz="0" w:space="0" w:color="auto"/>
            <w:right w:val="none" w:sz="0" w:space="0" w:color="auto"/>
          </w:divBdr>
        </w:div>
      </w:divsChild>
    </w:div>
    <w:div w:id="1861699096">
      <w:bodyDiv w:val="1"/>
      <w:marLeft w:val="0"/>
      <w:marRight w:val="0"/>
      <w:marTop w:val="0"/>
      <w:marBottom w:val="0"/>
      <w:divBdr>
        <w:top w:val="none" w:sz="0" w:space="0" w:color="auto"/>
        <w:left w:val="none" w:sz="0" w:space="0" w:color="auto"/>
        <w:bottom w:val="none" w:sz="0" w:space="0" w:color="auto"/>
        <w:right w:val="none" w:sz="0" w:space="0" w:color="auto"/>
      </w:divBdr>
    </w:div>
    <w:div w:id="1927155054">
      <w:bodyDiv w:val="1"/>
      <w:marLeft w:val="0"/>
      <w:marRight w:val="0"/>
      <w:marTop w:val="0"/>
      <w:marBottom w:val="0"/>
      <w:divBdr>
        <w:top w:val="none" w:sz="0" w:space="0" w:color="auto"/>
        <w:left w:val="none" w:sz="0" w:space="0" w:color="auto"/>
        <w:bottom w:val="none" w:sz="0" w:space="0" w:color="auto"/>
        <w:right w:val="none" w:sz="0" w:space="0" w:color="auto"/>
      </w:divBdr>
    </w:div>
    <w:div w:id="2005819412">
      <w:bodyDiv w:val="1"/>
      <w:marLeft w:val="0"/>
      <w:marRight w:val="0"/>
      <w:marTop w:val="0"/>
      <w:marBottom w:val="0"/>
      <w:divBdr>
        <w:top w:val="none" w:sz="0" w:space="0" w:color="auto"/>
        <w:left w:val="none" w:sz="0" w:space="0" w:color="auto"/>
        <w:bottom w:val="none" w:sz="0" w:space="0" w:color="auto"/>
        <w:right w:val="none" w:sz="0" w:space="0" w:color="auto"/>
      </w:divBdr>
    </w:div>
    <w:div w:id="2052531723">
      <w:bodyDiv w:val="1"/>
      <w:marLeft w:val="0"/>
      <w:marRight w:val="0"/>
      <w:marTop w:val="0"/>
      <w:marBottom w:val="0"/>
      <w:divBdr>
        <w:top w:val="none" w:sz="0" w:space="0" w:color="auto"/>
        <w:left w:val="none" w:sz="0" w:space="0" w:color="auto"/>
        <w:bottom w:val="none" w:sz="0" w:space="0" w:color="auto"/>
        <w:right w:val="none" w:sz="0" w:space="0" w:color="auto"/>
      </w:divBdr>
      <w:divsChild>
        <w:div w:id="1959410326">
          <w:marLeft w:val="0"/>
          <w:marRight w:val="0"/>
          <w:marTop w:val="0"/>
          <w:marBottom w:val="0"/>
          <w:divBdr>
            <w:top w:val="none" w:sz="0" w:space="0" w:color="auto"/>
            <w:left w:val="none" w:sz="0" w:space="0" w:color="auto"/>
            <w:bottom w:val="none" w:sz="0" w:space="0" w:color="auto"/>
            <w:right w:val="none" w:sz="0" w:space="0" w:color="auto"/>
          </w:divBdr>
        </w:div>
        <w:div w:id="414136836">
          <w:marLeft w:val="0"/>
          <w:marRight w:val="0"/>
          <w:marTop w:val="0"/>
          <w:marBottom w:val="0"/>
          <w:divBdr>
            <w:top w:val="none" w:sz="0" w:space="0" w:color="auto"/>
            <w:left w:val="none" w:sz="0" w:space="0" w:color="auto"/>
            <w:bottom w:val="none" w:sz="0" w:space="0" w:color="auto"/>
            <w:right w:val="none" w:sz="0" w:space="0" w:color="auto"/>
          </w:divBdr>
        </w:div>
        <w:div w:id="1026370633">
          <w:marLeft w:val="0"/>
          <w:marRight w:val="0"/>
          <w:marTop w:val="0"/>
          <w:marBottom w:val="0"/>
          <w:divBdr>
            <w:top w:val="none" w:sz="0" w:space="0" w:color="auto"/>
            <w:left w:val="none" w:sz="0" w:space="0" w:color="auto"/>
            <w:bottom w:val="none" w:sz="0" w:space="0" w:color="auto"/>
            <w:right w:val="none" w:sz="0" w:space="0" w:color="auto"/>
          </w:divBdr>
        </w:div>
      </w:divsChild>
    </w:div>
    <w:div w:id="2057506243">
      <w:bodyDiv w:val="1"/>
      <w:marLeft w:val="0"/>
      <w:marRight w:val="0"/>
      <w:marTop w:val="0"/>
      <w:marBottom w:val="0"/>
      <w:divBdr>
        <w:top w:val="none" w:sz="0" w:space="0" w:color="auto"/>
        <w:left w:val="none" w:sz="0" w:space="0" w:color="auto"/>
        <w:bottom w:val="none" w:sz="0" w:space="0" w:color="auto"/>
        <w:right w:val="none" w:sz="0" w:space="0" w:color="auto"/>
      </w:divBdr>
    </w:div>
    <w:div w:id="2140679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wsociety.org.uk/law-careers/becoming-a-solicitor/entry-trends/" TargetMode="External"/><Relationship Id="rId3" Type="http://schemas.openxmlformats.org/officeDocument/2006/relationships/hyperlink" Target="http://www.sra.org.uk/students/courses/CPE-GDL-course-providers.page" TargetMode="External"/><Relationship Id="rId7" Type="http://schemas.openxmlformats.org/officeDocument/2006/relationships/hyperlink" Target="https://www.legalservicesboard.org.uk/what_we_do/regulation/pdf/2018/SQE_LSB_application_January_2018__v_1.0_FINAL.pdf" TargetMode="External"/><Relationship Id="rId2" Type="http://schemas.openxmlformats.org/officeDocument/2006/relationships/hyperlink" Target="http://www.sra.org.uk/students/courses/Qualifying-law-degree-providers.page" TargetMode="External"/><Relationship Id="rId1" Type="http://schemas.openxmlformats.org/officeDocument/2006/relationships/hyperlink" Target="http://www.legalservicesboard.org.uk/news_publications/publications/pdf/regulatory_objectives.pdf" TargetMode="External"/><Relationship Id="rId6" Type="http://schemas.openxmlformats.org/officeDocument/2006/relationships/hyperlink" Target="http://www.sra.org.uk/sra/policy/sqe/research-reports.page" TargetMode="External"/><Relationship Id="rId5" Type="http://schemas.openxmlformats.org/officeDocument/2006/relationships/hyperlink" Target="http://www.sra.org.uk/sra/consultations/t4t-assessing-competence.page" TargetMode="External"/><Relationship Id="rId10" Type="http://schemas.openxmlformats.org/officeDocument/2006/relationships/hyperlink" Target="https://www.legalcheek.com/2019/04/i-was-among-the-first-to-sit-the-sqe-pilot-heres-what-i-thought/" TargetMode="External"/><Relationship Id="rId4" Type="http://schemas.openxmlformats.org/officeDocument/2006/relationships/hyperlink" Target="http://www.sra.org.uk/sra/policy/sqe/research-reports.page" TargetMode="External"/><Relationship Id="rId9" Type="http://schemas.openxmlformats.org/officeDocument/2006/relationships/hyperlink" Target="https://www.officeforstudents.org.uk/media/145556db-8183-40b8-b7af-741bf2b55d79/topic-briefing_bme-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F2BF-D3B1-4816-9230-1E80C430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def</dc:creator>
  <cp:keywords/>
  <dc:description/>
  <cp:lastModifiedBy>Bowman, Cassandra 3</cp:lastModifiedBy>
  <cp:revision>2</cp:revision>
  <cp:lastPrinted>2019-05-01T14:18:00Z</cp:lastPrinted>
  <dcterms:created xsi:type="dcterms:W3CDTF">2019-09-11T13:42:00Z</dcterms:created>
  <dcterms:modified xsi:type="dcterms:W3CDTF">2019-09-11T13:42:00Z</dcterms:modified>
</cp:coreProperties>
</file>