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90520" w:rsidRDefault="00F90520">
      <w:pPr>
        <w:spacing w:line="200" w:lineRule="exact"/>
        <w:rPr>
          <w:sz w:val="24"/>
          <w:szCs w:val="24"/>
        </w:rPr>
      </w:pPr>
    </w:p>
    <w:p w:rsidR="00F90520" w:rsidRDefault="00F90520">
      <w:pPr>
        <w:spacing w:line="392" w:lineRule="exact"/>
        <w:rPr>
          <w:sz w:val="24"/>
          <w:szCs w:val="24"/>
        </w:rPr>
      </w:pPr>
    </w:p>
    <w:p w:rsidR="00F90520" w:rsidRDefault="00B9396E">
      <w:pPr>
        <w:spacing w:line="226" w:lineRule="auto"/>
        <w:ind w:right="1040"/>
        <w:rPr>
          <w:sz w:val="20"/>
          <w:szCs w:val="20"/>
        </w:rPr>
      </w:pPr>
      <w:r>
        <w:rPr>
          <w:rFonts w:eastAsia="Times New Roman"/>
          <w:color w:val="131413"/>
          <w:sz w:val="35"/>
          <w:szCs w:val="35"/>
        </w:rPr>
        <w:t>UBE2S is associated with malignant characteristics of breast cancer cells</w:t>
      </w:r>
    </w:p>
    <w:p w:rsidR="00F90520" w:rsidRDefault="00F90520">
      <w:pPr>
        <w:spacing w:line="314" w:lineRule="exact"/>
        <w:rPr>
          <w:sz w:val="24"/>
          <w:szCs w:val="24"/>
        </w:rPr>
      </w:pPr>
    </w:p>
    <w:p w:rsidR="00F90520" w:rsidRDefault="00B9396E">
      <w:pPr>
        <w:spacing w:line="210" w:lineRule="auto"/>
        <w:ind w:right="3040"/>
        <w:rPr>
          <w:sz w:val="20"/>
          <w:szCs w:val="20"/>
        </w:rPr>
      </w:pPr>
      <w:r>
        <w:rPr>
          <w:rFonts w:eastAsia="Times New Roman"/>
          <w:color w:val="131413"/>
          <w:sz w:val="20"/>
          <w:szCs w:val="20"/>
        </w:rPr>
        <w:t>Akter Khondker Ayesha</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Toshinori Hyodo</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Eri Asano</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Naoki Sato</w:t>
      </w:r>
      <w:r>
        <w:rPr>
          <w:rFonts w:eastAsia="Times New Roman"/>
          <w:color w:val="131413"/>
          <w:sz w:val="26"/>
          <w:szCs w:val="26"/>
          <w:vertAlign w:val="superscript"/>
        </w:rPr>
        <w:t>2</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Mohammed A. Mansour</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Satoko Ito</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Michinari Hamaguchi</w:t>
      </w:r>
      <w:r>
        <w:rPr>
          <w:rFonts w:eastAsia="Times New Roman"/>
          <w:color w:val="131413"/>
          <w:sz w:val="26"/>
          <w:szCs w:val="26"/>
          <w:vertAlign w:val="superscript"/>
        </w:rPr>
        <w:t>1</w:t>
      </w:r>
      <w:r>
        <w:rPr>
          <w:rFonts w:eastAsia="Times New Roman"/>
          <w:color w:val="131413"/>
          <w:sz w:val="20"/>
          <w:szCs w:val="20"/>
        </w:rPr>
        <w:t xml:space="preserve"> </w:t>
      </w:r>
      <w:r>
        <w:rPr>
          <w:rFonts w:ascii="Arial" w:eastAsia="Arial" w:hAnsi="Arial" w:cs="Arial"/>
          <w:color w:val="131413"/>
          <w:sz w:val="15"/>
          <w:szCs w:val="15"/>
        </w:rPr>
        <w:t>&amp;</w:t>
      </w:r>
      <w:r>
        <w:rPr>
          <w:rFonts w:eastAsia="Times New Roman"/>
          <w:color w:val="131413"/>
          <w:sz w:val="20"/>
          <w:szCs w:val="20"/>
        </w:rPr>
        <w:t xml:space="preserve"> Takeshi Senga</w:t>
      </w:r>
      <w:r>
        <w:rPr>
          <w:rFonts w:eastAsia="Times New Roman"/>
          <w:color w:val="131413"/>
          <w:sz w:val="26"/>
          <w:szCs w:val="26"/>
          <w:vertAlign w:val="superscript"/>
        </w:rPr>
        <w:t>1</w:t>
      </w:r>
    </w:p>
    <w:p w:rsidR="00F90520" w:rsidRDefault="00F90520">
      <w:pPr>
        <w:sectPr w:rsidR="00F90520">
          <w:pgSz w:w="11900" w:h="15817"/>
          <w:pgMar w:top="634" w:right="1026" w:bottom="937" w:left="1020" w:header="0" w:footer="0" w:gutter="0"/>
          <w:cols w:space="720" w:equalWidth="0">
            <w:col w:w="9860"/>
          </w:cols>
        </w:sect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76" w:lineRule="exact"/>
        <w:rPr>
          <w:sz w:val="24"/>
          <w:szCs w:val="24"/>
        </w:rPr>
      </w:pPr>
    </w:p>
    <w:p w:rsidR="00FB0D01" w:rsidRDefault="00FB0D01">
      <w:pPr>
        <w:spacing w:line="276" w:lineRule="exact"/>
        <w:rPr>
          <w:sz w:val="24"/>
          <w:szCs w:val="24"/>
        </w:rPr>
      </w:pPr>
    </w:p>
    <w:p w:rsidR="00FB0D01" w:rsidRDefault="00FB0D01">
      <w:pPr>
        <w:spacing w:line="276" w:lineRule="exact"/>
        <w:rPr>
          <w:sz w:val="24"/>
          <w:szCs w:val="24"/>
        </w:rPr>
      </w:pPr>
    </w:p>
    <w:p w:rsidR="00FB0D01" w:rsidRDefault="00FB0D01">
      <w:pPr>
        <w:spacing w:line="276" w:lineRule="exact"/>
        <w:rPr>
          <w:sz w:val="24"/>
          <w:szCs w:val="24"/>
        </w:rPr>
      </w:pPr>
    </w:p>
    <w:p w:rsidR="00FB0D01" w:rsidRDefault="00FB0D01">
      <w:pPr>
        <w:spacing w:line="276" w:lineRule="exact"/>
        <w:rPr>
          <w:sz w:val="24"/>
          <w:szCs w:val="24"/>
        </w:rPr>
      </w:pPr>
    </w:p>
    <w:p w:rsidR="00F90520" w:rsidRDefault="00B9396E">
      <w:pPr>
        <w:spacing w:line="273" w:lineRule="auto"/>
        <w:jc w:val="both"/>
        <w:rPr>
          <w:sz w:val="20"/>
          <w:szCs w:val="20"/>
        </w:rPr>
      </w:pPr>
      <w:r>
        <w:rPr>
          <w:rFonts w:eastAsia="Times New Roman"/>
          <w:color w:val="131413"/>
          <w:sz w:val="19"/>
          <w:szCs w:val="19"/>
        </w:rPr>
        <w:t xml:space="preserve">Abstract Ubiquitination is essential for various </w:t>
      </w:r>
      <w:r>
        <w:rPr>
          <w:rFonts w:eastAsia="Times New Roman"/>
          <w:color w:val="131413"/>
          <w:sz w:val="19"/>
          <w:szCs w:val="19"/>
        </w:rPr>
        <w:t>biological processes, such as signal transduction, intracellular traffick-ing, and protein degradation. Accumulating evidence has demonstrated that ubiquitination plays a crucial role in cancer development. In this report, we examine the expression and fun</w:t>
      </w:r>
      <w:r>
        <w:rPr>
          <w:rFonts w:eastAsia="Times New Roman"/>
          <w:color w:val="131413"/>
          <w:sz w:val="19"/>
          <w:szCs w:val="19"/>
        </w:rPr>
        <w:t>ction of ubiquitin-conjugating enzyme E2S (UBE2S) in breast cancer. Immunohistochemical analysis revealed that UBE2S is highly expressed in breast cancer. The depletion of UBE2S by siRNA induced disruption of the actin cytoskel-eton and focal adhesions. In</w:t>
      </w:r>
      <w:r>
        <w:rPr>
          <w:rFonts w:eastAsia="Times New Roman"/>
          <w:color w:val="131413"/>
          <w:sz w:val="19"/>
          <w:szCs w:val="19"/>
        </w:rPr>
        <w:t>terestingly, phosphorylation of FAK at Tyr397, which is important for the transduction of integrin-mediated signaling, was significantly reduced by UBE2S knockdown. We also show that UBE2S knockdown suppressed the malignant characteristics of breast cancer</w:t>
      </w:r>
      <w:r>
        <w:rPr>
          <w:rFonts w:eastAsia="Times New Roman"/>
          <w:color w:val="131413"/>
          <w:sz w:val="19"/>
          <w:szCs w:val="19"/>
        </w:rPr>
        <w:t xml:space="preserve"> cells, such as migration, invasion, and anchorage-independent growth. Our results indicate that UBE2S could be a potential target for breast cancer treatment.</w:t>
      </w:r>
    </w:p>
    <w:p w:rsidR="00F90520" w:rsidRDefault="00F90520">
      <w:pPr>
        <w:spacing w:line="200" w:lineRule="exact"/>
        <w:rPr>
          <w:sz w:val="24"/>
          <w:szCs w:val="24"/>
        </w:rPr>
      </w:pPr>
    </w:p>
    <w:p w:rsidR="00F90520" w:rsidRDefault="00F90520">
      <w:pPr>
        <w:spacing w:line="270" w:lineRule="exact"/>
        <w:rPr>
          <w:sz w:val="24"/>
          <w:szCs w:val="24"/>
        </w:rPr>
      </w:pPr>
    </w:p>
    <w:p w:rsidR="00F90520" w:rsidRDefault="00B9396E">
      <w:pPr>
        <w:spacing w:line="184" w:lineRule="auto"/>
        <w:ind w:right="140"/>
        <w:rPr>
          <w:sz w:val="20"/>
          <w:szCs w:val="20"/>
        </w:rPr>
      </w:pPr>
      <w:r>
        <w:rPr>
          <w:rFonts w:eastAsia="Times New Roman"/>
          <w:color w:val="131413"/>
          <w:sz w:val="20"/>
          <w:szCs w:val="20"/>
        </w:rPr>
        <w:t xml:space="preserve">Keywords UBE2S </w:t>
      </w:r>
      <w:r>
        <w:rPr>
          <w:rFonts w:eastAsia="Times New Roman"/>
          <w:color w:val="131413"/>
          <w:sz w:val="38"/>
          <w:szCs w:val="38"/>
          <w:vertAlign w:val="superscript"/>
        </w:rPr>
        <w:t>.</w:t>
      </w:r>
      <w:r>
        <w:rPr>
          <w:rFonts w:eastAsia="Times New Roman"/>
          <w:color w:val="131413"/>
          <w:sz w:val="20"/>
          <w:szCs w:val="20"/>
        </w:rPr>
        <w:t xml:space="preserve"> Ubiquitination </w:t>
      </w:r>
      <w:r>
        <w:rPr>
          <w:rFonts w:eastAsia="Times New Roman"/>
          <w:color w:val="131413"/>
          <w:sz w:val="38"/>
          <w:szCs w:val="38"/>
          <w:vertAlign w:val="superscript"/>
        </w:rPr>
        <w:t>.</w:t>
      </w:r>
      <w:r>
        <w:rPr>
          <w:rFonts w:eastAsia="Times New Roman"/>
          <w:color w:val="131413"/>
          <w:sz w:val="20"/>
          <w:szCs w:val="20"/>
        </w:rPr>
        <w:t xml:space="preserve"> Breast cancer </w:t>
      </w:r>
      <w:r>
        <w:rPr>
          <w:rFonts w:eastAsia="Times New Roman"/>
          <w:color w:val="131413"/>
          <w:sz w:val="38"/>
          <w:szCs w:val="38"/>
          <w:vertAlign w:val="superscript"/>
        </w:rPr>
        <w:t>.</w:t>
      </w:r>
      <w:r>
        <w:rPr>
          <w:rFonts w:eastAsia="Times New Roman"/>
          <w:color w:val="131413"/>
          <w:sz w:val="20"/>
          <w:szCs w:val="20"/>
        </w:rPr>
        <w:t xml:space="preserve"> FAK </w:t>
      </w:r>
      <w:r>
        <w:rPr>
          <w:rFonts w:eastAsia="Times New Roman"/>
          <w:color w:val="131413"/>
          <w:sz w:val="38"/>
          <w:szCs w:val="38"/>
          <w:vertAlign w:val="superscript"/>
        </w:rPr>
        <w:t>.</w:t>
      </w:r>
      <w:r>
        <w:rPr>
          <w:rFonts w:eastAsia="Times New Roman"/>
          <w:color w:val="131413"/>
          <w:sz w:val="20"/>
          <w:szCs w:val="20"/>
        </w:rPr>
        <w:t xml:space="preserve"> Invasion </w:t>
      </w:r>
      <w:r>
        <w:rPr>
          <w:rFonts w:eastAsia="Times New Roman"/>
          <w:color w:val="131413"/>
          <w:sz w:val="38"/>
          <w:szCs w:val="38"/>
          <w:vertAlign w:val="superscript"/>
        </w:rPr>
        <w:t>.</w:t>
      </w:r>
      <w:r>
        <w:rPr>
          <w:rFonts w:eastAsia="Times New Roman"/>
          <w:color w:val="131413"/>
          <w:sz w:val="20"/>
          <w:szCs w:val="20"/>
        </w:rPr>
        <w:t xml:space="preserve"> Migration </w:t>
      </w:r>
      <w:r>
        <w:rPr>
          <w:rFonts w:eastAsia="Times New Roman"/>
          <w:color w:val="131413"/>
          <w:sz w:val="38"/>
          <w:szCs w:val="38"/>
          <w:vertAlign w:val="superscript"/>
        </w:rPr>
        <w:t>.</w:t>
      </w:r>
      <w:r>
        <w:rPr>
          <w:rFonts w:eastAsia="Times New Roman"/>
          <w:color w:val="131413"/>
          <w:sz w:val="20"/>
          <w:szCs w:val="20"/>
        </w:rPr>
        <w:t xml:space="preserve"> Anoikis</w:t>
      </w:r>
    </w:p>
    <w:p w:rsidR="00F90520" w:rsidRDefault="00B9396E">
      <w:pPr>
        <w:spacing w:line="20" w:lineRule="exact"/>
        <w:rPr>
          <w:sz w:val="24"/>
          <w:szCs w:val="24"/>
        </w:rPr>
      </w:pPr>
      <w:r>
        <w:rPr>
          <w:noProof/>
          <w:sz w:val="24"/>
          <w:szCs w:val="24"/>
        </w:rPr>
        <mc:AlternateContent>
          <mc:Choice Requires="wps">
            <w:drawing>
              <wp:anchor distT="0" distB="0" distL="114300" distR="114300" simplePos="0" relativeHeight="251646976" behindDoc="1" locked="0" layoutInCell="0" allowOverlap="1">
                <wp:simplePos x="0" y="0"/>
                <wp:positionH relativeFrom="column">
                  <wp:posOffset>0</wp:posOffset>
                </wp:positionH>
                <wp:positionV relativeFrom="paragraph">
                  <wp:posOffset>901065</wp:posOffset>
                </wp:positionV>
                <wp:extent cx="30238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3870" cy="4763"/>
                        </a:xfrm>
                        <a:prstGeom prst="line">
                          <a:avLst/>
                        </a:prstGeom>
                        <a:solidFill>
                          <a:srgbClr val="FFFFFF"/>
                        </a:solidFill>
                        <a:ln w="6476">
                          <a:solidFill>
                            <a:srgbClr val="131413"/>
                          </a:solidFill>
                          <a:miter lim="800000"/>
                          <a:headEnd/>
                          <a:tailEnd/>
                        </a:ln>
                      </wps:spPr>
                      <wps:bodyPr/>
                    </wps:wsp>
                  </a:graphicData>
                </a:graphic>
              </wp:anchor>
            </w:drawing>
          </mc:Choice>
          <mc:Fallback>
            <w:pict>
              <v:line w14:anchorId="354F1B2C" id="Shape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70.95pt" to="238.1pt,7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" o:allowincell="f" filled="t" strokecolor="#131413" strokeweight=".17989mm">
                <v:stroke joinstyle="miter"/>
                <o:lock v:ext="edit" shapetype="f"/>
              </v:line>
            </w:pict>
          </mc:Fallback>
        </mc:AlternateContent>
      </w: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B0D01" w:rsidRDefault="00FB0D01">
      <w:pPr>
        <w:spacing w:line="200" w:lineRule="exact"/>
        <w:rPr>
          <w:sz w:val="24"/>
          <w:szCs w:val="24"/>
        </w:rPr>
      </w:pPr>
    </w:p>
    <w:p w:rsidR="00FB0D01" w:rsidRDefault="00FB0D01">
      <w:pPr>
        <w:spacing w:line="200" w:lineRule="exact"/>
        <w:rPr>
          <w:sz w:val="24"/>
          <w:szCs w:val="24"/>
        </w:rPr>
      </w:pPr>
    </w:p>
    <w:p w:rsidR="00FB0D01" w:rsidRDefault="00FB0D01">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16" w:lineRule="exact"/>
        <w:rPr>
          <w:sz w:val="24"/>
          <w:szCs w:val="24"/>
        </w:rPr>
      </w:pPr>
    </w:p>
    <w:p w:rsidR="00F90520" w:rsidRDefault="00B9396E">
      <w:pPr>
        <w:numPr>
          <w:ilvl w:val="0"/>
          <w:numId w:val="2"/>
        </w:numPr>
        <w:tabs>
          <w:tab w:val="left" w:pos="320"/>
        </w:tabs>
        <w:spacing w:line="258" w:lineRule="auto"/>
        <w:ind w:left="320" w:right="2600" w:hanging="320"/>
        <w:rPr>
          <w:rFonts w:ascii="Arial" w:eastAsia="Arial" w:hAnsi="Arial" w:cs="Arial"/>
          <w:color w:val="131413"/>
          <w:sz w:val="16"/>
          <w:szCs w:val="16"/>
        </w:rPr>
      </w:pPr>
      <w:r>
        <w:rPr>
          <w:rFonts w:eastAsia="Times New Roman"/>
          <w:color w:val="131413"/>
          <w:sz w:val="16"/>
          <w:szCs w:val="16"/>
        </w:rPr>
        <w:t>Takeshi Senga tsenga@med.nagoya-u.ac.jp</w:t>
      </w:r>
    </w:p>
    <w:p w:rsidR="00F90520" w:rsidRDefault="00F90520">
      <w:pPr>
        <w:spacing w:line="200" w:lineRule="exact"/>
        <w:rPr>
          <w:sz w:val="24"/>
          <w:szCs w:val="24"/>
        </w:rPr>
      </w:pPr>
    </w:p>
    <w:p w:rsidR="00F90520" w:rsidRDefault="00F90520">
      <w:pPr>
        <w:spacing w:line="201" w:lineRule="exact"/>
        <w:rPr>
          <w:sz w:val="24"/>
          <w:szCs w:val="24"/>
        </w:rPr>
      </w:pPr>
    </w:p>
    <w:p w:rsidR="00F90520" w:rsidRDefault="00B9396E">
      <w:pPr>
        <w:numPr>
          <w:ilvl w:val="0"/>
          <w:numId w:val="3"/>
        </w:numPr>
        <w:tabs>
          <w:tab w:val="left" w:pos="280"/>
        </w:tabs>
        <w:spacing w:line="199" w:lineRule="auto"/>
        <w:ind w:left="280" w:hanging="280"/>
        <w:rPr>
          <w:rFonts w:eastAsia="Times New Roman"/>
          <w:color w:val="131413"/>
          <w:sz w:val="23"/>
          <w:szCs w:val="23"/>
          <w:vertAlign w:val="superscript"/>
        </w:rPr>
      </w:pPr>
      <w:r>
        <w:rPr>
          <w:rFonts w:eastAsia="Times New Roman"/>
          <w:color w:val="131413"/>
          <w:sz w:val="17"/>
          <w:szCs w:val="17"/>
        </w:rPr>
        <w:t>Division of Cancer Biology, 65 Tsurumai, Showa, Nagoya 466-8550, Japan</w:t>
      </w:r>
    </w:p>
    <w:p w:rsidR="00F90520" w:rsidRDefault="00F90520">
      <w:pPr>
        <w:spacing w:line="117" w:lineRule="exact"/>
        <w:rPr>
          <w:rFonts w:eastAsia="Times New Roman"/>
          <w:color w:val="131413"/>
          <w:sz w:val="23"/>
          <w:szCs w:val="23"/>
          <w:vertAlign w:val="superscript"/>
        </w:rPr>
      </w:pPr>
    </w:p>
    <w:p w:rsidR="00F90520" w:rsidRDefault="00B9396E">
      <w:pPr>
        <w:numPr>
          <w:ilvl w:val="0"/>
          <w:numId w:val="3"/>
        </w:numPr>
        <w:tabs>
          <w:tab w:val="left" w:pos="280"/>
        </w:tabs>
        <w:spacing w:line="209" w:lineRule="auto"/>
        <w:ind w:left="280" w:hanging="280"/>
        <w:rPr>
          <w:rFonts w:eastAsia="Times New Roman"/>
          <w:color w:val="131413"/>
          <w:vertAlign w:val="superscript"/>
        </w:rPr>
      </w:pPr>
      <w:r>
        <w:rPr>
          <w:rFonts w:eastAsia="Times New Roman"/>
          <w:color w:val="131413"/>
          <w:sz w:val="16"/>
          <w:szCs w:val="16"/>
        </w:rPr>
        <w:t>Department of Surgical Oncology, Nagoya University Graduate School of Medicine, 65 Tsurumai, Showa, Nagoya 466-8550, Japan</w:t>
      </w:r>
    </w:p>
    <w:p w:rsidR="00F90520" w:rsidRDefault="00F90520">
      <w:pPr>
        <w:spacing w:line="20" w:lineRule="exact"/>
        <w:rPr>
          <w:sz w:val="24"/>
          <w:szCs w:val="24"/>
        </w:rPr>
      </w:pPr>
    </w:p>
    <w:p w:rsidR="00F90520" w:rsidRDefault="00B9396E">
      <w:pPr>
        <w:spacing w:line="20" w:lineRule="exact"/>
        <w:rPr>
          <w:sz w:val="24"/>
          <w:szCs w:val="24"/>
        </w:rPr>
      </w:pPr>
      <w:r>
        <w:rPr>
          <w:sz w:val="24"/>
          <w:szCs w:val="24"/>
        </w:rPr>
        <w:br w:type="column"/>
      </w: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00" w:lineRule="exact"/>
        <w:rPr>
          <w:sz w:val="24"/>
          <w:szCs w:val="24"/>
        </w:rPr>
      </w:pPr>
    </w:p>
    <w:p w:rsidR="00F90520" w:rsidRDefault="00F90520">
      <w:pPr>
        <w:spacing w:line="289" w:lineRule="exact"/>
        <w:rPr>
          <w:sz w:val="24"/>
          <w:szCs w:val="24"/>
        </w:rPr>
      </w:pPr>
    </w:p>
    <w:p w:rsidR="00F90520" w:rsidRDefault="00B9396E">
      <w:pPr>
        <w:rPr>
          <w:sz w:val="20"/>
          <w:szCs w:val="20"/>
        </w:rPr>
      </w:pPr>
      <w:r>
        <w:rPr>
          <w:rFonts w:eastAsia="Times New Roman"/>
          <w:color w:val="131413"/>
        </w:rPr>
        <w:t>Introduction</w:t>
      </w:r>
    </w:p>
    <w:p w:rsidR="00F90520" w:rsidRDefault="00F90520">
      <w:pPr>
        <w:spacing w:line="279" w:lineRule="exact"/>
        <w:rPr>
          <w:sz w:val="24"/>
          <w:szCs w:val="24"/>
        </w:rPr>
      </w:pPr>
    </w:p>
    <w:p w:rsidR="00F90520" w:rsidRDefault="00B9396E">
      <w:pPr>
        <w:spacing w:line="273" w:lineRule="auto"/>
        <w:jc w:val="both"/>
        <w:rPr>
          <w:rFonts w:eastAsia="Times New Roman"/>
          <w:color w:val="131413"/>
          <w:sz w:val="19"/>
          <w:szCs w:val="19"/>
        </w:rPr>
      </w:pPr>
      <w:r>
        <w:rPr>
          <w:rFonts w:eastAsia="Times New Roman"/>
          <w:color w:val="131413"/>
          <w:sz w:val="19"/>
          <w:szCs w:val="19"/>
        </w:rPr>
        <w:t>Ubiquitination is a reversible biochemical process that at-taches ubiquitin to substrate proteins to regulate multiple cel-lular functions [</w:t>
      </w:r>
      <w:hyperlink w:anchor="page9">
        <w:r>
          <w:rPr>
            <w:rFonts w:eastAsia="Times New Roman"/>
            <w:color w:val="3A2A97"/>
            <w:sz w:val="19"/>
            <w:szCs w:val="19"/>
          </w:rPr>
          <w:t>1</w:t>
        </w:r>
      </w:hyperlink>
      <w:r>
        <w:rPr>
          <w:rFonts w:eastAsia="Times New Roman"/>
          <w:color w:val="131413"/>
          <w:sz w:val="19"/>
          <w:szCs w:val="19"/>
        </w:rPr>
        <w:t xml:space="preserve">, </w:t>
      </w:r>
      <w:hyperlink w:anchor="page9">
        <w:r>
          <w:rPr>
            <w:rFonts w:eastAsia="Times New Roman"/>
            <w:color w:val="3A2A97"/>
            <w:sz w:val="19"/>
            <w:szCs w:val="19"/>
          </w:rPr>
          <w:t>2</w:t>
        </w:r>
      </w:hyperlink>
      <w:r>
        <w:rPr>
          <w:rFonts w:eastAsia="Times New Roman"/>
          <w:color w:val="131413"/>
          <w:sz w:val="19"/>
          <w:szCs w:val="19"/>
        </w:rPr>
        <w:t>]. The process of ubiquitination is mediat</w:t>
      </w:r>
      <w:r>
        <w:rPr>
          <w:rFonts w:eastAsia="Times New Roman"/>
          <w:color w:val="131413"/>
          <w:sz w:val="19"/>
          <w:szCs w:val="19"/>
        </w:rPr>
        <w:t>-ed by three types of enzymes: E1 ubiquitin-activating enzyme, E2 ubiquitin-conjugating enzyme, and E3 ubiquitin ligase. Ubiquitin proteins are first attached to the active cysteine of E1 and then transferred to the active cysteine of E2 by thioester linka</w:t>
      </w:r>
      <w:r>
        <w:rPr>
          <w:rFonts w:eastAsia="Times New Roman"/>
          <w:color w:val="131413"/>
          <w:sz w:val="19"/>
          <w:szCs w:val="19"/>
        </w:rPr>
        <w:t>ge. E3 ligases mediate the transfer of ubiquitin on the active cysteine of E2 to a specific lysine of specific target proteins [</w:t>
      </w:r>
      <w:hyperlink w:anchor="page9">
        <w:r>
          <w:rPr>
            <w:rFonts w:eastAsia="Times New Roman"/>
            <w:color w:val="3A2A97"/>
            <w:sz w:val="19"/>
            <w:szCs w:val="19"/>
          </w:rPr>
          <w:t>3</w:t>
        </w:r>
      </w:hyperlink>
      <w:r>
        <w:rPr>
          <w:rFonts w:eastAsia="Times New Roman"/>
          <w:color w:val="131413"/>
          <w:sz w:val="19"/>
          <w:szCs w:val="19"/>
        </w:rPr>
        <w:t xml:space="preserve">, </w:t>
      </w:r>
      <w:hyperlink w:anchor="page9">
        <w:r>
          <w:rPr>
            <w:rFonts w:eastAsia="Times New Roman"/>
            <w:color w:val="3A2A97"/>
            <w:sz w:val="19"/>
            <w:szCs w:val="19"/>
          </w:rPr>
          <w:t>4</w:t>
        </w:r>
      </w:hyperlink>
      <w:r>
        <w:rPr>
          <w:rFonts w:eastAsia="Times New Roman"/>
          <w:color w:val="131413"/>
          <w:sz w:val="19"/>
          <w:szCs w:val="19"/>
        </w:rPr>
        <w:t xml:space="preserve">]. Depending on the types of ubiquitination, substrate </w:t>
      </w:r>
      <w:r>
        <w:rPr>
          <w:rFonts w:eastAsia="Times New Roman"/>
          <w:color w:val="131413"/>
          <w:sz w:val="19"/>
          <w:szCs w:val="19"/>
        </w:rPr>
        <w:t xml:space="preserve">proteins are destined for degradation or modulated their functions for numerous biological activi-ties. Polyubiquitinated proteins are generally targeted to the 26S proteasome for degradation, whereas monoubiquitinated proteins are associated with various </w:t>
      </w:r>
      <w:r>
        <w:rPr>
          <w:rFonts w:eastAsia="Times New Roman"/>
          <w:color w:val="131413"/>
          <w:sz w:val="19"/>
          <w:szCs w:val="19"/>
        </w:rPr>
        <w:t>cellular functions, such as endocytosis, chromatin remodeling, DNA repair, and signal transduction [</w:t>
      </w:r>
      <w:hyperlink w:anchor="page9">
        <w:r>
          <w:rPr>
            <w:rFonts w:eastAsia="Times New Roman"/>
            <w:color w:val="3A2A97"/>
            <w:sz w:val="19"/>
            <w:szCs w:val="19"/>
          </w:rPr>
          <w:t>5</w:t>
        </w:r>
      </w:hyperlink>
      <w:r>
        <w:rPr>
          <w:rFonts w:eastAsia="Times New Roman"/>
          <w:color w:val="131413"/>
          <w:sz w:val="19"/>
          <w:szCs w:val="19"/>
        </w:rPr>
        <w:t xml:space="preserve">, </w:t>
      </w:r>
      <w:hyperlink w:anchor="page9">
        <w:r>
          <w:rPr>
            <w:rFonts w:eastAsia="Times New Roman"/>
            <w:color w:val="3A2A97"/>
            <w:sz w:val="19"/>
            <w:szCs w:val="19"/>
          </w:rPr>
          <w:t>6</w:t>
        </w:r>
      </w:hyperlink>
      <w:r>
        <w:rPr>
          <w:rFonts w:eastAsia="Times New Roman"/>
          <w:color w:val="131413"/>
          <w:sz w:val="19"/>
          <w:szCs w:val="19"/>
        </w:rPr>
        <w:t>].</w:t>
      </w:r>
    </w:p>
    <w:p w:rsidR="00F90520" w:rsidRDefault="00F90520">
      <w:pPr>
        <w:spacing w:line="9" w:lineRule="exact"/>
        <w:rPr>
          <w:rFonts w:eastAsia="Times New Roman"/>
          <w:color w:val="131413"/>
          <w:sz w:val="19"/>
          <w:szCs w:val="19"/>
        </w:rPr>
      </w:pPr>
    </w:p>
    <w:p w:rsidR="00F90520" w:rsidRDefault="00B9396E">
      <w:pPr>
        <w:spacing w:line="258" w:lineRule="auto"/>
        <w:ind w:firstLine="227"/>
        <w:jc w:val="both"/>
        <w:rPr>
          <w:rFonts w:eastAsia="Times New Roman"/>
          <w:color w:val="131413"/>
          <w:sz w:val="20"/>
          <w:szCs w:val="20"/>
        </w:rPr>
      </w:pPr>
      <w:r>
        <w:rPr>
          <w:rFonts w:eastAsia="Times New Roman"/>
          <w:color w:val="131413"/>
          <w:sz w:val="20"/>
          <w:szCs w:val="20"/>
        </w:rPr>
        <w:t xml:space="preserve">Accumulating evidence has demonstrated that ubiquitination is associated with the </w:t>
      </w:r>
      <w:r>
        <w:rPr>
          <w:rFonts w:eastAsia="Times New Roman"/>
          <w:color w:val="131413"/>
          <w:sz w:val="20"/>
          <w:szCs w:val="20"/>
        </w:rPr>
        <w:t>progression of cancer [</w:t>
      </w:r>
      <w:hyperlink w:anchor="page9">
        <w:r>
          <w:rPr>
            <w:rFonts w:eastAsia="Times New Roman"/>
            <w:color w:val="3A2A97"/>
            <w:sz w:val="20"/>
            <w:szCs w:val="20"/>
          </w:rPr>
          <w:t>7</w:t>
        </w:r>
      </w:hyperlink>
      <w:r>
        <w:rPr>
          <w:rFonts w:eastAsia="Times New Roman"/>
          <w:color w:val="131413"/>
          <w:sz w:val="20"/>
          <w:szCs w:val="20"/>
        </w:rPr>
        <w:t>]. There are more than 600 E3 ligases in humans, some of which regulate the expression of tumor-suppressor or tumor-promoting proteins. p53 is one of the most frequent-ly mutated genes in cancer, and redu</w:t>
      </w:r>
      <w:r>
        <w:rPr>
          <w:rFonts w:eastAsia="Times New Roman"/>
          <w:color w:val="131413"/>
          <w:sz w:val="20"/>
          <w:szCs w:val="20"/>
        </w:rPr>
        <w:t>ced levels of p53 protein can promote cancer initiation. Mdm2 is an E3 li-gase for p53 and is one of the major regulators of p53 expression [</w:t>
      </w:r>
      <w:hyperlink w:anchor="page9">
        <w:r>
          <w:rPr>
            <w:rFonts w:eastAsia="Times New Roman"/>
            <w:color w:val="3A2A97"/>
            <w:sz w:val="20"/>
            <w:szCs w:val="20"/>
          </w:rPr>
          <w:t>8</w:t>
        </w:r>
      </w:hyperlink>
      <w:r>
        <w:rPr>
          <w:rFonts w:eastAsia="Times New Roman"/>
          <w:color w:val="131413"/>
          <w:sz w:val="20"/>
          <w:szCs w:val="20"/>
        </w:rPr>
        <w:t xml:space="preserve">, </w:t>
      </w:r>
      <w:hyperlink w:anchor="page9">
        <w:r>
          <w:rPr>
            <w:rFonts w:eastAsia="Times New Roman"/>
            <w:color w:val="3A2A97"/>
            <w:sz w:val="20"/>
            <w:szCs w:val="20"/>
          </w:rPr>
          <w:t>9</w:t>
        </w:r>
      </w:hyperlink>
      <w:r>
        <w:rPr>
          <w:rFonts w:eastAsia="Times New Roman"/>
          <w:color w:val="131413"/>
          <w:sz w:val="20"/>
          <w:szCs w:val="20"/>
        </w:rPr>
        <w:t>]. Overexpression of Mdm2 is observed in a variety of c</w:t>
      </w:r>
      <w:r>
        <w:rPr>
          <w:rFonts w:eastAsia="Times New Roman"/>
          <w:color w:val="131413"/>
          <w:sz w:val="20"/>
          <w:szCs w:val="20"/>
        </w:rPr>
        <w:t>ancers, such as breast carcinoma, oral squa-mous cell carcinoma, glioma, lymphoma, and leukemia [</w:t>
      </w:r>
      <w:hyperlink w:anchor="page9">
        <w:r>
          <w:rPr>
            <w:rFonts w:eastAsia="Times New Roman"/>
            <w:color w:val="3A2A97"/>
            <w:sz w:val="20"/>
            <w:szCs w:val="20"/>
          </w:rPr>
          <w:t>10</w:t>
        </w:r>
      </w:hyperlink>
      <w:r>
        <w:rPr>
          <w:rFonts w:eastAsia="Times New Roman"/>
          <w:color w:val="131413"/>
          <w:sz w:val="20"/>
          <w:szCs w:val="20"/>
        </w:rPr>
        <w:t>]. COP1 and Pirh1 are also E3 ligases for p53 and they are overexpressed in several cancers [</w:t>
      </w:r>
      <w:hyperlink w:anchor="page9">
        <w:r>
          <w:rPr>
            <w:rFonts w:eastAsia="Times New Roman"/>
            <w:color w:val="3A2A97"/>
            <w:sz w:val="20"/>
            <w:szCs w:val="20"/>
          </w:rPr>
          <w:t>11</w:t>
        </w:r>
      </w:hyperlink>
      <w:r>
        <w:rPr>
          <w:rFonts w:ascii="Arial" w:eastAsia="Arial" w:hAnsi="Arial" w:cs="Arial"/>
          <w:color w:val="131413"/>
          <w:sz w:val="20"/>
          <w:szCs w:val="20"/>
        </w:rPr>
        <w:t>–</w:t>
      </w:r>
      <w:hyperlink w:anchor="page9">
        <w:r>
          <w:rPr>
            <w:rFonts w:eastAsia="Times New Roman"/>
            <w:color w:val="3A2A97"/>
            <w:sz w:val="20"/>
            <w:szCs w:val="20"/>
          </w:rPr>
          <w:t>15</w:t>
        </w:r>
      </w:hyperlink>
      <w:r>
        <w:rPr>
          <w:rFonts w:eastAsia="Times New Roman"/>
          <w:color w:val="131413"/>
          <w:sz w:val="20"/>
          <w:szCs w:val="20"/>
        </w:rPr>
        <w:t>]. There are additional E3 ligases whose mutation or dysregulation is associated with cancer progression. For example, germline mutations of the BRCA1 gene are predictors for the risk of</w:t>
      </w:r>
    </w:p>
    <w:p w:rsidR="00F90520" w:rsidRDefault="00F90520">
      <w:pPr>
        <w:spacing w:line="20" w:lineRule="exact"/>
        <w:rPr>
          <w:rFonts w:eastAsia="Times New Roman"/>
          <w:color w:val="131413"/>
          <w:sz w:val="20"/>
          <w:szCs w:val="20"/>
        </w:rPr>
      </w:pPr>
    </w:p>
    <w:p w:rsidR="00F90520" w:rsidRDefault="00F90520">
      <w:pPr>
        <w:sectPr w:rsidR="00F90520">
          <w:type w:val="continuous"/>
          <w:pgSz w:w="11900" w:h="15817"/>
          <w:pgMar w:top="634" w:right="1026" w:bottom="937" w:left="1020" w:header="0" w:footer="0" w:gutter="0"/>
          <w:cols w:num="2" w:space="720" w:equalWidth="0">
            <w:col w:w="4760" w:space="340"/>
            <w:col w:w="4760"/>
          </w:cols>
        </w:sectPr>
      </w:pPr>
    </w:p>
    <w:p w:rsidR="00F90520" w:rsidRDefault="00B9396E">
      <w:pPr>
        <w:spacing w:line="20" w:lineRule="exact"/>
        <w:rPr>
          <w:sz w:val="20"/>
          <w:szCs w:val="20"/>
        </w:rPr>
      </w:pPr>
      <w:bookmarkStart w:id="0" w:name="page2"/>
      <w:bookmarkEnd w:id="0"/>
      <w:r>
        <w:rPr>
          <w:noProof/>
          <w:sz w:val="20"/>
          <w:szCs w:val="20"/>
        </w:rPr>
        <w:lastRenderedPageBreak/>
        <mc:AlternateContent>
          <mc:Choice Requires="wps">
            <w:drawing>
              <wp:anchor distT="0" distB="0" distL="114300" distR="114300" simplePos="0" relativeHeight="251650048" behindDoc="1" locked="0" layoutInCell="0" allowOverlap="1">
                <wp:simplePos x="0" y="0"/>
                <wp:positionH relativeFrom="column">
                  <wp:posOffset>0</wp:posOffset>
                </wp:positionH>
                <wp:positionV relativeFrom="paragraph">
                  <wp:posOffset>40005</wp:posOffset>
                </wp:positionV>
                <wp:extent cx="626427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6D0276FD" id="Shape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898"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72" w:lineRule="auto"/>
        <w:jc w:val="both"/>
        <w:rPr>
          <w:rFonts w:eastAsia="Times New Roman"/>
          <w:color w:val="131413"/>
          <w:sz w:val="19"/>
          <w:szCs w:val="19"/>
        </w:rPr>
      </w:pPr>
      <w:r>
        <w:rPr>
          <w:rFonts w:eastAsia="Times New Roman"/>
          <w:color w:val="131413"/>
          <w:sz w:val="19"/>
          <w:szCs w:val="19"/>
        </w:rPr>
        <w:t>ovarian and breast cancers [</w:t>
      </w:r>
      <w:hyperlink w:anchor="page9">
        <w:r>
          <w:rPr>
            <w:rFonts w:eastAsia="Times New Roman"/>
            <w:color w:val="3A2A97"/>
            <w:sz w:val="19"/>
            <w:szCs w:val="19"/>
          </w:rPr>
          <w:t>16</w:t>
        </w:r>
      </w:hyperlink>
      <w:r>
        <w:rPr>
          <w:rFonts w:eastAsia="Times New Roman"/>
          <w:color w:val="131413"/>
          <w:sz w:val="19"/>
          <w:szCs w:val="19"/>
        </w:rPr>
        <w:t xml:space="preserve">, </w:t>
      </w:r>
      <w:hyperlink w:anchor="page9">
        <w:r>
          <w:rPr>
            <w:rFonts w:eastAsia="Times New Roman"/>
            <w:color w:val="3A2A97"/>
            <w:sz w:val="19"/>
            <w:szCs w:val="19"/>
          </w:rPr>
          <w:t>17</w:t>
        </w:r>
      </w:hyperlink>
      <w:r>
        <w:rPr>
          <w:rFonts w:eastAsia="Times New Roman"/>
          <w:color w:val="131413"/>
          <w:sz w:val="19"/>
          <w:szCs w:val="19"/>
        </w:rPr>
        <w:t>]. Von Hippel-Lindau (VHL) E3 ligase was originally identified as a tumor sup-pressor, and somatic mutations of the VHL gene are relate</w:t>
      </w:r>
      <w:r>
        <w:rPr>
          <w:rFonts w:eastAsia="Times New Roman"/>
          <w:color w:val="131413"/>
          <w:sz w:val="19"/>
          <w:szCs w:val="19"/>
        </w:rPr>
        <w:t>d to the development of clear cell renal carcinoma [</w:t>
      </w:r>
      <w:hyperlink w:anchor="page9">
        <w:r>
          <w:rPr>
            <w:rFonts w:eastAsia="Times New Roman"/>
            <w:color w:val="3A2A97"/>
            <w:sz w:val="19"/>
            <w:szCs w:val="19"/>
          </w:rPr>
          <w:t>18</w:t>
        </w:r>
      </w:hyperlink>
      <w:r>
        <w:rPr>
          <w:rFonts w:eastAsia="Times New Roman"/>
          <w:color w:val="131413"/>
          <w:sz w:val="19"/>
          <w:szCs w:val="19"/>
        </w:rPr>
        <w:t>].</w:t>
      </w:r>
    </w:p>
    <w:p w:rsidR="00F90520" w:rsidRDefault="00F90520">
      <w:pPr>
        <w:spacing w:line="5" w:lineRule="exact"/>
        <w:rPr>
          <w:rFonts w:eastAsia="Times New Roman"/>
          <w:color w:val="131413"/>
          <w:sz w:val="19"/>
          <w:szCs w:val="19"/>
        </w:rPr>
      </w:pPr>
    </w:p>
    <w:p w:rsidR="00F90520" w:rsidRDefault="00B9396E">
      <w:pPr>
        <w:spacing w:line="288" w:lineRule="auto"/>
        <w:ind w:firstLine="227"/>
        <w:jc w:val="both"/>
        <w:rPr>
          <w:rFonts w:eastAsia="Times New Roman"/>
          <w:color w:val="131413"/>
          <w:sz w:val="18"/>
          <w:szCs w:val="18"/>
        </w:rPr>
      </w:pPr>
      <w:r>
        <w:rPr>
          <w:rFonts w:eastAsia="Times New Roman"/>
          <w:color w:val="131413"/>
          <w:sz w:val="18"/>
          <w:szCs w:val="18"/>
        </w:rPr>
        <w:t>In addition to E3 ligases, E2-conjugating enzymes are as-sociated with cancer progression [</w:t>
      </w:r>
      <w:hyperlink w:anchor="page9">
        <w:r>
          <w:rPr>
            <w:rFonts w:eastAsia="Times New Roman"/>
            <w:color w:val="3A2A97"/>
            <w:sz w:val="18"/>
            <w:szCs w:val="18"/>
          </w:rPr>
          <w:t>19</w:t>
        </w:r>
      </w:hyperlink>
      <w:r>
        <w:rPr>
          <w:rFonts w:eastAsia="Times New Roman"/>
          <w:color w:val="131413"/>
          <w:sz w:val="18"/>
          <w:szCs w:val="18"/>
        </w:rPr>
        <w:t>]. One of the most studied E2s is UBE2C because o</w:t>
      </w:r>
      <w:r>
        <w:rPr>
          <w:rFonts w:eastAsia="Times New Roman"/>
          <w:color w:val="131413"/>
          <w:sz w:val="18"/>
          <w:szCs w:val="18"/>
        </w:rPr>
        <w:t>f its association with cancer. UBE2C is required for the degradation of mitotic regulators in coop-eration with anaphase-promoting complex/cyclosome (APC/</w:t>
      </w:r>
    </w:p>
    <w:p w:rsidR="00F90520" w:rsidRDefault="00F90520">
      <w:pPr>
        <w:spacing w:line="4" w:lineRule="exact"/>
        <w:rPr>
          <w:rFonts w:eastAsia="Times New Roman"/>
          <w:color w:val="131413"/>
          <w:sz w:val="19"/>
          <w:szCs w:val="19"/>
        </w:rPr>
      </w:pPr>
    </w:p>
    <w:p w:rsidR="00F90520" w:rsidRDefault="00B9396E">
      <w:pPr>
        <w:numPr>
          <w:ilvl w:val="0"/>
          <w:numId w:val="4"/>
        </w:numPr>
        <w:tabs>
          <w:tab w:val="left" w:pos="272"/>
        </w:tabs>
        <w:spacing w:line="273" w:lineRule="auto"/>
        <w:jc w:val="both"/>
        <w:rPr>
          <w:rFonts w:eastAsia="Times New Roman"/>
          <w:color w:val="131413"/>
          <w:sz w:val="19"/>
          <w:szCs w:val="19"/>
        </w:rPr>
      </w:pPr>
      <w:r>
        <w:rPr>
          <w:rFonts w:eastAsia="Times New Roman"/>
          <w:color w:val="131413"/>
          <w:sz w:val="19"/>
          <w:szCs w:val="19"/>
        </w:rPr>
        <w:t>[</w:t>
      </w:r>
      <w:hyperlink w:anchor="page9">
        <w:r>
          <w:rPr>
            <w:rFonts w:eastAsia="Times New Roman"/>
            <w:color w:val="3A2A97"/>
            <w:sz w:val="19"/>
            <w:szCs w:val="19"/>
          </w:rPr>
          <w:t>20</w:t>
        </w:r>
      </w:hyperlink>
      <w:r>
        <w:rPr>
          <w:rFonts w:eastAsia="Times New Roman"/>
          <w:color w:val="131413"/>
          <w:sz w:val="19"/>
          <w:szCs w:val="19"/>
        </w:rPr>
        <w:t xml:space="preserve">, </w:t>
      </w:r>
      <w:hyperlink w:anchor="page9">
        <w:r>
          <w:rPr>
            <w:rFonts w:eastAsia="Times New Roman"/>
            <w:color w:val="3A2A97"/>
            <w:sz w:val="19"/>
            <w:szCs w:val="19"/>
          </w:rPr>
          <w:t>21</w:t>
        </w:r>
      </w:hyperlink>
      <w:r>
        <w:rPr>
          <w:rFonts w:eastAsia="Times New Roman"/>
          <w:color w:val="131413"/>
          <w:sz w:val="19"/>
          <w:szCs w:val="19"/>
        </w:rPr>
        <w:t xml:space="preserve">]. High expression of UBE2C is </w:t>
      </w:r>
      <w:r>
        <w:rPr>
          <w:rFonts w:eastAsia="Times New Roman"/>
          <w:color w:val="131413"/>
          <w:sz w:val="19"/>
          <w:szCs w:val="19"/>
        </w:rPr>
        <w:t>found in many human cancers of the brain, lung, cervix, colon, liver, thyroid, breast, and nasopharynx [</w:t>
      </w:r>
      <w:hyperlink w:anchor="page9">
        <w:r>
          <w:rPr>
            <w:rFonts w:eastAsia="Times New Roman"/>
            <w:color w:val="3A2A97"/>
            <w:sz w:val="19"/>
            <w:szCs w:val="19"/>
          </w:rPr>
          <w:t>22</w:t>
        </w:r>
      </w:hyperlink>
      <w:r>
        <w:rPr>
          <w:rFonts w:ascii="Arial" w:eastAsia="Arial" w:hAnsi="Arial" w:cs="Arial"/>
          <w:color w:val="131413"/>
          <w:sz w:val="19"/>
          <w:szCs w:val="19"/>
        </w:rPr>
        <w:t>–</w:t>
      </w:r>
      <w:hyperlink w:anchor="page10">
        <w:r>
          <w:rPr>
            <w:rFonts w:eastAsia="Times New Roman"/>
            <w:color w:val="3A2A97"/>
            <w:sz w:val="19"/>
            <w:szCs w:val="19"/>
          </w:rPr>
          <w:t>25</w:t>
        </w:r>
      </w:hyperlink>
      <w:r>
        <w:rPr>
          <w:rFonts w:eastAsia="Times New Roman"/>
          <w:color w:val="131413"/>
          <w:sz w:val="19"/>
          <w:szCs w:val="19"/>
        </w:rPr>
        <w:t>]. Depletion of UBE2C from cancer cells significantly reduced proliferation and induced ce</w:t>
      </w:r>
      <w:r>
        <w:rPr>
          <w:rFonts w:eastAsia="Times New Roman"/>
          <w:color w:val="131413"/>
          <w:sz w:val="19"/>
          <w:szCs w:val="19"/>
        </w:rPr>
        <w:t>llular apoptosis. Transgenic mice overexpressing UBE2C were prone to developing carcinogen-induced lung tumors and a broad spectrum of spontaneous tumors [</w:t>
      </w:r>
      <w:hyperlink w:anchor="page10">
        <w:r>
          <w:rPr>
            <w:rFonts w:eastAsia="Times New Roman"/>
            <w:color w:val="3A2A97"/>
            <w:sz w:val="19"/>
            <w:szCs w:val="19"/>
          </w:rPr>
          <w:t>26</w:t>
        </w:r>
      </w:hyperlink>
      <w:r>
        <w:rPr>
          <w:rFonts w:eastAsia="Times New Roman"/>
          <w:color w:val="131413"/>
          <w:sz w:val="19"/>
          <w:szCs w:val="19"/>
        </w:rPr>
        <w:t>]. These re-sults clearly indicate that UBE2C is involved in cancer de</w:t>
      </w:r>
      <w:r>
        <w:rPr>
          <w:rFonts w:eastAsia="Times New Roman"/>
          <w:color w:val="131413"/>
          <w:sz w:val="19"/>
          <w:szCs w:val="19"/>
        </w:rPr>
        <w:t>vel-opment and progression. UBE2S, also known as E2-EPF, is essential for the elongation of ubiquitin chains to target sub-strate proteins to the 26S proteasome [</w:t>
      </w:r>
      <w:hyperlink w:anchor="page10">
        <w:r>
          <w:rPr>
            <w:rFonts w:eastAsia="Times New Roman"/>
            <w:color w:val="3A2A97"/>
            <w:sz w:val="19"/>
            <w:szCs w:val="19"/>
          </w:rPr>
          <w:t>27</w:t>
        </w:r>
      </w:hyperlink>
      <w:r>
        <w:rPr>
          <w:rFonts w:ascii="Arial" w:eastAsia="Arial" w:hAnsi="Arial" w:cs="Arial"/>
          <w:color w:val="131413"/>
          <w:sz w:val="19"/>
          <w:szCs w:val="19"/>
        </w:rPr>
        <w:t>–</w:t>
      </w:r>
      <w:hyperlink w:anchor="page10">
        <w:r>
          <w:rPr>
            <w:rFonts w:eastAsia="Times New Roman"/>
            <w:color w:val="3A2A97"/>
            <w:sz w:val="19"/>
            <w:szCs w:val="19"/>
          </w:rPr>
          <w:t>29</w:t>
        </w:r>
      </w:hyperlink>
      <w:r>
        <w:rPr>
          <w:rFonts w:eastAsia="Times New Roman"/>
          <w:color w:val="131413"/>
          <w:sz w:val="19"/>
          <w:szCs w:val="19"/>
        </w:rPr>
        <w:t>]. Once UBE2C attaches ubiquiti</w:t>
      </w:r>
      <w:r>
        <w:rPr>
          <w:rFonts w:eastAsia="Times New Roman"/>
          <w:color w:val="131413"/>
          <w:sz w:val="19"/>
          <w:szCs w:val="19"/>
        </w:rPr>
        <w:t>n onto the target proteins, UBE2S promotes the elongation of ubiquitin chains for the degradation. Recent studies have shown that UBE2S is also overexpressed in can-cers. High expression of UBE2S was observed in cervical, breast, and kidney cancers [</w:t>
      </w:r>
      <w:hyperlink w:anchor="page10">
        <w:r>
          <w:rPr>
            <w:rFonts w:eastAsia="Times New Roman"/>
            <w:color w:val="3A2A97"/>
            <w:sz w:val="19"/>
            <w:szCs w:val="19"/>
          </w:rPr>
          <w:t>30</w:t>
        </w:r>
      </w:hyperlink>
      <w:r>
        <w:rPr>
          <w:rFonts w:ascii="Arial" w:eastAsia="Arial" w:hAnsi="Arial" w:cs="Arial"/>
          <w:color w:val="131413"/>
          <w:sz w:val="19"/>
          <w:szCs w:val="19"/>
        </w:rPr>
        <w:t>–</w:t>
      </w:r>
      <w:hyperlink w:anchor="page10">
        <w:r>
          <w:rPr>
            <w:rFonts w:eastAsia="Times New Roman"/>
            <w:color w:val="3A2A97"/>
            <w:sz w:val="19"/>
            <w:szCs w:val="19"/>
          </w:rPr>
          <w:t>33</w:t>
        </w:r>
      </w:hyperlink>
      <w:r>
        <w:rPr>
          <w:rFonts w:eastAsia="Times New Roman"/>
          <w:color w:val="131413"/>
          <w:sz w:val="19"/>
          <w:szCs w:val="19"/>
        </w:rPr>
        <w:t>], but the physiological role of UBE2S in cancer still remains uncertain. In this report, we show that UBE2S depletion suppressed migration, spreading, and invasion of breast cancer cells.</w:t>
      </w:r>
    </w:p>
    <w:p w:rsidR="00F90520" w:rsidRDefault="00F90520">
      <w:pPr>
        <w:spacing w:line="200" w:lineRule="exact"/>
        <w:rPr>
          <w:rFonts w:eastAsia="Times New Roman"/>
          <w:color w:val="131413"/>
          <w:sz w:val="19"/>
          <w:szCs w:val="19"/>
        </w:rPr>
      </w:pPr>
    </w:p>
    <w:p w:rsidR="00F90520" w:rsidRDefault="00F90520">
      <w:pPr>
        <w:spacing w:line="200" w:lineRule="exact"/>
        <w:rPr>
          <w:rFonts w:eastAsia="Times New Roman"/>
          <w:color w:val="131413"/>
          <w:sz w:val="19"/>
          <w:szCs w:val="19"/>
        </w:rPr>
      </w:pPr>
    </w:p>
    <w:p w:rsidR="00F90520" w:rsidRDefault="00F90520">
      <w:pPr>
        <w:spacing w:line="321" w:lineRule="exact"/>
        <w:rPr>
          <w:rFonts w:eastAsia="Times New Roman"/>
          <w:color w:val="131413"/>
          <w:sz w:val="19"/>
          <w:szCs w:val="19"/>
        </w:rPr>
      </w:pPr>
    </w:p>
    <w:p w:rsidR="00F90520" w:rsidRDefault="00B9396E">
      <w:pPr>
        <w:rPr>
          <w:sz w:val="20"/>
          <w:szCs w:val="20"/>
        </w:rPr>
      </w:pPr>
      <w:r>
        <w:rPr>
          <w:rFonts w:eastAsia="Times New Roman"/>
          <w:color w:val="131413"/>
        </w:rPr>
        <w:t>Materia</w:t>
      </w:r>
      <w:r>
        <w:rPr>
          <w:rFonts w:eastAsia="Times New Roman"/>
          <w:color w:val="131413"/>
        </w:rPr>
        <w:t>ls and methods</w:t>
      </w:r>
    </w:p>
    <w:p w:rsidR="00F90520" w:rsidRDefault="00F90520">
      <w:pPr>
        <w:spacing w:line="264"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Cells and antibodies</w:t>
      </w:r>
    </w:p>
    <w:p w:rsidR="00F90520" w:rsidRDefault="00F90520">
      <w:pPr>
        <w:spacing w:line="283" w:lineRule="exact"/>
        <w:rPr>
          <w:rFonts w:eastAsia="Times New Roman"/>
          <w:color w:val="131413"/>
          <w:sz w:val="19"/>
          <w:szCs w:val="19"/>
        </w:rPr>
      </w:pPr>
    </w:p>
    <w:p w:rsidR="00F90520" w:rsidRDefault="00B9396E">
      <w:pPr>
        <w:spacing w:line="258" w:lineRule="auto"/>
        <w:jc w:val="both"/>
        <w:rPr>
          <w:sz w:val="20"/>
          <w:szCs w:val="20"/>
        </w:rPr>
      </w:pPr>
      <w:r>
        <w:rPr>
          <w:rFonts w:eastAsia="Times New Roman"/>
          <w:color w:val="131413"/>
          <w:sz w:val="20"/>
          <w:szCs w:val="20"/>
        </w:rPr>
        <w:t>MCF7 cells were cultured in Dulbecco</w:t>
      </w:r>
      <w:r>
        <w:rPr>
          <w:rFonts w:ascii="Arial" w:eastAsia="Arial" w:hAnsi="Arial" w:cs="Arial"/>
          <w:color w:val="131413"/>
          <w:sz w:val="20"/>
          <w:szCs w:val="20"/>
        </w:rPr>
        <w:t>’</w:t>
      </w:r>
      <w:r>
        <w:rPr>
          <w:rFonts w:eastAsia="Times New Roman"/>
          <w:color w:val="131413"/>
          <w:sz w:val="20"/>
          <w:szCs w:val="20"/>
        </w:rPr>
        <w:t>s modified Eagle</w:t>
      </w:r>
      <w:r>
        <w:rPr>
          <w:rFonts w:ascii="Arial" w:eastAsia="Arial" w:hAnsi="Arial" w:cs="Arial"/>
          <w:color w:val="131413"/>
          <w:sz w:val="20"/>
          <w:szCs w:val="20"/>
        </w:rPr>
        <w:t>’</w:t>
      </w:r>
      <w:r>
        <w:rPr>
          <w:rFonts w:eastAsia="Times New Roman"/>
          <w:color w:val="131413"/>
          <w:sz w:val="20"/>
          <w:szCs w:val="20"/>
        </w:rPr>
        <w:t xml:space="preserve">s medium (DMEM) supplemented with 10 % fetal bovine serum (FBS) and 0.01 mg/ml of insulin. Hs578t cells were cultured in RPMI-1640 supplemented with 10 % FBS. </w:t>
      </w:r>
      <w:r>
        <w:rPr>
          <w:rFonts w:eastAsia="Times New Roman"/>
          <w:color w:val="131413"/>
          <w:sz w:val="20"/>
          <w:szCs w:val="20"/>
        </w:rPr>
        <w:t>Oth-er cell lines were cultured in DMEM with 10 % FBS. To generate anti-UBE2S antibody, the C-terminus of UBE2S (amino acids 158</w:t>
      </w:r>
      <w:r>
        <w:rPr>
          <w:rFonts w:ascii="Arial" w:eastAsia="Arial" w:hAnsi="Arial" w:cs="Arial"/>
          <w:color w:val="131413"/>
          <w:sz w:val="20"/>
          <w:szCs w:val="20"/>
        </w:rPr>
        <w:t>–</w:t>
      </w:r>
      <w:r>
        <w:rPr>
          <w:rFonts w:eastAsia="Times New Roman"/>
          <w:color w:val="131413"/>
          <w:sz w:val="20"/>
          <w:szCs w:val="20"/>
        </w:rPr>
        <w:t>222) with a glutathione S-transferase (GST) tag was produced in bacteria, and recombinant pro-tein was purified using glutathio</w:t>
      </w:r>
      <w:r>
        <w:rPr>
          <w:rFonts w:eastAsia="Times New Roman"/>
          <w:color w:val="131413"/>
          <w:sz w:val="20"/>
          <w:szCs w:val="20"/>
        </w:rPr>
        <w:t>ne agarose beads (Sigma-Aldrich, St. Louis, MO, USA). The protein was mixed with Freund</w:t>
      </w:r>
      <w:r>
        <w:rPr>
          <w:rFonts w:ascii="Arial" w:eastAsia="Arial" w:hAnsi="Arial" w:cs="Arial"/>
          <w:color w:val="131413"/>
          <w:sz w:val="20"/>
          <w:szCs w:val="20"/>
        </w:rPr>
        <w:t>’</w:t>
      </w:r>
      <w:r>
        <w:rPr>
          <w:rFonts w:eastAsia="Times New Roman"/>
          <w:color w:val="131413"/>
          <w:sz w:val="20"/>
          <w:szCs w:val="20"/>
        </w:rPr>
        <w:t>s adjuvant (Sigma-Aldrich) and injected into a rab-bit for four times every 2 weeks. To purify the anti-UBE2S antibody, we used HiTrap NHS-activated HP columns (GE Heal</w:t>
      </w:r>
      <w:r>
        <w:rPr>
          <w:rFonts w:eastAsia="Times New Roman"/>
          <w:color w:val="131413"/>
          <w:sz w:val="20"/>
          <w:szCs w:val="20"/>
        </w:rPr>
        <w:t>thcare BioScience, Uppsala, Sweden) coupled with re-combinant GST-tagged UBE2S (aa158-222). Anti-focal ad-hesion kinase (FAK), anti-phospho-FAK (Tyr397), and anti-vinculin antibodies were obtained from BD Biosciences (San Jose, CA, USA).</w:t>
      </w:r>
    </w:p>
    <w:p w:rsidR="00F90520" w:rsidRDefault="00F90520">
      <w:pPr>
        <w:spacing w:line="20" w:lineRule="exact"/>
        <w:rPr>
          <w:rFonts w:eastAsia="Times New Roman"/>
          <w:color w:val="131413"/>
          <w:sz w:val="19"/>
          <w:szCs w:val="19"/>
        </w:rPr>
      </w:pPr>
    </w:p>
    <w:p w:rsidR="00F90520" w:rsidRDefault="00B9396E">
      <w:pPr>
        <w:spacing w:line="20" w:lineRule="exact"/>
        <w:rPr>
          <w:rFonts w:eastAsia="Times New Roman"/>
          <w:color w:val="131413"/>
          <w:sz w:val="19"/>
          <w:szCs w:val="19"/>
        </w:rPr>
      </w:pPr>
      <w:r>
        <w:rPr>
          <w:rFonts w:eastAsia="Times New Roman"/>
          <w:color w:val="131413"/>
          <w:sz w:val="19"/>
          <w:szCs w:val="19"/>
        </w:rPr>
        <w:br w:type="column"/>
      </w:r>
    </w:p>
    <w:p w:rsidR="00F90520" w:rsidRDefault="00F90520">
      <w:pPr>
        <w:spacing w:line="285"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Immunohistoch</w:t>
      </w:r>
      <w:r>
        <w:rPr>
          <w:rFonts w:eastAsia="Times New Roman"/>
          <w:color w:val="131413"/>
          <w:sz w:val="20"/>
          <w:szCs w:val="20"/>
        </w:rPr>
        <w:t>emical analysis</w:t>
      </w:r>
    </w:p>
    <w:p w:rsidR="00F90520" w:rsidRDefault="00F90520">
      <w:pPr>
        <w:spacing w:line="281" w:lineRule="exact"/>
        <w:rPr>
          <w:rFonts w:eastAsia="Times New Roman"/>
          <w:color w:val="131413"/>
          <w:sz w:val="19"/>
          <w:szCs w:val="19"/>
        </w:rPr>
      </w:pPr>
    </w:p>
    <w:p w:rsidR="00F90520" w:rsidRDefault="00B9396E">
      <w:pPr>
        <w:spacing w:line="273" w:lineRule="auto"/>
        <w:jc w:val="both"/>
        <w:rPr>
          <w:sz w:val="20"/>
          <w:szCs w:val="20"/>
        </w:rPr>
      </w:pPr>
      <w:r>
        <w:rPr>
          <w:rFonts w:eastAsia="Times New Roman"/>
          <w:color w:val="131413"/>
          <w:sz w:val="19"/>
          <w:szCs w:val="19"/>
        </w:rPr>
        <w:t>Tissue microarrays were stained with anti-UBE2S (1:100) overnight at 4 °C and incubated with HRP-labeled rabbit sec-ondary antibody. Tissue microarrays for breast cancer were obtained from US Biomax (Rockville, MD, USA). The cata-log numbe</w:t>
      </w:r>
      <w:r>
        <w:rPr>
          <w:rFonts w:eastAsia="Times New Roman"/>
          <w:color w:val="131413"/>
          <w:sz w:val="19"/>
          <w:szCs w:val="19"/>
        </w:rPr>
        <w:t>rs of the tissue microarrays that we used are T086c, T087, T088a, and BC08013a. Staining intensity was scored as 0 (no staining), 1 (mild), 2 (moderate), and 3 (strong).</w:t>
      </w:r>
    </w:p>
    <w:p w:rsidR="00F90520" w:rsidRDefault="00F90520">
      <w:pPr>
        <w:spacing w:line="239"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siRNA transfection</w:t>
      </w:r>
    </w:p>
    <w:p w:rsidR="00F90520" w:rsidRDefault="00F90520">
      <w:pPr>
        <w:spacing w:line="283" w:lineRule="exact"/>
        <w:rPr>
          <w:rFonts w:eastAsia="Times New Roman"/>
          <w:color w:val="131413"/>
          <w:sz w:val="19"/>
          <w:szCs w:val="19"/>
        </w:rPr>
      </w:pPr>
    </w:p>
    <w:p w:rsidR="00F90520" w:rsidRDefault="00B9396E">
      <w:pPr>
        <w:spacing w:line="272" w:lineRule="auto"/>
        <w:jc w:val="both"/>
        <w:rPr>
          <w:sz w:val="20"/>
          <w:szCs w:val="20"/>
        </w:rPr>
      </w:pPr>
      <w:r>
        <w:rPr>
          <w:rFonts w:eastAsia="Times New Roman"/>
          <w:color w:val="131413"/>
          <w:sz w:val="19"/>
          <w:szCs w:val="19"/>
        </w:rPr>
        <w:t xml:space="preserve">Small interfering RNA (siRNA) sequences used to knock down UBE2S </w:t>
      </w:r>
      <w:r>
        <w:rPr>
          <w:rFonts w:eastAsia="Times New Roman"/>
          <w:color w:val="131413"/>
          <w:sz w:val="19"/>
          <w:szCs w:val="19"/>
        </w:rPr>
        <w:t>are 5</w:t>
      </w:r>
      <w:r>
        <w:rPr>
          <w:rFonts w:ascii="Arial" w:eastAsia="Arial" w:hAnsi="Arial" w:cs="Arial"/>
          <w:color w:val="131413"/>
          <w:sz w:val="19"/>
          <w:szCs w:val="19"/>
        </w:rPr>
        <w:t>′</w:t>
      </w:r>
      <w:r>
        <w:rPr>
          <w:rFonts w:eastAsia="Times New Roman"/>
          <w:color w:val="131413"/>
          <w:sz w:val="19"/>
          <w:szCs w:val="19"/>
        </w:rPr>
        <w:t>-AGGGCUACUUCCUGACCAATT-3</w:t>
      </w:r>
      <w:r>
        <w:rPr>
          <w:rFonts w:ascii="Arial" w:eastAsia="Arial" w:hAnsi="Arial" w:cs="Arial"/>
          <w:color w:val="131413"/>
          <w:sz w:val="19"/>
          <w:szCs w:val="19"/>
        </w:rPr>
        <w:t>′</w:t>
      </w:r>
      <w:r>
        <w:rPr>
          <w:rFonts w:eastAsia="Times New Roman"/>
          <w:color w:val="131413"/>
          <w:sz w:val="19"/>
          <w:szCs w:val="19"/>
        </w:rPr>
        <w:t xml:space="preserve"> (siUBE2S-1) and 5</w:t>
      </w:r>
      <w:r>
        <w:rPr>
          <w:rFonts w:ascii="Arial" w:eastAsia="Arial" w:hAnsi="Arial" w:cs="Arial"/>
          <w:color w:val="131413"/>
          <w:sz w:val="19"/>
          <w:szCs w:val="19"/>
        </w:rPr>
        <w:t>′</w:t>
      </w:r>
      <w:r>
        <w:rPr>
          <w:rFonts w:eastAsia="Times New Roman"/>
          <w:color w:val="131413"/>
          <w:sz w:val="19"/>
          <w:szCs w:val="19"/>
        </w:rPr>
        <w:t>-CCAUCAAGUGCCUGCUGAUTT-3</w:t>
      </w:r>
      <w:r>
        <w:rPr>
          <w:rFonts w:ascii="Arial" w:eastAsia="Arial" w:hAnsi="Arial" w:cs="Arial"/>
          <w:color w:val="131413"/>
          <w:sz w:val="19"/>
          <w:szCs w:val="19"/>
        </w:rPr>
        <w:t>′</w:t>
      </w:r>
      <w:r>
        <w:rPr>
          <w:rFonts w:eastAsia="Times New Roman"/>
          <w:color w:val="131413"/>
          <w:sz w:val="19"/>
          <w:szCs w:val="19"/>
        </w:rPr>
        <w:t xml:space="preserve"> (siUBE2S-2). The sequence of control siRNA targeting lucif-erase is 5</w:t>
      </w:r>
      <w:r>
        <w:rPr>
          <w:rFonts w:ascii="Arial" w:eastAsia="Arial" w:hAnsi="Arial" w:cs="Arial"/>
          <w:color w:val="131413"/>
          <w:sz w:val="19"/>
          <w:szCs w:val="19"/>
        </w:rPr>
        <w:t>′</w:t>
      </w:r>
      <w:r>
        <w:rPr>
          <w:rFonts w:eastAsia="Times New Roman"/>
          <w:color w:val="131413"/>
          <w:sz w:val="19"/>
          <w:szCs w:val="19"/>
        </w:rPr>
        <w:t>-CUUACGCUGAGUACUUCGATT-3</w:t>
      </w:r>
      <w:r>
        <w:rPr>
          <w:rFonts w:ascii="Arial" w:eastAsia="Arial" w:hAnsi="Arial" w:cs="Arial"/>
          <w:color w:val="131413"/>
          <w:sz w:val="19"/>
          <w:szCs w:val="19"/>
        </w:rPr>
        <w:t>′</w:t>
      </w:r>
      <w:r>
        <w:rPr>
          <w:rFonts w:eastAsia="Times New Roman"/>
          <w:color w:val="131413"/>
          <w:sz w:val="19"/>
          <w:szCs w:val="19"/>
        </w:rPr>
        <w:t>. siRNAs (20 nM) were transfected using RNAi/Max (Invitrogen) ac-cording to the manuf</w:t>
      </w:r>
      <w:r>
        <w:rPr>
          <w:rFonts w:eastAsia="Times New Roman"/>
          <w:color w:val="131413"/>
          <w:sz w:val="19"/>
          <w:szCs w:val="19"/>
        </w:rPr>
        <w:t>acturer</w:t>
      </w:r>
      <w:r>
        <w:rPr>
          <w:rFonts w:ascii="Arial" w:eastAsia="Arial" w:hAnsi="Arial" w:cs="Arial"/>
          <w:color w:val="131413"/>
          <w:sz w:val="19"/>
          <w:szCs w:val="19"/>
        </w:rPr>
        <w:t>’</w:t>
      </w:r>
      <w:r>
        <w:rPr>
          <w:rFonts w:eastAsia="Times New Roman"/>
          <w:color w:val="131413"/>
          <w:sz w:val="19"/>
          <w:szCs w:val="19"/>
        </w:rPr>
        <w:t>s protocol.</w:t>
      </w:r>
    </w:p>
    <w:p w:rsidR="00F90520" w:rsidRDefault="00F90520">
      <w:pPr>
        <w:spacing w:line="241"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Immunofluorescence analysis</w:t>
      </w:r>
    </w:p>
    <w:p w:rsidR="00F90520" w:rsidRDefault="00F90520">
      <w:pPr>
        <w:spacing w:line="281" w:lineRule="exact"/>
        <w:rPr>
          <w:rFonts w:eastAsia="Times New Roman"/>
          <w:color w:val="131413"/>
          <w:sz w:val="19"/>
          <w:szCs w:val="19"/>
        </w:rPr>
      </w:pPr>
    </w:p>
    <w:p w:rsidR="00F90520" w:rsidRDefault="00B9396E">
      <w:pPr>
        <w:spacing w:line="258" w:lineRule="auto"/>
        <w:jc w:val="both"/>
        <w:rPr>
          <w:sz w:val="20"/>
          <w:szCs w:val="20"/>
        </w:rPr>
      </w:pPr>
      <w:r>
        <w:rPr>
          <w:rFonts w:eastAsia="Times New Roman"/>
          <w:color w:val="131413"/>
          <w:sz w:val="20"/>
          <w:szCs w:val="20"/>
        </w:rPr>
        <w:t>Cells cultured on cover glass were transfected with siRNAs, and 72 h later, cells were fixed with 4 % paraformaldehyde for 20 min. The cells were blocked with 7 % FBS in PBS for 30 min and then incubated wi</w:t>
      </w:r>
      <w:r>
        <w:rPr>
          <w:rFonts w:eastAsia="Times New Roman"/>
          <w:color w:val="131413"/>
          <w:sz w:val="20"/>
          <w:szCs w:val="20"/>
        </w:rPr>
        <w:t>th primary antibodies. After washing with PBS, the cells were incubated with FITC-conjugated anti-rabbit antibody (Invitrogen). Rhodamine-conjugated phalloidin was used to stain actin fibers. Images were acquired using an FV1000 confocal microscope (Olym-p</w:t>
      </w:r>
      <w:r>
        <w:rPr>
          <w:rFonts w:eastAsia="Times New Roman"/>
          <w:color w:val="131413"/>
          <w:sz w:val="20"/>
          <w:szCs w:val="20"/>
        </w:rPr>
        <w:t>us, Tokyo, Japan).</w:t>
      </w:r>
    </w:p>
    <w:p w:rsidR="00F90520" w:rsidRDefault="00F90520">
      <w:pPr>
        <w:spacing w:line="252"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Preparation of cytoplasmic and nuclear fractions</w:t>
      </w:r>
    </w:p>
    <w:p w:rsidR="00F90520" w:rsidRDefault="00F90520">
      <w:pPr>
        <w:spacing w:line="281" w:lineRule="exact"/>
        <w:rPr>
          <w:rFonts w:eastAsia="Times New Roman"/>
          <w:color w:val="131413"/>
          <w:sz w:val="19"/>
          <w:szCs w:val="19"/>
        </w:rPr>
      </w:pPr>
    </w:p>
    <w:p w:rsidR="00F90520" w:rsidRDefault="00B9396E">
      <w:pPr>
        <w:spacing w:line="273" w:lineRule="auto"/>
        <w:jc w:val="both"/>
        <w:rPr>
          <w:rFonts w:eastAsia="Times New Roman"/>
          <w:color w:val="131413"/>
          <w:sz w:val="19"/>
          <w:szCs w:val="19"/>
        </w:rPr>
      </w:pPr>
      <w:r>
        <w:rPr>
          <w:rFonts w:eastAsia="Times New Roman"/>
          <w:color w:val="131413"/>
          <w:sz w:val="19"/>
          <w:szCs w:val="19"/>
        </w:rPr>
        <w:t>The subcellular fractionation was performed using a protocol for REAP nuclear/cytoplasmic fractionation [</w:t>
      </w:r>
      <w:hyperlink w:anchor="page10">
        <w:r>
          <w:rPr>
            <w:rFonts w:eastAsia="Times New Roman"/>
            <w:color w:val="3A2A97"/>
            <w:sz w:val="19"/>
            <w:szCs w:val="19"/>
          </w:rPr>
          <w:t>34</w:t>
        </w:r>
      </w:hyperlink>
      <w:r>
        <w:rPr>
          <w:rFonts w:eastAsia="Times New Roman"/>
          <w:color w:val="131413"/>
          <w:sz w:val="19"/>
          <w:szCs w:val="19"/>
        </w:rPr>
        <w:t xml:space="preserve">]. To separate cytoplasmic and nuclear proteins, cells were washed twice with ice-cold phosphate-buffered saline (PBS) and collected with ice-cold PBS (1000 </w:t>
      </w:r>
      <w:r>
        <w:rPr>
          <w:rFonts w:ascii="Arial" w:eastAsia="Arial" w:hAnsi="Arial" w:cs="Arial"/>
          <w:color w:val="131413"/>
          <w:sz w:val="19"/>
          <w:szCs w:val="19"/>
        </w:rPr>
        <w:t>μ</w:t>
      </w:r>
      <w:r>
        <w:rPr>
          <w:rFonts w:eastAsia="Times New Roman"/>
          <w:color w:val="131413"/>
          <w:sz w:val="19"/>
          <w:szCs w:val="19"/>
        </w:rPr>
        <w:t>l per 10-cm-diameter dish) into a 1.5-ml microcentrifuge tube. The tube was allowed to pop-spin fo</w:t>
      </w:r>
      <w:r>
        <w:rPr>
          <w:rFonts w:eastAsia="Times New Roman"/>
          <w:color w:val="131413"/>
          <w:sz w:val="19"/>
          <w:szCs w:val="19"/>
        </w:rPr>
        <w:t>r 10 s and supernatant was discarded. The cell pellet was triturated for five times using 0.1 % NP40-PBS. This was considered as whole cell lysate. The remainder in the tube was allowed to pop-spin again for 10 s. The supernatant was col-lected in a new tu</w:t>
      </w:r>
      <w:r>
        <w:rPr>
          <w:rFonts w:eastAsia="Times New Roman"/>
          <w:color w:val="131413"/>
          <w:sz w:val="19"/>
          <w:szCs w:val="19"/>
        </w:rPr>
        <w:t>be as cytoplasmic fraction. The pellet was resuspended with ice-cold 0.1 % NP40-PBS and pop-spun for 10 s. The supernatant was discarded and the resulting pellet was considered as nuclear fraction.</w:t>
      </w:r>
    </w:p>
    <w:p w:rsidR="00F90520" w:rsidRDefault="00F90520">
      <w:pPr>
        <w:spacing w:line="242"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Cell attachment assay</w:t>
      </w:r>
    </w:p>
    <w:p w:rsidR="00F90520" w:rsidRDefault="00F90520">
      <w:pPr>
        <w:spacing w:line="281" w:lineRule="exact"/>
        <w:rPr>
          <w:rFonts w:eastAsia="Times New Roman"/>
          <w:color w:val="131413"/>
          <w:sz w:val="19"/>
          <w:szCs w:val="19"/>
        </w:rPr>
      </w:pPr>
    </w:p>
    <w:p w:rsidR="00F90520" w:rsidRDefault="00B9396E">
      <w:pPr>
        <w:spacing w:line="238" w:lineRule="auto"/>
        <w:jc w:val="both"/>
        <w:rPr>
          <w:sz w:val="20"/>
          <w:szCs w:val="20"/>
        </w:rPr>
      </w:pPr>
      <w:r>
        <w:rPr>
          <w:rFonts w:eastAsia="Times New Roman"/>
          <w:color w:val="131413"/>
          <w:sz w:val="19"/>
          <w:szCs w:val="19"/>
        </w:rPr>
        <w:t xml:space="preserve">Cells were seeded onto a </w:t>
      </w:r>
      <w:r>
        <w:rPr>
          <w:rFonts w:eastAsia="Times New Roman"/>
          <w:color w:val="131413"/>
          <w:sz w:val="19"/>
          <w:szCs w:val="19"/>
        </w:rPr>
        <w:t>24-well plate coated with fibronectin at a density of 1×10</w:t>
      </w:r>
      <w:r>
        <w:rPr>
          <w:rFonts w:eastAsia="Times New Roman"/>
          <w:color w:val="131413"/>
          <w:sz w:val="25"/>
          <w:szCs w:val="25"/>
          <w:vertAlign w:val="superscript"/>
        </w:rPr>
        <w:t>5</w:t>
      </w:r>
      <w:r>
        <w:rPr>
          <w:rFonts w:eastAsia="Times New Roman"/>
          <w:color w:val="131413"/>
          <w:sz w:val="19"/>
          <w:szCs w:val="19"/>
        </w:rPr>
        <w:t xml:space="preserve"> cells per well. After 20, 40, 60, and</w:t>
      </w:r>
    </w:p>
    <w:p w:rsidR="00F90520" w:rsidRDefault="00F90520">
      <w:pPr>
        <w:sectPr w:rsidR="00F90520">
          <w:type w:val="continuous"/>
          <w:pgSz w:w="11900" w:h="15817"/>
          <w:pgMar w:top="649" w:right="1026" w:bottom="898" w:left="1020" w:header="0" w:footer="0" w:gutter="0"/>
          <w:cols w:num="2" w:space="720" w:equalWidth="0">
            <w:col w:w="4760" w:space="340"/>
            <w:col w:w="4760"/>
          </w:cols>
        </w:sectPr>
      </w:pPr>
    </w:p>
    <w:p w:rsidR="00F90520" w:rsidRDefault="00B9396E">
      <w:pPr>
        <w:spacing w:line="20" w:lineRule="exact"/>
        <w:rPr>
          <w:sz w:val="20"/>
          <w:szCs w:val="20"/>
        </w:rPr>
      </w:pPr>
      <w:bookmarkStart w:id="1" w:name="page3"/>
      <w:bookmarkEnd w:id="1"/>
      <w:r>
        <w:rPr>
          <w:noProof/>
          <w:sz w:val="20"/>
          <w:szCs w:val="20"/>
        </w:rPr>
        <w:lastRenderedPageBreak/>
        <mc:AlternateContent>
          <mc:Choice Requires="wps">
            <w:drawing>
              <wp:anchor distT="0" distB="0" distL="114300" distR="114300" simplePos="0" relativeHeight="251652096" behindDoc="1" locked="0" layoutInCell="0" allowOverlap="1">
                <wp:simplePos x="0" y="0"/>
                <wp:positionH relativeFrom="column">
                  <wp:posOffset>0</wp:posOffset>
                </wp:positionH>
                <wp:positionV relativeFrom="paragraph">
                  <wp:posOffset>40005</wp:posOffset>
                </wp:positionV>
                <wp:extent cx="626427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5C1D6231" id="Shape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1440"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56" w:lineRule="auto"/>
        <w:jc w:val="both"/>
        <w:rPr>
          <w:sz w:val="20"/>
          <w:szCs w:val="20"/>
        </w:rPr>
      </w:pPr>
      <w:r>
        <w:rPr>
          <w:rFonts w:eastAsia="Times New Roman"/>
          <w:color w:val="131413"/>
          <w:sz w:val="20"/>
          <w:szCs w:val="20"/>
        </w:rPr>
        <w:t>120 min, unattached cells were removed by tapping the plate and rinsing the wells with PBS t</w:t>
      </w:r>
      <w:r>
        <w:rPr>
          <w:rFonts w:eastAsia="Times New Roman"/>
          <w:color w:val="131413"/>
          <w:sz w:val="20"/>
          <w:szCs w:val="20"/>
        </w:rPr>
        <w:t>wice. Attached cells were counted in five representative high-power fields. The data are presented as the average of the results from three indepen-dent experiments.</w:t>
      </w:r>
    </w:p>
    <w:p w:rsidR="00F90520" w:rsidRDefault="00F90520">
      <w:pPr>
        <w:spacing w:line="200" w:lineRule="exact"/>
        <w:rPr>
          <w:sz w:val="20"/>
          <w:szCs w:val="20"/>
        </w:rPr>
      </w:pPr>
    </w:p>
    <w:p w:rsidR="00F90520" w:rsidRDefault="00F90520">
      <w:pPr>
        <w:spacing w:line="302" w:lineRule="exact"/>
        <w:rPr>
          <w:sz w:val="20"/>
          <w:szCs w:val="20"/>
        </w:rPr>
      </w:pPr>
    </w:p>
    <w:p w:rsidR="00F90520" w:rsidRDefault="00B9396E">
      <w:pPr>
        <w:rPr>
          <w:sz w:val="20"/>
          <w:szCs w:val="20"/>
        </w:rPr>
      </w:pPr>
      <w:r>
        <w:rPr>
          <w:rFonts w:eastAsia="Times New Roman"/>
          <w:color w:val="131413"/>
          <w:sz w:val="20"/>
          <w:szCs w:val="20"/>
        </w:rPr>
        <w:t>Cell spreading assay</w:t>
      </w:r>
    </w:p>
    <w:p w:rsidR="00F90520" w:rsidRDefault="00F90520">
      <w:pPr>
        <w:spacing w:line="283" w:lineRule="exact"/>
        <w:rPr>
          <w:sz w:val="20"/>
          <w:szCs w:val="20"/>
        </w:rPr>
      </w:pPr>
    </w:p>
    <w:p w:rsidR="00F90520" w:rsidRDefault="00B9396E">
      <w:pPr>
        <w:spacing w:line="262" w:lineRule="auto"/>
        <w:jc w:val="both"/>
        <w:rPr>
          <w:sz w:val="20"/>
          <w:szCs w:val="20"/>
        </w:rPr>
      </w:pPr>
      <w:r>
        <w:rPr>
          <w:rFonts w:eastAsia="Times New Roman"/>
          <w:color w:val="131413"/>
          <w:sz w:val="19"/>
          <w:szCs w:val="19"/>
        </w:rPr>
        <w:t xml:space="preserve">Cells were seeded onto a 24-well plate coated with fibronectin at </w:t>
      </w:r>
      <w:r>
        <w:rPr>
          <w:rFonts w:eastAsia="Times New Roman"/>
          <w:color w:val="131413"/>
          <w:sz w:val="19"/>
          <w:szCs w:val="19"/>
        </w:rPr>
        <w:t>a density of 1×10</w:t>
      </w:r>
      <w:r>
        <w:rPr>
          <w:rFonts w:eastAsia="Times New Roman"/>
          <w:color w:val="131413"/>
          <w:sz w:val="25"/>
          <w:szCs w:val="25"/>
          <w:vertAlign w:val="superscript"/>
        </w:rPr>
        <w:t>5</w:t>
      </w:r>
      <w:r>
        <w:rPr>
          <w:rFonts w:eastAsia="Times New Roman"/>
          <w:color w:val="131413"/>
          <w:sz w:val="19"/>
          <w:szCs w:val="19"/>
        </w:rPr>
        <w:t xml:space="preserve"> cells per well and fixed 1 h later. Spread and nonspread cells were counted in five representative high-power fields. Nonspread cells were defined as small round cells with few or no membrane protrusions, whereas spread cells were define</w:t>
      </w:r>
      <w:r>
        <w:rPr>
          <w:rFonts w:eastAsia="Times New Roman"/>
          <w:color w:val="131413"/>
          <w:sz w:val="19"/>
          <w:szCs w:val="19"/>
        </w:rPr>
        <w:t>d as large cells with extensive visible lamellipodia. The results represent the percentage of spread cells in five high-power fields. The data are presented as the average of the results from three independent experiments.</w:t>
      </w:r>
    </w:p>
    <w:p w:rsidR="00F90520" w:rsidRDefault="00F90520">
      <w:pPr>
        <w:spacing w:line="200" w:lineRule="exact"/>
        <w:rPr>
          <w:sz w:val="20"/>
          <w:szCs w:val="20"/>
        </w:rPr>
      </w:pPr>
    </w:p>
    <w:p w:rsidR="00F90520" w:rsidRDefault="00FB0D01">
      <w:pPr>
        <w:spacing w:line="383"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1614805</wp:posOffset>
            </wp:positionH>
            <wp:positionV relativeFrom="paragraph">
              <wp:posOffset>236855</wp:posOffset>
            </wp:positionV>
            <wp:extent cx="4650740" cy="53644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srcRect b="3653"/>
                    <a:stretch/>
                  </pic:blipFill>
                  <pic:spPr bwMode="auto">
                    <a:xfrm>
                      <a:off x="0" y="0"/>
                      <a:ext cx="4650740" cy="5364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90520" w:rsidRDefault="00B9396E">
      <w:pPr>
        <w:spacing w:line="259" w:lineRule="auto"/>
        <w:ind w:right="2540"/>
        <w:rPr>
          <w:sz w:val="20"/>
          <w:szCs w:val="20"/>
        </w:rPr>
      </w:pPr>
      <w:r>
        <w:rPr>
          <w:rFonts w:eastAsia="Times New Roman"/>
          <w:color w:val="131413"/>
          <w:sz w:val="16"/>
          <w:szCs w:val="16"/>
        </w:rPr>
        <w:t>Fig. 1 UBE2S is expressed in br</w:t>
      </w:r>
      <w:r>
        <w:rPr>
          <w:rFonts w:eastAsia="Times New Roman"/>
          <w:color w:val="131413"/>
          <w:sz w:val="16"/>
          <w:szCs w:val="16"/>
        </w:rPr>
        <w:t>east cancer cells and tissues. a Expression of UBE2S in the indicated cell lines was examined by immunoblot analysis. b BT20 cells cultured on fibronectin-coated glass coverslips were fixed</w:t>
      </w:r>
    </w:p>
    <w:p w:rsidR="00F90520" w:rsidRDefault="00F90520">
      <w:pPr>
        <w:spacing w:line="5" w:lineRule="exact"/>
        <w:rPr>
          <w:sz w:val="20"/>
          <w:szCs w:val="20"/>
        </w:rPr>
      </w:pPr>
    </w:p>
    <w:p w:rsidR="00F90520" w:rsidRDefault="00B9396E">
      <w:pPr>
        <w:spacing w:line="235" w:lineRule="auto"/>
        <w:ind w:right="2700"/>
        <w:rPr>
          <w:sz w:val="20"/>
          <w:szCs w:val="20"/>
        </w:rPr>
      </w:pPr>
      <w:r>
        <w:rPr>
          <w:rFonts w:eastAsia="Times New Roman"/>
          <w:color w:val="131413"/>
          <w:sz w:val="17"/>
          <w:szCs w:val="17"/>
        </w:rPr>
        <w:t xml:space="preserve">and stained with anti-UBE2S antibody (scale bar=20 </w:t>
      </w:r>
      <w:r>
        <w:rPr>
          <w:rFonts w:ascii="Arial" w:eastAsia="Arial" w:hAnsi="Arial" w:cs="Arial"/>
          <w:color w:val="131413"/>
          <w:sz w:val="17"/>
          <w:szCs w:val="17"/>
        </w:rPr>
        <w:t>μ</w:t>
      </w:r>
      <w:r>
        <w:rPr>
          <w:rFonts w:eastAsia="Times New Roman"/>
          <w:color w:val="131413"/>
          <w:sz w:val="17"/>
          <w:szCs w:val="17"/>
        </w:rPr>
        <w:t>m). c</w:t>
      </w:r>
    </w:p>
    <w:p w:rsidR="00F90520" w:rsidRDefault="00F90520">
      <w:pPr>
        <w:spacing w:line="15" w:lineRule="exact"/>
        <w:rPr>
          <w:sz w:val="20"/>
          <w:szCs w:val="20"/>
        </w:rPr>
      </w:pPr>
    </w:p>
    <w:p w:rsidR="00F90520" w:rsidRDefault="00B9396E">
      <w:pPr>
        <w:spacing w:line="259" w:lineRule="auto"/>
        <w:ind w:right="2540"/>
        <w:rPr>
          <w:sz w:val="20"/>
          <w:szCs w:val="20"/>
        </w:rPr>
      </w:pPr>
      <w:r>
        <w:rPr>
          <w:rFonts w:eastAsia="Times New Roman"/>
          <w:color w:val="131413"/>
          <w:sz w:val="16"/>
          <w:szCs w:val="16"/>
        </w:rPr>
        <w:t>Cytoplasmic and nuclear fractions were immunoblotted with the indicated antibodies. d Tissue microarray was stained with anti-UBE2S antibody. Representative images of score0, score1, score2, and score3 are shown. e Semiquantitative scoring of the image int</w:t>
      </w:r>
      <w:r>
        <w:rPr>
          <w:rFonts w:eastAsia="Times New Roman"/>
          <w:color w:val="131413"/>
          <w:sz w:val="16"/>
          <w:szCs w:val="16"/>
        </w:rPr>
        <w:t>ensity of each tissue was performed. The table shows the number of samples in each score. The graph indicates the percentage of score2- and score3-positive samples (***P&lt;0.001)</w:t>
      </w:r>
    </w:p>
    <w:p w:rsidR="00F90520" w:rsidRDefault="00B9396E">
      <w:pPr>
        <w:spacing w:line="20" w:lineRule="exact"/>
        <w:rPr>
          <w:sz w:val="20"/>
          <w:szCs w:val="20"/>
        </w:rPr>
      </w:pPr>
      <w:r>
        <w:rPr>
          <w:sz w:val="20"/>
          <w:szCs w:val="20"/>
        </w:rPr>
        <w:br w:type="column"/>
      </w:r>
    </w:p>
    <w:p w:rsidR="00F90520" w:rsidRDefault="00F90520">
      <w:pPr>
        <w:spacing w:line="286" w:lineRule="exact"/>
        <w:rPr>
          <w:sz w:val="20"/>
          <w:szCs w:val="20"/>
        </w:rPr>
      </w:pPr>
    </w:p>
    <w:p w:rsidR="00F90520" w:rsidRDefault="00B9396E">
      <w:pPr>
        <w:rPr>
          <w:sz w:val="20"/>
          <w:szCs w:val="20"/>
        </w:rPr>
      </w:pPr>
      <w:r>
        <w:rPr>
          <w:rFonts w:eastAsia="Times New Roman"/>
          <w:color w:val="131413"/>
          <w:sz w:val="20"/>
          <w:szCs w:val="20"/>
        </w:rPr>
        <w:t>Migration assay</w:t>
      </w:r>
    </w:p>
    <w:p w:rsidR="00F90520" w:rsidRDefault="00F90520">
      <w:pPr>
        <w:spacing w:line="281" w:lineRule="exact"/>
        <w:rPr>
          <w:sz w:val="20"/>
          <w:szCs w:val="20"/>
        </w:rPr>
      </w:pPr>
    </w:p>
    <w:p w:rsidR="00F90520" w:rsidRDefault="00B9396E">
      <w:pPr>
        <w:spacing w:line="263" w:lineRule="auto"/>
        <w:jc w:val="both"/>
        <w:rPr>
          <w:sz w:val="20"/>
          <w:szCs w:val="20"/>
        </w:rPr>
      </w:pPr>
      <w:r>
        <w:rPr>
          <w:rFonts w:eastAsia="Times New Roman"/>
          <w:color w:val="131413"/>
          <w:sz w:val="19"/>
          <w:szCs w:val="19"/>
        </w:rPr>
        <w:t>Cell migration was assessed using 24-well Boyden chambers (</w:t>
      </w:r>
      <w:r>
        <w:rPr>
          <w:rFonts w:eastAsia="Times New Roman"/>
          <w:color w:val="131413"/>
          <w:sz w:val="19"/>
          <w:szCs w:val="19"/>
        </w:rPr>
        <w:t>8-</w:t>
      </w:r>
      <w:r>
        <w:rPr>
          <w:rFonts w:ascii="Arial" w:eastAsia="Arial" w:hAnsi="Arial" w:cs="Arial"/>
          <w:color w:val="131413"/>
          <w:sz w:val="19"/>
          <w:szCs w:val="19"/>
        </w:rPr>
        <w:t>μ</w:t>
      </w:r>
      <w:r>
        <w:rPr>
          <w:rFonts w:eastAsia="Times New Roman"/>
          <w:color w:val="131413"/>
          <w:sz w:val="19"/>
          <w:szCs w:val="19"/>
        </w:rPr>
        <w:t>m pore size, 6.5-mm membrane diameter). The lower surface of the filter was coated with fibronectin to promote cell migration. Cells (5×10</w:t>
      </w:r>
      <w:r>
        <w:rPr>
          <w:rFonts w:eastAsia="Times New Roman"/>
          <w:color w:val="131413"/>
          <w:sz w:val="25"/>
          <w:szCs w:val="25"/>
          <w:vertAlign w:val="superscript"/>
        </w:rPr>
        <w:t>4</w:t>
      </w:r>
      <w:r>
        <w:rPr>
          <w:rFonts w:eastAsia="Times New Roman"/>
          <w:color w:val="131413"/>
          <w:sz w:val="19"/>
          <w:szCs w:val="19"/>
        </w:rPr>
        <w:t xml:space="preserve">) were seeded onto the upper sur-face of the chamber, and 20 h later, the cells were fixed with 100 % ethanol and </w:t>
      </w:r>
      <w:r>
        <w:rPr>
          <w:rFonts w:eastAsia="Times New Roman"/>
          <w:color w:val="131413"/>
          <w:sz w:val="19"/>
          <w:szCs w:val="19"/>
        </w:rPr>
        <w:t>stained with 0.5 % crystal violet. Cells that migrated to the lower surface of the chambers were counted under a microscope at ×10 magnification. Five independent fields were randomly selected in each experiment, and three independent experiments were perf</w:t>
      </w:r>
      <w:r>
        <w:rPr>
          <w:rFonts w:eastAsia="Times New Roman"/>
          <w:color w:val="131413"/>
          <w:sz w:val="19"/>
          <w:szCs w:val="19"/>
        </w:rPr>
        <w:t>ormed.</w:t>
      </w:r>
    </w:p>
    <w:p w:rsidR="00F90520" w:rsidRDefault="00F90520">
      <w:pPr>
        <w:spacing w:line="255" w:lineRule="exact"/>
        <w:rPr>
          <w:sz w:val="20"/>
          <w:szCs w:val="20"/>
        </w:rPr>
      </w:pPr>
    </w:p>
    <w:p w:rsidR="00F90520" w:rsidRDefault="00B9396E">
      <w:pPr>
        <w:rPr>
          <w:sz w:val="20"/>
          <w:szCs w:val="20"/>
        </w:rPr>
      </w:pPr>
      <w:r>
        <w:rPr>
          <w:rFonts w:eastAsia="Times New Roman"/>
          <w:color w:val="131413"/>
          <w:sz w:val="20"/>
          <w:szCs w:val="20"/>
        </w:rPr>
        <w:t>Invasion assay</w:t>
      </w:r>
    </w:p>
    <w:p w:rsidR="00F90520" w:rsidRDefault="00F90520">
      <w:pPr>
        <w:spacing w:line="283" w:lineRule="exact"/>
        <w:rPr>
          <w:sz w:val="20"/>
          <w:szCs w:val="20"/>
        </w:rPr>
      </w:pPr>
    </w:p>
    <w:p w:rsidR="00F90520" w:rsidRDefault="00B9396E">
      <w:pPr>
        <w:spacing w:line="251" w:lineRule="auto"/>
        <w:jc w:val="both"/>
        <w:rPr>
          <w:sz w:val="20"/>
          <w:szCs w:val="20"/>
        </w:rPr>
      </w:pPr>
      <w:r>
        <w:rPr>
          <w:rFonts w:eastAsia="Times New Roman"/>
          <w:color w:val="131413"/>
          <w:sz w:val="19"/>
          <w:szCs w:val="19"/>
        </w:rPr>
        <w:t>To measure cell invasion using 24-well Boyden chambers (8-</w:t>
      </w:r>
      <w:r>
        <w:rPr>
          <w:rFonts w:ascii="Arial" w:eastAsia="Arial" w:hAnsi="Arial" w:cs="Arial"/>
          <w:color w:val="131413"/>
          <w:sz w:val="19"/>
          <w:szCs w:val="19"/>
        </w:rPr>
        <w:t>μ</w:t>
      </w:r>
      <w:r>
        <w:rPr>
          <w:rFonts w:eastAsia="Times New Roman"/>
          <w:color w:val="131413"/>
          <w:sz w:val="19"/>
          <w:szCs w:val="19"/>
        </w:rPr>
        <w:t>m pore size, 6.5-mm membrane diameter), the filter was pre-coated with Matrigel, and 1.5×10</w:t>
      </w:r>
      <w:r>
        <w:rPr>
          <w:rFonts w:eastAsia="Times New Roman"/>
          <w:color w:val="131413"/>
          <w:sz w:val="25"/>
          <w:szCs w:val="25"/>
          <w:vertAlign w:val="superscript"/>
        </w:rPr>
        <w:t>5</w:t>
      </w:r>
      <w:r>
        <w:rPr>
          <w:rFonts w:eastAsia="Times New Roman"/>
          <w:color w:val="131413"/>
          <w:sz w:val="19"/>
          <w:szCs w:val="19"/>
        </w:rPr>
        <w:t xml:space="preserve"> cells were seeded onto</w:t>
      </w:r>
    </w:p>
    <w:p w:rsidR="00F90520" w:rsidRDefault="00F90520">
      <w:pPr>
        <w:spacing w:line="20" w:lineRule="exact"/>
        <w:rPr>
          <w:sz w:val="20"/>
          <w:szCs w:val="20"/>
        </w:rPr>
      </w:pPr>
    </w:p>
    <w:p w:rsidR="00F90520" w:rsidRDefault="00F90520">
      <w:pPr>
        <w:sectPr w:rsidR="00F90520">
          <w:type w:val="continuous"/>
          <w:pgSz w:w="11900" w:h="15817"/>
          <w:pgMar w:top="649" w:right="1026" w:bottom="1440" w:left="1020" w:header="0" w:footer="0" w:gutter="0"/>
          <w:cols w:num="2" w:space="720" w:equalWidth="0">
            <w:col w:w="4760" w:space="340"/>
            <w:col w:w="4760"/>
          </w:cols>
        </w:sectPr>
      </w:pPr>
    </w:p>
    <w:p w:rsidR="00F90520" w:rsidRDefault="00B9396E">
      <w:pPr>
        <w:spacing w:line="20" w:lineRule="exact"/>
        <w:rPr>
          <w:sz w:val="20"/>
          <w:szCs w:val="20"/>
        </w:rPr>
      </w:pPr>
      <w:bookmarkStart w:id="2" w:name="page4"/>
      <w:bookmarkEnd w:id="2"/>
      <w:r>
        <w:rPr>
          <w:noProof/>
          <w:sz w:val="20"/>
          <w:szCs w:val="20"/>
        </w:rPr>
        <w:lastRenderedPageBreak/>
        <mc:AlternateContent>
          <mc:Choice Requires="wps">
            <w:drawing>
              <wp:anchor distT="0" distB="0" distL="114300" distR="114300" simplePos="0" relativeHeight="251654144" behindDoc="1" locked="0" layoutInCell="0" allowOverlap="1">
                <wp:simplePos x="0" y="0"/>
                <wp:positionH relativeFrom="column">
                  <wp:posOffset>0</wp:posOffset>
                </wp:positionH>
                <wp:positionV relativeFrom="paragraph">
                  <wp:posOffset>40005</wp:posOffset>
                </wp:positionV>
                <wp:extent cx="626427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34701D5A" id="Shape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eSWFqr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940"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56" w:lineRule="auto"/>
        <w:jc w:val="both"/>
        <w:rPr>
          <w:sz w:val="20"/>
          <w:szCs w:val="20"/>
        </w:rPr>
      </w:pPr>
      <w:r>
        <w:rPr>
          <w:rFonts w:eastAsia="Times New Roman"/>
          <w:color w:val="131413"/>
          <w:sz w:val="20"/>
          <w:szCs w:val="20"/>
        </w:rPr>
        <w:t xml:space="preserve">the upper surface of the chamber. After 20 h, the cells were fixed with 100 % ethanol and stained with 0.5 % crystal violet. Cells that invaded the lower surface of the filters were sur-veyed under a microscope at ×10 magnification </w:t>
      </w:r>
      <w:r>
        <w:rPr>
          <w:rFonts w:eastAsia="Times New Roman"/>
          <w:color w:val="131413"/>
          <w:sz w:val="20"/>
          <w:szCs w:val="20"/>
        </w:rPr>
        <w:t>and five fields were randomly selected. Three independent experiments were performed.</w:t>
      </w:r>
    </w:p>
    <w:p w:rsidR="00F90520" w:rsidRDefault="00F90520">
      <w:pPr>
        <w:spacing w:line="356" w:lineRule="exact"/>
        <w:rPr>
          <w:sz w:val="20"/>
          <w:szCs w:val="20"/>
        </w:rPr>
      </w:pPr>
    </w:p>
    <w:p w:rsidR="00F90520" w:rsidRDefault="00B9396E">
      <w:pPr>
        <w:rPr>
          <w:sz w:val="20"/>
          <w:szCs w:val="20"/>
        </w:rPr>
      </w:pPr>
      <w:r>
        <w:rPr>
          <w:rFonts w:eastAsia="Times New Roman"/>
          <w:color w:val="131413"/>
          <w:sz w:val="20"/>
          <w:szCs w:val="20"/>
        </w:rPr>
        <w:t>Colony formation assay</w:t>
      </w:r>
    </w:p>
    <w:p w:rsidR="00F90520" w:rsidRDefault="00F90520">
      <w:pPr>
        <w:spacing w:line="251" w:lineRule="exact"/>
        <w:rPr>
          <w:sz w:val="20"/>
          <w:szCs w:val="20"/>
        </w:rPr>
      </w:pPr>
    </w:p>
    <w:p w:rsidR="00F90520" w:rsidRDefault="00B9396E">
      <w:pPr>
        <w:spacing w:line="245" w:lineRule="auto"/>
        <w:jc w:val="both"/>
        <w:rPr>
          <w:sz w:val="20"/>
          <w:szCs w:val="20"/>
        </w:rPr>
      </w:pPr>
      <w:r>
        <w:rPr>
          <w:rFonts w:eastAsia="Times New Roman"/>
          <w:color w:val="131413"/>
          <w:sz w:val="20"/>
          <w:szCs w:val="20"/>
        </w:rPr>
        <w:t>Cells (1×10</w:t>
      </w:r>
      <w:r>
        <w:rPr>
          <w:rFonts w:eastAsia="Times New Roman"/>
          <w:color w:val="131413"/>
          <w:sz w:val="26"/>
          <w:szCs w:val="26"/>
          <w:vertAlign w:val="superscript"/>
        </w:rPr>
        <w:t>4</w:t>
      </w:r>
      <w:r>
        <w:rPr>
          <w:rFonts w:eastAsia="Times New Roman"/>
          <w:color w:val="131413"/>
          <w:sz w:val="20"/>
          <w:szCs w:val="20"/>
        </w:rPr>
        <w:t xml:space="preserve">) were mixed with 0.36 % agar in DMEM sup-plemented with 10 % FBS and overlaid onto a 0.72 % agarose layer in six-well plates. </w:t>
      </w:r>
      <w:r>
        <w:rPr>
          <w:rFonts w:eastAsia="Times New Roman"/>
          <w:color w:val="131413"/>
          <w:sz w:val="20"/>
          <w:szCs w:val="20"/>
        </w:rPr>
        <w:t>After 2 weeks of incubation, colonies in five randomly selected fields were counted. Three indepen-dent experiments were performed.</w:t>
      </w:r>
    </w:p>
    <w:p w:rsidR="00F90520" w:rsidRDefault="00F90520">
      <w:pPr>
        <w:spacing w:line="365" w:lineRule="exact"/>
        <w:rPr>
          <w:sz w:val="20"/>
          <w:szCs w:val="20"/>
        </w:rPr>
      </w:pPr>
    </w:p>
    <w:p w:rsidR="00F90520" w:rsidRDefault="00B9396E">
      <w:pPr>
        <w:rPr>
          <w:sz w:val="20"/>
          <w:szCs w:val="20"/>
        </w:rPr>
      </w:pPr>
      <w:r>
        <w:rPr>
          <w:rFonts w:eastAsia="Times New Roman"/>
          <w:color w:val="131413"/>
          <w:sz w:val="20"/>
          <w:szCs w:val="20"/>
        </w:rPr>
        <w:t>Anoikis assay</w:t>
      </w:r>
    </w:p>
    <w:p w:rsidR="00F90520" w:rsidRDefault="00F90520">
      <w:pPr>
        <w:spacing w:line="281" w:lineRule="exact"/>
        <w:rPr>
          <w:sz w:val="20"/>
          <w:szCs w:val="20"/>
        </w:rPr>
      </w:pPr>
    </w:p>
    <w:p w:rsidR="00F90520" w:rsidRDefault="00B9396E">
      <w:pPr>
        <w:spacing w:line="272" w:lineRule="auto"/>
        <w:jc w:val="both"/>
        <w:rPr>
          <w:sz w:val="20"/>
          <w:szCs w:val="20"/>
        </w:rPr>
      </w:pPr>
      <w:r>
        <w:rPr>
          <w:rFonts w:eastAsia="Times New Roman"/>
          <w:color w:val="131413"/>
          <w:sz w:val="19"/>
          <w:szCs w:val="19"/>
        </w:rPr>
        <w:t>siRNA-transfected cells were mixed with 1.68 % methyl cel-lulose in medium and incubated for 48 h. After inc</w:t>
      </w:r>
      <w:r>
        <w:rPr>
          <w:rFonts w:eastAsia="Times New Roman"/>
          <w:color w:val="131413"/>
          <w:sz w:val="19"/>
          <w:szCs w:val="19"/>
        </w:rPr>
        <w:t>ubation, the cells were collected via centrifugation and subjected to termi-nal deoxynucleotidyl transferase dUTP nick end labeling</w:t>
      </w:r>
    </w:p>
    <w:p w:rsidR="00F90520" w:rsidRDefault="00B9396E">
      <w:pPr>
        <w:spacing w:line="20" w:lineRule="exact"/>
        <w:rPr>
          <w:sz w:val="20"/>
          <w:szCs w:val="20"/>
        </w:rPr>
      </w:pPr>
      <w:r>
        <w:rPr>
          <w:sz w:val="20"/>
          <w:szCs w:val="20"/>
        </w:rPr>
        <w:br w:type="column"/>
      </w:r>
    </w:p>
    <w:p w:rsidR="00F90520" w:rsidRDefault="00F90520">
      <w:pPr>
        <w:spacing w:line="299" w:lineRule="exact"/>
        <w:rPr>
          <w:sz w:val="20"/>
          <w:szCs w:val="20"/>
        </w:rPr>
      </w:pPr>
    </w:p>
    <w:p w:rsidR="00F90520" w:rsidRDefault="00B9396E">
      <w:pPr>
        <w:spacing w:line="252" w:lineRule="auto"/>
        <w:jc w:val="both"/>
        <w:rPr>
          <w:sz w:val="20"/>
          <w:szCs w:val="20"/>
        </w:rPr>
      </w:pPr>
      <w:r>
        <w:rPr>
          <w:rFonts w:eastAsia="Times New Roman"/>
          <w:color w:val="131413"/>
          <w:sz w:val="20"/>
          <w:szCs w:val="20"/>
        </w:rPr>
        <w:t>(TUNEL) assay using the In Situ Cell Death Detection Kit (Roche, Basel, Switzerland) according to the manufacturer</w:t>
      </w:r>
      <w:r>
        <w:rPr>
          <w:rFonts w:ascii="Arial" w:eastAsia="Arial" w:hAnsi="Arial" w:cs="Arial"/>
          <w:color w:val="131413"/>
          <w:sz w:val="20"/>
          <w:szCs w:val="20"/>
        </w:rPr>
        <w:t>’</w:t>
      </w:r>
      <w:r>
        <w:rPr>
          <w:rFonts w:eastAsia="Times New Roman"/>
          <w:color w:val="131413"/>
          <w:sz w:val="20"/>
          <w:szCs w:val="20"/>
        </w:rPr>
        <w:t>s prot</w:t>
      </w:r>
      <w:r>
        <w:rPr>
          <w:rFonts w:eastAsia="Times New Roman"/>
          <w:color w:val="131413"/>
          <w:sz w:val="20"/>
          <w:szCs w:val="20"/>
        </w:rPr>
        <w:t>ocol.</w:t>
      </w:r>
    </w:p>
    <w:p w:rsidR="00F90520" w:rsidRDefault="00F90520">
      <w:pPr>
        <w:spacing w:line="355" w:lineRule="exact"/>
        <w:rPr>
          <w:sz w:val="20"/>
          <w:szCs w:val="20"/>
        </w:rPr>
      </w:pPr>
    </w:p>
    <w:p w:rsidR="00F90520" w:rsidRDefault="00B9396E">
      <w:pPr>
        <w:rPr>
          <w:sz w:val="20"/>
          <w:szCs w:val="20"/>
        </w:rPr>
      </w:pPr>
      <w:r>
        <w:rPr>
          <w:rFonts w:eastAsia="Times New Roman"/>
          <w:color w:val="131413"/>
          <w:sz w:val="20"/>
          <w:szCs w:val="20"/>
        </w:rPr>
        <w:t>Statistical analysis</w:t>
      </w:r>
    </w:p>
    <w:p w:rsidR="00F90520" w:rsidRDefault="00F90520">
      <w:pPr>
        <w:spacing w:line="281" w:lineRule="exact"/>
        <w:rPr>
          <w:sz w:val="20"/>
          <w:szCs w:val="20"/>
        </w:rPr>
      </w:pPr>
    </w:p>
    <w:p w:rsidR="00F90520" w:rsidRDefault="00B9396E">
      <w:pPr>
        <w:spacing w:line="256" w:lineRule="auto"/>
        <w:jc w:val="both"/>
        <w:rPr>
          <w:sz w:val="20"/>
          <w:szCs w:val="20"/>
        </w:rPr>
      </w:pPr>
      <w:r>
        <w:rPr>
          <w:rFonts w:eastAsia="Times New Roman"/>
          <w:color w:val="131413"/>
          <w:sz w:val="20"/>
          <w:szCs w:val="20"/>
        </w:rPr>
        <w:t>Data are expressed as the mean±SD. Comparisons between the groups were performed using unpaired t tests. A chi-square test was performed for the immunohistochemical anal-ysis. P values of &lt;0.05 were considered statistically sig</w:t>
      </w:r>
      <w:r>
        <w:rPr>
          <w:rFonts w:eastAsia="Times New Roman"/>
          <w:color w:val="131413"/>
          <w:sz w:val="20"/>
          <w:szCs w:val="20"/>
        </w:rPr>
        <w:t>nificant.</w:t>
      </w:r>
    </w:p>
    <w:p w:rsidR="00F90520" w:rsidRDefault="00F90520">
      <w:pPr>
        <w:spacing w:line="200" w:lineRule="exact"/>
        <w:rPr>
          <w:sz w:val="20"/>
          <w:szCs w:val="20"/>
        </w:rPr>
      </w:pPr>
    </w:p>
    <w:p w:rsidR="00F90520" w:rsidRDefault="00F90520">
      <w:pPr>
        <w:spacing w:line="383" w:lineRule="exact"/>
        <w:rPr>
          <w:sz w:val="20"/>
          <w:szCs w:val="20"/>
        </w:rPr>
      </w:pPr>
    </w:p>
    <w:p w:rsidR="00F90520" w:rsidRDefault="00B9396E">
      <w:pPr>
        <w:rPr>
          <w:sz w:val="20"/>
          <w:szCs w:val="20"/>
        </w:rPr>
      </w:pPr>
      <w:r>
        <w:rPr>
          <w:rFonts w:eastAsia="Times New Roman"/>
          <w:color w:val="131413"/>
        </w:rPr>
        <w:t>Results</w:t>
      </w:r>
    </w:p>
    <w:p w:rsidR="00F90520" w:rsidRDefault="00F90520">
      <w:pPr>
        <w:spacing w:line="264" w:lineRule="exact"/>
        <w:rPr>
          <w:sz w:val="20"/>
          <w:szCs w:val="20"/>
        </w:rPr>
      </w:pPr>
    </w:p>
    <w:p w:rsidR="00F90520" w:rsidRDefault="00B9396E">
      <w:pPr>
        <w:rPr>
          <w:sz w:val="20"/>
          <w:szCs w:val="20"/>
        </w:rPr>
      </w:pPr>
      <w:r>
        <w:rPr>
          <w:rFonts w:eastAsia="Times New Roman"/>
          <w:color w:val="131413"/>
          <w:sz w:val="20"/>
          <w:szCs w:val="20"/>
        </w:rPr>
        <w:t>UBE2S is expressed in breast cancer tissues</w:t>
      </w:r>
    </w:p>
    <w:p w:rsidR="00F90520" w:rsidRDefault="00F90520">
      <w:pPr>
        <w:spacing w:line="281" w:lineRule="exact"/>
        <w:rPr>
          <w:sz w:val="20"/>
          <w:szCs w:val="20"/>
        </w:rPr>
      </w:pPr>
    </w:p>
    <w:p w:rsidR="00F90520" w:rsidRDefault="00B9396E">
      <w:pPr>
        <w:spacing w:line="272" w:lineRule="auto"/>
        <w:jc w:val="both"/>
        <w:rPr>
          <w:sz w:val="20"/>
          <w:szCs w:val="20"/>
        </w:rPr>
      </w:pPr>
      <w:r>
        <w:rPr>
          <w:rFonts w:eastAsia="Times New Roman"/>
          <w:color w:val="131413"/>
          <w:sz w:val="19"/>
          <w:szCs w:val="19"/>
        </w:rPr>
        <w:t>We first generated purified anti-UBE2S antibody to examine the expression level of protein in breast cancer cells as well as tissues. Immunoblot analysis with the antibody detected sin-gle b</w:t>
      </w:r>
      <w:r>
        <w:rPr>
          <w:rFonts w:eastAsia="Times New Roman"/>
          <w:color w:val="131413"/>
          <w:sz w:val="19"/>
          <w:szCs w:val="19"/>
        </w:rPr>
        <w:t>ands at the expected molecular weight. Although UBE2S</w:t>
      </w:r>
    </w:p>
    <w:p w:rsidR="00F90520" w:rsidRDefault="00F90520">
      <w:pPr>
        <w:spacing w:line="200" w:lineRule="exact"/>
        <w:rPr>
          <w:sz w:val="20"/>
          <w:szCs w:val="20"/>
        </w:rPr>
      </w:pPr>
    </w:p>
    <w:p w:rsidR="00F90520" w:rsidRDefault="00F90520">
      <w:pPr>
        <w:sectPr w:rsidR="00F90520">
          <w:type w:val="continuous"/>
          <w:pgSz w:w="11900" w:h="15817"/>
          <w:pgMar w:top="649" w:right="1026" w:bottom="940" w:left="1020" w:header="0" w:footer="0" w:gutter="0"/>
          <w:cols w:num="2" w:space="720" w:equalWidth="0">
            <w:col w:w="4760" w:space="340"/>
            <w:col w:w="4760"/>
          </w:cols>
        </w:sectPr>
      </w:pPr>
    </w:p>
    <w:p w:rsidR="00F90520" w:rsidRDefault="00F90520">
      <w:pPr>
        <w:spacing w:line="380" w:lineRule="exact"/>
        <w:rPr>
          <w:sz w:val="20"/>
          <w:szCs w:val="20"/>
        </w:rPr>
      </w:pPr>
    </w:p>
    <w:p w:rsidR="00F90520" w:rsidRDefault="00B9396E">
      <w:pPr>
        <w:rPr>
          <w:sz w:val="20"/>
          <w:szCs w:val="20"/>
        </w:rPr>
      </w:pPr>
      <w:r>
        <w:rPr>
          <w:rFonts w:eastAsia="Times New Roman"/>
          <w:color w:val="131413"/>
          <w:sz w:val="17"/>
          <w:szCs w:val="17"/>
        </w:rPr>
        <w:t>Table 1 UBE2S expression in normal and breast cancer patient</w:t>
      </w:r>
      <w:r>
        <w:rPr>
          <w:rFonts w:ascii="Arial" w:eastAsia="Arial" w:hAnsi="Arial" w:cs="Arial"/>
          <w:color w:val="131413"/>
          <w:sz w:val="17"/>
          <w:szCs w:val="17"/>
        </w:rPr>
        <w:t>’</w:t>
      </w:r>
      <w:r>
        <w:rPr>
          <w:rFonts w:eastAsia="Times New Roman"/>
          <w:color w:val="131413"/>
          <w:sz w:val="17"/>
          <w:szCs w:val="17"/>
        </w:rPr>
        <w:t>s tissue lesions as evaluated by tissue-microarray-based immunohistochemistry</w:t>
      </w:r>
    </w:p>
    <w:p w:rsidR="00F90520" w:rsidRDefault="00B9396E">
      <w:pPr>
        <w:spacing w:line="20" w:lineRule="exact"/>
        <w:rPr>
          <w:sz w:val="20"/>
          <w:szCs w:val="20"/>
        </w:rPr>
      </w:pPr>
      <w:r>
        <w:rPr>
          <w:sz w:val="20"/>
          <w:szCs w:val="20"/>
        </w:rPr>
        <w:br w:type="column"/>
      </w:r>
    </w:p>
    <w:p w:rsidR="00F90520" w:rsidRDefault="00F90520">
      <w:pPr>
        <w:spacing w:line="200" w:lineRule="exact"/>
        <w:rPr>
          <w:sz w:val="20"/>
          <w:szCs w:val="20"/>
        </w:rPr>
      </w:pPr>
    </w:p>
    <w:p w:rsidR="00F90520" w:rsidRDefault="00F90520">
      <w:pPr>
        <w:spacing w:line="306" w:lineRule="exact"/>
        <w:rPr>
          <w:sz w:val="20"/>
          <w:szCs w:val="20"/>
        </w:rPr>
      </w:pPr>
    </w:p>
    <w:p w:rsidR="00F90520" w:rsidRDefault="00F90520">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180"/>
        <w:gridCol w:w="1660"/>
        <w:gridCol w:w="360"/>
        <w:gridCol w:w="100"/>
        <w:gridCol w:w="840"/>
        <w:gridCol w:w="460"/>
        <w:gridCol w:w="840"/>
        <w:gridCol w:w="860"/>
      </w:tblGrid>
      <w:tr w:rsidR="00F90520">
        <w:trPr>
          <w:trHeight w:val="195"/>
        </w:trPr>
        <w:tc>
          <w:tcPr>
            <w:tcW w:w="2180" w:type="dxa"/>
            <w:vAlign w:val="bottom"/>
          </w:tcPr>
          <w:p w:rsidR="00F90520" w:rsidRDefault="00B9396E">
            <w:pPr>
              <w:rPr>
                <w:sz w:val="20"/>
                <w:szCs w:val="20"/>
              </w:rPr>
            </w:pPr>
            <w:r>
              <w:rPr>
                <w:rFonts w:eastAsia="Times New Roman"/>
                <w:color w:val="131413"/>
                <w:sz w:val="17"/>
                <w:szCs w:val="17"/>
              </w:rPr>
              <w:t>Characteristics</w:t>
            </w:r>
          </w:p>
        </w:tc>
        <w:tc>
          <w:tcPr>
            <w:tcW w:w="1660" w:type="dxa"/>
            <w:vAlign w:val="bottom"/>
          </w:tcPr>
          <w:p w:rsidR="00F90520" w:rsidRDefault="00B9396E">
            <w:pPr>
              <w:ind w:left="340"/>
              <w:rPr>
                <w:sz w:val="20"/>
                <w:szCs w:val="20"/>
              </w:rPr>
            </w:pPr>
            <w:r>
              <w:rPr>
                <w:rFonts w:eastAsia="Times New Roman"/>
                <w:color w:val="131413"/>
                <w:sz w:val="17"/>
                <w:szCs w:val="17"/>
              </w:rPr>
              <w:t>No. of patients</w:t>
            </w:r>
          </w:p>
        </w:tc>
        <w:tc>
          <w:tcPr>
            <w:tcW w:w="360" w:type="dxa"/>
            <w:vAlign w:val="bottom"/>
          </w:tcPr>
          <w:p w:rsidR="00F90520" w:rsidRDefault="00F90520">
            <w:pPr>
              <w:rPr>
                <w:sz w:val="16"/>
                <w:szCs w:val="16"/>
              </w:rPr>
            </w:pPr>
          </w:p>
        </w:tc>
        <w:tc>
          <w:tcPr>
            <w:tcW w:w="2240" w:type="dxa"/>
            <w:gridSpan w:val="4"/>
            <w:vAlign w:val="bottom"/>
          </w:tcPr>
          <w:p w:rsidR="00F90520" w:rsidRDefault="00B9396E">
            <w:pPr>
              <w:rPr>
                <w:sz w:val="20"/>
                <w:szCs w:val="20"/>
              </w:rPr>
            </w:pPr>
            <w:r>
              <w:rPr>
                <w:rFonts w:eastAsia="Times New Roman"/>
                <w:color w:val="131413"/>
                <w:sz w:val="17"/>
                <w:szCs w:val="17"/>
              </w:rPr>
              <w:t>UBE2S expression, no. (%)</w:t>
            </w:r>
          </w:p>
        </w:tc>
        <w:tc>
          <w:tcPr>
            <w:tcW w:w="860" w:type="dxa"/>
            <w:vAlign w:val="bottom"/>
          </w:tcPr>
          <w:p w:rsidR="00F90520" w:rsidRDefault="00F90520">
            <w:pPr>
              <w:rPr>
                <w:sz w:val="16"/>
                <w:szCs w:val="16"/>
              </w:rPr>
            </w:pPr>
          </w:p>
        </w:tc>
      </w:tr>
      <w:tr w:rsidR="00F90520">
        <w:trPr>
          <w:trHeight w:val="104"/>
        </w:trPr>
        <w:tc>
          <w:tcPr>
            <w:tcW w:w="2180" w:type="dxa"/>
            <w:vAlign w:val="bottom"/>
          </w:tcPr>
          <w:p w:rsidR="00F90520" w:rsidRDefault="00F90520">
            <w:pPr>
              <w:rPr>
                <w:sz w:val="9"/>
                <w:szCs w:val="9"/>
              </w:rPr>
            </w:pPr>
          </w:p>
        </w:tc>
        <w:tc>
          <w:tcPr>
            <w:tcW w:w="1660" w:type="dxa"/>
            <w:vAlign w:val="bottom"/>
          </w:tcPr>
          <w:p w:rsidR="00F90520" w:rsidRDefault="00F90520">
            <w:pPr>
              <w:rPr>
                <w:sz w:val="9"/>
                <w:szCs w:val="9"/>
              </w:rPr>
            </w:pPr>
          </w:p>
        </w:tc>
        <w:tc>
          <w:tcPr>
            <w:tcW w:w="360" w:type="dxa"/>
            <w:vAlign w:val="bottom"/>
          </w:tcPr>
          <w:p w:rsidR="00F90520" w:rsidRDefault="00F90520">
            <w:pPr>
              <w:rPr>
                <w:sz w:val="9"/>
                <w:szCs w:val="9"/>
              </w:rPr>
            </w:pPr>
          </w:p>
        </w:tc>
        <w:tc>
          <w:tcPr>
            <w:tcW w:w="940" w:type="dxa"/>
            <w:gridSpan w:val="2"/>
            <w:tcBorders>
              <w:bottom w:val="single" w:sz="8" w:space="0" w:color="131413"/>
            </w:tcBorders>
            <w:vAlign w:val="bottom"/>
          </w:tcPr>
          <w:p w:rsidR="00F90520" w:rsidRDefault="00F90520">
            <w:pPr>
              <w:rPr>
                <w:sz w:val="9"/>
                <w:szCs w:val="9"/>
              </w:rPr>
            </w:pPr>
          </w:p>
        </w:tc>
        <w:tc>
          <w:tcPr>
            <w:tcW w:w="1300" w:type="dxa"/>
            <w:gridSpan w:val="2"/>
            <w:tcBorders>
              <w:bottom w:val="single" w:sz="8" w:space="0" w:color="131413"/>
            </w:tcBorders>
            <w:vAlign w:val="bottom"/>
          </w:tcPr>
          <w:p w:rsidR="00F90520" w:rsidRDefault="00F90520">
            <w:pPr>
              <w:rPr>
                <w:sz w:val="9"/>
                <w:szCs w:val="9"/>
              </w:rPr>
            </w:pPr>
          </w:p>
        </w:tc>
        <w:tc>
          <w:tcPr>
            <w:tcW w:w="860" w:type="dxa"/>
            <w:tcBorders>
              <w:bottom w:val="single" w:sz="8" w:space="0" w:color="131413"/>
            </w:tcBorders>
            <w:vAlign w:val="bottom"/>
          </w:tcPr>
          <w:p w:rsidR="00F90520" w:rsidRDefault="00F90520">
            <w:pPr>
              <w:rPr>
                <w:sz w:val="9"/>
                <w:szCs w:val="9"/>
              </w:rPr>
            </w:pPr>
          </w:p>
        </w:tc>
      </w:tr>
      <w:tr w:rsidR="00F90520">
        <w:trPr>
          <w:trHeight w:val="281"/>
        </w:trPr>
        <w:tc>
          <w:tcPr>
            <w:tcW w:w="2180" w:type="dxa"/>
            <w:vAlign w:val="bottom"/>
          </w:tcPr>
          <w:p w:rsidR="00F90520" w:rsidRDefault="00F90520">
            <w:pPr>
              <w:rPr>
                <w:sz w:val="24"/>
                <w:szCs w:val="24"/>
              </w:rPr>
            </w:pPr>
          </w:p>
        </w:tc>
        <w:tc>
          <w:tcPr>
            <w:tcW w:w="1660" w:type="dxa"/>
            <w:vAlign w:val="bottom"/>
          </w:tcPr>
          <w:p w:rsidR="00F90520" w:rsidRDefault="00F90520">
            <w:pPr>
              <w:rPr>
                <w:sz w:val="24"/>
                <w:szCs w:val="24"/>
              </w:rPr>
            </w:pPr>
          </w:p>
        </w:tc>
        <w:tc>
          <w:tcPr>
            <w:tcW w:w="360" w:type="dxa"/>
            <w:vAlign w:val="bottom"/>
          </w:tcPr>
          <w:p w:rsidR="00F90520" w:rsidRDefault="00F90520">
            <w:pPr>
              <w:rPr>
                <w:sz w:val="24"/>
                <w:szCs w:val="24"/>
              </w:rPr>
            </w:pPr>
          </w:p>
        </w:tc>
        <w:tc>
          <w:tcPr>
            <w:tcW w:w="940" w:type="dxa"/>
            <w:gridSpan w:val="2"/>
            <w:vAlign w:val="bottom"/>
          </w:tcPr>
          <w:p w:rsidR="00F90520" w:rsidRDefault="00B9396E">
            <w:pPr>
              <w:rPr>
                <w:sz w:val="20"/>
                <w:szCs w:val="20"/>
              </w:rPr>
            </w:pPr>
            <w:r>
              <w:rPr>
                <w:rFonts w:eastAsia="Times New Roman"/>
                <w:color w:val="131413"/>
                <w:sz w:val="17"/>
                <w:szCs w:val="17"/>
              </w:rPr>
              <w:t>Low</w:t>
            </w:r>
          </w:p>
        </w:tc>
        <w:tc>
          <w:tcPr>
            <w:tcW w:w="1300" w:type="dxa"/>
            <w:gridSpan w:val="2"/>
            <w:vAlign w:val="bottom"/>
          </w:tcPr>
          <w:p w:rsidR="00F90520" w:rsidRDefault="00B9396E">
            <w:pPr>
              <w:ind w:left="340"/>
              <w:rPr>
                <w:sz w:val="20"/>
                <w:szCs w:val="20"/>
              </w:rPr>
            </w:pPr>
            <w:r>
              <w:rPr>
                <w:rFonts w:eastAsia="Times New Roman"/>
                <w:color w:val="131413"/>
                <w:sz w:val="17"/>
                <w:szCs w:val="17"/>
              </w:rPr>
              <w:t>High</w:t>
            </w:r>
          </w:p>
        </w:tc>
        <w:tc>
          <w:tcPr>
            <w:tcW w:w="860" w:type="dxa"/>
            <w:vAlign w:val="bottom"/>
          </w:tcPr>
          <w:p w:rsidR="00F90520" w:rsidRDefault="00B9396E">
            <w:pPr>
              <w:ind w:left="340"/>
              <w:rPr>
                <w:sz w:val="20"/>
                <w:szCs w:val="20"/>
              </w:rPr>
            </w:pPr>
            <w:r>
              <w:rPr>
                <w:rFonts w:eastAsia="Times New Roman"/>
                <w:color w:val="131413"/>
                <w:w w:val="98"/>
                <w:sz w:val="17"/>
                <w:szCs w:val="17"/>
              </w:rPr>
              <w:t>P value</w:t>
            </w:r>
          </w:p>
        </w:tc>
      </w:tr>
      <w:tr w:rsidR="00F90520">
        <w:trPr>
          <w:trHeight w:val="106"/>
        </w:trPr>
        <w:tc>
          <w:tcPr>
            <w:tcW w:w="2180" w:type="dxa"/>
            <w:tcBorders>
              <w:bottom w:val="single" w:sz="8" w:space="0" w:color="131413"/>
            </w:tcBorders>
            <w:vAlign w:val="bottom"/>
          </w:tcPr>
          <w:p w:rsidR="00F90520" w:rsidRDefault="00F90520">
            <w:pPr>
              <w:rPr>
                <w:sz w:val="9"/>
                <w:szCs w:val="9"/>
              </w:rPr>
            </w:pPr>
          </w:p>
        </w:tc>
        <w:tc>
          <w:tcPr>
            <w:tcW w:w="1660" w:type="dxa"/>
            <w:tcBorders>
              <w:bottom w:val="single" w:sz="8" w:space="0" w:color="131413"/>
            </w:tcBorders>
            <w:vAlign w:val="bottom"/>
          </w:tcPr>
          <w:p w:rsidR="00F90520" w:rsidRDefault="00F90520">
            <w:pPr>
              <w:rPr>
                <w:sz w:val="9"/>
                <w:szCs w:val="9"/>
              </w:rPr>
            </w:pPr>
          </w:p>
        </w:tc>
        <w:tc>
          <w:tcPr>
            <w:tcW w:w="360" w:type="dxa"/>
            <w:tcBorders>
              <w:bottom w:val="single" w:sz="8" w:space="0" w:color="131413"/>
            </w:tcBorders>
            <w:vAlign w:val="bottom"/>
          </w:tcPr>
          <w:p w:rsidR="00F90520" w:rsidRDefault="00F90520">
            <w:pPr>
              <w:rPr>
                <w:sz w:val="9"/>
                <w:szCs w:val="9"/>
              </w:rPr>
            </w:pPr>
          </w:p>
        </w:tc>
        <w:tc>
          <w:tcPr>
            <w:tcW w:w="100" w:type="dxa"/>
            <w:tcBorders>
              <w:bottom w:val="single" w:sz="8" w:space="0" w:color="131413"/>
            </w:tcBorders>
            <w:vAlign w:val="bottom"/>
          </w:tcPr>
          <w:p w:rsidR="00F90520" w:rsidRDefault="00F90520">
            <w:pPr>
              <w:rPr>
                <w:sz w:val="9"/>
                <w:szCs w:val="9"/>
              </w:rPr>
            </w:pPr>
          </w:p>
        </w:tc>
        <w:tc>
          <w:tcPr>
            <w:tcW w:w="840" w:type="dxa"/>
            <w:tcBorders>
              <w:bottom w:val="single" w:sz="8" w:space="0" w:color="131413"/>
            </w:tcBorders>
            <w:vAlign w:val="bottom"/>
          </w:tcPr>
          <w:p w:rsidR="00F90520" w:rsidRDefault="00F90520">
            <w:pPr>
              <w:rPr>
                <w:sz w:val="9"/>
                <w:szCs w:val="9"/>
              </w:rPr>
            </w:pPr>
          </w:p>
        </w:tc>
        <w:tc>
          <w:tcPr>
            <w:tcW w:w="460" w:type="dxa"/>
            <w:tcBorders>
              <w:bottom w:val="single" w:sz="8" w:space="0" w:color="131413"/>
            </w:tcBorders>
            <w:vAlign w:val="bottom"/>
          </w:tcPr>
          <w:p w:rsidR="00F90520" w:rsidRDefault="00F90520">
            <w:pPr>
              <w:rPr>
                <w:sz w:val="9"/>
                <w:szCs w:val="9"/>
              </w:rPr>
            </w:pPr>
          </w:p>
        </w:tc>
        <w:tc>
          <w:tcPr>
            <w:tcW w:w="840" w:type="dxa"/>
            <w:tcBorders>
              <w:bottom w:val="single" w:sz="8" w:space="0" w:color="131413"/>
            </w:tcBorders>
            <w:vAlign w:val="bottom"/>
          </w:tcPr>
          <w:p w:rsidR="00F90520" w:rsidRDefault="00F90520">
            <w:pPr>
              <w:rPr>
                <w:sz w:val="9"/>
                <w:szCs w:val="9"/>
              </w:rPr>
            </w:pPr>
          </w:p>
        </w:tc>
        <w:tc>
          <w:tcPr>
            <w:tcW w:w="860" w:type="dxa"/>
            <w:tcBorders>
              <w:bottom w:val="single" w:sz="8" w:space="0" w:color="131413"/>
            </w:tcBorders>
            <w:vAlign w:val="bottom"/>
          </w:tcPr>
          <w:p w:rsidR="00F90520" w:rsidRDefault="00F90520">
            <w:pPr>
              <w:rPr>
                <w:sz w:val="9"/>
                <w:szCs w:val="9"/>
              </w:rPr>
            </w:pPr>
          </w:p>
        </w:tc>
      </w:tr>
      <w:tr w:rsidR="00F90520">
        <w:trPr>
          <w:trHeight w:val="284"/>
        </w:trPr>
        <w:tc>
          <w:tcPr>
            <w:tcW w:w="2180" w:type="dxa"/>
            <w:vAlign w:val="bottom"/>
          </w:tcPr>
          <w:p w:rsidR="00F90520" w:rsidRDefault="00B9396E">
            <w:pPr>
              <w:rPr>
                <w:sz w:val="20"/>
                <w:szCs w:val="20"/>
              </w:rPr>
            </w:pPr>
            <w:r>
              <w:rPr>
                <w:rFonts w:eastAsia="Times New Roman"/>
                <w:color w:val="131413"/>
                <w:sz w:val="17"/>
                <w:szCs w:val="17"/>
              </w:rPr>
              <w:t>All study subjects</w:t>
            </w:r>
          </w:p>
        </w:tc>
        <w:tc>
          <w:tcPr>
            <w:tcW w:w="1660" w:type="dxa"/>
            <w:vAlign w:val="bottom"/>
          </w:tcPr>
          <w:p w:rsidR="00F90520" w:rsidRDefault="00F90520">
            <w:pPr>
              <w:rPr>
                <w:sz w:val="24"/>
                <w:szCs w:val="24"/>
              </w:rPr>
            </w:pPr>
          </w:p>
        </w:tc>
        <w:tc>
          <w:tcPr>
            <w:tcW w:w="360" w:type="dxa"/>
            <w:vAlign w:val="bottom"/>
          </w:tcPr>
          <w:p w:rsidR="00F90520" w:rsidRDefault="00F90520">
            <w:pPr>
              <w:rPr>
                <w:sz w:val="24"/>
                <w:szCs w:val="24"/>
              </w:rPr>
            </w:pPr>
          </w:p>
        </w:tc>
        <w:tc>
          <w:tcPr>
            <w:tcW w:w="100" w:type="dxa"/>
            <w:vAlign w:val="bottom"/>
          </w:tcPr>
          <w:p w:rsidR="00F90520" w:rsidRDefault="00F90520">
            <w:pPr>
              <w:rPr>
                <w:sz w:val="24"/>
                <w:szCs w:val="24"/>
              </w:rPr>
            </w:pPr>
          </w:p>
        </w:tc>
        <w:tc>
          <w:tcPr>
            <w:tcW w:w="840" w:type="dxa"/>
            <w:vAlign w:val="bottom"/>
          </w:tcPr>
          <w:p w:rsidR="00F90520" w:rsidRDefault="00F90520">
            <w:pPr>
              <w:rPr>
                <w:sz w:val="24"/>
                <w:szCs w:val="24"/>
              </w:rPr>
            </w:pPr>
          </w:p>
        </w:tc>
        <w:tc>
          <w:tcPr>
            <w:tcW w:w="460" w:type="dxa"/>
            <w:vAlign w:val="bottom"/>
          </w:tcPr>
          <w:p w:rsidR="00F90520" w:rsidRDefault="00F90520">
            <w:pPr>
              <w:rPr>
                <w:sz w:val="24"/>
                <w:szCs w:val="24"/>
              </w:rPr>
            </w:pPr>
          </w:p>
        </w:tc>
        <w:tc>
          <w:tcPr>
            <w:tcW w:w="840" w:type="dxa"/>
            <w:vAlign w:val="bottom"/>
          </w:tcPr>
          <w:p w:rsidR="00F90520" w:rsidRDefault="00F90520">
            <w:pPr>
              <w:rPr>
                <w:sz w:val="24"/>
                <w:szCs w:val="24"/>
              </w:rPr>
            </w:pPr>
          </w:p>
        </w:tc>
        <w:tc>
          <w:tcPr>
            <w:tcW w:w="860" w:type="dxa"/>
            <w:vAlign w:val="bottom"/>
          </w:tcPr>
          <w:p w:rsidR="00F90520" w:rsidRDefault="00F90520">
            <w:pPr>
              <w:rPr>
                <w:sz w:val="24"/>
                <w:szCs w:val="24"/>
              </w:rPr>
            </w:pPr>
          </w:p>
        </w:tc>
      </w:tr>
      <w:tr w:rsidR="00F90520">
        <w:trPr>
          <w:trHeight w:val="254"/>
        </w:trPr>
        <w:tc>
          <w:tcPr>
            <w:tcW w:w="2180" w:type="dxa"/>
            <w:vAlign w:val="bottom"/>
          </w:tcPr>
          <w:p w:rsidR="00F90520" w:rsidRDefault="00B9396E">
            <w:pPr>
              <w:ind w:left="40"/>
              <w:rPr>
                <w:sz w:val="20"/>
                <w:szCs w:val="20"/>
              </w:rPr>
            </w:pPr>
            <w:r>
              <w:rPr>
                <w:rFonts w:eastAsia="Times New Roman"/>
                <w:color w:val="131413"/>
                <w:sz w:val="17"/>
                <w:szCs w:val="17"/>
              </w:rPr>
              <w:t>Normal/NAT</w:t>
            </w:r>
          </w:p>
        </w:tc>
        <w:tc>
          <w:tcPr>
            <w:tcW w:w="1660" w:type="dxa"/>
            <w:vAlign w:val="bottom"/>
          </w:tcPr>
          <w:p w:rsidR="00F90520" w:rsidRDefault="00B9396E">
            <w:pPr>
              <w:ind w:left="340"/>
              <w:rPr>
                <w:sz w:val="20"/>
                <w:szCs w:val="20"/>
              </w:rPr>
            </w:pPr>
            <w:r>
              <w:rPr>
                <w:rFonts w:eastAsia="Times New Roman"/>
                <w:color w:val="131413"/>
                <w:sz w:val="17"/>
                <w:szCs w:val="17"/>
              </w:rPr>
              <w:t>23</w:t>
            </w:r>
          </w:p>
        </w:tc>
        <w:tc>
          <w:tcPr>
            <w:tcW w:w="1300" w:type="dxa"/>
            <w:gridSpan w:val="3"/>
            <w:vAlign w:val="bottom"/>
          </w:tcPr>
          <w:p w:rsidR="00F90520" w:rsidRDefault="00B9396E">
            <w:pPr>
              <w:ind w:left="360"/>
              <w:rPr>
                <w:sz w:val="20"/>
                <w:szCs w:val="20"/>
              </w:rPr>
            </w:pPr>
            <w:r>
              <w:rPr>
                <w:rFonts w:eastAsia="Times New Roman"/>
                <w:color w:val="131413"/>
                <w:sz w:val="17"/>
                <w:szCs w:val="17"/>
              </w:rPr>
              <w:t>17 (73.9)</w:t>
            </w:r>
          </w:p>
        </w:tc>
        <w:tc>
          <w:tcPr>
            <w:tcW w:w="460" w:type="dxa"/>
            <w:vAlign w:val="bottom"/>
          </w:tcPr>
          <w:p w:rsidR="00F90520" w:rsidRDefault="00B9396E">
            <w:pPr>
              <w:ind w:left="340"/>
              <w:rPr>
                <w:sz w:val="20"/>
                <w:szCs w:val="20"/>
              </w:rPr>
            </w:pPr>
            <w:r>
              <w:rPr>
                <w:rFonts w:eastAsia="Times New Roman"/>
                <w:color w:val="131413"/>
                <w:sz w:val="17"/>
                <w:szCs w:val="17"/>
              </w:rPr>
              <w:t>6</w:t>
            </w:r>
          </w:p>
        </w:tc>
        <w:tc>
          <w:tcPr>
            <w:tcW w:w="840" w:type="dxa"/>
            <w:vAlign w:val="bottom"/>
          </w:tcPr>
          <w:p w:rsidR="00F90520" w:rsidRDefault="00B9396E">
            <w:pPr>
              <w:ind w:left="20"/>
              <w:rPr>
                <w:sz w:val="20"/>
                <w:szCs w:val="20"/>
              </w:rPr>
            </w:pPr>
            <w:r>
              <w:rPr>
                <w:rFonts w:eastAsia="Times New Roman"/>
                <w:color w:val="131413"/>
                <w:sz w:val="17"/>
                <w:szCs w:val="17"/>
              </w:rPr>
              <w:t>(26.1)</w:t>
            </w:r>
          </w:p>
        </w:tc>
        <w:tc>
          <w:tcPr>
            <w:tcW w:w="860" w:type="dxa"/>
            <w:vAlign w:val="bottom"/>
          </w:tcPr>
          <w:p w:rsidR="00F90520" w:rsidRDefault="00F90520"/>
        </w:tc>
      </w:tr>
      <w:tr w:rsidR="00F90520">
        <w:trPr>
          <w:trHeight w:val="285"/>
        </w:trPr>
        <w:tc>
          <w:tcPr>
            <w:tcW w:w="2180" w:type="dxa"/>
            <w:vAlign w:val="bottom"/>
          </w:tcPr>
          <w:p w:rsidR="00F90520" w:rsidRDefault="00B9396E">
            <w:pPr>
              <w:ind w:left="40"/>
              <w:rPr>
                <w:sz w:val="20"/>
                <w:szCs w:val="20"/>
              </w:rPr>
            </w:pPr>
            <w:r>
              <w:rPr>
                <w:rFonts w:eastAsia="Times New Roman"/>
                <w:color w:val="131413"/>
                <w:sz w:val="17"/>
                <w:szCs w:val="17"/>
              </w:rPr>
              <w:t>Cancer</w:t>
            </w:r>
          </w:p>
        </w:tc>
        <w:tc>
          <w:tcPr>
            <w:tcW w:w="1660" w:type="dxa"/>
            <w:vAlign w:val="bottom"/>
          </w:tcPr>
          <w:p w:rsidR="00F90520" w:rsidRDefault="00B9396E">
            <w:pPr>
              <w:ind w:left="340"/>
              <w:rPr>
                <w:sz w:val="20"/>
                <w:szCs w:val="20"/>
              </w:rPr>
            </w:pPr>
            <w:r>
              <w:rPr>
                <w:rFonts w:eastAsia="Times New Roman"/>
                <w:color w:val="131413"/>
                <w:sz w:val="17"/>
                <w:szCs w:val="17"/>
              </w:rPr>
              <w:t>119</w:t>
            </w:r>
          </w:p>
        </w:tc>
        <w:tc>
          <w:tcPr>
            <w:tcW w:w="1300" w:type="dxa"/>
            <w:gridSpan w:val="3"/>
            <w:vAlign w:val="bottom"/>
          </w:tcPr>
          <w:p w:rsidR="00F90520" w:rsidRDefault="00B9396E">
            <w:pPr>
              <w:ind w:left="360"/>
              <w:rPr>
                <w:sz w:val="20"/>
                <w:szCs w:val="20"/>
              </w:rPr>
            </w:pPr>
            <w:r>
              <w:rPr>
                <w:rFonts w:eastAsia="Times New Roman"/>
                <w:color w:val="131413"/>
                <w:sz w:val="17"/>
                <w:szCs w:val="17"/>
              </w:rPr>
              <w:t>43 (36.1)</w:t>
            </w:r>
          </w:p>
        </w:tc>
        <w:tc>
          <w:tcPr>
            <w:tcW w:w="1300" w:type="dxa"/>
            <w:gridSpan w:val="2"/>
            <w:vAlign w:val="bottom"/>
          </w:tcPr>
          <w:p w:rsidR="00F90520" w:rsidRDefault="00B9396E">
            <w:pPr>
              <w:ind w:left="340"/>
              <w:rPr>
                <w:sz w:val="20"/>
                <w:szCs w:val="20"/>
              </w:rPr>
            </w:pPr>
            <w:r>
              <w:rPr>
                <w:rFonts w:eastAsia="Times New Roman"/>
                <w:color w:val="131413"/>
                <w:sz w:val="17"/>
                <w:szCs w:val="17"/>
              </w:rPr>
              <w:t>76 (63.9)</w:t>
            </w:r>
          </w:p>
        </w:tc>
        <w:tc>
          <w:tcPr>
            <w:tcW w:w="860" w:type="dxa"/>
            <w:vAlign w:val="bottom"/>
          </w:tcPr>
          <w:p w:rsidR="00F90520" w:rsidRDefault="00B9396E">
            <w:pPr>
              <w:ind w:left="340"/>
              <w:rPr>
                <w:sz w:val="20"/>
                <w:szCs w:val="20"/>
              </w:rPr>
            </w:pPr>
            <w:r>
              <w:rPr>
                <w:rFonts w:eastAsia="Times New Roman"/>
                <w:color w:val="131413"/>
                <w:w w:val="91"/>
                <w:sz w:val="17"/>
                <w:szCs w:val="17"/>
              </w:rPr>
              <w:t>&lt;0.001</w:t>
            </w:r>
            <w:r>
              <w:rPr>
                <w:rFonts w:eastAsia="Times New Roman"/>
                <w:color w:val="131413"/>
                <w:w w:val="91"/>
                <w:vertAlign w:val="superscript"/>
              </w:rPr>
              <w:t>a</w:t>
            </w:r>
          </w:p>
        </w:tc>
      </w:tr>
      <w:tr w:rsidR="00F90520">
        <w:trPr>
          <w:trHeight w:val="223"/>
        </w:trPr>
        <w:tc>
          <w:tcPr>
            <w:tcW w:w="2180" w:type="dxa"/>
            <w:vAlign w:val="bottom"/>
          </w:tcPr>
          <w:p w:rsidR="00F90520" w:rsidRDefault="00B9396E">
            <w:pPr>
              <w:rPr>
                <w:sz w:val="20"/>
                <w:szCs w:val="20"/>
              </w:rPr>
            </w:pPr>
            <w:r>
              <w:rPr>
                <w:rFonts w:eastAsia="Times New Roman"/>
                <w:color w:val="131413"/>
                <w:sz w:val="17"/>
                <w:szCs w:val="17"/>
              </w:rPr>
              <w:t>Cancer patients</w:t>
            </w:r>
          </w:p>
        </w:tc>
        <w:tc>
          <w:tcPr>
            <w:tcW w:w="1660" w:type="dxa"/>
            <w:vAlign w:val="bottom"/>
          </w:tcPr>
          <w:p w:rsidR="00F90520" w:rsidRDefault="00F90520">
            <w:pPr>
              <w:rPr>
                <w:sz w:val="19"/>
                <w:szCs w:val="19"/>
              </w:rPr>
            </w:pPr>
          </w:p>
        </w:tc>
        <w:tc>
          <w:tcPr>
            <w:tcW w:w="360" w:type="dxa"/>
            <w:vAlign w:val="bottom"/>
          </w:tcPr>
          <w:p w:rsidR="00F90520" w:rsidRDefault="00F90520">
            <w:pPr>
              <w:rPr>
                <w:sz w:val="19"/>
                <w:szCs w:val="19"/>
              </w:rPr>
            </w:pPr>
          </w:p>
        </w:tc>
        <w:tc>
          <w:tcPr>
            <w:tcW w:w="100" w:type="dxa"/>
            <w:vAlign w:val="bottom"/>
          </w:tcPr>
          <w:p w:rsidR="00F90520" w:rsidRDefault="00F90520">
            <w:pPr>
              <w:rPr>
                <w:sz w:val="19"/>
                <w:szCs w:val="19"/>
              </w:rPr>
            </w:pPr>
          </w:p>
        </w:tc>
        <w:tc>
          <w:tcPr>
            <w:tcW w:w="840" w:type="dxa"/>
            <w:vAlign w:val="bottom"/>
          </w:tcPr>
          <w:p w:rsidR="00F90520" w:rsidRDefault="00F90520">
            <w:pPr>
              <w:rPr>
                <w:sz w:val="19"/>
                <w:szCs w:val="19"/>
              </w:rPr>
            </w:pPr>
          </w:p>
        </w:tc>
        <w:tc>
          <w:tcPr>
            <w:tcW w:w="460" w:type="dxa"/>
            <w:vAlign w:val="bottom"/>
          </w:tcPr>
          <w:p w:rsidR="00F90520" w:rsidRDefault="00F90520">
            <w:pPr>
              <w:rPr>
                <w:sz w:val="19"/>
                <w:szCs w:val="19"/>
              </w:rPr>
            </w:pPr>
          </w:p>
        </w:tc>
        <w:tc>
          <w:tcPr>
            <w:tcW w:w="840" w:type="dxa"/>
            <w:vAlign w:val="bottom"/>
          </w:tcPr>
          <w:p w:rsidR="00F90520" w:rsidRDefault="00F90520">
            <w:pPr>
              <w:rPr>
                <w:sz w:val="19"/>
                <w:szCs w:val="19"/>
              </w:rPr>
            </w:pPr>
          </w:p>
        </w:tc>
        <w:tc>
          <w:tcPr>
            <w:tcW w:w="860" w:type="dxa"/>
            <w:vAlign w:val="bottom"/>
          </w:tcPr>
          <w:p w:rsidR="00F90520" w:rsidRDefault="00F90520">
            <w:pPr>
              <w:rPr>
                <w:sz w:val="19"/>
                <w:szCs w:val="19"/>
              </w:rPr>
            </w:pPr>
          </w:p>
        </w:tc>
      </w:tr>
      <w:tr w:rsidR="00F90520">
        <w:trPr>
          <w:trHeight w:val="254"/>
        </w:trPr>
        <w:tc>
          <w:tcPr>
            <w:tcW w:w="2180" w:type="dxa"/>
            <w:vAlign w:val="bottom"/>
          </w:tcPr>
          <w:p w:rsidR="00F90520" w:rsidRDefault="00B9396E">
            <w:pPr>
              <w:ind w:left="40"/>
              <w:rPr>
                <w:sz w:val="20"/>
                <w:szCs w:val="20"/>
              </w:rPr>
            </w:pPr>
            <w:r>
              <w:rPr>
                <w:rFonts w:eastAsia="Times New Roman"/>
                <w:color w:val="131413"/>
                <w:sz w:val="17"/>
                <w:szCs w:val="17"/>
              </w:rPr>
              <w:t>Age, year</w:t>
            </w:r>
          </w:p>
        </w:tc>
        <w:tc>
          <w:tcPr>
            <w:tcW w:w="1660" w:type="dxa"/>
            <w:vAlign w:val="bottom"/>
          </w:tcPr>
          <w:p w:rsidR="00F90520" w:rsidRDefault="00F90520"/>
        </w:tc>
        <w:tc>
          <w:tcPr>
            <w:tcW w:w="360" w:type="dxa"/>
            <w:vAlign w:val="bottom"/>
          </w:tcPr>
          <w:p w:rsidR="00F90520" w:rsidRDefault="00F90520"/>
        </w:tc>
        <w:tc>
          <w:tcPr>
            <w:tcW w:w="100" w:type="dxa"/>
            <w:vAlign w:val="bottom"/>
          </w:tcPr>
          <w:p w:rsidR="00F90520" w:rsidRDefault="00F90520"/>
        </w:tc>
        <w:tc>
          <w:tcPr>
            <w:tcW w:w="840" w:type="dxa"/>
            <w:vAlign w:val="bottom"/>
          </w:tcPr>
          <w:p w:rsidR="00F90520" w:rsidRDefault="00F90520"/>
        </w:tc>
        <w:tc>
          <w:tcPr>
            <w:tcW w:w="460" w:type="dxa"/>
            <w:vAlign w:val="bottom"/>
          </w:tcPr>
          <w:p w:rsidR="00F90520" w:rsidRDefault="00F90520"/>
        </w:tc>
        <w:tc>
          <w:tcPr>
            <w:tcW w:w="840" w:type="dxa"/>
            <w:vAlign w:val="bottom"/>
          </w:tcPr>
          <w:p w:rsidR="00F90520" w:rsidRDefault="00F90520"/>
        </w:tc>
        <w:tc>
          <w:tcPr>
            <w:tcW w:w="860" w:type="dxa"/>
            <w:vAlign w:val="bottom"/>
          </w:tcPr>
          <w:p w:rsidR="00F90520" w:rsidRDefault="00F90520"/>
        </w:tc>
      </w:tr>
      <w:tr w:rsidR="00F90520">
        <w:trPr>
          <w:trHeight w:val="285"/>
        </w:trPr>
        <w:tc>
          <w:tcPr>
            <w:tcW w:w="2180" w:type="dxa"/>
            <w:vAlign w:val="bottom"/>
          </w:tcPr>
          <w:p w:rsidR="00F90520" w:rsidRDefault="00B9396E">
            <w:pPr>
              <w:rPr>
                <w:sz w:val="20"/>
                <w:szCs w:val="20"/>
              </w:rPr>
            </w:pPr>
            <w:r>
              <w:rPr>
                <w:rFonts w:ascii="Arial" w:eastAsia="Arial" w:hAnsi="Arial" w:cs="Arial"/>
                <w:color w:val="131413"/>
                <w:sz w:val="17"/>
                <w:szCs w:val="17"/>
              </w:rPr>
              <w:t>≥</w:t>
            </w:r>
            <w:r>
              <w:rPr>
                <w:rFonts w:eastAsia="Times New Roman"/>
                <w:color w:val="131413"/>
                <w:sz w:val="17"/>
                <w:szCs w:val="17"/>
              </w:rPr>
              <w:t>55</w:t>
            </w:r>
          </w:p>
        </w:tc>
        <w:tc>
          <w:tcPr>
            <w:tcW w:w="1660" w:type="dxa"/>
            <w:vAlign w:val="bottom"/>
          </w:tcPr>
          <w:p w:rsidR="00F90520" w:rsidRDefault="00B9396E">
            <w:pPr>
              <w:ind w:left="340"/>
              <w:rPr>
                <w:sz w:val="20"/>
                <w:szCs w:val="20"/>
              </w:rPr>
            </w:pPr>
            <w:r>
              <w:rPr>
                <w:rFonts w:eastAsia="Times New Roman"/>
                <w:color w:val="131413"/>
                <w:sz w:val="17"/>
                <w:szCs w:val="17"/>
              </w:rPr>
              <w:t>30</w:t>
            </w:r>
          </w:p>
        </w:tc>
        <w:tc>
          <w:tcPr>
            <w:tcW w:w="460" w:type="dxa"/>
            <w:gridSpan w:val="2"/>
            <w:vAlign w:val="bottom"/>
          </w:tcPr>
          <w:p w:rsidR="00F90520" w:rsidRDefault="00B9396E">
            <w:pPr>
              <w:ind w:left="360"/>
              <w:rPr>
                <w:sz w:val="20"/>
                <w:szCs w:val="20"/>
              </w:rPr>
            </w:pPr>
            <w:r>
              <w:rPr>
                <w:rFonts w:eastAsia="Times New Roman"/>
                <w:color w:val="131413"/>
                <w:w w:val="93"/>
                <w:sz w:val="17"/>
                <w:szCs w:val="17"/>
              </w:rPr>
              <w:t>7</w:t>
            </w:r>
          </w:p>
        </w:tc>
        <w:tc>
          <w:tcPr>
            <w:tcW w:w="840" w:type="dxa"/>
            <w:vAlign w:val="bottom"/>
          </w:tcPr>
          <w:p w:rsidR="00F90520" w:rsidRDefault="00B9396E">
            <w:pPr>
              <w:ind w:left="20"/>
              <w:rPr>
                <w:sz w:val="20"/>
                <w:szCs w:val="20"/>
              </w:rPr>
            </w:pPr>
            <w:r>
              <w:rPr>
                <w:rFonts w:eastAsia="Times New Roman"/>
                <w:color w:val="131413"/>
                <w:sz w:val="17"/>
                <w:szCs w:val="17"/>
              </w:rPr>
              <w:t>(23.3)</w:t>
            </w:r>
          </w:p>
        </w:tc>
        <w:tc>
          <w:tcPr>
            <w:tcW w:w="1300" w:type="dxa"/>
            <w:gridSpan w:val="2"/>
            <w:vAlign w:val="bottom"/>
          </w:tcPr>
          <w:p w:rsidR="00F90520" w:rsidRDefault="00B9396E">
            <w:pPr>
              <w:ind w:left="340"/>
              <w:rPr>
                <w:sz w:val="20"/>
                <w:szCs w:val="20"/>
              </w:rPr>
            </w:pPr>
            <w:r>
              <w:rPr>
                <w:rFonts w:eastAsia="Times New Roman"/>
                <w:color w:val="131413"/>
                <w:sz w:val="17"/>
                <w:szCs w:val="17"/>
              </w:rPr>
              <w:t>23 (76.7)</w:t>
            </w:r>
          </w:p>
        </w:tc>
        <w:tc>
          <w:tcPr>
            <w:tcW w:w="860" w:type="dxa"/>
            <w:vAlign w:val="bottom"/>
          </w:tcPr>
          <w:p w:rsidR="00F90520" w:rsidRDefault="00B9396E">
            <w:pPr>
              <w:ind w:left="340"/>
              <w:rPr>
                <w:sz w:val="20"/>
                <w:szCs w:val="20"/>
              </w:rPr>
            </w:pPr>
            <w:r>
              <w:rPr>
                <w:rFonts w:eastAsia="Times New Roman"/>
                <w:color w:val="131413"/>
                <w:w w:val="92"/>
                <w:sz w:val="17"/>
                <w:szCs w:val="17"/>
              </w:rPr>
              <w:t>0.0585</w:t>
            </w:r>
            <w:r>
              <w:rPr>
                <w:rFonts w:eastAsia="Times New Roman"/>
                <w:color w:val="131413"/>
                <w:w w:val="92"/>
                <w:vertAlign w:val="superscript"/>
              </w:rPr>
              <w:t>b</w:t>
            </w:r>
          </w:p>
        </w:tc>
      </w:tr>
      <w:tr w:rsidR="00F90520">
        <w:trPr>
          <w:trHeight w:val="223"/>
        </w:trPr>
        <w:tc>
          <w:tcPr>
            <w:tcW w:w="2180" w:type="dxa"/>
            <w:vAlign w:val="bottom"/>
          </w:tcPr>
          <w:p w:rsidR="00F90520" w:rsidRDefault="00B9396E">
            <w:pPr>
              <w:rPr>
                <w:sz w:val="20"/>
                <w:szCs w:val="20"/>
              </w:rPr>
            </w:pPr>
            <w:r>
              <w:rPr>
                <w:rFonts w:eastAsia="Times New Roman"/>
                <w:color w:val="131413"/>
                <w:sz w:val="17"/>
                <w:szCs w:val="17"/>
              </w:rPr>
              <w:t>&lt;55</w:t>
            </w:r>
          </w:p>
        </w:tc>
        <w:tc>
          <w:tcPr>
            <w:tcW w:w="1660" w:type="dxa"/>
            <w:vAlign w:val="bottom"/>
          </w:tcPr>
          <w:p w:rsidR="00F90520" w:rsidRDefault="00B9396E">
            <w:pPr>
              <w:ind w:left="340"/>
              <w:rPr>
                <w:sz w:val="20"/>
                <w:szCs w:val="20"/>
              </w:rPr>
            </w:pPr>
            <w:r>
              <w:rPr>
                <w:rFonts w:eastAsia="Times New Roman"/>
                <w:color w:val="131413"/>
                <w:sz w:val="17"/>
                <w:szCs w:val="17"/>
              </w:rPr>
              <w:t>89</w:t>
            </w:r>
          </w:p>
        </w:tc>
        <w:tc>
          <w:tcPr>
            <w:tcW w:w="1300" w:type="dxa"/>
            <w:gridSpan w:val="3"/>
            <w:vAlign w:val="bottom"/>
          </w:tcPr>
          <w:p w:rsidR="00F90520" w:rsidRDefault="00B9396E">
            <w:pPr>
              <w:ind w:left="360"/>
              <w:rPr>
                <w:sz w:val="20"/>
                <w:szCs w:val="20"/>
              </w:rPr>
            </w:pPr>
            <w:r>
              <w:rPr>
                <w:rFonts w:eastAsia="Times New Roman"/>
                <w:color w:val="131413"/>
                <w:sz w:val="17"/>
                <w:szCs w:val="17"/>
              </w:rPr>
              <w:t>37 (41.6)</w:t>
            </w:r>
          </w:p>
        </w:tc>
        <w:tc>
          <w:tcPr>
            <w:tcW w:w="1300" w:type="dxa"/>
            <w:gridSpan w:val="2"/>
            <w:vAlign w:val="bottom"/>
          </w:tcPr>
          <w:p w:rsidR="00F90520" w:rsidRDefault="00B9396E">
            <w:pPr>
              <w:ind w:left="340"/>
              <w:rPr>
                <w:sz w:val="20"/>
                <w:szCs w:val="20"/>
              </w:rPr>
            </w:pPr>
            <w:r>
              <w:rPr>
                <w:rFonts w:eastAsia="Times New Roman"/>
                <w:color w:val="131413"/>
                <w:sz w:val="17"/>
                <w:szCs w:val="17"/>
              </w:rPr>
              <w:t>52 (58.4)</w:t>
            </w:r>
          </w:p>
        </w:tc>
        <w:tc>
          <w:tcPr>
            <w:tcW w:w="860" w:type="dxa"/>
            <w:vAlign w:val="bottom"/>
          </w:tcPr>
          <w:p w:rsidR="00F90520" w:rsidRDefault="00F90520">
            <w:pPr>
              <w:rPr>
                <w:sz w:val="19"/>
                <w:szCs w:val="19"/>
              </w:rPr>
            </w:pPr>
          </w:p>
        </w:tc>
      </w:tr>
      <w:tr w:rsidR="00F90520">
        <w:trPr>
          <w:trHeight w:val="254"/>
        </w:trPr>
        <w:tc>
          <w:tcPr>
            <w:tcW w:w="2180" w:type="dxa"/>
            <w:vAlign w:val="bottom"/>
          </w:tcPr>
          <w:p w:rsidR="00F90520" w:rsidRDefault="00B9396E">
            <w:pPr>
              <w:rPr>
                <w:sz w:val="20"/>
                <w:szCs w:val="20"/>
              </w:rPr>
            </w:pPr>
            <w:r>
              <w:rPr>
                <w:rFonts w:eastAsia="Times New Roman"/>
                <w:color w:val="131413"/>
                <w:sz w:val="17"/>
                <w:szCs w:val="17"/>
              </w:rPr>
              <w:t>Pathology diagnosis</w:t>
            </w:r>
          </w:p>
        </w:tc>
        <w:tc>
          <w:tcPr>
            <w:tcW w:w="1660" w:type="dxa"/>
            <w:vAlign w:val="bottom"/>
          </w:tcPr>
          <w:p w:rsidR="00F90520" w:rsidRDefault="00F90520"/>
        </w:tc>
        <w:tc>
          <w:tcPr>
            <w:tcW w:w="360" w:type="dxa"/>
            <w:vAlign w:val="bottom"/>
          </w:tcPr>
          <w:p w:rsidR="00F90520" w:rsidRDefault="00F90520"/>
        </w:tc>
        <w:tc>
          <w:tcPr>
            <w:tcW w:w="100" w:type="dxa"/>
            <w:vAlign w:val="bottom"/>
          </w:tcPr>
          <w:p w:rsidR="00F90520" w:rsidRDefault="00F90520"/>
        </w:tc>
        <w:tc>
          <w:tcPr>
            <w:tcW w:w="840" w:type="dxa"/>
            <w:vAlign w:val="bottom"/>
          </w:tcPr>
          <w:p w:rsidR="00F90520" w:rsidRDefault="00F90520"/>
        </w:tc>
        <w:tc>
          <w:tcPr>
            <w:tcW w:w="460" w:type="dxa"/>
            <w:vAlign w:val="bottom"/>
          </w:tcPr>
          <w:p w:rsidR="00F90520" w:rsidRDefault="00F90520"/>
        </w:tc>
        <w:tc>
          <w:tcPr>
            <w:tcW w:w="840" w:type="dxa"/>
            <w:vAlign w:val="bottom"/>
          </w:tcPr>
          <w:p w:rsidR="00F90520" w:rsidRDefault="00F90520"/>
        </w:tc>
        <w:tc>
          <w:tcPr>
            <w:tcW w:w="860" w:type="dxa"/>
            <w:vAlign w:val="bottom"/>
          </w:tcPr>
          <w:p w:rsidR="00F90520" w:rsidRDefault="00F90520"/>
        </w:tc>
      </w:tr>
      <w:tr w:rsidR="00F90520">
        <w:trPr>
          <w:trHeight w:val="285"/>
        </w:trPr>
        <w:tc>
          <w:tcPr>
            <w:tcW w:w="2180" w:type="dxa"/>
            <w:vAlign w:val="bottom"/>
          </w:tcPr>
          <w:p w:rsidR="00F90520" w:rsidRDefault="00B9396E">
            <w:pPr>
              <w:ind w:left="40"/>
              <w:rPr>
                <w:sz w:val="20"/>
                <w:szCs w:val="20"/>
              </w:rPr>
            </w:pPr>
            <w:r>
              <w:rPr>
                <w:rFonts w:eastAsia="Times New Roman"/>
                <w:color w:val="131413"/>
                <w:sz w:val="17"/>
                <w:szCs w:val="17"/>
              </w:rPr>
              <w:t>Invasive ductal carcinoma</w:t>
            </w:r>
          </w:p>
        </w:tc>
        <w:tc>
          <w:tcPr>
            <w:tcW w:w="1660" w:type="dxa"/>
            <w:vAlign w:val="bottom"/>
          </w:tcPr>
          <w:p w:rsidR="00F90520" w:rsidRDefault="00B9396E">
            <w:pPr>
              <w:ind w:left="340"/>
              <w:rPr>
                <w:sz w:val="20"/>
                <w:szCs w:val="20"/>
              </w:rPr>
            </w:pPr>
            <w:r>
              <w:rPr>
                <w:rFonts w:eastAsia="Times New Roman"/>
                <w:color w:val="131413"/>
                <w:sz w:val="17"/>
                <w:szCs w:val="17"/>
              </w:rPr>
              <w:t>90</w:t>
            </w:r>
          </w:p>
        </w:tc>
        <w:tc>
          <w:tcPr>
            <w:tcW w:w="1300" w:type="dxa"/>
            <w:gridSpan w:val="3"/>
            <w:vAlign w:val="bottom"/>
          </w:tcPr>
          <w:p w:rsidR="00F90520" w:rsidRDefault="00B9396E">
            <w:pPr>
              <w:ind w:left="360"/>
              <w:rPr>
                <w:sz w:val="20"/>
                <w:szCs w:val="20"/>
              </w:rPr>
            </w:pPr>
            <w:r>
              <w:rPr>
                <w:rFonts w:eastAsia="Times New Roman"/>
                <w:color w:val="131413"/>
                <w:sz w:val="17"/>
                <w:szCs w:val="17"/>
              </w:rPr>
              <w:t>22 (24.4)</w:t>
            </w:r>
          </w:p>
        </w:tc>
        <w:tc>
          <w:tcPr>
            <w:tcW w:w="1300" w:type="dxa"/>
            <w:gridSpan w:val="2"/>
            <w:vAlign w:val="bottom"/>
          </w:tcPr>
          <w:p w:rsidR="00F90520" w:rsidRDefault="00B9396E">
            <w:pPr>
              <w:ind w:left="340"/>
              <w:rPr>
                <w:sz w:val="20"/>
                <w:szCs w:val="20"/>
              </w:rPr>
            </w:pPr>
            <w:r>
              <w:rPr>
                <w:rFonts w:eastAsia="Times New Roman"/>
                <w:color w:val="131413"/>
                <w:sz w:val="17"/>
                <w:szCs w:val="17"/>
              </w:rPr>
              <w:t>68 (75.6)</w:t>
            </w:r>
          </w:p>
        </w:tc>
        <w:tc>
          <w:tcPr>
            <w:tcW w:w="860" w:type="dxa"/>
            <w:vAlign w:val="bottom"/>
          </w:tcPr>
          <w:p w:rsidR="00F90520" w:rsidRDefault="00B9396E">
            <w:pPr>
              <w:ind w:left="340"/>
              <w:rPr>
                <w:sz w:val="20"/>
                <w:szCs w:val="20"/>
              </w:rPr>
            </w:pPr>
            <w:r>
              <w:rPr>
                <w:rFonts w:eastAsia="Times New Roman"/>
                <w:color w:val="131413"/>
                <w:w w:val="91"/>
                <w:sz w:val="17"/>
                <w:szCs w:val="17"/>
              </w:rPr>
              <w:t>&lt;0.001</w:t>
            </w:r>
            <w:r>
              <w:rPr>
                <w:rFonts w:eastAsia="Times New Roman"/>
                <w:color w:val="131413"/>
                <w:w w:val="91"/>
                <w:vertAlign w:val="superscript"/>
              </w:rPr>
              <w:t>c</w:t>
            </w:r>
          </w:p>
        </w:tc>
      </w:tr>
      <w:tr w:rsidR="00F90520">
        <w:trPr>
          <w:trHeight w:val="254"/>
        </w:trPr>
        <w:tc>
          <w:tcPr>
            <w:tcW w:w="2180" w:type="dxa"/>
            <w:vAlign w:val="bottom"/>
          </w:tcPr>
          <w:p w:rsidR="00F90520" w:rsidRDefault="00B9396E">
            <w:pPr>
              <w:ind w:left="40"/>
              <w:rPr>
                <w:sz w:val="20"/>
                <w:szCs w:val="20"/>
              </w:rPr>
            </w:pPr>
            <w:r>
              <w:rPr>
                <w:rFonts w:eastAsia="Times New Roman"/>
                <w:color w:val="131413"/>
                <w:sz w:val="17"/>
                <w:szCs w:val="17"/>
              </w:rPr>
              <w:t>Medullary carcinoma</w:t>
            </w:r>
          </w:p>
        </w:tc>
        <w:tc>
          <w:tcPr>
            <w:tcW w:w="1660" w:type="dxa"/>
            <w:vAlign w:val="bottom"/>
          </w:tcPr>
          <w:p w:rsidR="00F90520" w:rsidRDefault="00B9396E">
            <w:pPr>
              <w:ind w:left="340"/>
              <w:rPr>
                <w:sz w:val="20"/>
                <w:szCs w:val="20"/>
              </w:rPr>
            </w:pPr>
            <w:r>
              <w:rPr>
                <w:rFonts w:eastAsia="Times New Roman"/>
                <w:color w:val="131413"/>
                <w:sz w:val="17"/>
                <w:szCs w:val="17"/>
              </w:rPr>
              <w:t>13</w:t>
            </w:r>
          </w:p>
        </w:tc>
        <w:tc>
          <w:tcPr>
            <w:tcW w:w="460" w:type="dxa"/>
            <w:gridSpan w:val="2"/>
            <w:vAlign w:val="bottom"/>
          </w:tcPr>
          <w:p w:rsidR="00F90520" w:rsidRDefault="00B9396E">
            <w:pPr>
              <w:ind w:left="360"/>
              <w:rPr>
                <w:sz w:val="20"/>
                <w:szCs w:val="20"/>
              </w:rPr>
            </w:pPr>
            <w:r>
              <w:rPr>
                <w:rFonts w:eastAsia="Times New Roman"/>
                <w:color w:val="131413"/>
                <w:w w:val="93"/>
                <w:sz w:val="17"/>
                <w:szCs w:val="17"/>
              </w:rPr>
              <w:t>7</w:t>
            </w:r>
          </w:p>
        </w:tc>
        <w:tc>
          <w:tcPr>
            <w:tcW w:w="840" w:type="dxa"/>
            <w:vAlign w:val="bottom"/>
          </w:tcPr>
          <w:p w:rsidR="00F90520" w:rsidRDefault="00B9396E">
            <w:pPr>
              <w:ind w:left="20"/>
              <w:rPr>
                <w:sz w:val="20"/>
                <w:szCs w:val="20"/>
              </w:rPr>
            </w:pPr>
            <w:r>
              <w:rPr>
                <w:rFonts w:eastAsia="Times New Roman"/>
                <w:color w:val="131413"/>
                <w:sz w:val="17"/>
                <w:szCs w:val="17"/>
              </w:rPr>
              <w:t>(53.8)</w:t>
            </w:r>
          </w:p>
        </w:tc>
        <w:tc>
          <w:tcPr>
            <w:tcW w:w="460" w:type="dxa"/>
            <w:vAlign w:val="bottom"/>
          </w:tcPr>
          <w:p w:rsidR="00F90520" w:rsidRDefault="00B9396E">
            <w:pPr>
              <w:ind w:left="340"/>
              <w:rPr>
                <w:sz w:val="20"/>
                <w:szCs w:val="20"/>
              </w:rPr>
            </w:pPr>
            <w:r>
              <w:rPr>
                <w:rFonts w:eastAsia="Times New Roman"/>
                <w:color w:val="131413"/>
                <w:sz w:val="17"/>
                <w:szCs w:val="17"/>
              </w:rPr>
              <w:t>6</w:t>
            </w:r>
          </w:p>
        </w:tc>
        <w:tc>
          <w:tcPr>
            <w:tcW w:w="840" w:type="dxa"/>
            <w:vAlign w:val="bottom"/>
          </w:tcPr>
          <w:p w:rsidR="00F90520" w:rsidRDefault="00B9396E">
            <w:pPr>
              <w:ind w:left="20"/>
              <w:rPr>
                <w:sz w:val="20"/>
                <w:szCs w:val="20"/>
              </w:rPr>
            </w:pPr>
            <w:r>
              <w:rPr>
                <w:rFonts w:eastAsia="Times New Roman"/>
                <w:color w:val="131413"/>
                <w:sz w:val="17"/>
                <w:szCs w:val="17"/>
              </w:rPr>
              <w:t>(46.2)</w:t>
            </w:r>
          </w:p>
        </w:tc>
        <w:tc>
          <w:tcPr>
            <w:tcW w:w="860" w:type="dxa"/>
            <w:vAlign w:val="bottom"/>
          </w:tcPr>
          <w:p w:rsidR="00F90520" w:rsidRDefault="00B9396E">
            <w:pPr>
              <w:ind w:left="340"/>
              <w:rPr>
                <w:sz w:val="20"/>
                <w:szCs w:val="20"/>
              </w:rPr>
            </w:pPr>
            <w:r>
              <w:rPr>
                <w:rFonts w:eastAsia="Times New Roman"/>
                <w:color w:val="131413"/>
                <w:w w:val="92"/>
                <w:sz w:val="17"/>
                <w:szCs w:val="17"/>
              </w:rPr>
              <w:t>0.0171</w:t>
            </w:r>
            <w:r>
              <w:rPr>
                <w:rFonts w:eastAsia="Times New Roman"/>
                <w:color w:val="131413"/>
                <w:w w:val="92"/>
                <w:vertAlign w:val="superscript"/>
              </w:rPr>
              <w:t>d</w:t>
            </w:r>
          </w:p>
        </w:tc>
      </w:tr>
      <w:tr w:rsidR="00F90520">
        <w:trPr>
          <w:trHeight w:val="224"/>
        </w:trPr>
        <w:tc>
          <w:tcPr>
            <w:tcW w:w="2180" w:type="dxa"/>
            <w:vAlign w:val="bottom"/>
          </w:tcPr>
          <w:p w:rsidR="00F90520" w:rsidRDefault="00B9396E">
            <w:pPr>
              <w:ind w:left="40"/>
              <w:rPr>
                <w:sz w:val="20"/>
                <w:szCs w:val="20"/>
              </w:rPr>
            </w:pPr>
            <w:r>
              <w:rPr>
                <w:rFonts w:eastAsia="Times New Roman"/>
                <w:color w:val="131413"/>
                <w:sz w:val="17"/>
                <w:szCs w:val="17"/>
              </w:rPr>
              <w:t>Invasive lobular carcinoma</w:t>
            </w:r>
          </w:p>
        </w:tc>
        <w:tc>
          <w:tcPr>
            <w:tcW w:w="1660" w:type="dxa"/>
            <w:vAlign w:val="bottom"/>
          </w:tcPr>
          <w:p w:rsidR="00F90520" w:rsidRDefault="00B9396E">
            <w:pPr>
              <w:ind w:left="340"/>
              <w:rPr>
                <w:sz w:val="20"/>
                <w:szCs w:val="20"/>
              </w:rPr>
            </w:pPr>
            <w:r>
              <w:rPr>
                <w:rFonts w:eastAsia="Times New Roman"/>
                <w:color w:val="131413"/>
                <w:sz w:val="17"/>
                <w:szCs w:val="17"/>
              </w:rPr>
              <w:t>8</w:t>
            </w:r>
          </w:p>
        </w:tc>
        <w:tc>
          <w:tcPr>
            <w:tcW w:w="460" w:type="dxa"/>
            <w:gridSpan w:val="2"/>
            <w:vAlign w:val="bottom"/>
          </w:tcPr>
          <w:p w:rsidR="00F90520" w:rsidRDefault="00B9396E">
            <w:pPr>
              <w:ind w:left="360"/>
              <w:rPr>
                <w:sz w:val="20"/>
                <w:szCs w:val="20"/>
              </w:rPr>
            </w:pPr>
            <w:r>
              <w:rPr>
                <w:rFonts w:eastAsia="Times New Roman"/>
                <w:color w:val="131413"/>
                <w:w w:val="93"/>
                <w:sz w:val="17"/>
                <w:szCs w:val="17"/>
              </w:rPr>
              <w:t>8</w:t>
            </w:r>
          </w:p>
        </w:tc>
        <w:tc>
          <w:tcPr>
            <w:tcW w:w="840" w:type="dxa"/>
            <w:vAlign w:val="bottom"/>
          </w:tcPr>
          <w:p w:rsidR="00F90520" w:rsidRDefault="00B9396E">
            <w:pPr>
              <w:ind w:left="20"/>
              <w:rPr>
                <w:sz w:val="20"/>
                <w:szCs w:val="20"/>
              </w:rPr>
            </w:pPr>
            <w:r>
              <w:rPr>
                <w:rFonts w:eastAsia="Times New Roman"/>
                <w:color w:val="131413"/>
                <w:sz w:val="17"/>
                <w:szCs w:val="17"/>
              </w:rPr>
              <w:t>(100)</w:t>
            </w:r>
          </w:p>
        </w:tc>
        <w:tc>
          <w:tcPr>
            <w:tcW w:w="460" w:type="dxa"/>
            <w:vAlign w:val="bottom"/>
          </w:tcPr>
          <w:p w:rsidR="00F90520" w:rsidRDefault="00B9396E">
            <w:pPr>
              <w:ind w:left="340"/>
              <w:rPr>
                <w:sz w:val="20"/>
                <w:szCs w:val="20"/>
              </w:rPr>
            </w:pPr>
            <w:r>
              <w:rPr>
                <w:rFonts w:eastAsia="Times New Roman"/>
                <w:color w:val="131413"/>
                <w:sz w:val="17"/>
                <w:szCs w:val="17"/>
              </w:rPr>
              <w:t>0</w:t>
            </w:r>
          </w:p>
        </w:tc>
        <w:tc>
          <w:tcPr>
            <w:tcW w:w="840" w:type="dxa"/>
            <w:vAlign w:val="bottom"/>
          </w:tcPr>
          <w:p w:rsidR="00F90520" w:rsidRDefault="00F90520">
            <w:pPr>
              <w:rPr>
                <w:sz w:val="19"/>
                <w:szCs w:val="19"/>
              </w:rPr>
            </w:pPr>
          </w:p>
        </w:tc>
        <w:tc>
          <w:tcPr>
            <w:tcW w:w="860" w:type="dxa"/>
            <w:vAlign w:val="bottom"/>
          </w:tcPr>
          <w:p w:rsidR="00F90520" w:rsidRDefault="00F90520">
            <w:pPr>
              <w:rPr>
                <w:sz w:val="19"/>
                <w:szCs w:val="19"/>
              </w:rPr>
            </w:pPr>
          </w:p>
        </w:tc>
      </w:tr>
      <w:tr w:rsidR="00F90520">
        <w:trPr>
          <w:trHeight w:val="254"/>
        </w:trPr>
        <w:tc>
          <w:tcPr>
            <w:tcW w:w="2180" w:type="dxa"/>
            <w:vAlign w:val="bottom"/>
          </w:tcPr>
          <w:p w:rsidR="00F90520" w:rsidRDefault="00B9396E">
            <w:pPr>
              <w:ind w:left="40"/>
              <w:rPr>
                <w:sz w:val="20"/>
                <w:szCs w:val="20"/>
              </w:rPr>
            </w:pPr>
            <w:r>
              <w:rPr>
                <w:rFonts w:eastAsia="Times New Roman"/>
                <w:color w:val="131413"/>
                <w:sz w:val="17"/>
                <w:szCs w:val="17"/>
              </w:rPr>
              <w:t xml:space="preserve">Mucinous </w:t>
            </w:r>
            <w:r>
              <w:rPr>
                <w:rFonts w:eastAsia="Times New Roman"/>
                <w:color w:val="131413"/>
                <w:sz w:val="17"/>
                <w:szCs w:val="17"/>
              </w:rPr>
              <w:t>carcinoma</w:t>
            </w:r>
          </w:p>
        </w:tc>
        <w:tc>
          <w:tcPr>
            <w:tcW w:w="1660" w:type="dxa"/>
            <w:vAlign w:val="bottom"/>
          </w:tcPr>
          <w:p w:rsidR="00F90520" w:rsidRDefault="00B9396E">
            <w:pPr>
              <w:ind w:left="340"/>
              <w:rPr>
                <w:sz w:val="20"/>
                <w:szCs w:val="20"/>
              </w:rPr>
            </w:pPr>
            <w:r>
              <w:rPr>
                <w:rFonts w:eastAsia="Times New Roman"/>
                <w:color w:val="131413"/>
                <w:sz w:val="17"/>
                <w:szCs w:val="17"/>
              </w:rPr>
              <w:t>4</w:t>
            </w:r>
          </w:p>
        </w:tc>
        <w:tc>
          <w:tcPr>
            <w:tcW w:w="460" w:type="dxa"/>
            <w:gridSpan w:val="2"/>
            <w:vAlign w:val="bottom"/>
          </w:tcPr>
          <w:p w:rsidR="00F90520" w:rsidRDefault="00B9396E">
            <w:pPr>
              <w:ind w:left="360"/>
              <w:rPr>
                <w:sz w:val="20"/>
                <w:szCs w:val="20"/>
              </w:rPr>
            </w:pPr>
            <w:r>
              <w:rPr>
                <w:rFonts w:eastAsia="Times New Roman"/>
                <w:color w:val="131413"/>
                <w:w w:val="93"/>
                <w:sz w:val="17"/>
                <w:szCs w:val="17"/>
              </w:rPr>
              <w:t>4</w:t>
            </w:r>
          </w:p>
        </w:tc>
        <w:tc>
          <w:tcPr>
            <w:tcW w:w="840" w:type="dxa"/>
            <w:vAlign w:val="bottom"/>
          </w:tcPr>
          <w:p w:rsidR="00F90520" w:rsidRDefault="00B9396E">
            <w:pPr>
              <w:ind w:left="20"/>
              <w:rPr>
                <w:sz w:val="20"/>
                <w:szCs w:val="20"/>
              </w:rPr>
            </w:pPr>
            <w:r>
              <w:rPr>
                <w:rFonts w:eastAsia="Times New Roman"/>
                <w:color w:val="131413"/>
                <w:sz w:val="17"/>
                <w:szCs w:val="17"/>
              </w:rPr>
              <w:t>(100)</w:t>
            </w:r>
          </w:p>
        </w:tc>
        <w:tc>
          <w:tcPr>
            <w:tcW w:w="460" w:type="dxa"/>
            <w:vAlign w:val="bottom"/>
          </w:tcPr>
          <w:p w:rsidR="00F90520" w:rsidRDefault="00B9396E">
            <w:pPr>
              <w:ind w:left="340"/>
              <w:rPr>
                <w:sz w:val="20"/>
                <w:szCs w:val="20"/>
              </w:rPr>
            </w:pPr>
            <w:r>
              <w:rPr>
                <w:rFonts w:eastAsia="Times New Roman"/>
                <w:color w:val="131413"/>
                <w:sz w:val="17"/>
                <w:szCs w:val="17"/>
              </w:rPr>
              <w:t>0</w:t>
            </w:r>
          </w:p>
        </w:tc>
        <w:tc>
          <w:tcPr>
            <w:tcW w:w="840" w:type="dxa"/>
            <w:vAlign w:val="bottom"/>
          </w:tcPr>
          <w:p w:rsidR="00F90520" w:rsidRDefault="00F90520"/>
        </w:tc>
        <w:tc>
          <w:tcPr>
            <w:tcW w:w="860" w:type="dxa"/>
            <w:vAlign w:val="bottom"/>
          </w:tcPr>
          <w:p w:rsidR="00F90520" w:rsidRDefault="00F90520"/>
        </w:tc>
      </w:tr>
      <w:tr w:rsidR="00F90520">
        <w:trPr>
          <w:trHeight w:val="254"/>
        </w:trPr>
        <w:tc>
          <w:tcPr>
            <w:tcW w:w="2180" w:type="dxa"/>
            <w:vAlign w:val="bottom"/>
          </w:tcPr>
          <w:p w:rsidR="00F90520" w:rsidRDefault="00B9396E">
            <w:pPr>
              <w:ind w:left="40"/>
              <w:rPr>
                <w:sz w:val="20"/>
                <w:szCs w:val="20"/>
              </w:rPr>
            </w:pPr>
            <w:r>
              <w:rPr>
                <w:rFonts w:eastAsia="Times New Roman"/>
                <w:color w:val="131413"/>
                <w:sz w:val="17"/>
                <w:szCs w:val="17"/>
              </w:rPr>
              <w:t>Neuroendocrine carcinoma</w:t>
            </w:r>
          </w:p>
        </w:tc>
        <w:tc>
          <w:tcPr>
            <w:tcW w:w="1660" w:type="dxa"/>
            <w:vAlign w:val="bottom"/>
          </w:tcPr>
          <w:p w:rsidR="00F90520" w:rsidRDefault="00B9396E">
            <w:pPr>
              <w:ind w:left="340"/>
              <w:rPr>
                <w:sz w:val="20"/>
                <w:szCs w:val="20"/>
              </w:rPr>
            </w:pPr>
            <w:r>
              <w:rPr>
                <w:rFonts w:eastAsia="Times New Roman"/>
                <w:color w:val="131413"/>
                <w:sz w:val="17"/>
                <w:szCs w:val="17"/>
              </w:rPr>
              <w:t>2</w:t>
            </w:r>
          </w:p>
        </w:tc>
        <w:tc>
          <w:tcPr>
            <w:tcW w:w="460" w:type="dxa"/>
            <w:gridSpan w:val="2"/>
            <w:vAlign w:val="bottom"/>
          </w:tcPr>
          <w:p w:rsidR="00F90520" w:rsidRDefault="00B9396E">
            <w:pPr>
              <w:ind w:left="360"/>
              <w:rPr>
                <w:sz w:val="20"/>
                <w:szCs w:val="20"/>
              </w:rPr>
            </w:pPr>
            <w:r>
              <w:rPr>
                <w:rFonts w:eastAsia="Times New Roman"/>
                <w:color w:val="131413"/>
                <w:w w:val="93"/>
                <w:sz w:val="17"/>
                <w:szCs w:val="17"/>
              </w:rPr>
              <w:t>2</w:t>
            </w:r>
          </w:p>
        </w:tc>
        <w:tc>
          <w:tcPr>
            <w:tcW w:w="840" w:type="dxa"/>
            <w:vAlign w:val="bottom"/>
          </w:tcPr>
          <w:p w:rsidR="00F90520" w:rsidRDefault="00B9396E">
            <w:pPr>
              <w:ind w:left="20"/>
              <w:rPr>
                <w:sz w:val="20"/>
                <w:szCs w:val="20"/>
              </w:rPr>
            </w:pPr>
            <w:r>
              <w:rPr>
                <w:rFonts w:eastAsia="Times New Roman"/>
                <w:color w:val="131413"/>
                <w:sz w:val="17"/>
                <w:szCs w:val="17"/>
              </w:rPr>
              <w:t>(100)</w:t>
            </w:r>
          </w:p>
        </w:tc>
        <w:tc>
          <w:tcPr>
            <w:tcW w:w="460" w:type="dxa"/>
            <w:vAlign w:val="bottom"/>
          </w:tcPr>
          <w:p w:rsidR="00F90520" w:rsidRDefault="00B9396E">
            <w:pPr>
              <w:ind w:left="340"/>
              <w:rPr>
                <w:sz w:val="20"/>
                <w:szCs w:val="20"/>
              </w:rPr>
            </w:pPr>
            <w:r>
              <w:rPr>
                <w:rFonts w:eastAsia="Times New Roman"/>
                <w:color w:val="131413"/>
                <w:sz w:val="17"/>
                <w:szCs w:val="17"/>
              </w:rPr>
              <w:t>0</w:t>
            </w:r>
          </w:p>
        </w:tc>
        <w:tc>
          <w:tcPr>
            <w:tcW w:w="840" w:type="dxa"/>
            <w:vAlign w:val="bottom"/>
          </w:tcPr>
          <w:p w:rsidR="00F90520" w:rsidRDefault="00F90520"/>
        </w:tc>
        <w:tc>
          <w:tcPr>
            <w:tcW w:w="860" w:type="dxa"/>
            <w:vAlign w:val="bottom"/>
          </w:tcPr>
          <w:p w:rsidR="00F90520" w:rsidRDefault="00F90520"/>
        </w:tc>
      </w:tr>
      <w:tr w:rsidR="00F90520">
        <w:trPr>
          <w:trHeight w:val="254"/>
        </w:trPr>
        <w:tc>
          <w:tcPr>
            <w:tcW w:w="2180" w:type="dxa"/>
            <w:vAlign w:val="bottom"/>
          </w:tcPr>
          <w:p w:rsidR="00F90520" w:rsidRDefault="00B9396E">
            <w:pPr>
              <w:ind w:left="40"/>
              <w:rPr>
                <w:sz w:val="20"/>
                <w:szCs w:val="20"/>
              </w:rPr>
            </w:pPr>
            <w:r>
              <w:rPr>
                <w:rFonts w:eastAsia="Times New Roman"/>
                <w:color w:val="131413"/>
                <w:sz w:val="17"/>
                <w:szCs w:val="17"/>
              </w:rPr>
              <w:t>Aprocrine carcinoma</w:t>
            </w:r>
          </w:p>
        </w:tc>
        <w:tc>
          <w:tcPr>
            <w:tcW w:w="1660" w:type="dxa"/>
            <w:vAlign w:val="bottom"/>
          </w:tcPr>
          <w:p w:rsidR="00F90520" w:rsidRDefault="00B9396E">
            <w:pPr>
              <w:ind w:left="340"/>
              <w:rPr>
                <w:sz w:val="20"/>
                <w:szCs w:val="20"/>
              </w:rPr>
            </w:pPr>
            <w:r>
              <w:rPr>
                <w:rFonts w:eastAsia="Times New Roman"/>
                <w:color w:val="131413"/>
                <w:sz w:val="17"/>
                <w:szCs w:val="17"/>
              </w:rPr>
              <w:t>2</w:t>
            </w:r>
          </w:p>
        </w:tc>
        <w:tc>
          <w:tcPr>
            <w:tcW w:w="460" w:type="dxa"/>
            <w:gridSpan w:val="2"/>
            <w:vAlign w:val="bottom"/>
          </w:tcPr>
          <w:p w:rsidR="00F90520" w:rsidRDefault="00B9396E">
            <w:pPr>
              <w:ind w:left="360"/>
              <w:rPr>
                <w:sz w:val="20"/>
                <w:szCs w:val="20"/>
              </w:rPr>
            </w:pPr>
            <w:r>
              <w:rPr>
                <w:rFonts w:eastAsia="Times New Roman"/>
                <w:color w:val="131413"/>
                <w:w w:val="93"/>
                <w:sz w:val="17"/>
                <w:szCs w:val="17"/>
              </w:rPr>
              <w:t>0</w:t>
            </w:r>
          </w:p>
        </w:tc>
        <w:tc>
          <w:tcPr>
            <w:tcW w:w="840" w:type="dxa"/>
            <w:vAlign w:val="bottom"/>
          </w:tcPr>
          <w:p w:rsidR="00F90520" w:rsidRDefault="00F90520"/>
        </w:tc>
        <w:tc>
          <w:tcPr>
            <w:tcW w:w="460" w:type="dxa"/>
            <w:vAlign w:val="bottom"/>
          </w:tcPr>
          <w:p w:rsidR="00F90520" w:rsidRDefault="00B9396E">
            <w:pPr>
              <w:ind w:left="340"/>
              <w:rPr>
                <w:sz w:val="20"/>
                <w:szCs w:val="20"/>
              </w:rPr>
            </w:pPr>
            <w:r>
              <w:rPr>
                <w:rFonts w:eastAsia="Times New Roman"/>
                <w:color w:val="131413"/>
                <w:sz w:val="17"/>
                <w:szCs w:val="17"/>
              </w:rPr>
              <w:t>2</w:t>
            </w:r>
          </w:p>
        </w:tc>
        <w:tc>
          <w:tcPr>
            <w:tcW w:w="840" w:type="dxa"/>
            <w:vAlign w:val="bottom"/>
          </w:tcPr>
          <w:p w:rsidR="00F90520" w:rsidRDefault="00B9396E">
            <w:pPr>
              <w:ind w:left="20"/>
              <w:rPr>
                <w:sz w:val="20"/>
                <w:szCs w:val="20"/>
              </w:rPr>
            </w:pPr>
            <w:r>
              <w:rPr>
                <w:rFonts w:eastAsia="Times New Roman"/>
                <w:color w:val="131413"/>
                <w:sz w:val="17"/>
                <w:szCs w:val="17"/>
              </w:rPr>
              <w:t>(100)</w:t>
            </w:r>
          </w:p>
        </w:tc>
        <w:tc>
          <w:tcPr>
            <w:tcW w:w="860" w:type="dxa"/>
            <w:vAlign w:val="bottom"/>
          </w:tcPr>
          <w:p w:rsidR="00F90520" w:rsidRDefault="00F90520"/>
        </w:tc>
      </w:tr>
      <w:tr w:rsidR="00F90520">
        <w:trPr>
          <w:trHeight w:val="254"/>
        </w:trPr>
        <w:tc>
          <w:tcPr>
            <w:tcW w:w="2180" w:type="dxa"/>
            <w:vAlign w:val="bottom"/>
          </w:tcPr>
          <w:p w:rsidR="00F90520" w:rsidRDefault="00B9396E">
            <w:pPr>
              <w:rPr>
                <w:sz w:val="20"/>
                <w:szCs w:val="20"/>
              </w:rPr>
            </w:pPr>
            <w:r>
              <w:rPr>
                <w:rFonts w:eastAsia="Times New Roman"/>
                <w:color w:val="131413"/>
                <w:sz w:val="17"/>
                <w:szCs w:val="17"/>
              </w:rPr>
              <w:t>Clinical stage</w:t>
            </w:r>
          </w:p>
        </w:tc>
        <w:tc>
          <w:tcPr>
            <w:tcW w:w="1660" w:type="dxa"/>
            <w:vAlign w:val="bottom"/>
          </w:tcPr>
          <w:p w:rsidR="00F90520" w:rsidRDefault="00F90520"/>
        </w:tc>
        <w:tc>
          <w:tcPr>
            <w:tcW w:w="360" w:type="dxa"/>
            <w:vAlign w:val="bottom"/>
          </w:tcPr>
          <w:p w:rsidR="00F90520" w:rsidRDefault="00F90520"/>
        </w:tc>
        <w:tc>
          <w:tcPr>
            <w:tcW w:w="100" w:type="dxa"/>
            <w:vAlign w:val="bottom"/>
          </w:tcPr>
          <w:p w:rsidR="00F90520" w:rsidRDefault="00F90520"/>
        </w:tc>
        <w:tc>
          <w:tcPr>
            <w:tcW w:w="840" w:type="dxa"/>
            <w:vAlign w:val="bottom"/>
          </w:tcPr>
          <w:p w:rsidR="00F90520" w:rsidRDefault="00F90520"/>
        </w:tc>
        <w:tc>
          <w:tcPr>
            <w:tcW w:w="460" w:type="dxa"/>
            <w:vAlign w:val="bottom"/>
          </w:tcPr>
          <w:p w:rsidR="00F90520" w:rsidRDefault="00F90520"/>
        </w:tc>
        <w:tc>
          <w:tcPr>
            <w:tcW w:w="840" w:type="dxa"/>
            <w:vAlign w:val="bottom"/>
          </w:tcPr>
          <w:p w:rsidR="00F90520" w:rsidRDefault="00F90520"/>
        </w:tc>
        <w:tc>
          <w:tcPr>
            <w:tcW w:w="860" w:type="dxa"/>
            <w:vAlign w:val="bottom"/>
          </w:tcPr>
          <w:p w:rsidR="00F90520" w:rsidRDefault="00F90520"/>
        </w:tc>
      </w:tr>
    </w:tbl>
    <w:p w:rsidR="00F90520" w:rsidRDefault="00B9396E">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-5080</wp:posOffset>
                </wp:positionH>
                <wp:positionV relativeFrom="paragraph">
                  <wp:posOffset>-2964180</wp:posOffset>
                </wp:positionV>
                <wp:extent cx="464375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3755" cy="4763"/>
                        </a:xfrm>
                        <a:prstGeom prst="line">
                          <a:avLst/>
                        </a:prstGeom>
                        <a:solidFill>
                          <a:srgbClr val="FFFFFF"/>
                        </a:solidFill>
                        <a:ln w="7200">
                          <a:solidFill>
                            <a:srgbClr val="131413"/>
                          </a:solidFill>
                          <a:miter lim="800000"/>
                          <a:headEnd/>
                          <a:tailEnd/>
                        </a:ln>
                      </wps:spPr>
                      <wps:bodyPr/>
                    </wps:wsp>
                  </a:graphicData>
                </a:graphic>
              </wp:anchor>
            </w:drawing>
          </mc:Choice>
          <mc:Fallback>
            <w:pict>
              <v:line w14:anchorId="794C7A6E" id="Shape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pt,-233.4pt" to="365.25pt,-23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" o:allowincell="f" filled="t" strokecolor="#131413" strokeweight=".2mm">
                <v:stroke joinstyle="miter"/>
                <o:lock v:ext="edit" shapetype="f"/>
              </v:line>
            </w:pict>
          </mc:Fallback>
        </mc:AlternateContent>
      </w:r>
    </w:p>
    <w:p w:rsidR="00F90520" w:rsidRDefault="00F90520">
      <w:pPr>
        <w:spacing w:line="58" w:lineRule="exact"/>
        <w:rPr>
          <w:sz w:val="20"/>
          <w:szCs w:val="20"/>
        </w:rPr>
      </w:pPr>
    </w:p>
    <w:p w:rsidR="00F90520" w:rsidRDefault="00F90520">
      <w:pPr>
        <w:sectPr w:rsidR="00F90520">
          <w:type w:val="continuous"/>
          <w:pgSz w:w="11900" w:h="15817"/>
          <w:pgMar w:top="649" w:right="1026" w:bottom="940" w:left="1020" w:header="0" w:footer="0" w:gutter="0"/>
          <w:cols w:num="2" w:space="720" w:equalWidth="0">
            <w:col w:w="2220" w:space="340"/>
            <w:col w:w="7300"/>
          </w:cols>
        </w:sectPr>
      </w:pPr>
    </w:p>
    <w:tbl>
      <w:tblPr>
        <w:tblW w:w="0" w:type="auto"/>
        <w:tblInd w:w="2560" w:type="dxa"/>
        <w:tblLayout w:type="fixed"/>
        <w:tblCellMar>
          <w:left w:w="0" w:type="dxa"/>
          <w:right w:w="0" w:type="dxa"/>
        </w:tblCellMar>
        <w:tblLook w:val="04A0" w:firstRow="1" w:lastRow="0" w:firstColumn="1" w:lastColumn="0" w:noHBand="0" w:noVBand="1"/>
      </w:tblPr>
      <w:tblGrid>
        <w:gridCol w:w="1620"/>
        <w:gridCol w:w="1820"/>
        <w:gridCol w:w="1700"/>
        <w:gridCol w:w="1300"/>
        <w:gridCol w:w="860"/>
      </w:tblGrid>
      <w:tr w:rsidR="00F90520">
        <w:trPr>
          <w:trHeight w:val="196"/>
        </w:trPr>
        <w:tc>
          <w:tcPr>
            <w:tcW w:w="1620" w:type="dxa"/>
            <w:vAlign w:val="bottom"/>
          </w:tcPr>
          <w:p w:rsidR="00F90520" w:rsidRDefault="00B9396E">
            <w:pPr>
              <w:ind w:left="40"/>
              <w:rPr>
                <w:sz w:val="20"/>
                <w:szCs w:val="20"/>
              </w:rPr>
            </w:pPr>
            <w:r>
              <w:rPr>
                <w:rFonts w:eastAsia="Times New Roman"/>
                <w:color w:val="131413"/>
                <w:sz w:val="17"/>
                <w:szCs w:val="17"/>
              </w:rPr>
              <w:t>I</w:t>
            </w:r>
            <w:r>
              <w:rPr>
                <w:rFonts w:ascii="Arial" w:eastAsia="Arial" w:hAnsi="Arial" w:cs="Arial"/>
                <w:color w:val="131413"/>
                <w:sz w:val="17"/>
                <w:szCs w:val="17"/>
              </w:rPr>
              <w:t>–</w:t>
            </w:r>
            <w:r>
              <w:rPr>
                <w:rFonts w:eastAsia="Times New Roman"/>
                <w:color w:val="131413"/>
                <w:sz w:val="17"/>
                <w:szCs w:val="17"/>
              </w:rPr>
              <w:t>IIa</w:t>
            </w:r>
          </w:p>
        </w:tc>
        <w:tc>
          <w:tcPr>
            <w:tcW w:w="1820" w:type="dxa"/>
            <w:vAlign w:val="bottom"/>
          </w:tcPr>
          <w:p w:rsidR="00F90520" w:rsidRDefault="00B9396E">
            <w:pPr>
              <w:ind w:left="900"/>
              <w:rPr>
                <w:sz w:val="20"/>
                <w:szCs w:val="20"/>
              </w:rPr>
            </w:pPr>
            <w:r>
              <w:rPr>
                <w:rFonts w:eastAsia="Times New Roman"/>
                <w:color w:val="131413"/>
                <w:sz w:val="17"/>
                <w:szCs w:val="17"/>
              </w:rPr>
              <w:t>51</w:t>
            </w:r>
          </w:p>
        </w:tc>
        <w:tc>
          <w:tcPr>
            <w:tcW w:w="1700" w:type="dxa"/>
            <w:vAlign w:val="bottom"/>
          </w:tcPr>
          <w:p w:rsidR="00F90520" w:rsidRDefault="00B9396E">
            <w:pPr>
              <w:ind w:left="760"/>
              <w:rPr>
                <w:sz w:val="20"/>
                <w:szCs w:val="20"/>
              </w:rPr>
            </w:pPr>
            <w:r>
              <w:rPr>
                <w:rFonts w:eastAsia="Times New Roman"/>
                <w:color w:val="131413"/>
                <w:sz w:val="17"/>
                <w:szCs w:val="17"/>
              </w:rPr>
              <w:t>29 (56.9)</w:t>
            </w:r>
          </w:p>
        </w:tc>
        <w:tc>
          <w:tcPr>
            <w:tcW w:w="1300" w:type="dxa"/>
            <w:vAlign w:val="bottom"/>
          </w:tcPr>
          <w:p w:rsidR="00F90520" w:rsidRDefault="00B9396E">
            <w:pPr>
              <w:ind w:left="340"/>
              <w:rPr>
                <w:sz w:val="20"/>
                <w:szCs w:val="20"/>
              </w:rPr>
            </w:pPr>
            <w:r>
              <w:rPr>
                <w:rFonts w:eastAsia="Times New Roman"/>
                <w:color w:val="131413"/>
                <w:sz w:val="17"/>
                <w:szCs w:val="17"/>
              </w:rPr>
              <w:t>22 (43.1)</w:t>
            </w:r>
          </w:p>
        </w:tc>
        <w:tc>
          <w:tcPr>
            <w:tcW w:w="860" w:type="dxa"/>
            <w:vAlign w:val="bottom"/>
          </w:tcPr>
          <w:p w:rsidR="00F90520" w:rsidRDefault="00F90520">
            <w:pPr>
              <w:rPr>
                <w:sz w:val="17"/>
                <w:szCs w:val="17"/>
              </w:rPr>
            </w:pPr>
          </w:p>
        </w:tc>
      </w:tr>
      <w:tr w:rsidR="00F90520">
        <w:trPr>
          <w:trHeight w:val="283"/>
        </w:trPr>
        <w:tc>
          <w:tcPr>
            <w:tcW w:w="1620" w:type="dxa"/>
            <w:vAlign w:val="bottom"/>
          </w:tcPr>
          <w:p w:rsidR="00F90520" w:rsidRDefault="00B9396E">
            <w:pPr>
              <w:ind w:left="40"/>
              <w:rPr>
                <w:sz w:val="20"/>
                <w:szCs w:val="20"/>
              </w:rPr>
            </w:pPr>
            <w:r>
              <w:rPr>
                <w:rFonts w:eastAsia="Times New Roman"/>
                <w:color w:val="131413"/>
                <w:sz w:val="17"/>
                <w:szCs w:val="17"/>
              </w:rPr>
              <w:t>IIb</w:t>
            </w:r>
            <w:r>
              <w:rPr>
                <w:rFonts w:ascii="Arial" w:eastAsia="Arial" w:hAnsi="Arial" w:cs="Arial"/>
                <w:color w:val="131413"/>
                <w:sz w:val="17"/>
                <w:szCs w:val="17"/>
              </w:rPr>
              <w:t>–</w:t>
            </w:r>
            <w:r>
              <w:rPr>
                <w:rFonts w:eastAsia="Times New Roman"/>
                <w:color w:val="131413"/>
                <w:sz w:val="17"/>
                <w:szCs w:val="17"/>
              </w:rPr>
              <w:t>IV</w:t>
            </w:r>
          </w:p>
        </w:tc>
        <w:tc>
          <w:tcPr>
            <w:tcW w:w="1820" w:type="dxa"/>
            <w:vAlign w:val="bottom"/>
          </w:tcPr>
          <w:p w:rsidR="00F90520" w:rsidRDefault="00B9396E">
            <w:pPr>
              <w:ind w:left="900"/>
              <w:rPr>
                <w:sz w:val="20"/>
                <w:szCs w:val="20"/>
              </w:rPr>
            </w:pPr>
            <w:r>
              <w:rPr>
                <w:rFonts w:eastAsia="Times New Roman"/>
                <w:color w:val="131413"/>
                <w:sz w:val="17"/>
                <w:szCs w:val="17"/>
              </w:rPr>
              <w:t>66</w:t>
            </w:r>
          </w:p>
        </w:tc>
        <w:tc>
          <w:tcPr>
            <w:tcW w:w="1700" w:type="dxa"/>
            <w:vAlign w:val="bottom"/>
          </w:tcPr>
          <w:p w:rsidR="00F90520" w:rsidRDefault="00B9396E">
            <w:pPr>
              <w:ind w:left="760"/>
              <w:rPr>
                <w:sz w:val="20"/>
                <w:szCs w:val="20"/>
              </w:rPr>
            </w:pPr>
            <w:r>
              <w:rPr>
                <w:rFonts w:eastAsia="Times New Roman"/>
                <w:color w:val="131413"/>
                <w:sz w:val="17"/>
                <w:szCs w:val="17"/>
              </w:rPr>
              <w:t>19 (28.8)</w:t>
            </w:r>
          </w:p>
        </w:tc>
        <w:tc>
          <w:tcPr>
            <w:tcW w:w="1300" w:type="dxa"/>
            <w:vAlign w:val="bottom"/>
          </w:tcPr>
          <w:p w:rsidR="00F90520" w:rsidRDefault="00B9396E">
            <w:pPr>
              <w:ind w:left="340"/>
              <w:rPr>
                <w:sz w:val="20"/>
                <w:szCs w:val="20"/>
              </w:rPr>
            </w:pPr>
            <w:r>
              <w:rPr>
                <w:rFonts w:eastAsia="Times New Roman"/>
                <w:color w:val="131413"/>
                <w:sz w:val="17"/>
                <w:szCs w:val="17"/>
              </w:rPr>
              <w:t>47 (71.2)</w:t>
            </w:r>
          </w:p>
        </w:tc>
        <w:tc>
          <w:tcPr>
            <w:tcW w:w="860" w:type="dxa"/>
            <w:vAlign w:val="bottom"/>
          </w:tcPr>
          <w:p w:rsidR="00F90520" w:rsidRDefault="00B9396E">
            <w:pPr>
              <w:ind w:left="340"/>
              <w:rPr>
                <w:sz w:val="20"/>
                <w:szCs w:val="20"/>
              </w:rPr>
            </w:pPr>
            <w:r>
              <w:rPr>
                <w:rFonts w:eastAsia="Times New Roman"/>
                <w:color w:val="131413"/>
                <w:sz w:val="17"/>
                <w:szCs w:val="17"/>
              </w:rPr>
              <w:t>0.002</w:t>
            </w:r>
            <w:r>
              <w:rPr>
                <w:rFonts w:eastAsia="Times New Roman"/>
                <w:color w:val="131413"/>
                <w:vertAlign w:val="superscript"/>
              </w:rPr>
              <w:t>e</w:t>
            </w:r>
          </w:p>
        </w:tc>
      </w:tr>
      <w:tr w:rsidR="00F90520">
        <w:trPr>
          <w:trHeight w:val="224"/>
        </w:trPr>
        <w:tc>
          <w:tcPr>
            <w:tcW w:w="1620" w:type="dxa"/>
            <w:vAlign w:val="bottom"/>
          </w:tcPr>
          <w:p w:rsidR="00F90520" w:rsidRDefault="00B9396E">
            <w:pPr>
              <w:ind w:left="40"/>
              <w:rPr>
                <w:sz w:val="20"/>
                <w:szCs w:val="20"/>
              </w:rPr>
            </w:pPr>
            <w:r>
              <w:rPr>
                <w:rFonts w:eastAsia="Times New Roman"/>
                <w:color w:val="131413"/>
                <w:sz w:val="17"/>
                <w:szCs w:val="17"/>
              </w:rPr>
              <w:t>Unknown</w:t>
            </w:r>
          </w:p>
        </w:tc>
        <w:tc>
          <w:tcPr>
            <w:tcW w:w="1820" w:type="dxa"/>
            <w:vAlign w:val="bottom"/>
          </w:tcPr>
          <w:p w:rsidR="00F90520" w:rsidRDefault="00B9396E">
            <w:pPr>
              <w:ind w:left="900"/>
              <w:rPr>
                <w:sz w:val="20"/>
                <w:szCs w:val="20"/>
              </w:rPr>
            </w:pPr>
            <w:r>
              <w:rPr>
                <w:rFonts w:eastAsia="Times New Roman"/>
                <w:color w:val="131413"/>
                <w:sz w:val="17"/>
                <w:szCs w:val="17"/>
              </w:rPr>
              <w:t>2</w:t>
            </w:r>
          </w:p>
        </w:tc>
        <w:tc>
          <w:tcPr>
            <w:tcW w:w="1700" w:type="dxa"/>
            <w:vAlign w:val="bottom"/>
          </w:tcPr>
          <w:p w:rsidR="00F90520" w:rsidRDefault="00B9396E">
            <w:pPr>
              <w:ind w:left="760"/>
              <w:rPr>
                <w:sz w:val="20"/>
                <w:szCs w:val="20"/>
              </w:rPr>
            </w:pPr>
            <w:r>
              <w:rPr>
                <w:rFonts w:eastAsia="Times New Roman"/>
                <w:color w:val="131413"/>
                <w:sz w:val="17"/>
                <w:szCs w:val="17"/>
              </w:rPr>
              <w:t>2 (100)</w:t>
            </w:r>
          </w:p>
        </w:tc>
        <w:tc>
          <w:tcPr>
            <w:tcW w:w="1300" w:type="dxa"/>
            <w:vAlign w:val="bottom"/>
          </w:tcPr>
          <w:p w:rsidR="00F90520" w:rsidRDefault="00B9396E">
            <w:pPr>
              <w:ind w:left="340"/>
              <w:rPr>
                <w:sz w:val="20"/>
                <w:szCs w:val="20"/>
              </w:rPr>
            </w:pPr>
            <w:r>
              <w:rPr>
                <w:rFonts w:eastAsia="Times New Roman"/>
                <w:color w:val="131413"/>
                <w:sz w:val="17"/>
                <w:szCs w:val="17"/>
              </w:rPr>
              <w:t>0</w:t>
            </w:r>
          </w:p>
        </w:tc>
        <w:tc>
          <w:tcPr>
            <w:tcW w:w="860" w:type="dxa"/>
            <w:vAlign w:val="bottom"/>
          </w:tcPr>
          <w:p w:rsidR="00F90520" w:rsidRDefault="00F90520">
            <w:pPr>
              <w:rPr>
                <w:sz w:val="19"/>
                <w:szCs w:val="19"/>
              </w:rPr>
            </w:pPr>
          </w:p>
        </w:tc>
      </w:tr>
      <w:tr w:rsidR="00F90520">
        <w:trPr>
          <w:trHeight w:val="105"/>
        </w:trPr>
        <w:tc>
          <w:tcPr>
            <w:tcW w:w="1620" w:type="dxa"/>
            <w:tcBorders>
              <w:bottom w:val="single" w:sz="8" w:space="0" w:color="131413"/>
            </w:tcBorders>
            <w:vAlign w:val="bottom"/>
          </w:tcPr>
          <w:p w:rsidR="00F90520" w:rsidRDefault="00F90520">
            <w:pPr>
              <w:rPr>
                <w:sz w:val="9"/>
                <w:szCs w:val="9"/>
              </w:rPr>
            </w:pPr>
          </w:p>
        </w:tc>
        <w:tc>
          <w:tcPr>
            <w:tcW w:w="1820" w:type="dxa"/>
            <w:tcBorders>
              <w:bottom w:val="single" w:sz="8" w:space="0" w:color="131413"/>
            </w:tcBorders>
            <w:vAlign w:val="bottom"/>
          </w:tcPr>
          <w:p w:rsidR="00F90520" w:rsidRDefault="00F90520">
            <w:pPr>
              <w:rPr>
                <w:sz w:val="9"/>
                <w:szCs w:val="9"/>
              </w:rPr>
            </w:pPr>
          </w:p>
        </w:tc>
        <w:tc>
          <w:tcPr>
            <w:tcW w:w="1700" w:type="dxa"/>
            <w:tcBorders>
              <w:bottom w:val="single" w:sz="8" w:space="0" w:color="131413"/>
            </w:tcBorders>
            <w:vAlign w:val="bottom"/>
          </w:tcPr>
          <w:p w:rsidR="00F90520" w:rsidRDefault="00F90520">
            <w:pPr>
              <w:rPr>
                <w:sz w:val="9"/>
                <w:szCs w:val="9"/>
              </w:rPr>
            </w:pPr>
          </w:p>
        </w:tc>
        <w:tc>
          <w:tcPr>
            <w:tcW w:w="1300" w:type="dxa"/>
            <w:tcBorders>
              <w:bottom w:val="single" w:sz="8" w:space="0" w:color="131413"/>
            </w:tcBorders>
            <w:vAlign w:val="bottom"/>
          </w:tcPr>
          <w:p w:rsidR="00F90520" w:rsidRDefault="00F90520">
            <w:pPr>
              <w:rPr>
                <w:sz w:val="9"/>
                <w:szCs w:val="9"/>
              </w:rPr>
            </w:pPr>
          </w:p>
        </w:tc>
        <w:tc>
          <w:tcPr>
            <w:tcW w:w="860" w:type="dxa"/>
            <w:tcBorders>
              <w:bottom w:val="single" w:sz="8" w:space="0" w:color="131413"/>
            </w:tcBorders>
            <w:vAlign w:val="bottom"/>
          </w:tcPr>
          <w:p w:rsidR="00F90520" w:rsidRDefault="00F90520">
            <w:pPr>
              <w:rPr>
                <w:sz w:val="9"/>
                <w:szCs w:val="9"/>
              </w:rPr>
            </w:pPr>
          </w:p>
        </w:tc>
      </w:tr>
    </w:tbl>
    <w:p w:rsidR="00F90520" w:rsidRDefault="00F90520">
      <w:pPr>
        <w:spacing w:line="95" w:lineRule="exact"/>
        <w:rPr>
          <w:sz w:val="20"/>
          <w:szCs w:val="20"/>
        </w:rPr>
      </w:pPr>
    </w:p>
    <w:p w:rsidR="00F90520" w:rsidRDefault="00B9396E">
      <w:pPr>
        <w:ind w:left="2560"/>
        <w:rPr>
          <w:sz w:val="20"/>
          <w:szCs w:val="20"/>
        </w:rPr>
      </w:pPr>
      <w:r>
        <w:rPr>
          <w:rFonts w:eastAsia="Times New Roman"/>
          <w:color w:val="131413"/>
          <w:sz w:val="17"/>
          <w:szCs w:val="17"/>
        </w:rPr>
        <w:t>Low expression means score 0/1; high expression means score 2/3</w:t>
      </w:r>
    </w:p>
    <w:p w:rsidR="00F90520" w:rsidRDefault="00B9396E">
      <w:pPr>
        <w:numPr>
          <w:ilvl w:val="0"/>
          <w:numId w:val="5"/>
        </w:numPr>
        <w:tabs>
          <w:tab w:val="left" w:pos="2640"/>
        </w:tabs>
        <w:spacing w:line="232" w:lineRule="auto"/>
        <w:ind w:left="2640" w:hanging="88"/>
        <w:rPr>
          <w:rFonts w:eastAsia="Times New Roman"/>
          <w:color w:val="131413"/>
          <w:sz w:val="23"/>
          <w:szCs w:val="23"/>
          <w:vertAlign w:val="superscript"/>
        </w:rPr>
      </w:pPr>
      <w:r>
        <w:rPr>
          <w:rFonts w:eastAsia="Times New Roman"/>
          <w:color w:val="131413"/>
          <w:sz w:val="17"/>
          <w:szCs w:val="17"/>
        </w:rPr>
        <w:t>Normal versus cancer</w:t>
      </w:r>
    </w:p>
    <w:p w:rsidR="00F90520" w:rsidRDefault="00F90520">
      <w:pPr>
        <w:spacing w:line="30" w:lineRule="exact"/>
        <w:rPr>
          <w:rFonts w:eastAsia="Times New Roman"/>
          <w:color w:val="131413"/>
          <w:sz w:val="23"/>
          <w:szCs w:val="23"/>
          <w:vertAlign w:val="superscript"/>
        </w:rPr>
      </w:pPr>
    </w:p>
    <w:p w:rsidR="00F90520" w:rsidRDefault="00B9396E">
      <w:pPr>
        <w:numPr>
          <w:ilvl w:val="0"/>
          <w:numId w:val="5"/>
        </w:numPr>
        <w:tabs>
          <w:tab w:val="left" w:pos="2640"/>
        </w:tabs>
        <w:spacing w:line="211" w:lineRule="auto"/>
        <w:ind w:left="2640" w:hanging="88"/>
        <w:rPr>
          <w:rFonts w:eastAsia="Times New Roman"/>
          <w:color w:val="131413"/>
          <w:sz w:val="23"/>
          <w:szCs w:val="23"/>
          <w:vertAlign w:val="superscript"/>
        </w:rPr>
      </w:pPr>
      <w:r>
        <w:rPr>
          <w:rFonts w:eastAsia="Times New Roman"/>
          <w:color w:val="131413"/>
          <w:sz w:val="17"/>
          <w:szCs w:val="17"/>
        </w:rPr>
        <w:t>Patient</w:t>
      </w:r>
      <w:r>
        <w:rPr>
          <w:rFonts w:ascii="Arial" w:eastAsia="Arial" w:hAnsi="Arial" w:cs="Arial"/>
          <w:color w:val="131413"/>
          <w:sz w:val="17"/>
          <w:szCs w:val="17"/>
        </w:rPr>
        <w:t>’</w:t>
      </w:r>
      <w:r>
        <w:rPr>
          <w:rFonts w:eastAsia="Times New Roman"/>
          <w:color w:val="131413"/>
          <w:sz w:val="17"/>
          <w:szCs w:val="17"/>
        </w:rPr>
        <w:t xml:space="preserve">s age (year) </w:t>
      </w:r>
      <w:r>
        <w:rPr>
          <w:rFonts w:ascii="Arial" w:eastAsia="Arial" w:hAnsi="Arial" w:cs="Arial"/>
          <w:color w:val="131413"/>
          <w:sz w:val="17"/>
          <w:szCs w:val="17"/>
        </w:rPr>
        <w:t>≥</w:t>
      </w:r>
      <w:r>
        <w:rPr>
          <w:rFonts w:eastAsia="Times New Roman"/>
          <w:color w:val="131413"/>
          <w:sz w:val="17"/>
          <w:szCs w:val="17"/>
        </w:rPr>
        <w:t>55 versus &lt;55</w:t>
      </w:r>
    </w:p>
    <w:p w:rsidR="00F90520" w:rsidRDefault="00F90520">
      <w:pPr>
        <w:spacing w:line="23" w:lineRule="exact"/>
        <w:rPr>
          <w:rFonts w:eastAsia="Times New Roman"/>
          <w:color w:val="131413"/>
          <w:sz w:val="23"/>
          <w:szCs w:val="23"/>
          <w:vertAlign w:val="superscript"/>
        </w:rPr>
      </w:pPr>
    </w:p>
    <w:p w:rsidR="00F90520" w:rsidRDefault="00B9396E">
      <w:pPr>
        <w:numPr>
          <w:ilvl w:val="0"/>
          <w:numId w:val="5"/>
        </w:numPr>
        <w:tabs>
          <w:tab w:val="left" w:pos="2640"/>
        </w:tabs>
        <w:spacing w:line="204" w:lineRule="auto"/>
        <w:ind w:left="2640" w:hanging="88"/>
        <w:rPr>
          <w:rFonts w:eastAsia="Times New Roman"/>
          <w:color w:val="131413"/>
          <w:sz w:val="23"/>
          <w:szCs w:val="23"/>
          <w:vertAlign w:val="superscript"/>
        </w:rPr>
      </w:pPr>
      <w:r>
        <w:rPr>
          <w:rFonts w:eastAsia="Times New Roman"/>
          <w:color w:val="131413"/>
          <w:sz w:val="17"/>
          <w:szCs w:val="17"/>
        </w:rPr>
        <w:t>Invasive ductal carcinoma versus invasive lobular carcinoma</w:t>
      </w:r>
    </w:p>
    <w:p w:rsidR="00F90520" w:rsidRDefault="00F90520">
      <w:pPr>
        <w:spacing w:line="31" w:lineRule="exact"/>
        <w:rPr>
          <w:rFonts w:eastAsia="Times New Roman"/>
          <w:color w:val="131413"/>
          <w:sz w:val="23"/>
          <w:szCs w:val="23"/>
          <w:vertAlign w:val="superscript"/>
        </w:rPr>
      </w:pPr>
    </w:p>
    <w:p w:rsidR="00F90520" w:rsidRDefault="00B9396E">
      <w:pPr>
        <w:numPr>
          <w:ilvl w:val="0"/>
          <w:numId w:val="5"/>
        </w:numPr>
        <w:tabs>
          <w:tab w:val="left" w:pos="2640"/>
        </w:tabs>
        <w:spacing w:line="204" w:lineRule="auto"/>
        <w:ind w:left="2640" w:hanging="88"/>
        <w:rPr>
          <w:rFonts w:eastAsia="Times New Roman"/>
          <w:color w:val="131413"/>
          <w:sz w:val="23"/>
          <w:szCs w:val="23"/>
          <w:vertAlign w:val="superscript"/>
        </w:rPr>
      </w:pPr>
      <w:r>
        <w:rPr>
          <w:rFonts w:eastAsia="Times New Roman"/>
          <w:color w:val="131413"/>
          <w:sz w:val="17"/>
          <w:szCs w:val="17"/>
        </w:rPr>
        <w:t>Medullary carcinoma versus mucinous carcinoma</w:t>
      </w:r>
    </w:p>
    <w:p w:rsidR="00F90520" w:rsidRDefault="00F90520">
      <w:pPr>
        <w:spacing w:line="31" w:lineRule="exact"/>
        <w:rPr>
          <w:rFonts w:eastAsia="Times New Roman"/>
          <w:color w:val="131413"/>
          <w:sz w:val="23"/>
          <w:szCs w:val="23"/>
          <w:vertAlign w:val="superscript"/>
        </w:rPr>
      </w:pPr>
    </w:p>
    <w:p w:rsidR="00F90520" w:rsidRDefault="00B9396E">
      <w:pPr>
        <w:numPr>
          <w:ilvl w:val="0"/>
          <w:numId w:val="5"/>
        </w:numPr>
        <w:tabs>
          <w:tab w:val="left" w:pos="2640"/>
        </w:tabs>
        <w:spacing w:line="204" w:lineRule="auto"/>
        <w:ind w:left="2640" w:hanging="88"/>
        <w:rPr>
          <w:rFonts w:eastAsia="Times New Roman"/>
          <w:color w:val="131413"/>
          <w:sz w:val="23"/>
          <w:szCs w:val="23"/>
          <w:vertAlign w:val="superscript"/>
        </w:rPr>
      </w:pPr>
      <w:r>
        <w:rPr>
          <w:rFonts w:eastAsia="Times New Roman"/>
          <w:color w:val="131413"/>
          <w:sz w:val="17"/>
          <w:szCs w:val="17"/>
        </w:rPr>
        <w:t>Clinical stage I</w:t>
      </w:r>
      <w:r>
        <w:rPr>
          <w:rFonts w:ascii="Arial" w:eastAsia="Arial" w:hAnsi="Arial" w:cs="Arial"/>
          <w:color w:val="131413"/>
          <w:sz w:val="17"/>
          <w:szCs w:val="17"/>
        </w:rPr>
        <w:t>–</w:t>
      </w:r>
      <w:r>
        <w:rPr>
          <w:rFonts w:eastAsia="Times New Roman"/>
          <w:color w:val="131413"/>
          <w:sz w:val="17"/>
          <w:szCs w:val="17"/>
        </w:rPr>
        <w:t xml:space="preserve">IIa </w:t>
      </w:r>
      <w:r>
        <w:rPr>
          <w:rFonts w:eastAsia="Times New Roman"/>
          <w:color w:val="131413"/>
          <w:sz w:val="17"/>
          <w:szCs w:val="17"/>
        </w:rPr>
        <w:t>versus IIb</w:t>
      </w:r>
      <w:r>
        <w:rPr>
          <w:rFonts w:ascii="Arial" w:eastAsia="Arial" w:hAnsi="Arial" w:cs="Arial"/>
          <w:color w:val="131413"/>
          <w:sz w:val="17"/>
          <w:szCs w:val="17"/>
        </w:rPr>
        <w:t>–</w:t>
      </w:r>
      <w:r>
        <w:rPr>
          <w:rFonts w:eastAsia="Times New Roman"/>
          <w:color w:val="131413"/>
          <w:sz w:val="17"/>
          <w:szCs w:val="17"/>
        </w:rPr>
        <w:t>IV</w:t>
      </w:r>
    </w:p>
    <w:p w:rsidR="00F90520" w:rsidRDefault="00F90520">
      <w:pPr>
        <w:spacing w:line="20" w:lineRule="exact"/>
        <w:rPr>
          <w:sz w:val="20"/>
          <w:szCs w:val="20"/>
        </w:rPr>
      </w:pPr>
    </w:p>
    <w:p w:rsidR="00F90520" w:rsidRDefault="00F90520">
      <w:pPr>
        <w:sectPr w:rsidR="00F90520">
          <w:type w:val="continuous"/>
          <w:pgSz w:w="11900" w:h="15817"/>
          <w:pgMar w:top="649" w:right="1026" w:bottom="940" w:left="1020" w:header="0" w:footer="0" w:gutter="0"/>
          <w:cols w:space="720" w:equalWidth="0">
            <w:col w:w="9860"/>
          </w:cols>
        </w:sectPr>
      </w:pPr>
    </w:p>
    <w:p w:rsidR="00F90520" w:rsidRDefault="00B9396E">
      <w:pPr>
        <w:spacing w:line="20" w:lineRule="exact"/>
        <w:rPr>
          <w:sz w:val="20"/>
          <w:szCs w:val="20"/>
        </w:rPr>
      </w:pPr>
      <w:bookmarkStart w:id="3" w:name="page5"/>
      <w:bookmarkEnd w:id="3"/>
      <w:r>
        <w:rPr>
          <w:noProof/>
          <w:sz w:val="20"/>
          <w:szCs w:val="20"/>
        </w:rPr>
        <w:lastRenderedPageBreak/>
        <mc:AlternateContent>
          <mc:Choice Requires="wps">
            <w:drawing>
              <wp:anchor distT="0" distB="0" distL="114300" distR="114300" simplePos="0" relativeHeight="251657216" behindDoc="1" locked="0" layoutInCell="0" allowOverlap="1">
                <wp:simplePos x="0" y="0"/>
                <wp:positionH relativeFrom="column">
                  <wp:posOffset>0</wp:posOffset>
                </wp:positionH>
                <wp:positionV relativeFrom="paragraph">
                  <wp:posOffset>40005</wp:posOffset>
                </wp:positionV>
                <wp:extent cx="6264275"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37679973" id="Shape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Td9mab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1440"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73" w:lineRule="auto"/>
        <w:jc w:val="both"/>
        <w:rPr>
          <w:rFonts w:eastAsia="Times New Roman"/>
          <w:color w:val="131413"/>
          <w:sz w:val="19"/>
          <w:szCs w:val="19"/>
        </w:rPr>
      </w:pPr>
      <w:r>
        <w:rPr>
          <w:rFonts w:eastAsia="Times New Roman"/>
          <w:color w:val="131413"/>
          <w:sz w:val="19"/>
          <w:szCs w:val="19"/>
        </w:rPr>
        <w:t xml:space="preserve">was highly expressed in breast cancer cell lines, a reduced expression of UBE2S was observed in human mammary ep-ithelial cells (MBE) (Fig. </w:t>
      </w:r>
      <w:hyperlink w:anchor="page3">
        <w:r>
          <w:rPr>
            <w:rFonts w:eastAsia="Times New Roman"/>
            <w:color w:val="3A2A97"/>
            <w:sz w:val="19"/>
            <w:szCs w:val="19"/>
          </w:rPr>
          <w:t>1a</w:t>
        </w:r>
      </w:hyperlink>
      <w:r>
        <w:rPr>
          <w:rFonts w:eastAsia="Times New Roman"/>
          <w:color w:val="131413"/>
          <w:sz w:val="19"/>
          <w:szCs w:val="19"/>
        </w:rPr>
        <w:t>). Immunost</w:t>
      </w:r>
      <w:r>
        <w:rPr>
          <w:rFonts w:eastAsia="Times New Roman"/>
          <w:color w:val="131413"/>
          <w:sz w:val="19"/>
          <w:szCs w:val="19"/>
        </w:rPr>
        <w:t xml:space="preserve">aining and cell frac-tionation analysis revealed that UBE2S was localized to both the nucleus and cytoplasm (Fig. </w:t>
      </w:r>
      <w:hyperlink w:anchor="page3">
        <w:r>
          <w:rPr>
            <w:rFonts w:eastAsia="Times New Roman"/>
            <w:color w:val="3A2A97"/>
            <w:sz w:val="19"/>
            <w:szCs w:val="19"/>
          </w:rPr>
          <w:t>1b, c</w:t>
        </w:r>
      </w:hyperlink>
      <w:r>
        <w:rPr>
          <w:rFonts w:eastAsia="Times New Roman"/>
          <w:color w:val="131413"/>
          <w:sz w:val="19"/>
          <w:szCs w:val="19"/>
        </w:rPr>
        <w:t>). We next examined the expression of UBE2S in breast cancer. Tissue microarrays of breast cancer were immuno</w:t>
      </w:r>
      <w:r>
        <w:rPr>
          <w:rFonts w:eastAsia="Times New Roman"/>
          <w:color w:val="131413"/>
          <w:sz w:val="19"/>
          <w:szCs w:val="19"/>
        </w:rPr>
        <w:t xml:space="preserve">stained with the anti-UBE2S anti-body, and signal intensities were scored as 0 (no staining), 1 (mild), 2 (moderate), and 3 (strong) (Fig. </w:t>
      </w:r>
      <w:hyperlink w:anchor="page3">
        <w:r>
          <w:rPr>
            <w:rFonts w:eastAsia="Times New Roman"/>
            <w:color w:val="3A2A97"/>
            <w:sz w:val="19"/>
            <w:szCs w:val="19"/>
          </w:rPr>
          <w:t>1d</w:t>
        </w:r>
      </w:hyperlink>
      <w:r>
        <w:rPr>
          <w:rFonts w:eastAsia="Times New Roman"/>
          <w:color w:val="131413"/>
          <w:sz w:val="19"/>
          <w:szCs w:val="19"/>
        </w:rPr>
        <w:t>). UBE2S expres-sion was increased in breast cancer tissues compared with normal tissue</w:t>
      </w:r>
      <w:r>
        <w:rPr>
          <w:rFonts w:eastAsia="Times New Roman"/>
          <w:color w:val="131413"/>
          <w:sz w:val="19"/>
          <w:szCs w:val="19"/>
        </w:rPr>
        <w:t xml:space="preserve">s (Fig. </w:t>
      </w:r>
      <w:hyperlink w:anchor="page3">
        <w:r>
          <w:rPr>
            <w:rFonts w:eastAsia="Times New Roman"/>
            <w:color w:val="3A2A97"/>
            <w:sz w:val="19"/>
            <w:szCs w:val="19"/>
          </w:rPr>
          <w:t>1e</w:t>
        </w:r>
      </w:hyperlink>
      <w:r>
        <w:rPr>
          <w:rFonts w:eastAsia="Times New Roman"/>
          <w:color w:val="131413"/>
          <w:sz w:val="19"/>
          <w:szCs w:val="19"/>
        </w:rPr>
        <w:t xml:space="preserve">). The association between UBE2S ex-pression and clinicopathological variables is shown in Table </w:t>
      </w:r>
      <w:hyperlink w:anchor="page4">
        <w:r>
          <w:rPr>
            <w:rFonts w:eastAsia="Times New Roman"/>
            <w:color w:val="3A2A97"/>
            <w:sz w:val="19"/>
            <w:szCs w:val="19"/>
          </w:rPr>
          <w:t>1</w:t>
        </w:r>
      </w:hyperlink>
      <w:r>
        <w:rPr>
          <w:rFonts w:eastAsia="Times New Roman"/>
          <w:color w:val="131413"/>
          <w:sz w:val="19"/>
          <w:szCs w:val="19"/>
        </w:rPr>
        <w:t>.</w:t>
      </w:r>
    </w:p>
    <w:p w:rsidR="00F90520" w:rsidRDefault="00B9396E">
      <w:pPr>
        <w:spacing w:line="20" w:lineRule="exact"/>
        <w:rPr>
          <w:rFonts w:eastAsia="Times New Roman"/>
          <w:color w:val="131413"/>
          <w:sz w:val="19"/>
          <w:szCs w:val="19"/>
        </w:rPr>
      </w:pPr>
      <w:r>
        <w:rPr>
          <w:rFonts w:eastAsia="Times New Roman"/>
          <w:color w:val="131413"/>
          <w:sz w:val="19"/>
          <w:szCs w:val="19"/>
        </w:rPr>
        <w:br w:type="column"/>
      </w:r>
    </w:p>
    <w:p w:rsidR="00F90520" w:rsidRDefault="00F90520">
      <w:pPr>
        <w:spacing w:line="298" w:lineRule="exact"/>
        <w:rPr>
          <w:rFonts w:eastAsia="Times New Roman"/>
          <w:color w:val="131413"/>
          <w:sz w:val="19"/>
          <w:szCs w:val="19"/>
        </w:rPr>
      </w:pPr>
    </w:p>
    <w:p w:rsidR="00F90520" w:rsidRDefault="00B9396E">
      <w:pPr>
        <w:spacing w:line="246" w:lineRule="auto"/>
        <w:ind w:right="840"/>
        <w:rPr>
          <w:sz w:val="20"/>
          <w:szCs w:val="20"/>
        </w:rPr>
      </w:pPr>
      <w:r>
        <w:rPr>
          <w:rFonts w:eastAsia="Times New Roman"/>
          <w:color w:val="131413"/>
          <w:sz w:val="20"/>
          <w:szCs w:val="20"/>
        </w:rPr>
        <w:t xml:space="preserve">UBE2S depletion disrupts organization of actin cytoskeleton and focal </w:t>
      </w:r>
      <w:r>
        <w:rPr>
          <w:rFonts w:eastAsia="Times New Roman"/>
          <w:color w:val="131413"/>
          <w:sz w:val="20"/>
          <w:szCs w:val="20"/>
        </w:rPr>
        <w:t>adhesions</w:t>
      </w:r>
    </w:p>
    <w:p w:rsidR="00F90520" w:rsidRDefault="00F90520">
      <w:pPr>
        <w:spacing w:line="277" w:lineRule="exact"/>
        <w:rPr>
          <w:rFonts w:eastAsia="Times New Roman"/>
          <w:color w:val="131413"/>
          <w:sz w:val="19"/>
          <w:szCs w:val="19"/>
        </w:rPr>
      </w:pPr>
    </w:p>
    <w:p w:rsidR="00F90520" w:rsidRDefault="00B9396E">
      <w:pPr>
        <w:spacing w:line="273" w:lineRule="auto"/>
        <w:jc w:val="both"/>
        <w:rPr>
          <w:rFonts w:eastAsia="Times New Roman"/>
          <w:color w:val="131413"/>
          <w:sz w:val="19"/>
          <w:szCs w:val="19"/>
        </w:rPr>
      </w:pPr>
      <w:r>
        <w:rPr>
          <w:rFonts w:eastAsia="Times New Roman"/>
          <w:color w:val="131413"/>
          <w:sz w:val="19"/>
          <w:szCs w:val="19"/>
        </w:rPr>
        <w:t xml:space="preserve">We next examined the effect of UBE2S depletion on breast cancer cells using siRNAs. Two luminal cell lines, T47D and MCF7, and two basal cell lines, BT20 and MDA-MB-231 cell lines, were transfected with two siRNAs targeting different regions of </w:t>
      </w:r>
      <w:r>
        <w:rPr>
          <w:rFonts w:eastAsia="Times New Roman"/>
          <w:color w:val="131413"/>
          <w:sz w:val="19"/>
          <w:szCs w:val="19"/>
        </w:rPr>
        <w:t xml:space="preserve">the gene. We noticed that the morphology of these cells was significantly changed by UBE2S depletion. The cells became significantly round in the absence of UBE2S (Fig. </w:t>
      </w:r>
      <w:hyperlink w:anchor="page5">
        <w:r>
          <w:rPr>
            <w:rFonts w:eastAsia="Times New Roman"/>
            <w:color w:val="3A2A97"/>
            <w:sz w:val="19"/>
            <w:szCs w:val="19"/>
          </w:rPr>
          <w:t>2a</w:t>
        </w:r>
      </w:hyperlink>
      <w:r>
        <w:rPr>
          <w:rFonts w:eastAsia="Times New Roman"/>
          <w:color w:val="131413"/>
          <w:sz w:val="19"/>
          <w:szCs w:val="19"/>
        </w:rPr>
        <w:t>). We speculated that the morphological changes were indu</w:t>
      </w:r>
      <w:r>
        <w:rPr>
          <w:rFonts w:eastAsia="Times New Roman"/>
          <w:color w:val="131413"/>
          <w:sz w:val="19"/>
          <w:szCs w:val="19"/>
        </w:rPr>
        <w:t>ced by the disruption of actin cytoskeletal organization.</w:t>
      </w:r>
    </w:p>
    <w:p w:rsidR="00F90520" w:rsidRDefault="00B9396E">
      <w:pPr>
        <w:spacing w:line="20" w:lineRule="exact"/>
        <w:rPr>
          <w:rFonts w:eastAsia="Times New Roman"/>
          <w:color w:val="131413"/>
          <w:sz w:val="19"/>
          <w:szCs w:val="19"/>
        </w:rPr>
      </w:pPr>
      <w:r>
        <w:rPr>
          <w:rFonts w:eastAsia="Times New Roman"/>
          <w:noProof/>
          <w:color w:val="131413"/>
          <w:sz w:val="19"/>
          <w:szCs w:val="19"/>
        </w:rPr>
        <w:drawing>
          <wp:anchor distT="0" distB="0" distL="114300" distR="114300" simplePos="0" relativeHeight="251658240" behindDoc="1" locked="0" layoutInCell="0" allowOverlap="1">
            <wp:simplePos x="0" y="0"/>
            <wp:positionH relativeFrom="column">
              <wp:posOffset>-1624965</wp:posOffset>
            </wp:positionH>
            <wp:positionV relativeFrom="paragraph">
              <wp:posOffset>366395</wp:posOffset>
            </wp:positionV>
            <wp:extent cx="4653280" cy="60305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4653280" cy="6030595"/>
                    </a:xfrm>
                    <a:prstGeom prst="rect">
                      <a:avLst/>
                    </a:prstGeom>
                    <a:noFill/>
                  </pic:spPr>
                </pic:pic>
              </a:graphicData>
            </a:graphic>
          </wp:anchor>
        </w:drawing>
      </w:r>
    </w:p>
    <w:p w:rsidR="00F90520" w:rsidRDefault="00F90520">
      <w:pPr>
        <w:spacing w:line="200" w:lineRule="exact"/>
        <w:rPr>
          <w:rFonts w:eastAsia="Times New Roman"/>
          <w:color w:val="131413"/>
          <w:sz w:val="19"/>
          <w:szCs w:val="19"/>
        </w:rPr>
      </w:pPr>
    </w:p>
    <w:p w:rsidR="00F90520" w:rsidRDefault="00F90520">
      <w:pPr>
        <w:sectPr w:rsidR="00F90520">
          <w:type w:val="continuous"/>
          <w:pgSz w:w="11900" w:h="15817"/>
          <w:pgMar w:top="649" w:right="1026" w:bottom="1440" w:left="1020" w:header="0" w:footer="0" w:gutter="0"/>
          <w:cols w:num="2" w:space="720" w:equalWidth="0">
            <w:col w:w="4800" w:space="300"/>
            <w:col w:w="4760"/>
          </w:cols>
        </w:sectPr>
      </w:pPr>
    </w:p>
    <w:p w:rsidR="00F90520" w:rsidRDefault="00F90520">
      <w:pPr>
        <w:spacing w:line="389" w:lineRule="exact"/>
        <w:rPr>
          <w:rFonts w:eastAsia="Times New Roman"/>
          <w:color w:val="131413"/>
          <w:sz w:val="19"/>
          <w:szCs w:val="19"/>
        </w:rPr>
      </w:pPr>
    </w:p>
    <w:p w:rsidR="00F90520" w:rsidRDefault="00B9396E">
      <w:pPr>
        <w:spacing w:line="259" w:lineRule="auto"/>
        <w:ind w:right="7640"/>
        <w:rPr>
          <w:sz w:val="20"/>
          <w:szCs w:val="20"/>
        </w:rPr>
      </w:pPr>
      <w:r>
        <w:rPr>
          <w:rFonts w:eastAsia="Times New Roman"/>
          <w:color w:val="131413"/>
          <w:sz w:val="16"/>
          <w:szCs w:val="16"/>
        </w:rPr>
        <w:t xml:space="preserve">Fig. 2 Depletion of UBE2S induces disruption of actin stress fibers and focal adhesion formation. a Representative images of cells transfected with siRNAs. b </w:t>
      </w:r>
      <w:r>
        <w:rPr>
          <w:rFonts w:eastAsia="Times New Roman"/>
          <w:color w:val="131413"/>
          <w:sz w:val="16"/>
          <w:szCs w:val="16"/>
        </w:rPr>
        <w:t>BT20 and MDA-MB-231 cells cultured on fibronectin-coated glass coverslips were transfected with siRNAs, and 72 h later, cells were fixed and</w:t>
      </w:r>
    </w:p>
    <w:p w:rsidR="00F90520" w:rsidRDefault="00F90520">
      <w:pPr>
        <w:spacing w:line="7" w:lineRule="exact"/>
        <w:rPr>
          <w:rFonts w:eastAsia="Times New Roman"/>
          <w:color w:val="131413"/>
          <w:sz w:val="19"/>
          <w:szCs w:val="19"/>
        </w:rPr>
      </w:pPr>
    </w:p>
    <w:p w:rsidR="00F90520" w:rsidRDefault="00B9396E">
      <w:pPr>
        <w:spacing w:line="259" w:lineRule="auto"/>
        <w:ind w:right="7740"/>
        <w:rPr>
          <w:sz w:val="20"/>
          <w:szCs w:val="20"/>
        </w:rPr>
      </w:pPr>
      <w:r>
        <w:rPr>
          <w:rFonts w:eastAsia="Times New Roman"/>
          <w:color w:val="131413"/>
          <w:sz w:val="16"/>
          <w:szCs w:val="16"/>
        </w:rPr>
        <w:t xml:space="preserve">immunostained for vinculin and F-actin (scale bar=20 </w:t>
      </w:r>
      <w:r>
        <w:rPr>
          <w:rFonts w:ascii="Arial" w:eastAsia="Arial" w:hAnsi="Arial" w:cs="Arial"/>
          <w:color w:val="131413"/>
          <w:sz w:val="16"/>
          <w:szCs w:val="16"/>
        </w:rPr>
        <w:t>μ</w:t>
      </w:r>
      <w:r>
        <w:rPr>
          <w:rFonts w:eastAsia="Times New Roman"/>
          <w:color w:val="131413"/>
          <w:sz w:val="16"/>
          <w:szCs w:val="16"/>
        </w:rPr>
        <w:t>m). c</w:t>
      </w:r>
    </w:p>
    <w:p w:rsidR="00F90520" w:rsidRDefault="00B9396E">
      <w:pPr>
        <w:ind w:right="7660"/>
        <w:rPr>
          <w:sz w:val="20"/>
          <w:szCs w:val="20"/>
        </w:rPr>
      </w:pPr>
      <w:r>
        <w:rPr>
          <w:rFonts w:eastAsia="Times New Roman"/>
          <w:color w:val="131413"/>
          <w:sz w:val="17"/>
          <w:szCs w:val="17"/>
        </w:rPr>
        <w:t>Expression of phosphorylated FAK and phosphorylated SR</w:t>
      </w:r>
      <w:r>
        <w:rPr>
          <w:rFonts w:eastAsia="Times New Roman"/>
          <w:color w:val="131413"/>
          <w:sz w:val="17"/>
          <w:szCs w:val="17"/>
        </w:rPr>
        <w:t>C in siRNA-transfected cells was examined by immunoblot analysis</w:t>
      </w:r>
    </w:p>
    <w:p w:rsidR="00F90520" w:rsidRDefault="00F90520">
      <w:pPr>
        <w:spacing w:line="20" w:lineRule="exact"/>
        <w:rPr>
          <w:rFonts w:eastAsia="Times New Roman"/>
          <w:color w:val="131413"/>
          <w:sz w:val="19"/>
          <w:szCs w:val="19"/>
        </w:rPr>
      </w:pPr>
    </w:p>
    <w:p w:rsidR="00F90520" w:rsidRDefault="00F90520">
      <w:pPr>
        <w:sectPr w:rsidR="00F90520">
          <w:type w:val="continuous"/>
          <w:pgSz w:w="11900" w:h="15817"/>
          <w:pgMar w:top="649" w:right="1026" w:bottom="1440" w:left="1020" w:header="0" w:footer="0" w:gutter="0"/>
          <w:cols w:space="720" w:equalWidth="0">
            <w:col w:w="9860"/>
          </w:cols>
        </w:sectPr>
      </w:pPr>
    </w:p>
    <w:p w:rsidR="00F90520" w:rsidRDefault="00B9396E">
      <w:pPr>
        <w:spacing w:line="20" w:lineRule="exact"/>
        <w:rPr>
          <w:sz w:val="20"/>
          <w:szCs w:val="20"/>
        </w:rPr>
      </w:pPr>
      <w:bookmarkStart w:id="4" w:name="page6"/>
      <w:bookmarkEnd w:id="4"/>
      <w:r>
        <w:rPr>
          <w:noProof/>
          <w:sz w:val="20"/>
          <w:szCs w:val="20"/>
        </w:rPr>
        <w:lastRenderedPageBreak/>
        <mc:AlternateContent>
          <mc:Choice Requires="wps">
            <w:drawing>
              <wp:anchor distT="0" distB="0" distL="114300" distR="114300" simplePos="0" relativeHeight="251660288" behindDoc="1" locked="0" layoutInCell="0" allowOverlap="1">
                <wp:simplePos x="0" y="0"/>
                <wp:positionH relativeFrom="column">
                  <wp:posOffset>0</wp:posOffset>
                </wp:positionH>
                <wp:positionV relativeFrom="paragraph">
                  <wp:posOffset>40005</wp:posOffset>
                </wp:positionV>
                <wp:extent cx="62642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1AD896EE" id="Shape 1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oXY4KL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1440"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58" w:lineRule="auto"/>
        <w:jc w:val="both"/>
        <w:rPr>
          <w:rFonts w:eastAsia="Times New Roman"/>
          <w:color w:val="131413"/>
          <w:sz w:val="20"/>
          <w:szCs w:val="20"/>
        </w:rPr>
      </w:pPr>
      <w:r>
        <w:rPr>
          <w:rFonts w:eastAsia="Times New Roman"/>
          <w:color w:val="131413"/>
          <w:sz w:val="20"/>
          <w:szCs w:val="20"/>
        </w:rPr>
        <w:t xml:space="preserve">Immunostaining for actin cytoskeleton and vinculin, a component of focal adhesions, demonstrated a disrupted organization of the actin cytoskeleton and focal adhesions by UBE2S knockdown (Fig. </w:t>
      </w:r>
      <w:hyperlink w:anchor="page5">
        <w:r>
          <w:rPr>
            <w:rFonts w:eastAsia="Times New Roman"/>
            <w:color w:val="3A2A97"/>
            <w:sz w:val="20"/>
            <w:szCs w:val="20"/>
          </w:rPr>
          <w:t>2b</w:t>
        </w:r>
      </w:hyperlink>
      <w:r>
        <w:rPr>
          <w:rFonts w:eastAsia="Times New Roman"/>
          <w:color w:val="131413"/>
          <w:sz w:val="20"/>
          <w:szCs w:val="20"/>
        </w:rPr>
        <w:t>). FAK and SRC non-receptor tyros</w:t>
      </w:r>
      <w:r>
        <w:rPr>
          <w:rFonts w:eastAsia="Times New Roman"/>
          <w:color w:val="131413"/>
          <w:sz w:val="20"/>
          <w:szCs w:val="20"/>
        </w:rPr>
        <w:t>ine kinase are critical for the organization of focal adhesions and the actin cytoskeleton [</w:t>
      </w:r>
      <w:hyperlink w:anchor="page10">
        <w:r>
          <w:rPr>
            <w:rFonts w:eastAsia="Times New Roman"/>
            <w:color w:val="3A2A97"/>
            <w:sz w:val="20"/>
            <w:szCs w:val="20"/>
          </w:rPr>
          <w:t>35</w:t>
        </w:r>
      </w:hyperlink>
      <w:r>
        <w:rPr>
          <w:rFonts w:eastAsia="Times New Roman"/>
          <w:color w:val="131413"/>
          <w:sz w:val="20"/>
          <w:szCs w:val="20"/>
        </w:rPr>
        <w:t xml:space="preserve">, </w:t>
      </w:r>
      <w:hyperlink w:anchor="page10">
        <w:r>
          <w:rPr>
            <w:rFonts w:eastAsia="Times New Roman"/>
            <w:color w:val="3A2A97"/>
            <w:sz w:val="20"/>
            <w:szCs w:val="20"/>
          </w:rPr>
          <w:t>36</w:t>
        </w:r>
      </w:hyperlink>
      <w:r>
        <w:rPr>
          <w:rFonts w:eastAsia="Times New Roman"/>
          <w:color w:val="131413"/>
          <w:sz w:val="20"/>
          <w:szCs w:val="20"/>
        </w:rPr>
        <w:t>]. We thus checked the expression and activity of FAK and SRC in the absence of UBE2S. To detect the</w:t>
      </w:r>
      <w:r>
        <w:rPr>
          <w:rFonts w:eastAsia="Times New Roman"/>
          <w:color w:val="131413"/>
          <w:sz w:val="20"/>
          <w:szCs w:val="20"/>
        </w:rPr>
        <w:t xml:space="preserve"> activity of FAK and SRC, we used antibodies that specifically detect</w:t>
      </w:r>
    </w:p>
    <w:p w:rsidR="00F90520" w:rsidRDefault="00F90520">
      <w:pPr>
        <w:spacing w:line="200" w:lineRule="exact"/>
        <w:rPr>
          <w:rFonts w:eastAsia="Times New Roman"/>
          <w:color w:val="131413"/>
          <w:sz w:val="20"/>
          <w:szCs w:val="20"/>
        </w:rPr>
      </w:pPr>
    </w:p>
    <w:p w:rsidR="00F90520" w:rsidRDefault="00F90520">
      <w:pPr>
        <w:spacing w:line="311" w:lineRule="exact"/>
        <w:rPr>
          <w:rFonts w:eastAsia="Times New Roman"/>
          <w:color w:val="131413"/>
          <w:sz w:val="20"/>
          <w:szCs w:val="20"/>
        </w:rPr>
      </w:pPr>
    </w:p>
    <w:p w:rsidR="00F90520" w:rsidRDefault="00B9396E">
      <w:pPr>
        <w:spacing w:line="259" w:lineRule="auto"/>
        <w:ind w:right="2540"/>
        <w:rPr>
          <w:sz w:val="20"/>
          <w:szCs w:val="20"/>
        </w:rPr>
      </w:pPr>
      <w:r>
        <w:rPr>
          <w:rFonts w:eastAsia="Times New Roman"/>
          <w:color w:val="131413"/>
          <w:sz w:val="16"/>
          <w:szCs w:val="16"/>
        </w:rPr>
        <w:t>Fig. 3 Cell attachment and spreading were suppressed by UBE2S depletion. a siRNA-transfected cells were seeded onto the fibronectin-coated surface, and the number of attached cells was</w:t>
      </w:r>
      <w:r>
        <w:rPr>
          <w:rFonts w:eastAsia="Times New Roman"/>
          <w:color w:val="131413"/>
          <w:sz w:val="16"/>
          <w:szCs w:val="16"/>
        </w:rPr>
        <w:t xml:space="preserve"> counted at the indicated time points. b siRNA-transfected cells were seeded onto the fibronectin-coated surface and fixed 60 min later. Representative pictures are shown and the graph shows the percentage of spread cells</w:t>
      </w:r>
    </w:p>
    <w:p w:rsidR="00F90520" w:rsidRDefault="00B9396E">
      <w:pPr>
        <w:spacing w:line="236" w:lineRule="auto"/>
        <w:rPr>
          <w:sz w:val="20"/>
          <w:szCs w:val="20"/>
        </w:rPr>
      </w:pPr>
      <w:r>
        <w:rPr>
          <w:rFonts w:eastAsia="Times New Roman"/>
          <w:color w:val="131413"/>
          <w:sz w:val="17"/>
          <w:szCs w:val="17"/>
        </w:rPr>
        <w:t>(*P&lt;0.05, **P&lt;0.01)</w:t>
      </w:r>
    </w:p>
    <w:p w:rsidR="00F90520" w:rsidRDefault="00F90520">
      <w:pPr>
        <w:spacing w:line="20" w:lineRule="exact"/>
        <w:rPr>
          <w:rFonts w:eastAsia="Times New Roman"/>
          <w:color w:val="131413"/>
          <w:sz w:val="20"/>
          <w:szCs w:val="20"/>
        </w:rPr>
      </w:pPr>
    </w:p>
    <w:p w:rsidR="00F90520" w:rsidRDefault="00B9396E">
      <w:pPr>
        <w:spacing w:line="20" w:lineRule="exact"/>
        <w:rPr>
          <w:rFonts w:eastAsia="Times New Roman"/>
          <w:color w:val="131413"/>
          <w:sz w:val="20"/>
          <w:szCs w:val="20"/>
        </w:rPr>
      </w:pPr>
      <w:r>
        <w:rPr>
          <w:rFonts w:eastAsia="Times New Roman"/>
          <w:color w:val="131413"/>
          <w:sz w:val="20"/>
          <w:szCs w:val="20"/>
        </w:rPr>
        <w:br w:type="column"/>
      </w:r>
    </w:p>
    <w:p w:rsidR="00F90520" w:rsidRDefault="00F90520">
      <w:pPr>
        <w:spacing w:line="299" w:lineRule="exact"/>
        <w:rPr>
          <w:rFonts w:eastAsia="Times New Roman"/>
          <w:color w:val="131413"/>
          <w:sz w:val="20"/>
          <w:szCs w:val="20"/>
        </w:rPr>
      </w:pPr>
    </w:p>
    <w:p w:rsidR="00F90520" w:rsidRDefault="00B9396E">
      <w:pPr>
        <w:spacing w:line="258" w:lineRule="auto"/>
        <w:jc w:val="both"/>
        <w:rPr>
          <w:rFonts w:eastAsia="Times New Roman"/>
          <w:color w:val="131413"/>
          <w:sz w:val="20"/>
          <w:szCs w:val="20"/>
        </w:rPr>
      </w:pPr>
      <w:r>
        <w:rPr>
          <w:rFonts w:eastAsia="Times New Roman"/>
          <w:color w:val="131413"/>
          <w:sz w:val="20"/>
          <w:szCs w:val="20"/>
        </w:rPr>
        <w:t>phosphory</w:t>
      </w:r>
      <w:r>
        <w:rPr>
          <w:rFonts w:eastAsia="Times New Roman"/>
          <w:color w:val="131413"/>
          <w:sz w:val="20"/>
          <w:szCs w:val="20"/>
        </w:rPr>
        <w:t xml:space="preserve">lation of FAK at Tyr397 and phosphorylation of SRC at Tyr416, respectively. UBE2S knockdown did not affect expression level of FAK but significantly re-duced the phosphorylation of FAK on Tyr397 (Fig. </w:t>
      </w:r>
      <w:hyperlink w:anchor="page5">
        <w:r>
          <w:rPr>
            <w:rFonts w:eastAsia="Times New Roman"/>
            <w:color w:val="3A2A97"/>
            <w:sz w:val="20"/>
            <w:szCs w:val="20"/>
          </w:rPr>
          <w:t>2c</w:t>
        </w:r>
      </w:hyperlink>
      <w:r>
        <w:rPr>
          <w:rFonts w:eastAsia="Times New Roman"/>
          <w:color w:val="131413"/>
          <w:sz w:val="20"/>
          <w:szCs w:val="20"/>
        </w:rPr>
        <w:t xml:space="preserve">). Expression as well as </w:t>
      </w:r>
      <w:r>
        <w:rPr>
          <w:rFonts w:eastAsia="Times New Roman"/>
          <w:color w:val="131413"/>
          <w:sz w:val="20"/>
          <w:szCs w:val="20"/>
        </w:rPr>
        <w:t xml:space="preserve">phosphorylation of SRC was not reduced by UBE2S knockdown (Fig. </w:t>
      </w:r>
      <w:hyperlink w:anchor="page5">
        <w:r>
          <w:rPr>
            <w:rFonts w:eastAsia="Times New Roman"/>
            <w:color w:val="3A2A97"/>
            <w:sz w:val="20"/>
            <w:szCs w:val="20"/>
          </w:rPr>
          <w:t>2c</w:t>
        </w:r>
      </w:hyperlink>
      <w:r>
        <w:rPr>
          <w:rFonts w:eastAsia="Times New Roman"/>
          <w:color w:val="131413"/>
          <w:sz w:val="20"/>
          <w:szCs w:val="20"/>
        </w:rPr>
        <w:t>). We used other luminal and basal cell lines (MDA-MB-453 and Hs578t), but we did not observe changes in cellular morphology and FAK phosphorylation.</w:t>
      </w:r>
    </w:p>
    <w:p w:rsidR="00F90520" w:rsidRDefault="00B9396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-1624965</wp:posOffset>
            </wp:positionH>
            <wp:positionV relativeFrom="paragraph">
              <wp:posOffset>316865</wp:posOffset>
            </wp:positionV>
            <wp:extent cx="4650740" cy="6554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650740" cy="6554470"/>
                    </a:xfrm>
                    <a:prstGeom prst="rect">
                      <a:avLst/>
                    </a:prstGeom>
                    <a:noFill/>
                  </pic:spPr>
                </pic:pic>
              </a:graphicData>
            </a:graphic>
          </wp:anchor>
        </w:drawing>
      </w:r>
    </w:p>
    <w:p w:rsidR="00F90520" w:rsidRDefault="00F90520">
      <w:pPr>
        <w:sectPr w:rsidR="00F90520">
          <w:type w:val="continuous"/>
          <w:pgSz w:w="11900" w:h="15817"/>
          <w:pgMar w:top="649" w:right="1026" w:bottom="1440" w:left="1020" w:header="0" w:footer="0" w:gutter="0"/>
          <w:cols w:num="2" w:space="720" w:equalWidth="0">
            <w:col w:w="4760" w:space="340"/>
            <w:col w:w="4760"/>
          </w:cols>
        </w:sectPr>
      </w:pPr>
    </w:p>
    <w:p w:rsidR="00F90520" w:rsidRDefault="00B9396E">
      <w:pPr>
        <w:spacing w:line="20" w:lineRule="exact"/>
        <w:rPr>
          <w:sz w:val="20"/>
          <w:szCs w:val="20"/>
        </w:rPr>
      </w:pPr>
      <w:bookmarkStart w:id="5" w:name="page7"/>
      <w:bookmarkEnd w:id="5"/>
      <w:r>
        <w:rPr>
          <w:noProof/>
          <w:sz w:val="20"/>
          <w:szCs w:val="20"/>
        </w:rPr>
        <w:lastRenderedPageBreak/>
        <mc:AlternateContent>
          <mc:Choice Requires="wps">
            <w:drawing>
              <wp:anchor distT="0" distB="0" distL="114300" distR="114300" simplePos="0" relativeHeight="251663360" behindDoc="1" locked="0" layoutInCell="0" allowOverlap="1">
                <wp:simplePos x="0" y="0"/>
                <wp:positionH relativeFrom="column">
                  <wp:posOffset>0</wp:posOffset>
                </wp:positionH>
                <wp:positionV relativeFrom="paragraph">
                  <wp:posOffset>40005</wp:posOffset>
                </wp:positionV>
                <wp:extent cx="626427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580D85DE" id="Shape 2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J01NPL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1440" w:left="1020" w:header="0" w:footer="0" w:gutter="0"/>
          <w:cols w:space="720" w:equalWidth="0">
            <w:col w:w="9860"/>
          </w:cols>
        </w:sectPr>
      </w:pPr>
    </w:p>
    <w:p w:rsidR="00F90520" w:rsidRDefault="00F90520">
      <w:pPr>
        <w:spacing w:line="318" w:lineRule="exact"/>
        <w:rPr>
          <w:sz w:val="20"/>
          <w:szCs w:val="20"/>
        </w:rPr>
      </w:pPr>
    </w:p>
    <w:p w:rsidR="00F90520" w:rsidRDefault="00B9396E">
      <w:pPr>
        <w:spacing w:line="246" w:lineRule="auto"/>
        <w:ind w:right="40"/>
        <w:rPr>
          <w:sz w:val="20"/>
          <w:szCs w:val="20"/>
        </w:rPr>
      </w:pPr>
      <w:r>
        <w:rPr>
          <w:rFonts w:eastAsia="Times New Roman"/>
          <w:color w:val="131413"/>
          <w:sz w:val="20"/>
          <w:szCs w:val="20"/>
        </w:rPr>
        <w:t>UBE2S knockdown suppresses cell spreading, migration, and invasion</w:t>
      </w:r>
    </w:p>
    <w:p w:rsidR="00F90520" w:rsidRDefault="00F90520">
      <w:pPr>
        <w:spacing w:line="277" w:lineRule="exact"/>
        <w:rPr>
          <w:sz w:val="20"/>
          <w:szCs w:val="20"/>
        </w:rPr>
      </w:pPr>
    </w:p>
    <w:p w:rsidR="00F90520" w:rsidRDefault="00B9396E">
      <w:pPr>
        <w:spacing w:line="258" w:lineRule="auto"/>
        <w:jc w:val="both"/>
        <w:rPr>
          <w:rFonts w:eastAsia="Times New Roman"/>
          <w:color w:val="131413"/>
          <w:sz w:val="20"/>
          <w:szCs w:val="20"/>
        </w:rPr>
      </w:pPr>
      <w:r>
        <w:rPr>
          <w:rFonts w:eastAsia="Times New Roman"/>
          <w:color w:val="131413"/>
          <w:sz w:val="20"/>
          <w:szCs w:val="20"/>
        </w:rPr>
        <w:t>Organization of the actin cytoskeleton and focal adhesions is essential for cell attachment to the extracellular matrix (ECM) and cell spreading. To evaluate cell attachment to the ECM, cells transfected with siRNAs were seeded onto the surface of coversli</w:t>
      </w:r>
      <w:r>
        <w:rPr>
          <w:rFonts w:eastAsia="Times New Roman"/>
          <w:color w:val="131413"/>
          <w:sz w:val="20"/>
          <w:szCs w:val="20"/>
        </w:rPr>
        <w:t xml:space="preserve">ps coated with fibronectin, and the numbers of at-tached cells were counted at different time points. We found that cell attachment to the fibronectin-coated surface was re-duced by UBE2S depletion (Fig. </w:t>
      </w:r>
      <w:hyperlink w:anchor="page6">
        <w:r>
          <w:rPr>
            <w:rFonts w:eastAsia="Times New Roman"/>
            <w:color w:val="3A2A97"/>
            <w:sz w:val="20"/>
            <w:szCs w:val="20"/>
          </w:rPr>
          <w:t>3a</w:t>
        </w:r>
      </w:hyperlink>
      <w:r>
        <w:rPr>
          <w:rFonts w:eastAsia="Times New Roman"/>
          <w:color w:val="131413"/>
          <w:sz w:val="20"/>
          <w:szCs w:val="20"/>
        </w:rPr>
        <w:t>). To examine cell spr</w:t>
      </w:r>
      <w:r>
        <w:rPr>
          <w:rFonts w:eastAsia="Times New Roman"/>
          <w:color w:val="131413"/>
          <w:sz w:val="20"/>
          <w:szCs w:val="20"/>
        </w:rPr>
        <w:t xml:space="preserve">ead-ing, siRNA-transfected cells were seeded onto the fibronectin-coated surface, and spread cells were counted 60 min later. As shown in Fig. </w:t>
      </w:r>
      <w:hyperlink w:anchor="page6">
        <w:r>
          <w:rPr>
            <w:rFonts w:eastAsia="Times New Roman"/>
            <w:color w:val="3A2A97"/>
            <w:sz w:val="20"/>
            <w:szCs w:val="20"/>
          </w:rPr>
          <w:t>3b</w:t>
        </w:r>
      </w:hyperlink>
      <w:r>
        <w:rPr>
          <w:rFonts w:eastAsia="Times New Roman"/>
          <w:color w:val="131413"/>
          <w:sz w:val="20"/>
          <w:szCs w:val="20"/>
        </w:rPr>
        <w:t>, cell spreading was suppressed by UBE2S knockdown.</w:t>
      </w:r>
    </w:p>
    <w:p w:rsidR="00F90520" w:rsidRDefault="00F90520">
      <w:pPr>
        <w:spacing w:line="22" w:lineRule="exact"/>
        <w:rPr>
          <w:sz w:val="20"/>
          <w:szCs w:val="20"/>
        </w:rPr>
      </w:pPr>
    </w:p>
    <w:p w:rsidR="00F90520" w:rsidRDefault="00B9396E">
      <w:pPr>
        <w:spacing w:line="290" w:lineRule="auto"/>
        <w:ind w:firstLine="227"/>
        <w:jc w:val="both"/>
        <w:rPr>
          <w:sz w:val="20"/>
          <w:szCs w:val="20"/>
        </w:rPr>
      </w:pPr>
      <w:r>
        <w:rPr>
          <w:rFonts w:eastAsia="Times New Roman"/>
          <w:color w:val="131413"/>
          <w:sz w:val="18"/>
          <w:szCs w:val="18"/>
        </w:rPr>
        <w:t>We next investigated the migra</w:t>
      </w:r>
      <w:r>
        <w:rPr>
          <w:rFonts w:eastAsia="Times New Roman"/>
          <w:color w:val="131413"/>
          <w:sz w:val="18"/>
          <w:szCs w:val="18"/>
        </w:rPr>
        <w:t>tion and invasion of the cells in the absence of UBE2S using transwell chambers. Three luminal cell lines (MCF7, T47D, and MDA-MB-453) and three basal cell lines (BT20, MDA-MB-231, and Hs578t) were transfected with siRNAs, and 72 h later, cells were placed</w:t>
      </w:r>
      <w:r>
        <w:rPr>
          <w:rFonts w:eastAsia="Times New Roman"/>
          <w:color w:val="131413"/>
          <w:sz w:val="18"/>
          <w:szCs w:val="18"/>
        </w:rPr>
        <w:t xml:space="preserve"> on the upper surface of the filter and allowed to migrate to the bottom surface, which was coated with fibronectin.</w:t>
      </w:r>
    </w:p>
    <w:p w:rsidR="00F90520" w:rsidRDefault="00FB0D01">
      <w:pPr>
        <w:spacing w:line="197" w:lineRule="exact"/>
        <w:rPr>
          <w:sz w:val="20"/>
          <w:szCs w:val="20"/>
        </w:rPr>
      </w:pPr>
      <w:r>
        <w:rPr>
          <w:rFonts w:eastAsia="Times New Roman"/>
          <w:noProof/>
          <w:color w:val="131413"/>
          <w:sz w:val="20"/>
          <w:szCs w:val="20"/>
        </w:rPr>
        <w:drawing>
          <wp:anchor distT="0" distB="0" distL="114300" distR="114300" simplePos="0" relativeHeight="251664384" behindDoc="1" locked="0" layoutInCell="0" allowOverlap="1">
            <wp:simplePos x="0" y="0"/>
            <wp:positionH relativeFrom="column">
              <wp:posOffset>2297430</wp:posOffset>
            </wp:positionH>
            <wp:positionV relativeFrom="paragraph">
              <wp:posOffset>118745</wp:posOffset>
            </wp:positionV>
            <wp:extent cx="3967480" cy="49015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a:srcRect b="5061"/>
                    <a:stretch/>
                  </pic:blipFill>
                  <pic:spPr bwMode="auto">
                    <a:xfrm>
                      <a:off x="0" y="0"/>
                      <a:ext cx="3967480" cy="49015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90520" w:rsidRDefault="00B9396E">
      <w:pPr>
        <w:spacing w:line="260" w:lineRule="auto"/>
        <w:ind w:right="2540"/>
        <w:rPr>
          <w:sz w:val="20"/>
          <w:szCs w:val="20"/>
        </w:rPr>
      </w:pPr>
      <w:r>
        <w:rPr>
          <w:rFonts w:eastAsia="Times New Roman"/>
          <w:color w:val="131413"/>
          <w:sz w:val="16"/>
          <w:szCs w:val="16"/>
        </w:rPr>
        <w:t>Fig. 4 Cell migration and invasion were suppressed by UBE2S knockdown. a Cells were subjected to a migration assay. The graph indicates th</w:t>
      </w:r>
      <w:r>
        <w:rPr>
          <w:rFonts w:eastAsia="Times New Roman"/>
          <w:color w:val="131413"/>
          <w:sz w:val="16"/>
          <w:szCs w:val="16"/>
        </w:rPr>
        <w:t>e average number of migrated cells per field (*P&lt;0.05, **P&lt;0.01). b Cells were subjected to an invasion assay. The graph indicates the average number of invaded cells per field (*P&lt;0.05, **P&lt;0.01)</w:t>
      </w:r>
    </w:p>
    <w:p w:rsidR="00F90520" w:rsidRDefault="00B9396E">
      <w:pPr>
        <w:spacing w:line="20" w:lineRule="exact"/>
        <w:rPr>
          <w:sz w:val="20"/>
          <w:szCs w:val="20"/>
        </w:rPr>
      </w:pPr>
      <w:r>
        <w:rPr>
          <w:sz w:val="20"/>
          <w:szCs w:val="20"/>
        </w:rPr>
        <w:br w:type="column"/>
      </w:r>
    </w:p>
    <w:p w:rsidR="00F90520" w:rsidRDefault="00F90520">
      <w:pPr>
        <w:spacing w:line="299" w:lineRule="exact"/>
        <w:rPr>
          <w:sz w:val="20"/>
          <w:szCs w:val="20"/>
        </w:rPr>
      </w:pPr>
    </w:p>
    <w:p w:rsidR="00F90520" w:rsidRDefault="00B9396E">
      <w:pPr>
        <w:spacing w:line="257" w:lineRule="auto"/>
        <w:jc w:val="both"/>
        <w:rPr>
          <w:rFonts w:eastAsia="Times New Roman"/>
          <w:color w:val="131413"/>
          <w:sz w:val="20"/>
          <w:szCs w:val="20"/>
        </w:rPr>
      </w:pPr>
      <w:r>
        <w:rPr>
          <w:rFonts w:eastAsia="Times New Roman"/>
          <w:color w:val="131413"/>
          <w:sz w:val="20"/>
          <w:szCs w:val="20"/>
        </w:rPr>
        <w:t>Twenty hours later, cells that migrated to the bottom su</w:t>
      </w:r>
      <w:r>
        <w:rPr>
          <w:rFonts w:eastAsia="Times New Roman"/>
          <w:color w:val="131413"/>
          <w:sz w:val="20"/>
          <w:szCs w:val="20"/>
        </w:rPr>
        <w:t xml:space="preserve">rface were quantified. Cell migration was significantly suppressed by UBE2S depletion (Fig. </w:t>
      </w:r>
      <w:hyperlink w:anchor="page7">
        <w:r>
          <w:rPr>
            <w:rFonts w:eastAsia="Times New Roman"/>
            <w:color w:val="3A2A97"/>
            <w:sz w:val="20"/>
            <w:szCs w:val="20"/>
          </w:rPr>
          <w:t>4a</w:t>
        </w:r>
      </w:hyperlink>
      <w:r>
        <w:rPr>
          <w:rFonts w:eastAsia="Times New Roman"/>
          <w:color w:val="131413"/>
          <w:sz w:val="20"/>
          <w:szCs w:val="20"/>
        </w:rPr>
        <w:t>). To examine cell invasion, we used Matrigel-coated transwell chambers. siRNA-transfected cells were seeded on the Matrigel-coated ch</w:t>
      </w:r>
      <w:r>
        <w:rPr>
          <w:rFonts w:eastAsia="Times New Roman"/>
          <w:color w:val="131413"/>
          <w:sz w:val="20"/>
          <w:szCs w:val="20"/>
        </w:rPr>
        <w:t xml:space="preserve">amber, and cells that invaded to the lower surface of the filter were counted. As shown in Fig. </w:t>
      </w:r>
      <w:hyperlink w:anchor="page7">
        <w:r>
          <w:rPr>
            <w:rFonts w:eastAsia="Times New Roman"/>
            <w:color w:val="3A2A97"/>
            <w:sz w:val="20"/>
            <w:szCs w:val="20"/>
          </w:rPr>
          <w:t>4b</w:t>
        </w:r>
      </w:hyperlink>
      <w:r>
        <w:rPr>
          <w:rFonts w:eastAsia="Times New Roman"/>
          <w:color w:val="131413"/>
          <w:sz w:val="20"/>
          <w:szCs w:val="20"/>
        </w:rPr>
        <w:t xml:space="preserve">, UBE2S depletion suppressed invasion of these cell lines (Fig. </w:t>
      </w:r>
      <w:hyperlink w:anchor="page7">
        <w:r>
          <w:rPr>
            <w:rFonts w:eastAsia="Times New Roman"/>
            <w:color w:val="3A2A97"/>
            <w:sz w:val="20"/>
            <w:szCs w:val="20"/>
          </w:rPr>
          <w:t>4b</w:t>
        </w:r>
      </w:hyperlink>
      <w:r>
        <w:rPr>
          <w:rFonts w:eastAsia="Times New Roman"/>
          <w:color w:val="131413"/>
          <w:sz w:val="20"/>
          <w:szCs w:val="20"/>
        </w:rPr>
        <w:t>).</w:t>
      </w:r>
    </w:p>
    <w:p w:rsidR="00F90520" w:rsidRDefault="00F90520">
      <w:pPr>
        <w:spacing w:line="258" w:lineRule="exact"/>
        <w:rPr>
          <w:rFonts w:eastAsia="Times New Roman"/>
          <w:color w:val="131413"/>
          <w:sz w:val="20"/>
          <w:szCs w:val="20"/>
        </w:rPr>
      </w:pPr>
    </w:p>
    <w:p w:rsidR="00F90520" w:rsidRDefault="00B9396E">
      <w:pPr>
        <w:rPr>
          <w:sz w:val="20"/>
          <w:szCs w:val="20"/>
        </w:rPr>
      </w:pPr>
      <w:r>
        <w:rPr>
          <w:rFonts w:eastAsia="Times New Roman"/>
          <w:color w:val="131413"/>
          <w:sz w:val="20"/>
          <w:szCs w:val="20"/>
        </w:rPr>
        <w:t>UBE2S knockdown promotes anoikis</w:t>
      </w:r>
    </w:p>
    <w:p w:rsidR="00F90520" w:rsidRDefault="00F90520">
      <w:pPr>
        <w:spacing w:line="281" w:lineRule="exact"/>
        <w:rPr>
          <w:rFonts w:eastAsia="Times New Roman"/>
          <w:color w:val="131413"/>
          <w:sz w:val="20"/>
          <w:szCs w:val="20"/>
        </w:rPr>
      </w:pPr>
    </w:p>
    <w:p w:rsidR="00F90520" w:rsidRDefault="00B9396E">
      <w:pPr>
        <w:spacing w:line="273" w:lineRule="auto"/>
        <w:jc w:val="both"/>
        <w:rPr>
          <w:rFonts w:eastAsia="Times New Roman"/>
          <w:color w:val="131413"/>
          <w:sz w:val="19"/>
          <w:szCs w:val="19"/>
        </w:rPr>
      </w:pPr>
      <w:r>
        <w:rPr>
          <w:rFonts w:eastAsia="Times New Roman"/>
          <w:color w:val="131413"/>
          <w:sz w:val="19"/>
          <w:szCs w:val="19"/>
        </w:rPr>
        <w:t>Anchorage-independent growth is one of the major character-istics of tumor cells. To determine whether UBE2S depletion affects the anchorage-independent growth of breast cancer cells, siRNA-transfected cells were cultured on agar; 2 weeks later, colony for</w:t>
      </w:r>
      <w:r>
        <w:rPr>
          <w:rFonts w:eastAsia="Times New Roman"/>
          <w:color w:val="131413"/>
          <w:sz w:val="19"/>
          <w:szCs w:val="19"/>
        </w:rPr>
        <w:t xml:space="preserve">mation was evaluated. MDA-MB-453 cells did not form colonies; thus, we used the other five breast cancer cell lines. The proliferation of cells on the agar was significantly reduced by UBE2S knockdown (Fig. </w:t>
      </w:r>
      <w:hyperlink w:anchor="page8">
        <w:r>
          <w:rPr>
            <w:rFonts w:eastAsia="Times New Roman"/>
            <w:color w:val="3A2A97"/>
            <w:sz w:val="19"/>
            <w:szCs w:val="19"/>
          </w:rPr>
          <w:t>5a</w:t>
        </w:r>
      </w:hyperlink>
      <w:r>
        <w:rPr>
          <w:rFonts w:eastAsia="Times New Roman"/>
          <w:color w:val="131413"/>
          <w:sz w:val="19"/>
          <w:szCs w:val="19"/>
        </w:rPr>
        <w:t>). Anoikis is a form of cell apoptosis that is induced by the detachment of cells from the ECM. We speculated that the suppression of colony formation by UBE2S knockdown was</w:t>
      </w:r>
    </w:p>
    <w:p w:rsidR="00F90520" w:rsidRDefault="00F90520">
      <w:pPr>
        <w:spacing w:line="20" w:lineRule="exact"/>
        <w:rPr>
          <w:rFonts w:eastAsia="Times New Roman"/>
          <w:color w:val="131413"/>
          <w:sz w:val="20"/>
          <w:szCs w:val="20"/>
        </w:rPr>
      </w:pPr>
    </w:p>
    <w:p w:rsidR="00F90520" w:rsidRDefault="00F90520">
      <w:pPr>
        <w:sectPr w:rsidR="00F90520">
          <w:type w:val="continuous"/>
          <w:pgSz w:w="11900" w:h="15817"/>
          <w:pgMar w:top="649" w:right="1026" w:bottom="1440" w:left="1020" w:header="0" w:footer="0" w:gutter="0"/>
          <w:cols w:num="2" w:space="720" w:equalWidth="0">
            <w:col w:w="4760" w:space="340"/>
            <w:col w:w="4760"/>
          </w:cols>
        </w:sectPr>
      </w:pPr>
    </w:p>
    <w:p w:rsidR="00F90520" w:rsidRDefault="00B9396E">
      <w:pPr>
        <w:spacing w:line="20" w:lineRule="exact"/>
        <w:rPr>
          <w:sz w:val="20"/>
          <w:szCs w:val="20"/>
        </w:rPr>
      </w:pPr>
      <w:bookmarkStart w:id="6" w:name="page8"/>
      <w:bookmarkEnd w:id="6"/>
      <w:r>
        <w:rPr>
          <w:noProof/>
          <w:sz w:val="20"/>
          <w:szCs w:val="20"/>
        </w:rPr>
        <w:lastRenderedPageBreak/>
        <mc:AlternateContent>
          <mc:Choice Requires="wps">
            <w:drawing>
              <wp:anchor distT="0" distB="0" distL="114300" distR="114300" simplePos="0" relativeHeight="251665408" behindDoc="1" locked="0" layoutInCell="0" allowOverlap="1">
                <wp:simplePos x="0" y="0"/>
                <wp:positionH relativeFrom="column">
                  <wp:posOffset>0</wp:posOffset>
                </wp:positionH>
                <wp:positionV relativeFrom="paragraph">
                  <wp:posOffset>40005</wp:posOffset>
                </wp:positionV>
                <wp:extent cx="626427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52D30D5B" id="Shape 2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b3wmQr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1440"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56" w:lineRule="auto"/>
        <w:jc w:val="both"/>
        <w:rPr>
          <w:rFonts w:eastAsia="Times New Roman"/>
          <w:color w:val="131413"/>
          <w:sz w:val="20"/>
          <w:szCs w:val="20"/>
        </w:rPr>
      </w:pPr>
      <w:r>
        <w:rPr>
          <w:rFonts w:eastAsia="Times New Roman"/>
          <w:color w:val="131413"/>
          <w:sz w:val="20"/>
          <w:szCs w:val="20"/>
        </w:rPr>
        <w:t xml:space="preserve">partly mediated by the promotion of anoikis. Cells transfected with siRNAs were cultured in suspension for 48 h, and apo-ptotic cells were then detected via TUNEL assay. As shown in Fig. </w:t>
      </w:r>
      <w:hyperlink w:anchor="page8">
        <w:r>
          <w:rPr>
            <w:rFonts w:eastAsia="Times New Roman"/>
            <w:color w:val="3A2A97"/>
            <w:sz w:val="20"/>
            <w:szCs w:val="20"/>
          </w:rPr>
          <w:t>5b</w:t>
        </w:r>
      </w:hyperlink>
      <w:r>
        <w:rPr>
          <w:rFonts w:eastAsia="Times New Roman"/>
          <w:color w:val="131413"/>
          <w:sz w:val="20"/>
          <w:szCs w:val="20"/>
        </w:rPr>
        <w:t>, UBE2S knockdown</w:t>
      </w:r>
      <w:r>
        <w:rPr>
          <w:rFonts w:eastAsia="Times New Roman"/>
          <w:color w:val="131413"/>
          <w:sz w:val="20"/>
          <w:szCs w:val="20"/>
        </w:rPr>
        <w:t xml:space="preserve"> promoted anoikis of breast can-cer cells.</w:t>
      </w:r>
    </w:p>
    <w:p w:rsidR="00F90520" w:rsidRDefault="00F90520">
      <w:pPr>
        <w:spacing w:line="200" w:lineRule="exact"/>
        <w:rPr>
          <w:sz w:val="20"/>
          <w:szCs w:val="20"/>
        </w:rPr>
      </w:pPr>
    </w:p>
    <w:p w:rsidR="00F90520" w:rsidRDefault="00F90520">
      <w:pPr>
        <w:spacing w:line="283" w:lineRule="exact"/>
        <w:rPr>
          <w:sz w:val="20"/>
          <w:szCs w:val="20"/>
        </w:rPr>
      </w:pPr>
    </w:p>
    <w:p w:rsidR="00F90520" w:rsidRDefault="00B9396E">
      <w:pPr>
        <w:rPr>
          <w:sz w:val="20"/>
          <w:szCs w:val="20"/>
        </w:rPr>
      </w:pPr>
      <w:r>
        <w:rPr>
          <w:rFonts w:eastAsia="Times New Roman"/>
          <w:color w:val="131413"/>
        </w:rPr>
        <w:t>Discussion</w:t>
      </w:r>
    </w:p>
    <w:p w:rsidR="00F90520" w:rsidRDefault="00F90520">
      <w:pPr>
        <w:spacing w:line="279" w:lineRule="exact"/>
        <w:rPr>
          <w:sz w:val="20"/>
          <w:szCs w:val="20"/>
        </w:rPr>
      </w:pPr>
    </w:p>
    <w:p w:rsidR="00F90520" w:rsidRDefault="00B9396E">
      <w:pPr>
        <w:spacing w:line="272" w:lineRule="auto"/>
        <w:jc w:val="both"/>
        <w:rPr>
          <w:sz w:val="20"/>
          <w:szCs w:val="20"/>
        </w:rPr>
      </w:pPr>
      <w:r>
        <w:rPr>
          <w:rFonts w:eastAsia="Times New Roman"/>
          <w:color w:val="131413"/>
          <w:sz w:val="19"/>
          <w:szCs w:val="19"/>
        </w:rPr>
        <w:t>Despite significant advances in the techniques used for screen-ing and therapy, breast cancer remains a leading cause of cancer-related deaths in women worldwide. In this report, we examined the expr</w:t>
      </w:r>
      <w:r>
        <w:rPr>
          <w:rFonts w:eastAsia="Times New Roman"/>
          <w:color w:val="131413"/>
          <w:sz w:val="19"/>
          <w:szCs w:val="19"/>
        </w:rPr>
        <w:t>ession of UBE2S in breast cancer</w:t>
      </w:r>
    </w:p>
    <w:p w:rsidR="00F90520" w:rsidRDefault="00F90520">
      <w:pPr>
        <w:spacing w:line="301" w:lineRule="exact"/>
        <w:rPr>
          <w:sz w:val="20"/>
          <w:szCs w:val="20"/>
        </w:rPr>
      </w:pPr>
    </w:p>
    <w:p w:rsidR="00F90520" w:rsidRDefault="00B9396E">
      <w:pPr>
        <w:spacing w:line="259" w:lineRule="auto"/>
        <w:ind w:right="2540"/>
        <w:rPr>
          <w:sz w:val="20"/>
          <w:szCs w:val="20"/>
        </w:rPr>
      </w:pPr>
      <w:r>
        <w:rPr>
          <w:rFonts w:eastAsia="Times New Roman"/>
          <w:color w:val="131413"/>
          <w:sz w:val="16"/>
          <w:szCs w:val="16"/>
        </w:rPr>
        <w:t xml:space="preserve">Fig. 5 UBE2S knockdown induced anoikis. a siRNA-transfected cells were cultured in soft agar for 2 weeks and then pictures were taken. The representative images of colonies are shown. The graph shows the average number of </w:t>
      </w:r>
      <w:r>
        <w:rPr>
          <w:rFonts w:eastAsia="Times New Roman"/>
          <w:color w:val="131413"/>
          <w:sz w:val="16"/>
          <w:szCs w:val="16"/>
        </w:rPr>
        <w:t>colonies per field (*P&lt;0.05, **P&lt;0.01). b siRNA-transfected cells were cultured in suspension for 48 h and then subjected to TUNEL assay. Representative images of the TUNEL assay are shown. The graphs indicate the percentage of cells that survived (*P&lt;0.05</w:t>
      </w:r>
      <w:r>
        <w:rPr>
          <w:rFonts w:eastAsia="Times New Roman"/>
          <w:color w:val="131413"/>
          <w:sz w:val="16"/>
          <w:szCs w:val="16"/>
        </w:rPr>
        <w:t>, **P&lt;0.01)</w:t>
      </w:r>
    </w:p>
    <w:p w:rsidR="00F90520" w:rsidRDefault="00F90520">
      <w:pPr>
        <w:spacing w:line="20" w:lineRule="exact"/>
        <w:rPr>
          <w:sz w:val="20"/>
          <w:szCs w:val="20"/>
        </w:rPr>
      </w:pPr>
    </w:p>
    <w:p w:rsidR="00F90520" w:rsidRDefault="00B9396E">
      <w:pPr>
        <w:spacing w:line="20" w:lineRule="exact"/>
        <w:rPr>
          <w:sz w:val="20"/>
          <w:szCs w:val="20"/>
        </w:rPr>
      </w:pPr>
      <w:r>
        <w:rPr>
          <w:sz w:val="20"/>
          <w:szCs w:val="20"/>
        </w:rPr>
        <w:br w:type="column"/>
      </w:r>
    </w:p>
    <w:p w:rsidR="00F90520" w:rsidRDefault="00F90520">
      <w:pPr>
        <w:spacing w:line="299" w:lineRule="exact"/>
        <w:rPr>
          <w:sz w:val="20"/>
          <w:szCs w:val="20"/>
        </w:rPr>
      </w:pPr>
    </w:p>
    <w:p w:rsidR="00F90520" w:rsidRDefault="00B9396E">
      <w:pPr>
        <w:spacing w:line="257" w:lineRule="auto"/>
        <w:jc w:val="both"/>
        <w:rPr>
          <w:rFonts w:eastAsia="Times New Roman"/>
          <w:color w:val="131413"/>
          <w:sz w:val="20"/>
          <w:szCs w:val="20"/>
        </w:rPr>
      </w:pPr>
      <w:r>
        <w:rPr>
          <w:rFonts w:eastAsia="Times New Roman"/>
          <w:color w:val="131413"/>
          <w:sz w:val="20"/>
          <w:szCs w:val="20"/>
        </w:rPr>
        <w:t xml:space="preserve">tissues by immunohistochemical analysis. Consistent with previous findings, we found that the expression of UBE2S was increased in breast cancer tissues. High expression of UBE2S has also been reported in other cancers, such as renal </w:t>
      </w:r>
      <w:r>
        <w:rPr>
          <w:rFonts w:eastAsia="Times New Roman"/>
          <w:color w:val="131413"/>
          <w:sz w:val="20"/>
          <w:szCs w:val="20"/>
        </w:rPr>
        <w:t>cell carcinoma and cervical carcinoma [</w:t>
      </w:r>
      <w:hyperlink w:anchor="page10">
        <w:r>
          <w:rPr>
            <w:rFonts w:eastAsia="Times New Roman"/>
            <w:color w:val="3A2A97"/>
            <w:sz w:val="20"/>
            <w:szCs w:val="20"/>
          </w:rPr>
          <w:t>31</w:t>
        </w:r>
      </w:hyperlink>
      <w:r>
        <w:rPr>
          <w:rFonts w:eastAsia="Times New Roman"/>
          <w:color w:val="131413"/>
          <w:sz w:val="20"/>
          <w:szCs w:val="20"/>
        </w:rPr>
        <w:t xml:space="preserve">, </w:t>
      </w:r>
      <w:hyperlink w:anchor="page10">
        <w:r>
          <w:rPr>
            <w:rFonts w:eastAsia="Times New Roman"/>
            <w:color w:val="3A2A97"/>
            <w:sz w:val="20"/>
            <w:szCs w:val="20"/>
          </w:rPr>
          <w:t>34</w:t>
        </w:r>
      </w:hyperlink>
      <w:r>
        <w:rPr>
          <w:rFonts w:eastAsia="Times New Roman"/>
          <w:color w:val="131413"/>
          <w:sz w:val="20"/>
          <w:szCs w:val="20"/>
        </w:rPr>
        <w:t>]. These previ-ous reports and our study clearly indicate that UBE2S can be used as a marker for multiple cancers.</w:t>
      </w:r>
    </w:p>
    <w:p w:rsidR="00F90520" w:rsidRDefault="00F90520">
      <w:pPr>
        <w:spacing w:line="19" w:lineRule="exact"/>
        <w:rPr>
          <w:sz w:val="20"/>
          <w:szCs w:val="20"/>
        </w:rPr>
      </w:pPr>
    </w:p>
    <w:p w:rsidR="00F90520" w:rsidRDefault="00B9396E">
      <w:pPr>
        <w:spacing w:line="291" w:lineRule="auto"/>
        <w:ind w:firstLine="227"/>
        <w:jc w:val="both"/>
        <w:rPr>
          <w:rFonts w:eastAsia="Times New Roman"/>
          <w:color w:val="131413"/>
          <w:sz w:val="18"/>
          <w:szCs w:val="18"/>
        </w:rPr>
      </w:pPr>
      <w:r>
        <w:rPr>
          <w:rFonts w:eastAsia="Times New Roman"/>
          <w:color w:val="131413"/>
          <w:sz w:val="18"/>
          <w:szCs w:val="18"/>
        </w:rPr>
        <w:t xml:space="preserve">UBE2S is involved in the </w:t>
      </w:r>
      <w:r>
        <w:rPr>
          <w:rFonts w:eastAsia="Times New Roman"/>
          <w:color w:val="131413"/>
          <w:sz w:val="18"/>
          <w:szCs w:val="18"/>
        </w:rPr>
        <w:t>degradation of proteins by APC/ C during mitosis. Once APC/C in combination with UBE2C primes the lysine residues of substrates with ubiquitin, UBE2S promotes elongation of ubiquitin chains via K11-mediated attachment [</w:t>
      </w:r>
      <w:hyperlink w:anchor="page10">
        <w:r>
          <w:rPr>
            <w:rFonts w:eastAsia="Times New Roman"/>
            <w:color w:val="3A2A97"/>
            <w:sz w:val="18"/>
            <w:szCs w:val="18"/>
          </w:rPr>
          <w:t>27</w:t>
        </w:r>
      </w:hyperlink>
      <w:r>
        <w:rPr>
          <w:rFonts w:eastAsia="Times New Roman"/>
          <w:color w:val="131413"/>
          <w:sz w:val="18"/>
          <w:szCs w:val="18"/>
        </w:rPr>
        <w:t xml:space="preserve">, </w:t>
      </w:r>
      <w:hyperlink w:anchor="page10">
        <w:r>
          <w:rPr>
            <w:rFonts w:eastAsia="Times New Roman"/>
            <w:color w:val="3A2A97"/>
            <w:sz w:val="18"/>
            <w:szCs w:val="18"/>
          </w:rPr>
          <w:t>28</w:t>
        </w:r>
      </w:hyperlink>
      <w:r>
        <w:rPr>
          <w:rFonts w:eastAsia="Times New Roman"/>
          <w:color w:val="131413"/>
          <w:sz w:val="18"/>
          <w:szCs w:val="18"/>
        </w:rPr>
        <w:t>]. Ubiquitin chains generated by UBE2S promote degradation of substrate proteins by the proteasome</w:t>
      </w:r>
    </w:p>
    <w:p w:rsidR="00F90520" w:rsidRDefault="00B9396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-1624965</wp:posOffset>
            </wp:positionH>
            <wp:positionV relativeFrom="paragraph">
              <wp:posOffset>173355</wp:posOffset>
            </wp:positionV>
            <wp:extent cx="4650740" cy="60490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4650740" cy="6049010"/>
                    </a:xfrm>
                    <a:prstGeom prst="rect">
                      <a:avLst/>
                    </a:prstGeom>
                    <a:noFill/>
                  </pic:spPr>
                </pic:pic>
              </a:graphicData>
            </a:graphic>
          </wp:anchor>
        </w:drawing>
      </w:r>
    </w:p>
    <w:p w:rsidR="00F90520" w:rsidRDefault="00F90520">
      <w:pPr>
        <w:sectPr w:rsidR="00F90520">
          <w:type w:val="continuous"/>
          <w:pgSz w:w="11900" w:h="15817"/>
          <w:pgMar w:top="649" w:right="1026" w:bottom="1440" w:left="1020" w:header="0" w:footer="0" w:gutter="0"/>
          <w:cols w:num="2" w:space="720" w:equalWidth="0">
            <w:col w:w="4760" w:space="340"/>
            <w:col w:w="4760"/>
          </w:cols>
        </w:sectPr>
      </w:pPr>
    </w:p>
    <w:p w:rsidR="00F90520" w:rsidRDefault="00B9396E">
      <w:pPr>
        <w:spacing w:line="20" w:lineRule="exact"/>
        <w:rPr>
          <w:sz w:val="20"/>
          <w:szCs w:val="20"/>
        </w:rPr>
      </w:pPr>
      <w:bookmarkStart w:id="7" w:name="page9"/>
      <w:bookmarkEnd w:id="7"/>
      <w:r>
        <w:rPr>
          <w:noProof/>
          <w:sz w:val="20"/>
          <w:szCs w:val="20"/>
        </w:rPr>
        <w:lastRenderedPageBreak/>
        <mc:AlternateContent>
          <mc:Choice Requires="wps">
            <w:drawing>
              <wp:anchor distT="0" distB="0" distL="114300" distR="114300" simplePos="0" relativeHeight="251668480" behindDoc="1" locked="0" layoutInCell="0" allowOverlap="1">
                <wp:simplePos x="0" y="0"/>
                <wp:positionH relativeFrom="column">
                  <wp:posOffset>0</wp:posOffset>
                </wp:positionH>
                <wp:positionV relativeFrom="paragraph">
                  <wp:posOffset>40005</wp:posOffset>
                </wp:positionV>
                <wp:extent cx="626427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275"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4F2D10AF" id="Shape 2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3.15pt" to="493.2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E7eu/78BAACCAwAADgAAAAAAAAAAAAAAAAAu&#13;&#10;AgAAZHJzL2Uyb0RvYy54bWxQSwECLQAUAAYACAAAACEAMhuwu9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939" w:left="1020" w:header="0" w:footer="0" w:gutter="0"/>
          <w:cols w:space="720" w:equalWidth="0">
            <w:col w:w="9860"/>
          </w:cols>
        </w:sectPr>
      </w:pPr>
    </w:p>
    <w:p w:rsidR="00F90520" w:rsidRDefault="00F90520">
      <w:pPr>
        <w:spacing w:line="319" w:lineRule="exact"/>
        <w:rPr>
          <w:sz w:val="20"/>
          <w:szCs w:val="20"/>
        </w:rPr>
      </w:pPr>
    </w:p>
    <w:p w:rsidR="00F90520" w:rsidRDefault="00B9396E">
      <w:pPr>
        <w:spacing w:line="273" w:lineRule="auto"/>
        <w:jc w:val="both"/>
        <w:rPr>
          <w:sz w:val="20"/>
          <w:szCs w:val="20"/>
        </w:rPr>
      </w:pPr>
      <w:r>
        <w:rPr>
          <w:rFonts w:eastAsia="Times New Roman"/>
          <w:color w:val="131413"/>
          <w:sz w:val="19"/>
          <w:szCs w:val="19"/>
        </w:rPr>
        <w:t>pathway and promote exit from mitosis. In addition to its impo</w:t>
      </w:r>
      <w:r>
        <w:rPr>
          <w:rFonts w:eastAsia="Times New Roman"/>
          <w:color w:val="131413"/>
          <w:sz w:val="19"/>
          <w:szCs w:val="19"/>
        </w:rPr>
        <w:t>rtant functions in mitosis, we found that UBE2S is asso-ciated with regulating the actin cytoskeleton and focal adhe-sions. The depletion of UBE2S induced changes in cellular morphology and significantly disrupted the formation of actin stress fibers and f</w:t>
      </w:r>
      <w:r>
        <w:rPr>
          <w:rFonts w:eastAsia="Times New Roman"/>
          <w:color w:val="131413"/>
          <w:sz w:val="19"/>
          <w:szCs w:val="19"/>
        </w:rPr>
        <w:t>ocal adhesions. The actin cytoskeleton plays a critical role in numerous cellular functions, such as cell migration and spreading. We found that both migration and spreading were delayed in the absence of UBE2S. These re-sults suggest that UBE2S is importa</w:t>
      </w:r>
      <w:r>
        <w:rPr>
          <w:rFonts w:eastAsia="Times New Roman"/>
          <w:color w:val="131413"/>
          <w:sz w:val="19"/>
          <w:szCs w:val="19"/>
        </w:rPr>
        <w:t>nt not only for mitotic progression but also for cell migration and spreading as well as actin cytoskeletal organization.</w:t>
      </w:r>
    </w:p>
    <w:p w:rsidR="00F90520" w:rsidRDefault="00F90520">
      <w:pPr>
        <w:spacing w:line="7" w:lineRule="exact"/>
        <w:rPr>
          <w:sz w:val="20"/>
          <w:szCs w:val="20"/>
        </w:rPr>
      </w:pPr>
    </w:p>
    <w:p w:rsidR="00F90520" w:rsidRDefault="00B9396E">
      <w:pPr>
        <w:spacing w:line="273" w:lineRule="auto"/>
        <w:ind w:firstLine="227"/>
        <w:jc w:val="both"/>
        <w:rPr>
          <w:rFonts w:eastAsia="Times New Roman"/>
          <w:color w:val="131413"/>
          <w:sz w:val="19"/>
          <w:szCs w:val="19"/>
        </w:rPr>
      </w:pPr>
      <w:r>
        <w:rPr>
          <w:rFonts w:eastAsia="Times New Roman"/>
          <w:color w:val="131413"/>
          <w:sz w:val="19"/>
          <w:szCs w:val="19"/>
        </w:rPr>
        <w:t xml:space="preserve">A number of proteins are associated with the regulation of actin cytoskeletal organization and cell migration. Among these </w:t>
      </w:r>
      <w:r>
        <w:rPr>
          <w:rFonts w:eastAsia="Times New Roman"/>
          <w:color w:val="131413"/>
          <w:sz w:val="19"/>
          <w:szCs w:val="19"/>
        </w:rPr>
        <w:t>proteins, FAK is one of the most studied proteins, and its inhibitors are being investigated in clinical trials for cancer treatment [</w:t>
      </w:r>
      <w:hyperlink w:anchor="page10">
        <w:r>
          <w:rPr>
            <w:rFonts w:eastAsia="Times New Roman"/>
            <w:color w:val="3A2A97"/>
            <w:sz w:val="19"/>
            <w:szCs w:val="19"/>
          </w:rPr>
          <w:t>35</w:t>
        </w:r>
      </w:hyperlink>
      <w:r>
        <w:rPr>
          <w:rFonts w:eastAsia="Times New Roman"/>
          <w:color w:val="131413"/>
          <w:sz w:val="19"/>
          <w:szCs w:val="19"/>
        </w:rPr>
        <w:t>]. FAK is also known to ac-tivate survival signals to prevent anoikis. We found that the ph</w:t>
      </w:r>
      <w:r>
        <w:rPr>
          <w:rFonts w:eastAsia="Times New Roman"/>
          <w:color w:val="131413"/>
          <w:sz w:val="19"/>
          <w:szCs w:val="19"/>
        </w:rPr>
        <w:t>osphorylation of FAK at Tyr397 was reduced in the ab-sence of UBE2S. Suppression of Tyr397 phosphorylation was observed using two different siRNAs. Thus, it is un-likely that the reduced phosphorylation was induced by off-target effects of siRNAs. Although</w:t>
      </w:r>
      <w:r>
        <w:rPr>
          <w:rFonts w:eastAsia="Times New Roman"/>
          <w:color w:val="131413"/>
          <w:sz w:val="19"/>
          <w:szCs w:val="19"/>
        </w:rPr>
        <w:t xml:space="preserve"> the exact molecular mechanisms of Tyr397 phosphorylation are still not clear, it is believed that integrin binding to ECM promotes dimer-ization of FAK for the phosphorylation of Tyr397 [</w:t>
      </w:r>
      <w:hyperlink w:anchor="page10">
        <w:r>
          <w:rPr>
            <w:rFonts w:eastAsia="Times New Roman"/>
            <w:color w:val="3A2A97"/>
            <w:sz w:val="19"/>
            <w:szCs w:val="19"/>
          </w:rPr>
          <w:t>37</w:t>
        </w:r>
      </w:hyperlink>
      <w:r>
        <w:rPr>
          <w:rFonts w:eastAsia="Times New Roman"/>
          <w:color w:val="131413"/>
          <w:sz w:val="19"/>
          <w:szCs w:val="19"/>
        </w:rPr>
        <w:t xml:space="preserve">, </w:t>
      </w:r>
      <w:hyperlink w:anchor="page10">
        <w:r>
          <w:rPr>
            <w:rFonts w:eastAsia="Times New Roman"/>
            <w:color w:val="3A2A97"/>
            <w:sz w:val="19"/>
            <w:szCs w:val="19"/>
          </w:rPr>
          <w:t>38</w:t>
        </w:r>
      </w:hyperlink>
      <w:r>
        <w:rPr>
          <w:rFonts w:eastAsia="Times New Roman"/>
          <w:color w:val="131413"/>
          <w:sz w:val="19"/>
          <w:szCs w:val="19"/>
        </w:rPr>
        <w:t>]. S</w:t>
      </w:r>
      <w:r>
        <w:rPr>
          <w:rFonts w:eastAsia="Times New Roman"/>
          <w:color w:val="131413"/>
          <w:sz w:val="19"/>
          <w:szCs w:val="19"/>
        </w:rPr>
        <w:t>rc family kinases, which are non-receptor tyrosine kinases, are recruited to the phosphorylated Tyr397, where they phosphorylate other tyrosine residues of FAK for the acti-vation of downstream signals [</w:t>
      </w:r>
      <w:hyperlink w:anchor="page10">
        <w:r>
          <w:rPr>
            <w:rFonts w:eastAsia="Times New Roman"/>
            <w:color w:val="3A2A97"/>
            <w:sz w:val="19"/>
            <w:szCs w:val="19"/>
          </w:rPr>
          <w:t>39</w:t>
        </w:r>
      </w:hyperlink>
      <w:r>
        <w:rPr>
          <w:rFonts w:eastAsia="Times New Roman"/>
          <w:color w:val="131413"/>
          <w:sz w:val="19"/>
          <w:szCs w:val="19"/>
        </w:rPr>
        <w:t xml:space="preserve">, </w:t>
      </w:r>
      <w:hyperlink w:anchor="page10">
        <w:r>
          <w:rPr>
            <w:rFonts w:eastAsia="Times New Roman"/>
            <w:color w:val="3A2A97"/>
            <w:sz w:val="19"/>
            <w:szCs w:val="19"/>
          </w:rPr>
          <w:t>40</w:t>
        </w:r>
      </w:hyperlink>
      <w:r>
        <w:rPr>
          <w:rFonts w:eastAsia="Times New Roman"/>
          <w:color w:val="131413"/>
          <w:sz w:val="19"/>
          <w:szCs w:val="19"/>
        </w:rPr>
        <w:t>]. Therefore, a de-crease in Tyr397 phosphorylation via UBE2S knockdown may suppress numerous signals for cell spreading, migra-tion, and invasion. Further analysis is required to determine whether the functions of FAK or other signal proteins a</w:t>
      </w:r>
      <w:r>
        <w:rPr>
          <w:rFonts w:eastAsia="Times New Roman"/>
          <w:color w:val="131413"/>
          <w:sz w:val="19"/>
          <w:szCs w:val="19"/>
        </w:rPr>
        <w:t>re affected by UBE2S knockdown to suppress cell migration and invasion.</w:t>
      </w:r>
    </w:p>
    <w:p w:rsidR="00F90520" w:rsidRDefault="00F90520">
      <w:pPr>
        <w:spacing w:line="260" w:lineRule="exact"/>
        <w:rPr>
          <w:rFonts w:eastAsia="Times New Roman"/>
          <w:color w:val="131413"/>
          <w:sz w:val="19"/>
          <w:szCs w:val="19"/>
        </w:rPr>
      </w:pPr>
    </w:p>
    <w:p w:rsidR="00F90520" w:rsidRDefault="00B9396E">
      <w:pPr>
        <w:spacing w:line="258" w:lineRule="auto"/>
        <w:ind w:firstLine="227"/>
        <w:jc w:val="both"/>
        <w:rPr>
          <w:sz w:val="20"/>
          <w:szCs w:val="20"/>
        </w:rPr>
      </w:pPr>
      <w:r>
        <w:rPr>
          <w:rFonts w:eastAsia="Times New Roman"/>
          <w:color w:val="131413"/>
          <w:sz w:val="20"/>
          <w:szCs w:val="20"/>
        </w:rPr>
        <w:t>In summary, we have shown that UBE2S is highly expressed in breast cancer tissues, and depletion of UBE2S induced disruption of the actin cytoskeleton and focal adhe-sion organization</w:t>
      </w:r>
      <w:r>
        <w:rPr>
          <w:rFonts w:eastAsia="Times New Roman"/>
          <w:color w:val="131413"/>
          <w:sz w:val="20"/>
          <w:szCs w:val="20"/>
        </w:rPr>
        <w:t>. In addition, UBE2S depletion suppressed malignant characteristics of cancer cells, such as migration, invasion, and anchorage-independent growth. Further investi-gation to identify target proteins of UBE2S may give novel insight into the regulation of ac</w:t>
      </w:r>
      <w:r>
        <w:rPr>
          <w:rFonts w:eastAsia="Times New Roman"/>
          <w:color w:val="131413"/>
          <w:sz w:val="20"/>
          <w:szCs w:val="20"/>
        </w:rPr>
        <w:t>tin cytoskeletal organization and cell migration.</w:t>
      </w:r>
    </w:p>
    <w:p w:rsidR="00F90520" w:rsidRDefault="00F90520">
      <w:pPr>
        <w:spacing w:line="200" w:lineRule="exact"/>
        <w:rPr>
          <w:rFonts w:eastAsia="Times New Roman"/>
          <w:color w:val="131413"/>
          <w:sz w:val="19"/>
          <w:szCs w:val="19"/>
        </w:rPr>
      </w:pPr>
    </w:p>
    <w:p w:rsidR="00F90520" w:rsidRDefault="00F90520">
      <w:pPr>
        <w:spacing w:line="352" w:lineRule="exact"/>
        <w:rPr>
          <w:rFonts w:eastAsia="Times New Roman"/>
          <w:color w:val="131413"/>
          <w:sz w:val="19"/>
          <w:szCs w:val="19"/>
        </w:rPr>
      </w:pPr>
    </w:p>
    <w:p w:rsidR="00F90520" w:rsidRDefault="00B9396E">
      <w:pPr>
        <w:jc w:val="both"/>
        <w:rPr>
          <w:sz w:val="20"/>
          <w:szCs w:val="20"/>
        </w:rPr>
      </w:pPr>
      <w:r>
        <w:rPr>
          <w:rFonts w:eastAsia="Times New Roman"/>
          <w:color w:val="131413"/>
          <w:sz w:val="17"/>
          <w:szCs w:val="17"/>
        </w:rPr>
        <w:t>Acknowledgments We would like to thank the members of the divi-sion of cancer biology for their helpful discussions. This research was funded by a grant from the Naito Foundation and the Ministry of Educa</w:t>
      </w:r>
      <w:r>
        <w:rPr>
          <w:rFonts w:eastAsia="Times New Roman"/>
          <w:color w:val="131413"/>
          <w:sz w:val="17"/>
          <w:szCs w:val="17"/>
        </w:rPr>
        <w:t>-tion, Culture, Sports, Science and Technology of Japan (Nanomedicine Molecular Science, 2306).</w:t>
      </w:r>
    </w:p>
    <w:p w:rsidR="00F90520" w:rsidRDefault="00F90520">
      <w:pPr>
        <w:spacing w:line="246" w:lineRule="exact"/>
        <w:rPr>
          <w:rFonts w:eastAsia="Times New Roman"/>
          <w:color w:val="131413"/>
          <w:sz w:val="19"/>
          <w:szCs w:val="19"/>
        </w:rPr>
      </w:pPr>
    </w:p>
    <w:p w:rsidR="00F90520" w:rsidRDefault="00B9396E">
      <w:pPr>
        <w:tabs>
          <w:tab w:val="left" w:pos="1460"/>
        </w:tabs>
        <w:rPr>
          <w:sz w:val="20"/>
          <w:szCs w:val="20"/>
        </w:rPr>
      </w:pPr>
      <w:r>
        <w:rPr>
          <w:rFonts w:eastAsia="Times New Roman"/>
          <w:color w:val="131413"/>
          <w:sz w:val="17"/>
          <w:szCs w:val="17"/>
        </w:rPr>
        <w:t>Conflict of interest</w:t>
      </w:r>
      <w:r>
        <w:rPr>
          <w:sz w:val="20"/>
          <w:szCs w:val="20"/>
        </w:rPr>
        <w:tab/>
      </w:r>
      <w:r>
        <w:rPr>
          <w:rFonts w:eastAsia="Times New Roman"/>
          <w:color w:val="131413"/>
          <w:sz w:val="16"/>
          <w:szCs w:val="16"/>
        </w:rPr>
        <w:t>None.</w:t>
      </w:r>
    </w:p>
    <w:p w:rsidR="00F90520" w:rsidRDefault="00B9396E">
      <w:pPr>
        <w:spacing w:line="20" w:lineRule="exact"/>
        <w:rPr>
          <w:rFonts w:eastAsia="Times New Roman"/>
          <w:color w:val="131413"/>
          <w:sz w:val="19"/>
          <w:szCs w:val="19"/>
        </w:rPr>
      </w:pPr>
      <w:r>
        <w:rPr>
          <w:rFonts w:eastAsia="Times New Roman"/>
          <w:color w:val="131413"/>
          <w:sz w:val="19"/>
          <w:szCs w:val="19"/>
        </w:rPr>
        <w:br w:type="column"/>
      </w:r>
    </w:p>
    <w:p w:rsidR="00F90520" w:rsidRDefault="00F90520">
      <w:pPr>
        <w:spacing w:line="286" w:lineRule="exact"/>
        <w:rPr>
          <w:rFonts w:eastAsia="Times New Roman"/>
          <w:color w:val="131413"/>
          <w:sz w:val="19"/>
          <w:szCs w:val="19"/>
        </w:rPr>
      </w:pPr>
    </w:p>
    <w:p w:rsidR="00F90520" w:rsidRDefault="00B9396E">
      <w:pPr>
        <w:rPr>
          <w:sz w:val="20"/>
          <w:szCs w:val="20"/>
        </w:rPr>
      </w:pPr>
      <w:r>
        <w:rPr>
          <w:rFonts w:eastAsia="Times New Roman"/>
          <w:color w:val="131413"/>
          <w:sz w:val="20"/>
          <w:szCs w:val="20"/>
        </w:rPr>
        <w:t>References</w:t>
      </w:r>
    </w:p>
    <w:p w:rsidR="00F90520" w:rsidRDefault="00F90520">
      <w:pPr>
        <w:spacing w:line="309" w:lineRule="exact"/>
        <w:rPr>
          <w:rFonts w:eastAsia="Times New Roman"/>
          <w:color w:val="131413"/>
          <w:sz w:val="19"/>
          <w:szCs w:val="19"/>
        </w:rPr>
      </w:pPr>
    </w:p>
    <w:p w:rsidR="00F90520" w:rsidRDefault="00B9396E">
      <w:pPr>
        <w:numPr>
          <w:ilvl w:val="1"/>
          <w:numId w:val="6"/>
        </w:numPr>
        <w:tabs>
          <w:tab w:val="left" w:pos="400"/>
        </w:tabs>
        <w:spacing w:line="234" w:lineRule="auto"/>
        <w:ind w:left="400" w:hanging="311"/>
        <w:rPr>
          <w:rFonts w:eastAsia="Times New Roman"/>
          <w:color w:val="131413"/>
          <w:sz w:val="17"/>
          <w:szCs w:val="17"/>
        </w:rPr>
      </w:pPr>
      <w:r>
        <w:rPr>
          <w:rFonts w:eastAsia="Times New Roman"/>
          <w:color w:val="131413"/>
          <w:sz w:val="17"/>
          <w:szCs w:val="17"/>
        </w:rPr>
        <w:t>Hershko A, Ciechanover A. The ubiquitin system. Annu Rev Biochem. 1998;67:425</w:t>
      </w:r>
      <w:r>
        <w:rPr>
          <w:rFonts w:ascii="Arial" w:eastAsia="Arial" w:hAnsi="Arial" w:cs="Arial"/>
          <w:color w:val="131413"/>
          <w:sz w:val="17"/>
          <w:szCs w:val="17"/>
        </w:rPr>
        <w:t>–</w:t>
      </w:r>
      <w:r>
        <w:rPr>
          <w:rFonts w:eastAsia="Times New Roman"/>
          <w:color w:val="131413"/>
          <w:sz w:val="17"/>
          <w:szCs w:val="17"/>
        </w:rPr>
        <w:t>79.</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380"/>
        </w:tabs>
        <w:spacing w:line="238" w:lineRule="auto"/>
        <w:ind w:left="380" w:hanging="291"/>
        <w:jc w:val="both"/>
        <w:rPr>
          <w:rFonts w:eastAsia="Times New Roman"/>
          <w:color w:val="131413"/>
          <w:sz w:val="17"/>
          <w:szCs w:val="17"/>
        </w:rPr>
      </w:pPr>
      <w:r>
        <w:rPr>
          <w:rFonts w:eastAsia="Times New Roman"/>
          <w:color w:val="131413"/>
          <w:sz w:val="17"/>
          <w:szCs w:val="17"/>
        </w:rPr>
        <w:t xml:space="preserve">Kerscher O, Felberbaum R, </w:t>
      </w:r>
      <w:r>
        <w:rPr>
          <w:rFonts w:eastAsia="Times New Roman"/>
          <w:color w:val="131413"/>
          <w:sz w:val="17"/>
          <w:szCs w:val="17"/>
        </w:rPr>
        <w:t>Hochstrasser M. Modification of pro-teins by ubiquitin and ubiquitin-like proteins. Annu Rev Cell Dev Biol. 2006;22:159</w:t>
      </w:r>
      <w:r>
        <w:rPr>
          <w:rFonts w:ascii="Arial" w:eastAsia="Arial" w:hAnsi="Arial" w:cs="Arial"/>
          <w:color w:val="131413"/>
          <w:sz w:val="17"/>
          <w:szCs w:val="17"/>
        </w:rPr>
        <w:t>–</w:t>
      </w:r>
      <w:r>
        <w:rPr>
          <w:rFonts w:eastAsia="Times New Roman"/>
          <w:color w:val="131413"/>
          <w:sz w:val="17"/>
          <w:szCs w:val="17"/>
        </w:rPr>
        <w:t>80.</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380"/>
        </w:tabs>
        <w:spacing w:line="234" w:lineRule="auto"/>
        <w:ind w:left="380" w:hanging="291"/>
        <w:rPr>
          <w:rFonts w:eastAsia="Times New Roman"/>
          <w:color w:val="131413"/>
          <w:sz w:val="17"/>
          <w:szCs w:val="17"/>
        </w:rPr>
      </w:pPr>
      <w:r>
        <w:rPr>
          <w:rFonts w:eastAsia="Times New Roman"/>
          <w:color w:val="131413"/>
          <w:sz w:val="17"/>
          <w:szCs w:val="17"/>
        </w:rPr>
        <w:t>Pickart CM, Eddins MJ. Ubiquitin: structures, functions, mecha-nisms. Biochim Biophys Acta. 2004;1695:55</w:t>
      </w:r>
      <w:r>
        <w:rPr>
          <w:rFonts w:ascii="Arial" w:eastAsia="Arial" w:hAnsi="Arial" w:cs="Arial"/>
          <w:color w:val="131413"/>
          <w:sz w:val="17"/>
          <w:szCs w:val="17"/>
        </w:rPr>
        <w:t>–</w:t>
      </w:r>
      <w:r>
        <w:rPr>
          <w:rFonts w:eastAsia="Times New Roman"/>
          <w:color w:val="131413"/>
          <w:sz w:val="17"/>
          <w:szCs w:val="17"/>
        </w:rPr>
        <w:t>72.</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400"/>
        </w:tabs>
        <w:spacing w:line="235" w:lineRule="auto"/>
        <w:ind w:left="400" w:hanging="311"/>
        <w:rPr>
          <w:rFonts w:eastAsia="Times New Roman"/>
          <w:color w:val="131413"/>
          <w:sz w:val="17"/>
          <w:szCs w:val="17"/>
        </w:rPr>
      </w:pPr>
      <w:r>
        <w:rPr>
          <w:rFonts w:eastAsia="Times New Roman"/>
          <w:color w:val="131413"/>
          <w:sz w:val="17"/>
          <w:szCs w:val="17"/>
        </w:rPr>
        <w:t xml:space="preserve">Neutzner M, Neutzner </w:t>
      </w:r>
      <w:r>
        <w:rPr>
          <w:rFonts w:eastAsia="Times New Roman"/>
          <w:color w:val="131413"/>
          <w:sz w:val="17"/>
          <w:szCs w:val="17"/>
        </w:rPr>
        <w:t>A. Enzymes of ubiquitination and deubiquitination. Essays Biochem. 2012;52:37</w:t>
      </w:r>
      <w:r>
        <w:rPr>
          <w:rFonts w:ascii="Arial" w:eastAsia="Arial" w:hAnsi="Arial" w:cs="Arial"/>
          <w:color w:val="131413"/>
          <w:sz w:val="17"/>
          <w:szCs w:val="17"/>
        </w:rPr>
        <w:t>–</w:t>
      </w:r>
      <w:r>
        <w:rPr>
          <w:rFonts w:eastAsia="Times New Roman"/>
          <w:color w:val="131413"/>
          <w:sz w:val="17"/>
          <w:szCs w:val="17"/>
        </w:rPr>
        <w:t>50.</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380"/>
        </w:tabs>
        <w:spacing w:line="238" w:lineRule="auto"/>
        <w:ind w:left="380" w:hanging="291"/>
        <w:jc w:val="both"/>
        <w:rPr>
          <w:rFonts w:eastAsia="Times New Roman"/>
          <w:color w:val="131413"/>
          <w:sz w:val="17"/>
          <w:szCs w:val="17"/>
        </w:rPr>
      </w:pPr>
      <w:r>
        <w:rPr>
          <w:rFonts w:eastAsia="Times New Roman"/>
          <w:color w:val="131413"/>
          <w:sz w:val="17"/>
          <w:szCs w:val="17"/>
        </w:rPr>
        <w:t>Mukhopadhyay D, Riezman H. Proteasome-independent functions of ubiquitin in endocytosis and signaling. Science. 2007;315:201</w:t>
      </w:r>
      <w:r>
        <w:rPr>
          <w:rFonts w:ascii="Arial" w:eastAsia="Arial" w:hAnsi="Arial" w:cs="Arial"/>
          <w:color w:val="131413"/>
          <w:sz w:val="17"/>
          <w:szCs w:val="17"/>
        </w:rPr>
        <w:t>–</w:t>
      </w:r>
      <w:r>
        <w:rPr>
          <w:rFonts w:eastAsia="Times New Roman"/>
          <w:color w:val="131413"/>
          <w:sz w:val="17"/>
          <w:szCs w:val="17"/>
        </w:rPr>
        <w:t xml:space="preserve"> 5.</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380"/>
        </w:tabs>
        <w:spacing w:line="234" w:lineRule="auto"/>
        <w:ind w:left="380" w:hanging="291"/>
        <w:rPr>
          <w:rFonts w:eastAsia="Times New Roman"/>
          <w:color w:val="131413"/>
          <w:sz w:val="17"/>
          <w:szCs w:val="17"/>
        </w:rPr>
      </w:pPr>
      <w:r>
        <w:rPr>
          <w:rFonts w:eastAsia="Times New Roman"/>
          <w:color w:val="131413"/>
          <w:sz w:val="17"/>
          <w:szCs w:val="17"/>
        </w:rPr>
        <w:t>Chen ZJ, Sun LJ. Nonproteolytic functions o</w:t>
      </w:r>
      <w:r>
        <w:rPr>
          <w:rFonts w:eastAsia="Times New Roman"/>
          <w:color w:val="131413"/>
          <w:sz w:val="17"/>
          <w:szCs w:val="17"/>
        </w:rPr>
        <w:t>f ubiquitin in cell sig-naling. Mol Cell. 2009;33:275</w:t>
      </w:r>
      <w:r>
        <w:rPr>
          <w:rFonts w:ascii="Arial" w:eastAsia="Arial" w:hAnsi="Arial" w:cs="Arial"/>
          <w:color w:val="131413"/>
          <w:sz w:val="17"/>
          <w:szCs w:val="17"/>
        </w:rPr>
        <w:t>–</w:t>
      </w:r>
      <w:r>
        <w:rPr>
          <w:rFonts w:eastAsia="Times New Roman"/>
          <w:color w:val="131413"/>
          <w:sz w:val="17"/>
          <w:szCs w:val="17"/>
        </w:rPr>
        <w:t>86.</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380"/>
        </w:tabs>
        <w:spacing w:line="235" w:lineRule="auto"/>
        <w:ind w:left="380" w:hanging="291"/>
        <w:rPr>
          <w:rFonts w:eastAsia="Times New Roman"/>
          <w:color w:val="131413"/>
          <w:sz w:val="17"/>
          <w:szCs w:val="17"/>
        </w:rPr>
      </w:pPr>
      <w:r>
        <w:rPr>
          <w:rFonts w:eastAsia="Times New Roman"/>
          <w:color w:val="131413"/>
          <w:sz w:val="17"/>
          <w:szCs w:val="17"/>
        </w:rPr>
        <w:t>Zhou MJ, Chen FZ, Chen HC. Ubiquitination involved enzymes and cancer. Med Oncol. 2014;31:93.</w:t>
      </w:r>
    </w:p>
    <w:p w:rsidR="00F90520" w:rsidRDefault="00F90520">
      <w:pPr>
        <w:spacing w:line="29" w:lineRule="exact"/>
        <w:rPr>
          <w:rFonts w:eastAsia="Times New Roman"/>
          <w:color w:val="131413"/>
          <w:sz w:val="17"/>
          <w:szCs w:val="17"/>
        </w:rPr>
      </w:pPr>
    </w:p>
    <w:p w:rsidR="00F90520" w:rsidRDefault="00B9396E">
      <w:pPr>
        <w:numPr>
          <w:ilvl w:val="1"/>
          <w:numId w:val="6"/>
        </w:numPr>
        <w:tabs>
          <w:tab w:val="left" w:pos="380"/>
        </w:tabs>
        <w:spacing w:line="258" w:lineRule="auto"/>
        <w:ind w:left="380" w:hanging="291"/>
        <w:rPr>
          <w:rFonts w:eastAsia="Times New Roman"/>
          <w:color w:val="131413"/>
          <w:sz w:val="16"/>
          <w:szCs w:val="16"/>
        </w:rPr>
      </w:pPr>
      <w:r>
        <w:rPr>
          <w:rFonts w:eastAsia="Times New Roman"/>
          <w:color w:val="131413"/>
          <w:sz w:val="16"/>
          <w:szCs w:val="16"/>
        </w:rPr>
        <w:t xml:space="preserve">Honda R, Tanaka H, Yasuda H. Oncoprotein MDM2 is a ubiquitin ligase E3 for tumor </w:t>
      </w:r>
      <w:r>
        <w:rPr>
          <w:rFonts w:eastAsia="Times New Roman"/>
          <w:color w:val="131413"/>
          <w:sz w:val="16"/>
          <w:szCs w:val="16"/>
        </w:rPr>
        <w:t>suppressorp53. FEBS Lett. 1997;420:25</w:t>
      </w:r>
      <w:r>
        <w:rPr>
          <w:rFonts w:ascii="Arial" w:eastAsia="Arial" w:hAnsi="Arial" w:cs="Arial"/>
          <w:color w:val="131413"/>
          <w:sz w:val="16"/>
          <w:szCs w:val="16"/>
        </w:rPr>
        <w:t>–</w:t>
      </w:r>
      <w:r>
        <w:rPr>
          <w:rFonts w:eastAsia="Times New Roman"/>
          <w:color w:val="131413"/>
          <w:sz w:val="16"/>
          <w:szCs w:val="16"/>
        </w:rPr>
        <w:t>7.</w:t>
      </w:r>
    </w:p>
    <w:p w:rsidR="00F90520" w:rsidRDefault="00F90520">
      <w:pPr>
        <w:spacing w:line="15" w:lineRule="exact"/>
        <w:rPr>
          <w:rFonts w:eastAsia="Times New Roman"/>
          <w:color w:val="131413"/>
          <w:sz w:val="16"/>
          <w:szCs w:val="16"/>
        </w:rPr>
      </w:pPr>
    </w:p>
    <w:p w:rsidR="00F90520" w:rsidRDefault="00B9396E">
      <w:pPr>
        <w:numPr>
          <w:ilvl w:val="1"/>
          <w:numId w:val="6"/>
        </w:numPr>
        <w:tabs>
          <w:tab w:val="left" w:pos="380"/>
        </w:tabs>
        <w:spacing w:line="260" w:lineRule="auto"/>
        <w:ind w:left="380" w:hanging="291"/>
        <w:jc w:val="both"/>
        <w:rPr>
          <w:rFonts w:eastAsia="Times New Roman"/>
          <w:color w:val="131413"/>
          <w:sz w:val="16"/>
          <w:szCs w:val="16"/>
        </w:rPr>
      </w:pPr>
      <w:r>
        <w:rPr>
          <w:rFonts w:eastAsia="Times New Roman"/>
          <w:color w:val="131413"/>
          <w:sz w:val="16"/>
          <w:szCs w:val="16"/>
        </w:rPr>
        <w:t>Olson DC, Marechal V, Momand J, Chen J, Romocki C, Levine AJ. Identification and characterization of multiple mdm-2 proteins and mdm-2-p53 protein complexes. Oncogene. 1993;8:2353</w:t>
      </w:r>
      <w:r>
        <w:rPr>
          <w:rFonts w:ascii="Arial" w:eastAsia="Arial" w:hAnsi="Arial" w:cs="Arial"/>
          <w:color w:val="131413"/>
          <w:sz w:val="16"/>
          <w:szCs w:val="16"/>
        </w:rPr>
        <w:t>–</w:t>
      </w:r>
      <w:r>
        <w:rPr>
          <w:rFonts w:eastAsia="Times New Roman"/>
          <w:color w:val="131413"/>
          <w:sz w:val="16"/>
          <w:szCs w:val="16"/>
        </w:rPr>
        <w:t>60.</w:t>
      </w:r>
    </w:p>
    <w:p w:rsidR="00F90520" w:rsidRDefault="00F90520">
      <w:pPr>
        <w:spacing w:line="13" w:lineRule="exact"/>
        <w:rPr>
          <w:rFonts w:eastAsia="Times New Roman"/>
          <w:color w:val="131413"/>
          <w:sz w:val="16"/>
          <w:szCs w:val="16"/>
        </w:rPr>
      </w:pPr>
    </w:p>
    <w:p w:rsidR="00F90520" w:rsidRDefault="00B9396E">
      <w:pPr>
        <w:numPr>
          <w:ilvl w:val="1"/>
          <w:numId w:val="6"/>
        </w:numPr>
        <w:tabs>
          <w:tab w:val="left" w:pos="380"/>
        </w:tabs>
        <w:ind w:left="380" w:hanging="377"/>
        <w:jc w:val="both"/>
        <w:rPr>
          <w:rFonts w:eastAsia="Times New Roman"/>
          <w:color w:val="131413"/>
          <w:sz w:val="17"/>
          <w:szCs w:val="17"/>
        </w:rPr>
      </w:pPr>
      <w:r>
        <w:rPr>
          <w:rFonts w:eastAsia="Times New Roman"/>
          <w:color w:val="131413"/>
          <w:sz w:val="17"/>
          <w:szCs w:val="17"/>
        </w:rPr>
        <w:t>Rayburn E, Zhang R, He J, Wan</w:t>
      </w:r>
      <w:r>
        <w:rPr>
          <w:rFonts w:eastAsia="Times New Roman"/>
          <w:color w:val="131413"/>
          <w:sz w:val="17"/>
          <w:szCs w:val="17"/>
        </w:rPr>
        <w:t>g H. MDM2 and human malignan-cies: expression, clinical pathology, prognostic markers, and impli-cations for chemotherapy. Curr Cancer Drug Targets. 2005;5:27</w:t>
      </w:r>
      <w:r>
        <w:rPr>
          <w:rFonts w:ascii="Arial" w:eastAsia="Arial" w:hAnsi="Arial" w:cs="Arial"/>
          <w:color w:val="131413"/>
          <w:sz w:val="17"/>
          <w:szCs w:val="17"/>
        </w:rPr>
        <w:t>–</w:t>
      </w:r>
      <w:r>
        <w:rPr>
          <w:rFonts w:eastAsia="Times New Roman"/>
          <w:color w:val="131413"/>
          <w:sz w:val="17"/>
          <w:szCs w:val="17"/>
        </w:rPr>
        <w:t xml:space="preserve"> 41.</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380"/>
        </w:tabs>
        <w:spacing w:line="238" w:lineRule="auto"/>
        <w:ind w:left="380" w:hanging="377"/>
        <w:jc w:val="both"/>
        <w:rPr>
          <w:rFonts w:eastAsia="Times New Roman"/>
          <w:color w:val="131413"/>
          <w:sz w:val="17"/>
          <w:szCs w:val="17"/>
        </w:rPr>
      </w:pPr>
      <w:r>
        <w:rPr>
          <w:rFonts w:eastAsia="Times New Roman"/>
          <w:color w:val="131413"/>
          <w:sz w:val="17"/>
          <w:szCs w:val="17"/>
        </w:rPr>
        <w:t>Leng RP, Lin Y, Ma W, Wu H, Lemmers B, Chung S, et al. Pirh2, a p53-induced ubiquitin-prote</w:t>
      </w:r>
      <w:r>
        <w:rPr>
          <w:rFonts w:eastAsia="Times New Roman"/>
          <w:color w:val="131413"/>
          <w:sz w:val="17"/>
          <w:szCs w:val="17"/>
        </w:rPr>
        <w:t>in ligase, promotes p53 degradation. Cell. 2003;112:779</w:t>
      </w:r>
      <w:r>
        <w:rPr>
          <w:rFonts w:ascii="Arial" w:eastAsia="Arial" w:hAnsi="Arial" w:cs="Arial"/>
          <w:color w:val="131413"/>
          <w:sz w:val="17"/>
          <w:szCs w:val="17"/>
        </w:rPr>
        <w:t>–</w:t>
      </w:r>
      <w:r>
        <w:rPr>
          <w:rFonts w:eastAsia="Times New Roman"/>
          <w:color w:val="131413"/>
          <w:sz w:val="17"/>
          <w:szCs w:val="17"/>
        </w:rPr>
        <w:t>91.</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380"/>
        </w:tabs>
        <w:spacing w:line="239" w:lineRule="auto"/>
        <w:ind w:left="380" w:hanging="377"/>
        <w:jc w:val="both"/>
        <w:rPr>
          <w:rFonts w:eastAsia="Times New Roman"/>
          <w:color w:val="131413"/>
          <w:sz w:val="17"/>
          <w:szCs w:val="17"/>
        </w:rPr>
      </w:pPr>
      <w:r>
        <w:rPr>
          <w:rFonts w:eastAsia="Times New Roman"/>
          <w:color w:val="131413"/>
          <w:sz w:val="17"/>
          <w:szCs w:val="17"/>
        </w:rPr>
        <w:t>Dornan D, Bheddah S, Newton K, Ince W, Frantz GD, Dowd P, et al. COP1, the negative regulator of p53, is overexpressed in breast and ovarian adenocarcinomas. Cancer Res. 2004;64:7226</w:t>
      </w:r>
      <w:r>
        <w:rPr>
          <w:rFonts w:ascii="Arial" w:eastAsia="Arial" w:hAnsi="Arial" w:cs="Arial"/>
          <w:color w:val="131413"/>
          <w:sz w:val="17"/>
          <w:szCs w:val="17"/>
        </w:rPr>
        <w:t>–</w:t>
      </w:r>
      <w:r>
        <w:rPr>
          <w:rFonts w:eastAsia="Times New Roman"/>
          <w:color w:val="131413"/>
          <w:sz w:val="17"/>
          <w:szCs w:val="17"/>
        </w:rPr>
        <w:t xml:space="preserve"> 30.</w:t>
      </w:r>
    </w:p>
    <w:p w:rsidR="00F90520" w:rsidRDefault="00F90520">
      <w:pPr>
        <w:spacing w:line="32" w:lineRule="exact"/>
        <w:rPr>
          <w:rFonts w:eastAsia="Times New Roman"/>
          <w:color w:val="131413"/>
          <w:sz w:val="17"/>
          <w:szCs w:val="17"/>
        </w:rPr>
      </w:pPr>
    </w:p>
    <w:p w:rsidR="00F90520" w:rsidRDefault="00B9396E">
      <w:pPr>
        <w:numPr>
          <w:ilvl w:val="0"/>
          <w:numId w:val="7"/>
        </w:numPr>
        <w:tabs>
          <w:tab w:val="left" w:pos="380"/>
        </w:tabs>
        <w:spacing w:line="238" w:lineRule="auto"/>
        <w:ind w:left="380" w:hanging="377"/>
        <w:jc w:val="both"/>
        <w:rPr>
          <w:rFonts w:eastAsia="Times New Roman"/>
          <w:color w:val="131413"/>
          <w:sz w:val="17"/>
          <w:szCs w:val="17"/>
        </w:rPr>
      </w:pPr>
      <w:r>
        <w:rPr>
          <w:rFonts w:eastAsia="Times New Roman"/>
          <w:color w:val="131413"/>
          <w:sz w:val="17"/>
          <w:szCs w:val="17"/>
        </w:rPr>
        <w:t>Dornan D, Wertz I, Shimizu H, Arnott D, Frantz GD, Dowd P, et al. The ubiquitin ligase COP1 is a critical negative regulator of p53. Nature. 2004;429:86</w:t>
      </w:r>
      <w:r>
        <w:rPr>
          <w:rFonts w:ascii="Arial" w:eastAsia="Arial" w:hAnsi="Arial" w:cs="Arial"/>
          <w:color w:val="131413"/>
          <w:sz w:val="17"/>
          <w:szCs w:val="17"/>
        </w:rPr>
        <w:t>–</w:t>
      </w:r>
      <w:r>
        <w:rPr>
          <w:rFonts w:eastAsia="Times New Roman"/>
          <w:color w:val="131413"/>
          <w:sz w:val="17"/>
          <w:szCs w:val="17"/>
        </w:rPr>
        <w:t>92.</w:t>
      </w:r>
    </w:p>
    <w:p w:rsidR="00F90520" w:rsidRDefault="00F90520">
      <w:pPr>
        <w:spacing w:line="28" w:lineRule="exact"/>
        <w:rPr>
          <w:rFonts w:eastAsia="Times New Roman"/>
          <w:color w:val="131413"/>
          <w:sz w:val="17"/>
          <w:szCs w:val="17"/>
        </w:rPr>
      </w:pPr>
    </w:p>
    <w:p w:rsidR="00F90520" w:rsidRDefault="00B9396E">
      <w:pPr>
        <w:numPr>
          <w:ilvl w:val="0"/>
          <w:numId w:val="7"/>
        </w:numPr>
        <w:tabs>
          <w:tab w:val="left" w:pos="380"/>
        </w:tabs>
        <w:spacing w:line="260" w:lineRule="auto"/>
        <w:ind w:left="380" w:hanging="377"/>
        <w:jc w:val="both"/>
        <w:rPr>
          <w:rFonts w:eastAsia="Times New Roman"/>
          <w:color w:val="131413"/>
          <w:sz w:val="16"/>
          <w:szCs w:val="16"/>
        </w:rPr>
      </w:pPr>
      <w:r>
        <w:rPr>
          <w:rFonts w:eastAsia="Times New Roman"/>
          <w:color w:val="131413"/>
          <w:sz w:val="16"/>
          <w:szCs w:val="16"/>
        </w:rPr>
        <w:t>Duan W, Gao L, Druhan LJ, Zhu WG, Morrison C, Otterson GA, et al. Expression of Pirh2, a newly ide</w:t>
      </w:r>
      <w:r>
        <w:rPr>
          <w:rFonts w:eastAsia="Times New Roman"/>
          <w:color w:val="131413"/>
          <w:sz w:val="16"/>
          <w:szCs w:val="16"/>
        </w:rPr>
        <w:t>ntified ubiquitin protein li-gase, in lung cancer. J Natl Cancer Inst. 2004;96:1718</w:t>
      </w:r>
      <w:r>
        <w:rPr>
          <w:rFonts w:ascii="Arial" w:eastAsia="Arial" w:hAnsi="Arial" w:cs="Arial"/>
          <w:color w:val="131413"/>
          <w:sz w:val="16"/>
          <w:szCs w:val="16"/>
        </w:rPr>
        <w:t>–</w:t>
      </w:r>
      <w:r>
        <w:rPr>
          <w:rFonts w:eastAsia="Times New Roman"/>
          <w:color w:val="131413"/>
          <w:sz w:val="16"/>
          <w:szCs w:val="16"/>
        </w:rPr>
        <w:t>21.</w:t>
      </w:r>
    </w:p>
    <w:p w:rsidR="00F90520" w:rsidRDefault="00F90520">
      <w:pPr>
        <w:spacing w:line="13" w:lineRule="exact"/>
        <w:rPr>
          <w:rFonts w:eastAsia="Times New Roman"/>
          <w:color w:val="131413"/>
          <w:sz w:val="16"/>
          <w:szCs w:val="16"/>
        </w:rPr>
      </w:pPr>
    </w:p>
    <w:p w:rsidR="00F90520" w:rsidRDefault="00B9396E">
      <w:pPr>
        <w:numPr>
          <w:ilvl w:val="0"/>
          <w:numId w:val="7"/>
        </w:numPr>
        <w:tabs>
          <w:tab w:val="left" w:pos="380"/>
        </w:tabs>
        <w:spacing w:line="241" w:lineRule="auto"/>
        <w:ind w:left="380" w:hanging="377"/>
        <w:jc w:val="both"/>
        <w:rPr>
          <w:rFonts w:eastAsia="Times New Roman"/>
          <w:color w:val="131413"/>
          <w:sz w:val="17"/>
          <w:szCs w:val="17"/>
        </w:rPr>
      </w:pPr>
      <w:r>
        <w:rPr>
          <w:rFonts w:eastAsia="Times New Roman"/>
          <w:color w:val="131413"/>
          <w:sz w:val="17"/>
          <w:szCs w:val="17"/>
        </w:rPr>
        <w:t>Logan IR, Gaughan L, McCracken SR, Sapountzi V, Leung HY, Robson CN. Human PIRH2 enhances androgen receptor signaling through inhibition of histone deacetylase 1 and i</w:t>
      </w:r>
      <w:r>
        <w:rPr>
          <w:rFonts w:eastAsia="Times New Roman"/>
          <w:color w:val="131413"/>
          <w:sz w:val="17"/>
          <w:szCs w:val="17"/>
        </w:rPr>
        <w:t>s overexpressed in prostate cancer. Mol Cell Biol. 2006;26: 6502</w:t>
      </w:r>
      <w:r>
        <w:rPr>
          <w:rFonts w:ascii="Arial" w:eastAsia="Arial" w:hAnsi="Arial" w:cs="Arial"/>
          <w:color w:val="131413"/>
          <w:sz w:val="17"/>
          <w:szCs w:val="17"/>
        </w:rPr>
        <w:t>–</w:t>
      </w:r>
      <w:r>
        <w:rPr>
          <w:rFonts w:eastAsia="Times New Roman"/>
          <w:color w:val="131413"/>
          <w:sz w:val="17"/>
          <w:szCs w:val="17"/>
        </w:rPr>
        <w:t>10.</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400"/>
        </w:tabs>
        <w:spacing w:line="235" w:lineRule="auto"/>
        <w:ind w:left="400" w:hanging="397"/>
        <w:rPr>
          <w:rFonts w:eastAsia="Times New Roman"/>
          <w:color w:val="131413"/>
          <w:sz w:val="17"/>
          <w:szCs w:val="17"/>
        </w:rPr>
      </w:pPr>
      <w:r>
        <w:rPr>
          <w:rFonts w:eastAsia="Times New Roman"/>
          <w:color w:val="131413"/>
          <w:sz w:val="17"/>
          <w:szCs w:val="17"/>
        </w:rPr>
        <w:t>Venkitaraman AR. Cancer susceptibility and the functions of BRCA1 and BRCA2. Cell. 2005;108:171</w:t>
      </w:r>
      <w:r>
        <w:rPr>
          <w:rFonts w:ascii="Arial" w:eastAsia="Arial" w:hAnsi="Arial" w:cs="Arial"/>
          <w:color w:val="131413"/>
          <w:sz w:val="17"/>
          <w:szCs w:val="17"/>
        </w:rPr>
        <w:t>–</w:t>
      </w:r>
      <w:r>
        <w:rPr>
          <w:rFonts w:eastAsia="Times New Roman"/>
          <w:color w:val="131413"/>
          <w:sz w:val="17"/>
          <w:szCs w:val="17"/>
        </w:rPr>
        <w:t>82.</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380"/>
        </w:tabs>
        <w:spacing w:line="258" w:lineRule="auto"/>
        <w:ind w:left="380" w:hanging="377"/>
        <w:rPr>
          <w:rFonts w:eastAsia="Times New Roman"/>
          <w:color w:val="131413"/>
          <w:sz w:val="16"/>
          <w:szCs w:val="16"/>
        </w:rPr>
      </w:pPr>
      <w:r>
        <w:rPr>
          <w:rFonts w:eastAsia="Times New Roman"/>
          <w:color w:val="131413"/>
          <w:sz w:val="16"/>
          <w:szCs w:val="16"/>
        </w:rPr>
        <w:t xml:space="preserve">Satija YK, Bhardwaj A, Das S. A portrayal of E3 ubiquitin ligases and </w:t>
      </w:r>
      <w:r>
        <w:rPr>
          <w:rFonts w:eastAsia="Times New Roman"/>
          <w:color w:val="131413"/>
          <w:sz w:val="16"/>
          <w:szCs w:val="16"/>
        </w:rPr>
        <w:t>deubiquitylases in cancer. Int J Cancer. 2013;133:2759</w:t>
      </w:r>
      <w:r>
        <w:rPr>
          <w:rFonts w:ascii="Arial" w:eastAsia="Arial" w:hAnsi="Arial" w:cs="Arial"/>
          <w:color w:val="131413"/>
          <w:sz w:val="16"/>
          <w:szCs w:val="16"/>
        </w:rPr>
        <w:t>–</w:t>
      </w:r>
      <w:r>
        <w:rPr>
          <w:rFonts w:eastAsia="Times New Roman"/>
          <w:color w:val="131413"/>
          <w:sz w:val="16"/>
          <w:szCs w:val="16"/>
        </w:rPr>
        <w:t>68.</w:t>
      </w:r>
    </w:p>
    <w:p w:rsidR="00F90520" w:rsidRDefault="00F90520">
      <w:pPr>
        <w:spacing w:line="15" w:lineRule="exact"/>
        <w:rPr>
          <w:rFonts w:eastAsia="Times New Roman"/>
          <w:color w:val="131413"/>
          <w:sz w:val="16"/>
          <w:szCs w:val="16"/>
        </w:rPr>
      </w:pPr>
    </w:p>
    <w:p w:rsidR="00F90520" w:rsidRDefault="00B9396E">
      <w:pPr>
        <w:numPr>
          <w:ilvl w:val="0"/>
          <w:numId w:val="7"/>
        </w:numPr>
        <w:tabs>
          <w:tab w:val="left" w:pos="400"/>
        </w:tabs>
        <w:spacing w:line="238" w:lineRule="auto"/>
        <w:ind w:left="400" w:hanging="397"/>
        <w:jc w:val="both"/>
        <w:rPr>
          <w:rFonts w:eastAsia="Times New Roman"/>
          <w:color w:val="131413"/>
          <w:sz w:val="17"/>
          <w:szCs w:val="17"/>
        </w:rPr>
      </w:pPr>
      <w:r>
        <w:rPr>
          <w:rFonts w:eastAsia="Times New Roman"/>
          <w:color w:val="131413"/>
          <w:sz w:val="17"/>
          <w:szCs w:val="17"/>
        </w:rPr>
        <w:t>Latif F, Tory K, Gnarra J, Yao M, Duh FM, Orcutt ML, et al. Identification of the von Hippel-Lindau disease tumor suppressor gene. Science. 1993;260:1317</w:t>
      </w:r>
      <w:r>
        <w:rPr>
          <w:rFonts w:ascii="Arial" w:eastAsia="Arial" w:hAnsi="Arial" w:cs="Arial"/>
          <w:color w:val="131413"/>
          <w:sz w:val="17"/>
          <w:szCs w:val="17"/>
        </w:rPr>
        <w:t>–</w:t>
      </w:r>
      <w:r>
        <w:rPr>
          <w:rFonts w:eastAsia="Times New Roman"/>
          <w:color w:val="131413"/>
          <w:sz w:val="17"/>
          <w:szCs w:val="17"/>
        </w:rPr>
        <w:t>20.</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380"/>
        </w:tabs>
        <w:spacing w:line="238" w:lineRule="auto"/>
        <w:ind w:left="380" w:hanging="377"/>
        <w:jc w:val="both"/>
        <w:rPr>
          <w:rFonts w:eastAsia="Times New Roman"/>
          <w:color w:val="131413"/>
          <w:sz w:val="17"/>
          <w:szCs w:val="17"/>
        </w:rPr>
      </w:pPr>
      <w:r>
        <w:rPr>
          <w:rFonts w:eastAsia="Times New Roman"/>
          <w:color w:val="131413"/>
          <w:sz w:val="17"/>
          <w:szCs w:val="17"/>
        </w:rPr>
        <w:t xml:space="preserve">Xie C, Powell C, Yao M, Wu J, </w:t>
      </w:r>
      <w:r>
        <w:rPr>
          <w:rFonts w:eastAsia="Times New Roman"/>
          <w:color w:val="131413"/>
          <w:sz w:val="17"/>
          <w:szCs w:val="17"/>
        </w:rPr>
        <w:t>Dong Q. Ubiquitin-conjugating enzyme E2C: a potential cancer biomarker. Int J Biochem Cell Biol. 2014;47:113</w:t>
      </w:r>
      <w:r>
        <w:rPr>
          <w:rFonts w:ascii="Arial" w:eastAsia="Arial" w:hAnsi="Arial" w:cs="Arial"/>
          <w:color w:val="131413"/>
          <w:sz w:val="17"/>
          <w:szCs w:val="17"/>
        </w:rPr>
        <w:t>–</w:t>
      </w:r>
      <w:r>
        <w:rPr>
          <w:rFonts w:eastAsia="Times New Roman"/>
          <w:color w:val="131413"/>
          <w:sz w:val="17"/>
          <w:szCs w:val="17"/>
        </w:rPr>
        <w:t>7.</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380"/>
        </w:tabs>
        <w:spacing w:line="238" w:lineRule="auto"/>
        <w:ind w:left="380" w:hanging="377"/>
        <w:jc w:val="both"/>
        <w:rPr>
          <w:rFonts w:eastAsia="Times New Roman"/>
          <w:color w:val="131413"/>
          <w:sz w:val="17"/>
          <w:szCs w:val="17"/>
        </w:rPr>
      </w:pPr>
      <w:r>
        <w:rPr>
          <w:rFonts w:eastAsia="Times New Roman"/>
          <w:color w:val="131413"/>
          <w:sz w:val="17"/>
          <w:szCs w:val="17"/>
        </w:rPr>
        <w:t>Jin L, Williamson A, Banerjee S, Philipp I, Rape M. Mechanism of ubiquitin-chain formation by the human anaphase-promoting com-plex. Cell. 2008</w:t>
      </w:r>
      <w:r>
        <w:rPr>
          <w:rFonts w:eastAsia="Times New Roman"/>
          <w:color w:val="131413"/>
          <w:sz w:val="17"/>
          <w:szCs w:val="17"/>
        </w:rPr>
        <w:t>;133:653</w:t>
      </w:r>
      <w:r>
        <w:rPr>
          <w:rFonts w:ascii="Arial" w:eastAsia="Arial" w:hAnsi="Arial" w:cs="Arial"/>
          <w:color w:val="131413"/>
          <w:sz w:val="17"/>
          <w:szCs w:val="17"/>
        </w:rPr>
        <w:t>–</w:t>
      </w:r>
      <w:r>
        <w:rPr>
          <w:rFonts w:eastAsia="Times New Roman"/>
          <w:color w:val="131413"/>
          <w:sz w:val="17"/>
          <w:szCs w:val="17"/>
        </w:rPr>
        <w:t>65.</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380"/>
        </w:tabs>
        <w:spacing w:line="238" w:lineRule="auto"/>
        <w:ind w:left="380" w:hanging="377"/>
        <w:jc w:val="both"/>
        <w:rPr>
          <w:rFonts w:eastAsia="Times New Roman"/>
          <w:color w:val="131413"/>
          <w:sz w:val="17"/>
          <w:szCs w:val="17"/>
        </w:rPr>
      </w:pPr>
      <w:r>
        <w:rPr>
          <w:rFonts w:eastAsia="Times New Roman"/>
          <w:color w:val="131413"/>
          <w:sz w:val="17"/>
          <w:szCs w:val="17"/>
        </w:rPr>
        <w:t>Meyer HJ, Rape M. Processive ubiquitin chain formation by the anaphase-promoting complex. Semin Cell Dev Biol. 2011;22:544</w:t>
      </w:r>
      <w:r>
        <w:rPr>
          <w:rFonts w:ascii="Arial" w:eastAsia="Arial" w:hAnsi="Arial" w:cs="Arial"/>
          <w:color w:val="131413"/>
          <w:sz w:val="17"/>
          <w:szCs w:val="17"/>
        </w:rPr>
        <w:t>–</w:t>
      </w:r>
      <w:r>
        <w:rPr>
          <w:rFonts w:eastAsia="Times New Roman"/>
          <w:color w:val="131413"/>
          <w:sz w:val="17"/>
          <w:szCs w:val="17"/>
        </w:rPr>
        <w:t>50.</w:t>
      </w:r>
    </w:p>
    <w:p w:rsidR="00F90520" w:rsidRDefault="00F90520">
      <w:pPr>
        <w:spacing w:line="29" w:lineRule="exact"/>
        <w:rPr>
          <w:rFonts w:eastAsia="Times New Roman"/>
          <w:color w:val="131413"/>
          <w:sz w:val="17"/>
          <w:szCs w:val="17"/>
        </w:rPr>
      </w:pPr>
    </w:p>
    <w:p w:rsidR="00F90520" w:rsidRDefault="00B9396E">
      <w:pPr>
        <w:numPr>
          <w:ilvl w:val="0"/>
          <w:numId w:val="7"/>
        </w:numPr>
        <w:tabs>
          <w:tab w:val="left" w:pos="400"/>
        </w:tabs>
        <w:spacing w:line="238" w:lineRule="auto"/>
        <w:ind w:left="400" w:hanging="397"/>
        <w:jc w:val="both"/>
        <w:rPr>
          <w:rFonts w:eastAsia="Times New Roman"/>
          <w:color w:val="131413"/>
          <w:sz w:val="17"/>
          <w:szCs w:val="17"/>
        </w:rPr>
      </w:pPr>
      <w:r>
        <w:rPr>
          <w:rFonts w:eastAsia="Times New Roman"/>
          <w:color w:val="131413"/>
          <w:sz w:val="17"/>
          <w:szCs w:val="17"/>
        </w:rPr>
        <w:t>Okamoto Y, Ozaki T, Miyazaki K, Aoyama M, Miyazaki M, Nakagawara A. UbcH10 is the cancer-related E2 ubiquitin-conj</w:t>
      </w:r>
      <w:r>
        <w:rPr>
          <w:rFonts w:eastAsia="Times New Roman"/>
          <w:color w:val="131413"/>
          <w:sz w:val="17"/>
          <w:szCs w:val="17"/>
        </w:rPr>
        <w:t>ugating enzyme. Cancer Res. 2003;63:4167</w:t>
      </w:r>
      <w:r>
        <w:rPr>
          <w:rFonts w:ascii="Arial" w:eastAsia="Arial" w:hAnsi="Arial" w:cs="Arial"/>
          <w:color w:val="131413"/>
          <w:sz w:val="17"/>
          <w:szCs w:val="17"/>
        </w:rPr>
        <w:t>–</w:t>
      </w:r>
      <w:r>
        <w:rPr>
          <w:rFonts w:eastAsia="Times New Roman"/>
          <w:color w:val="131413"/>
          <w:sz w:val="17"/>
          <w:szCs w:val="17"/>
        </w:rPr>
        <w:t>73.</w:t>
      </w:r>
    </w:p>
    <w:p w:rsidR="00F90520" w:rsidRDefault="00F90520">
      <w:pPr>
        <w:spacing w:line="20" w:lineRule="exact"/>
        <w:rPr>
          <w:rFonts w:eastAsia="Times New Roman"/>
          <w:color w:val="131413"/>
          <w:sz w:val="19"/>
          <w:szCs w:val="19"/>
        </w:rPr>
      </w:pPr>
    </w:p>
    <w:p w:rsidR="00F90520" w:rsidRDefault="00F90520">
      <w:pPr>
        <w:sectPr w:rsidR="00F90520">
          <w:type w:val="continuous"/>
          <w:pgSz w:w="11900" w:h="15817"/>
          <w:pgMar w:top="649" w:right="1026" w:bottom="939" w:left="1020" w:header="0" w:footer="0" w:gutter="0"/>
          <w:cols w:num="2" w:space="720" w:equalWidth="0">
            <w:col w:w="4760" w:space="340"/>
            <w:col w:w="4760"/>
          </w:cols>
        </w:sectPr>
      </w:pPr>
    </w:p>
    <w:p w:rsidR="00F90520" w:rsidRDefault="00B9396E">
      <w:pPr>
        <w:spacing w:line="20" w:lineRule="exact"/>
        <w:rPr>
          <w:sz w:val="20"/>
          <w:szCs w:val="20"/>
        </w:rPr>
      </w:pPr>
      <w:bookmarkStart w:id="8" w:name="page10"/>
      <w:bookmarkEnd w:id="8"/>
      <w:r>
        <w:rPr>
          <w:noProof/>
          <w:sz w:val="20"/>
          <w:szCs w:val="20"/>
        </w:rPr>
        <w:lastRenderedPageBreak/>
        <mc:AlternateContent>
          <mc:Choice Requires="wps">
            <w:drawing>
              <wp:anchor distT="0" distB="0" distL="114300" distR="114300" simplePos="0" relativeHeight="251670528" behindDoc="1" locked="0" layoutInCell="0" allowOverlap="1">
                <wp:simplePos x="0" y="0"/>
                <wp:positionH relativeFrom="column">
                  <wp:posOffset>0</wp:posOffset>
                </wp:positionH>
                <wp:positionV relativeFrom="paragraph">
                  <wp:posOffset>40005</wp:posOffset>
                </wp:positionV>
                <wp:extent cx="626364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3640" cy="4763"/>
                        </a:xfrm>
                        <a:prstGeom prst="line">
                          <a:avLst/>
                        </a:prstGeom>
                        <a:solidFill>
                          <a:srgbClr val="FFFFFF"/>
                        </a:solidFill>
                        <a:ln w="12954">
                          <a:solidFill>
                            <a:srgbClr val="131413"/>
                          </a:solidFill>
                          <a:miter lim="800000"/>
                          <a:headEnd/>
                          <a:tailEnd/>
                        </a:ln>
                      </wps:spPr>
                      <wps:bodyPr/>
                    </wps:wsp>
                  </a:graphicData>
                </a:graphic>
              </wp:anchor>
            </w:drawing>
          </mc:Choice>
          <mc:Fallback>
            <w:pict>
              <v:line w14:anchorId="0E99F33A" id="Shape 27"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0,3.15pt" to="493.2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" o:allowincell="f" filled="t" strokecolor="#131413" strokeweight="1.02pt">
                <v:stroke joinstyle="miter"/>
                <o:lock v:ext="edit" shapetype="f"/>
              </v:line>
            </w:pict>
          </mc:Fallback>
        </mc:AlternateContent>
      </w:r>
    </w:p>
    <w:p w:rsidR="00F90520" w:rsidRDefault="00F90520">
      <w:pPr>
        <w:sectPr w:rsidR="00F90520">
          <w:pgSz w:w="11900" w:h="15817"/>
          <w:pgMar w:top="649" w:right="1026" w:bottom="1440" w:left="1020" w:header="0" w:footer="0" w:gutter="0"/>
          <w:cols w:space="720" w:equalWidth="0">
            <w:col w:w="9860"/>
          </w:cols>
        </w:sectPr>
      </w:pPr>
    </w:p>
    <w:p w:rsidR="00F90520" w:rsidRDefault="00F90520">
      <w:pPr>
        <w:spacing w:line="296" w:lineRule="exact"/>
        <w:rPr>
          <w:sz w:val="20"/>
          <w:szCs w:val="20"/>
        </w:rPr>
      </w:pPr>
    </w:p>
    <w:p w:rsidR="00F90520" w:rsidRDefault="00B9396E">
      <w:pPr>
        <w:numPr>
          <w:ilvl w:val="0"/>
          <w:numId w:val="8"/>
        </w:numPr>
        <w:tabs>
          <w:tab w:val="left" w:pos="380"/>
        </w:tabs>
        <w:spacing w:line="238" w:lineRule="auto"/>
        <w:ind w:left="380" w:hanging="380"/>
        <w:jc w:val="both"/>
        <w:rPr>
          <w:rFonts w:eastAsia="Times New Roman"/>
          <w:color w:val="131413"/>
          <w:sz w:val="17"/>
          <w:szCs w:val="17"/>
        </w:rPr>
      </w:pPr>
      <w:r>
        <w:rPr>
          <w:rFonts w:eastAsia="Times New Roman"/>
          <w:color w:val="131413"/>
          <w:sz w:val="17"/>
          <w:szCs w:val="17"/>
        </w:rPr>
        <w:t xml:space="preserve">Hao Z, Zhang H, Cowell J. Ubiquitin-conjugating enzyme UBE2C: molecular biology, role in tumorigenesis, and potential as a </w:t>
      </w:r>
      <w:r>
        <w:rPr>
          <w:rFonts w:eastAsia="Times New Roman"/>
          <w:color w:val="131413"/>
          <w:sz w:val="17"/>
          <w:szCs w:val="17"/>
        </w:rPr>
        <w:t>bio-marker. Tumour Biol. 2012;33:723</w:t>
      </w:r>
      <w:r>
        <w:rPr>
          <w:rFonts w:ascii="Arial" w:eastAsia="Arial" w:hAnsi="Arial" w:cs="Arial"/>
          <w:color w:val="131413"/>
          <w:sz w:val="17"/>
          <w:szCs w:val="17"/>
        </w:rPr>
        <w:t>–</w:t>
      </w:r>
      <w:r>
        <w:rPr>
          <w:rFonts w:eastAsia="Times New Roman"/>
          <w:color w:val="131413"/>
          <w:sz w:val="17"/>
          <w:szCs w:val="17"/>
        </w:rPr>
        <w:t>30.</w:t>
      </w:r>
    </w:p>
    <w:p w:rsidR="00F90520" w:rsidRDefault="00F90520">
      <w:pPr>
        <w:spacing w:line="17" w:lineRule="exact"/>
        <w:rPr>
          <w:rFonts w:eastAsia="Times New Roman"/>
          <w:color w:val="131413"/>
          <w:sz w:val="17"/>
          <w:szCs w:val="17"/>
        </w:rPr>
      </w:pPr>
    </w:p>
    <w:p w:rsidR="00F90520" w:rsidRDefault="00B9396E">
      <w:pPr>
        <w:numPr>
          <w:ilvl w:val="0"/>
          <w:numId w:val="8"/>
        </w:numPr>
        <w:tabs>
          <w:tab w:val="left" w:pos="399"/>
        </w:tabs>
        <w:ind w:left="400" w:hanging="400"/>
        <w:jc w:val="both"/>
        <w:rPr>
          <w:rFonts w:eastAsia="Times New Roman"/>
          <w:color w:val="131413"/>
          <w:sz w:val="17"/>
          <w:szCs w:val="17"/>
        </w:rPr>
      </w:pPr>
      <w:r>
        <w:rPr>
          <w:rFonts w:eastAsia="Times New Roman"/>
          <w:color w:val="131413"/>
          <w:sz w:val="17"/>
          <w:szCs w:val="17"/>
        </w:rPr>
        <w:t xml:space="preserve">Vasiljevic A, Champier J, Figarella-Branger D, Wierinckx A, Jouvet A, Fèvre-Montange M. Molecular characterization of cen-tral neurocytomas: potential markers for tumor typing and progres-sion. </w:t>
      </w:r>
      <w:r>
        <w:rPr>
          <w:rFonts w:eastAsia="Times New Roman"/>
          <w:color w:val="131413"/>
          <w:sz w:val="17"/>
          <w:szCs w:val="17"/>
        </w:rPr>
        <w:t>Neuropathology. 2013;33:149</w:t>
      </w:r>
      <w:r>
        <w:rPr>
          <w:rFonts w:ascii="Arial" w:eastAsia="Arial" w:hAnsi="Arial" w:cs="Arial"/>
          <w:color w:val="131413"/>
          <w:sz w:val="17"/>
          <w:szCs w:val="17"/>
        </w:rPr>
        <w:t>–</w:t>
      </w:r>
      <w:r>
        <w:rPr>
          <w:rFonts w:eastAsia="Times New Roman"/>
          <w:color w:val="131413"/>
          <w:sz w:val="17"/>
          <w:szCs w:val="17"/>
        </w:rPr>
        <w:t>61.</w:t>
      </w:r>
    </w:p>
    <w:p w:rsidR="00F90520" w:rsidRDefault="00F90520">
      <w:pPr>
        <w:spacing w:line="16" w:lineRule="exact"/>
        <w:rPr>
          <w:rFonts w:eastAsia="Times New Roman"/>
          <w:color w:val="131413"/>
          <w:sz w:val="17"/>
          <w:szCs w:val="17"/>
        </w:rPr>
      </w:pPr>
    </w:p>
    <w:p w:rsidR="00F90520" w:rsidRDefault="00B9396E">
      <w:pPr>
        <w:numPr>
          <w:ilvl w:val="0"/>
          <w:numId w:val="8"/>
        </w:numPr>
        <w:tabs>
          <w:tab w:val="left" w:pos="380"/>
        </w:tabs>
        <w:ind w:left="380" w:hanging="380"/>
        <w:jc w:val="both"/>
        <w:rPr>
          <w:rFonts w:eastAsia="Times New Roman"/>
          <w:color w:val="131413"/>
          <w:sz w:val="17"/>
          <w:szCs w:val="17"/>
        </w:rPr>
      </w:pPr>
      <w:r>
        <w:rPr>
          <w:rFonts w:eastAsia="Times New Roman"/>
          <w:color w:val="131413"/>
          <w:sz w:val="17"/>
          <w:szCs w:val="17"/>
        </w:rPr>
        <w:t>Shen Z, Jiang X, Zeng C, Zheng S, Luo B, Zeng Y, et al. High expression of ubiquitin-conjugating enzyme 2C (UBE2C) corre-lates with nasopharyngeal carcinoma progression. BMC Cancer. 2013;13:192.</w:t>
      </w:r>
    </w:p>
    <w:p w:rsidR="00F90520" w:rsidRDefault="00F90520">
      <w:pPr>
        <w:spacing w:line="17" w:lineRule="exact"/>
        <w:rPr>
          <w:rFonts w:eastAsia="Times New Roman"/>
          <w:color w:val="131413"/>
          <w:sz w:val="17"/>
          <w:szCs w:val="17"/>
        </w:rPr>
      </w:pPr>
    </w:p>
    <w:p w:rsidR="00F90520" w:rsidRDefault="00B9396E">
      <w:pPr>
        <w:numPr>
          <w:ilvl w:val="0"/>
          <w:numId w:val="8"/>
        </w:numPr>
        <w:tabs>
          <w:tab w:val="left" w:pos="400"/>
        </w:tabs>
        <w:ind w:left="400" w:hanging="400"/>
        <w:jc w:val="both"/>
        <w:rPr>
          <w:rFonts w:eastAsia="Times New Roman"/>
          <w:color w:val="131413"/>
          <w:sz w:val="17"/>
          <w:szCs w:val="17"/>
        </w:rPr>
      </w:pPr>
      <w:r>
        <w:rPr>
          <w:rFonts w:eastAsia="Times New Roman"/>
          <w:color w:val="131413"/>
          <w:sz w:val="17"/>
          <w:szCs w:val="17"/>
        </w:rPr>
        <w:t xml:space="preserve">van Ree JH, Jeganathan KB, </w:t>
      </w:r>
      <w:r>
        <w:rPr>
          <w:rFonts w:eastAsia="Times New Roman"/>
          <w:color w:val="131413"/>
          <w:sz w:val="17"/>
          <w:szCs w:val="17"/>
        </w:rPr>
        <w:t>Malureanu L, van Deursen JM. Overexpression of the E2 ubiquitin-conjugating enzyme UbcH10 causes chromosome missegregation and tumor formation. J Cell Biol. 2010;188:83</w:t>
      </w:r>
      <w:r>
        <w:rPr>
          <w:rFonts w:ascii="Arial" w:eastAsia="Arial" w:hAnsi="Arial" w:cs="Arial"/>
          <w:color w:val="131413"/>
          <w:sz w:val="17"/>
          <w:szCs w:val="17"/>
        </w:rPr>
        <w:t>–</w:t>
      </w:r>
      <w:r>
        <w:rPr>
          <w:rFonts w:eastAsia="Times New Roman"/>
          <w:color w:val="131413"/>
          <w:sz w:val="17"/>
          <w:szCs w:val="17"/>
        </w:rPr>
        <w:t>100.</w:t>
      </w:r>
    </w:p>
    <w:p w:rsidR="00F90520" w:rsidRDefault="00F90520">
      <w:pPr>
        <w:spacing w:line="16" w:lineRule="exact"/>
        <w:rPr>
          <w:rFonts w:eastAsia="Times New Roman"/>
          <w:color w:val="131413"/>
          <w:sz w:val="17"/>
          <w:szCs w:val="17"/>
        </w:rPr>
      </w:pPr>
    </w:p>
    <w:p w:rsidR="00F90520" w:rsidRDefault="00B9396E">
      <w:pPr>
        <w:numPr>
          <w:ilvl w:val="0"/>
          <w:numId w:val="8"/>
        </w:numPr>
        <w:tabs>
          <w:tab w:val="left" w:pos="380"/>
        </w:tabs>
        <w:spacing w:line="238" w:lineRule="auto"/>
        <w:ind w:left="380" w:hanging="380"/>
        <w:jc w:val="both"/>
        <w:rPr>
          <w:rFonts w:eastAsia="Times New Roman"/>
          <w:color w:val="131413"/>
          <w:sz w:val="17"/>
          <w:szCs w:val="17"/>
        </w:rPr>
      </w:pPr>
      <w:r>
        <w:rPr>
          <w:rFonts w:eastAsia="Times New Roman"/>
          <w:color w:val="131413"/>
          <w:sz w:val="17"/>
          <w:szCs w:val="17"/>
        </w:rPr>
        <w:t>Garnett MJ, Mansfeld J, Godwin C, Matsusaka T, Wu J, Russell P, et al. UBE2S elon</w:t>
      </w:r>
      <w:r>
        <w:rPr>
          <w:rFonts w:eastAsia="Times New Roman"/>
          <w:color w:val="131413"/>
          <w:sz w:val="17"/>
          <w:szCs w:val="17"/>
        </w:rPr>
        <w:t>gates ubiquitin chains on APC/C substrates to promote mitotic exit. Nat Cell Biol. 2009;11:1363</w:t>
      </w:r>
      <w:r>
        <w:rPr>
          <w:rFonts w:ascii="Arial" w:eastAsia="Arial" w:hAnsi="Arial" w:cs="Arial"/>
          <w:color w:val="131413"/>
          <w:sz w:val="17"/>
          <w:szCs w:val="17"/>
        </w:rPr>
        <w:t>–</w:t>
      </w:r>
      <w:r>
        <w:rPr>
          <w:rFonts w:eastAsia="Times New Roman"/>
          <w:color w:val="131413"/>
          <w:sz w:val="17"/>
          <w:szCs w:val="17"/>
        </w:rPr>
        <w:t>9.</w:t>
      </w:r>
    </w:p>
    <w:p w:rsidR="00F90520" w:rsidRDefault="00F90520">
      <w:pPr>
        <w:spacing w:line="17" w:lineRule="exact"/>
        <w:rPr>
          <w:rFonts w:eastAsia="Times New Roman"/>
          <w:color w:val="131413"/>
          <w:sz w:val="17"/>
          <w:szCs w:val="17"/>
        </w:rPr>
      </w:pPr>
    </w:p>
    <w:p w:rsidR="00F90520" w:rsidRDefault="00B9396E">
      <w:pPr>
        <w:numPr>
          <w:ilvl w:val="0"/>
          <w:numId w:val="8"/>
        </w:numPr>
        <w:tabs>
          <w:tab w:val="left" w:pos="380"/>
        </w:tabs>
        <w:ind w:left="380" w:hanging="380"/>
        <w:jc w:val="both"/>
        <w:rPr>
          <w:rFonts w:eastAsia="Times New Roman"/>
          <w:color w:val="131413"/>
          <w:sz w:val="17"/>
          <w:szCs w:val="17"/>
        </w:rPr>
      </w:pPr>
      <w:r>
        <w:rPr>
          <w:rFonts w:eastAsia="Times New Roman"/>
          <w:color w:val="131413"/>
          <w:sz w:val="17"/>
          <w:szCs w:val="17"/>
        </w:rPr>
        <w:t>Williamson A, Wickliffe KE, Mellone BG, Song L, Karpen GH, Rape M. Identification of a physiological E2 module for the human anaphase-promoting complex. Pro</w:t>
      </w:r>
      <w:r>
        <w:rPr>
          <w:rFonts w:eastAsia="Times New Roman"/>
          <w:color w:val="131413"/>
          <w:sz w:val="17"/>
          <w:szCs w:val="17"/>
        </w:rPr>
        <w:t>c Natl Acad Sci U S A. 2009;106:18213</w:t>
      </w:r>
      <w:r>
        <w:rPr>
          <w:rFonts w:ascii="Arial" w:eastAsia="Arial" w:hAnsi="Arial" w:cs="Arial"/>
          <w:color w:val="131413"/>
          <w:sz w:val="17"/>
          <w:szCs w:val="17"/>
        </w:rPr>
        <w:t>–</w:t>
      </w:r>
      <w:r>
        <w:rPr>
          <w:rFonts w:eastAsia="Times New Roman"/>
          <w:color w:val="131413"/>
          <w:sz w:val="17"/>
          <w:szCs w:val="17"/>
        </w:rPr>
        <w:t>8.</w:t>
      </w:r>
    </w:p>
    <w:p w:rsidR="00F90520" w:rsidRDefault="00F90520">
      <w:pPr>
        <w:spacing w:line="16" w:lineRule="exact"/>
        <w:rPr>
          <w:rFonts w:eastAsia="Times New Roman"/>
          <w:color w:val="131413"/>
          <w:sz w:val="17"/>
          <w:szCs w:val="17"/>
        </w:rPr>
      </w:pPr>
    </w:p>
    <w:p w:rsidR="00F90520" w:rsidRDefault="00B9396E">
      <w:pPr>
        <w:numPr>
          <w:ilvl w:val="0"/>
          <w:numId w:val="8"/>
        </w:numPr>
        <w:tabs>
          <w:tab w:val="left" w:pos="380"/>
        </w:tabs>
        <w:spacing w:line="234" w:lineRule="auto"/>
        <w:ind w:left="380" w:hanging="380"/>
        <w:rPr>
          <w:rFonts w:eastAsia="Times New Roman"/>
          <w:color w:val="131413"/>
          <w:sz w:val="17"/>
          <w:szCs w:val="17"/>
        </w:rPr>
      </w:pPr>
      <w:r>
        <w:rPr>
          <w:rFonts w:eastAsia="Times New Roman"/>
          <w:color w:val="131413"/>
          <w:sz w:val="17"/>
          <w:szCs w:val="17"/>
        </w:rPr>
        <w:t>Meyer HJ, Rape M. Enhanced protein degradation by branched ubiquitin chains. Cell. 2014;15:910</w:t>
      </w:r>
      <w:r>
        <w:rPr>
          <w:rFonts w:ascii="Arial" w:eastAsia="Arial" w:hAnsi="Arial" w:cs="Arial"/>
          <w:color w:val="131413"/>
          <w:sz w:val="17"/>
          <w:szCs w:val="17"/>
        </w:rPr>
        <w:t>–</w:t>
      </w:r>
      <w:r>
        <w:rPr>
          <w:rFonts w:eastAsia="Times New Roman"/>
          <w:color w:val="131413"/>
          <w:sz w:val="17"/>
          <w:szCs w:val="17"/>
        </w:rPr>
        <w:t>21.</w:t>
      </w:r>
    </w:p>
    <w:p w:rsidR="00F90520" w:rsidRDefault="00F90520">
      <w:pPr>
        <w:spacing w:line="17" w:lineRule="exact"/>
        <w:rPr>
          <w:rFonts w:eastAsia="Times New Roman"/>
          <w:color w:val="131413"/>
          <w:sz w:val="17"/>
          <w:szCs w:val="17"/>
        </w:rPr>
      </w:pPr>
    </w:p>
    <w:p w:rsidR="00F90520" w:rsidRDefault="00B9396E">
      <w:pPr>
        <w:numPr>
          <w:ilvl w:val="0"/>
          <w:numId w:val="8"/>
        </w:numPr>
        <w:tabs>
          <w:tab w:val="left" w:pos="380"/>
        </w:tabs>
        <w:spacing w:line="260" w:lineRule="auto"/>
        <w:ind w:left="380" w:hanging="379"/>
        <w:jc w:val="both"/>
        <w:rPr>
          <w:rFonts w:eastAsia="Times New Roman"/>
          <w:color w:val="131413"/>
          <w:sz w:val="16"/>
          <w:szCs w:val="16"/>
        </w:rPr>
      </w:pPr>
      <w:r>
        <w:rPr>
          <w:rFonts w:eastAsia="Times New Roman"/>
          <w:color w:val="131413"/>
          <w:sz w:val="16"/>
          <w:szCs w:val="16"/>
        </w:rPr>
        <w:t>Tedesco D, Zhang J, Trinh L, Lalehzadeh G, Meisner R, Yamaguchi KD, et al. The ubiquitin-conjugating enzyme E2-EPF</w:t>
      </w:r>
      <w:r>
        <w:rPr>
          <w:rFonts w:eastAsia="Times New Roman"/>
          <w:color w:val="131413"/>
          <w:sz w:val="16"/>
          <w:szCs w:val="16"/>
        </w:rPr>
        <w:t xml:space="preserve"> is overexpressed in primary breast cancer and modulates sensitivity to topoisomerase II inhibition. Neoplasia. 2007;9:601</w:t>
      </w:r>
      <w:r>
        <w:rPr>
          <w:rFonts w:ascii="Arial" w:eastAsia="Arial" w:hAnsi="Arial" w:cs="Arial"/>
          <w:color w:val="131413"/>
          <w:sz w:val="16"/>
          <w:szCs w:val="16"/>
        </w:rPr>
        <w:t>–</w:t>
      </w:r>
      <w:r>
        <w:rPr>
          <w:rFonts w:eastAsia="Times New Roman"/>
          <w:color w:val="131413"/>
          <w:sz w:val="16"/>
          <w:szCs w:val="16"/>
        </w:rPr>
        <w:t>13.</w:t>
      </w:r>
    </w:p>
    <w:p w:rsidR="00F90520" w:rsidRDefault="00F90520">
      <w:pPr>
        <w:spacing w:line="1" w:lineRule="exact"/>
        <w:rPr>
          <w:rFonts w:eastAsia="Times New Roman"/>
          <w:color w:val="131413"/>
          <w:sz w:val="16"/>
          <w:szCs w:val="16"/>
        </w:rPr>
      </w:pPr>
    </w:p>
    <w:p w:rsidR="00F90520" w:rsidRDefault="00B9396E">
      <w:pPr>
        <w:numPr>
          <w:ilvl w:val="0"/>
          <w:numId w:val="8"/>
        </w:numPr>
        <w:tabs>
          <w:tab w:val="left" w:pos="380"/>
        </w:tabs>
        <w:spacing w:line="238" w:lineRule="auto"/>
        <w:ind w:left="380" w:hanging="379"/>
        <w:jc w:val="both"/>
        <w:rPr>
          <w:rFonts w:eastAsia="Times New Roman"/>
          <w:color w:val="131413"/>
          <w:sz w:val="17"/>
          <w:szCs w:val="17"/>
        </w:rPr>
      </w:pPr>
      <w:r>
        <w:rPr>
          <w:rFonts w:eastAsia="Times New Roman"/>
          <w:color w:val="131413"/>
          <w:sz w:val="17"/>
          <w:szCs w:val="17"/>
        </w:rPr>
        <w:t xml:space="preserve">Roos FC, Evans AJ, Brenner W, Wondergem B, Klomp J, Heir P, et al. Deregulation of E2-EPF ubiquitin carrier protein in </w:t>
      </w:r>
      <w:r>
        <w:rPr>
          <w:rFonts w:eastAsia="Times New Roman"/>
          <w:color w:val="131413"/>
          <w:sz w:val="17"/>
          <w:szCs w:val="17"/>
        </w:rPr>
        <w:t>papillary renal cell carcinoma. Am J Pathol. 2011;178:853</w:t>
      </w:r>
      <w:r>
        <w:rPr>
          <w:rFonts w:ascii="Arial" w:eastAsia="Arial" w:hAnsi="Arial" w:cs="Arial"/>
          <w:color w:val="131413"/>
          <w:sz w:val="17"/>
          <w:szCs w:val="17"/>
        </w:rPr>
        <w:t>–</w:t>
      </w:r>
      <w:r>
        <w:rPr>
          <w:rFonts w:eastAsia="Times New Roman"/>
          <w:color w:val="131413"/>
          <w:sz w:val="17"/>
          <w:szCs w:val="17"/>
        </w:rPr>
        <w:t>60.</w:t>
      </w:r>
    </w:p>
    <w:p w:rsidR="00F90520" w:rsidRDefault="00F90520">
      <w:pPr>
        <w:spacing w:line="20" w:lineRule="exact"/>
        <w:rPr>
          <w:sz w:val="20"/>
          <w:szCs w:val="20"/>
        </w:rPr>
      </w:pPr>
    </w:p>
    <w:p w:rsidR="00F90520" w:rsidRDefault="00B9396E">
      <w:pPr>
        <w:spacing w:line="20" w:lineRule="exact"/>
        <w:rPr>
          <w:sz w:val="20"/>
          <w:szCs w:val="20"/>
        </w:rPr>
      </w:pPr>
      <w:r>
        <w:rPr>
          <w:sz w:val="20"/>
          <w:szCs w:val="20"/>
        </w:rPr>
        <w:br w:type="column"/>
      </w:r>
    </w:p>
    <w:p w:rsidR="00F90520" w:rsidRDefault="00F90520">
      <w:pPr>
        <w:spacing w:line="275" w:lineRule="exact"/>
        <w:rPr>
          <w:sz w:val="20"/>
          <w:szCs w:val="20"/>
        </w:rPr>
      </w:pPr>
    </w:p>
    <w:p w:rsidR="00F90520" w:rsidRDefault="00B9396E">
      <w:pPr>
        <w:numPr>
          <w:ilvl w:val="0"/>
          <w:numId w:val="9"/>
        </w:numPr>
        <w:tabs>
          <w:tab w:val="left" w:pos="377"/>
        </w:tabs>
        <w:ind w:left="377" w:hanging="377"/>
        <w:jc w:val="both"/>
        <w:rPr>
          <w:rFonts w:eastAsia="Times New Roman"/>
          <w:color w:val="131413"/>
          <w:sz w:val="17"/>
          <w:szCs w:val="17"/>
        </w:rPr>
      </w:pPr>
      <w:r>
        <w:rPr>
          <w:rFonts w:eastAsia="Times New Roman"/>
          <w:color w:val="131413"/>
          <w:sz w:val="17"/>
          <w:szCs w:val="17"/>
        </w:rPr>
        <w:t>Liang J, Nishi H, Bian ML, Higuma C, Sasaki T, Ito H, et al. The ubiquitin-conjugating enzyme E2-EPF is overexpressed in cervical cancer and associates with tumor growth. Oncol Rep. 2012;28</w:t>
      </w:r>
      <w:r>
        <w:rPr>
          <w:rFonts w:eastAsia="Times New Roman"/>
          <w:color w:val="131413"/>
          <w:sz w:val="17"/>
          <w:szCs w:val="17"/>
        </w:rPr>
        <w:t>: 1519</w:t>
      </w:r>
      <w:r>
        <w:rPr>
          <w:rFonts w:ascii="Arial" w:eastAsia="Arial" w:hAnsi="Arial" w:cs="Arial"/>
          <w:color w:val="131413"/>
          <w:sz w:val="17"/>
          <w:szCs w:val="17"/>
        </w:rPr>
        <w:t>–</w:t>
      </w:r>
      <w:r>
        <w:rPr>
          <w:rFonts w:eastAsia="Times New Roman"/>
          <w:color w:val="131413"/>
          <w:sz w:val="17"/>
          <w:szCs w:val="17"/>
        </w:rPr>
        <w:t>25.</w:t>
      </w:r>
    </w:p>
    <w:p w:rsidR="00F90520" w:rsidRDefault="00F90520">
      <w:pPr>
        <w:spacing w:line="37" w:lineRule="exact"/>
        <w:rPr>
          <w:rFonts w:eastAsia="Times New Roman"/>
          <w:color w:val="131413"/>
          <w:sz w:val="17"/>
          <w:szCs w:val="17"/>
        </w:rPr>
      </w:pPr>
    </w:p>
    <w:p w:rsidR="00F90520" w:rsidRDefault="00B9396E">
      <w:pPr>
        <w:numPr>
          <w:ilvl w:val="0"/>
          <w:numId w:val="9"/>
        </w:numPr>
        <w:tabs>
          <w:tab w:val="left" w:pos="377"/>
        </w:tabs>
        <w:spacing w:line="239" w:lineRule="auto"/>
        <w:ind w:left="377" w:hanging="377"/>
        <w:jc w:val="both"/>
        <w:rPr>
          <w:rFonts w:eastAsia="Times New Roman"/>
          <w:color w:val="131413"/>
          <w:sz w:val="17"/>
          <w:szCs w:val="17"/>
        </w:rPr>
      </w:pPr>
      <w:r>
        <w:rPr>
          <w:rFonts w:eastAsia="Times New Roman"/>
          <w:color w:val="131413"/>
          <w:sz w:val="17"/>
          <w:szCs w:val="17"/>
        </w:rPr>
        <w:t>Clarke C, Madden SF, Doolan P, Aherne ST, Joyce H, O</w:t>
      </w:r>
      <w:r>
        <w:rPr>
          <w:rFonts w:ascii="Arial" w:eastAsia="Arial" w:hAnsi="Arial" w:cs="Arial"/>
          <w:color w:val="131413"/>
          <w:sz w:val="17"/>
          <w:szCs w:val="17"/>
        </w:rPr>
        <w:t>’</w:t>
      </w:r>
      <w:r>
        <w:rPr>
          <w:rFonts w:eastAsia="Times New Roman"/>
          <w:color w:val="131413"/>
          <w:sz w:val="17"/>
          <w:szCs w:val="17"/>
        </w:rPr>
        <w:t>Driscoll L, et al. Correlating transcriptional networks to breast cancer survival: a large-scale coexpression analysis. Carcinogenesis. 2013;34: 2300</w:t>
      </w:r>
      <w:r>
        <w:rPr>
          <w:rFonts w:ascii="Arial" w:eastAsia="Arial" w:hAnsi="Arial" w:cs="Arial"/>
          <w:color w:val="131413"/>
          <w:sz w:val="17"/>
          <w:szCs w:val="17"/>
        </w:rPr>
        <w:t>–</w:t>
      </w:r>
      <w:r>
        <w:rPr>
          <w:rFonts w:eastAsia="Times New Roman"/>
          <w:color w:val="131413"/>
          <w:sz w:val="17"/>
          <w:szCs w:val="17"/>
        </w:rPr>
        <w:t>8.</w:t>
      </w:r>
    </w:p>
    <w:p w:rsidR="00F90520" w:rsidRDefault="00F90520">
      <w:pPr>
        <w:spacing w:line="38" w:lineRule="exact"/>
        <w:rPr>
          <w:rFonts w:eastAsia="Times New Roman"/>
          <w:color w:val="131413"/>
          <w:sz w:val="17"/>
          <w:szCs w:val="17"/>
        </w:rPr>
      </w:pPr>
    </w:p>
    <w:p w:rsidR="00F90520" w:rsidRDefault="00B9396E">
      <w:pPr>
        <w:numPr>
          <w:ilvl w:val="0"/>
          <w:numId w:val="9"/>
        </w:numPr>
        <w:tabs>
          <w:tab w:val="left" w:pos="398"/>
        </w:tabs>
        <w:spacing w:line="238" w:lineRule="auto"/>
        <w:ind w:left="397" w:hanging="397"/>
        <w:jc w:val="both"/>
        <w:rPr>
          <w:rFonts w:eastAsia="Times New Roman"/>
          <w:color w:val="131413"/>
          <w:sz w:val="17"/>
          <w:szCs w:val="17"/>
        </w:rPr>
      </w:pPr>
      <w:r>
        <w:rPr>
          <w:rFonts w:eastAsia="Times New Roman"/>
          <w:color w:val="131413"/>
          <w:sz w:val="17"/>
          <w:szCs w:val="17"/>
        </w:rPr>
        <w:t xml:space="preserve">Suzuki K, Bose P, </w:t>
      </w:r>
      <w:r>
        <w:rPr>
          <w:rFonts w:eastAsia="Times New Roman"/>
          <w:color w:val="131413"/>
          <w:sz w:val="17"/>
          <w:szCs w:val="17"/>
        </w:rPr>
        <w:t>Leong-Quong RY, Fujita DJ, Riabowol K. REAP: a two minute cell fractionation method. BMC Res Notes. 2010;3:294.</w:t>
      </w:r>
    </w:p>
    <w:p w:rsidR="00F90520" w:rsidRDefault="00F90520">
      <w:pPr>
        <w:spacing w:line="38" w:lineRule="exact"/>
        <w:rPr>
          <w:rFonts w:eastAsia="Times New Roman"/>
          <w:color w:val="131413"/>
          <w:sz w:val="17"/>
          <w:szCs w:val="17"/>
        </w:rPr>
      </w:pPr>
    </w:p>
    <w:p w:rsidR="00F90520" w:rsidRDefault="00B9396E">
      <w:pPr>
        <w:numPr>
          <w:ilvl w:val="0"/>
          <w:numId w:val="9"/>
        </w:numPr>
        <w:tabs>
          <w:tab w:val="left" w:pos="377"/>
        </w:tabs>
        <w:spacing w:line="238" w:lineRule="auto"/>
        <w:ind w:left="377" w:hanging="377"/>
        <w:jc w:val="both"/>
        <w:rPr>
          <w:rFonts w:eastAsia="Times New Roman"/>
          <w:color w:val="131413"/>
          <w:sz w:val="17"/>
          <w:szCs w:val="17"/>
        </w:rPr>
      </w:pPr>
      <w:r>
        <w:rPr>
          <w:rFonts w:eastAsia="Times New Roman"/>
          <w:color w:val="131413"/>
          <w:sz w:val="17"/>
          <w:szCs w:val="17"/>
        </w:rPr>
        <w:t>Bolós V, Gasent JM, López-Tarruella S, Grande E. The dual kinase complex FAK-Src as a promising therapeutic target in cancer. Onco Targets Ther</w:t>
      </w:r>
      <w:r>
        <w:rPr>
          <w:rFonts w:eastAsia="Times New Roman"/>
          <w:color w:val="131413"/>
          <w:sz w:val="17"/>
          <w:szCs w:val="17"/>
        </w:rPr>
        <w:t>. 2010;3:83</w:t>
      </w:r>
      <w:r>
        <w:rPr>
          <w:rFonts w:ascii="Arial" w:eastAsia="Arial" w:hAnsi="Arial" w:cs="Arial"/>
          <w:color w:val="131413"/>
          <w:sz w:val="17"/>
          <w:szCs w:val="17"/>
        </w:rPr>
        <w:t>–</w:t>
      </w:r>
      <w:r>
        <w:rPr>
          <w:rFonts w:eastAsia="Times New Roman"/>
          <w:color w:val="131413"/>
          <w:sz w:val="17"/>
          <w:szCs w:val="17"/>
        </w:rPr>
        <w:t>97.</w:t>
      </w:r>
    </w:p>
    <w:p w:rsidR="00F90520" w:rsidRDefault="00F90520">
      <w:pPr>
        <w:spacing w:line="36" w:lineRule="exact"/>
        <w:rPr>
          <w:rFonts w:eastAsia="Times New Roman"/>
          <w:color w:val="131413"/>
          <w:sz w:val="17"/>
          <w:szCs w:val="17"/>
        </w:rPr>
      </w:pPr>
    </w:p>
    <w:p w:rsidR="00F90520" w:rsidRDefault="00B9396E">
      <w:pPr>
        <w:numPr>
          <w:ilvl w:val="0"/>
          <w:numId w:val="9"/>
        </w:numPr>
        <w:tabs>
          <w:tab w:val="left" w:pos="377"/>
        </w:tabs>
        <w:ind w:left="377" w:hanging="377"/>
        <w:jc w:val="both"/>
        <w:rPr>
          <w:rFonts w:eastAsia="Times New Roman"/>
          <w:color w:val="131413"/>
          <w:sz w:val="17"/>
          <w:szCs w:val="17"/>
        </w:rPr>
      </w:pPr>
      <w:r>
        <w:rPr>
          <w:rFonts w:eastAsia="Times New Roman"/>
          <w:color w:val="131413"/>
          <w:sz w:val="17"/>
          <w:szCs w:val="17"/>
        </w:rPr>
        <w:t>Serrels A, Canel M, Brunton VG, Frame MC. Src/FAK-mediated regulation of E-cadherin as a mechanism for controlling collective cell movement: insights from in vivo imaging. Cell Adh Migr. 2011;5:360</w:t>
      </w:r>
      <w:r>
        <w:rPr>
          <w:rFonts w:ascii="Arial" w:eastAsia="Arial" w:hAnsi="Arial" w:cs="Arial"/>
          <w:color w:val="131413"/>
          <w:sz w:val="17"/>
          <w:szCs w:val="17"/>
        </w:rPr>
        <w:t>–</w:t>
      </w:r>
      <w:r>
        <w:rPr>
          <w:rFonts w:eastAsia="Times New Roman"/>
          <w:color w:val="131413"/>
          <w:sz w:val="17"/>
          <w:szCs w:val="17"/>
        </w:rPr>
        <w:t>5.</w:t>
      </w:r>
    </w:p>
    <w:p w:rsidR="00F90520" w:rsidRDefault="00F90520">
      <w:pPr>
        <w:spacing w:line="37" w:lineRule="exact"/>
        <w:rPr>
          <w:rFonts w:eastAsia="Times New Roman"/>
          <w:color w:val="131413"/>
          <w:sz w:val="17"/>
          <w:szCs w:val="17"/>
        </w:rPr>
      </w:pPr>
    </w:p>
    <w:p w:rsidR="00F90520" w:rsidRDefault="00B9396E">
      <w:pPr>
        <w:numPr>
          <w:ilvl w:val="0"/>
          <w:numId w:val="9"/>
        </w:numPr>
        <w:tabs>
          <w:tab w:val="left" w:pos="377"/>
        </w:tabs>
        <w:spacing w:line="239" w:lineRule="auto"/>
        <w:ind w:left="377" w:hanging="377"/>
        <w:jc w:val="both"/>
        <w:rPr>
          <w:rFonts w:eastAsia="Times New Roman"/>
          <w:color w:val="131413"/>
          <w:sz w:val="17"/>
          <w:szCs w:val="17"/>
        </w:rPr>
      </w:pPr>
      <w:r>
        <w:rPr>
          <w:rFonts w:eastAsia="Times New Roman"/>
          <w:color w:val="131413"/>
          <w:sz w:val="17"/>
          <w:szCs w:val="17"/>
        </w:rPr>
        <w:t xml:space="preserve">Schaller MD, Hildebrand JD, </w:t>
      </w:r>
      <w:r>
        <w:rPr>
          <w:rFonts w:eastAsia="Times New Roman"/>
          <w:color w:val="131413"/>
          <w:sz w:val="17"/>
          <w:szCs w:val="17"/>
        </w:rPr>
        <w:t>Shannon JD, Fox JW, Vines RR, Parsons JT. Autophosphorylation of the focal adhesion kinase, pp125FAK, directs SH2-dependent binding of pp60src. Mol Cell Biol. 1994;14:1680</w:t>
      </w:r>
      <w:r>
        <w:rPr>
          <w:rFonts w:ascii="Arial" w:eastAsia="Arial" w:hAnsi="Arial" w:cs="Arial"/>
          <w:color w:val="131413"/>
          <w:sz w:val="17"/>
          <w:szCs w:val="17"/>
        </w:rPr>
        <w:t>–</w:t>
      </w:r>
      <w:r>
        <w:rPr>
          <w:rFonts w:eastAsia="Times New Roman"/>
          <w:color w:val="131413"/>
          <w:sz w:val="17"/>
          <w:szCs w:val="17"/>
        </w:rPr>
        <w:t>8.</w:t>
      </w:r>
    </w:p>
    <w:p w:rsidR="00F90520" w:rsidRDefault="00F90520">
      <w:pPr>
        <w:spacing w:line="39" w:lineRule="exact"/>
        <w:rPr>
          <w:rFonts w:eastAsia="Times New Roman"/>
          <w:color w:val="131413"/>
          <w:sz w:val="17"/>
          <w:szCs w:val="17"/>
        </w:rPr>
      </w:pPr>
    </w:p>
    <w:p w:rsidR="00F90520" w:rsidRDefault="00B9396E">
      <w:pPr>
        <w:numPr>
          <w:ilvl w:val="0"/>
          <w:numId w:val="9"/>
        </w:numPr>
        <w:tabs>
          <w:tab w:val="left" w:pos="377"/>
        </w:tabs>
        <w:ind w:left="377" w:hanging="377"/>
        <w:jc w:val="both"/>
        <w:rPr>
          <w:rFonts w:eastAsia="Times New Roman"/>
          <w:color w:val="131413"/>
          <w:sz w:val="17"/>
          <w:szCs w:val="17"/>
        </w:rPr>
      </w:pPr>
      <w:r>
        <w:rPr>
          <w:rFonts w:eastAsia="Times New Roman"/>
          <w:color w:val="131413"/>
          <w:sz w:val="17"/>
          <w:szCs w:val="17"/>
        </w:rPr>
        <w:t>Schlaepfer DD, Broome MA, Hunter T. Fibronectin-stimulated sig-naling from a foc</w:t>
      </w:r>
      <w:r>
        <w:rPr>
          <w:rFonts w:eastAsia="Times New Roman"/>
          <w:color w:val="131413"/>
          <w:sz w:val="17"/>
          <w:szCs w:val="17"/>
        </w:rPr>
        <w:t>al adhesion kinase-c-Src complex: involvement of the Grb2, p130cas, and Nck adaptor proteins. Mol Cell Biol. 1997;17:1702</w:t>
      </w:r>
      <w:r>
        <w:rPr>
          <w:rFonts w:ascii="Arial" w:eastAsia="Arial" w:hAnsi="Arial" w:cs="Arial"/>
          <w:color w:val="131413"/>
          <w:sz w:val="17"/>
          <w:szCs w:val="17"/>
        </w:rPr>
        <w:t>–</w:t>
      </w:r>
      <w:r>
        <w:rPr>
          <w:rFonts w:eastAsia="Times New Roman"/>
          <w:color w:val="131413"/>
          <w:sz w:val="17"/>
          <w:szCs w:val="17"/>
        </w:rPr>
        <w:t>13.</w:t>
      </w:r>
    </w:p>
    <w:p w:rsidR="00F90520" w:rsidRDefault="00F90520">
      <w:pPr>
        <w:spacing w:line="37" w:lineRule="exact"/>
        <w:rPr>
          <w:rFonts w:eastAsia="Times New Roman"/>
          <w:color w:val="131413"/>
          <w:sz w:val="17"/>
          <w:szCs w:val="17"/>
        </w:rPr>
      </w:pPr>
    </w:p>
    <w:p w:rsidR="00F90520" w:rsidRDefault="00B9396E">
      <w:pPr>
        <w:numPr>
          <w:ilvl w:val="0"/>
          <w:numId w:val="9"/>
        </w:numPr>
        <w:tabs>
          <w:tab w:val="left" w:pos="377"/>
        </w:tabs>
        <w:spacing w:line="234" w:lineRule="auto"/>
        <w:ind w:left="377" w:hanging="377"/>
        <w:rPr>
          <w:rFonts w:eastAsia="Times New Roman"/>
          <w:color w:val="131413"/>
          <w:sz w:val="17"/>
          <w:szCs w:val="17"/>
        </w:rPr>
      </w:pPr>
      <w:r>
        <w:rPr>
          <w:rFonts w:eastAsia="Times New Roman"/>
          <w:color w:val="131413"/>
          <w:sz w:val="17"/>
          <w:szCs w:val="17"/>
        </w:rPr>
        <w:t>Frame MC. Newest findings on the oldest oncogene; how activated src does it. J Cell Sci. 2004;117:989</w:t>
      </w:r>
      <w:r>
        <w:rPr>
          <w:rFonts w:ascii="Arial" w:eastAsia="Arial" w:hAnsi="Arial" w:cs="Arial"/>
          <w:color w:val="131413"/>
          <w:sz w:val="17"/>
          <w:szCs w:val="17"/>
        </w:rPr>
        <w:t>–</w:t>
      </w:r>
      <w:r>
        <w:rPr>
          <w:rFonts w:eastAsia="Times New Roman"/>
          <w:color w:val="131413"/>
          <w:sz w:val="17"/>
          <w:szCs w:val="17"/>
        </w:rPr>
        <w:t>98.</w:t>
      </w:r>
    </w:p>
    <w:p w:rsidR="00F90520" w:rsidRDefault="00F90520">
      <w:pPr>
        <w:spacing w:line="37" w:lineRule="exact"/>
        <w:rPr>
          <w:rFonts w:eastAsia="Times New Roman"/>
          <w:color w:val="131413"/>
          <w:sz w:val="17"/>
          <w:szCs w:val="17"/>
        </w:rPr>
      </w:pPr>
    </w:p>
    <w:p w:rsidR="00F90520" w:rsidRDefault="00B9396E">
      <w:pPr>
        <w:numPr>
          <w:ilvl w:val="0"/>
          <w:numId w:val="9"/>
        </w:numPr>
        <w:tabs>
          <w:tab w:val="left" w:pos="377"/>
        </w:tabs>
        <w:spacing w:line="258" w:lineRule="auto"/>
        <w:ind w:left="377" w:hanging="377"/>
        <w:rPr>
          <w:rFonts w:eastAsia="Times New Roman"/>
          <w:color w:val="131413"/>
          <w:sz w:val="16"/>
          <w:szCs w:val="16"/>
        </w:rPr>
      </w:pPr>
      <w:r>
        <w:rPr>
          <w:rFonts w:eastAsia="Times New Roman"/>
          <w:color w:val="131413"/>
          <w:sz w:val="16"/>
          <w:szCs w:val="16"/>
        </w:rPr>
        <w:t xml:space="preserve">Playford MP, Schaller </w:t>
      </w:r>
      <w:r>
        <w:rPr>
          <w:rFonts w:eastAsia="Times New Roman"/>
          <w:color w:val="131413"/>
          <w:sz w:val="16"/>
          <w:szCs w:val="16"/>
        </w:rPr>
        <w:t>MD. The interplay between Src and integrins in normal and tumor biology. Oncogene. 2004;23:7928</w:t>
      </w:r>
      <w:r>
        <w:rPr>
          <w:rFonts w:ascii="Arial" w:eastAsia="Arial" w:hAnsi="Arial" w:cs="Arial"/>
          <w:color w:val="131413"/>
          <w:sz w:val="16"/>
          <w:szCs w:val="16"/>
        </w:rPr>
        <w:t>–</w:t>
      </w:r>
      <w:r>
        <w:rPr>
          <w:rFonts w:eastAsia="Times New Roman"/>
          <w:color w:val="131413"/>
          <w:sz w:val="16"/>
          <w:szCs w:val="16"/>
        </w:rPr>
        <w:t>46.</w:t>
      </w:r>
    </w:p>
    <w:sectPr w:rsidR="00F90520">
      <w:type w:val="continuous"/>
      <w:pgSz w:w="11900" w:h="15817"/>
      <w:pgMar w:top="649" w:right="1026" w:bottom="1440" w:left="1020" w:header="0" w:footer="0" w:gutter="0"/>
      <w:cols w:num="2" w:space="720" w:equalWidth="0">
        <w:col w:w="4760" w:space="343"/>
        <w:col w:w="475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9396E" w:rsidRDefault="00B9396E" w:rsidP="00FB0D01">
      <w:r>
        <w:separator/>
      </w:r>
    </w:p>
  </w:endnote>
  <w:endnote w:type="continuationSeparator" w:id="0">
    <w:p w:rsidR="00B9396E" w:rsidRDefault="00B9396E" w:rsidP="00FB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9396E" w:rsidRDefault="00B9396E" w:rsidP="00FB0D01">
      <w:r>
        <w:separator/>
      </w:r>
    </w:p>
  </w:footnote>
  <w:footnote w:type="continuationSeparator" w:id="0">
    <w:p w:rsidR="00B9396E" w:rsidRDefault="00B9396E" w:rsidP="00FB0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B141F2"/>
    <w:multiLevelType w:val="hybridMultilevel"/>
    <w:tmpl w:val="8A8207A6"/>
    <w:lvl w:ilvl="0" w:tplc="C776ADDC">
      <w:start w:val="3"/>
      <w:numFmt w:val="upperLetter"/>
      <w:lvlText w:val="%1)"/>
      <w:lvlJc w:val="left"/>
    </w:lvl>
    <w:lvl w:ilvl="1" w:tplc="76D8C1E0">
      <w:numFmt w:val="decimal"/>
      <w:lvlText w:val=""/>
      <w:lvlJc w:val="left"/>
    </w:lvl>
    <w:lvl w:ilvl="2" w:tplc="507AD996">
      <w:numFmt w:val="decimal"/>
      <w:lvlText w:val=""/>
      <w:lvlJc w:val="left"/>
    </w:lvl>
    <w:lvl w:ilvl="3" w:tplc="E674AD1A">
      <w:numFmt w:val="decimal"/>
      <w:lvlText w:val=""/>
      <w:lvlJc w:val="left"/>
    </w:lvl>
    <w:lvl w:ilvl="4" w:tplc="3C9EDE58">
      <w:numFmt w:val="decimal"/>
      <w:lvlText w:val=""/>
      <w:lvlJc w:val="left"/>
    </w:lvl>
    <w:lvl w:ilvl="5" w:tplc="7F5095A4">
      <w:numFmt w:val="decimal"/>
      <w:lvlText w:val=""/>
      <w:lvlJc w:val="left"/>
    </w:lvl>
    <w:lvl w:ilvl="6" w:tplc="3990AF76">
      <w:numFmt w:val="decimal"/>
      <w:lvlText w:val=""/>
      <w:lvlJc w:val="left"/>
    </w:lvl>
    <w:lvl w:ilvl="7" w:tplc="DA548716">
      <w:numFmt w:val="decimal"/>
      <w:lvlText w:val=""/>
      <w:lvlJc w:val="left"/>
    </w:lvl>
    <w:lvl w:ilvl="8" w:tplc="E44E047A">
      <w:numFmt w:val="decimal"/>
      <w:lvlText w:val=""/>
      <w:lvlJc w:val="left"/>
    </w:lvl>
  </w:abstractNum>
  <w:abstractNum w:abstractNumId="1" w15:restartNumberingAfterBreak="0">
    <w:nsid w:val="3D1B58BA"/>
    <w:multiLevelType w:val="hybridMultilevel"/>
    <w:tmpl w:val="3BBAA6A4"/>
    <w:lvl w:ilvl="0" w:tplc="6B3EAAD6">
      <w:start w:val="1"/>
      <w:numFmt w:val="bullet"/>
      <w:lvlText w:val="*"/>
      <w:lvlJc w:val="left"/>
    </w:lvl>
    <w:lvl w:ilvl="1" w:tplc="3DA09F80">
      <w:numFmt w:val="decimal"/>
      <w:lvlText w:val=""/>
      <w:lvlJc w:val="left"/>
    </w:lvl>
    <w:lvl w:ilvl="2" w:tplc="6B7E4DC4">
      <w:numFmt w:val="decimal"/>
      <w:lvlText w:val=""/>
      <w:lvlJc w:val="left"/>
    </w:lvl>
    <w:lvl w:ilvl="3" w:tplc="EEE08DAE">
      <w:numFmt w:val="decimal"/>
      <w:lvlText w:val=""/>
      <w:lvlJc w:val="left"/>
    </w:lvl>
    <w:lvl w:ilvl="4" w:tplc="D15C6A76">
      <w:numFmt w:val="decimal"/>
      <w:lvlText w:val=""/>
      <w:lvlJc w:val="left"/>
    </w:lvl>
    <w:lvl w:ilvl="5" w:tplc="BFE41F72">
      <w:numFmt w:val="decimal"/>
      <w:lvlText w:val=""/>
      <w:lvlJc w:val="left"/>
    </w:lvl>
    <w:lvl w:ilvl="6" w:tplc="DD2EA98C">
      <w:numFmt w:val="decimal"/>
      <w:lvlText w:val=""/>
      <w:lvlJc w:val="left"/>
    </w:lvl>
    <w:lvl w:ilvl="7" w:tplc="08D2DCFE">
      <w:numFmt w:val="decimal"/>
      <w:lvlText w:val=""/>
      <w:lvlJc w:val="left"/>
    </w:lvl>
    <w:lvl w:ilvl="8" w:tplc="A0F42E22">
      <w:numFmt w:val="decimal"/>
      <w:lvlText w:val=""/>
      <w:lvlJc w:val="left"/>
    </w:lvl>
  </w:abstractNum>
  <w:abstractNum w:abstractNumId="2" w15:restartNumberingAfterBreak="0">
    <w:nsid w:val="41B71EFB"/>
    <w:multiLevelType w:val="hybridMultilevel"/>
    <w:tmpl w:val="FED003E2"/>
    <w:lvl w:ilvl="0" w:tplc="33A0DCCC">
      <w:start w:val="1"/>
      <w:numFmt w:val="lowerLetter"/>
      <w:lvlText w:val="%1"/>
      <w:lvlJc w:val="left"/>
    </w:lvl>
    <w:lvl w:ilvl="1" w:tplc="1F3485EA">
      <w:numFmt w:val="decimal"/>
      <w:lvlText w:val=""/>
      <w:lvlJc w:val="left"/>
    </w:lvl>
    <w:lvl w:ilvl="2" w:tplc="F7F86884">
      <w:numFmt w:val="decimal"/>
      <w:lvlText w:val=""/>
      <w:lvlJc w:val="left"/>
    </w:lvl>
    <w:lvl w:ilvl="3" w:tplc="158630CE">
      <w:numFmt w:val="decimal"/>
      <w:lvlText w:val=""/>
      <w:lvlJc w:val="left"/>
    </w:lvl>
    <w:lvl w:ilvl="4" w:tplc="D08E6376">
      <w:numFmt w:val="decimal"/>
      <w:lvlText w:val=""/>
      <w:lvlJc w:val="left"/>
    </w:lvl>
    <w:lvl w:ilvl="5" w:tplc="3DC064F4">
      <w:numFmt w:val="decimal"/>
      <w:lvlText w:val=""/>
      <w:lvlJc w:val="left"/>
    </w:lvl>
    <w:lvl w:ilvl="6" w:tplc="5CFA7576">
      <w:numFmt w:val="decimal"/>
      <w:lvlText w:val=""/>
      <w:lvlJc w:val="left"/>
    </w:lvl>
    <w:lvl w:ilvl="7" w:tplc="8F9CCDC8">
      <w:numFmt w:val="decimal"/>
      <w:lvlText w:val=""/>
      <w:lvlJc w:val="left"/>
    </w:lvl>
    <w:lvl w:ilvl="8" w:tplc="09CA0CB0">
      <w:numFmt w:val="decimal"/>
      <w:lvlText w:val=""/>
      <w:lvlJc w:val="left"/>
    </w:lvl>
  </w:abstractNum>
  <w:abstractNum w:abstractNumId="3" w15:restartNumberingAfterBreak="0">
    <w:nsid w:val="46E87CCD"/>
    <w:multiLevelType w:val="hybridMultilevel"/>
    <w:tmpl w:val="6352A91A"/>
    <w:lvl w:ilvl="0" w:tplc="E8FED4AC">
      <w:start w:val="1"/>
      <w:numFmt w:val="bullet"/>
      <w:lvlText w:val="#"/>
      <w:lvlJc w:val="left"/>
    </w:lvl>
    <w:lvl w:ilvl="1" w:tplc="4978F750">
      <w:numFmt w:val="decimal"/>
      <w:lvlText w:val=""/>
      <w:lvlJc w:val="left"/>
    </w:lvl>
    <w:lvl w:ilvl="2" w:tplc="7C008288">
      <w:numFmt w:val="decimal"/>
      <w:lvlText w:val=""/>
      <w:lvlJc w:val="left"/>
    </w:lvl>
    <w:lvl w:ilvl="3" w:tplc="1BD4E960">
      <w:numFmt w:val="decimal"/>
      <w:lvlText w:val=""/>
      <w:lvlJc w:val="left"/>
    </w:lvl>
    <w:lvl w:ilvl="4" w:tplc="CF0ED9CA">
      <w:numFmt w:val="decimal"/>
      <w:lvlText w:val=""/>
      <w:lvlJc w:val="left"/>
    </w:lvl>
    <w:lvl w:ilvl="5" w:tplc="9FDC5048">
      <w:numFmt w:val="decimal"/>
      <w:lvlText w:val=""/>
      <w:lvlJc w:val="left"/>
    </w:lvl>
    <w:lvl w:ilvl="6" w:tplc="5BAC7390">
      <w:numFmt w:val="decimal"/>
      <w:lvlText w:val=""/>
      <w:lvlJc w:val="left"/>
    </w:lvl>
    <w:lvl w:ilvl="7" w:tplc="FA3431A6">
      <w:numFmt w:val="decimal"/>
      <w:lvlText w:val=""/>
      <w:lvlJc w:val="left"/>
    </w:lvl>
    <w:lvl w:ilvl="8" w:tplc="102826F0">
      <w:numFmt w:val="decimal"/>
      <w:lvlText w:val=""/>
      <w:lvlJc w:val="left"/>
    </w:lvl>
  </w:abstractNum>
  <w:abstractNum w:abstractNumId="4" w15:restartNumberingAfterBreak="0">
    <w:nsid w:val="507ED7AB"/>
    <w:multiLevelType w:val="hybridMultilevel"/>
    <w:tmpl w:val="52A876A8"/>
    <w:lvl w:ilvl="0" w:tplc="70C007E4">
      <w:start w:val="1"/>
      <w:numFmt w:val="decimal"/>
      <w:lvlText w:val="%1"/>
      <w:lvlJc w:val="left"/>
    </w:lvl>
    <w:lvl w:ilvl="1" w:tplc="FD42517E">
      <w:numFmt w:val="decimal"/>
      <w:lvlText w:val=""/>
      <w:lvlJc w:val="left"/>
    </w:lvl>
    <w:lvl w:ilvl="2" w:tplc="CEFE997A">
      <w:numFmt w:val="decimal"/>
      <w:lvlText w:val=""/>
      <w:lvlJc w:val="left"/>
    </w:lvl>
    <w:lvl w:ilvl="3" w:tplc="75B296B6">
      <w:numFmt w:val="decimal"/>
      <w:lvlText w:val=""/>
      <w:lvlJc w:val="left"/>
    </w:lvl>
    <w:lvl w:ilvl="4" w:tplc="40EC2E80">
      <w:numFmt w:val="decimal"/>
      <w:lvlText w:val=""/>
      <w:lvlJc w:val="left"/>
    </w:lvl>
    <w:lvl w:ilvl="5" w:tplc="592C7BA8">
      <w:numFmt w:val="decimal"/>
      <w:lvlText w:val=""/>
      <w:lvlJc w:val="left"/>
    </w:lvl>
    <w:lvl w:ilvl="6" w:tplc="7B886D78">
      <w:numFmt w:val="decimal"/>
      <w:lvlText w:val=""/>
      <w:lvlJc w:val="left"/>
    </w:lvl>
    <w:lvl w:ilvl="7" w:tplc="3100219E">
      <w:numFmt w:val="decimal"/>
      <w:lvlText w:val=""/>
      <w:lvlJc w:val="left"/>
    </w:lvl>
    <w:lvl w:ilvl="8" w:tplc="1B64486A">
      <w:numFmt w:val="decimal"/>
      <w:lvlText w:val=""/>
      <w:lvlJc w:val="left"/>
    </w:lvl>
  </w:abstractNum>
  <w:abstractNum w:abstractNumId="5" w15:restartNumberingAfterBreak="0">
    <w:nsid w:val="515F007C"/>
    <w:multiLevelType w:val="hybridMultilevel"/>
    <w:tmpl w:val="A0DCA0E4"/>
    <w:lvl w:ilvl="0" w:tplc="EB6E6446">
      <w:start w:val="23"/>
      <w:numFmt w:val="decimal"/>
      <w:lvlText w:val="%1."/>
      <w:lvlJc w:val="left"/>
    </w:lvl>
    <w:lvl w:ilvl="1" w:tplc="5BC028F6">
      <w:numFmt w:val="decimal"/>
      <w:lvlText w:val=""/>
      <w:lvlJc w:val="left"/>
    </w:lvl>
    <w:lvl w:ilvl="2" w:tplc="BE72AEBA">
      <w:numFmt w:val="decimal"/>
      <w:lvlText w:val=""/>
      <w:lvlJc w:val="left"/>
    </w:lvl>
    <w:lvl w:ilvl="3" w:tplc="840E72B2">
      <w:numFmt w:val="decimal"/>
      <w:lvlText w:val=""/>
      <w:lvlJc w:val="left"/>
    </w:lvl>
    <w:lvl w:ilvl="4" w:tplc="AF68D148">
      <w:numFmt w:val="decimal"/>
      <w:lvlText w:val=""/>
      <w:lvlJc w:val="left"/>
    </w:lvl>
    <w:lvl w:ilvl="5" w:tplc="69BA6F7C">
      <w:numFmt w:val="decimal"/>
      <w:lvlText w:val=""/>
      <w:lvlJc w:val="left"/>
    </w:lvl>
    <w:lvl w:ilvl="6" w:tplc="4D8205F0">
      <w:numFmt w:val="decimal"/>
      <w:lvlText w:val=""/>
      <w:lvlJc w:val="left"/>
    </w:lvl>
    <w:lvl w:ilvl="7" w:tplc="038A2928">
      <w:numFmt w:val="decimal"/>
      <w:lvlText w:val=""/>
      <w:lvlJc w:val="left"/>
    </w:lvl>
    <w:lvl w:ilvl="8" w:tplc="635AD198">
      <w:numFmt w:val="decimal"/>
      <w:lvlText w:val=""/>
      <w:lvlJc w:val="left"/>
    </w:lvl>
  </w:abstractNum>
  <w:abstractNum w:abstractNumId="6" w15:restartNumberingAfterBreak="0">
    <w:nsid w:val="5BD062C2"/>
    <w:multiLevelType w:val="hybridMultilevel"/>
    <w:tmpl w:val="6A84B7DE"/>
    <w:lvl w:ilvl="0" w:tplc="2F4CE114">
      <w:start w:val="32"/>
      <w:numFmt w:val="decimal"/>
      <w:lvlText w:val="%1."/>
      <w:lvlJc w:val="left"/>
    </w:lvl>
    <w:lvl w:ilvl="1" w:tplc="78DE5526">
      <w:numFmt w:val="decimal"/>
      <w:lvlText w:val=""/>
      <w:lvlJc w:val="left"/>
    </w:lvl>
    <w:lvl w:ilvl="2" w:tplc="1FE870E6">
      <w:numFmt w:val="decimal"/>
      <w:lvlText w:val=""/>
      <w:lvlJc w:val="left"/>
    </w:lvl>
    <w:lvl w:ilvl="3" w:tplc="8F24F0DE">
      <w:numFmt w:val="decimal"/>
      <w:lvlText w:val=""/>
      <w:lvlJc w:val="left"/>
    </w:lvl>
    <w:lvl w:ilvl="4" w:tplc="22B03476">
      <w:numFmt w:val="decimal"/>
      <w:lvlText w:val=""/>
      <w:lvlJc w:val="left"/>
    </w:lvl>
    <w:lvl w:ilvl="5" w:tplc="1346A7E6">
      <w:numFmt w:val="decimal"/>
      <w:lvlText w:val=""/>
      <w:lvlJc w:val="left"/>
    </w:lvl>
    <w:lvl w:ilvl="6" w:tplc="CB64461C">
      <w:numFmt w:val="decimal"/>
      <w:lvlText w:val=""/>
      <w:lvlJc w:val="left"/>
    </w:lvl>
    <w:lvl w:ilvl="7" w:tplc="0582A7B0">
      <w:numFmt w:val="decimal"/>
      <w:lvlText w:val=""/>
      <w:lvlJc w:val="left"/>
    </w:lvl>
    <w:lvl w:ilvl="8" w:tplc="9008FC3A">
      <w:numFmt w:val="decimal"/>
      <w:lvlText w:val=""/>
      <w:lvlJc w:val="left"/>
    </w:lvl>
  </w:abstractNum>
  <w:abstractNum w:abstractNumId="7" w15:restartNumberingAfterBreak="0">
    <w:nsid w:val="7545E146"/>
    <w:multiLevelType w:val="hybridMultilevel"/>
    <w:tmpl w:val="EE18CD44"/>
    <w:lvl w:ilvl="0" w:tplc="3C44816E">
      <w:start w:val="11"/>
      <w:numFmt w:val="decimal"/>
      <w:lvlText w:val="%1."/>
      <w:lvlJc w:val="left"/>
    </w:lvl>
    <w:lvl w:ilvl="1" w:tplc="EA509674">
      <w:start w:val="1"/>
      <w:numFmt w:val="decimal"/>
      <w:lvlText w:val="%2"/>
      <w:lvlJc w:val="left"/>
    </w:lvl>
    <w:lvl w:ilvl="2" w:tplc="66B6CC08">
      <w:numFmt w:val="decimal"/>
      <w:lvlText w:val=""/>
      <w:lvlJc w:val="left"/>
    </w:lvl>
    <w:lvl w:ilvl="3" w:tplc="EEEA0F42">
      <w:numFmt w:val="decimal"/>
      <w:lvlText w:val=""/>
      <w:lvlJc w:val="left"/>
    </w:lvl>
    <w:lvl w:ilvl="4" w:tplc="D3D41972">
      <w:numFmt w:val="decimal"/>
      <w:lvlText w:val=""/>
      <w:lvlJc w:val="left"/>
    </w:lvl>
    <w:lvl w:ilvl="5" w:tplc="9F0650C2">
      <w:numFmt w:val="decimal"/>
      <w:lvlText w:val=""/>
      <w:lvlJc w:val="left"/>
    </w:lvl>
    <w:lvl w:ilvl="6" w:tplc="8842E85A">
      <w:numFmt w:val="decimal"/>
      <w:lvlText w:val=""/>
      <w:lvlJc w:val="left"/>
    </w:lvl>
    <w:lvl w:ilvl="7" w:tplc="72AEDC74">
      <w:numFmt w:val="decimal"/>
      <w:lvlText w:val=""/>
      <w:lvlJc w:val="left"/>
    </w:lvl>
    <w:lvl w:ilvl="8" w:tplc="D3FCEBA4">
      <w:numFmt w:val="decimal"/>
      <w:lvlText w:val=""/>
      <w:lvlJc w:val="left"/>
    </w:lvl>
  </w:abstractNum>
  <w:abstractNum w:abstractNumId="8" w15:restartNumberingAfterBreak="0">
    <w:nsid w:val="79E2A9E3"/>
    <w:multiLevelType w:val="hybridMultilevel"/>
    <w:tmpl w:val="20CA34A2"/>
    <w:lvl w:ilvl="0" w:tplc="A92690C8">
      <w:start w:val="1"/>
      <w:numFmt w:val="decimal"/>
      <w:lvlText w:val="%1"/>
      <w:lvlJc w:val="left"/>
    </w:lvl>
    <w:lvl w:ilvl="1" w:tplc="D7FC9D74">
      <w:start w:val="1"/>
      <w:numFmt w:val="decimal"/>
      <w:lvlText w:val="%2."/>
      <w:lvlJc w:val="left"/>
    </w:lvl>
    <w:lvl w:ilvl="2" w:tplc="D6643492">
      <w:numFmt w:val="decimal"/>
      <w:lvlText w:val=""/>
      <w:lvlJc w:val="left"/>
    </w:lvl>
    <w:lvl w:ilvl="3" w:tplc="2BC45BB0">
      <w:numFmt w:val="decimal"/>
      <w:lvlText w:val=""/>
      <w:lvlJc w:val="left"/>
    </w:lvl>
    <w:lvl w:ilvl="4" w:tplc="FBE06CC4">
      <w:numFmt w:val="decimal"/>
      <w:lvlText w:val=""/>
      <w:lvlJc w:val="left"/>
    </w:lvl>
    <w:lvl w:ilvl="5" w:tplc="3244B80C">
      <w:numFmt w:val="decimal"/>
      <w:lvlText w:val=""/>
      <w:lvlJc w:val="left"/>
    </w:lvl>
    <w:lvl w:ilvl="6" w:tplc="1FAC666E">
      <w:numFmt w:val="decimal"/>
      <w:lvlText w:val=""/>
      <w:lvlJc w:val="left"/>
    </w:lvl>
    <w:lvl w:ilvl="7" w:tplc="2B32742E">
      <w:numFmt w:val="decimal"/>
      <w:lvlText w:val=""/>
      <w:lvlJc w:val="left"/>
    </w:lvl>
    <w:lvl w:ilvl="8" w:tplc="A26EF5D0">
      <w:numFmt w:val="decimal"/>
      <w:lvlText w:val=""/>
      <w:lvlJc w:val="left"/>
    </w:lvl>
  </w:abstractNum>
  <w:num w:numId="1">
    <w:abstractNumId w:val="3"/>
  </w:num>
  <w:num w:numId="2">
    <w:abstractNumId w:val="1"/>
  </w:num>
  <w:num w:numId="3">
    <w:abstractNumId w:val="4"/>
  </w:num>
  <w:num w:numId="4">
    <w:abstractNumId w:val="0"/>
  </w:num>
  <w:num w:numId="5">
    <w:abstractNumId w:val="2"/>
  </w:num>
  <w:num w:numId="6">
    <w:abstractNumId w:val="8"/>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520"/>
    <w:rsid w:val="00283987"/>
    <w:rsid w:val="00B9396E"/>
    <w:rsid w:val="00F90520"/>
    <w:rsid w:val="00FB0D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02E7360A"/>
  <w15:docId w15:val="{93DDAB65-3D2D-4248-B9CE-ADA904589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D01"/>
    <w:pPr>
      <w:tabs>
        <w:tab w:val="center" w:pos="4513"/>
        <w:tab w:val="right" w:pos="9026"/>
      </w:tabs>
    </w:pPr>
  </w:style>
  <w:style w:type="character" w:customStyle="1" w:styleId="HeaderChar">
    <w:name w:val="Header Char"/>
    <w:basedOn w:val="DefaultParagraphFont"/>
    <w:link w:val="Header"/>
    <w:uiPriority w:val="99"/>
    <w:rsid w:val="00FB0D01"/>
  </w:style>
  <w:style w:type="paragraph" w:styleId="Footer">
    <w:name w:val="footer"/>
    <w:basedOn w:val="Normal"/>
    <w:link w:val="FooterChar"/>
    <w:uiPriority w:val="99"/>
    <w:unhideWhenUsed/>
    <w:rsid w:val="00FB0D01"/>
    <w:pPr>
      <w:tabs>
        <w:tab w:val="center" w:pos="4513"/>
        <w:tab w:val="right" w:pos="9026"/>
      </w:tabs>
    </w:pPr>
  </w:style>
  <w:style w:type="character" w:customStyle="1" w:styleId="FooterChar">
    <w:name w:val="Footer Char"/>
    <w:basedOn w:val="DefaultParagraphFont"/>
    <w:link w:val="Footer"/>
    <w:uiPriority w:val="99"/>
    <w:rsid w:val="00FB0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4752</Words>
  <Characters>27093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Mansour M.A.M.</cp:lastModifiedBy>
  <cp:revision>2</cp:revision>
  <dcterms:created xsi:type="dcterms:W3CDTF">2020-08-07T23:15:00Z</dcterms:created>
  <dcterms:modified xsi:type="dcterms:W3CDTF">2020-08-07T23:15:00Z</dcterms:modified>
</cp:coreProperties>
</file>