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2C19" w14:textId="77777777" w:rsidR="009E3902" w:rsidRPr="002E2AA0" w:rsidRDefault="009E3902" w:rsidP="009E3902">
      <w:pPr>
        <w:spacing w:line="480" w:lineRule="auto"/>
        <w:rPr>
          <w:rFonts w:ascii="Times New Roman" w:hAnsi="Times New Roman" w:cs="Times New Roman"/>
          <w:b/>
          <w:lang w:val="en-US"/>
        </w:rPr>
      </w:pPr>
    </w:p>
    <w:p w14:paraId="3774A7A7" w14:textId="77777777" w:rsidR="009E3902" w:rsidRPr="002E2AA0" w:rsidRDefault="009E3902" w:rsidP="009E3902">
      <w:pPr>
        <w:spacing w:line="480" w:lineRule="auto"/>
        <w:rPr>
          <w:rFonts w:ascii="Times New Roman" w:hAnsi="Times New Roman" w:cs="Times New Roman"/>
          <w:b/>
          <w:lang w:val="en-US"/>
        </w:rPr>
      </w:pPr>
    </w:p>
    <w:p w14:paraId="11509327" w14:textId="77777777" w:rsidR="009E3902" w:rsidRPr="002E2AA0" w:rsidRDefault="009E3902" w:rsidP="009E3902">
      <w:pPr>
        <w:spacing w:line="480" w:lineRule="auto"/>
        <w:rPr>
          <w:rFonts w:ascii="Times New Roman" w:hAnsi="Times New Roman" w:cs="Times New Roman"/>
          <w:b/>
          <w:lang w:val="en-US"/>
        </w:rPr>
      </w:pPr>
    </w:p>
    <w:p w14:paraId="5B29FEB5" w14:textId="77777777" w:rsidR="009E3902" w:rsidRPr="002E2AA0" w:rsidRDefault="009E3902" w:rsidP="009E3902">
      <w:pPr>
        <w:spacing w:line="480" w:lineRule="auto"/>
        <w:rPr>
          <w:rFonts w:ascii="Times New Roman" w:hAnsi="Times New Roman" w:cs="Times New Roman"/>
          <w:b/>
          <w:lang w:val="en-US"/>
        </w:rPr>
      </w:pPr>
    </w:p>
    <w:p w14:paraId="751D40CA" w14:textId="77777777" w:rsidR="009E3902" w:rsidRPr="002E2AA0" w:rsidRDefault="009E3902" w:rsidP="009E3902">
      <w:pPr>
        <w:spacing w:line="480" w:lineRule="auto"/>
        <w:jc w:val="center"/>
        <w:rPr>
          <w:rFonts w:ascii="Times New Roman" w:hAnsi="Times New Roman" w:cs="Times New Roman"/>
          <w:b/>
          <w:lang w:val="en-US"/>
        </w:rPr>
      </w:pPr>
      <w:r w:rsidRPr="002E2AA0">
        <w:rPr>
          <w:rFonts w:ascii="Times New Roman" w:hAnsi="Times New Roman" w:cs="Times New Roman"/>
          <w:b/>
          <w:lang w:val="en-US"/>
        </w:rPr>
        <w:t>Systematic Review of ‘Good Lives’ Assumptions and Interventions</w:t>
      </w:r>
    </w:p>
    <w:p w14:paraId="7E4B79D1" w14:textId="77777777" w:rsidR="009E3902" w:rsidRPr="002E2AA0" w:rsidRDefault="009E3902" w:rsidP="009E3902">
      <w:pPr>
        <w:spacing w:line="480" w:lineRule="auto"/>
        <w:jc w:val="center"/>
        <w:rPr>
          <w:rFonts w:ascii="Times New Roman" w:hAnsi="Times New Roman" w:cs="Times New Roman"/>
          <w:bCs/>
          <w:lang w:val="en-US"/>
        </w:rPr>
      </w:pPr>
      <w:r w:rsidRPr="002E2AA0">
        <w:rPr>
          <w:rFonts w:ascii="Times New Roman" w:hAnsi="Times New Roman" w:cs="Times New Roman"/>
          <w:bCs/>
          <w:lang w:val="en-US"/>
        </w:rPr>
        <w:t>Jaimee S. Mallion</w:t>
      </w:r>
      <w:r>
        <w:rPr>
          <w:rFonts w:ascii="Times New Roman" w:hAnsi="Times New Roman" w:cs="Times New Roman"/>
          <w:bCs/>
          <w:vertAlign w:val="superscript"/>
          <w:lang w:val="en-US"/>
        </w:rPr>
        <w:t>1</w:t>
      </w:r>
      <w:r w:rsidRPr="002E2AA0">
        <w:rPr>
          <w:rFonts w:ascii="Times New Roman" w:hAnsi="Times New Roman" w:cs="Times New Roman"/>
          <w:bCs/>
          <w:lang w:val="en-US"/>
        </w:rPr>
        <w:t>*</w:t>
      </w:r>
    </w:p>
    <w:p w14:paraId="308D519F" w14:textId="77777777" w:rsidR="009E3902" w:rsidRPr="002B14A6" w:rsidRDefault="009E3902" w:rsidP="009E3902">
      <w:pPr>
        <w:spacing w:line="480" w:lineRule="auto"/>
        <w:jc w:val="center"/>
        <w:rPr>
          <w:rFonts w:ascii="Times New Roman" w:hAnsi="Times New Roman" w:cs="Times New Roman"/>
          <w:bCs/>
          <w:vertAlign w:val="superscript"/>
          <w:lang w:val="en-US"/>
        </w:rPr>
      </w:pPr>
      <w:r w:rsidRPr="002E2AA0">
        <w:rPr>
          <w:rFonts w:ascii="Times New Roman" w:hAnsi="Times New Roman" w:cs="Times New Roman"/>
          <w:bCs/>
          <w:lang w:val="en-US"/>
        </w:rPr>
        <w:t>Jane L. Wood</w:t>
      </w:r>
      <w:r>
        <w:rPr>
          <w:rFonts w:ascii="Times New Roman" w:hAnsi="Times New Roman" w:cs="Times New Roman"/>
          <w:bCs/>
          <w:vertAlign w:val="superscript"/>
          <w:lang w:val="en-US"/>
        </w:rPr>
        <w:t>1</w:t>
      </w:r>
    </w:p>
    <w:p w14:paraId="3880FCA1" w14:textId="77777777" w:rsidR="009E3902" w:rsidRPr="002B14A6" w:rsidRDefault="009E3902" w:rsidP="009E3902">
      <w:pPr>
        <w:spacing w:line="480" w:lineRule="auto"/>
        <w:jc w:val="center"/>
        <w:rPr>
          <w:rFonts w:ascii="Times New Roman" w:hAnsi="Times New Roman" w:cs="Times New Roman"/>
          <w:bCs/>
          <w:vertAlign w:val="superscript"/>
          <w:lang w:val="en-US"/>
        </w:rPr>
      </w:pPr>
      <w:r>
        <w:rPr>
          <w:rFonts w:ascii="Times New Roman" w:hAnsi="Times New Roman" w:cs="Times New Roman"/>
          <w:bCs/>
          <w:lang w:val="en-US"/>
        </w:rPr>
        <w:t>Andrea Mallion</w:t>
      </w:r>
      <w:r>
        <w:rPr>
          <w:rFonts w:ascii="Times New Roman" w:hAnsi="Times New Roman" w:cs="Times New Roman"/>
          <w:bCs/>
          <w:vertAlign w:val="superscript"/>
          <w:lang w:val="en-US"/>
        </w:rPr>
        <w:t>2</w:t>
      </w:r>
    </w:p>
    <w:p w14:paraId="47688B59" w14:textId="77777777" w:rsidR="009E3902" w:rsidRPr="002E2AA0" w:rsidRDefault="009E3902" w:rsidP="009E3902">
      <w:pPr>
        <w:spacing w:line="480" w:lineRule="auto"/>
        <w:jc w:val="center"/>
        <w:rPr>
          <w:rFonts w:ascii="Times New Roman" w:hAnsi="Times New Roman" w:cs="Times New Roman"/>
          <w:bCs/>
          <w:lang w:val="en-US"/>
        </w:rPr>
      </w:pPr>
    </w:p>
    <w:p w14:paraId="10B6AD87" w14:textId="77777777" w:rsidR="009E3902" w:rsidRDefault="009E3902" w:rsidP="009E3902">
      <w:pPr>
        <w:spacing w:line="480" w:lineRule="auto"/>
        <w:jc w:val="center"/>
        <w:rPr>
          <w:rFonts w:ascii="Times New Roman" w:hAnsi="Times New Roman" w:cs="Times New Roman"/>
          <w:bCs/>
          <w:lang w:val="en-US"/>
        </w:rPr>
      </w:pPr>
      <w:r>
        <w:rPr>
          <w:rFonts w:ascii="Times New Roman" w:hAnsi="Times New Roman" w:cs="Times New Roman"/>
          <w:bCs/>
          <w:vertAlign w:val="superscript"/>
          <w:lang w:val="en-US"/>
        </w:rPr>
        <w:t>1</w:t>
      </w:r>
      <w:r w:rsidRPr="002E2AA0">
        <w:rPr>
          <w:rFonts w:ascii="Times New Roman" w:hAnsi="Times New Roman" w:cs="Times New Roman"/>
          <w:bCs/>
          <w:lang w:val="en-US"/>
        </w:rPr>
        <w:t>Centre of Research and Education in Forensic Psychology, University of Kent</w:t>
      </w:r>
    </w:p>
    <w:p w14:paraId="4B2BBF80" w14:textId="77777777" w:rsidR="009E3902" w:rsidRPr="002B14A6" w:rsidRDefault="009E3902" w:rsidP="009E3902">
      <w:pPr>
        <w:spacing w:line="480" w:lineRule="auto"/>
        <w:jc w:val="center"/>
        <w:rPr>
          <w:rFonts w:ascii="Times New Roman" w:hAnsi="Times New Roman" w:cs="Times New Roman"/>
          <w:bCs/>
          <w:lang w:val="en-US"/>
        </w:rPr>
      </w:pPr>
      <w:r w:rsidRPr="002B14A6">
        <w:rPr>
          <w:rFonts w:ascii="Times New Roman" w:hAnsi="Times New Roman" w:cs="Times New Roman"/>
          <w:bCs/>
          <w:vertAlign w:val="superscript"/>
          <w:lang w:val="en-US"/>
        </w:rPr>
        <w:t>2</w:t>
      </w:r>
      <w:r>
        <w:rPr>
          <w:rFonts w:ascii="Times New Roman" w:hAnsi="Times New Roman" w:cs="Times New Roman"/>
          <w:bCs/>
          <w:lang w:val="en-US"/>
        </w:rPr>
        <w:t xml:space="preserve">School of Psychology, </w:t>
      </w:r>
      <w:r w:rsidRPr="002B14A6">
        <w:rPr>
          <w:rFonts w:ascii="Times New Roman" w:hAnsi="Times New Roman" w:cs="Times New Roman"/>
          <w:bCs/>
          <w:lang w:val="en-US"/>
        </w:rPr>
        <w:t>The</w:t>
      </w:r>
      <w:r>
        <w:rPr>
          <w:rFonts w:ascii="Times New Roman" w:hAnsi="Times New Roman" w:cs="Times New Roman"/>
          <w:bCs/>
          <w:lang w:val="en-US"/>
        </w:rPr>
        <w:t xml:space="preserve"> Open University</w:t>
      </w:r>
    </w:p>
    <w:p w14:paraId="685E78D3" w14:textId="77777777" w:rsidR="009E3902" w:rsidRPr="002E2AA0" w:rsidRDefault="009E3902" w:rsidP="009E3902">
      <w:pPr>
        <w:spacing w:line="480" w:lineRule="auto"/>
        <w:rPr>
          <w:rFonts w:ascii="Times New Roman" w:hAnsi="Times New Roman" w:cs="Times New Roman"/>
          <w:bCs/>
          <w:lang w:val="en-US"/>
        </w:rPr>
      </w:pPr>
    </w:p>
    <w:p w14:paraId="0B4E2301" w14:textId="77777777" w:rsidR="009E3902" w:rsidRPr="002E2AA0" w:rsidRDefault="009E3902" w:rsidP="009E3902">
      <w:pPr>
        <w:spacing w:line="480" w:lineRule="auto"/>
        <w:rPr>
          <w:rFonts w:ascii="Times New Roman" w:hAnsi="Times New Roman" w:cs="Times New Roman"/>
          <w:bCs/>
          <w:lang w:val="en-US"/>
        </w:rPr>
      </w:pPr>
    </w:p>
    <w:p w14:paraId="4FA18380" w14:textId="77777777" w:rsidR="009E3902" w:rsidRPr="002E2AA0" w:rsidRDefault="009E3902" w:rsidP="009E3902">
      <w:pPr>
        <w:spacing w:line="480" w:lineRule="auto"/>
        <w:rPr>
          <w:rFonts w:ascii="Times New Roman" w:hAnsi="Times New Roman" w:cs="Times New Roman"/>
          <w:bCs/>
          <w:lang w:val="en-US"/>
        </w:rPr>
      </w:pPr>
      <w:r>
        <w:rPr>
          <w:rFonts w:ascii="Times New Roman" w:hAnsi="Times New Roman" w:cs="Times New Roman"/>
          <w:bCs/>
          <w:lang w:val="en-US"/>
        </w:rPr>
        <w:t>Declarations of interest: none</w:t>
      </w:r>
    </w:p>
    <w:p w14:paraId="023EB0CD" w14:textId="77777777" w:rsidR="009E3902" w:rsidRPr="002E2AA0" w:rsidRDefault="009E3902" w:rsidP="009E3902">
      <w:pPr>
        <w:spacing w:line="480" w:lineRule="auto"/>
        <w:rPr>
          <w:rFonts w:ascii="Times New Roman" w:hAnsi="Times New Roman" w:cs="Times New Roman"/>
          <w:bCs/>
          <w:lang w:val="en-US"/>
        </w:rPr>
      </w:pPr>
    </w:p>
    <w:p w14:paraId="3A116025" w14:textId="77777777" w:rsidR="009E3902" w:rsidRDefault="009E3902" w:rsidP="009E3902">
      <w:pPr>
        <w:spacing w:line="480" w:lineRule="auto"/>
        <w:rPr>
          <w:rFonts w:ascii="Times New Roman" w:hAnsi="Times New Roman" w:cs="Times New Roman"/>
          <w:bCs/>
          <w:lang w:val="en-US"/>
        </w:rPr>
      </w:pPr>
      <w:r w:rsidRPr="002E2AA0">
        <w:rPr>
          <w:rFonts w:ascii="Times New Roman" w:hAnsi="Times New Roman" w:cs="Times New Roman"/>
          <w:bCs/>
          <w:lang w:val="en-US"/>
        </w:rPr>
        <w:t xml:space="preserve">*Corresponding author information: Jaimee S. Mallion, Centre of Research and Education in Forensic Psychology, School of Psychology, Keynes College, University of Kent, Canterbury, CT2 7NP, United Kingdom. Email: </w:t>
      </w:r>
      <w:hyperlink r:id="rId8" w:history="1">
        <w:r w:rsidRPr="00F4407B">
          <w:rPr>
            <w:rStyle w:val="Hyperlink"/>
            <w:rFonts w:ascii="Times New Roman" w:hAnsi="Times New Roman" w:cs="Times New Roman"/>
            <w:bCs/>
            <w:lang w:val="en-US"/>
          </w:rPr>
          <w:t>jsm39@kent.ac.uk</w:t>
        </w:r>
      </w:hyperlink>
    </w:p>
    <w:p w14:paraId="47A243B6" w14:textId="77777777" w:rsidR="009E3902" w:rsidRDefault="009E3902" w:rsidP="009E3902">
      <w:pPr>
        <w:spacing w:line="480" w:lineRule="auto"/>
        <w:rPr>
          <w:rFonts w:ascii="Times New Roman" w:hAnsi="Times New Roman" w:cs="Times New Roman"/>
          <w:bCs/>
          <w:lang w:val="en-US"/>
        </w:rPr>
      </w:pPr>
    </w:p>
    <w:p w14:paraId="370C668C" w14:textId="77777777" w:rsidR="009E3902" w:rsidRPr="002E2AA0" w:rsidRDefault="009E3902" w:rsidP="009E3902">
      <w:pPr>
        <w:spacing w:line="480" w:lineRule="auto"/>
        <w:rPr>
          <w:rFonts w:ascii="Times New Roman" w:hAnsi="Times New Roman" w:cs="Times New Roman"/>
          <w:bCs/>
          <w:lang w:val="en-US"/>
        </w:rPr>
      </w:pPr>
    </w:p>
    <w:p w14:paraId="71C6E2FF" w14:textId="77777777" w:rsidR="009E3902" w:rsidRPr="002E2AA0" w:rsidRDefault="009E3902" w:rsidP="009E3902">
      <w:pPr>
        <w:jc w:val="center"/>
        <w:rPr>
          <w:rFonts w:ascii="Times New Roman" w:hAnsi="Times New Roman" w:cs="Times New Roman"/>
          <w:b/>
          <w:lang w:val="en-US"/>
        </w:rPr>
      </w:pPr>
      <w:r w:rsidRPr="002E2AA0">
        <w:rPr>
          <w:rFonts w:ascii="Times New Roman" w:hAnsi="Times New Roman" w:cs="Times New Roman"/>
          <w:b/>
          <w:lang w:val="en-US"/>
        </w:rPr>
        <w:br w:type="page"/>
      </w:r>
    </w:p>
    <w:p w14:paraId="75FF3E2E" w14:textId="77777777" w:rsidR="009E3902" w:rsidRDefault="009E3902" w:rsidP="009E3902">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Abstract</w:t>
      </w:r>
    </w:p>
    <w:p w14:paraId="5C015A21" w14:textId="77777777" w:rsidR="009E3902" w:rsidRPr="00185671" w:rsidRDefault="009E3902" w:rsidP="009E3902">
      <w:pPr>
        <w:spacing w:line="480" w:lineRule="auto"/>
        <w:rPr>
          <w:rFonts w:ascii="Times New Roman" w:hAnsi="Times New Roman" w:cs="Times New Roman"/>
          <w:bCs/>
          <w:lang w:val="en-US"/>
        </w:rPr>
      </w:pPr>
      <w:r>
        <w:rPr>
          <w:rFonts w:ascii="Times New Roman" w:hAnsi="Times New Roman" w:cs="Times New Roman"/>
          <w:bCs/>
          <w:lang w:val="en-US"/>
        </w:rPr>
        <w:t>The Good Lives Model (GLM) is an increasingly popular framework of offender rehabilitation used internationally for a variety of offending typologies. However, opponents have suggested the GLM is an ideological and intuition-based model, rather than an empirically supported framework. The current article</w:t>
      </w:r>
      <w:r w:rsidRPr="004A764E">
        <w:rPr>
          <w:rFonts w:ascii="Times New Roman" w:hAnsi="Times New Roman" w:cs="Times New Roman"/>
          <w:bCs/>
          <w:lang w:val="en-US"/>
        </w:rPr>
        <w:t xml:space="preserve"> </w:t>
      </w:r>
      <w:r>
        <w:rPr>
          <w:rFonts w:ascii="Times New Roman" w:hAnsi="Times New Roman" w:cs="Times New Roman"/>
          <w:bCs/>
          <w:lang w:val="en-US"/>
        </w:rPr>
        <w:t xml:space="preserve">systematically reviews the literature pertaining to </w:t>
      </w:r>
      <w:r>
        <w:rPr>
          <w:rFonts w:ascii="Times New Roman" w:hAnsi="Times New Roman" w:cs="Times New Roman"/>
          <w:lang w:val="en-US"/>
        </w:rPr>
        <w:t>two aspects of the GLM. Firstly, the</w:t>
      </w:r>
      <w:r w:rsidRPr="002E2AA0">
        <w:rPr>
          <w:rFonts w:ascii="Times New Roman" w:hAnsi="Times New Roman" w:cs="Times New Roman"/>
          <w:lang w:val="en-US"/>
        </w:rPr>
        <w:t xml:space="preserve"> GLM </w:t>
      </w:r>
      <w:r w:rsidRPr="00F807C7">
        <w:rPr>
          <w:rFonts w:ascii="Times New Roman" w:hAnsi="Times New Roman" w:cs="Times New Roman"/>
          <w:i/>
          <w:lang w:val="en-US"/>
        </w:rPr>
        <w:t>assumptions</w:t>
      </w:r>
      <w:r w:rsidRPr="004A764E">
        <w:rPr>
          <w:rFonts w:ascii="Times New Roman" w:hAnsi="Times New Roman" w:cs="Times New Roman"/>
          <w:lang w:val="en-US"/>
        </w:rPr>
        <w:t xml:space="preserve"> </w:t>
      </w:r>
      <w:r>
        <w:rPr>
          <w:rFonts w:ascii="Times New Roman" w:hAnsi="Times New Roman" w:cs="Times New Roman"/>
          <w:lang w:val="en-US"/>
        </w:rPr>
        <w:t xml:space="preserve">(primary goods, obstacles, and pathways to offending), and, secondly, </w:t>
      </w:r>
      <w:r w:rsidRPr="00F807C7">
        <w:rPr>
          <w:rFonts w:ascii="Times New Roman" w:hAnsi="Times New Roman" w:cs="Times New Roman"/>
          <w:i/>
          <w:lang w:val="en-US"/>
        </w:rPr>
        <w:t>outcomes</w:t>
      </w:r>
      <w:r w:rsidRPr="002E2AA0">
        <w:rPr>
          <w:rFonts w:ascii="Times New Roman" w:hAnsi="Times New Roman" w:cs="Times New Roman"/>
          <w:lang w:val="en-US"/>
        </w:rPr>
        <w:t xml:space="preserve"> of GLM-consistent interventions</w:t>
      </w:r>
      <w:r>
        <w:rPr>
          <w:rFonts w:ascii="Times New Roman" w:hAnsi="Times New Roman" w:cs="Times New Roman"/>
          <w:lang w:val="en-US"/>
        </w:rPr>
        <w:t xml:space="preserve"> (recidivism, pre-post treatment change, and service user perspectives)</w:t>
      </w:r>
      <w:r w:rsidRPr="002E2AA0">
        <w:rPr>
          <w:rFonts w:ascii="Times New Roman" w:hAnsi="Times New Roman" w:cs="Times New Roman"/>
          <w:lang w:val="en-US"/>
        </w:rPr>
        <w:t>.</w:t>
      </w:r>
      <w:r>
        <w:rPr>
          <w:rFonts w:ascii="Times New Roman" w:hAnsi="Times New Roman" w:cs="Times New Roman"/>
          <w:lang w:val="en-US"/>
        </w:rPr>
        <w:t xml:space="preserve"> </w:t>
      </w:r>
      <w:r w:rsidRPr="00F51A87">
        <w:rPr>
          <w:rFonts w:ascii="Times New Roman" w:hAnsi="Times New Roman" w:cs="Times New Roman"/>
          <w:lang w:val="en-US"/>
        </w:rPr>
        <w:t xml:space="preserve">Electronic and hand searches were conducted and completed in August, 2019; </w:t>
      </w:r>
      <w:r>
        <w:rPr>
          <w:rFonts w:ascii="Times New Roman" w:hAnsi="Times New Roman" w:cs="Times New Roman"/>
          <w:i/>
          <w:lang w:val="en-US"/>
        </w:rPr>
        <w:t xml:space="preserve">N </w:t>
      </w:r>
      <w:r>
        <w:rPr>
          <w:rFonts w:ascii="Times New Roman" w:hAnsi="Times New Roman" w:cs="Times New Roman"/>
          <w:lang w:val="en-US"/>
        </w:rPr>
        <w:t xml:space="preserve">= 17 studies met the inclusion criteria, with </w:t>
      </w:r>
      <w:r>
        <w:rPr>
          <w:rFonts w:ascii="Times New Roman" w:hAnsi="Times New Roman" w:cs="Times New Roman"/>
          <w:i/>
          <w:lang w:val="en-US"/>
        </w:rPr>
        <w:t xml:space="preserve">n </w:t>
      </w:r>
      <w:r>
        <w:rPr>
          <w:rFonts w:ascii="Times New Roman" w:hAnsi="Times New Roman" w:cs="Times New Roman"/>
          <w:lang w:val="en-US"/>
        </w:rPr>
        <w:t xml:space="preserve">= 12 examining the GLM’s assumptions, and </w:t>
      </w:r>
      <w:r>
        <w:rPr>
          <w:rFonts w:ascii="Times New Roman" w:hAnsi="Times New Roman" w:cs="Times New Roman"/>
          <w:i/>
          <w:lang w:val="en-US"/>
        </w:rPr>
        <w:t xml:space="preserve">n </w:t>
      </w:r>
      <w:r>
        <w:rPr>
          <w:rFonts w:ascii="Times New Roman" w:hAnsi="Times New Roman" w:cs="Times New Roman"/>
          <w:lang w:val="en-US"/>
        </w:rPr>
        <w:t xml:space="preserve">= 5 assessing outcomes of GLM-consistent interventions. Findings were mixed regarding the GLM assumptions, although this may be due to differences in measurements used to assess primary goods across studies. However, </w:t>
      </w:r>
      <w:r w:rsidRPr="002E2AA0">
        <w:rPr>
          <w:rFonts w:ascii="Times New Roman" w:hAnsi="Times New Roman" w:cs="Times New Roman"/>
          <w:lang w:val="en-US"/>
        </w:rPr>
        <w:t>GLM-consistent intervention</w:t>
      </w:r>
      <w:r>
        <w:rPr>
          <w:rFonts w:ascii="Times New Roman" w:hAnsi="Times New Roman" w:cs="Times New Roman"/>
          <w:lang w:val="en-US"/>
        </w:rPr>
        <w:t>s</w:t>
      </w:r>
      <w:r w:rsidRPr="002E2AA0">
        <w:rPr>
          <w:rFonts w:ascii="Times New Roman" w:hAnsi="Times New Roman" w:cs="Times New Roman"/>
          <w:lang w:val="en-US"/>
        </w:rPr>
        <w:t xml:space="preserve"> </w:t>
      </w:r>
      <w:r>
        <w:rPr>
          <w:rFonts w:ascii="Times New Roman" w:hAnsi="Times New Roman" w:cs="Times New Roman"/>
          <w:lang w:val="en-US"/>
        </w:rPr>
        <w:t xml:space="preserve">were </w:t>
      </w:r>
      <w:r w:rsidRPr="002E2AA0">
        <w:rPr>
          <w:rFonts w:ascii="Times New Roman" w:hAnsi="Times New Roman" w:cs="Times New Roman"/>
          <w:lang w:val="en-US"/>
        </w:rPr>
        <w:t xml:space="preserve">found to be </w:t>
      </w:r>
      <w:r>
        <w:rPr>
          <w:rFonts w:ascii="Times New Roman" w:hAnsi="Times New Roman" w:cs="Times New Roman"/>
          <w:lang w:val="en-US"/>
        </w:rPr>
        <w:t xml:space="preserve">at least </w:t>
      </w:r>
      <w:r w:rsidRPr="002E2AA0">
        <w:rPr>
          <w:rFonts w:ascii="Times New Roman" w:hAnsi="Times New Roman" w:cs="Times New Roman"/>
          <w:lang w:val="en-US"/>
        </w:rPr>
        <w:t xml:space="preserve">as effective as standard </w:t>
      </w:r>
      <w:r>
        <w:rPr>
          <w:rFonts w:ascii="Times New Roman" w:hAnsi="Times New Roman" w:cs="Times New Roman"/>
          <w:lang w:val="en-US"/>
        </w:rPr>
        <w:t>relapse prevention</w:t>
      </w:r>
      <w:r w:rsidRPr="002E2AA0">
        <w:rPr>
          <w:rFonts w:ascii="Times New Roman" w:hAnsi="Times New Roman" w:cs="Times New Roman"/>
          <w:lang w:val="en-US"/>
        </w:rPr>
        <w:t xml:space="preserve"> programs, whilst enhancing participants</w:t>
      </w:r>
      <w:r>
        <w:rPr>
          <w:rFonts w:ascii="Times New Roman" w:hAnsi="Times New Roman" w:cs="Times New Roman"/>
          <w:lang w:val="en-US"/>
        </w:rPr>
        <w:t>’ motivation to change</w:t>
      </w:r>
      <w:r w:rsidRPr="002E2AA0">
        <w:rPr>
          <w:rFonts w:ascii="Times New Roman" w:hAnsi="Times New Roman" w:cs="Times New Roman"/>
          <w:lang w:val="en-US"/>
        </w:rPr>
        <w:t xml:space="preserve"> </w:t>
      </w:r>
      <w:r>
        <w:rPr>
          <w:rFonts w:ascii="Times New Roman" w:hAnsi="Times New Roman" w:cs="Times New Roman"/>
          <w:lang w:val="en-US"/>
        </w:rPr>
        <w:t>and</w:t>
      </w:r>
      <w:r w:rsidRPr="002E2AA0">
        <w:rPr>
          <w:rFonts w:ascii="Times New Roman" w:hAnsi="Times New Roman" w:cs="Times New Roman"/>
          <w:lang w:val="en-US"/>
        </w:rPr>
        <w:t xml:space="preserve"> engagement in treatment. </w:t>
      </w:r>
      <w:r>
        <w:rPr>
          <w:rFonts w:ascii="Times New Roman" w:hAnsi="Times New Roman" w:cs="Times New Roman"/>
          <w:lang w:val="en-US"/>
        </w:rPr>
        <w:t xml:space="preserve">To fully establish the GLM as an empirically supported model, more high quality, rigorous evaluations of both the GLM assumptions and outcomes of GLM-consistent interventions is needed. </w:t>
      </w:r>
    </w:p>
    <w:p w14:paraId="3AEB81B9" w14:textId="77777777" w:rsidR="009E3902" w:rsidRDefault="009E3902" w:rsidP="009E3902">
      <w:r>
        <w:rPr>
          <w:rFonts w:ascii="Times New Roman" w:hAnsi="Times New Roman" w:cs="Times New Roman"/>
          <w:i/>
          <w:lang w:val="en-US"/>
        </w:rPr>
        <w:t xml:space="preserve">Keywords: </w:t>
      </w:r>
      <w:r>
        <w:rPr>
          <w:rFonts w:ascii="Times New Roman" w:hAnsi="Times New Roman" w:cs="Times New Roman"/>
          <w:lang w:val="en-US"/>
        </w:rPr>
        <w:t>Good Lives Model, offending, primary goods, interventions</w:t>
      </w:r>
    </w:p>
    <w:p w14:paraId="0A1F924C" w14:textId="77777777" w:rsidR="009E3902" w:rsidRDefault="009E3902" w:rsidP="00284AFC">
      <w:pPr>
        <w:spacing w:line="480" w:lineRule="auto"/>
        <w:jc w:val="center"/>
        <w:rPr>
          <w:rFonts w:ascii="Times New Roman" w:hAnsi="Times New Roman" w:cs="Times New Roman"/>
          <w:b/>
          <w:lang w:val="en-US"/>
        </w:rPr>
      </w:pPr>
    </w:p>
    <w:p w14:paraId="5764F3D5" w14:textId="77777777" w:rsidR="009E3902" w:rsidRDefault="009E3902">
      <w:pPr>
        <w:rPr>
          <w:rFonts w:ascii="Times New Roman" w:hAnsi="Times New Roman" w:cs="Times New Roman"/>
          <w:b/>
          <w:lang w:val="en-US"/>
        </w:rPr>
      </w:pPr>
      <w:r>
        <w:rPr>
          <w:rFonts w:ascii="Times New Roman" w:hAnsi="Times New Roman" w:cs="Times New Roman"/>
          <w:b/>
          <w:lang w:val="en-US"/>
        </w:rPr>
        <w:br w:type="page"/>
      </w:r>
    </w:p>
    <w:p w14:paraId="359EA0CD" w14:textId="77777777" w:rsidR="009E3902" w:rsidRPr="009E3902" w:rsidRDefault="009E3902" w:rsidP="009E3902">
      <w:pPr>
        <w:spacing w:line="480" w:lineRule="auto"/>
        <w:jc w:val="center"/>
        <w:rPr>
          <w:rFonts w:ascii="Times New Roman" w:hAnsi="Times New Roman" w:cs="Times New Roman"/>
          <w:b/>
        </w:rPr>
      </w:pPr>
      <w:r w:rsidRPr="009E3902">
        <w:rPr>
          <w:rFonts w:ascii="Times New Roman" w:hAnsi="Times New Roman" w:cs="Times New Roman"/>
          <w:b/>
        </w:rPr>
        <w:lastRenderedPageBreak/>
        <w:t>Highlights</w:t>
      </w:r>
    </w:p>
    <w:p w14:paraId="218BA401" w14:textId="77777777" w:rsidR="009E3902" w:rsidRPr="009E3902" w:rsidRDefault="009E3902" w:rsidP="009E3902">
      <w:pPr>
        <w:pStyle w:val="ListParagraph"/>
        <w:numPr>
          <w:ilvl w:val="0"/>
          <w:numId w:val="16"/>
        </w:numPr>
        <w:spacing w:line="480" w:lineRule="auto"/>
        <w:rPr>
          <w:rFonts w:ascii="Times New Roman" w:hAnsi="Times New Roman" w:cs="Times New Roman"/>
          <w:sz w:val="24"/>
          <w:szCs w:val="24"/>
        </w:rPr>
      </w:pPr>
      <w:r w:rsidRPr="009E3902">
        <w:rPr>
          <w:rFonts w:ascii="Times New Roman" w:hAnsi="Times New Roman" w:cs="Times New Roman"/>
          <w:sz w:val="24"/>
          <w:szCs w:val="24"/>
        </w:rPr>
        <w:t>GLM is emerging as an empirically supported framework of offender rehabilitation</w:t>
      </w:r>
    </w:p>
    <w:p w14:paraId="051F7171" w14:textId="77777777" w:rsidR="009E3902" w:rsidRPr="009E3902" w:rsidRDefault="009E3902" w:rsidP="009E3902">
      <w:pPr>
        <w:pStyle w:val="ListParagraph"/>
        <w:numPr>
          <w:ilvl w:val="0"/>
          <w:numId w:val="16"/>
        </w:numPr>
        <w:spacing w:line="480" w:lineRule="auto"/>
        <w:rPr>
          <w:rFonts w:ascii="Times New Roman" w:hAnsi="Times New Roman" w:cs="Times New Roman"/>
          <w:sz w:val="24"/>
          <w:szCs w:val="24"/>
        </w:rPr>
      </w:pPr>
      <w:r w:rsidRPr="009E3902">
        <w:rPr>
          <w:rFonts w:ascii="Times New Roman" w:hAnsi="Times New Roman" w:cs="Times New Roman"/>
          <w:sz w:val="24"/>
          <w:szCs w:val="24"/>
        </w:rPr>
        <w:t xml:space="preserve">Good Lives Model (GLM) and relapse prevention interventions are equally effective </w:t>
      </w:r>
    </w:p>
    <w:p w14:paraId="224F9C92" w14:textId="77777777" w:rsidR="009E3902" w:rsidRPr="009E3902" w:rsidRDefault="009E3902" w:rsidP="009E3902">
      <w:pPr>
        <w:pStyle w:val="ListParagraph"/>
        <w:numPr>
          <w:ilvl w:val="0"/>
          <w:numId w:val="16"/>
        </w:numPr>
        <w:spacing w:line="480" w:lineRule="auto"/>
        <w:rPr>
          <w:rFonts w:ascii="Times New Roman" w:hAnsi="Times New Roman" w:cs="Times New Roman"/>
          <w:sz w:val="24"/>
          <w:szCs w:val="24"/>
        </w:rPr>
      </w:pPr>
      <w:r w:rsidRPr="009E3902">
        <w:rPr>
          <w:rFonts w:ascii="Times New Roman" w:hAnsi="Times New Roman" w:cs="Times New Roman"/>
          <w:sz w:val="24"/>
          <w:szCs w:val="24"/>
        </w:rPr>
        <w:t>GLM-consistent interventions increase client motivation and engagement</w:t>
      </w:r>
    </w:p>
    <w:p w14:paraId="6336606F" w14:textId="77777777" w:rsidR="009E3902" w:rsidRPr="009E3902" w:rsidRDefault="009E3902" w:rsidP="009E3902">
      <w:pPr>
        <w:pStyle w:val="ListParagraph"/>
        <w:numPr>
          <w:ilvl w:val="0"/>
          <w:numId w:val="16"/>
        </w:numPr>
        <w:spacing w:line="480" w:lineRule="auto"/>
        <w:rPr>
          <w:rFonts w:ascii="Times New Roman" w:hAnsi="Times New Roman" w:cs="Times New Roman"/>
          <w:sz w:val="24"/>
          <w:szCs w:val="24"/>
        </w:rPr>
      </w:pPr>
      <w:r w:rsidRPr="009E3902">
        <w:rPr>
          <w:rFonts w:ascii="Times New Roman" w:hAnsi="Times New Roman" w:cs="Times New Roman"/>
          <w:sz w:val="24"/>
          <w:szCs w:val="24"/>
        </w:rPr>
        <w:t>Findings regarding the GLM’s proposed reasons for offending are mixed</w:t>
      </w:r>
    </w:p>
    <w:p w14:paraId="381E6288" w14:textId="77777777" w:rsidR="009E3902" w:rsidRPr="009E3902" w:rsidRDefault="009E3902" w:rsidP="009E3902">
      <w:pPr>
        <w:pStyle w:val="ListParagraph"/>
        <w:numPr>
          <w:ilvl w:val="0"/>
          <w:numId w:val="16"/>
        </w:numPr>
        <w:spacing w:line="480" w:lineRule="auto"/>
        <w:rPr>
          <w:rFonts w:ascii="Times New Roman" w:hAnsi="Times New Roman" w:cs="Times New Roman"/>
          <w:sz w:val="24"/>
          <w:szCs w:val="24"/>
        </w:rPr>
      </w:pPr>
      <w:r w:rsidRPr="009E3902">
        <w:rPr>
          <w:rFonts w:ascii="Times New Roman" w:hAnsi="Times New Roman" w:cs="Times New Roman"/>
          <w:sz w:val="24"/>
          <w:szCs w:val="24"/>
        </w:rPr>
        <w:t>Need for standardized measures to be developed assessing GLM assumptions</w:t>
      </w:r>
    </w:p>
    <w:p w14:paraId="00B6DDF1" w14:textId="77777777" w:rsidR="009E3902" w:rsidRPr="009E3902" w:rsidRDefault="009E3902" w:rsidP="009E3902">
      <w:pPr>
        <w:pStyle w:val="ListParagraph"/>
        <w:spacing w:line="480" w:lineRule="auto"/>
        <w:rPr>
          <w:rFonts w:ascii="Times New Roman" w:hAnsi="Times New Roman" w:cs="Times New Roman"/>
          <w:sz w:val="24"/>
          <w:szCs w:val="24"/>
        </w:rPr>
      </w:pPr>
    </w:p>
    <w:p w14:paraId="230C9AE2" w14:textId="77777777" w:rsidR="009E3902" w:rsidRPr="009E3902" w:rsidRDefault="009E3902">
      <w:pPr>
        <w:rPr>
          <w:rFonts w:ascii="Times New Roman" w:hAnsi="Times New Roman" w:cs="Times New Roman"/>
          <w:b/>
          <w:lang w:val="en-US"/>
        </w:rPr>
      </w:pPr>
      <w:r w:rsidRPr="009E3902">
        <w:rPr>
          <w:rFonts w:ascii="Times New Roman" w:hAnsi="Times New Roman" w:cs="Times New Roman"/>
          <w:b/>
          <w:lang w:val="en-US"/>
        </w:rPr>
        <w:br w:type="page"/>
      </w:r>
    </w:p>
    <w:p w14:paraId="5832CA59" w14:textId="63F40264" w:rsidR="00094C69" w:rsidRPr="003C65EA" w:rsidRDefault="00FB34FF" w:rsidP="00284AFC">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 xml:space="preserve">1. </w:t>
      </w:r>
      <w:r w:rsidR="00094C69" w:rsidRPr="003C65EA">
        <w:rPr>
          <w:rFonts w:ascii="Times New Roman" w:hAnsi="Times New Roman" w:cs="Times New Roman"/>
          <w:b/>
          <w:lang w:val="en-US"/>
        </w:rPr>
        <w:t>Systematic Review of ‘Good Lives’ Assumptions and Interventions</w:t>
      </w:r>
    </w:p>
    <w:p w14:paraId="2F89982B" w14:textId="04CEC4B2" w:rsidR="00897256" w:rsidRPr="002E2AA0" w:rsidRDefault="00D238C3" w:rsidP="00BA4F1D">
      <w:pPr>
        <w:spacing w:line="480" w:lineRule="auto"/>
        <w:rPr>
          <w:rFonts w:ascii="Times New Roman" w:hAnsi="Times New Roman" w:cs="Times New Roman"/>
          <w:bCs/>
          <w:lang w:val="en-US"/>
        </w:rPr>
      </w:pPr>
      <w:r w:rsidRPr="002E2AA0">
        <w:rPr>
          <w:rFonts w:ascii="Times New Roman" w:hAnsi="Times New Roman" w:cs="Times New Roman"/>
          <w:bCs/>
          <w:lang w:val="en-US"/>
        </w:rPr>
        <w:tab/>
      </w:r>
      <w:r w:rsidR="00BA4F1D" w:rsidRPr="002E2AA0">
        <w:rPr>
          <w:rFonts w:ascii="Times New Roman" w:hAnsi="Times New Roman" w:cs="Times New Roman"/>
          <w:bCs/>
          <w:lang w:val="en-US"/>
        </w:rPr>
        <w:t>Despite strong evidence supporting the use of traditional Risk Need Responsivity (RNR; Andre</w:t>
      </w:r>
      <w:r w:rsidR="00370AFB">
        <w:rPr>
          <w:rFonts w:ascii="Times New Roman" w:hAnsi="Times New Roman" w:cs="Times New Roman"/>
          <w:bCs/>
          <w:lang w:val="en-US"/>
        </w:rPr>
        <w:t>w</w:t>
      </w:r>
      <w:r w:rsidR="00BA4F1D" w:rsidRPr="002E2AA0">
        <w:rPr>
          <w:rFonts w:ascii="Times New Roman" w:hAnsi="Times New Roman" w:cs="Times New Roman"/>
          <w:bCs/>
          <w:lang w:val="en-US"/>
        </w:rPr>
        <w:t>s &amp; Bonta, 2010) based interventions with offenders (Hanson</w:t>
      </w:r>
      <w:r w:rsidR="00C83260">
        <w:rPr>
          <w:rFonts w:ascii="Times New Roman" w:hAnsi="Times New Roman" w:cs="Times New Roman"/>
          <w:bCs/>
          <w:lang w:val="en-US"/>
        </w:rPr>
        <w:t xml:space="preserve"> et al.</w:t>
      </w:r>
      <w:r w:rsidR="00BA4F1D" w:rsidRPr="002E2AA0">
        <w:rPr>
          <w:rFonts w:ascii="Times New Roman" w:hAnsi="Times New Roman" w:cs="Times New Roman"/>
          <w:bCs/>
          <w:lang w:val="en-US"/>
        </w:rPr>
        <w:t>, 2009), criticisms have been raised concerning their de-motivating nature, high attrition rates</w:t>
      </w:r>
      <w:r w:rsidR="000A68D2" w:rsidRPr="002E2AA0">
        <w:rPr>
          <w:rFonts w:ascii="Times New Roman" w:hAnsi="Times New Roman" w:cs="Times New Roman"/>
          <w:bCs/>
          <w:lang w:val="en-US"/>
        </w:rPr>
        <w:t>,</w:t>
      </w:r>
      <w:r w:rsidR="00BA4F1D" w:rsidRPr="002E2AA0">
        <w:rPr>
          <w:rFonts w:ascii="Times New Roman" w:hAnsi="Times New Roman" w:cs="Times New Roman"/>
          <w:bCs/>
          <w:lang w:val="en-US"/>
        </w:rPr>
        <w:t xml:space="preserve"> poor therapeutic alliance </w:t>
      </w:r>
      <w:r w:rsidR="000A68D2" w:rsidRPr="002E2AA0">
        <w:rPr>
          <w:rFonts w:ascii="Times New Roman" w:hAnsi="Times New Roman" w:cs="Times New Roman"/>
          <w:bCs/>
          <w:lang w:val="en-US"/>
        </w:rPr>
        <w:t xml:space="preserve">and ‘one size fits all’ approach </w:t>
      </w:r>
      <w:r w:rsidR="00BA4F1D" w:rsidRPr="002E2AA0">
        <w:rPr>
          <w:rFonts w:ascii="Times New Roman" w:hAnsi="Times New Roman" w:cs="Times New Roman"/>
          <w:bCs/>
          <w:lang w:val="en-US"/>
        </w:rPr>
        <w:t>(Ward &amp; Maruna, 2007; Ward</w:t>
      </w:r>
      <w:r w:rsidR="00C83260">
        <w:rPr>
          <w:rFonts w:ascii="Times New Roman" w:hAnsi="Times New Roman" w:cs="Times New Roman"/>
          <w:bCs/>
          <w:lang w:val="en-US"/>
        </w:rPr>
        <w:t xml:space="preserve"> et al.</w:t>
      </w:r>
      <w:r w:rsidR="00BA4F1D" w:rsidRPr="002E2AA0">
        <w:rPr>
          <w:rFonts w:ascii="Times New Roman" w:hAnsi="Times New Roman" w:cs="Times New Roman"/>
          <w:bCs/>
          <w:lang w:val="en-US"/>
        </w:rPr>
        <w:t xml:space="preserve">, 2007). </w:t>
      </w:r>
      <w:r w:rsidR="00E21348" w:rsidRPr="002E2AA0">
        <w:rPr>
          <w:rFonts w:ascii="Times New Roman" w:hAnsi="Times New Roman" w:cs="Times New Roman"/>
          <w:bCs/>
          <w:lang w:val="en-US"/>
        </w:rPr>
        <w:t xml:space="preserve">As such, Ward and colleagues (Ward, 2002; </w:t>
      </w:r>
      <w:r w:rsidR="0066748B">
        <w:rPr>
          <w:rFonts w:ascii="Times New Roman" w:hAnsi="Times New Roman" w:cs="Times New Roman"/>
          <w:bCs/>
          <w:lang w:val="en-US"/>
        </w:rPr>
        <w:t xml:space="preserve">Ward &amp; Brown, 2004; </w:t>
      </w:r>
      <w:r w:rsidR="00E21348" w:rsidRPr="002E2AA0">
        <w:rPr>
          <w:rFonts w:ascii="Times New Roman" w:hAnsi="Times New Roman" w:cs="Times New Roman"/>
          <w:bCs/>
          <w:lang w:val="en-US"/>
        </w:rPr>
        <w:t>Ward &amp; Stewart, 200</w:t>
      </w:r>
      <w:r w:rsidR="0066748B">
        <w:rPr>
          <w:rFonts w:ascii="Times New Roman" w:hAnsi="Times New Roman" w:cs="Times New Roman"/>
          <w:bCs/>
          <w:lang w:val="en-US"/>
        </w:rPr>
        <w:t>2</w:t>
      </w:r>
      <w:r w:rsidR="00E21348" w:rsidRPr="002E2AA0">
        <w:rPr>
          <w:rFonts w:ascii="Times New Roman" w:hAnsi="Times New Roman" w:cs="Times New Roman"/>
          <w:bCs/>
          <w:lang w:val="en-US"/>
        </w:rPr>
        <w:t>) devised the Good Lives Model (GLM), a strengths-based framework of offender rehabilitation. The GLM</w:t>
      </w:r>
      <w:r w:rsidR="00EB276C" w:rsidRPr="002E2AA0">
        <w:rPr>
          <w:rFonts w:ascii="Times New Roman" w:hAnsi="Times New Roman" w:cs="Times New Roman"/>
          <w:bCs/>
          <w:lang w:val="en-US"/>
        </w:rPr>
        <w:t xml:space="preserve"> fosters a dual focus on good promotion (approach goals) and risk management (avoidance goals); equipping clients with the resources and skills necessary to have a ‘good life’ </w:t>
      </w:r>
      <w:r w:rsidR="009A6715" w:rsidRPr="002E2AA0">
        <w:rPr>
          <w:rFonts w:ascii="Times New Roman" w:hAnsi="Times New Roman" w:cs="Times New Roman"/>
          <w:bCs/>
          <w:lang w:val="en-US"/>
        </w:rPr>
        <w:t>that</w:t>
      </w:r>
      <w:r w:rsidR="00EB276C" w:rsidRPr="002E2AA0">
        <w:rPr>
          <w:rFonts w:ascii="Times New Roman" w:hAnsi="Times New Roman" w:cs="Times New Roman"/>
          <w:bCs/>
          <w:lang w:val="en-US"/>
        </w:rPr>
        <w:t xml:space="preserve"> </w:t>
      </w:r>
      <w:r w:rsidR="00977C19" w:rsidRPr="002E2AA0">
        <w:rPr>
          <w:rFonts w:ascii="Times New Roman" w:hAnsi="Times New Roman" w:cs="Times New Roman"/>
          <w:bCs/>
          <w:lang w:val="en-US"/>
        </w:rPr>
        <w:t xml:space="preserve">is meaningful to </w:t>
      </w:r>
      <w:r w:rsidR="00E21122">
        <w:rPr>
          <w:rFonts w:ascii="Times New Roman" w:hAnsi="Times New Roman" w:cs="Times New Roman"/>
          <w:bCs/>
          <w:lang w:val="en-US"/>
        </w:rPr>
        <w:t>them</w:t>
      </w:r>
      <w:r w:rsidR="00977C19" w:rsidRPr="002E2AA0">
        <w:rPr>
          <w:rFonts w:ascii="Times New Roman" w:hAnsi="Times New Roman" w:cs="Times New Roman"/>
          <w:bCs/>
          <w:lang w:val="en-US"/>
        </w:rPr>
        <w:t xml:space="preserve">, whilst also being </w:t>
      </w:r>
      <w:r w:rsidR="00EB276C" w:rsidRPr="002E2AA0">
        <w:rPr>
          <w:rFonts w:ascii="Times New Roman" w:hAnsi="Times New Roman" w:cs="Times New Roman"/>
          <w:bCs/>
          <w:lang w:val="en-US"/>
        </w:rPr>
        <w:t xml:space="preserve">socially acceptable. The GLM </w:t>
      </w:r>
      <w:r w:rsidR="00E21348" w:rsidRPr="002E2AA0">
        <w:rPr>
          <w:rFonts w:ascii="Times New Roman" w:hAnsi="Times New Roman" w:cs="Times New Roman"/>
          <w:bCs/>
          <w:lang w:val="en-US"/>
        </w:rPr>
        <w:t xml:space="preserve">has rapidly become a </w:t>
      </w:r>
      <w:r w:rsidR="00EC638A" w:rsidRPr="002E2AA0">
        <w:rPr>
          <w:rFonts w:ascii="Times New Roman" w:hAnsi="Times New Roman" w:cs="Times New Roman"/>
          <w:bCs/>
          <w:lang w:val="en-US"/>
        </w:rPr>
        <w:t>favored</w:t>
      </w:r>
      <w:r w:rsidR="00E21348" w:rsidRPr="002E2AA0">
        <w:rPr>
          <w:rFonts w:ascii="Times New Roman" w:hAnsi="Times New Roman" w:cs="Times New Roman"/>
          <w:bCs/>
          <w:lang w:val="en-US"/>
        </w:rPr>
        <w:t xml:space="preserve"> model </w:t>
      </w:r>
      <w:r w:rsidR="00977C19" w:rsidRPr="002E2AA0">
        <w:rPr>
          <w:rFonts w:ascii="Times New Roman" w:hAnsi="Times New Roman" w:cs="Times New Roman"/>
          <w:bCs/>
          <w:lang w:val="en-US"/>
        </w:rPr>
        <w:t>for</w:t>
      </w:r>
      <w:r w:rsidR="00E21348" w:rsidRPr="002E2AA0">
        <w:rPr>
          <w:rFonts w:ascii="Times New Roman" w:hAnsi="Times New Roman" w:cs="Times New Roman"/>
          <w:bCs/>
          <w:lang w:val="en-US"/>
        </w:rPr>
        <w:t xml:space="preserve"> offender rehabilitation </w:t>
      </w:r>
      <w:r w:rsidR="00EB276C" w:rsidRPr="002E2AA0">
        <w:rPr>
          <w:rFonts w:ascii="Times New Roman" w:hAnsi="Times New Roman" w:cs="Times New Roman"/>
          <w:bCs/>
          <w:lang w:val="en-US"/>
        </w:rPr>
        <w:t>(Fortune, 2018), representing one of the three main theories informing half of Canadian and one third of USA programs for adult males who have sexually off</w:t>
      </w:r>
      <w:r w:rsidR="00C83260">
        <w:rPr>
          <w:rFonts w:ascii="Times New Roman" w:hAnsi="Times New Roman" w:cs="Times New Roman"/>
          <w:bCs/>
          <w:lang w:val="en-US"/>
        </w:rPr>
        <w:t>ended (McGrath et al.</w:t>
      </w:r>
      <w:r w:rsidR="00EB276C" w:rsidRPr="002E2AA0">
        <w:rPr>
          <w:rFonts w:ascii="Times New Roman" w:hAnsi="Times New Roman" w:cs="Times New Roman"/>
          <w:bCs/>
          <w:lang w:val="en-US"/>
        </w:rPr>
        <w:t>, 2009).</w:t>
      </w:r>
      <w:r w:rsidR="00897256" w:rsidRPr="002E2AA0">
        <w:rPr>
          <w:rFonts w:ascii="Times New Roman" w:hAnsi="Times New Roman" w:cs="Times New Roman"/>
          <w:bCs/>
          <w:lang w:val="en-US"/>
        </w:rPr>
        <w:t xml:space="preserve"> In addition, the GLM has been applied to a number of</w:t>
      </w:r>
      <w:r w:rsidR="00977C19" w:rsidRPr="002E2AA0">
        <w:rPr>
          <w:rFonts w:ascii="Times New Roman" w:hAnsi="Times New Roman" w:cs="Times New Roman"/>
          <w:bCs/>
          <w:lang w:val="en-US"/>
        </w:rPr>
        <w:t xml:space="preserve"> different offending typologies</w:t>
      </w:r>
      <w:r w:rsidR="00897256" w:rsidRPr="002E2AA0">
        <w:rPr>
          <w:rFonts w:ascii="Times New Roman" w:hAnsi="Times New Roman" w:cs="Times New Roman"/>
          <w:bCs/>
          <w:lang w:val="en-US"/>
        </w:rPr>
        <w:t xml:space="preserve"> (e.g., sexual offenders, general and domestic violent offenders, and burglars; Langlands</w:t>
      </w:r>
      <w:r w:rsidR="00C83260">
        <w:rPr>
          <w:rFonts w:ascii="Times New Roman" w:hAnsi="Times New Roman" w:cs="Times New Roman"/>
          <w:bCs/>
          <w:lang w:val="en-US"/>
        </w:rPr>
        <w:t xml:space="preserve"> et al.</w:t>
      </w:r>
      <w:r w:rsidR="00897256" w:rsidRPr="002E2AA0">
        <w:rPr>
          <w:rFonts w:ascii="Times New Roman" w:hAnsi="Times New Roman" w:cs="Times New Roman"/>
          <w:bCs/>
          <w:lang w:val="en-US"/>
        </w:rPr>
        <w:t>, 2009; Taylor, 2017; Whitehead</w:t>
      </w:r>
      <w:r w:rsidR="00C83260">
        <w:rPr>
          <w:rFonts w:ascii="Times New Roman" w:hAnsi="Times New Roman" w:cs="Times New Roman"/>
          <w:bCs/>
          <w:lang w:val="en-US"/>
        </w:rPr>
        <w:t xml:space="preserve"> et al.</w:t>
      </w:r>
      <w:r w:rsidR="00897256" w:rsidRPr="002E2AA0">
        <w:rPr>
          <w:rFonts w:ascii="Times New Roman" w:hAnsi="Times New Roman" w:cs="Times New Roman"/>
          <w:bCs/>
          <w:lang w:val="en-US"/>
        </w:rPr>
        <w:t>, 2007; Willis</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897256" w:rsidRPr="002E2AA0">
        <w:rPr>
          <w:rFonts w:ascii="Times New Roman" w:hAnsi="Times New Roman" w:cs="Times New Roman"/>
          <w:bCs/>
          <w:lang w:val="en-US"/>
        </w:rPr>
        <w:t>, 2013), populations (e.g., males and females, adolescents and youths; Van Damme</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897256" w:rsidRPr="002E2AA0">
        <w:rPr>
          <w:rFonts w:ascii="Times New Roman" w:hAnsi="Times New Roman" w:cs="Times New Roman"/>
          <w:bCs/>
          <w:lang w:val="en-US"/>
        </w:rPr>
        <w:t>, 2016; Wylie &amp; Griffin, 2013), and settings (e.g., prison, community, and forensic; Gannon</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897256" w:rsidRPr="002E2AA0">
        <w:rPr>
          <w:rFonts w:ascii="Times New Roman" w:hAnsi="Times New Roman" w:cs="Times New Roman"/>
          <w:bCs/>
          <w:lang w:val="en-US"/>
        </w:rPr>
        <w:t>, 2011).</w:t>
      </w:r>
    </w:p>
    <w:p w14:paraId="4C9F694F" w14:textId="6112A76D" w:rsidR="00977C19" w:rsidRPr="002E2AA0" w:rsidRDefault="00EE3A17" w:rsidP="00BA4F1D">
      <w:pPr>
        <w:spacing w:line="480" w:lineRule="auto"/>
        <w:rPr>
          <w:rFonts w:ascii="Times New Roman" w:hAnsi="Times New Roman" w:cs="Times New Roman"/>
          <w:lang w:val="en-US"/>
        </w:rPr>
      </w:pPr>
      <w:r w:rsidRPr="002E2AA0">
        <w:rPr>
          <w:rFonts w:ascii="Times New Roman" w:hAnsi="Times New Roman" w:cs="Times New Roman"/>
          <w:b/>
          <w:lang w:val="en-US"/>
        </w:rPr>
        <w:tab/>
      </w:r>
      <w:r w:rsidRPr="002E2AA0">
        <w:rPr>
          <w:rFonts w:ascii="Times New Roman" w:hAnsi="Times New Roman" w:cs="Times New Roman"/>
          <w:bCs/>
          <w:lang w:val="en-US"/>
        </w:rPr>
        <w:t>Purvis</w:t>
      </w:r>
      <w:r w:rsidR="00C83260">
        <w:rPr>
          <w:rFonts w:ascii="Times New Roman" w:hAnsi="Times New Roman" w:cs="Times New Roman"/>
          <w:bCs/>
          <w:lang w:val="en-US"/>
        </w:rPr>
        <w:t xml:space="preserve"> and colleagues</w:t>
      </w:r>
      <w:r w:rsidRPr="002E2AA0">
        <w:rPr>
          <w:rFonts w:ascii="Times New Roman" w:hAnsi="Times New Roman" w:cs="Times New Roman"/>
          <w:bCs/>
          <w:lang w:val="en-US"/>
        </w:rPr>
        <w:t xml:space="preserve"> (2013) suggest the GLM is a framework of healthy human functioning</w:t>
      </w:r>
      <w:r w:rsidR="00C55CBC" w:rsidRPr="002E2AA0">
        <w:rPr>
          <w:rFonts w:ascii="Times New Roman" w:hAnsi="Times New Roman" w:cs="Times New Roman"/>
          <w:bCs/>
          <w:lang w:val="en-US"/>
        </w:rPr>
        <w:t xml:space="preserve">. A key assumption of the GLM is that through the use of concrete means (termed </w:t>
      </w:r>
      <w:r w:rsidR="00C55CBC" w:rsidRPr="002E2AA0">
        <w:rPr>
          <w:rFonts w:ascii="Times New Roman" w:hAnsi="Times New Roman" w:cs="Times New Roman"/>
          <w:bCs/>
          <w:i/>
          <w:iCs/>
          <w:lang w:val="en-US"/>
        </w:rPr>
        <w:t xml:space="preserve">secondary </w:t>
      </w:r>
      <w:r w:rsidR="00C55CBC" w:rsidRPr="002E2AA0">
        <w:rPr>
          <w:rFonts w:ascii="Times New Roman" w:hAnsi="Times New Roman" w:cs="Times New Roman"/>
          <w:bCs/>
          <w:i/>
          <w:lang w:val="en-US"/>
        </w:rPr>
        <w:t>goods</w:t>
      </w:r>
      <w:r w:rsidR="00C55CBC" w:rsidRPr="002E2AA0">
        <w:rPr>
          <w:rFonts w:ascii="Times New Roman" w:hAnsi="Times New Roman" w:cs="Times New Roman"/>
          <w:bCs/>
          <w:lang w:val="en-US"/>
        </w:rPr>
        <w:t xml:space="preserve">), </w:t>
      </w:r>
      <w:r w:rsidRPr="002E2AA0">
        <w:rPr>
          <w:rFonts w:ascii="Times New Roman" w:hAnsi="Times New Roman" w:cs="Times New Roman"/>
          <w:bCs/>
          <w:lang w:val="en-US"/>
        </w:rPr>
        <w:t xml:space="preserve">all humans seek intrinsically beneficial needs (termed </w:t>
      </w:r>
      <w:r w:rsidRPr="002E2AA0">
        <w:rPr>
          <w:rFonts w:ascii="Times New Roman" w:hAnsi="Times New Roman" w:cs="Times New Roman"/>
          <w:bCs/>
          <w:i/>
          <w:iCs/>
          <w:lang w:val="en-US"/>
        </w:rPr>
        <w:t>primary goods</w:t>
      </w:r>
      <w:r w:rsidRPr="002E2AA0">
        <w:rPr>
          <w:rFonts w:ascii="Times New Roman" w:hAnsi="Times New Roman" w:cs="Times New Roman"/>
          <w:bCs/>
          <w:lang w:val="en-US"/>
        </w:rPr>
        <w:t xml:space="preserve">), in order to have a fulfilling life. Eleven primary goods have been suggested to date, including: </w:t>
      </w:r>
      <w:r w:rsidRPr="002E2AA0">
        <w:rPr>
          <w:rFonts w:ascii="Times New Roman" w:hAnsi="Times New Roman" w:cs="Times New Roman"/>
          <w:lang w:val="en-US"/>
        </w:rPr>
        <w:t xml:space="preserve">(1) </w:t>
      </w:r>
      <w:r w:rsidRPr="002E2AA0">
        <w:rPr>
          <w:rFonts w:ascii="Times New Roman" w:hAnsi="Times New Roman" w:cs="Times New Roman"/>
          <w:i/>
          <w:lang w:val="en-US"/>
        </w:rPr>
        <w:t xml:space="preserve">Life </w:t>
      </w:r>
      <w:r w:rsidRPr="002E2AA0">
        <w:rPr>
          <w:rFonts w:ascii="Times New Roman" w:hAnsi="Times New Roman" w:cs="Times New Roman"/>
          <w:lang w:val="en-US"/>
        </w:rPr>
        <w:t xml:space="preserve">(healthy living); (2) </w:t>
      </w:r>
      <w:r w:rsidRPr="002E2AA0">
        <w:rPr>
          <w:rFonts w:ascii="Times New Roman" w:hAnsi="Times New Roman" w:cs="Times New Roman"/>
          <w:i/>
          <w:lang w:val="en-US"/>
        </w:rPr>
        <w:t xml:space="preserve">Knowledge </w:t>
      </w:r>
      <w:r w:rsidRPr="002E2AA0">
        <w:rPr>
          <w:rFonts w:ascii="Times New Roman" w:hAnsi="Times New Roman" w:cs="Times New Roman"/>
          <w:lang w:val="en-US"/>
        </w:rPr>
        <w:t xml:space="preserve">(being informed about matters important to themselves); (3) </w:t>
      </w:r>
      <w:r w:rsidRPr="002E2AA0">
        <w:rPr>
          <w:rFonts w:ascii="Times New Roman" w:hAnsi="Times New Roman" w:cs="Times New Roman"/>
          <w:i/>
          <w:lang w:val="en-US"/>
        </w:rPr>
        <w:t xml:space="preserve">Excellence in Play </w:t>
      </w:r>
      <w:r w:rsidRPr="002E2AA0">
        <w:rPr>
          <w:rFonts w:ascii="Times New Roman" w:hAnsi="Times New Roman" w:cs="Times New Roman"/>
          <w:lang w:val="en-US"/>
        </w:rPr>
        <w:t xml:space="preserve">(hobbies and having fun); (4) </w:t>
      </w:r>
      <w:r w:rsidRPr="002E2AA0">
        <w:rPr>
          <w:rFonts w:ascii="Times New Roman" w:hAnsi="Times New Roman" w:cs="Times New Roman"/>
          <w:i/>
          <w:lang w:val="en-US"/>
        </w:rPr>
        <w:t xml:space="preserve">Excellence in Work </w:t>
      </w:r>
      <w:r w:rsidRPr="002E2AA0">
        <w:rPr>
          <w:rFonts w:ascii="Times New Roman" w:hAnsi="Times New Roman" w:cs="Times New Roman"/>
          <w:lang w:val="en-US"/>
        </w:rPr>
        <w:t xml:space="preserve">(mastery experiences, including high skill levels); (5) </w:t>
      </w:r>
      <w:r w:rsidRPr="002E2AA0">
        <w:rPr>
          <w:rFonts w:ascii="Times New Roman" w:hAnsi="Times New Roman" w:cs="Times New Roman"/>
          <w:i/>
          <w:lang w:val="en-US"/>
        </w:rPr>
        <w:t xml:space="preserve">Agency </w:t>
      </w:r>
      <w:r w:rsidRPr="002E2AA0">
        <w:rPr>
          <w:rFonts w:ascii="Times New Roman" w:hAnsi="Times New Roman" w:cs="Times New Roman"/>
          <w:lang w:val="en-US"/>
        </w:rPr>
        <w:t xml:space="preserve">(independence, autonomy and </w:t>
      </w:r>
      <w:r w:rsidRPr="002E2AA0">
        <w:rPr>
          <w:rFonts w:ascii="Times New Roman" w:hAnsi="Times New Roman" w:cs="Times New Roman"/>
          <w:lang w:val="en-US"/>
        </w:rPr>
        <w:lastRenderedPageBreak/>
        <w:t xml:space="preserve">power); (6) </w:t>
      </w:r>
      <w:r w:rsidRPr="002E2AA0">
        <w:rPr>
          <w:rFonts w:ascii="Times New Roman" w:hAnsi="Times New Roman" w:cs="Times New Roman"/>
          <w:i/>
          <w:lang w:val="en-US"/>
        </w:rPr>
        <w:t xml:space="preserve">Inner Peace </w:t>
      </w:r>
      <w:r w:rsidRPr="002E2AA0">
        <w:rPr>
          <w:rFonts w:ascii="Times New Roman" w:hAnsi="Times New Roman" w:cs="Times New Roman"/>
          <w:lang w:val="en-US"/>
        </w:rPr>
        <w:t xml:space="preserve">(freedom from stress and emotional turmoil); (7) </w:t>
      </w:r>
      <w:r w:rsidRPr="002E2AA0">
        <w:rPr>
          <w:rFonts w:ascii="Times New Roman" w:hAnsi="Times New Roman" w:cs="Times New Roman"/>
          <w:i/>
          <w:lang w:val="en-US"/>
        </w:rPr>
        <w:t xml:space="preserve">Relatedness </w:t>
      </w:r>
      <w:r w:rsidRPr="002E2AA0">
        <w:rPr>
          <w:rFonts w:ascii="Times New Roman" w:hAnsi="Times New Roman" w:cs="Times New Roman"/>
          <w:lang w:val="en-US"/>
        </w:rPr>
        <w:t xml:space="preserve">(intimate, romantic and familial relationships); (8) </w:t>
      </w:r>
      <w:r w:rsidRPr="002E2AA0">
        <w:rPr>
          <w:rFonts w:ascii="Times New Roman" w:hAnsi="Times New Roman" w:cs="Times New Roman"/>
          <w:i/>
          <w:lang w:val="en-US"/>
        </w:rPr>
        <w:t xml:space="preserve">Community </w:t>
      </w:r>
      <w:r w:rsidRPr="002E2AA0">
        <w:rPr>
          <w:rFonts w:ascii="Times New Roman" w:hAnsi="Times New Roman" w:cs="Times New Roman"/>
          <w:lang w:val="en-US"/>
        </w:rPr>
        <w:t xml:space="preserve">(feeling of connection to a wider social group); (9) </w:t>
      </w:r>
      <w:r w:rsidRPr="002E2AA0">
        <w:rPr>
          <w:rFonts w:ascii="Times New Roman" w:hAnsi="Times New Roman" w:cs="Times New Roman"/>
          <w:i/>
          <w:lang w:val="en-US"/>
        </w:rPr>
        <w:t xml:space="preserve">Spirituality </w:t>
      </w:r>
      <w:r w:rsidRPr="002E2AA0">
        <w:rPr>
          <w:rFonts w:ascii="Times New Roman" w:hAnsi="Times New Roman" w:cs="Times New Roman"/>
          <w:lang w:val="en-US"/>
        </w:rPr>
        <w:t xml:space="preserve">(having meaning and purpose in life); (10) </w:t>
      </w:r>
      <w:r w:rsidRPr="002E2AA0">
        <w:rPr>
          <w:rFonts w:ascii="Times New Roman" w:hAnsi="Times New Roman" w:cs="Times New Roman"/>
          <w:i/>
          <w:lang w:val="en-US"/>
        </w:rPr>
        <w:t xml:space="preserve">Pleasure </w:t>
      </w:r>
      <w:r w:rsidRPr="002E2AA0">
        <w:rPr>
          <w:rFonts w:ascii="Times New Roman" w:hAnsi="Times New Roman" w:cs="Times New Roman"/>
          <w:lang w:val="en-US"/>
        </w:rPr>
        <w:t xml:space="preserve">(happiness, feeling good) and; (11) </w:t>
      </w:r>
      <w:r w:rsidRPr="002E2AA0">
        <w:rPr>
          <w:rFonts w:ascii="Times New Roman" w:hAnsi="Times New Roman" w:cs="Times New Roman"/>
          <w:i/>
          <w:lang w:val="en-US"/>
        </w:rPr>
        <w:t xml:space="preserve">Creativity </w:t>
      </w:r>
      <w:r w:rsidRPr="002E2AA0">
        <w:rPr>
          <w:rFonts w:ascii="Times New Roman" w:hAnsi="Times New Roman" w:cs="Times New Roman"/>
          <w:lang w:val="en-US"/>
        </w:rPr>
        <w:t xml:space="preserve">(ability to express oneself through alternative means). </w:t>
      </w:r>
    </w:p>
    <w:p w14:paraId="1A97E4AD" w14:textId="3B172F0C" w:rsidR="007204AA" w:rsidRPr="002E2AA0" w:rsidRDefault="00977C19" w:rsidP="007204AA">
      <w:pPr>
        <w:spacing w:line="480" w:lineRule="auto"/>
        <w:rPr>
          <w:rFonts w:ascii="Times New Roman" w:hAnsi="Times New Roman" w:cs="Times New Roman"/>
          <w:lang w:val="en-US"/>
        </w:rPr>
      </w:pPr>
      <w:r w:rsidRPr="002E2AA0">
        <w:rPr>
          <w:rFonts w:ascii="Times New Roman" w:hAnsi="Times New Roman" w:cs="Times New Roman"/>
          <w:lang w:val="en-US"/>
        </w:rPr>
        <w:tab/>
        <w:t>According to the GLM, offending is</w:t>
      </w:r>
      <w:r w:rsidR="0010697E" w:rsidRPr="002E2AA0">
        <w:rPr>
          <w:rFonts w:ascii="Times New Roman" w:hAnsi="Times New Roman" w:cs="Times New Roman"/>
          <w:lang w:val="en-US"/>
        </w:rPr>
        <w:t xml:space="preserve"> seen as</w:t>
      </w:r>
      <w:r w:rsidRPr="002E2AA0">
        <w:rPr>
          <w:rFonts w:ascii="Times New Roman" w:hAnsi="Times New Roman" w:cs="Times New Roman"/>
          <w:lang w:val="en-US"/>
        </w:rPr>
        <w:t xml:space="preserve"> a flawed attempt to achieve the primary goods</w:t>
      </w:r>
      <w:r w:rsidR="00707645" w:rsidRPr="002E2AA0">
        <w:rPr>
          <w:rFonts w:ascii="Times New Roman" w:hAnsi="Times New Roman" w:cs="Times New Roman"/>
          <w:lang w:val="en-US"/>
        </w:rPr>
        <w:t xml:space="preserve"> (Ward</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707645" w:rsidRPr="002E2AA0">
        <w:rPr>
          <w:rFonts w:ascii="Times New Roman" w:hAnsi="Times New Roman" w:cs="Times New Roman"/>
          <w:lang w:val="en-US"/>
        </w:rPr>
        <w:t>, 2012)</w:t>
      </w:r>
      <w:r w:rsidRPr="002E2AA0">
        <w:rPr>
          <w:rFonts w:ascii="Times New Roman" w:hAnsi="Times New Roman" w:cs="Times New Roman"/>
          <w:lang w:val="en-US"/>
        </w:rPr>
        <w:t xml:space="preserve">. Four obstacles </w:t>
      </w:r>
      <w:r w:rsidR="005F26A1">
        <w:rPr>
          <w:rFonts w:ascii="Times New Roman" w:hAnsi="Times New Roman" w:cs="Times New Roman"/>
          <w:lang w:val="en-US"/>
        </w:rPr>
        <w:t>to legitimate acquisition of primary good</w:t>
      </w:r>
      <w:r w:rsidR="002B14A6">
        <w:rPr>
          <w:rFonts w:ascii="Times New Roman" w:hAnsi="Times New Roman" w:cs="Times New Roman"/>
          <w:lang w:val="en-US"/>
        </w:rPr>
        <w:t>s</w:t>
      </w:r>
      <w:r w:rsidR="005F26A1">
        <w:rPr>
          <w:rFonts w:ascii="Times New Roman" w:hAnsi="Times New Roman" w:cs="Times New Roman"/>
          <w:lang w:val="en-US"/>
        </w:rPr>
        <w:t xml:space="preserve"> and </w:t>
      </w:r>
      <w:r w:rsidRPr="002E2AA0">
        <w:rPr>
          <w:rFonts w:ascii="Times New Roman" w:hAnsi="Times New Roman" w:cs="Times New Roman"/>
          <w:lang w:val="en-US"/>
        </w:rPr>
        <w:t xml:space="preserve">which lead to offending have been suggested, including: </w:t>
      </w:r>
      <w:r w:rsidR="00707645" w:rsidRPr="002E2AA0">
        <w:rPr>
          <w:rFonts w:ascii="Times New Roman" w:hAnsi="Times New Roman" w:cs="Times New Roman"/>
          <w:lang w:val="en-US"/>
        </w:rPr>
        <w:t xml:space="preserve">(1) </w:t>
      </w:r>
      <w:r w:rsidR="002B14A6">
        <w:rPr>
          <w:rFonts w:ascii="Times New Roman" w:hAnsi="Times New Roman" w:cs="Times New Roman"/>
          <w:lang w:val="en-US"/>
        </w:rPr>
        <w:t>lack of appropriate</w:t>
      </w:r>
      <w:r w:rsidR="00707645" w:rsidRPr="002E2AA0">
        <w:rPr>
          <w:rFonts w:ascii="Times New Roman" w:hAnsi="Times New Roman" w:cs="Times New Roman"/>
          <w:lang w:val="en-US"/>
        </w:rPr>
        <w:t xml:space="preserve"> </w:t>
      </w:r>
      <w:r w:rsidR="00707645" w:rsidRPr="002E2AA0">
        <w:rPr>
          <w:rFonts w:ascii="Times New Roman" w:hAnsi="Times New Roman" w:cs="Times New Roman"/>
          <w:i/>
          <w:lang w:val="en-US"/>
        </w:rPr>
        <w:t>means</w:t>
      </w:r>
      <w:r w:rsidR="00707645" w:rsidRPr="002E2AA0">
        <w:rPr>
          <w:rFonts w:ascii="Times New Roman" w:hAnsi="Times New Roman" w:cs="Times New Roman"/>
          <w:lang w:val="en-US"/>
        </w:rPr>
        <w:t xml:space="preserve"> (i.e., use of inappropriate and/or harmful secondary goods); (2) lack of </w:t>
      </w:r>
      <w:r w:rsidR="00707645" w:rsidRPr="002E2AA0">
        <w:rPr>
          <w:rFonts w:ascii="Times New Roman" w:hAnsi="Times New Roman" w:cs="Times New Roman"/>
          <w:i/>
          <w:lang w:val="en-US"/>
        </w:rPr>
        <w:t>scope</w:t>
      </w:r>
      <w:r w:rsidR="00707645" w:rsidRPr="002E2AA0">
        <w:rPr>
          <w:rFonts w:ascii="Times New Roman" w:hAnsi="Times New Roman" w:cs="Times New Roman"/>
          <w:lang w:val="en-US"/>
        </w:rPr>
        <w:t xml:space="preserve"> (i.e., focusing on some primary goods, to the neglect of others); (3) lack of </w:t>
      </w:r>
      <w:r w:rsidR="00707645" w:rsidRPr="002E2AA0">
        <w:rPr>
          <w:rFonts w:ascii="Times New Roman" w:hAnsi="Times New Roman" w:cs="Times New Roman"/>
          <w:i/>
          <w:lang w:val="en-US"/>
        </w:rPr>
        <w:t>coherence</w:t>
      </w:r>
      <w:r w:rsidR="00707645" w:rsidRPr="002E2AA0">
        <w:rPr>
          <w:rFonts w:ascii="Times New Roman" w:hAnsi="Times New Roman" w:cs="Times New Roman"/>
          <w:lang w:val="en-US"/>
        </w:rPr>
        <w:t xml:space="preserve"> (i.e., conflict in the way primary goods are ordered or related to one another), and; (4) lack of </w:t>
      </w:r>
      <w:r w:rsidR="00707645" w:rsidRPr="002E2AA0">
        <w:rPr>
          <w:rFonts w:ascii="Times New Roman" w:hAnsi="Times New Roman" w:cs="Times New Roman"/>
          <w:i/>
          <w:lang w:val="en-US"/>
        </w:rPr>
        <w:t>capacity</w:t>
      </w:r>
      <w:r w:rsidR="00707645" w:rsidRPr="002E2AA0">
        <w:rPr>
          <w:rFonts w:ascii="Times New Roman" w:hAnsi="Times New Roman" w:cs="Times New Roman"/>
          <w:lang w:val="en-US"/>
        </w:rPr>
        <w:t xml:space="preserve"> (i.e., difficulties in internal skills or external conditions necessary for attaining primary goods). </w:t>
      </w:r>
      <w:r w:rsidR="0081750A" w:rsidRPr="002E2AA0">
        <w:rPr>
          <w:rFonts w:ascii="Times New Roman" w:hAnsi="Times New Roman" w:cs="Times New Roman"/>
          <w:lang w:val="en-US"/>
        </w:rPr>
        <w:t xml:space="preserve">Critically, offending can represent either a </w:t>
      </w:r>
      <w:r w:rsidR="0081750A" w:rsidRPr="002E2AA0">
        <w:rPr>
          <w:rFonts w:ascii="Times New Roman" w:hAnsi="Times New Roman" w:cs="Times New Roman"/>
          <w:i/>
          <w:lang w:val="en-US"/>
        </w:rPr>
        <w:t xml:space="preserve">direct </w:t>
      </w:r>
      <w:r w:rsidR="0081750A" w:rsidRPr="002E2AA0">
        <w:rPr>
          <w:rFonts w:ascii="Times New Roman" w:hAnsi="Times New Roman" w:cs="Times New Roman"/>
          <w:lang w:val="en-US"/>
        </w:rPr>
        <w:t xml:space="preserve">or </w:t>
      </w:r>
      <w:r w:rsidR="0081750A" w:rsidRPr="002E2AA0">
        <w:rPr>
          <w:rFonts w:ascii="Times New Roman" w:hAnsi="Times New Roman" w:cs="Times New Roman"/>
          <w:i/>
          <w:lang w:val="en-US"/>
        </w:rPr>
        <w:t xml:space="preserve">indirect </w:t>
      </w:r>
      <w:r w:rsidR="0081750A" w:rsidRPr="002E2AA0">
        <w:rPr>
          <w:rFonts w:ascii="Times New Roman" w:hAnsi="Times New Roman" w:cs="Times New Roman"/>
          <w:lang w:val="en-US"/>
        </w:rPr>
        <w:t xml:space="preserve">attempt to fulfil the primary goods (Ward &amp; Maruna, 2007). Whilst a direct pathway suggests offending </w:t>
      </w:r>
      <w:r w:rsidR="00EC638A" w:rsidRPr="002E2AA0">
        <w:rPr>
          <w:rFonts w:ascii="Times New Roman" w:hAnsi="Times New Roman" w:cs="Times New Roman"/>
          <w:lang w:val="en-US"/>
        </w:rPr>
        <w:t>behavior</w:t>
      </w:r>
      <w:r w:rsidR="0081750A" w:rsidRPr="002E2AA0">
        <w:rPr>
          <w:rFonts w:ascii="Times New Roman" w:hAnsi="Times New Roman" w:cs="Times New Roman"/>
          <w:lang w:val="en-US"/>
        </w:rPr>
        <w:t xml:space="preserve"> is a deliberate attempt to attain primary goods, the indirect pathway suggests a problem occurs in the pursuit of primary goods</w:t>
      </w:r>
      <w:r w:rsidR="00835FB8">
        <w:rPr>
          <w:rFonts w:ascii="Times New Roman" w:hAnsi="Times New Roman" w:cs="Times New Roman"/>
          <w:lang w:val="en-US"/>
        </w:rPr>
        <w:t xml:space="preserve">; this </w:t>
      </w:r>
      <w:r w:rsidR="0081750A" w:rsidRPr="002E2AA0">
        <w:rPr>
          <w:rFonts w:ascii="Times New Roman" w:hAnsi="Times New Roman" w:cs="Times New Roman"/>
          <w:lang w:val="en-US"/>
        </w:rPr>
        <w:t xml:space="preserve">causes a rippling effect and increases the chance of engaging in offending </w:t>
      </w:r>
      <w:r w:rsidR="00EC638A" w:rsidRPr="002E2AA0">
        <w:rPr>
          <w:rFonts w:ascii="Times New Roman" w:hAnsi="Times New Roman" w:cs="Times New Roman"/>
          <w:lang w:val="en-US"/>
        </w:rPr>
        <w:t>behavior</w:t>
      </w:r>
      <w:r w:rsidR="0081750A" w:rsidRPr="002E2AA0">
        <w:rPr>
          <w:rFonts w:ascii="Times New Roman" w:hAnsi="Times New Roman" w:cs="Times New Roman"/>
          <w:lang w:val="en-US"/>
        </w:rPr>
        <w:t xml:space="preserve"> (Purvis</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81750A" w:rsidRPr="002E2AA0">
        <w:rPr>
          <w:rFonts w:ascii="Times New Roman" w:hAnsi="Times New Roman" w:cs="Times New Roman"/>
          <w:lang w:val="en-US"/>
        </w:rPr>
        <w:t xml:space="preserve">, 2011). For instance, </w:t>
      </w:r>
      <w:r w:rsidR="00227422" w:rsidRPr="002E2AA0">
        <w:rPr>
          <w:rFonts w:ascii="Times New Roman" w:hAnsi="Times New Roman" w:cs="Times New Roman"/>
          <w:lang w:val="en-US"/>
        </w:rPr>
        <w:t>stalking</w:t>
      </w:r>
      <w:r w:rsidR="0081750A" w:rsidRPr="002E2AA0">
        <w:rPr>
          <w:rFonts w:ascii="Times New Roman" w:hAnsi="Times New Roman" w:cs="Times New Roman"/>
          <w:lang w:val="en-US"/>
        </w:rPr>
        <w:t xml:space="preserve"> may occur when </w:t>
      </w:r>
      <w:r w:rsidR="00227422" w:rsidRPr="002E2AA0">
        <w:rPr>
          <w:rFonts w:ascii="Times New Roman" w:hAnsi="Times New Roman" w:cs="Times New Roman"/>
          <w:lang w:val="en-US"/>
        </w:rPr>
        <w:t xml:space="preserve">an individual uses maladaptive coping strategies (e.g., use of alcohol and drugs) after </w:t>
      </w:r>
      <w:r w:rsidR="0010697E" w:rsidRPr="002E2AA0">
        <w:rPr>
          <w:rFonts w:ascii="Times New Roman" w:hAnsi="Times New Roman" w:cs="Times New Roman"/>
          <w:lang w:val="en-US"/>
        </w:rPr>
        <w:t xml:space="preserve">a </w:t>
      </w:r>
      <w:r w:rsidR="00227422" w:rsidRPr="002E2AA0">
        <w:rPr>
          <w:rFonts w:ascii="Times New Roman" w:hAnsi="Times New Roman" w:cs="Times New Roman"/>
          <w:lang w:val="en-US"/>
        </w:rPr>
        <w:t xml:space="preserve">conflict between the primary goods of Relatedness and Agency </w:t>
      </w:r>
      <w:r w:rsidR="0010697E" w:rsidRPr="002E2AA0">
        <w:rPr>
          <w:rFonts w:ascii="Times New Roman" w:hAnsi="Times New Roman" w:cs="Times New Roman"/>
          <w:lang w:val="en-US"/>
        </w:rPr>
        <w:t>leads to</w:t>
      </w:r>
      <w:r w:rsidR="00227422" w:rsidRPr="002E2AA0">
        <w:rPr>
          <w:rFonts w:ascii="Times New Roman" w:hAnsi="Times New Roman" w:cs="Times New Roman"/>
          <w:lang w:val="en-US"/>
        </w:rPr>
        <w:t xml:space="preserve"> a relationship breaks down</w:t>
      </w:r>
      <w:r w:rsidR="007204AA" w:rsidRPr="002E2AA0">
        <w:rPr>
          <w:rFonts w:ascii="Times New Roman" w:hAnsi="Times New Roman" w:cs="Times New Roman"/>
          <w:lang w:val="en-US"/>
        </w:rPr>
        <w:t xml:space="preserve">. </w:t>
      </w:r>
      <w:r w:rsidR="001F348F" w:rsidRPr="002E2AA0">
        <w:rPr>
          <w:rFonts w:ascii="Times New Roman" w:hAnsi="Times New Roman" w:cs="Times New Roman"/>
          <w:lang w:val="en-US"/>
        </w:rPr>
        <w:t>As such, a GLM-consistent intervention</w:t>
      </w:r>
      <w:r w:rsidR="007204AA" w:rsidRPr="002E2AA0">
        <w:rPr>
          <w:rFonts w:ascii="Times New Roman" w:hAnsi="Times New Roman" w:cs="Times New Roman"/>
          <w:lang w:val="en-US"/>
        </w:rPr>
        <w:t xml:space="preserve"> involves identifying the primary goods that are important to the individual, any obstacles the individual faces in the pursuit of primary goods, and the offence-related pathways taken. To reduce risk of </w:t>
      </w:r>
      <w:r w:rsidR="0010697E" w:rsidRPr="002E2AA0">
        <w:rPr>
          <w:rFonts w:ascii="Times New Roman" w:hAnsi="Times New Roman" w:cs="Times New Roman"/>
          <w:lang w:val="en-US"/>
        </w:rPr>
        <w:t>re-</w:t>
      </w:r>
      <w:r w:rsidR="007204AA" w:rsidRPr="002E2AA0">
        <w:rPr>
          <w:rFonts w:ascii="Times New Roman" w:hAnsi="Times New Roman" w:cs="Times New Roman"/>
          <w:lang w:val="en-US"/>
        </w:rPr>
        <w:t xml:space="preserve">offending, a Good Lives treatment plan is formulated, with secondary goods incorporated that </w:t>
      </w:r>
      <w:r w:rsidR="0010697E" w:rsidRPr="002E2AA0">
        <w:rPr>
          <w:rFonts w:ascii="Times New Roman" w:hAnsi="Times New Roman" w:cs="Times New Roman"/>
          <w:lang w:val="en-US"/>
        </w:rPr>
        <w:t>allow the individual</w:t>
      </w:r>
      <w:r w:rsidR="007204AA" w:rsidRPr="002E2AA0">
        <w:rPr>
          <w:rFonts w:ascii="Times New Roman" w:hAnsi="Times New Roman" w:cs="Times New Roman"/>
          <w:lang w:val="en-US"/>
        </w:rPr>
        <w:t xml:space="preserve"> to fulfil the primary goods in prosocial ways (Ward</w:t>
      </w:r>
      <w:r w:rsidR="001D3BE5">
        <w:rPr>
          <w:rFonts w:ascii="Times New Roman" w:hAnsi="Times New Roman" w:cs="Times New Roman"/>
          <w:lang w:val="en-US"/>
        </w:rPr>
        <w:t xml:space="preserve"> et al., 2012</w:t>
      </w:r>
      <w:r w:rsidR="007204AA" w:rsidRPr="002E2AA0">
        <w:rPr>
          <w:rFonts w:ascii="Times New Roman" w:hAnsi="Times New Roman" w:cs="Times New Roman"/>
          <w:lang w:val="en-US"/>
        </w:rPr>
        <w:t xml:space="preserve">). </w:t>
      </w:r>
    </w:p>
    <w:p w14:paraId="502C86AE" w14:textId="0374AA37" w:rsidR="002002D5" w:rsidRPr="002E2AA0" w:rsidRDefault="00C1151C" w:rsidP="00E978FB">
      <w:pPr>
        <w:spacing w:line="480" w:lineRule="auto"/>
        <w:ind w:firstLine="720"/>
        <w:rPr>
          <w:rFonts w:ascii="Times New Roman" w:hAnsi="Times New Roman" w:cs="Times New Roman"/>
          <w:lang w:val="en-US"/>
        </w:rPr>
      </w:pPr>
      <w:r w:rsidRPr="002E2AA0">
        <w:rPr>
          <w:rFonts w:ascii="Times New Roman" w:hAnsi="Times New Roman" w:cs="Times New Roman"/>
          <w:lang w:val="en-US"/>
        </w:rPr>
        <w:lastRenderedPageBreak/>
        <w:t>T</w:t>
      </w:r>
      <w:r w:rsidR="001F348F" w:rsidRPr="002E2AA0">
        <w:rPr>
          <w:rFonts w:ascii="Times New Roman" w:hAnsi="Times New Roman" w:cs="Times New Roman"/>
          <w:lang w:val="en-US"/>
        </w:rPr>
        <w:t xml:space="preserve">he GLM has been consistently </w:t>
      </w:r>
      <w:r w:rsidR="00EC638A" w:rsidRPr="002E2AA0">
        <w:rPr>
          <w:rFonts w:ascii="Times New Roman" w:hAnsi="Times New Roman" w:cs="Times New Roman"/>
          <w:lang w:val="en-US"/>
        </w:rPr>
        <w:t>criticized</w:t>
      </w:r>
      <w:r w:rsidR="001F348F" w:rsidRPr="002E2AA0">
        <w:rPr>
          <w:rFonts w:ascii="Times New Roman" w:hAnsi="Times New Roman" w:cs="Times New Roman"/>
          <w:lang w:val="en-US"/>
        </w:rPr>
        <w:t xml:space="preserve"> for a lack of empirical evidence</w:t>
      </w:r>
      <w:r w:rsidR="007204AA" w:rsidRPr="002E2AA0">
        <w:rPr>
          <w:rFonts w:ascii="Times New Roman" w:hAnsi="Times New Roman" w:cs="Times New Roman"/>
          <w:lang w:val="en-US"/>
        </w:rPr>
        <w:t xml:space="preserve"> supporting both its key assumptions and intervention outcomes (Wormith</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7204AA" w:rsidRPr="002E2AA0">
        <w:rPr>
          <w:rFonts w:ascii="Times New Roman" w:hAnsi="Times New Roman" w:cs="Times New Roman"/>
          <w:lang w:val="en-US"/>
        </w:rPr>
        <w:t xml:space="preserve">, 2012). </w:t>
      </w:r>
      <w:r w:rsidR="001F348F" w:rsidRPr="002E2AA0">
        <w:rPr>
          <w:rFonts w:ascii="Times New Roman" w:hAnsi="Times New Roman" w:cs="Times New Roman"/>
          <w:lang w:val="en-US"/>
        </w:rPr>
        <w:t xml:space="preserve">Bonta and Andrews (2003, p. 217) suggest </w:t>
      </w:r>
      <w:r w:rsidR="007204AA" w:rsidRPr="002E2AA0">
        <w:rPr>
          <w:rFonts w:ascii="Times New Roman" w:hAnsi="Times New Roman" w:cs="Times New Roman"/>
          <w:lang w:val="en-US"/>
        </w:rPr>
        <w:t xml:space="preserve">the GLM is an ideological and </w:t>
      </w:r>
      <w:r w:rsidR="00EC638A" w:rsidRPr="002E2AA0">
        <w:rPr>
          <w:rFonts w:ascii="Times New Roman" w:hAnsi="Times New Roman" w:cs="Times New Roman"/>
          <w:lang w:val="en-US"/>
        </w:rPr>
        <w:t>intuition-based</w:t>
      </w:r>
      <w:r w:rsidR="007204AA" w:rsidRPr="002E2AA0">
        <w:rPr>
          <w:rFonts w:ascii="Times New Roman" w:hAnsi="Times New Roman" w:cs="Times New Roman"/>
          <w:lang w:val="en-US"/>
        </w:rPr>
        <w:t xml:space="preserve"> model, which </w:t>
      </w:r>
      <w:r w:rsidRPr="002E2AA0">
        <w:rPr>
          <w:rFonts w:ascii="Times New Roman" w:hAnsi="Times New Roman" w:cs="Times New Roman"/>
          <w:lang w:val="en-US"/>
        </w:rPr>
        <w:t xml:space="preserve">is </w:t>
      </w:r>
      <w:r w:rsidR="001F348F" w:rsidRPr="002E2AA0">
        <w:rPr>
          <w:rFonts w:ascii="Times New Roman" w:hAnsi="Times New Roman" w:cs="Times New Roman"/>
          <w:lang w:val="en-US"/>
        </w:rPr>
        <w:t xml:space="preserve">“no substitute for evidence”. </w:t>
      </w:r>
      <w:r w:rsidR="00E978FB" w:rsidRPr="002E2AA0">
        <w:rPr>
          <w:rFonts w:ascii="Times New Roman" w:hAnsi="Times New Roman" w:cs="Times New Roman"/>
          <w:lang w:val="en-US"/>
        </w:rPr>
        <w:t xml:space="preserve">Supporting this, </w:t>
      </w:r>
      <w:r w:rsidR="001F348F" w:rsidRPr="002E2AA0">
        <w:rPr>
          <w:rFonts w:ascii="Times New Roman" w:hAnsi="Times New Roman" w:cs="Times New Roman"/>
          <w:lang w:val="en-US"/>
        </w:rPr>
        <w:t xml:space="preserve">Ogloff and Davis (2004) express concern </w:t>
      </w:r>
      <w:r w:rsidR="00835FB8">
        <w:rPr>
          <w:rFonts w:ascii="Times New Roman" w:hAnsi="Times New Roman" w:cs="Times New Roman"/>
          <w:lang w:val="en-US"/>
        </w:rPr>
        <w:t>regarding the implementation of</w:t>
      </w:r>
      <w:r w:rsidR="001F348F" w:rsidRPr="002E2AA0">
        <w:rPr>
          <w:rFonts w:ascii="Times New Roman" w:hAnsi="Times New Roman" w:cs="Times New Roman"/>
          <w:lang w:val="en-US"/>
        </w:rPr>
        <w:t xml:space="preserve"> the GLM within the Criminal Justice System</w:t>
      </w:r>
      <w:r w:rsidR="00E978FB" w:rsidRPr="002E2AA0">
        <w:rPr>
          <w:rFonts w:ascii="Times New Roman" w:hAnsi="Times New Roman" w:cs="Times New Roman"/>
          <w:lang w:val="en-US"/>
        </w:rPr>
        <w:t>,</w:t>
      </w:r>
      <w:r w:rsidR="001F348F" w:rsidRPr="002E2AA0">
        <w:rPr>
          <w:rFonts w:ascii="Times New Roman" w:hAnsi="Times New Roman" w:cs="Times New Roman"/>
          <w:lang w:val="en-US"/>
        </w:rPr>
        <w:t xml:space="preserve"> as previous experience of </w:t>
      </w:r>
      <w:r w:rsidR="00EC638A" w:rsidRPr="002E2AA0">
        <w:rPr>
          <w:rFonts w:ascii="Times New Roman" w:hAnsi="Times New Roman" w:cs="Times New Roman"/>
          <w:lang w:val="en-US"/>
        </w:rPr>
        <w:t>utilizing</w:t>
      </w:r>
      <w:r w:rsidR="001F348F" w:rsidRPr="002E2AA0">
        <w:rPr>
          <w:rFonts w:ascii="Times New Roman" w:hAnsi="Times New Roman" w:cs="Times New Roman"/>
          <w:lang w:val="en-US"/>
        </w:rPr>
        <w:t xml:space="preserve"> </w:t>
      </w:r>
      <w:r w:rsidRPr="002E2AA0">
        <w:rPr>
          <w:rFonts w:ascii="Times New Roman" w:hAnsi="Times New Roman" w:cs="Times New Roman"/>
          <w:lang w:val="en-US"/>
        </w:rPr>
        <w:t xml:space="preserve">such </w:t>
      </w:r>
      <w:r w:rsidR="001F348F" w:rsidRPr="002E2AA0">
        <w:rPr>
          <w:rFonts w:ascii="Times New Roman" w:hAnsi="Times New Roman" w:cs="Times New Roman"/>
          <w:lang w:val="en-US"/>
        </w:rPr>
        <w:t>‘common-sense’ models (e.g., scared-straight programs) have had dangerous outcomes.</w:t>
      </w:r>
      <w:r w:rsidRPr="002E2AA0">
        <w:rPr>
          <w:rFonts w:ascii="Times New Roman" w:hAnsi="Times New Roman" w:cs="Times New Roman"/>
          <w:lang w:val="en-US"/>
        </w:rPr>
        <w:t xml:space="preserve"> However, </w:t>
      </w:r>
      <w:r w:rsidR="00D37A2C" w:rsidRPr="002E2AA0">
        <w:rPr>
          <w:rFonts w:ascii="Times New Roman" w:hAnsi="Times New Roman" w:cs="Times New Roman"/>
          <w:lang w:val="en-US"/>
        </w:rPr>
        <w:t>proponents of the GLM (</w:t>
      </w:r>
      <w:r w:rsidRPr="002E2AA0">
        <w:rPr>
          <w:rFonts w:ascii="Times New Roman" w:hAnsi="Times New Roman" w:cs="Times New Roman"/>
          <w:lang w:val="en-US"/>
        </w:rPr>
        <w:t xml:space="preserve">Willis </w:t>
      </w:r>
      <w:r w:rsidR="00D37A2C" w:rsidRPr="002E2AA0">
        <w:rPr>
          <w:rFonts w:ascii="Times New Roman" w:hAnsi="Times New Roman" w:cs="Times New Roman"/>
          <w:lang w:val="en-US"/>
        </w:rPr>
        <w:t xml:space="preserve">&amp; Ward, </w:t>
      </w:r>
      <w:r w:rsidRPr="002E2AA0">
        <w:rPr>
          <w:rFonts w:ascii="Times New Roman" w:hAnsi="Times New Roman" w:cs="Times New Roman"/>
          <w:lang w:val="en-US"/>
        </w:rPr>
        <w:t>2013) suggest empirical evidence supporting both the GLM assumptions (e.g., Purvis, 2005) and outcomes of GLM-consistent interventions (e.g., Harkins</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Pr="002E2AA0">
        <w:rPr>
          <w:rFonts w:ascii="Times New Roman" w:hAnsi="Times New Roman" w:cs="Times New Roman"/>
          <w:lang w:val="en-US"/>
        </w:rPr>
        <w:t>, 2012) is beginning to emerge.</w:t>
      </w:r>
      <w:r w:rsidR="00D73978" w:rsidRPr="002E2AA0">
        <w:rPr>
          <w:rFonts w:ascii="Times New Roman" w:hAnsi="Times New Roman" w:cs="Times New Roman"/>
          <w:lang w:val="en-US"/>
        </w:rPr>
        <w:t xml:space="preserve"> </w:t>
      </w:r>
      <w:r w:rsidR="0010697E" w:rsidRPr="002E2AA0">
        <w:rPr>
          <w:rFonts w:ascii="Times New Roman" w:hAnsi="Times New Roman" w:cs="Times New Roman"/>
          <w:lang w:val="en-US"/>
        </w:rPr>
        <w:t>Yet</w:t>
      </w:r>
      <w:r w:rsidR="00D73978" w:rsidRPr="002E2AA0">
        <w:rPr>
          <w:rFonts w:ascii="Times New Roman" w:hAnsi="Times New Roman" w:cs="Times New Roman"/>
          <w:lang w:val="en-US"/>
        </w:rPr>
        <w:t xml:space="preserve">, a systematic review </w:t>
      </w:r>
      <w:r w:rsidR="00D37A2C" w:rsidRPr="002E2AA0">
        <w:rPr>
          <w:rFonts w:ascii="Times New Roman" w:hAnsi="Times New Roman" w:cs="Times New Roman"/>
          <w:lang w:val="en-US"/>
        </w:rPr>
        <w:t xml:space="preserve">of the effectiveness of GLM-consistent interventions at reducing recidivism </w:t>
      </w:r>
      <w:r w:rsidR="00D73978" w:rsidRPr="002E2AA0">
        <w:rPr>
          <w:rFonts w:ascii="Times New Roman" w:hAnsi="Times New Roman" w:cs="Times New Roman"/>
          <w:lang w:val="en-US"/>
        </w:rPr>
        <w:t>found no studies which met the inclusion criteria</w:t>
      </w:r>
      <w:r w:rsidR="00D37A2C" w:rsidRPr="002E2AA0">
        <w:rPr>
          <w:rFonts w:ascii="Times New Roman" w:hAnsi="Times New Roman" w:cs="Times New Roman"/>
          <w:lang w:val="en-US"/>
        </w:rPr>
        <w:t xml:space="preserve"> (</w:t>
      </w:r>
      <w:r w:rsidR="001A6076" w:rsidRPr="002E2AA0">
        <w:rPr>
          <w:rFonts w:ascii="Times New Roman" w:hAnsi="Times New Roman" w:cs="Times New Roman"/>
          <w:lang w:val="en-US"/>
        </w:rPr>
        <w:t xml:space="preserve">i.e., </w:t>
      </w:r>
      <w:r w:rsidR="00AA72E4" w:rsidRPr="002E2AA0">
        <w:rPr>
          <w:rFonts w:ascii="Times New Roman" w:hAnsi="Times New Roman" w:cs="Times New Roman"/>
          <w:lang w:val="en-US"/>
        </w:rPr>
        <w:t>randomized control trial</w:t>
      </w:r>
      <w:r w:rsidR="00AA72E4">
        <w:rPr>
          <w:rFonts w:ascii="Times New Roman" w:hAnsi="Times New Roman" w:cs="Times New Roman"/>
          <w:lang w:val="en-US"/>
        </w:rPr>
        <w:t xml:space="preserve"> </w:t>
      </w:r>
      <w:r w:rsidR="00C83260">
        <w:rPr>
          <w:rFonts w:ascii="Times New Roman" w:hAnsi="Times New Roman" w:cs="Times New Roman"/>
          <w:lang w:val="en-US"/>
        </w:rPr>
        <w:t>[RCT]</w:t>
      </w:r>
      <w:r w:rsidR="001A6076" w:rsidRPr="002E2AA0">
        <w:rPr>
          <w:rFonts w:ascii="Times New Roman" w:hAnsi="Times New Roman" w:cs="Times New Roman"/>
          <w:lang w:val="en-US"/>
        </w:rPr>
        <w:t xml:space="preserve">; </w:t>
      </w:r>
      <w:r w:rsidR="00D37A2C" w:rsidRPr="002E2AA0">
        <w:rPr>
          <w:rFonts w:ascii="Times New Roman" w:hAnsi="Times New Roman" w:cs="Times New Roman"/>
          <w:lang w:val="en-US"/>
        </w:rPr>
        <w:t>Netto</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D37A2C" w:rsidRPr="002E2AA0">
        <w:rPr>
          <w:rFonts w:ascii="Times New Roman" w:hAnsi="Times New Roman" w:cs="Times New Roman"/>
          <w:lang w:val="en-US"/>
        </w:rPr>
        <w:t>, 2014)</w:t>
      </w:r>
      <w:r w:rsidR="00D73978" w:rsidRPr="002E2AA0">
        <w:rPr>
          <w:rFonts w:ascii="Times New Roman" w:hAnsi="Times New Roman" w:cs="Times New Roman"/>
          <w:lang w:val="en-US"/>
        </w:rPr>
        <w:t xml:space="preserve">. </w:t>
      </w:r>
      <w:r w:rsidR="00D37A2C" w:rsidRPr="002E2AA0">
        <w:rPr>
          <w:rFonts w:ascii="Times New Roman" w:hAnsi="Times New Roman" w:cs="Times New Roman"/>
          <w:lang w:val="en-US"/>
        </w:rPr>
        <w:t>Furthermore, there has been no systematic evaluation of studies assessing the GLM assumptions to date.</w:t>
      </w:r>
    </w:p>
    <w:p w14:paraId="5737A623" w14:textId="4DEDC78E" w:rsidR="00DD54BD" w:rsidRPr="002E2AA0" w:rsidRDefault="00FB34FF" w:rsidP="00DD54BD">
      <w:pPr>
        <w:spacing w:line="480" w:lineRule="auto"/>
        <w:jc w:val="center"/>
        <w:rPr>
          <w:rFonts w:ascii="Times New Roman" w:hAnsi="Times New Roman" w:cs="Times New Roman"/>
          <w:b/>
          <w:lang w:val="en-US"/>
        </w:rPr>
      </w:pPr>
      <w:r>
        <w:rPr>
          <w:rFonts w:ascii="Times New Roman" w:hAnsi="Times New Roman" w:cs="Times New Roman"/>
          <w:b/>
          <w:lang w:val="en-US"/>
        </w:rPr>
        <w:t xml:space="preserve">2. </w:t>
      </w:r>
      <w:r w:rsidR="00DD54BD" w:rsidRPr="002E2AA0">
        <w:rPr>
          <w:rFonts w:ascii="Times New Roman" w:hAnsi="Times New Roman" w:cs="Times New Roman"/>
          <w:b/>
          <w:lang w:val="en-US"/>
        </w:rPr>
        <w:t>Study Objective</w:t>
      </w:r>
    </w:p>
    <w:p w14:paraId="0CED8042" w14:textId="77777777" w:rsidR="00E978FB" w:rsidRPr="002E2AA0" w:rsidRDefault="00E978FB" w:rsidP="001A6076">
      <w:pPr>
        <w:spacing w:line="480" w:lineRule="auto"/>
        <w:ind w:firstLine="720"/>
        <w:rPr>
          <w:rFonts w:ascii="Times New Roman" w:hAnsi="Times New Roman" w:cs="Times New Roman"/>
          <w:lang w:val="en-US"/>
        </w:rPr>
      </w:pPr>
      <w:r w:rsidRPr="002E2AA0">
        <w:rPr>
          <w:rFonts w:ascii="Times New Roman" w:hAnsi="Times New Roman" w:cs="Times New Roman"/>
          <w:lang w:val="en-US"/>
        </w:rPr>
        <w:t>T</w:t>
      </w:r>
      <w:r w:rsidR="00DD54BD" w:rsidRPr="002E2AA0">
        <w:rPr>
          <w:rFonts w:ascii="Times New Roman" w:hAnsi="Times New Roman" w:cs="Times New Roman"/>
          <w:lang w:val="en-US"/>
        </w:rPr>
        <w:t xml:space="preserve">he aim of this systematic review is to examine the empirical evidence surrounding </w:t>
      </w:r>
      <w:r w:rsidRPr="002E2AA0">
        <w:rPr>
          <w:rFonts w:ascii="Times New Roman" w:hAnsi="Times New Roman" w:cs="Times New Roman"/>
          <w:lang w:val="en-US"/>
        </w:rPr>
        <w:t>both the GLM assumptions and outcomes of GLM-consistent interventions</w:t>
      </w:r>
      <w:r w:rsidR="00DD54BD" w:rsidRPr="002E2AA0">
        <w:rPr>
          <w:rFonts w:ascii="Times New Roman" w:hAnsi="Times New Roman" w:cs="Times New Roman"/>
          <w:lang w:val="en-US"/>
        </w:rPr>
        <w:t xml:space="preserve">. This </w:t>
      </w:r>
      <w:r w:rsidRPr="002E2AA0">
        <w:rPr>
          <w:rFonts w:ascii="Times New Roman" w:hAnsi="Times New Roman" w:cs="Times New Roman"/>
          <w:lang w:val="en-US"/>
        </w:rPr>
        <w:t>will be the first article to systematically review</w:t>
      </w:r>
      <w:r w:rsidR="00DD54BD" w:rsidRPr="002E2AA0">
        <w:rPr>
          <w:rFonts w:ascii="Times New Roman" w:hAnsi="Times New Roman" w:cs="Times New Roman"/>
          <w:lang w:val="en-US"/>
        </w:rPr>
        <w:t xml:space="preserve"> empirical studies that assess the </w:t>
      </w:r>
      <w:r w:rsidR="004144FB" w:rsidRPr="002E2AA0">
        <w:rPr>
          <w:rFonts w:ascii="Times New Roman" w:hAnsi="Times New Roman" w:cs="Times New Roman"/>
          <w:lang w:val="en-US"/>
        </w:rPr>
        <w:t>assumptions</w:t>
      </w:r>
      <w:r w:rsidRPr="002E2AA0">
        <w:rPr>
          <w:rFonts w:ascii="Times New Roman" w:hAnsi="Times New Roman" w:cs="Times New Roman"/>
          <w:lang w:val="en-US"/>
        </w:rPr>
        <w:t xml:space="preserve"> of the GLM. Furthermore, this systematic review will </w:t>
      </w:r>
      <w:r w:rsidR="00EC638A" w:rsidRPr="002E2AA0">
        <w:rPr>
          <w:rFonts w:ascii="Times New Roman" w:hAnsi="Times New Roman" w:cs="Times New Roman"/>
          <w:lang w:val="en-US"/>
        </w:rPr>
        <w:t>utilize</w:t>
      </w:r>
      <w:r w:rsidRPr="002E2AA0">
        <w:rPr>
          <w:rFonts w:ascii="Times New Roman" w:hAnsi="Times New Roman" w:cs="Times New Roman"/>
          <w:lang w:val="en-US"/>
        </w:rPr>
        <w:t xml:space="preserve"> broader inclusion crite</w:t>
      </w:r>
      <w:r w:rsidR="001A6076" w:rsidRPr="002E2AA0">
        <w:rPr>
          <w:rFonts w:ascii="Times New Roman" w:hAnsi="Times New Roman" w:cs="Times New Roman"/>
          <w:lang w:val="en-US"/>
        </w:rPr>
        <w:t>ri</w:t>
      </w:r>
      <w:r w:rsidRPr="002E2AA0">
        <w:rPr>
          <w:rFonts w:ascii="Times New Roman" w:hAnsi="Times New Roman" w:cs="Times New Roman"/>
          <w:lang w:val="en-US"/>
        </w:rPr>
        <w:t>a</w:t>
      </w:r>
      <w:r w:rsidR="001A6076" w:rsidRPr="002E2AA0">
        <w:rPr>
          <w:rFonts w:ascii="Times New Roman" w:hAnsi="Times New Roman" w:cs="Times New Roman"/>
          <w:lang w:val="en-US"/>
        </w:rPr>
        <w:t xml:space="preserve"> (including both </w:t>
      </w:r>
      <w:r w:rsidR="00EC638A" w:rsidRPr="002E2AA0">
        <w:rPr>
          <w:rFonts w:ascii="Times New Roman" w:hAnsi="Times New Roman" w:cs="Times New Roman"/>
          <w:lang w:val="en-US"/>
        </w:rPr>
        <w:t>randomized</w:t>
      </w:r>
      <w:r w:rsidR="001A6076" w:rsidRPr="002E2AA0">
        <w:rPr>
          <w:rFonts w:ascii="Times New Roman" w:hAnsi="Times New Roman" w:cs="Times New Roman"/>
          <w:lang w:val="en-US"/>
        </w:rPr>
        <w:t xml:space="preserve"> and </w:t>
      </w:r>
      <w:r w:rsidR="00EC638A" w:rsidRPr="002E2AA0">
        <w:rPr>
          <w:rFonts w:ascii="Times New Roman" w:hAnsi="Times New Roman" w:cs="Times New Roman"/>
          <w:lang w:val="en-US"/>
        </w:rPr>
        <w:t>non</w:t>
      </w:r>
      <w:r w:rsidR="005077FA">
        <w:rPr>
          <w:rFonts w:ascii="Times New Roman" w:hAnsi="Times New Roman" w:cs="Times New Roman"/>
          <w:lang w:val="en-US"/>
        </w:rPr>
        <w:t>-</w:t>
      </w:r>
      <w:r w:rsidR="00EC638A" w:rsidRPr="002E2AA0">
        <w:rPr>
          <w:rFonts w:ascii="Times New Roman" w:hAnsi="Times New Roman" w:cs="Times New Roman"/>
          <w:lang w:val="en-US"/>
        </w:rPr>
        <w:t>randomized</w:t>
      </w:r>
      <w:r w:rsidR="001A6076" w:rsidRPr="002E2AA0">
        <w:rPr>
          <w:rFonts w:ascii="Times New Roman" w:hAnsi="Times New Roman" w:cs="Times New Roman"/>
          <w:lang w:val="en-US"/>
        </w:rPr>
        <w:t xml:space="preserve"> designs) than the Netto et al. (2014) review, to ensure all relevant empirical evidence regarding GLM-consistent interventions are captured. This systematic review will also provide an update on the empirical evidence for the GLM over the past five years (since Netto et al.’s, 2014 review).</w:t>
      </w:r>
    </w:p>
    <w:p w14:paraId="0E5E1AE7" w14:textId="2DB2C511" w:rsidR="00DD54BD" w:rsidRPr="002E2AA0" w:rsidRDefault="00DD54BD" w:rsidP="00E978FB">
      <w:pPr>
        <w:spacing w:line="480" w:lineRule="auto"/>
        <w:ind w:firstLine="720"/>
        <w:rPr>
          <w:rFonts w:ascii="Times New Roman" w:hAnsi="Times New Roman" w:cs="Times New Roman"/>
          <w:lang w:val="en-US"/>
        </w:rPr>
      </w:pPr>
      <w:r w:rsidRPr="002E2AA0">
        <w:rPr>
          <w:rFonts w:ascii="Times New Roman" w:hAnsi="Times New Roman" w:cs="Times New Roman"/>
          <w:lang w:val="en-US"/>
        </w:rPr>
        <w:t>Specifically, this review aims to address the question:</w:t>
      </w:r>
      <w:r w:rsidR="00B57B9D" w:rsidRPr="002E2AA0">
        <w:rPr>
          <w:rFonts w:ascii="Times New Roman" w:hAnsi="Times New Roman" w:cs="Times New Roman"/>
          <w:lang w:val="en-US"/>
        </w:rPr>
        <w:t xml:space="preserve"> ‘t</w:t>
      </w:r>
      <w:r w:rsidRPr="002E2AA0">
        <w:rPr>
          <w:rFonts w:ascii="Times New Roman" w:hAnsi="Times New Roman" w:cs="Times New Roman"/>
          <w:lang w:val="en-US"/>
        </w:rPr>
        <w:t xml:space="preserve">o what extent is the GLM an ideological and </w:t>
      </w:r>
      <w:r w:rsidR="00EC638A" w:rsidRPr="002E2AA0">
        <w:rPr>
          <w:rFonts w:ascii="Times New Roman" w:hAnsi="Times New Roman" w:cs="Times New Roman"/>
          <w:lang w:val="en-US"/>
        </w:rPr>
        <w:t>intuition-based</w:t>
      </w:r>
      <w:r w:rsidRPr="002E2AA0">
        <w:rPr>
          <w:rFonts w:ascii="Times New Roman" w:hAnsi="Times New Roman" w:cs="Times New Roman"/>
          <w:lang w:val="en-US"/>
        </w:rPr>
        <w:t xml:space="preserve"> model, or an empirically supported </w:t>
      </w:r>
      <w:r w:rsidR="00B57B9D" w:rsidRPr="002E2AA0">
        <w:rPr>
          <w:rFonts w:ascii="Times New Roman" w:hAnsi="Times New Roman" w:cs="Times New Roman"/>
          <w:lang w:val="en-US"/>
        </w:rPr>
        <w:t>model</w:t>
      </w:r>
      <w:r w:rsidRPr="002E2AA0">
        <w:rPr>
          <w:rFonts w:ascii="Times New Roman" w:hAnsi="Times New Roman" w:cs="Times New Roman"/>
          <w:lang w:val="en-US"/>
        </w:rPr>
        <w:t>?</w:t>
      </w:r>
      <w:r w:rsidR="00B57B9D" w:rsidRPr="002E2AA0">
        <w:rPr>
          <w:rFonts w:ascii="Times New Roman" w:hAnsi="Times New Roman" w:cs="Times New Roman"/>
          <w:lang w:val="en-US"/>
        </w:rPr>
        <w:t xml:space="preserve">’ To answer this question, two approaches </w:t>
      </w:r>
      <w:r w:rsidR="00835FB8">
        <w:rPr>
          <w:rFonts w:ascii="Times New Roman" w:hAnsi="Times New Roman" w:cs="Times New Roman"/>
          <w:lang w:val="en-US"/>
        </w:rPr>
        <w:t>will</w:t>
      </w:r>
      <w:r w:rsidR="00835FB8" w:rsidRPr="002E2AA0">
        <w:rPr>
          <w:rFonts w:ascii="Times New Roman" w:hAnsi="Times New Roman" w:cs="Times New Roman"/>
          <w:lang w:val="en-US"/>
        </w:rPr>
        <w:t xml:space="preserve"> </w:t>
      </w:r>
      <w:r w:rsidR="00B57B9D" w:rsidRPr="002E2AA0">
        <w:rPr>
          <w:rFonts w:ascii="Times New Roman" w:hAnsi="Times New Roman" w:cs="Times New Roman"/>
          <w:lang w:val="en-US"/>
        </w:rPr>
        <w:t>be examined:</w:t>
      </w:r>
    </w:p>
    <w:p w14:paraId="4B3AC8DD" w14:textId="77777777" w:rsidR="00B57B9D" w:rsidRPr="002E2AA0" w:rsidRDefault="00DD54BD" w:rsidP="00B57B9D">
      <w:pPr>
        <w:pStyle w:val="ListParagraph"/>
        <w:numPr>
          <w:ilvl w:val="0"/>
          <w:numId w:val="2"/>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lastRenderedPageBreak/>
        <w:t xml:space="preserve">What does the empirical evidence say regarding the </w:t>
      </w:r>
      <w:r w:rsidR="00043F58" w:rsidRPr="002E2AA0">
        <w:rPr>
          <w:rFonts w:ascii="Times New Roman" w:hAnsi="Times New Roman" w:cs="Times New Roman"/>
          <w:sz w:val="24"/>
          <w:szCs w:val="24"/>
          <w:lang w:val="en-US"/>
        </w:rPr>
        <w:t xml:space="preserve">assumptions </w:t>
      </w:r>
      <w:r w:rsidRPr="002E2AA0">
        <w:rPr>
          <w:rFonts w:ascii="Times New Roman" w:hAnsi="Times New Roman" w:cs="Times New Roman"/>
          <w:sz w:val="24"/>
          <w:szCs w:val="24"/>
          <w:lang w:val="en-US"/>
        </w:rPr>
        <w:t xml:space="preserve">underlying the GLM (i.e., </w:t>
      </w:r>
      <w:r w:rsidR="002654C1" w:rsidRPr="002E2AA0">
        <w:rPr>
          <w:rFonts w:ascii="Times New Roman" w:hAnsi="Times New Roman" w:cs="Times New Roman"/>
          <w:sz w:val="24"/>
          <w:szCs w:val="24"/>
          <w:lang w:val="en-US"/>
        </w:rPr>
        <w:t>offending as an attempt to fulfil primary goods</w:t>
      </w:r>
      <w:r w:rsidRPr="002E2AA0">
        <w:rPr>
          <w:rFonts w:ascii="Times New Roman" w:hAnsi="Times New Roman" w:cs="Times New Roman"/>
          <w:sz w:val="24"/>
          <w:szCs w:val="24"/>
          <w:lang w:val="en-US"/>
        </w:rPr>
        <w:t xml:space="preserve">, </w:t>
      </w:r>
      <w:r w:rsidR="002654C1" w:rsidRPr="002E2AA0">
        <w:rPr>
          <w:rFonts w:ascii="Times New Roman" w:hAnsi="Times New Roman" w:cs="Times New Roman"/>
          <w:sz w:val="24"/>
          <w:szCs w:val="24"/>
          <w:lang w:val="en-US"/>
        </w:rPr>
        <w:t>obstacles</w:t>
      </w:r>
      <w:r w:rsidRPr="002E2AA0">
        <w:rPr>
          <w:rFonts w:ascii="Times New Roman" w:hAnsi="Times New Roman" w:cs="Times New Roman"/>
          <w:sz w:val="24"/>
          <w:szCs w:val="24"/>
          <w:lang w:val="en-US"/>
        </w:rPr>
        <w:t xml:space="preserve"> in</w:t>
      </w:r>
      <w:r w:rsidR="002654C1" w:rsidRPr="002E2AA0">
        <w:rPr>
          <w:rFonts w:ascii="Times New Roman" w:hAnsi="Times New Roman" w:cs="Times New Roman"/>
          <w:sz w:val="24"/>
          <w:szCs w:val="24"/>
          <w:lang w:val="en-US"/>
        </w:rPr>
        <w:t xml:space="preserve"> the</w:t>
      </w:r>
      <w:r w:rsidRPr="002E2AA0">
        <w:rPr>
          <w:rFonts w:ascii="Times New Roman" w:hAnsi="Times New Roman" w:cs="Times New Roman"/>
          <w:sz w:val="24"/>
          <w:szCs w:val="24"/>
          <w:lang w:val="en-US"/>
        </w:rPr>
        <w:t xml:space="preserve"> </w:t>
      </w:r>
      <w:r w:rsidR="002654C1" w:rsidRPr="002E2AA0">
        <w:rPr>
          <w:rFonts w:ascii="Times New Roman" w:hAnsi="Times New Roman" w:cs="Times New Roman"/>
          <w:sz w:val="24"/>
          <w:szCs w:val="24"/>
          <w:lang w:val="en-US"/>
        </w:rPr>
        <w:t xml:space="preserve">Good Lives </w:t>
      </w:r>
      <w:r w:rsidRPr="002E2AA0">
        <w:rPr>
          <w:rFonts w:ascii="Times New Roman" w:hAnsi="Times New Roman" w:cs="Times New Roman"/>
          <w:sz w:val="24"/>
          <w:szCs w:val="24"/>
          <w:lang w:val="en-US"/>
        </w:rPr>
        <w:t>plan</w:t>
      </w:r>
      <w:r w:rsidR="002654C1" w:rsidRPr="002E2AA0">
        <w:rPr>
          <w:rFonts w:ascii="Times New Roman" w:hAnsi="Times New Roman" w:cs="Times New Roman"/>
          <w:sz w:val="24"/>
          <w:szCs w:val="24"/>
          <w:lang w:val="en-US"/>
        </w:rPr>
        <w:t>, and pathways to offending</w:t>
      </w:r>
      <w:r w:rsidRPr="002E2AA0">
        <w:rPr>
          <w:rFonts w:ascii="Times New Roman" w:hAnsi="Times New Roman" w:cs="Times New Roman"/>
          <w:sz w:val="24"/>
          <w:szCs w:val="24"/>
          <w:lang w:val="en-US"/>
        </w:rPr>
        <w:t xml:space="preserve">)? </w:t>
      </w:r>
      <w:r w:rsidR="00B57B9D" w:rsidRPr="002E2AA0">
        <w:rPr>
          <w:rFonts w:ascii="Times New Roman" w:hAnsi="Times New Roman" w:cs="Times New Roman"/>
          <w:sz w:val="24"/>
          <w:szCs w:val="24"/>
          <w:lang w:val="en-US"/>
        </w:rPr>
        <w:t xml:space="preserve">Specifically, does the GLM have </w:t>
      </w:r>
      <w:r w:rsidR="00B57B9D" w:rsidRPr="002E2AA0">
        <w:rPr>
          <w:rFonts w:ascii="Times New Roman" w:hAnsi="Times New Roman" w:cs="Times New Roman"/>
          <w:i/>
          <w:sz w:val="24"/>
          <w:szCs w:val="24"/>
          <w:lang w:val="en-US"/>
        </w:rPr>
        <w:t>e</w:t>
      </w:r>
      <w:r w:rsidRPr="002E2AA0">
        <w:rPr>
          <w:rFonts w:ascii="Times New Roman" w:hAnsi="Times New Roman" w:cs="Times New Roman"/>
          <w:i/>
          <w:sz w:val="24"/>
          <w:szCs w:val="24"/>
          <w:lang w:val="en-US"/>
        </w:rPr>
        <w:t xml:space="preserve">mpirically supported </w:t>
      </w:r>
      <w:r w:rsidR="00043F58" w:rsidRPr="002E2AA0">
        <w:rPr>
          <w:rFonts w:ascii="Times New Roman" w:hAnsi="Times New Roman" w:cs="Times New Roman"/>
          <w:i/>
          <w:sz w:val="24"/>
          <w:szCs w:val="24"/>
          <w:lang w:val="en-US"/>
        </w:rPr>
        <w:t>assumptions</w:t>
      </w:r>
      <w:r w:rsidR="00B57B9D" w:rsidRPr="002E2AA0">
        <w:rPr>
          <w:rFonts w:ascii="Times New Roman" w:hAnsi="Times New Roman" w:cs="Times New Roman"/>
          <w:i/>
          <w:sz w:val="24"/>
          <w:szCs w:val="24"/>
          <w:lang w:val="en-US"/>
        </w:rPr>
        <w:t>?</w:t>
      </w:r>
    </w:p>
    <w:p w14:paraId="2938A1ED" w14:textId="77777777" w:rsidR="00B57B9D" w:rsidRPr="002E2AA0" w:rsidRDefault="00DD54BD" w:rsidP="001E5772">
      <w:pPr>
        <w:pStyle w:val="ListParagraph"/>
        <w:numPr>
          <w:ilvl w:val="0"/>
          <w:numId w:val="2"/>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 xml:space="preserve">What does the empirical evidence suggest about the outcomes of </w:t>
      </w:r>
      <w:r w:rsidR="00EC638A" w:rsidRPr="002E2AA0">
        <w:rPr>
          <w:rFonts w:ascii="Times New Roman" w:hAnsi="Times New Roman" w:cs="Times New Roman"/>
          <w:sz w:val="24"/>
          <w:szCs w:val="24"/>
          <w:lang w:val="en-US"/>
        </w:rPr>
        <w:t>utilizing</w:t>
      </w:r>
      <w:r w:rsidRPr="002E2AA0">
        <w:rPr>
          <w:rFonts w:ascii="Times New Roman" w:hAnsi="Times New Roman" w:cs="Times New Roman"/>
          <w:sz w:val="24"/>
          <w:szCs w:val="24"/>
          <w:lang w:val="en-US"/>
        </w:rPr>
        <w:t xml:space="preserve"> the GLM</w:t>
      </w:r>
      <w:r w:rsidR="004144FB" w:rsidRPr="002E2AA0">
        <w:rPr>
          <w:rFonts w:ascii="Times New Roman" w:hAnsi="Times New Roman" w:cs="Times New Roman"/>
          <w:sz w:val="24"/>
          <w:szCs w:val="24"/>
          <w:lang w:val="en-US"/>
        </w:rPr>
        <w:t xml:space="preserve"> for offender rehabilitation</w:t>
      </w:r>
      <w:r w:rsidRPr="002E2AA0">
        <w:rPr>
          <w:rFonts w:ascii="Times New Roman" w:hAnsi="Times New Roman" w:cs="Times New Roman"/>
          <w:sz w:val="24"/>
          <w:szCs w:val="24"/>
          <w:lang w:val="en-US"/>
        </w:rPr>
        <w:t xml:space="preserve">? </w:t>
      </w:r>
      <w:r w:rsidR="00B57B9D" w:rsidRPr="002E2AA0">
        <w:rPr>
          <w:rFonts w:ascii="Times New Roman" w:hAnsi="Times New Roman" w:cs="Times New Roman"/>
          <w:sz w:val="24"/>
          <w:szCs w:val="24"/>
          <w:lang w:val="en-US"/>
        </w:rPr>
        <w:t xml:space="preserve">Specifically, does the GLM have </w:t>
      </w:r>
      <w:r w:rsidR="00B57B9D" w:rsidRPr="002E2AA0">
        <w:rPr>
          <w:rFonts w:ascii="Times New Roman" w:hAnsi="Times New Roman" w:cs="Times New Roman"/>
          <w:i/>
          <w:sz w:val="24"/>
          <w:szCs w:val="24"/>
          <w:lang w:val="en-US"/>
        </w:rPr>
        <w:t>e</w:t>
      </w:r>
      <w:r w:rsidRPr="002E2AA0">
        <w:rPr>
          <w:rFonts w:ascii="Times New Roman" w:hAnsi="Times New Roman" w:cs="Times New Roman"/>
          <w:i/>
          <w:sz w:val="24"/>
          <w:szCs w:val="24"/>
          <w:lang w:val="en-US"/>
        </w:rPr>
        <w:t>mpirically supported outcomes</w:t>
      </w:r>
      <w:r w:rsidR="00B57B9D" w:rsidRPr="002E2AA0">
        <w:rPr>
          <w:rFonts w:ascii="Times New Roman" w:hAnsi="Times New Roman" w:cs="Times New Roman"/>
          <w:i/>
          <w:sz w:val="24"/>
          <w:szCs w:val="24"/>
          <w:lang w:val="en-US"/>
        </w:rPr>
        <w:t>?</w:t>
      </w:r>
    </w:p>
    <w:p w14:paraId="7CA8BA31" w14:textId="42C02CAF" w:rsidR="00477291" w:rsidRPr="002E2AA0" w:rsidRDefault="00FB34FF" w:rsidP="00DD54BD">
      <w:pPr>
        <w:spacing w:line="480" w:lineRule="auto"/>
        <w:jc w:val="center"/>
        <w:rPr>
          <w:rFonts w:ascii="Times New Roman" w:hAnsi="Times New Roman" w:cs="Times New Roman"/>
          <w:b/>
          <w:lang w:val="en-US"/>
        </w:rPr>
      </w:pPr>
      <w:r>
        <w:rPr>
          <w:rFonts w:ascii="Times New Roman" w:hAnsi="Times New Roman" w:cs="Times New Roman"/>
          <w:b/>
          <w:lang w:val="en-US"/>
        </w:rPr>
        <w:t xml:space="preserve">3. </w:t>
      </w:r>
      <w:r w:rsidR="00DD54BD" w:rsidRPr="002E2AA0">
        <w:rPr>
          <w:rFonts w:ascii="Times New Roman" w:hAnsi="Times New Roman" w:cs="Times New Roman"/>
          <w:b/>
          <w:lang w:val="en-US"/>
        </w:rPr>
        <w:t>Method</w:t>
      </w:r>
    </w:p>
    <w:p w14:paraId="6FFBD35F" w14:textId="2474ED8F" w:rsidR="00DD54BD" w:rsidRPr="002E2AA0" w:rsidRDefault="00FB34FF" w:rsidP="00DD54BD">
      <w:pPr>
        <w:spacing w:line="480" w:lineRule="auto"/>
        <w:rPr>
          <w:rFonts w:ascii="Times New Roman" w:hAnsi="Times New Roman" w:cs="Times New Roman"/>
          <w:b/>
          <w:lang w:val="en-US"/>
        </w:rPr>
      </w:pPr>
      <w:r>
        <w:rPr>
          <w:rFonts w:ascii="Times New Roman" w:hAnsi="Times New Roman" w:cs="Times New Roman"/>
          <w:b/>
          <w:lang w:val="en-US"/>
        </w:rPr>
        <w:t xml:space="preserve">3.1 </w:t>
      </w:r>
      <w:r w:rsidR="001E43B7" w:rsidRPr="002E2AA0">
        <w:rPr>
          <w:rFonts w:ascii="Times New Roman" w:hAnsi="Times New Roman" w:cs="Times New Roman"/>
          <w:b/>
          <w:lang w:val="en-US"/>
        </w:rPr>
        <w:t>Eligibility Criteria</w:t>
      </w:r>
    </w:p>
    <w:p w14:paraId="2AE8E12B" w14:textId="03AFF001" w:rsidR="001E43B7" w:rsidRPr="002E2AA0" w:rsidRDefault="001E43B7" w:rsidP="00DD54BD">
      <w:pPr>
        <w:spacing w:line="480" w:lineRule="auto"/>
        <w:rPr>
          <w:rFonts w:ascii="Times New Roman" w:hAnsi="Times New Roman" w:cs="Times New Roman"/>
          <w:lang w:val="en-US"/>
        </w:rPr>
      </w:pPr>
      <w:r w:rsidRPr="002E2AA0">
        <w:rPr>
          <w:rFonts w:ascii="Times New Roman" w:hAnsi="Times New Roman" w:cs="Times New Roman"/>
          <w:lang w:val="en-US"/>
        </w:rPr>
        <w:tab/>
        <w:t>Formulating a well-focused question, with clear and reproducible inclusion and exclusion criteria is essential in limiting bias within systematic reviews (Crowther</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Pr="002E2AA0">
        <w:rPr>
          <w:rFonts w:ascii="Times New Roman" w:hAnsi="Times New Roman" w:cs="Times New Roman"/>
          <w:lang w:val="en-US"/>
        </w:rPr>
        <w:t xml:space="preserve">, 2010). </w:t>
      </w:r>
      <w:r w:rsidR="00210C1E" w:rsidRPr="002E2AA0">
        <w:rPr>
          <w:rFonts w:ascii="Times New Roman" w:hAnsi="Times New Roman" w:cs="Times New Roman"/>
          <w:lang w:val="en-US"/>
        </w:rPr>
        <w:t>As such, the Participant</w:t>
      </w:r>
      <w:r w:rsidR="00617B6B" w:rsidRPr="002E2AA0">
        <w:rPr>
          <w:rFonts w:ascii="Times New Roman" w:hAnsi="Times New Roman" w:cs="Times New Roman"/>
          <w:lang w:val="en-US"/>
        </w:rPr>
        <w:t>s</w:t>
      </w:r>
      <w:r w:rsidR="00210C1E" w:rsidRPr="002E2AA0">
        <w:rPr>
          <w:rFonts w:ascii="Times New Roman" w:hAnsi="Times New Roman" w:cs="Times New Roman"/>
          <w:lang w:val="en-US"/>
        </w:rPr>
        <w:t>, Intervention, Comparison, Outcome and Study Design (PICOS) framework was developed (Schardt</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210C1E" w:rsidRPr="002E2AA0">
        <w:rPr>
          <w:rFonts w:ascii="Times New Roman" w:hAnsi="Times New Roman" w:cs="Times New Roman"/>
          <w:lang w:val="en-US"/>
        </w:rPr>
        <w:t xml:space="preserve">, 2007). By </w:t>
      </w:r>
      <w:r w:rsidR="00EC638A" w:rsidRPr="002E2AA0">
        <w:rPr>
          <w:rFonts w:ascii="Times New Roman" w:hAnsi="Times New Roman" w:cs="Times New Roman"/>
          <w:lang w:val="en-US"/>
        </w:rPr>
        <w:t>utilizing</w:t>
      </w:r>
      <w:r w:rsidR="00210C1E" w:rsidRPr="002E2AA0">
        <w:rPr>
          <w:rFonts w:ascii="Times New Roman" w:hAnsi="Times New Roman" w:cs="Times New Roman"/>
          <w:lang w:val="en-US"/>
        </w:rPr>
        <w:t xml:space="preserve"> </w:t>
      </w:r>
      <w:r w:rsidR="006A1EC4">
        <w:rPr>
          <w:rFonts w:ascii="Times New Roman" w:hAnsi="Times New Roman" w:cs="Times New Roman"/>
          <w:lang w:val="en-US"/>
        </w:rPr>
        <w:t xml:space="preserve">the PICOS </w:t>
      </w:r>
      <w:r w:rsidR="00210C1E" w:rsidRPr="002E2AA0">
        <w:rPr>
          <w:rFonts w:ascii="Times New Roman" w:hAnsi="Times New Roman" w:cs="Times New Roman"/>
          <w:lang w:val="en-US"/>
        </w:rPr>
        <w:t xml:space="preserve">framework to </w:t>
      </w:r>
      <w:r w:rsidR="006A1EC4">
        <w:rPr>
          <w:rFonts w:ascii="Times New Roman" w:hAnsi="Times New Roman" w:cs="Times New Roman"/>
          <w:lang w:val="en-US"/>
        </w:rPr>
        <w:t xml:space="preserve">guide the creation of </w:t>
      </w:r>
      <w:r w:rsidR="00210C1E" w:rsidRPr="002E2AA0">
        <w:rPr>
          <w:rFonts w:ascii="Times New Roman" w:hAnsi="Times New Roman" w:cs="Times New Roman"/>
          <w:lang w:val="en-US"/>
        </w:rPr>
        <w:t xml:space="preserve">inclusion and exclusion criteria, this improves the efficacy of database searches. </w:t>
      </w:r>
    </w:p>
    <w:p w14:paraId="4312F9A0" w14:textId="3AEADC49" w:rsidR="00210C1E" w:rsidRPr="002E2AA0" w:rsidRDefault="00210C1E" w:rsidP="00DD54BD">
      <w:pPr>
        <w:spacing w:line="480" w:lineRule="auto"/>
        <w:rPr>
          <w:rFonts w:ascii="Times New Roman" w:hAnsi="Times New Roman" w:cs="Times New Roman"/>
          <w:lang w:val="en-US"/>
        </w:rPr>
      </w:pPr>
      <w:r w:rsidRPr="002E2AA0">
        <w:rPr>
          <w:rFonts w:ascii="Times New Roman" w:hAnsi="Times New Roman" w:cs="Times New Roman"/>
          <w:b/>
          <w:lang w:val="en-US"/>
        </w:rPr>
        <w:tab/>
      </w:r>
      <w:r w:rsidR="00FB34FF">
        <w:rPr>
          <w:rFonts w:ascii="Times New Roman" w:hAnsi="Times New Roman" w:cs="Times New Roman"/>
          <w:b/>
          <w:lang w:val="en-US"/>
        </w:rPr>
        <w:t xml:space="preserve">3.1.1 </w:t>
      </w:r>
      <w:r w:rsidRPr="002E2AA0">
        <w:rPr>
          <w:rFonts w:ascii="Times New Roman" w:hAnsi="Times New Roman" w:cs="Times New Roman"/>
          <w:b/>
          <w:lang w:val="en-US"/>
        </w:rPr>
        <w:t xml:space="preserve">Participants. </w:t>
      </w:r>
      <w:r w:rsidR="00051146" w:rsidRPr="002E2AA0">
        <w:rPr>
          <w:rFonts w:ascii="Times New Roman" w:hAnsi="Times New Roman" w:cs="Times New Roman"/>
          <w:lang w:val="en-US"/>
        </w:rPr>
        <w:t>This review focuse</w:t>
      </w:r>
      <w:r w:rsidR="00431D87" w:rsidRPr="002E2AA0">
        <w:rPr>
          <w:rFonts w:ascii="Times New Roman" w:hAnsi="Times New Roman" w:cs="Times New Roman"/>
          <w:lang w:val="en-US"/>
        </w:rPr>
        <w:t>d</w:t>
      </w:r>
      <w:r w:rsidR="00051146" w:rsidRPr="002E2AA0">
        <w:rPr>
          <w:rFonts w:ascii="Times New Roman" w:hAnsi="Times New Roman" w:cs="Times New Roman"/>
          <w:lang w:val="en-US"/>
        </w:rPr>
        <w:t xml:space="preserve"> on individuals who have engaged in </w:t>
      </w:r>
      <w:r w:rsidR="00C7619D" w:rsidRPr="002E2AA0">
        <w:rPr>
          <w:rFonts w:ascii="Times New Roman" w:hAnsi="Times New Roman" w:cs="Times New Roman"/>
          <w:lang w:val="en-US"/>
        </w:rPr>
        <w:t xml:space="preserve">any form of </w:t>
      </w:r>
      <w:r w:rsidR="00051146" w:rsidRPr="002E2AA0">
        <w:rPr>
          <w:rFonts w:ascii="Times New Roman" w:hAnsi="Times New Roman" w:cs="Times New Roman"/>
          <w:lang w:val="en-US"/>
        </w:rPr>
        <w:t xml:space="preserve">offending </w:t>
      </w:r>
      <w:r w:rsidR="00EC638A" w:rsidRPr="002E2AA0">
        <w:rPr>
          <w:rFonts w:ascii="Times New Roman" w:hAnsi="Times New Roman" w:cs="Times New Roman"/>
          <w:lang w:val="en-US"/>
        </w:rPr>
        <w:t>behavior</w:t>
      </w:r>
      <w:r w:rsidR="00051146" w:rsidRPr="002E2AA0">
        <w:rPr>
          <w:rFonts w:ascii="Times New Roman" w:hAnsi="Times New Roman" w:cs="Times New Roman"/>
          <w:lang w:val="en-US"/>
        </w:rPr>
        <w:t>. This include</w:t>
      </w:r>
      <w:r w:rsidR="00431D87" w:rsidRPr="002E2AA0">
        <w:rPr>
          <w:rFonts w:ascii="Times New Roman" w:hAnsi="Times New Roman" w:cs="Times New Roman"/>
          <w:lang w:val="en-US"/>
        </w:rPr>
        <w:t>d</w:t>
      </w:r>
      <w:r w:rsidR="00051146" w:rsidRPr="002E2AA0">
        <w:rPr>
          <w:rFonts w:ascii="Times New Roman" w:hAnsi="Times New Roman" w:cs="Times New Roman"/>
          <w:lang w:val="en-US"/>
        </w:rPr>
        <w:t xml:space="preserve"> both convicted and self-reported offenders.</w:t>
      </w:r>
      <w:r w:rsidRPr="002E2AA0">
        <w:rPr>
          <w:rFonts w:ascii="Times New Roman" w:hAnsi="Times New Roman" w:cs="Times New Roman"/>
          <w:lang w:val="en-US"/>
        </w:rPr>
        <w:t xml:space="preserve"> </w:t>
      </w:r>
      <w:r w:rsidR="00F366B3" w:rsidRPr="002E2AA0">
        <w:rPr>
          <w:rFonts w:ascii="Times New Roman" w:hAnsi="Times New Roman" w:cs="Times New Roman"/>
          <w:lang w:val="en-US"/>
        </w:rPr>
        <w:t xml:space="preserve">Participants </w:t>
      </w:r>
      <w:r w:rsidR="00431D87" w:rsidRPr="002E2AA0">
        <w:rPr>
          <w:rFonts w:ascii="Times New Roman" w:hAnsi="Times New Roman" w:cs="Times New Roman"/>
          <w:lang w:val="en-US"/>
        </w:rPr>
        <w:t>could</w:t>
      </w:r>
      <w:r w:rsidR="00F366B3" w:rsidRPr="002E2AA0">
        <w:rPr>
          <w:rFonts w:ascii="Times New Roman" w:hAnsi="Times New Roman" w:cs="Times New Roman"/>
          <w:lang w:val="en-US"/>
        </w:rPr>
        <w:t xml:space="preserve"> be within any setting (i.e., prison, forensic unit, or community). </w:t>
      </w:r>
      <w:r w:rsidRPr="002E2AA0">
        <w:rPr>
          <w:rFonts w:ascii="Times New Roman" w:hAnsi="Times New Roman" w:cs="Times New Roman"/>
          <w:lang w:val="en-US"/>
        </w:rPr>
        <w:t xml:space="preserve">However, </w:t>
      </w:r>
      <w:r w:rsidR="006A1EC4">
        <w:rPr>
          <w:rFonts w:ascii="Times New Roman" w:hAnsi="Times New Roman" w:cs="Times New Roman"/>
          <w:lang w:val="en-US"/>
        </w:rPr>
        <w:t xml:space="preserve">because </w:t>
      </w:r>
      <w:r w:rsidRPr="002E2AA0">
        <w:rPr>
          <w:rFonts w:ascii="Times New Roman" w:hAnsi="Times New Roman" w:cs="Times New Roman"/>
          <w:lang w:val="en-US"/>
        </w:rPr>
        <w:t>Ward and Marshall (2007) suggest</w:t>
      </w:r>
      <w:r w:rsidR="006A1EC4">
        <w:rPr>
          <w:rFonts w:ascii="Times New Roman" w:hAnsi="Times New Roman" w:cs="Times New Roman"/>
          <w:lang w:val="en-US"/>
        </w:rPr>
        <w:t xml:space="preserve"> that</w:t>
      </w:r>
      <w:r w:rsidRPr="002E2AA0">
        <w:rPr>
          <w:rFonts w:ascii="Times New Roman" w:hAnsi="Times New Roman" w:cs="Times New Roman"/>
          <w:lang w:val="en-US"/>
        </w:rPr>
        <w:t xml:space="preserve"> the GLM is not equally applicable to psychopathic individuals</w:t>
      </w:r>
      <w:r w:rsidR="006A1EC4">
        <w:rPr>
          <w:rFonts w:ascii="Times New Roman" w:hAnsi="Times New Roman" w:cs="Times New Roman"/>
          <w:lang w:val="en-US"/>
        </w:rPr>
        <w:t xml:space="preserve">, </w:t>
      </w:r>
      <w:r w:rsidRPr="002E2AA0">
        <w:rPr>
          <w:rFonts w:ascii="Times New Roman" w:hAnsi="Times New Roman" w:cs="Times New Roman"/>
          <w:lang w:val="en-US"/>
        </w:rPr>
        <w:t xml:space="preserve">in line with previous systematic reviews (Netto et al., 2014), studies examining the GLM in </w:t>
      </w:r>
      <w:r w:rsidR="00051146" w:rsidRPr="002E2AA0">
        <w:rPr>
          <w:rFonts w:ascii="Times New Roman" w:hAnsi="Times New Roman" w:cs="Times New Roman"/>
          <w:lang w:val="en-US"/>
        </w:rPr>
        <w:t xml:space="preserve">highly </w:t>
      </w:r>
      <w:r w:rsidRPr="002E2AA0">
        <w:rPr>
          <w:rFonts w:ascii="Times New Roman" w:hAnsi="Times New Roman" w:cs="Times New Roman"/>
          <w:lang w:val="en-US"/>
        </w:rPr>
        <w:t xml:space="preserve">psychopathic individuals </w:t>
      </w:r>
      <w:r w:rsidR="00431D87" w:rsidRPr="002E2AA0">
        <w:rPr>
          <w:rFonts w:ascii="Times New Roman" w:hAnsi="Times New Roman" w:cs="Times New Roman"/>
          <w:lang w:val="en-US"/>
        </w:rPr>
        <w:t>were</w:t>
      </w:r>
      <w:r w:rsidRPr="002E2AA0">
        <w:rPr>
          <w:rFonts w:ascii="Times New Roman" w:hAnsi="Times New Roman" w:cs="Times New Roman"/>
          <w:lang w:val="en-US"/>
        </w:rPr>
        <w:t xml:space="preserve"> excluded.</w:t>
      </w:r>
      <w:r w:rsidR="00051146" w:rsidRPr="002E2AA0">
        <w:rPr>
          <w:rFonts w:ascii="Times New Roman" w:hAnsi="Times New Roman" w:cs="Times New Roman"/>
          <w:lang w:val="en-US"/>
        </w:rPr>
        <w:t xml:space="preserve"> No criteria </w:t>
      </w:r>
      <w:r w:rsidR="00EC638A" w:rsidRPr="002E2AA0">
        <w:rPr>
          <w:rFonts w:ascii="Times New Roman" w:hAnsi="Times New Roman" w:cs="Times New Roman"/>
          <w:lang w:val="en-US"/>
        </w:rPr>
        <w:t>were</w:t>
      </w:r>
      <w:r w:rsidR="00051146" w:rsidRPr="002E2AA0">
        <w:rPr>
          <w:rFonts w:ascii="Times New Roman" w:hAnsi="Times New Roman" w:cs="Times New Roman"/>
          <w:lang w:val="en-US"/>
        </w:rPr>
        <w:t xml:space="preserve"> set to exclude participants on the basis of age or gender. </w:t>
      </w:r>
    </w:p>
    <w:p w14:paraId="49FF4225" w14:textId="4FB3214F" w:rsidR="00F366B3" w:rsidRPr="002E2AA0" w:rsidRDefault="00F366B3" w:rsidP="00DD54BD">
      <w:pPr>
        <w:spacing w:line="480" w:lineRule="auto"/>
        <w:rPr>
          <w:rFonts w:ascii="Times New Roman" w:hAnsi="Times New Roman" w:cs="Times New Roman"/>
          <w:lang w:val="en-US"/>
        </w:rPr>
      </w:pPr>
      <w:r w:rsidRPr="002E2AA0">
        <w:rPr>
          <w:rFonts w:ascii="Times New Roman" w:hAnsi="Times New Roman" w:cs="Times New Roman"/>
          <w:b/>
          <w:lang w:val="en-US"/>
        </w:rPr>
        <w:tab/>
      </w:r>
      <w:r w:rsidR="00FB34FF">
        <w:rPr>
          <w:rFonts w:ascii="Times New Roman" w:hAnsi="Times New Roman" w:cs="Times New Roman"/>
          <w:b/>
          <w:lang w:val="en-US"/>
        </w:rPr>
        <w:t xml:space="preserve">3.1.2 </w:t>
      </w:r>
      <w:r w:rsidRPr="002E2AA0">
        <w:rPr>
          <w:rFonts w:ascii="Times New Roman" w:hAnsi="Times New Roman" w:cs="Times New Roman"/>
          <w:b/>
          <w:lang w:val="en-US"/>
        </w:rPr>
        <w:t xml:space="preserve">Intervention. </w:t>
      </w:r>
      <w:r w:rsidRPr="002E2AA0">
        <w:rPr>
          <w:rFonts w:ascii="Times New Roman" w:hAnsi="Times New Roman" w:cs="Times New Roman"/>
          <w:lang w:val="en-US"/>
        </w:rPr>
        <w:t xml:space="preserve">Where applicable (i.e., studies examining whether the GLM has </w:t>
      </w:r>
      <w:r w:rsidRPr="002E2AA0">
        <w:rPr>
          <w:rFonts w:ascii="Times New Roman" w:hAnsi="Times New Roman" w:cs="Times New Roman"/>
          <w:i/>
          <w:lang w:val="en-US"/>
        </w:rPr>
        <w:t>empirically supported outcomes)</w:t>
      </w:r>
      <w:r w:rsidR="00FD03F7" w:rsidRPr="002E2AA0">
        <w:rPr>
          <w:rFonts w:ascii="Times New Roman" w:hAnsi="Times New Roman" w:cs="Times New Roman"/>
          <w:lang w:val="en-US"/>
        </w:rPr>
        <w:t xml:space="preserve">, interventions must </w:t>
      </w:r>
      <w:r w:rsidR="00431D87" w:rsidRPr="002E2AA0">
        <w:rPr>
          <w:rFonts w:ascii="Times New Roman" w:hAnsi="Times New Roman" w:cs="Times New Roman"/>
          <w:lang w:val="en-US"/>
        </w:rPr>
        <w:t xml:space="preserve">have </w:t>
      </w:r>
      <w:r w:rsidR="00FD03F7" w:rsidRPr="002E2AA0">
        <w:rPr>
          <w:rFonts w:ascii="Times New Roman" w:hAnsi="Times New Roman" w:cs="Times New Roman"/>
          <w:i/>
          <w:lang w:val="en-US"/>
        </w:rPr>
        <w:t xml:space="preserve">explicitly </w:t>
      </w:r>
      <w:r w:rsidR="00FD03F7" w:rsidRPr="002E2AA0">
        <w:rPr>
          <w:rFonts w:ascii="Times New Roman" w:hAnsi="Times New Roman" w:cs="Times New Roman"/>
          <w:lang w:val="en-US"/>
        </w:rPr>
        <w:t>state</w:t>
      </w:r>
      <w:r w:rsidR="00431D87" w:rsidRPr="002E2AA0">
        <w:rPr>
          <w:rFonts w:ascii="Times New Roman" w:hAnsi="Times New Roman" w:cs="Times New Roman"/>
          <w:lang w:val="en-US"/>
        </w:rPr>
        <w:t>d</w:t>
      </w:r>
      <w:r w:rsidR="00FD03F7" w:rsidRPr="002E2AA0">
        <w:rPr>
          <w:rFonts w:ascii="Times New Roman" w:hAnsi="Times New Roman" w:cs="Times New Roman"/>
          <w:lang w:val="en-US"/>
        </w:rPr>
        <w:t xml:space="preserve"> they </w:t>
      </w:r>
      <w:r w:rsidR="00431D87" w:rsidRPr="002E2AA0">
        <w:rPr>
          <w:rFonts w:ascii="Times New Roman" w:hAnsi="Times New Roman" w:cs="Times New Roman"/>
          <w:lang w:val="en-US"/>
        </w:rPr>
        <w:t>were</w:t>
      </w:r>
      <w:r w:rsidR="00FD03F7" w:rsidRPr="002E2AA0">
        <w:rPr>
          <w:rFonts w:ascii="Times New Roman" w:hAnsi="Times New Roman" w:cs="Times New Roman"/>
          <w:lang w:val="en-US"/>
        </w:rPr>
        <w:t xml:space="preserve"> using a GLM approach, with the majority of the intervention guided by a Good Lives framework. As </w:t>
      </w:r>
      <w:r w:rsidR="00FD03F7" w:rsidRPr="002E2AA0">
        <w:rPr>
          <w:rFonts w:ascii="Times New Roman" w:hAnsi="Times New Roman" w:cs="Times New Roman"/>
          <w:lang w:val="en-US"/>
        </w:rPr>
        <w:lastRenderedPageBreak/>
        <w:t xml:space="preserve">an example, interventions which simply explain the GLM </w:t>
      </w:r>
      <w:r w:rsidR="002E2AA0" w:rsidRPr="002E2AA0">
        <w:rPr>
          <w:rFonts w:ascii="Times New Roman" w:hAnsi="Times New Roman" w:cs="Times New Roman"/>
          <w:lang w:val="en-US"/>
        </w:rPr>
        <w:t>assumptions</w:t>
      </w:r>
      <w:r w:rsidR="00FD03F7" w:rsidRPr="002E2AA0">
        <w:rPr>
          <w:rFonts w:ascii="Times New Roman" w:hAnsi="Times New Roman" w:cs="Times New Roman"/>
          <w:lang w:val="en-US"/>
        </w:rPr>
        <w:t xml:space="preserve"> (i.e., primary goods) to offenders, without using th</w:t>
      </w:r>
      <w:r w:rsidR="006A1EC4">
        <w:rPr>
          <w:rFonts w:ascii="Times New Roman" w:hAnsi="Times New Roman" w:cs="Times New Roman"/>
          <w:lang w:val="en-US"/>
        </w:rPr>
        <w:t>ese</w:t>
      </w:r>
      <w:r w:rsidR="00FD03F7" w:rsidRPr="002E2AA0">
        <w:rPr>
          <w:rFonts w:ascii="Times New Roman" w:hAnsi="Times New Roman" w:cs="Times New Roman"/>
          <w:lang w:val="en-US"/>
        </w:rPr>
        <w:t xml:space="preserve"> to inform treatment, </w:t>
      </w:r>
      <w:r w:rsidR="00431D87" w:rsidRPr="002E2AA0">
        <w:rPr>
          <w:rFonts w:ascii="Times New Roman" w:hAnsi="Times New Roman" w:cs="Times New Roman"/>
          <w:lang w:val="en-US"/>
        </w:rPr>
        <w:t>were</w:t>
      </w:r>
      <w:r w:rsidR="00FD03F7" w:rsidRPr="002E2AA0">
        <w:rPr>
          <w:rFonts w:ascii="Times New Roman" w:hAnsi="Times New Roman" w:cs="Times New Roman"/>
          <w:lang w:val="en-US"/>
        </w:rPr>
        <w:t xml:space="preserve"> excluded. It </w:t>
      </w:r>
      <w:r w:rsidR="002B14A6">
        <w:rPr>
          <w:rFonts w:ascii="Times New Roman" w:hAnsi="Times New Roman" w:cs="Times New Roman"/>
          <w:lang w:val="en-US"/>
        </w:rPr>
        <w:t>wa</w:t>
      </w:r>
      <w:r w:rsidR="00FD03F7" w:rsidRPr="002E2AA0">
        <w:rPr>
          <w:rFonts w:ascii="Times New Roman" w:hAnsi="Times New Roman" w:cs="Times New Roman"/>
          <w:lang w:val="en-US"/>
        </w:rPr>
        <w:t>s expected that a GLM</w:t>
      </w:r>
      <w:r w:rsidR="00843C96" w:rsidRPr="002E2AA0">
        <w:rPr>
          <w:rFonts w:ascii="Times New Roman" w:hAnsi="Times New Roman" w:cs="Times New Roman"/>
          <w:lang w:val="en-US"/>
        </w:rPr>
        <w:t xml:space="preserve">-consistent </w:t>
      </w:r>
      <w:r w:rsidR="00FD03F7" w:rsidRPr="002E2AA0">
        <w:rPr>
          <w:rFonts w:ascii="Times New Roman" w:hAnsi="Times New Roman" w:cs="Times New Roman"/>
          <w:lang w:val="en-US"/>
        </w:rPr>
        <w:t xml:space="preserve">intervention </w:t>
      </w:r>
      <w:r w:rsidR="00843C96" w:rsidRPr="002E2AA0">
        <w:rPr>
          <w:rFonts w:ascii="Times New Roman" w:hAnsi="Times New Roman" w:cs="Times New Roman"/>
          <w:lang w:val="en-US"/>
        </w:rPr>
        <w:t xml:space="preserve">would have </w:t>
      </w:r>
      <w:r w:rsidR="00FD03F7" w:rsidRPr="002E2AA0">
        <w:rPr>
          <w:rFonts w:ascii="Times New Roman" w:hAnsi="Times New Roman" w:cs="Times New Roman"/>
          <w:lang w:val="en-US"/>
        </w:rPr>
        <w:t>include</w:t>
      </w:r>
      <w:r w:rsidR="00431D87" w:rsidRPr="002E2AA0">
        <w:rPr>
          <w:rFonts w:ascii="Times New Roman" w:hAnsi="Times New Roman" w:cs="Times New Roman"/>
          <w:lang w:val="en-US"/>
        </w:rPr>
        <w:t>d</w:t>
      </w:r>
      <w:r w:rsidR="00FD03F7" w:rsidRPr="002E2AA0">
        <w:rPr>
          <w:rFonts w:ascii="Times New Roman" w:hAnsi="Times New Roman" w:cs="Times New Roman"/>
          <w:lang w:val="en-US"/>
        </w:rPr>
        <w:t xml:space="preserve"> the following:</w:t>
      </w:r>
    </w:p>
    <w:p w14:paraId="6099692B" w14:textId="645FF873" w:rsidR="00FD03F7" w:rsidRPr="002E2AA0" w:rsidRDefault="00FD03F7" w:rsidP="00FD03F7">
      <w:pPr>
        <w:pStyle w:val="ListParagraph"/>
        <w:numPr>
          <w:ilvl w:val="0"/>
          <w:numId w:val="4"/>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Assessment of the primary goods important to the offender</w:t>
      </w:r>
      <w:r w:rsidR="00447F38">
        <w:rPr>
          <w:rFonts w:ascii="Times New Roman" w:hAnsi="Times New Roman" w:cs="Times New Roman"/>
          <w:sz w:val="24"/>
          <w:szCs w:val="24"/>
          <w:lang w:val="en-US"/>
        </w:rPr>
        <w:t>.</w:t>
      </w:r>
    </w:p>
    <w:p w14:paraId="78648DC1" w14:textId="50CB407F" w:rsidR="00FD03F7" w:rsidRPr="002E2AA0" w:rsidRDefault="00FD03F7" w:rsidP="00FD03F7">
      <w:pPr>
        <w:pStyle w:val="ListParagraph"/>
        <w:numPr>
          <w:ilvl w:val="0"/>
          <w:numId w:val="4"/>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Identification of the internal and external obstacles which prevent achievement of primary goods through prosocial means</w:t>
      </w:r>
      <w:r w:rsidR="00447F38">
        <w:rPr>
          <w:rFonts w:ascii="Times New Roman" w:hAnsi="Times New Roman" w:cs="Times New Roman"/>
          <w:sz w:val="24"/>
          <w:szCs w:val="24"/>
          <w:lang w:val="en-US"/>
        </w:rPr>
        <w:t>.</w:t>
      </w:r>
    </w:p>
    <w:p w14:paraId="449F1DF9" w14:textId="2076377B" w:rsidR="00FD03F7" w:rsidRPr="002E2AA0" w:rsidRDefault="00FD03F7" w:rsidP="00FD03F7">
      <w:pPr>
        <w:pStyle w:val="ListParagraph"/>
        <w:numPr>
          <w:ilvl w:val="0"/>
          <w:numId w:val="4"/>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 xml:space="preserve">Creation of a </w:t>
      </w:r>
      <w:r w:rsidR="00C7619D" w:rsidRPr="002E2AA0">
        <w:rPr>
          <w:rFonts w:ascii="Times New Roman" w:hAnsi="Times New Roman" w:cs="Times New Roman"/>
          <w:sz w:val="24"/>
          <w:szCs w:val="24"/>
          <w:lang w:val="en-US"/>
        </w:rPr>
        <w:t xml:space="preserve">Good Lives </w:t>
      </w:r>
      <w:r w:rsidRPr="002E2AA0">
        <w:rPr>
          <w:rFonts w:ascii="Times New Roman" w:hAnsi="Times New Roman" w:cs="Times New Roman"/>
          <w:sz w:val="24"/>
          <w:szCs w:val="24"/>
          <w:lang w:val="en-US"/>
        </w:rPr>
        <w:t>plan</w:t>
      </w:r>
      <w:r w:rsidR="00447F38">
        <w:rPr>
          <w:rFonts w:ascii="Times New Roman" w:hAnsi="Times New Roman" w:cs="Times New Roman"/>
          <w:sz w:val="24"/>
          <w:szCs w:val="24"/>
          <w:lang w:val="en-US"/>
        </w:rPr>
        <w:t>.</w:t>
      </w:r>
    </w:p>
    <w:p w14:paraId="6AD2FD0E" w14:textId="723B405F" w:rsidR="00F366B3" w:rsidRPr="002B14A6" w:rsidRDefault="00EC638A" w:rsidP="00FD03F7">
      <w:pPr>
        <w:pStyle w:val="ListParagraph"/>
        <w:numPr>
          <w:ilvl w:val="0"/>
          <w:numId w:val="4"/>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Utilization</w:t>
      </w:r>
      <w:r w:rsidR="00FD03F7" w:rsidRPr="002E2AA0">
        <w:rPr>
          <w:rFonts w:ascii="Times New Roman" w:hAnsi="Times New Roman" w:cs="Times New Roman"/>
          <w:sz w:val="24"/>
          <w:szCs w:val="24"/>
          <w:lang w:val="en-US"/>
        </w:rPr>
        <w:t xml:space="preserve"> of the </w:t>
      </w:r>
      <w:r w:rsidR="00C7619D" w:rsidRPr="002E2AA0">
        <w:rPr>
          <w:rFonts w:ascii="Times New Roman" w:hAnsi="Times New Roman" w:cs="Times New Roman"/>
          <w:sz w:val="24"/>
          <w:szCs w:val="24"/>
          <w:lang w:val="en-US"/>
        </w:rPr>
        <w:t xml:space="preserve">Good Lives </w:t>
      </w:r>
      <w:r w:rsidR="00FD03F7" w:rsidRPr="002E2AA0">
        <w:rPr>
          <w:rFonts w:ascii="Times New Roman" w:hAnsi="Times New Roman" w:cs="Times New Roman"/>
          <w:sz w:val="24"/>
          <w:szCs w:val="24"/>
          <w:lang w:val="en-US"/>
        </w:rPr>
        <w:t>plan to inform treatment (i.e., developing skills needed to overcome the offender</w:t>
      </w:r>
      <w:r w:rsidR="006A1EC4">
        <w:rPr>
          <w:rFonts w:ascii="Times New Roman" w:hAnsi="Times New Roman" w:cs="Times New Roman"/>
          <w:sz w:val="24"/>
          <w:szCs w:val="24"/>
          <w:lang w:val="en-US"/>
        </w:rPr>
        <w:t>’</w:t>
      </w:r>
      <w:r w:rsidR="00FD03F7" w:rsidRPr="002E2AA0">
        <w:rPr>
          <w:rFonts w:ascii="Times New Roman" w:hAnsi="Times New Roman" w:cs="Times New Roman"/>
          <w:sz w:val="24"/>
          <w:szCs w:val="24"/>
          <w:lang w:val="en-US"/>
        </w:rPr>
        <w:t>s internal/external obstacles)</w:t>
      </w:r>
      <w:r w:rsidR="00447F38">
        <w:rPr>
          <w:rFonts w:ascii="Times New Roman" w:hAnsi="Times New Roman" w:cs="Times New Roman"/>
          <w:sz w:val="24"/>
          <w:szCs w:val="24"/>
          <w:lang w:val="en-US"/>
        </w:rPr>
        <w:t>.</w:t>
      </w:r>
    </w:p>
    <w:p w14:paraId="3B42F434" w14:textId="0D8F090C" w:rsidR="00FD03F7" w:rsidRPr="002E2AA0" w:rsidRDefault="00FB34FF" w:rsidP="009D62D7">
      <w:pPr>
        <w:spacing w:line="480" w:lineRule="auto"/>
        <w:ind w:firstLine="720"/>
        <w:rPr>
          <w:rFonts w:ascii="Times New Roman" w:hAnsi="Times New Roman" w:cs="Times New Roman"/>
          <w:lang w:val="en-US"/>
        </w:rPr>
      </w:pPr>
      <w:r>
        <w:rPr>
          <w:rFonts w:ascii="Times New Roman" w:hAnsi="Times New Roman" w:cs="Times New Roman"/>
          <w:b/>
          <w:lang w:val="en-US"/>
        </w:rPr>
        <w:t xml:space="preserve">3.1.3 </w:t>
      </w:r>
      <w:r w:rsidR="004217B4" w:rsidRPr="00310FC2">
        <w:rPr>
          <w:rFonts w:ascii="Times New Roman" w:hAnsi="Times New Roman" w:cs="Times New Roman"/>
          <w:b/>
          <w:lang w:val="en-US"/>
        </w:rPr>
        <w:t xml:space="preserve">Comparison. </w:t>
      </w:r>
      <w:r w:rsidR="00431D87" w:rsidRPr="00AA72E4">
        <w:rPr>
          <w:rFonts w:ascii="Times New Roman" w:hAnsi="Times New Roman" w:cs="Times New Roman"/>
          <w:lang w:val="en-US"/>
        </w:rPr>
        <w:t>Fitzpatrick-Lewis</w:t>
      </w:r>
      <w:r w:rsidR="00C83260" w:rsidRPr="00AA72E4">
        <w:rPr>
          <w:rFonts w:ascii="Times New Roman" w:hAnsi="Times New Roman" w:cs="Times New Roman"/>
          <w:lang w:val="en-US"/>
        </w:rPr>
        <w:t xml:space="preserve"> and colleagues</w:t>
      </w:r>
      <w:r w:rsidR="00431D87" w:rsidRPr="00AA72E4">
        <w:rPr>
          <w:rFonts w:ascii="Times New Roman" w:hAnsi="Times New Roman" w:cs="Times New Roman"/>
          <w:lang w:val="en-US"/>
        </w:rPr>
        <w:t xml:space="preserve"> (2009) recommend the inclusion of studies without contr</w:t>
      </w:r>
      <w:r w:rsidR="009D62D7">
        <w:rPr>
          <w:rFonts w:ascii="Times New Roman" w:hAnsi="Times New Roman" w:cs="Times New Roman"/>
          <w:lang w:val="en-US"/>
        </w:rPr>
        <w:t>ol groups in systematic reviews,</w:t>
      </w:r>
      <w:r w:rsidR="00431D87" w:rsidRPr="00AA72E4">
        <w:rPr>
          <w:rFonts w:ascii="Times New Roman" w:hAnsi="Times New Roman" w:cs="Times New Roman"/>
          <w:lang w:val="en-US"/>
        </w:rPr>
        <w:t xml:space="preserve"> </w:t>
      </w:r>
      <w:r w:rsidR="009D62D7" w:rsidRPr="00AA72E4">
        <w:rPr>
          <w:rFonts w:ascii="Times New Roman" w:hAnsi="Times New Roman" w:cs="Times New Roman"/>
          <w:lang w:val="en-US"/>
        </w:rPr>
        <w:t>predominantly</w:t>
      </w:r>
      <w:r w:rsidR="00431D87" w:rsidRPr="00AA72E4">
        <w:rPr>
          <w:rFonts w:ascii="Times New Roman" w:hAnsi="Times New Roman" w:cs="Times New Roman"/>
          <w:lang w:val="en-US"/>
        </w:rPr>
        <w:t xml:space="preserve"> in areas where there are limited studies available. </w:t>
      </w:r>
      <w:r w:rsidR="009D62D7">
        <w:rPr>
          <w:rFonts w:ascii="Times New Roman" w:hAnsi="Times New Roman" w:cs="Times New Roman"/>
          <w:lang w:val="en-US"/>
        </w:rPr>
        <w:t xml:space="preserve">The feasibility of RCT’s are particularly questioned within forensic settings, whereby the lack of treatment given to a control group raises both ethical and legal issues concerning the risk of recidivism and public safety (Mallion et al., 2019). </w:t>
      </w:r>
      <w:r w:rsidR="00431D87" w:rsidRPr="00AA72E4">
        <w:rPr>
          <w:rFonts w:ascii="Times New Roman" w:hAnsi="Times New Roman" w:cs="Times New Roman"/>
          <w:lang w:val="en-US"/>
        </w:rPr>
        <w:t>As Netto</w:t>
      </w:r>
      <w:r w:rsidR="009F354D" w:rsidRPr="00AA72E4">
        <w:rPr>
          <w:rFonts w:ascii="Times New Roman" w:hAnsi="Times New Roman" w:cs="Times New Roman"/>
          <w:lang w:val="en-US"/>
        </w:rPr>
        <w:t xml:space="preserve"> et al.</w:t>
      </w:r>
      <w:r w:rsidR="00431D87" w:rsidRPr="00AA72E4">
        <w:rPr>
          <w:rFonts w:ascii="Times New Roman" w:hAnsi="Times New Roman" w:cs="Times New Roman"/>
          <w:lang w:val="en-US"/>
        </w:rPr>
        <w:t xml:space="preserve"> (2014) found no studies with an adequate control group assessing the effectiveness</w:t>
      </w:r>
      <w:r w:rsidR="00431D87" w:rsidRPr="002E2AA0">
        <w:rPr>
          <w:rFonts w:ascii="Times New Roman" w:hAnsi="Times New Roman" w:cs="Times New Roman"/>
          <w:lang w:val="en-US"/>
        </w:rPr>
        <w:t xml:space="preserve"> of interventions </w:t>
      </w:r>
      <w:r w:rsidR="00EC638A" w:rsidRPr="002E2AA0">
        <w:rPr>
          <w:rFonts w:ascii="Times New Roman" w:hAnsi="Times New Roman" w:cs="Times New Roman"/>
          <w:lang w:val="en-US"/>
        </w:rPr>
        <w:t>utilizing</w:t>
      </w:r>
      <w:r w:rsidR="00431D87" w:rsidRPr="002E2AA0">
        <w:rPr>
          <w:rFonts w:ascii="Times New Roman" w:hAnsi="Times New Roman" w:cs="Times New Roman"/>
          <w:lang w:val="en-US"/>
        </w:rPr>
        <w:t xml:space="preserve"> a GLM approach, th</w:t>
      </w:r>
      <w:r w:rsidR="00AA72E4">
        <w:rPr>
          <w:rFonts w:ascii="Times New Roman" w:hAnsi="Times New Roman" w:cs="Times New Roman"/>
          <w:lang w:val="en-US"/>
        </w:rPr>
        <w:t>e current</w:t>
      </w:r>
      <w:r w:rsidR="00431D87" w:rsidRPr="002E2AA0">
        <w:rPr>
          <w:rFonts w:ascii="Times New Roman" w:hAnsi="Times New Roman" w:cs="Times New Roman"/>
          <w:lang w:val="en-US"/>
        </w:rPr>
        <w:t xml:space="preserve"> systematic review expanded this by considering studies</w:t>
      </w:r>
      <w:r w:rsidR="00C7619D" w:rsidRPr="002E2AA0">
        <w:rPr>
          <w:rFonts w:ascii="Times New Roman" w:hAnsi="Times New Roman" w:cs="Times New Roman"/>
          <w:lang w:val="en-US"/>
        </w:rPr>
        <w:t xml:space="preserve"> with or without a control group</w:t>
      </w:r>
      <w:r w:rsidR="00431D87" w:rsidRPr="002E2AA0">
        <w:rPr>
          <w:rFonts w:ascii="Times New Roman" w:hAnsi="Times New Roman" w:cs="Times New Roman"/>
          <w:lang w:val="en-US"/>
        </w:rPr>
        <w:t xml:space="preserve">. Therefore, no criteria </w:t>
      </w:r>
      <w:r w:rsidR="00447F38">
        <w:rPr>
          <w:rFonts w:ascii="Times New Roman" w:hAnsi="Times New Roman" w:cs="Times New Roman"/>
          <w:lang w:val="en-US"/>
        </w:rPr>
        <w:t>was</w:t>
      </w:r>
      <w:r w:rsidR="00447F38" w:rsidRPr="002E2AA0">
        <w:rPr>
          <w:rFonts w:ascii="Times New Roman" w:hAnsi="Times New Roman" w:cs="Times New Roman"/>
          <w:lang w:val="en-US"/>
        </w:rPr>
        <w:t xml:space="preserve"> </w:t>
      </w:r>
      <w:r w:rsidR="00431D87" w:rsidRPr="002E2AA0">
        <w:rPr>
          <w:rFonts w:ascii="Times New Roman" w:hAnsi="Times New Roman" w:cs="Times New Roman"/>
          <w:lang w:val="en-US"/>
        </w:rPr>
        <w:t>specified regarding the necessity of a comparison group.</w:t>
      </w:r>
    </w:p>
    <w:p w14:paraId="129F3AF2" w14:textId="14FFF6A6" w:rsidR="00BF4A65" w:rsidRPr="002E2AA0" w:rsidRDefault="00FB34FF" w:rsidP="00327131">
      <w:pPr>
        <w:spacing w:line="480" w:lineRule="auto"/>
        <w:ind w:firstLine="720"/>
        <w:rPr>
          <w:rFonts w:ascii="Times New Roman" w:hAnsi="Times New Roman" w:cs="Times New Roman"/>
          <w:lang w:val="en-US"/>
        </w:rPr>
      </w:pPr>
      <w:r>
        <w:rPr>
          <w:rFonts w:ascii="Times New Roman" w:hAnsi="Times New Roman" w:cs="Times New Roman"/>
          <w:b/>
          <w:lang w:val="en-US"/>
        </w:rPr>
        <w:t xml:space="preserve">3.1.4 </w:t>
      </w:r>
      <w:r w:rsidR="001C69F7" w:rsidRPr="002E2AA0">
        <w:rPr>
          <w:rFonts w:ascii="Times New Roman" w:hAnsi="Times New Roman" w:cs="Times New Roman"/>
          <w:b/>
          <w:lang w:val="en-US"/>
        </w:rPr>
        <w:t xml:space="preserve">Outcomes. </w:t>
      </w:r>
      <w:r w:rsidR="00D251E3" w:rsidRPr="002E2AA0">
        <w:rPr>
          <w:rFonts w:ascii="Times New Roman" w:hAnsi="Times New Roman" w:cs="Times New Roman"/>
          <w:lang w:val="en-US"/>
        </w:rPr>
        <w:t xml:space="preserve">Any studies reporting on outcomes relating to the focus of this systematic review were included. </w:t>
      </w:r>
      <w:r w:rsidR="001770FD" w:rsidRPr="002E2AA0">
        <w:rPr>
          <w:rFonts w:ascii="Times New Roman" w:hAnsi="Times New Roman" w:cs="Times New Roman"/>
          <w:lang w:val="en-US"/>
        </w:rPr>
        <w:t xml:space="preserve">With regards to question 1, this includes any article examining the key </w:t>
      </w:r>
      <w:r w:rsidR="002E2AA0" w:rsidRPr="002E2AA0">
        <w:rPr>
          <w:rFonts w:ascii="Times New Roman" w:hAnsi="Times New Roman" w:cs="Times New Roman"/>
          <w:lang w:val="en-US"/>
        </w:rPr>
        <w:t>assumptions</w:t>
      </w:r>
      <w:r w:rsidR="001770FD" w:rsidRPr="002E2AA0">
        <w:rPr>
          <w:rFonts w:ascii="Times New Roman" w:hAnsi="Times New Roman" w:cs="Times New Roman"/>
          <w:lang w:val="en-US"/>
        </w:rPr>
        <w:t xml:space="preserve"> of the GLM (e.g., </w:t>
      </w:r>
      <w:r w:rsidR="00C7619D" w:rsidRPr="002E2AA0">
        <w:rPr>
          <w:rFonts w:ascii="Times New Roman" w:hAnsi="Times New Roman" w:cs="Times New Roman"/>
          <w:lang w:val="en-US"/>
        </w:rPr>
        <w:t>offending as an attempt to fulfil primary goods, obstacles in the Good Lives plan, and pathways to offending</w:t>
      </w:r>
      <w:r w:rsidR="001770FD" w:rsidRPr="002E2AA0">
        <w:rPr>
          <w:rFonts w:ascii="Times New Roman" w:hAnsi="Times New Roman" w:cs="Times New Roman"/>
          <w:lang w:val="en-US"/>
        </w:rPr>
        <w:t xml:space="preserve">). For question 2, this includes outcomes related to the effectiveness of a GLM guided intervention (e.g., recidivism, </w:t>
      </w:r>
      <w:r w:rsidR="00C7619D" w:rsidRPr="002E2AA0">
        <w:rPr>
          <w:rFonts w:ascii="Times New Roman" w:hAnsi="Times New Roman" w:cs="Times New Roman"/>
          <w:lang w:val="en-US"/>
        </w:rPr>
        <w:t>pre-post treatment outcomes</w:t>
      </w:r>
      <w:r w:rsidR="001770FD" w:rsidRPr="002E2AA0">
        <w:rPr>
          <w:rFonts w:ascii="Times New Roman" w:hAnsi="Times New Roman" w:cs="Times New Roman"/>
          <w:lang w:val="en-US"/>
        </w:rPr>
        <w:t xml:space="preserve">, </w:t>
      </w:r>
      <w:r w:rsidR="00F77351" w:rsidRPr="002E2AA0">
        <w:rPr>
          <w:rFonts w:ascii="Times New Roman" w:hAnsi="Times New Roman" w:cs="Times New Roman"/>
          <w:lang w:val="en-US"/>
        </w:rPr>
        <w:t xml:space="preserve">and </w:t>
      </w:r>
      <w:r w:rsidR="00C7619D" w:rsidRPr="002E2AA0">
        <w:rPr>
          <w:rFonts w:ascii="Times New Roman" w:hAnsi="Times New Roman" w:cs="Times New Roman"/>
          <w:lang w:val="en-US"/>
        </w:rPr>
        <w:t>service user</w:t>
      </w:r>
      <w:r w:rsidR="001770FD" w:rsidRPr="002E2AA0">
        <w:rPr>
          <w:rFonts w:ascii="Times New Roman" w:hAnsi="Times New Roman" w:cs="Times New Roman"/>
          <w:lang w:val="en-US"/>
        </w:rPr>
        <w:t xml:space="preserve"> perspectives).</w:t>
      </w:r>
    </w:p>
    <w:p w14:paraId="01A51768" w14:textId="435AC489" w:rsidR="00BF4A65" w:rsidRPr="002E2AA0" w:rsidRDefault="00FB34FF" w:rsidP="00054671">
      <w:pPr>
        <w:spacing w:line="480" w:lineRule="auto"/>
        <w:ind w:firstLine="720"/>
        <w:rPr>
          <w:rFonts w:ascii="Times New Roman" w:hAnsi="Times New Roman" w:cs="Times New Roman"/>
          <w:lang w:val="en-US"/>
        </w:rPr>
      </w:pPr>
      <w:r>
        <w:rPr>
          <w:rFonts w:ascii="Times New Roman" w:hAnsi="Times New Roman" w:cs="Times New Roman"/>
          <w:b/>
          <w:lang w:val="en-US"/>
        </w:rPr>
        <w:lastRenderedPageBreak/>
        <w:t xml:space="preserve">3.1.5 </w:t>
      </w:r>
      <w:r w:rsidR="00F77351" w:rsidRPr="002E2AA0">
        <w:rPr>
          <w:rFonts w:ascii="Times New Roman" w:hAnsi="Times New Roman" w:cs="Times New Roman"/>
          <w:b/>
          <w:lang w:val="en-US"/>
        </w:rPr>
        <w:t xml:space="preserve">Study Design. </w:t>
      </w:r>
      <w:r w:rsidR="00D551EF" w:rsidRPr="002E2AA0">
        <w:rPr>
          <w:rFonts w:ascii="Times New Roman" w:hAnsi="Times New Roman" w:cs="Times New Roman"/>
          <w:lang w:val="en-US"/>
        </w:rPr>
        <w:t xml:space="preserve">Although </w:t>
      </w:r>
      <w:r w:rsidR="00C83260">
        <w:rPr>
          <w:rFonts w:ascii="Times New Roman" w:hAnsi="Times New Roman" w:cs="Times New Roman"/>
          <w:lang w:val="en-US"/>
        </w:rPr>
        <w:t>RCTs</w:t>
      </w:r>
      <w:r w:rsidR="00D551EF" w:rsidRPr="002E2AA0">
        <w:rPr>
          <w:rFonts w:ascii="Times New Roman" w:hAnsi="Times New Roman" w:cs="Times New Roman"/>
          <w:lang w:val="en-US"/>
        </w:rPr>
        <w:t xml:space="preserve"> are considered the ‘gold standard’ in </w:t>
      </w:r>
      <w:r w:rsidR="00AA72E4" w:rsidRPr="002E2AA0">
        <w:rPr>
          <w:rFonts w:ascii="Times New Roman" w:hAnsi="Times New Roman" w:cs="Times New Roman"/>
          <w:lang w:val="en-US"/>
        </w:rPr>
        <w:t>evidence-based practice</w:t>
      </w:r>
      <w:r w:rsidR="00D551EF" w:rsidRPr="002E2AA0">
        <w:rPr>
          <w:rFonts w:ascii="Times New Roman" w:hAnsi="Times New Roman" w:cs="Times New Roman"/>
          <w:lang w:val="en-US"/>
        </w:rPr>
        <w:t xml:space="preserve"> (EBP), in forensic settings</w:t>
      </w:r>
      <w:r w:rsidR="00227FEF" w:rsidRPr="002E2AA0">
        <w:rPr>
          <w:rFonts w:ascii="Times New Roman" w:hAnsi="Times New Roman" w:cs="Times New Roman"/>
          <w:lang w:val="en-US"/>
        </w:rPr>
        <w:t xml:space="preserve"> ethical and practical reasons can seriously challenge the feasibility of conducting RCTs (Mallion</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227FEF" w:rsidRPr="002E2AA0">
        <w:rPr>
          <w:rFonts w:ascii="Times New Roman" w:hAnsi="Times New Roman" w:cs="Times New Roman"/>
          <w:lang w:val="en-US"/>
        </w:rPr>
        <w:t xml:space="preserve">, 2019; Prendergast, 2011). </w:t>
      </w:r>
      <w:r w:rsidR="00463F7E" w:rsidRPr="002E2AA0">
        <w:rPr>
          <w:rFonts w:ascii="Times New Roman" w:hAnsi="Times New Roman" w:cs="Times New Roman"/>
          <w:lang w:val="en-US"/>
        </w:rPr>
        <w:t>As such, in situations where RCTs are limited, non-</w:t>
      </w:r>
      <w:r w:rsidR="00EC638A" w:rsidRPr="002E2AA0">
        <w:rPr>
          <w:rFonts w:ascii="Times New Roman" w:hAnsi="Times New Roman" w:cs="Times New Roman"/>
          <w:lang w:val="en-US"/>
        </w:rPr>
        <w:t>randomized</w:t>
      </w:r>
      <w:r w:rsidR="00463F7E" w:rsidRPr="002E2AA0">
        <w:rPr>
          <w:rFonts w:ascii="Times New Roman" w:hAnsi="Times New Roman" w:cs="Times New Roman"/>
          <w:lang w:val="en-US"/>
        </w:rPr>
        <w:t xml:space="preserve"> studies can provide </w:t>
      </w:r>
      <w:r w:rsidR="00447F38">
        <w:rPr>
          <w:rFonts w:ascii="Times New Roman" w:hAnsi="Times New Roman" w:cs="Times New Roman"/>
          <w:lang w:val="en-US"/>
        </w:rPr>
        <w:t xml:space="preserve">an </w:t>
      </w:r>
      <w:r w:rsidR="00463F7E" w:rsidRPr="002E2AA0">
        <w:rPr>
          <w:rFonts w:ascii="Times New Roman" w:hAnsi="Times New Roman" w:cs="Times New Roman"/>
          <w:lang w:val="en-US"/>
        </w:rPr>
        <w:t>important insight (Reeves</w:t>
      </w:r>
      <w:r w:rsidR="005977B8">
        <w:rPr>
          <w:rFonts w:ascii="Times New Roman" w:hAnsi="Times New Roman" w:cs="Times New Roman"/>
          <w:lang w:val="en-US"/>
        </w:rPr>
        <w:t xml:space="preserve"> et al., 2019</w:t>
      </w:r>
      <w:r w:rsidR="00463F7E" w:rsidRPr="002E2AA0">
        <w:rPr>
          <w:rFonts w:ascii="Times New Roman" w:hAnsi="Times New Roman" w:cs="Times New Roman"/>
          <w:lang w:val="en-US"/>
        </w:rPr>
        <w:t xml:space="preserve">). </w:t>
      </w:r>
      <w:r w:rsidR="00336CAE">
        <w:rPr>
          <w:rFonts w:ascii="Times New Roman" w:hAnsi="Times New Roman" w:cs="Times New Roman"/>
          <w:lang w:val="en-US"/>
        </w:rPr>
        <w:t>I</w:t>
      </w:r>
      <w:r w:rsidR="00054671" w:rsidRPr="002E2AA0">
        <w:rPr>
          <w:rFonts w:ascii="Times New Roman" w:hAnsi="Times New Roman" w:cs="Times New Roman"/>
          <w:lang w:val="en-US"/>
        </w:rPr>
        <w:t xml:space="preserve">n the case of Netto et al.’s (2014) systematic review, reliance on RCTs alone </w:t>
      </w:r>
      <w:r w:rsidR="00336CAE">
        <w:rPr>
          <w:rFonts w:ascii="Times New Roman" w:hAnsi="Times New Roman" w:cs="Times New Roman"/>
          <w:lang w:val="en-US"/>
        </w:rPr>
        <w:t>led</w:t>
      </w:r>
      <w:r w:rsidR="00054671" w:rsidRPr="002E2AA0">
        <w:rPr>
          <w:rFonts w:ascii="Times New Roman" w:hAnsi="Times New Roman" w:cs="Times New Roman"/>
          <w:lang w:val="en-US"/>
        </w:rPr>
        <w:t xml:space="preserve"> to little or no information yield</w:t>
      </w:r>
      <w:r w:rsidR="00AA72E4">
        <w:rPr>
          <w:rFonts w:ascii="Times New Roman" w:hAnsi="Times New Roman" w:cs="Times New Roman"/>
          <w:lang w:val="en-US"/>
        </w:rPr>
        <w:t>,</w:t>
      </w:r>
      <w:r w:rsidR="00054671" w:rsidRPr="002E2AA0">
        <w:rPr>
          <w:rFonts w:ascii="Times New Roman" w:hAnsi="Times New Roman" w:cs="Times New Roman"/>
          <w:lang w:val="en-US"/>
        </w:rPr>
        <w:t xml:space="preserve"> </w:t>
      </w:r>
      <w:r w:rsidR="00336CAE">
        <w:rPr>
          <w:rFonts w:ascii="Times New Roman" w:hAnsi="Times New Roman" w:cs="Times New Roman"/>
          <w:lang w:val="en-US"/>
        </w:rPr>
        <w:t>but</w:t>
      </w:r>
      <w:r w:rsidR="00054671" w:rsidRPr="002E2AA0">
        <w:rPr>
          <w:rFonts w:ascii="Times New Roman" w:hAnsi="Times New Roman" w:cs="Times New Roman"/>
          <w:lang w:val="en-US"/>
        </w:rPr>
        <w:t xml:space="preserve"> this does not mean there is no evidence available (Hawker</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054671" w:rsidRPr="002E2AA0">
        <w:rPr>
          <w:rFonts w:ascii="Times New Roman" w:hAnsi="Times New Roman" w:cs="Times New Roman"/>
          <w:lang w:val="en-US"/>
        </w:rPr>
        <w:t>, 2002; Kmet</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054671" w:rsidRPr="002E2AA0">
        <w:rPr>
          <w:rFonts w:ascii="Times New Roman" w:hAnsi="Times New Roman" w:cs="Times New Roman"/>
          <w:lang w:val="en-US"/>
        </w:rPr>
        <w:t xml:space="preserve">, 2004). </w:t>
      </w:r>
      <w:r w:rsidR="00463F7E" w:rsidRPr="002E2AA0">
        <w:rPr>
          <w:rFonts w:ascii="Times New Roman" w:hAnsi="Times New Roman" w:cs="Times New Roman"/>
          <w:lang w:val="en-US"/>
        </w:rPr>
        <w:t>Therefore</w:t>
      </w:r>
      <w:r w:rsidR="00227FEF" w:rsidRPr="002E2AA0">
        <w:rPr>
          <w:rFonts w:ascii="Times New Roman" w:hAnsi="Times New Roman" w:cs="Times New Roman"/>
          <w:lang w:val="en-US"/>
        </w:rPr>
        <w:t xml:space="preserve">, both </w:t>
      </w:r>
      <w:r w:rsidR="00EC638A" w:rsidRPr="002E2AA0">
        <w:rPr>
          <w:rFonts w:ascii="Times New Roman" w:hAnsi="Times New Roman" w:cs="Times New Roman"/>
          <w:lang w:val="en-US"/>
        </w:rPr>
        <w:t>randomized</w:t>
      </w:r>
      <w:r w:rsidR="00227FEF" w:rsidRPr="002E2AA0">
        <w:rPr>
          <w:rFonts w:ascii="Times New Roman" w:hAnsi="Times New Roman" w:cs="Times New Roman"/>
          <w:lang w:val="en-US"/>
        </w:rPr>
        <w:t xml:space="preserve"> and non-</w:t>
      </w:r>
      <w:r w:rsidR="00EC638A" w:rsidRPr="002E2AA0">
        <w:rPr>
          <w:rFonts w:ascii="Times New Roman" w:hAnsi="Times New Roman" w:cs="Times New Roman"/>
          <w:lang w:val="en-US"/>
        </w:rPr>
        <w:t>randomized</w:t>
      </w:r>
      <w:r w:rsidR="00227FEF" w:rsidRPr="002E2AA0">
        <w:rPr>
          <w:rFonts w:ascii="Times New Roman" w:hAnsi="Times New Roman" w:cs="Times New Roman"/>
          <w:lang w:val="en-US"/>
        </w:rPr>
        <w:t xml:space="preserve"> study designs were included in th</w:t>
      </w:r>
      <w:r w:rsidR="00336CAE">
        <w:rPr>
          <w:rFonts w:ascii="Times New Roman" w:hAnsi="Times New Roman" w:cs="Times New Roman"/>
          <w:lang w:val="en-US"/>
        </w:rPr>
        <w:t>e current</w:t>
      </w:r>
      <w:r w:rsidR="00227FEF" w:rsidRPr="002E2AA0">
        <w:rPr>
          <w:rFonts w:ascii="Times New Roman" w:hAnsi="Times New Roman" w:cs="Times New Roman"/>
          <w:lang w:val="en-US"/>
        </w:rPr>
        <w:t xml:space="preserve"> review. </w:t>
      </w:r>
      <w:r w:rsidR="00054671" w:rsidRPr="002E2AA0">
        <w:rPr>
          <w:rFonts w:ascii="Times New Roman" w:hAnsi="Times New Roman" w:cs="Times New Roman"/>
          <w:lang w:val="en-US"/>
        </w:rPr>
        <w:t>To account for the risk of bias in including studies with non-</w:t>
      </w:r>
      <w:r w:rsidR="00EC638A" w:rsidRPr="002E2AA0">
        <w:rPr>
          <w:rFonts w:ascii="Times New Roman" w:hAnsi="Times New Roman" w:cs="Times New Roman"/>
          <w:lang w:val="en-US"/>
        </w:rPr>
        <w:t>randomized</w:t>
      </w:r>
      <w:r w:rsidR="00054671" w:rsidRPr="002E2AA0">
        <w:rPr>
          <w:rFonts w:ascii="Times New Roman" w:hAnsi="Times New Roman" w:cs="Times New Roman"/>
          <w:lang w:val="en-US"/>
        </w:rPr>
        <w:t xml:space="preserve"> designs, quality analysis was conducted (see below; Kmet et al., 2004). </w:t>
      </w:r>
      <w:r w:rsidR="00227FEF" w:rsidRPr="002E2AA0">
        <w:rPr>
          <w:rFonts w:ascii="Times New Roman" w:hAnsi="Times New Roman" w:cs="Times New Roman"/>
          <w:lang w:val="en-US"/>
        </w:rPr>
        <w:t>Both quantitative and qualitative studies were included</w:t>
      </w:r>
      <w:r w:rsidR="005C7157" w:rsidRPr="002E2AA0">
        <w:rPr>
          <w:rFonts w:ascii="Times New Roman" w:hAnsi="Times New Roman" w:cs="Times New Roman"/>
          <w:lang w:val="en-US"/>
        </w:rPr>
        <w:t xml:space="preserve">. </w:t>
      </w:r>
      <w:r w:rsidR="00304D2B" w:rsidRPr="002E2AA0">
        <w:rPr>
          <w:rFonts w:ascii="Times New Roman" w:hAnsi="Times New Roman" w:cs="Times New Roman"/>
          <w:lang w:val="en-US"/>
        </w:rPr>
        <w:t xml:space="preserve">However, </w:t>
      </w:r>
      <w:r w:rsidR="00430FA2">
        <w:rPr>
          <w:rFonts w:ascii="Times New Roman" w:hAnsi="Times New Roman" w:cs="Times New Roman"/>
          <w:lang w:val="en-US"/>
        </w:rPr>
        <w:t xml:space="preserve">due to their inherently high bias and a lack of quality assessment measure for these study designs, </w:t>
      </w:r>
      <w:r w:rsidR="005C7157" w:rsidRPr="002E2AA0">
        <w:rPr>
          <w:rFonts w:ascii="Times New Roman" w:hAnsi="Times New Roman" w:cs="Times New Roman"/>
          <w:lang w:val="en-US"/>
        </w:rPr>
        <w:t xml:space="preserve">case </w:t>
      </w:r>
      <w:r w:rsidR="00B225BA" w:rsidRPr="002E2AA0">
        <w:rPr>
          <w:rFonts w:ascii="Times New Roman" w:hAnsi="Times New Roman" w:cs="Times New Roman"/>
          <w:lang w:val="en-US"/>
        </w:rPr>
        <w:t>reports</w:t>
      </w:r>
      <w:r w:rsidR="000E736D" w:rsidRPr="002E2AA0">
        <w:rPr>
          <w:rFonts w:ascii="Times New Roman" w:hAnsi="Times New Roman" w:cs="Times New Roman"/>
          <w:lang w:val="en-US"/>
        </w:rPr>
        <w:t>, case studies</w:t>
      </w:r>
      <w:r w:rsidR="005C7157" w:rsidRPr="002E2AA0">
        <w:rPr>
          <w:rFonts w:ascii="Times New Roman" w:hAnsi="Times New Roman" w:cs="Times New Roman"/>
          <w:lang w:val="en-US"/>
        </w:rPr>
        <w:t xml:space="preserve">, </w:t>
      </w:r>
      <w:r w:rsidR="00430FA2">
        <w:rPr>
          <w:rFonts w:ascii="Times New Roman" w:hAnsi="Times New Roman" w:cs="Times New Roman"/>
          <w:lang w:val="en-US"/>
        </w:rPr>
        <w:t>reconstructions and</w:t>
      </w:r>
      <w:r w:rsidR="00582AB5" w:rsidRPr="002E2AA0">
        <w:rPr>
          <w:rFonts w:ascii="Times New Roman" w:hAnsi="Times New Roman" w:cs="Times New Roman"/>
          <w:lang w:val="en-US"/>
        </w:rPr>
        <w:t xml:space="preserve"> </w:t>
      </w:r>
      <w:r w:rsidR="00304D2B" w:rsidRPr="002E2AA0">
        <w:rPr>
          <w:rFonts w:ascii="Times New Roman" w:hAnsi="Times New Roman" w:cs="Times New Roman"/>
          <w:lang w:val="en-US"/>
        </w:rPr>
        <w:t>vignettes</w:t>
      </w:r>
      <w:r w:rsidR="00430FA2">
        <w:rPr>
          <w:rFonts w:ascii="Times New Roman" w:hAnsi="Times New Roman" w:cs="Times New Roman"/>
          <w:lang w:val="en-US"/>
        </w:rPr>
        <w:t xml:space="preserve"> were excluded. Furthermore, to avoid duplication of included studies, previous</w:t>
      </w:r>
      <w:r w:rsidR="00582AB5" w:rsidRPr="002E2AA0">
        <w:rPr>
          <w:rFonts w:ascii="Times New Roman" w:hAnsi="Times New Roman" w:cs="Times New Roman"/>
          <w:lang w:val="en-US"/>
        </w:rPr>
        <w:t xml:space="preserve"> review articles</w:t>
      </w:r>
      <w:r w:rsidR="00304D2B" w:rsidRPr="002E2AA0">
        <w:rPr>
          <w:rFonts w:ascii="Times New Roman" w:hAnsi="Times New Roman" w:cs="Times New Roman"/>
          <w:lang w:val="en-US"/>
        </w:rPr>
        <w:t xml:space="preserve"> were not included.</w:t>
      </w:r>
      <w:r w:rsidR="00EE7A01" w:rsidRPr="002E2AA0">
        <w:rPr>
          <w:rFonts w:ascii="Times New Roman" w:hAnsi="Times New Roman" w:cs="Times New Roman"/>
          <w:lang w:val="en-US"/>
        </w:rPr>
        <w:t xml:space="preserve"> </w:t>
      </w:r>
    </w:p>
    <w:p w14:paraId="357F9AD1" w14:textId="40595586" w:rsidR="009F71ED" w:rsidRPr="002E2AA0" w:rsidRDefault="00FB34FF" w:rsidP="009F71ED">
      <w:pPr>
        <w:spacing w:line="480" w:lineRule="auto"/>
        <w:rPr>
          <w:rFonts w:ascii="Times New Roman" w:hAnsi="Times New Roman" w:cs="Times New Roman"/>
          <w:lang w:val="en-US"/>
        </w:rPr>
      </w:pPr>
      <w:r>
        <w:rPr>
          <w:rFonts w:ascii="Times New Roman" w:hAnsi="Times New Roman" w:cs="Times New Roman"/>
          <w:b/>
          <w:lang w:val="en-US"/>
        </w:rPr>
        <w:t xml:space="preserve">3.2 </w:t>
      </w:r>
      <w:r w:rsidR="009F71ED" w:rsidRPr="002E2AA0">
        <w:rPr>
          <w:rFonts w:ascii="Times New Roman" w:hAnsi="Times New Roman" w:cs="Times New Roman"/>
          <w:b/>
          <w:lang w:val="en-US"/>
        </w:rPr>
        <w:t>Exclusion Criteria</w:t>
      </w:r>
    </w:p>
    <w:p w14:paraId="7B6319F1" w14:textId="77777777" w:rsidR="009F354D" w:rsidRPr="002E2AA0" w:rsidRDefault="009F71ED" w:rsidP="009F71ED">
      <w:pPr>
        <w:pStyle w:val="ListParagraph"/>
        <w:numPr>
          <w:ilvl w:val="0"/>
          <w:numId w:val="5"/>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Studies published in any language other than English, where no English translation was available.</w:t>
      </w:r>
    </w:p>
    <w:p w14:paraId="23E72BF0" w14:textId="77777777" w:rsidR="009F71ED" w:rsidRPr="002E2AA0" w:rsidRDefault="009F71ED" w:rsidP="009F71ED">
      <w:pPr>
        <w:pStyle w:val="ListParagraph"/>
        <w:numPr>
          <w:ilvl w:val="0"/>
          <w:numId w:val="5"/>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Studies examining the GLM in highly psychopathic individuals.</w:t>
      </w:r>
    </w:p>
    <w:p w14:paraId="768D538D" w14:textId="77777777" w:rsidR="00304D2B" w:rsidRPr="002E2AA0" w:rsidRDefault="00304D2B" w:rsidP="009F71ED">
      <w:pPr>
        <w:pStyle w:val="ListParagraph"/>
        <w:numPr>
          <w:ilvl w:val="0"/>
          <w:numId w:val="5"/>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Article</w:t>
      </w:r>
      <w:r w:rsidR="00582AB5" w:rsidRPr="002E2AA0">
        <w:rPr>
          <w:rFonts w:ascii="Times New Roman" w:hAnsi="Times New Roman" w:cs="Times New Roman"/>
          <w:sz w:val="24"/>
          <w:szCs w:val="24"/>
          <w:lang w:val="en-US"/>
        </w:rPr>
        <w:t>s reporting case</w:t>
      </w:r>
      <w:r w:rsidR="00C7619D" w:rsidRPr="002E2AA0">
        <w:rPr>
          <w:rFonts w:ascii="Times New Roman" w:hAnsi="Times New Roman" w:cs="Times New Roman"/>
          <w:sz w:val="24"/>
          <w:szCs w:val="24"/>
          <w:lang w:val="en-US"/>
        </w:rPr>
        <w:t xml:space="preserve"> studies, case reports, case</w:t>
      </w:r>
      <w:r w:rsidR="00582AB5" w:rsidRPr="002E2AA0">
        <w:rPr>
          <w:rFonts w:ascii="Times New Roman" w:hAnsi="Times New Roman" w:cs="Times New Roman"/>
          <w:sz w:val="24"/>
          <w:szCs w:val="24"/>
          <w:lang w:val="en-US"/>
        </w:rPr>
        <w:t xml:space="preserve"> reconstruction</w:t>
      </w:r>
      <w:r w:rsidR="00C7619D" w:rsidRPr="002E2AA0">
        <w:rPr>
          <w:rFonts w:ascii="Times New Roman" w:hAnsi="Times New Roman" w:cs="Times New Roman"/>
          <w:sz w:val="24"/>
          <w:szCs w:val="24"/>
          <w:lang w:val="en-US"/>
        </w:rPr>
        <w:t>s</w:t>
      </w:r>
      <w:r w:rsidR="00582AB5" w:rsidRPr="002E2AA0">
        <w:rPr>
          <w:rFonts w:ascii="Times New Roman" w:hAnsi="Times New Roman" w:cs="Times New Roman"/>
          <w:sz w:val="24"/>
          <w:szCs w:val="24"/>
          <w:lang w:val="en-US"/>
        </w:rPr>
        <w:t xml:space="preserve">, </w:t>
      </w:r>
      <w:r w:rsidRPr="002E2AA0">
        <w:rPr>
          <w:rFonts w:ascii="Times New Roman" w:hAnsi="Times New Roman" w:cs="Times New Roman"/>
          <w:sz w:val="24"/>
          <w:szCs w:val="24"/>
          <w:lang w:val="en-US"/>
        </w:rPr>
        <w:t>case vignettes</w:t>
      </w:r>
      <w:r w:rsidR="00582AB5" w:rsidRPr="002E2AA0">
        <w:rPr>
          <w:rFonts w:ascii="Times New Roman" w:hAnsi="Times New Roman" w:cs="Times New Roman"/>
          <w:sz w:val="24"/>
          <w:szCs w:val="24"/>
          <w:lang w:val="en-US"/>
        </w:rPr>
        <w:t>, or literature reviews</w:t>
      </w:r>
      <w:r w:rsidRPr="002E2AA0">
        <w:rPr>
          <w:rFonts w:ascii="Times New Roman" w:hAnsi="Times New Roman" w:cs="Times New Roman"/>
          <w:sz w:val="24"/>
          <w:szCs w:val="24"/>
          <w:lang w:val="en-US"/>
        </w:rPr>
        <w:t>.</w:t>
      </w:r>
    </w:p>
    <w:p w14:paraId="26CB3F5C" w14:textId="77777777" w:rsidR="009F354D" w:rsidRPr="002E2AA0" w:rsidRDefault="009F71ED" w:rsidP="009F354D">
      <w:pPr>
        <w:pStyle w:val="ListParagraph"/>
        <w:numPr>
          <w:ilvl w:val="0"/>
          <w:numId w:val="5"/>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 xml:space="preserve">In relation to </w:t>
      </w:r>
      <w:r w:rsidR="00DE27CA">
        <w:rPr>
          <w:rFonts w:ascii="Times New Roman" w:hAnsi="Times New Roman" w:cs="Times New Roman"/>
          <w:sz w:val="24"/>
          <w:szCs w:val="24"/>
          <w:lang w:val="en-US"/>
        </w:rPr>
        <w:t xml:space="preserve">GLM </w:t>
      </w:r>
      <w:r w:rsidR="00DE27CA" w:rsidRPr="00DE27CA">
        <w:rPr>
          <w:rFonts w:ascii="Times New Roman" w:hAnsi="Times New Roman" w:cs="Times New Roman"/>
          <w:i/>
          <w:iCs/>
          <w:sz w:val="24"/>
          <w:szCs w:val="24"/>
          <w:lang w:val="en-US"/>
        </w:rPr>
        <w:t>outcomes</w:t>
      </w:r>
      <w:r w:rsidR="00DE27CA">
        <w:rPr>
          <w:rFonts w:ascii="Times New Roman" w:hAnsi="Times New Roman" w:cs="Times New Roman"/>
          <w:sz w:val="24"/>
          <w:szCs w:val="24"/>
          <w:lang w:val="en-US"/>
        </w:rPr>
        <w:t>;</w:t>
      </w:r>
      <w:r w:rsidRPr="002E2AA0">
        <w:rPr>
          <w:rFonts w:ascii="Times New Roman" w:hAnsi="Times New Roman" w:cs="Times New Roman"/>
          <w:sz w:val="24"/>
          <w:szCs w:val="24"/>
          <w:lang w:val="en-US"/>
        </w:rPr>
        <w:t xml:space="preserve"> studies where</w:t>
      </w:r>
      <w:r w:rsidR="00517289" w:rsidRPr="002E2AA0">
        <w:rPr>
          <w:rFonts w:ascii="Times New Roman" w:hAnsi="Times New Roman" w:cs="Times New Roman"/>
          <w:sz w:val="24"/>
          <w:szCs w:val="24"/>
          <w:lang w:val="en-US"/>
        </w:rPr>
        <w:t xml:space="preserve"> the</w:t>
      </w:r>
      <w:r w:rsidRPr="002E2AA0">
        <w:rPr>
          <w:rFonts w:ascii="Times New Roman" w:hAnsi="Times New Roman" w:cs="Times New Roman"/>
          <w:sz w:val="24"/>
          <w:szCs w:val="24"/>
          <w:lang w:val="en-US"/>
        </w:rPr>
        <w:t xml:space="preserve"> </w:t>
      </w:r>
      <w:r w:rsidR="00843C96" w:rsidRPr="002E2AA0">
        <w:rPr>
          <w:rFonts w:ascii="Times New Roman" w:hAnsi="Times New Roman" w:cs="Times New Roman"/>
          <w:sz w:val="24"/>
          <w:szCs w:val="24"/>
          <w:lang w:val="en-US"/>
        </w:rPr>
        <w:t>intervention was not GLM-consistent.</w:t>
      </w:r>
      <w:r w:rsidRPr="002E2AA0">
        <w:rPr>
          <w:rFonts w:ascii="Times New Roman" w:hAnsi="Times New Roman" w:cs="Times New Roman"/>
          <w:sz w:val="24"/>
          <w:szCs w:val="24"/>
          <w:lang w:val="en-US"/>
        </w:rPr>
        <w:t xml:space="preserve"> </w:t>
      </w:r>
    </w:p>
    <w:p w14:paraId="5E4A7F11" w14:textId="77777777" w:rsidR="00517289" w:rsidRPr="002E2AA0" w:rsidRDefault="00517289" w:rsidP="009F354D">
      <w:pPr>
        <w:pStyle w:val="ListParagraph"/>
        <w:numPr>
          <w:ilvl w:val="0"/>
          <w:numId w:val="5"/>
        </w:numPr>
        <w:spacing w:line="48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 xml:space="preserve">Studies which do not assess GLM </w:t>
      </w:r>
      <w:r w:rsidR="00CF559F" w:rsidRPr="002E2AA0">
        <w:rPr>
          <w:rFonts w:ascii="Times New Roman" w:hAnsi="Times New Roman" w:cs="Times New Roman"/>
          <w:sz w:val="24"/>
          <w:szCs w:val="24"/>
          <w:lang w:val="en-US"/>
        </w:rPr>
        <w:t>assumptions</w:t>
      </w:r>
      <w:r w:rsidRPr="002E2AA0">
        <w:rPr>
          <w:rFonts w:ascii="Times New Roman" w:hAnsi="Times New Roman" w:cs="Times New Roman"/>
          <w:sz w:val="24"/>
          <w:szCs w:val="24"/>
          <w:lang w:val="en-US"/>
        </w:rPr>
        <w:t xml:space="preserve"> or </w:t>
      </w:r>
      <w:r w:rsidR="001C34D9" w:rsidRPr="002E2AA0">
        <w:rPr>
          <w:rFonts w:ascii="Times New Roman" w:hAnsi="Times New Roman" w:cs="Times New Roman"/>
          <w:sz w:val="24"/>
          <w:szCs w:val="24"/>
          <w:lang w:val="en-US"/>
        </w:rPr>
        <w:t xml:space="preserve">intervention </w:t>
      </w:r>
      <w:r w:rsidRPr="002E2AA0">
        <w:rPr>
          <w:rFonts w:ascii="Times New Roman" w:hAnsi="Times New Roman" w:cs="Times New Roman"/>
          <w:sz w:val="24"/>
          <w:szCs w:val="24"/>
          <w:lang w:val="en-US"/>
        </w:rPr>
        <w:t>outcomes.</w:t>
      </w:r>
    </w:p>
    <w:p w14:paraId="6AF9966D" w14:textId="31C7B193" w:rsidR="00685E15" w:rsidRPr="002E2AA0" w:rsidRDefault="00FB34FF" w:rsidP="00685E15">
      <w:pPr>
        <w:spacing w:line="480" w:lineRule="auto"/>
        <w:rPr>
          <w:rFonts w:ascii="Times New Roman" w:hAnsi="Times New Roman" w:cs="Times New Roman"/>
          <w:b/>
          <w:lang w:val="en-US"/>
        </w:rPr>
      </w:pPr>
      <w:r>
        <w:rPr>
          <w:rFonts w:ascii="Times New Roman" w:hAnsi="Times New Roman" w:cs="Times New Roman"/>
          <w:b/>
          <w:lang w:val="en-US"/>
        </w:rPr>
        <w:t xml:space="preserve">3.3 </w:t>
      </w:r>
      <w:r w:rsidR="00685E15" w:rsidRPr="002E2AA0">
        <w:rPr>
          <w:rFonts w:ascii="Times New Roman" w:hAnsi="Times New Roman" w:cs="Times New Roman"/>
          <w:b/>
          <w:lang w:val="en-US"/>
        </w:rPr>
        <w:t>Data Search</w:t>
      </w:r>
    </w:p>
    <w:p w14:paraId="040CB8FB" w14:textId="10807FE3" w:rsidR="00CA603A" w:rsidRPr="002E2AA0" w:rsidRDefault="00685E15" w:rsidP="00685E15">
      <w:pPr>
        <w:spacing w:line="480" w:lineRule="auto"/>
        <w:rPr>
          <w:rFonts w:ascii="Times New Roman" w:hAnsi="Times New Roman" w:cs="Times New Roman"/>
          <w:lang w:val="en-US"/>
        </w:rPr>
      </w:pPr>
      <w:r w:rsidRPr="002E2AA0">
        <w:rPr>
          <w:rFonts w:ascii="Times New Roman" w:hAnsi="Times New Roman" w:cs="Times New Roman"/>
          <w:b/>
          <w:lang w:val="en-US"/>
        </w:rPr>
        <w:tab/>
      </w:r>
      <w:r w:rsidR="00FB34FF">
        <w:rPr>
          <w:rFonts w:ascii="Times New Roman" w:hAnsi="Times New Roman" w:cs="Times New Roman"/>
          <w:b/>
          <w:lang w:val="en-US"/>
        </w:rPr>
        <w:t xml:space="preserve">3.3.1 </w:t>
      </w:r>
      <w:r w:rsidRPr="002E2AA0">
        <w:rPr>
          <w:rFonts w:ascii="Times New Roman" w:hAnsi="Times New Roman" w:cs="Times New Roman"/>
          <w:b/>
          <w:lang w:val="en-US"/>
        </w:rPr>
        <w:t>Search Process.</w:t>
      </w:r>
      <w:r w:rsidR="005477BF" w:rsidRPr="002E2AA0">
        <w:rPr>
          <w:rFonts w:ascii="Times New Roman" w:hAnsi="Times New Roman" w:cs="Times New Roman"/>
          <w:b/>
          <w:lang w:val="en-US"/>
        </w:rPr>
        <w:t xml:space="preserve"> </w:t>
      </w:r>
      <w:r w:rsidR="005477BF" w:rsidRPr="002E2AA0">
        <w:rPr>
          <w:rFonts w:ascii="Times New Roman" w:hAnsi="Times New Roman" w:cs="Times New Roman"/>
          <w:lang w:val="en-US"/>
        </w:rPr>
        <w:t>T</w:t>
      </w:r>
      <w:r w:rsidR="003C22CD" w:rsidRPr="002E2AA0">
        <w:rPr>
          <w:rFonts w:ascii="Times New Roman" w:hAnsi="Times New Roman" w:cs="Times New Roman"/>
          <w:lang w:val="en-US"/>
        </w:rPr>
        <w:t>o keep the search as broad as possible in order to identify all potentially relevant articles, t</w:t>
      </w:r>
      <w:r w:rsidR="005477BF" w:rsidRPr="002E2AA0">
        <w:rPr>
          <w:rFonts w:ascii="Times New Roman" w:hAnsi="Times New Roman" w:cs="Times New Roman"/>
          <w:lang w:val="en-US"/>
        </w:rPr>
        <w:t xml:space="preserve">he search term ‘Good Lives Model’ was entered into the </w:t>
      </w:r>
      <w:r w:rsidR="005477BF" w:rsidRPr="002E2AA0">
        <w:rPr>
          <w:rFonts w:ascii="Times New Roman" w:hAnsi="Times New Roman" w:cs="Times New Roman"/>
          <w:lang w:val="en-US"/>
        </w:rPr>
        <w:lastRenderedPageBreak/>
        <w:t xml:space="preserve">following databases: Academic Search Complete, Cochrane Database of Systematic Reviews, Criminal Justice Abstracts, </w:t>
      </w:r>
      <w:r w:rsidR="003C22CD" w:rsidRPr="002E2AA0">
        <w:rPr>
          <w:rFonts w:ascii="Times New Roman" w:hAnsi="Times New Roman" w:cs="Times New Roman"/>
          <w:lang w:val="en-US"/>
        </w:rPr>
        <w:t xml:space="preserve">Medline, </w:t>
      </w:r>
      <w:r w:rsidR="005477BF" w:rsidRPr="002E2AA0">
        <w:rPr>
          <w:rFonts w:ascii="Times New Roman" w:hAnsi="Times New Roman" w:cs="Times New Roman"/>
          <w:lang w:val="en-US"/>
        </w:rPr>
        <w:t>National Criminal Justice Reference Service, Open Dissertations, PsychArticles, PsychInfo, Social Policy and Practice, Scopus, Web of Science, ProQuest Dissertations and Theses Global, and System for Information on Grey Literature in Europe. Manual searches of reference lists of all included studies, the Good Lives Model website</w:t>
      </w:r>
      <w:r w:rsidR="002937C9" w:rsidRPr="002E2AA0">
        <w:rPr>
          <w:rFonts w:ascii="Times New Roman" w:hAnsi="Times New Roman" w:cs="Times New Roman"/>
          <w:lang w:val="en-US"/>
        </w:rPr>
        <w:t>’s list of publications</w:t>
      </w:r>
      <w:r w:rsidR="005477BF" w:rsidRPr="002E2AA0">
        <w:rPr>
          <w:rFonts w:ascii="Times New Roman" w:hAnsi="Times New Roman" w:cs="Times New Roman"/>
          <w:lang w:val="en-US"/>
        </w:rPr>
        <w:t xml:space="preserve"> (https://www.goodlivesmodel.com/index.shtml) and relevant review papers were </w:t>
      </w:r>
      <w:r w:rsidR="00336CAE">
        <w:rPr>
          <w:rFonts w:ascii="Times New Roman" w:hAnsi="Times New Roman" w:cs="Times New Roman"/>
          <w:lang w:val="en-US"/>
        </w:rPr>
        <w:t xml:space="preserve">also </w:t>
      </w:r>
      <w:r w:rsidR="002937C9" w:rsidRPr="002E2AA0">
        <w:rPr>
          <w:rFonts w:ascii="Times New Roman" w:hAnsi="Times New Roman" w:cs="Times New Roman"/>
          <w:lang w:val="en-US"/>
        </w:rPr>
        <w:t>examined</w:t>
      </w:r>
      <w:r w:rsidR="005477BF" w:rsidRPr="002E2AA0">
        <w:rPr>
          <w:rFonts w:ascii="Times New Roman" w:hAnsi="Times New Roman" w:cs="Times New Roman"/>
          <w:lang w:val="en-US"/>
        </w:rPr>
        <w:t>.</w:t>
      </w:r>
      <w:r w:rsidR="002937C9" w:rsidRPr="002E2AA0">
        <w:rPr>
          <w:rFonts w:ascii="Times New Roman" w:hAnsi="Times New Roman" w:cs="Times New Roman"/>
          <w:lang w:val="en-US"/>
        </w:rPr>
        <w:t xml:space="preserve"> </w:t>
      </w:r>
      <w:r w:rsidR="00CA603A" w:rsidRPr="002E2AA0">
        <w:rPr>
          <w:rFonts w:ascii="Times New Roman" w:hAnsi="Times New Roman" w:cs="Times New Roman"/>
          <w:lang w:val="en-US"/>
        </w:rPr>
        <w:t>In addition to peer-reviewed literature, book chapters, dissertations</w:t>
      </w:r>
      <w:r w:rsidR="003B588B" w:rsidRPr="002E2AA0">
        <w:rPr>
          <w:rFonts w:ascii="Times New Roman" w:hAnsi="Times New Roman" w:cs="Times New Roman"/>
          <w:lang w:val="en-US"/>
        </w:rPr>
        <w:t>,</w:t>
      </w:r>
      <w:r w:rsidR="00CA603A" w:rsidRPr="002E2AA0">
        <w:rPr>
          <w:rFonts w:ascii="Times New Roman" w:hAnsi="Times New Roman" w:cs="Times New Roman"/>
          <w:lang w:val="en-US"/>
        </w:rPr>
        <w:t xml:space="preserve"> and unpublished material w</w:t>
      </w:r>
      <w:r w:rsidR="00725463">
        <w:rPr>
          <w:rFonts w:ascii="Times New Roman" w:hAnsi="Times New Roman" w:cs="Times New Roman"/>
          <w:lang w:val="en-US"/>
        </w:rPr>
        <w:t>ere</w:t>
      </w:r>
      <w:r w:rsidR="00CA603A" w:rsidRPr="002E2AA0">
        <w:rPr>
          <w:rFonts w:ascii="Times New Roman" w:hAnsi="Times New Roman" w:cs="Times New Roman"/>
          <w:lang w:val="en-US"/>
        </w:rPr>
        <w:t xml:space="preserve"> </w:t>
      </w:r>
      <w:r w:rsidR="002937C9" w:rsidRPr="002E2AA0">
        <w:rPr>
          <w:rFonts w:ascii="Times New Roman" w:hAnsi="Times New Roman" w:cs="Times New Roman"/>
          <w:lang w:val="en-US"/>
        </w:rPr>
        <w:t>assessed</w:t>
      </w:r>
      <w:r w:rsidR="00CA603A" w:rsidRPr="002E2AA0">
        <w:rPr>
          <w:rFonts w:ascii="Times New Roman" w:hAnsi="Times New Roman" w:cs="Times New Roman"/>
          <w:lang w:val="en-US"/>
        </w:rPr>
        <w:t xml:space="preserve"> for inclusion. </w:t>
      </w:r>
      <w:r w:rsidR="002937C9" w:rsidRPr="002E2AA0">
        <w:rPr>
          <w:rFonts w:ascii="Times New Roman" w:hAnsi="Times New Roman" w:cs="Times New Roman"/>
          <w:lang w:val="en-US"/>
        </w:rPr>
        <w:t>No limits were set regarding publication date. All searches ceased on the 1</w:t>
      </w:r>
      <w:r w:rsidR="002937C9" w:rsidRPr="002E2AA0">
        <w:rPr>
          <w:rFonts w:ascii="Times New Roman" w:hAnsi="Times New Roman" w:cs="Times New Roman"/>
          <w:vertAlign w:val="superscript"/>
          <w:lang w:val="en-US"/>
        </w:rPr>
        <w:t>st</w:t>
      </w:r>
      <w:r w:rsidR="002937C9" w:rsidRPr="002E2AA0">
        <w:rPr>
          <w:rFonts w:ascii="Times New Roman" w:hAnsi="Times New Roman" w:cs="Times New Roman"/>
          <w:lang w:val="en-US"/>
        </w:rPr>
        <w:t xml:space="preserve"> August, 2019; eight months following the first search.</w:t>
      </w:r>
      <w:r w:rsidR="003C22CD" w:rsidRPr="002E2AA0">
        <w:rPr>
          <w:rFonts w:ascii="Times New Roman" w:hAnsi="Times New Roman" w:cs="Times New Roman"/>
          <w:lang w:val="en-US"/>
        </w:rPr>
        <w:t xml:space="preserve"> The first author conducted all searches.</w:t>
      </w:r>
    </w:p>
    <w:p w14:paraId="77211F84" w14:textId="73C31818" w:rsidR="00843D8D" w:rsidRPr="002E2AA0" w:rsidRDefault="00685E15" w:rsidP="00685E15">
      <w:pPr>
        <w:spacing w:line="480" w:lineRule="auto"/>
        <w:rPr>
          <w:rFonts w:ascii="Times New Roman" w:hAnsi="Times New Roman" w:cs="Times New Roman"/>
          <w:lang w:val="en-US"/>
        </w:rPr>
      </w:pPr>
      <w:r w:rsidRPr="002E2AA0">
        <w:rPr>
          <w:rFonts w:ascii="Times New Roman" w:hAnsi="Times New Roman" w:cs="Times New Roman"/>
          <w:b/>
          <w:lang w:val="en-US"/>
        </w:rPr>
        <w:tab/>
      </w:r>
      <w:r w:rsidR="00FB34FF">
        <w:rPr>
          <w:rFonts w:ascii="Times New Roman" w:hAnsi="Times New Roman" w:cs="Times New Roman"/>
          <w:b/>
          <w:lang w:val="en-US"/>
        </w:rPr>
        <w:t xml:space="preserve">3.3.2 </w:t>
      </w:r>
      <w:r w:rsidRPr="002E2AA0">
        <w:rPr>
          <w:rFonts w:ascii="Times New Roman" w:hAnsi="Times New Roman" w:cs="Times New Roman"/>
          <w:b/>
          <w:lang w:val="en-US"/>
        </w:rPr>
        <w:t>Study Selection.</w:t>
      </w:r>
      <w:r w:rsidR="00843D8D" w:rsidRPr="002E2AA0">
        <w:rPr>
          <w:rFonts w:ascii="Times New Roman" w:hAnsi="Times New Roman" w:cs="Times New Roman"/>
          <w:lang w:val="en-US"/>
        </w:rPr>
        <w:t xml:space="preserve"> </w:t>
      </w:r>
      <w:r w:rsidR="003C22CD" w:rsidRPr="002E2AA0">
        <w:rPr>
          <w:rFonts w:ascii="Times New Roman" w:hAnsi="Times New Roman" w:cs="Times New Roman"/>
          <w:lang w:val="en-US"/>
        </w:rPr>
        <w:t xml:space="preserve">All potentially relevant articles were exported into EndNote </w:t>
      </w:r>
      <w:r w:rsidR="00D12A79">
        <w:rPr>
          <w:rFonts w:ascii="Times New Roman" w:hAnsi="Times New Roman" w:cs="Times New Roman"/>
          <w:lang w:val="en-US"/>
        </w:rPr>
        <w:t xml:space="preserve">(www.endnote.com) </w:t>
      </w:r>
      <w:r w:rsidR="003C22CD" w:rsidRPr="002E2AA0">
        <w:rPr>
          <w:rFonts w:ascii="Times New Roman" w:hAnsi="Times New Roman" w:cs="Times New Roman"/>
          <w:lang w:val="en-US"/>
        </w:rPr>
        <w:t xml:space="preserve">for de-duplication. </w:t>
      </w:r>
      <w:r w:rsidR="00843D8D" w:rsidRPr="002E2AA0">
        <w:rPr>
          <w:rFonts w:ascii="Times New Roman" w:hAnsi="Times New Roman" w:cs="Times New Roman"/>
          <w:lang w:val="en-US"/>
        </w:rPr>
        <w:t xml:space="preserve">The title and abstract of </w:t>
      </w:r>
      <w:r w:rsidR="00987700" w:rsidRPr="002E2AA0">
        <w:rPr>
          <w:rFonts w:ascii="Times New Roman" w:hAnsi="Times New Roman" w:cs="Times New Roman"/>
          <w:lang w:val="en-US"/>
        </w:rPr>
        <w:t>articles</w:t>
      </w:r>
      <w:r w:rsidR="00843D8D" w:rsidRPr="002E2AA0">
        <w:rPr>
          <w:rFonts w:ascii="Times New Roman" w:hAnsi="Times New Roman" w:cs="Times New Roman"/>
          <w:lang w:val="en-US"/>
        </w:rPr>
        <w:t xml:space="preserve"> were screened </w:t>
      </w:r>
      <w:r w:rsidR="003C22CD" w:rsidRPr="002E2AA0">
        <w:rPr>
          <w:rFonts w:ascii="Times New Roman" w:hAnsi="Times New Roman" w:cs="Times New Roman"/>
          <w:lang w:val="en-US"/>
        </w:rPr>
        <w:t>by the first a</w:t>
      </w:r>
      <w:r w:rsidR="00AC27FF">
        <w:rPr>
          <w:rFonts w:ascii="Times New Roman" w:hAnsi="Times New Roman" w:cs="Times New Roman"/>
          <w:lang w:val="en-US"/>
        </w:rPr>
        <w:t>nd third a</w:t>
      </w:r>
      <w:r w:rsidR="003C22CD" w:rsidRPr="002E2AA0">
        <w:rPr>
          <w:rFonts w:ascii="Times New Roman" w:hAnsi="Times New Roman" w:cs="Times New Roman"/>
          <w:lang w:val="en-US"/>
        </w:rPr>
        <w:t>uthor</w:t>
      </w:r>
      <w:r w:rsidR="00AC27FF">
        <w:rPr>
          <w:rFonts w:ascii="Times New Roman" w:hAnsi="Times New Roman" w:cs="Times New Roman"/>
          <w:lang w:val="en-US"/>
        </w:rPr>
        <w:t>s</w:t>
      </w:r>
      <w:r w:rsidR="003C22CD" w:rsidRPr="002E2AA0">
        <w:rPr>
          <w:rFonts w:ascii="Times New Roman" w:hAnsi="Times New Roman" w:cs="Times New Roman"/>
          <w:lang w:val="en-US"/>
        </w:rPr>
        <w:t xml:space="preserve"> </w:t>
      </w:r>
      <w:r w:rsidR="00843D8D" w:rsidRPr="002E2AA0">
        <w:rPr>
          <w:rFonts w:ascii="Times New Roman" w:hAnsi="Times New Roman" w:cs="Times New Roman"/>
          <w:lang w:val="en-US"/>
        </w:rPr>
        <w:t xml:space="preserve">to assess whether they </w:t>
      </w:r>
      <w:r w:rsidR="00987700" w:rsidRPr="002E2AA0">
        <w:rPr>
          <w:rFonts w:ascii="Times New Roman" w:hAnsi="Times New Roman" w:cs="Times New Roman"/>
          <w:lang w:val="en-US"/>
        </w:rPr>
        <w:t>were relevant for review</w:t>
      </w:r>
      <w:r w:rsidR="00843D8D" w:rsidRPr="002E2AA0">
        <w:rPr>
          <w:rFonts w:ascii="Times New Roman" w:hAnsi="Times New Roman" w:cs="Times New Roman"/>
          <w:lang w:val="en-US"/>
        </w:rPr>
        <w:t>.</w:t>
      </w:r>
      <w:r w:rsidR="00987700" w:rsidRPr="002E2AA0">
        <w:rPr>
          <w:rFonts w:ascii="Times New Roman" w:hAnsi="Times New Roman" w:cs="Times New Roman"/>
          <w:lang w:val="en-US"/>
        </w:rPr>
        <w:t xml:space="preserve"> </w:t>
      </w:r>
      <w:r w:rsidR="00EC638A" w:rsidRPr="002E2AA0">
        <w:rPr>
          <w:rFonts w:ascii="Times New Roman" w:hAnsi="Times New Roman" w:cs="Times New Roman"/>
          <w:lang w:val="en-US"/>
        </w:rPr>
        <w:t>Full texts</w:t>
      </w:r>
      <w:r w:rsidR="00987700" w:rsidRPr="002E2AA0">
        <w:rPr>
          <w:rFonts w:ascii="Times New Roman" w:hAnsi="Times New Roman" w:cs="Times New Roman"/>
          <w:lang w:val="en-US"/>
        </w:rPr>
        <w:t xml:space="preserve"> of all potentially relevant articles were accessed and examined by the first </w:t>
      </w:r>
      <w:r w:rsidR="00AC27FF">
        <w:rPr>
          <w:rFonts w:ascii="Times New Roman" w:hAnsi="Times New Roman" w:cs="Times New Roman"/>
          <w:lang w:val="en-US"/>
        </w:rPr>
        <w:t xml:space="preserve">and third </w:t>
      </w:r>
      <w:r w:rsidR="00987700" w:rsidRPr="002E2AA0">
        <w:rPr>
          <w:rFonts w:ascii="Times New Roman" w:hAnsi="Times New Roman" w:cs="Times New Roman"/>
          <w:lang w:val="en-US"/>
        </w:rPr>
        <w:t>author</w:t>
      </w:r>
      <w:r w:rsidR="00AC27FF">
        <w:rPr>
          <w:rFonts w:ascii="Times New Roman" w:hAnsi="Times New Roman" w:cs="Times New Roman"/>
          <w:lang w:val="en-US"/>
        </w:rPr>
        <w:t>s</w:t>
      </w:r>
      <w:r w:rsidR="00987700" w:rsidRPr="002E2AA0">
        <w:rPr>
          <w:rFonts w:ascii="Times New Roman" w:hAnsi="Times New Roman" w:cs="Times New Roman"/>
          <w:lang w:val="en-US"/>
        </w:rPr>
        <w:t xml:space="preserve">. </w:t>
      </w:r>
      <w:r w:rsidR="003B588B" w:rsidRPr="002E2AA0">
        <w:rPr>
          <w:rFonts w:ascii="Times New Roman" w:hAnsi="Times New Roman" w:cs="Times New Roman"/>
          <w:lang w:val="en-US"/>
        </w:rPr>
        <w:t xml:space="preserve">Full-text </w:t>
      </w:r>
      <w:r w:rsidR="006004DC" w:rsidRPr="002E2AA0">
        <w:rPr>
          <w:rFonts w:ascii="Times New Roman" w:hAnsi="Times New Roman" w:cs="Times New Roman"/>
          <w:lang w:val="en-US"/>
        </w:rPr>
        <w:t xml:space="preserve">access to one </w:t>
      </w:r>
      <w:r w:rsidR="003B588B" w:rsidRPr="002E2AA0">
        <w:rPr>
          <w:rFonts w:ascii="Times New Roman" w:hAnsi="Times New Roman" w:cs="Times New Roman"/>
          <w:lang w:val="en-US"/>
        </w:rPr>
        <w:t>study</w:t>
      </w:r>
      <w:r w:rsidR="006004DC" w:rsidRPr="002E2AA0">
        <w:rPr>
          <w:rFonts w:ascii="Times New Roman" w:hAnsi="Times New Roman" w:cs="Times New Roman"/>
          <w:lang w:val="en-US"/>
        </w:rPr>
        <w:t xml:space="preserve"> (Simons</w:t>
      </w:r>
      <w:r w:rsidR="00C83260" w:rsidRPr="00C83260">
        <w:rPr>
          <w:rFonts w:ascii="Times New Roman" w:hAnsi="Times New Roman" w:cs="Times New Roman"/>
          <w:bCs/>
          <w:lang w:val="en-US"/>
        </w:rPr>
        <w:t xml:space="preserve"> </w:t>
      </w:r>
      <w:r w:rsidR="00C83260">
        <w:rPr>
          <w:rFonts w:ascii="Times New Roman" w:hAnsi="Times New Roman" w:cs="Times New Roman"/>
          <w:bCs/>
          <w:lang w:val="en-US"/>
        </w:rPr>
        <w:t>et al.</w:t>
      </w:r>
      <w:r w:rsidR="006004DC" w:rsidRPr="002E2AA0">
        <w:rPr>
          <w:rFonts w:ascii="Times New Roman" w:hAnsi="Times New Roman" w:cs="Times New Roman"/>
          <w:lang w:val="en-US"/>
        </w:rPr>
        <w:t xml:space="preserve">, 2006) was not available, despite contacting both the authors and experts in the field who had previously reviewed this. As bias could not be assessed, this was excluded from </w:t>
      </w:r>
      <w:r w:rsidR="00477291" w:rsidRPr="002E2AA0">
        <w:rPr>
          <w:rFonts w:ascii="Times New Roman" w:hAnsi="Times New Roman" w:cs="Times New Roman"/>
          <w:lang w:val="en-US"/>
        </w:rPr>
        <w:t xml:space="preserve">the </w:t>
      </w:r>
      <w:r w:rsidR="006004DC" w:rsidRPr="002E2AA0">
        <w:rPr>
          <w:rFonts w:ascii="Times New Roman" w:hAnsi="Times New Roman" w:cs="Times New Roman"/>
          <w:lang w:val="en-US"/>
        </w:rPr>
        <w:t xml:space="preserve">review. </w:t>
      </w:r>
      <w:r w:rsidR="00987700" w:rsidRPr="002E2AA0">
        <w:rPr>
          <w:rFonts w:ascii="Times New Roman" w:hAnsi="Times New Roman" w:cs="Times New Roman"/>
          <w:lang w:val="en-US"/>
        </w:rPr>
        <w:t xml:space="preserve">Any queries regarding inclusion were resolved through discussion with the second </w:t>
      </w:r>
      <w:r w:rsidR="00AC27FF">
        <w:rPr>
          <w:rFonts w:ascii="Times New Roman" w:hAnsi="Times New Roman" w:cs="Times New Roman"/>
          <w:lang w:val="en-US"/>
        </w:rPr>
        <w:t>author</w:t>
      </w:r>
      <w:r w:rsidR="00725463">
        <w:rPr>
          <w:rFonts w:ascii="Times New Roman" w:hAnsi="Times New Roman" w:cs="Times New Roman"/>
          <w:lang w:val="en-US"/>
        </w:rPr>
        <w:t xml:space="preserve"> until </w:t>
      </w:r>
      <w:r w:rsidR="00987700" w:rsidRPr="002E2AA0">
        <w:rPr>
          <w:rFonts w:ascii="Times New Roman" w:hAnsi="Times New Roman" w:cs="Times New Roman"/>
          <w:lang w:val="en-US"/>
        </w:rPr>
        <w:t>a consensus</w:t>
      </w:r>
      <w:r w:rsidR="00725463">
        <w:rPr>
          <w:rFonts w:ascii="Times New Roman" w:hAnsi="Times New Roman" w:cs="Times New Roman"/>
          <w:lang w:val="en-US"/>
        </w:rPr>
        <w:t xml:space="preserve"> was</w:t>
      </w:r>
      <w:r w:rsidR="00987700" w:rsidRPr="002E2AA0">
        <w:rPr>
          <w:rFonts w:ascii="Times New Roman" w:hAnsi="Times New Roman" w:cs="Times New Roman"/>
          <w:lang w:val="en-US"/>
        </w:rPr>
        <w:t xml:space="preserve"> reached. </w:t>
      </w:r>
      <w:r w:rsidR="0018340A" w:rsidRPr="002E2AA0">
        <w:rPr>
          <w:rFonts w:ascii="Times New Roman" w:hAnsi="Times New Roman" w:cs="Times New Roman"/>
          <w:lang w:val="en-US"/>
        </w:rPr>
        <w:t xml:space="preserve">The search process is described in Figure 1. </w:t>
      </w:r>
      <w:r w:rsidR="00987700" w:rsidRPr="002E2AA0">
        <w:rPr>
          <w:rFonts w:ascii="Times New Roman" w:hAnsi="Times New Roman" w:cs="Times New Roman"/>
          <w:lang w:val="en-US"/>
        </w:rPr>
        <w:t>A</w:t>
      </w:r>
      <w:r w:rsidR="00843D8D" w:rsidRPr="002E2AA0">
        <w:rPr>
          <w:rFonts w:ascii="Times New Roman" w:hAnsi="Times New Roman" w:cs="Times New Roman"/>
          <w:lang w:val="en-US"/>
        </w:rPr>
        <w:t xml:space="preserve"> total of </w:t>
      </w:r>
      <w:r w:rsidR="00843C22" w:rsidRPr="002E2AA0">
        <w:rPr>
          <w:rFonts w:ascii="Times New Roman" w:hAnsi="Times New Roman" w:cs="Times New Roman"/>
          <w:lang w:val="en-US"/>
        </w:rPr>
        <w:t>17</w:t>
      </w:r>
      <w:r w:rsidR="00843D8D" w:rsidRPr="002E2AA0">
        <w:rPr>
          <w:rFonts w:ascii="Times New Roman" w:hAnsi="Times New Roman" w:cs="Times New Roman"/>
          <w:lang w:val="en-US"/>
        </w:rPr>
        <w:t xml:space="preserve"> articles </w:t>
      </w:r>
      <w:r w:rsidR="00987700" w:rsidRPr="002E2AA0">
        <w:rPr>
          <w:rFonts w:ascii="Times New Roman" w:hAnsi="Times New Roman" w:cs="Times New Roman"/>
          <w:lang w:val="en-US"/>
        </w:rPr>
        <w:t xml:space="preserve">were </w:t>
      </w:r>
      <w:r w:rsidR="00843D8D" w:rsidRPr="002E2AA0">
        <w:rPr>
          <w:rFonts w:ascii="Times New Roman" w:hAnsi="Times New Roman" w:cs="Times New Roman"/>
          <w:lang w:val="en-US"/>
        </w:rPr>
        <w:t>identified</w:t>
      </w:r>
      <w:r w:rsidR="00987700" w:rsidRPr="002E2AA0">
        <w:rPr>
          <w:rFonts w:ascii="Times New Roman" w:hAnsi="Times New Roman" w:cs="Times New Roman"/>
          <w:lang w:val="en-US"/>
        </w:rPr>
        <w:t xml:space="preserve"> as meeting the inclusion criteria</w:t>
      </w:r>
      <w:r w:rsidR="00843D8D" w:rsidRPr="002E2AA0">
        <w:rPr>
          <w:rFonts w:ascii="Times New Roman" w:hAnsi="Times New Roman" w:cs="Times New Roman"/>
          <w:lang w:val="en-US"/>
        </w:rPr>
        <w:t xml:space="preserve">, of which </w:t>
      </w:r>
      <w:r w:rsidR="00EC28BE" w:rsidRPr="002E2AA0">
        <w:rPr>
          <w:rFonts w:ascii="Times New Roman" w:hAnsi="Times New Roman" w:cs="Times New Roman"/>
          <w:lang w:val="en-US"/>
        </w:rPr>
        <w:t>12</w:t>
      </w:r>
      <w:r w:rsidR="00843D8D" w:rsidRPr="002E2AA0">
        <w:rPr>
          <w:rFonts w:ascii="Times New Roman" w:hAnsi="Times New Roman" w:cs="Times New Roman"/>
          <w:lang w:val="en-US"/>
        </w:rPr>
        <w:t xml:space="preserve"> </w:t>
      </w:r>
      <w:r w:rsidR="00843C22" w:rsidRPr="002E2AA0">
        <w:rPr>
          <w:rFonts w:ascii="Times New Roman" w:hAnsi="Times New Roman" w:cs="Times New Roman"/>
          <w:lang w:val="en-US"/>
        </w:rPr>
        <w:t xml:space="preserve">(70.59%) </w:t>
      </w:r>
      <w:r w:rsidR="00843D8D" w:rsidRPr="002E2AA0">
        <w:rPr>
          <w:rFonts w:ascii="Times New Roman" w:hAnsi="Times New Roman" w:cs="Times New Roman"/>
          <w:lang w:val="en-US"/>
        </w:rPr>
        <w:t xml:space="preserve">related to </w:t>
      </w:r>
      <w:r w:rsidR="00267110">
        <w:rPr>
          <w:rFonts w:ascii="Times New Roman" w:hAnsi="Times New Roman" w:cs="Times New Roman"/>
          <w:lang w:val="en-US"/>
        </w:rPr>
        <w:t xml:space="preserve">GLM </w:t>
      </w:r>
      <w:r w:rsidR="00043F58" w:rsidRPr="002E2AA0">
        <w:rPr>
          <w:rFonts w:ascii="Times New Roman" w:hAnsi="Times New Roman" w:cs="Times New Roman"/>
          <w:i/>
          <w:lang w:val="en-US"/>
        </w:rPr>
        <w:t>assumptions</w:t>
      </w:r>
      <w:r w:rsidR="0018340A" w:rsidRPr="002E2AA0">
        <w:rPr>
          <w:rFonts w:ascii="Times New Roman" w:hAnsi="Times New Roman" w:cs="Times New Roman"/>
          <w:lang w:val="en-US"/>
        </w:rPr>
        <w:t xml:space="preserve"> </w:t>
      </w:r>
      <w:r w:rsidR="00843D8D" w:rsidRPr="002E2AA0">
        <w:rPr>
          <w:rFonts w:ascii="Times New Roman" w:hAnsi="Times New Roman" w:cs="Times New Roman"/>
          <w:lang w:val="en-US"/>
        </w:rPr>
        <w:t xml:space="preserve">and </w:t>
      </w:r>
      <w:r w:rsidR="00843C22" w:rsidRPr="002E2AA0">
        <w:rPr>
          <w:rFonts w:ascii="Times New Roman" w:hAnsi="Times New Roman" w:cs="Times New Roman"/>
          <w:lang w:val="en-US"/>
        </w:rPr>
        <w:t>five (29.41%)</w:t>
      </w:r>
      <w:r w:rsidR="00843D8D" w:rsidRPr="002E2AA0">
        <w:rPr>
          <w:rFonts w:ascii="Times New Roman" w:hAnsi="Times New Roman" w:cs="Times New Roman"/>
          <w:lang w:val="en-US"/>
        </w:rPr>
        <w:t xml:space="preserve"> to </w:t>
      </w:r>
      <w:r w:rsidR="00267110">
        <w:rPr>
          <w:rFonts w:ascii="Times New Roman" w:hAnsi="Times New Roman" w:cs="Times New Roman"/>
          <w:i/>
          <w:iCs/>
          <w:lang w:val="en-US"/>
        </w:rPr>
        <w:t xml:space="preserve">outcomes </w:t>
      </w:r>
      <w:r w:rsidR="00C83260">
        <w:rPr>
          <w:rFonts w:ascii="Times New Roman" w:hAnsi="Times New Roman" w:cs="Times New Roman"/>
          <w:lang w:val="en-US"/>
        </w:rPr>
        <w:t>of GLM-consistent interventions</w:t>
      </w:r>
      <w:r w:rsidR="00843D8D" w:rsidRPr="002E2AA0">
        <w:rPr>
          <w:rFonts w:ascii="Times New Roman" w:hAnsi="Times New Roman" w:cs="Times New Roman"/>
          <w:lang w:val="en-US"/>
        </w:rPr>
        <w:t>.</w:t>
      </w:r>
      <w:r w:rsidR="006004DC" w:rsidRPr="002E2AA0">
        <w:rPr>
          <w:rFonts w:ascii="Times New Roman" w:hAnsi="Times New Roman" w:cs="Times New Roman"/>
          <w:lang w:val="en-US"/>
        </w:rPr>
        <w:t xml:space="preserve"> </w:t>
      </w:r>
      <w:r w:rsidR="00E037CA" w:rsidRPr="002E2AA0">
        <w:rPr>
          <w:rFonts w:ascii="Times New Roman" w:hAnsi="Times New Roman" w:cs="Times New Roman"/>
          <w:lang w:val="en-US"/>
        </w:rPr>
        <w:t xml:space="preserve">Of these, </w:t>
      </w:r>
      <w:r w:rsidR="00843C22" w:rsidRPr="002E2AA0">
        <w:rPr>
          <w:rFonts w:ascii="Times New Roman" w:hAnsi="Times New Roman" w:cs="Times New Roman"/>
          <w:lang w:val="en-US"/>
        </w:rPr>
        <w:t>15 (88.24%)</w:t>
      </w:r>
      <w:r w:rsidR="00E037CA" w:rsidRPr="002E2AA0">
        <w:rPr>
          <w:rFonts w:ascii="Times New Roman" w:hAnsi="Times New Roman" w:cs="Times New Roman"/>
          <w:lang w:val="en-US"/>
        </w:rPr>
        <w:t xml:space="preserve"> were published in peer-reviewed journals and two </w:t>
      </w:r>
      <w:r w:rsidR="00843C22" w:rsidRPr="002E2AA0">
        <w:rPr>
          <w:rFonts w:ascii="Times New Roman" w:hAnsi="Times New Roman" w:cs="Times New Roman"/>
          <w:lang w:val="en-US"/>
        </w:rPr>
        <w:t xml:space="preserve">(11.76%) </w:t>
      </w:r>
      <w:r w:rsidR="00E037CA" w:rsidRPr="002E2AA0">
        <w:rPr>
          <w:rFonts w:ascii="Times New Roman" w:hAnsi="Times New Roman" w:cs="Times New Roman"/>
          <w:lang w:val="en-US"/>
        </w:rPr>
        <w:t>were theses/dissertations at PhD level.</w:t>
      </w:r>
    </w:p>
    <w:p w14:paraId="4CC2FCD8" w14:textId="6E8B18C6" w:rsidR="00C84C76" w:rsidRPr="002E2AA0" w:rsidRDefault="00FB34FF" w:rsidP="0078765F">
      <w:pPr>
        <w:spacing w:line="480" w:lineRule="auto"/>
        <w:ind w:firstLine="720"/>
        <w:rPr>
          <w:rFonts w:ascii="Times New Roman" w:hAnsi="Times New Roman" w:cs="Times New Roman"/>
          <w:lang w:val="en-US"/>
        </w:rPr>
      </w:pPr>
      <w:r>
        <w:rPr>
          <w:rFonts w:ascii="Times New Roman" w:hAnsi="Times New Roman" w:cs="Times New Roman"/>
          <w:b/>
          <w:lang w:val="en-US"/>
        </w:rPr>
        <w:t xml:space="preserve">3.3.3 </w:t>
      </w:r>
      <w:r w:rsidR="00685E15" w:rsidRPr="002E2AA0">
        <w:rPr>
          <w:rFonts w:ascii="Times New Roman" w:hAnsi="Times New Roman" w:cs="Times New Roman"/>
          <w:b/>
          <w:lang w:val="en-US"/>
        </w:rPr>
        <w:t>Data Extraction.</w:t>
      </w:r>
      <w:r w:rsidR="00C84C76" w:rsidRPr="002E2AA0">
        <w:rPr>
          <w:rFonts w:ascii="Times New Roman" w:hAnsi="Times New Roman" w:cs="Times New Roman"/>
          <w:lang w:val="en-US"/>
        </w:rPr>
        <w:t xml:space="preserve"> Information extracted from the articles which satisfied the inclusion criteria, included: author(s), </w:t>
      </w:r>
      <w:r w:rsidR="005F5ED1" w:rsidRPr="002E2AA0">
        <w:rPr>
          <w:rFonts w:ascii="Times New Roman" w:hAnsi="Times New Roman" w:cs="Times New Roman"/>
          <w:lang w:val="en-US"/>
        </w:rPr>
        <w:t>data source variables (</w:t>
      </w:r>
      <w:r w:rsidR="00C84C76" w:rsidRPr="002E2AA0">
        <w:rPr>
          <w:rFonts w:ascii="Times New Roman" w:hAnsi="Times New Roman" w:cs="Times New Roman"/>
          <w:lang w:val="en-US"/>
        </w:rPr>
        <w:t xml:space="preserve">year of publication, country of </w:t>
      </w:r>
      <w:r w:rsidR="005F5ED1" w:rsidRPr="002E2AA0">
        <w:rPr>
          <w:rFonts w:ascii="Times New Roman" w:hAnsi="Times New Roman" w:cs="Times New Roman"/>
          <w:lang w:val="en-US"/>
        </w:rPr>
        <w:t>publication origin, publication type)</w:t>
      </w:r>
      <w:r w:rsidR="00C84C76" w:rsidRPr="002E2AA0">
        <w:rPr>
          <w:rFonts w:ascii="Times New Roman" w:hAnsi="Times New Roman" w:cs="Times New Roman"/>
          <w:lang w:val="en-US"/>
        </w:rPr>
        <w:t xml:space="preserve">, study aims, </w:t>
      </w:r>
      <w:r w:rsidR="005F5ED1" w:rsidRPr="002E2AA0">
        <w:rPr>
          <w:rFonts w:ascii="Times New Roman" w:hAnsi="Times New Roman" w:cs="Times New Roman"/>
          <w:lang w:val="en-US"/>
        </w:rPr>
        <w:t xml:space="preserve">sample characteristics (sample size, age, </w:t>
      </w:r>
      <w:r w:rsidR="005F5ED1" w:rsidRPr="002E2AA0">
        <w:rPr>
          <w:rFonts w:ascii="Times New Roman" w:hAnsi="Times New Roman" w:cs="Times New Roman"/>
          <w:lang w:val="en-US"/>
        </w:rPr>
        <w:lastRenderedPageBreak/>
        <w:t xml:space="preserve">gender, offence type), </w:t>
      </w:r>
      <w:r w:rsidR="00C84C76" w:rsidRPr="002E2AA0">
        <w:rPr>
          <w:rFonts w:ascii="Times New Roman" w:hAnsi="Times New Roman" w:cs="Times New Roman"/>
          <w:lang w:val="en-US"/>
        </w:rPr>
        <w:t xml:space="preserve">design </w:t>
      </w:r>
      <w:r w:rsidR="005F5ED1" w:rsidRPr="002E2AA0">
        <w:rPr>
          <w:rFonts w:ascii="Times New Roman" w:hAnsi="Times New Roman" w:cs="Times New Roman"/>
          <w:lang w:val="en-US"/>
        </w:rPr>
        <w:t>(</w:t>
      </w:r>
      <w:r w:rsidR="0078765F" w:rsidRPr="002E2AA0">
        <w:rPr>
          <w:rFonts w:ascii="Times New Roman" w:hAnsi="Times New Roman" w:cs="Times New Roman"/>
          <w:lang w:val="en-US"/>
        </w:rPr>
        <w:t xml:space="preserve">e.g., RCT, </w:t>
      </w:r>
      <w:r w:rsidR="006D461A" w:rsidRPr="002E2AA0">
        <w:rPr>
          <w:rFonts w:ascii="Times New Roman" w:hAnsi="Times New Roman" w:cs="Times New Roman"/>
          <w:lang w:val="en-US"/>
        </w:rPr>
        <w:t>quasi-experimental study, qualitative study</w:t>
      </w:r>
      <w:r w:rsidR="0078765F" w:rsidRPr="002E2AA0">
        <w:rPr>
          <w:rFonts w:ascii="Times New Roman" w:hAnsi="Times New Roman" w:cs="Times New Roman"/>
          <w:lang w:val="en-US"/>
        </w:rPr>
        <w:t xml:space="preserve">), measures used, </w:t>
      </w:r>
      <w:r w:rsidR="00C84C76" w:rsidRPr="002E2AA0">
        <w:rPr>
          <w:rFonts w:ascii="Times New Roman" w:hAnsi="Times New Roman" w:cs="Times New Roman"/>
          <w:lang w:val="en-US"/>
        </w:rPr>
        <w:t xml:space="preserve">and </w:t>
      </w:r>
      <w:r w:rsidR="00DC3610" w:rsidRPr="002E2AA0">
        <w:rPr>
          <w:rFonts w:ascii="Times New Roman" w:hAnsi="Times New Roman" w:cs="Times New Roman"/>
          <w:lang w:val="en-US"/>
        </w:rPr>
        <w:t>assumption</w:t>
      </w:r>
      <w:r w:rsidR="005F5ED1" w:rsidRPr="002E2AA0">
        <w:rPr>
          <w:rFonts w:ascii="Times New Roman" w:hAnsi="Times New Roman" w:cs="Times New Roman"/>
          <w:lang w:val="en-US"/>
        </w:rPr>
        <w:t xml:space="preserve"> (e.g., </w:t>
      </w:r>
      <w:r w:rsidR="00DC3610" w:rsidRPr="002E2AA0">
        <w:rPr>
          <w:rFonts w:ascii="Times New Roman" w:hAnsi="Times New Roman" w:cs="Times New Roman"/>
          <w:lang w:val="en-US"/>
        </w:rPr>
        <w:t>offending as an attempt to fulfil primary goods, obstacles in the Good Lives plan, and pathways to offending</w:t>
      </w:r>
      <w:r w:rsidR="005F5ED1" w:rsidRPr="002E2AA0">
        <w:rPr>
          <w:rFonts w:ascii="Times New Roman" w:hAnsi="Times New Roman" w:cs="Times New Roman"/>
          <w:lang w:val="en-US"/>
        </w:rPr>
        <w:t xml:space="preserve">) or </w:t>
      </w:r>
      <w:r w:rsidR="00C84C76" w:rsidRPr="002E2AA0">
        <w:rPr>
          <w:rFonts w:ascii="Times New Roman" w:hAnsi="Times New Roman" w:cs="Times New Roman"/>
          <w:lang w:val="en-US"/>
        </w:rPr>
        <w:t>outcome</w:t>
      </w:r>
      <w:r w:rsidR="005F5ED1" w:rsidRPr="002E2AA0">
        <w:rPr>
          <w:rFonts w:ascii="Times New Roman" w:hAnsi="Times New Roman" w:cs="Times New Roman"/>
          <w:lang w:val="en-US"/>
        </w:rPr>
        <w:t xml:space="preserve"> (e.g., recidivism, </w:t>
      </w:r>
      <w:r w:rsidR="00DC3610" w:rsidRPr="002E2AA0">
        <w:rPr>
          <w:rFonts w:ascii="Times New Roman" w:hAnsi="Times New Roman" w:cs="Times New Roman"/>
          <w:lang w:val="en-US"/>
        </w:rPr>
        <w:t>pre-post treatment change</w:t>
      </w:r>
      <w:r w:rsidR="005F5ED1" w:rsidRPr="002E2AA0">
        <w:rPr>
          <w:rFonts w:ascii="Times New Roman" w:hAnsi="Times New Roman" w:cs="Times New Roman"/>
          <w:lang w:val="en-US"/>
        </w:rPr>
        <w:t xml:space="preserve">, </w:t>
      </w:r>
      <w:r w:rsidR="00DC3610" w:rsidRPr="002E2AA0">
        <w:rPr>
          <w:rFonts w:ascii="Times New Roman" w:hAnsi="Times New Roman" w:cs="Times New Roman"/>
          <w:lang w:val="en-US"/>
        </w:rPr>
        <w:t>service user</w:t>
      </w:r>
      <w:r w:rsidR="005F5ED1" w:rsidRPr="002E2AA0">
        <w:rPr>
          <w:rFonts w:ascii="Times New Roman" w:hAnsi="Times New Roman" w:cs="Times New Roman"/>
          <w:lang w:val="en-US"/>
        </w:rPr>
        <w:t xml:space="preserve"> perspectives) variables</w:t>
      </w:r>
      <w:r w:rsidR="00C84C76" w:rsidRPr="002E2AA0">
        <w:rPr>
          <w:rFonts w:ascii="Times New Roman" w:hAnsi="Times New Roman" w:cs="Times New Roman"/>
          <w:lang w:val="en-US"/>
        </w:rPr>
        <w:t>. These are detailed in Appendix A</w:t>
      </w:r>
      <w:r w:rsidR="001A26AD" w:rsidRPr="002E2AA0">
        <w:rPr>
          <w:rFonts w:ascii="Times New Roman" w:hAnsi="Times New Roman" w:cs="Times New Roman"/>
          <w:lang w:val="en-US"/>
        </w:rPr>
        <w:t xml:space="preserve"> for </w:t>
      </w:r>
      <w:r w:rsidR="006D461A" w:rsidRPr="002E2AA0">
        <w:rPr>
          <w:rFonts w:ascii="Times New Roman" w:hAnsi="Times New Roman" w:cs="Times New Roman"/>
          <w:lang w:val="en-US"/>
        </w:rPr>
        <w:t xml:space="preserve">all included </w:t>
      </w:r>
      <w:r w:rsidR="001A26AD" w:rsidRPr="002E2AA0">
        <w:rPr>
          <w:rFonts w:ascii="Times New Roman" w:hAnsi="Times New Roman" w:cs="Times New Roman"/>
          <w:lang w:val="en-US"/>
        </w:rPr>
        <w:t>studies</w:t>
      </w:r>
      <w:r w:rsidR="006D461A" w:rsidRPr="002E2AA0">
        <w:rPr>
          <w:rFonts w:ascii="Times New Roman" w:hAnsi="Times New Roman" w:cs="Times New Roman"/>
          <w:lang w:val="en-US"/>
        </w:rPr>
        <w:t xml:space="preserve">. </w:t>
      </w:r>
      <w:r w:rsidR="005B27AA" w:rsidRPr="002E2AA0">
        <w:rPr>
          <w:rFonts w:ascii="Times New Roman" w:hAnsi="Times New Roman" w:cs="Times New Roman"/>
          <w:lang w:val="en-US"/>
        </w:rPr>
        <w:t xml:space="preserve">Results were </w:t>
      </w:r>
      <w:r w:rsidR="00EC638A" w:rsidRPr="002E2AA0">
        <w:rPr>
          <w:rFonts w:ascii="Times New Roman" w:hAnsi="Times New Roman" w:cs="Times New Roman"/>
          <w:lang w:val="en-US"/>
        </w:rPr>
        <w:t>summarized</w:t>
      </w:r>
      <w:r w:rsidR="005B27AA" w:rsidRPr="002E2AA0">
        <w:rPr>
          <w:rFonts w:ascii="Times New Roman" w:hAnsi="Times New Roman" w:cs="Times New Roman"/>
          <w:lang w:val="en-US"/>
        </w:rPr>
        <w:t xml:space="preserve"> narratively.</w:t>
      </w:r>
    </w:p>
    <w:p w14:paraId="6F6AC7E7" w14:textId="77777777" w:rsidR="00685E15" w:rsidRPr="002E2AA0" w:rsidRDefault="00685E15" w:rsidP="00685E15">
      <w:pPr>
        <w:spacing w:line="480" w:lineRule="auto"/>
        <w:rPr>
          <w:rFonts w:ascii="Times New Roman" w:hAnsi="Times New Roman" w:cs="Times New Roman"/>
          <w:b/>
          <w:lang w:val="en-US"/>
        </w:rPr>
      </w:pPr>
    </w:p>
    <w:p w14:paraId="6E83D629" w14:textId="77777777" w:rsidR="0018340A" w:rsidRPr="002E2AA0" w:rsidRDefault="0018340A">
      <w:pPr>
        <w:rPr>
          <w:rFonts w:ascii="Times New Roman" w:hAnsi="Times New Roman" w:cs="Times New Roman"/>
          <w:lang w:val="en-US"/>
        </w:rPr>
      </w:pPr>
      <w:r w:rsidRPr="002E2AA0">
        <w:rPr>
          <w:rFonts w:ascii="Times New Roman" w:hAnsi="Times New Roman" w:cs="Times New Roman"/>
          <w:lang w:val="en-US"/>
        </w:rPr>
        <w:br w:type="page"/>
      </w:r>
    </w:p>
    <w:p w14:paraId="52BBDCCD" w14:textId="77777777" w:rsidR="0018340A" w:rsidRPr="002E2AA0" w:rsidRDefault="0018340A" w:rsidP="0018340A">
      <w:pPr>
        <w:keepLines/>
        <w:widowControl w:val="0"/>
        <w:jc w:val="center"/>
        <w:rPr>
          <w:rFonts w:ascii="Times New Roman" w:eastAsia="MS Mincho" w:hAnsi="Times New Roman" w:cs="Times New Roman"/>
          <w:b/>
          <w:lang w:val="en-US"/>
        </w:rPr>
      </w:pPr>
      <w:r w:rsidRPr="002E2AA0">
        <w:rPr>
          <w:rFonts w:ascii="Times New Roman" w:eastAsia="MS Mincho" w:hAnsi="Times New Roman" w:cs="Times New Roman"/>
          <w:b/>
          <w:noProof/>
          <w:lang w:eastAsia="en-GB"/>
        </w:rPr>
        <w:lastRenderedPageBreak/>
        <mc:AlternateContent>
          <mc:Choice Requires="wps">
            <w:drawing>
              <wp:anchor distT="0" distB="0" distL="114300" distR="114300" simplePos="0" relativeHeight="251656191" behindDoc="0" locked="0" layoutInCell="1" allowOverlap="1" wp14:anchorId="1BDC8002" wp14:editId="75279D93">
                <wp:simplePos x="0" y="0"/>
                <wp:positionH relativeFrom="column">
                  <wp:posOffset>-270662</wp:posOffset>
                </wp:positionH>
                <wp:positionV relativeFrom="paragraph">
                  <wp:posOffset>-21946</wp:posOffset>
                </wp:positionV>
                <wp:extent cx="6400800" cy="744664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6400800" cy="7446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5DF9" id="Rectangle 1" o:spid="_x0000_s1026" style="position:absolute;margin-left:-21.3pt;margin-top:-1.75pt;width:7in;height:586.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g0zgkwIAAIUFAAAOAAAAZHJzL2Uyb0RvYy54bWysVMFu2zAMvQ/YPwi6r3YCN22NOkWQosOA oi3aDj0rshQbkEVNUuJkXz9KcpysK3YY5oMsiuQj+UTq+mbXKbIV1rWgKzo5yykRmkPd6nVFv7/e fbmkxHmma6ZAi4ruhaM388+frntTiik0oGphCYJoV/amoo33pswyxxvRMXcGRmhUSrAd8yjadVZb 1iN6p7Jpns+yHmxtLHDhHJ7eJiWdR3wpBfePUjrhiaoo5ubjauO6Cms2v2bl2jLTtHxIg/1DFh1r NQYdoW6ZZ2Rj2z+gupZbcCD9GYcuAylbLmINWM0kf1fNS8OMiLUgOc6MNLn/B8sftk+WtDXeHSWa dXhFz0ga02slyCTQ0xtXotWLebKD5HAbat1J24U/VkF2kdL9SKnYecLxcFbk+WWOzHPUXRTFbFac B9Ts6G6s818FdCRsKmoxfKSSbe+dT6YHkxBNw12rFJ6zUumwOlBtHc6iEBpHLJUlW4ZX7nexBox2 YoVS8MxCZamWuPN7JRLqs5BICWY/jYnEZjxiMs6F9pOkalgtUqjzHL+htNEjFqo0AgZkiUmO2APA 7/kesFPZg31wFbGXR+f8b4kl59EjRgbtR+eu1WA/AlBY1RA52R9IStQEllZQ77FhLKRJcobftXht 98z5J2ZxdPCq8Tnwj7hIBX1FYdhR0oD9+dF5sMeORi0lPY5iRd2PDbOCEvVNY69fTYoizG4UivOL KQr2VLM61ehNtwS8euxnzC5ug71Xh6200L3hq7EIUVHFNMfYFeXeHoSlT08EvjtcLBbRDOfVMH+v XwwP4IHV0JavuzdmzdC7Htv+AQ5jy8p3LZxsg6eGxcaDbGN/H3kd+MZZj40zvEvhMTmVo9Xx9Zz/ AgAA//8DAFBLAwQUAAYACAAAACEA5q9aH+IAAAALAQAADwAAAGRycy9kb3ducmV2LnhtbEyPwU7D MAyG70i8Q2QkLtOWtmwVK00nBALtgJAYcODmNqEpa5yqybby9pgT3Gz50+/vLzeT68XRjKHzpCBd JCAMNV531Cp4e32YX4MIEUlj78ko+DYBNtX5WYmF9id6McddbAWHUChQgY1xKKQMjTUOw8IPhvj2 6UeHkdexlXrEE4e7XmZJkkuHHfEHi4O5s6bZ7w5Owcd2iu1X+hif9jh7n21t3Tzf10pdXky3NyCi meIfDL/6rA4VO9X+QDqIXsF8meWM8nC1AsHAOl8tQdRMpvk6A1mV8n+H6gcAAP//AwBQSwECLQAU AAYACAAAACEAtoM4kv4AAADhAQAAEwAAAAAAAAAAAAAAAAAAAAAAW0NvbnRlbnRfVHlwZXNdLnht bFBLAQItABQABgAIAAAAIQA4/SH/1gAAAJQBAAALAAAAAAAAAAAAAAAAAC8BAABfcmVscy8ucmVs c1BLAQItABQABgAIAAAAIQC1g0zgkwIAAIUFAAAOAAAAAAAAAAAAAAAAAC4CAABkcnMvZTJvRG9j LnhtbFBLAQItABQABgAIAAAAIQDmr1of4gAAAAsBAAAPAAAAAAAAAAAAAAAAAO0EAABkcnMvZG93 bnJldi54bWxQSwUGAAAAAAQABADzAAAA/AUAAAAA " filled="f" strokecolor="black [3213]" strokeweight="1pt"/>
            </w:pict>
          </mc:Fallback>
        </mc:AlternateContent>
      </w:r>
    </w:p>
    <w:p w14:paraId="0C1292B2" w14:textId="77777777" w:rsidR="0018340A" w:rsidRPr="002E2AA0" w:rsidRDefault="000A057D" w:rsidP="0018340A">
      <w:pPr>
        <w:keepLines/>
        <w:widowControl w:val="0"/>
        <w:jc w:val="center"/>
        <w:rPr>
          <w:rFonts w:ascii="Times New Roman" w:eastAsia="MS Mincho" w:hAnsi="Times New Roman" w:cs="Times New Roman"/>
          <w:b/>
          <w:lang w:val="en-US"/>
        </w:rPr>
      </w:pPr>
      <w:r w:rsidRPr="002E2AA0">
        <w:rPr>
          <w:rFonts w:ascii="Times New Roman" w:eastAsia="MS Mincho" w:hAnsi="Times New Roman" w:cs="Times New Roman"/>
          <w:b/>
          <w:noProof/>
          <w:lang w:eastAsia="en-GB"/>
        </w:rPr>
        <mc:AlternateContent>
          <mc:Choice Requires="wpg">
            <w:drawing>
              <wp:anchor distT="0" distB="0" distL="114300" distR="114300" simplePos="0" relativeHeight="251710464" behindDoc="0" locked="0" layoutInCell="1" allowOverlap="1" wp14:anchorId="0BD500E0" wp14:editId="058F3738">
                <wp:simplePos x="0" y="0"/>
                <wp:positionH relativeFrom="column">
                  <wp:posOffset>-159026</wp:posOffset>
                </wp:positionH>
                <wp:positionV relativeFrom="paragraph">
                  <wp:posOffset>83157</wp:posOffset>
                </wp:positionV>
                <wp:extent cx="6151891" cy="7054948"/>
                <wp:effectExtent l="0" t="0" r="7620" b="19050"/>
                <wp:wrapNone/>
                <wp:docPr id="12" name="Group 12"/>
                <wp:cNvGraphicFramePr/>
                <a:graphic xmlns:a="http://schemas.openxmlformats.org/drawingml/2006/main">
                  <a:graphicData uri="http://schemas.microsoft.com/office/word/2010/wordprocessingGroup">
                    <wpg:wgp>
                      <wpg:cNvGrpSpPr/>
                      <wpg:grpSpPr>
                        <a:xfrm>
                          <a:off x="0" y="0"/>
                          <a:ext cx="6151891" cy="7054948"/>
                          <a:chOff x="0" y="0"/>
                          <a:chExt cx="6151891" cy="7054948"/>
                        </a:xfrm>
                      </wpg:grpSpPr>
                      <wpg:grpSp>
                        <wpg:cNvPr id="10" name="Group 10"/>
                        <wpg:cNvGrpSpPr/>
                        <wpg:grpSpPr>
                          <a:xfrm>
                            <a:off x="0" y="0"/>
                            <a:ext cx="6151891" cy="7054462"/>
                            <a:chOff x="0" y="0"/>
                            <a:chExt cx="6151891" cy="7054462"/>
                          </a:xfrm>
                        </wpg:grpSpPr>
                        <wps:wsp>
                          <wps:cNvPr id="17" name="Rectangle 17"/>
                          <wps:cNvSpPr>
                            <a:spLocks noChangeArrowheads="1"/>
                          </wps:cNvSpPr>
                          <wps:spPr bwMode="auto">
                            <a:xfrm>
                              <a:off x="738835" y="175565"/>
                              <a:ext cx="2009140" cy="618490"/>
                            </a:xfrm>
                            <a:prstGeom prst="rect">
                              <a:avLst/>
                            </a:prstGeom>
                            <a:solidFill>
                              <a:srgbClr val="FFFFFF"/>
                            </a:solidFill>
                            <a:ln w="9525">
                              <a:solidFill>
                                <a:srgbClr val="000000"/>
                              </a:solidFill>
                              <a:miter lim="800000"/>
                              <a:headEnd/>
                              <a:tailEnd/>
                            </a:ln>
                          </wps:spPr>
                          <wps:txbx>
                            <w:txbxContent>
                              <w:p w14:paraId="7BA9E2B5" w14:textId="77777777" w:rsidR="003463FC" w:rsidRPr="00B568C9" w:rsidRDefault="003463FC" w:rsidP="0018340A">
                                <w:pPr>
                                  <w:jc w:val="center"/>
                                  <w:rPr>
                                    <w:rFonts w:ascii="Times New Roman" w:hAnsi="Times New Roman" w:cs="Times New Roman"/>
                                    <w:lang w:val="en"/>
                                  </w:rPr>
                                </w:pPr>
                                <w:r w:rsidRPr="00E36C06">
                                  <w:rPr>
                                    <w:rFonts w:ascii="Times New Roman" w:hAnsi="Times New Roman" w:cs="Times New Roman"/>
                                    <w:sz w:val="18"/>
                                    <w:szCs w:val="18"/>
                                  </w:rPr>
                                  <w:t xml:space="preserve">Records identified through database searching </w:t>
                                </w:r>
                                <w:r w:rsidRPr="00B568C9">
                                  <w:rPr>
                                    <w:rFonts w:ascii="Times New Roman" w:hAnsi="Times New Roman" w:cs="Times New Roman"/>
                                  </w:rPr>
                                  <w:br/>
                                </w: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934</w:t>
                                </w:r>
                                <w:r w:rsidRPr="004B672D">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2874873" y="175565"/>
                              <a:ext cx="1979930" cy="621665"/>
                            </a:xfrm>
                            <a:prstGeom prst="rect">
                              <a:avLst/>
                            </a:prstGeom>
                            <a:solidFill>
                              <a:srgbClr val="FFFFFF"/>
                            </a:solidFill>
                            <a:ln w="9525">
                              <a:solidFill>
                                <a:srgbClr val="000000"/>
                              </a:solidFill>
                              <a:miter lim="800000"/>
                              <a:headEnd/>
                              <a:tailEnd/>
                            </a:ln>
                          </wps:spPr>
                          <wps:txbx>
                            <w:txbxContent>
                              <w:p w14:paraId="0EEEC583" w14:textId="77777777" w:rsidR="003463FC" w:rsidRPr="00B568C9" w:rsidRDefault="003463FC" w:rsidP="0018340A">
                                <w:pPr>
                                  <w:jc w:val="center"/>
                                  <w:rPr>
                                    <w:rFonts w:ascii="Times New Roman" w:hAnsi="Times New Roman" w:cs="Times New Roman"/>
                                    <w:lang w:val="en"/>
                                  </w:rPr>
                                </w:pPr>
                                <w:r w:rsidRPr="00E36C06">
                                  <w:rPr>
                                    <w:rFonts w:ascii="Times New Roman" w:hAnsi="Times New Roman" w:cs="Times New Roman"/>
                                    <w:sz w:val="18"/>
                                    <w:szCs w:val="18"/>
                                  </w:rPr>
                                  <w:t xml:space="preserve">Additional records identified through other sources </w:t>
                                </w:r>
                                <w:r w:rsidRPr="00B568C9">
                                  <w:rPr>
                                    <w:rFonts w:ascii="Times New Roman" w:hAnsi="Times New Roman" w:cs="Times New Roman"/>
                                  </w:rPr>
                                  <w:br/>
                                </w: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13</w:t>
                                </w:r>
                                <w:r w:rsidRPr="004B672D">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0" name="Rectangle 20"/>
                          <wps:cNvSpPr>
                            <a:spLocks noChangeArrowheads="1"/>
                          </wps:cNvSpPr>
                          <wps:spPr bwMode="auto">
                            <a:xfrm>
                              <a:off x="1470355" y="1389888"/>
                              <a:ext cx="2679405" cy="552893"/>
                            </a:xfrm>
                            <a:prstGeom prst="rect">
                              <a:avLst/>
                            </a:prstGeom>
                            <a:solidFill>
                              <a:srgbClr val="FFFFFF"/>
                            </a:solidFill>
                            <a:ln w="9525">
                              <a:solidFill>
                                <a:srgbClr val="000000"/>
                              </a:solidFill>
                              <a:miter lim="800000"/>
                              <a:headEnd/>
                              <a:tailEnd/>
                            </a:ln>
                          </wps:spPr>
                          <wps:txbx>
                            <w:txbxContent>
                              <w:p w14:paraId="41DF631C" w14:textId="77777777" w:rsidR="003463FC" w:rsidRPr="00E36C06" w:rsidRDefault="003463FC" w:rsidP="0018340A">
                                <w:pPr>
                                  <w:jc w:val="center"/>
                                  <w:rPr>
                                    <w:rFonts w:ascii="Times New Roman" w:hAnsi="Times New Roman" w:cs="Times New Roman"/>
                                    <w:sz w:val="18"/>
                                    <w:szCs w:val="18"/>
                                    <w:lang w:val="en"/>
                                  </w:rPr>
                                </w:pPr>
                                <w:r w:rsidRPr="00E36C06">
                                  <w:rPr>
                                    <w:rFonts w:ascii="Times New Roman" w:hAnsi="Times New Roman" w:cs="Times New Roman"/>
                                    <w:sz w:val="18"/>
                                    <w:szCs w:val="18"/>
                                  </w:rPr>
                                  <w:t xml:space="preserve">Records after duplicates removed </w:t>
                                </w:r>
                                <w:r w:rsidRPr="00E36C06">
                                  <w:rPr>
                                    <w:rFonts w:ascii="Times New Roman" w:hAnsi="Times New Roman" w:cs="Times New Roman"/>
                                    <w:sz w:val="18"/>
                                    <w:szCs w:val="18"/>
                                  </w:rPr>
                                  <w:br/>
                                  <w:t>(</w:t>
                                </w:r>
                                <w:r w:rsidRPr="00725ADC">
                                  <w:rPr>
                                    <w:rFonts w:ascii="Times New Roman" w:hAnsi="Times New Roman" w:cs="Times New Roman"/>
                                    <w:i/>
                                    <w:sz w:val="18"/>
                                    <w:szCs w:val="18"/>
                                  </w:rPr>
                                  <w:t>n</w:t>
                                </w:r>
                                <w:r w:rsidRPr="00E36C06">
                                  <w:rPr>
                                    <w:rFonts w:ascii="Times New Roman" w:hAnsi="Times New Roman" w:cs="Times New Roman"/>
                                    <w:sz w:val="18"/>
                                    <w:szCs w:val="18"/>
                                  </w:rPr>
                                  <w:t xml:space="preserve"> =</w:t>
                                </w:r>
                                <w:r>
                                  <w:rPr>
                                    <w:rFonts w:ascii="Times New Roman" w:hAnsi="Times New Roman" w:cs="Times New Roman"/>
                                    <w:sz w:val="18"/>
                                    <w:szCs w:val="18"/>
                                  </w:rPr>
                                  <w:t xml:space="preserve"> 634</w:t>
                                </w:r>
                                <w:r w:rsidRPr="00E36C06">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31" name="Rectangle 31"/>
                          <wps:cNvSpPr>
                            <a:spLocks noChangeArrowheads="1"/>
                          </wps:cNvSpPr>
                          <wps:spPr bwMode="auto">
                            <a:xfrm>
                              <a:off x="2084832" y="2523744"/>
                              <a:ext cx="1477645" cy="486410"/>
                            </a:xfrm>
                            <a:prstGeom prst="rect">
                              <a:avLst/>
                            </a:prstGeom>
                            <a:solidFill>
                              <a:srgbClr val="FFFFFF"/>
                            </a:solidFill>
                            <a:ln w="9525">
                              <a:solidFill>
                                <a:srgbClr val="000000"/>
                              </a:solidFill>
                              <a:miter lim="800000"/>
                              <a:headEnd/>
                              <a:tailEnd/>
                            </a:ln>
                          </wps:spPr>
                          <wps:txbx>
                            <w:txbxContent>
                              <w:p w14:paraId="7A6291AC" w14:textId="77777777" w:rsidR="003463FC" w:rsidRPr="00E36C06" w:rsidRDefault="003463FC" w:rsidP="0018340A">
                                <w:pPr>
                                  <w:jc w:val="center"/>
                                  <w:rPr>
                                    <w:rFonts w:ascii="Times New Roman" w:hAnsi="Times New Roman" w:cs="Times New Roman"/>
                                    <w:sz w:val="18"/>
                                    <w:szCs w:val="18"/>
                                    <w:lang w:val="en"/>
                                  </w:rPr>
                                </w:pPr>
                                <w:r w:rsidRPr="00E36C06">
                                  <w:rPr>
                                    <w:rFonts w:ascii="Times New Roman" w:hAnsi="Times New Roman" w:cs="Times New Roman"/>
                                    <w:sz w:val="18"/>
                                    <w:szCs w:val="18"/>
                                  </w:rPr>
                                  <w:t xml:space="preserve">Records screened </w:t>
                                </w:r>
                                <w:r w:rsidRPr="00E36C06">
                                  <w:rPr>
                                    <w:rFonts w:ascii="Times New Roman" w:hAnsi="Times New Roman" w:cs="Times New Roman"/>
                                    <w:sz w:val="18"/>
                                    <w:szCs w:val="18"/>
                                  </w:rPr>
                                  <w:br/>
                                  <w:t>(</w:t>
                                </w:r>
                                <w:r w:rsidRPr="00725ADC">
                                  <w:rPr>
                                    <w:rFonts w:ascii="Times New Roman" w:hAnsi="Times New Roman" w:cs="Times New Roman"/>
                                    <w:i/>
                                    <w:sz w:val="18"/>
                                    <w:szCs w:val="18"/>
                                  </w:rPr>
                                  <w:t>n</w:t>
                                </w:r>
                                <w:r w:rsidRPr="00E36C06">
                                  <w:rPr>
                                    <w:rFonts w:ascii="Times New Roman" w:hAnsi="Times New Roman" w:cs="Times New Roman"/>
                                    <w:sz w:val="18"/>
                                    <w:szCs w:val="18"/>
                                  </w:rPr>
                                  <w:t xml:space="preserve"> =</w:t>
                                </w:r>
                                <w:r>
                                  <w:rPr>
                                    <w:rFonts w:ascii="Times New Roman" w:hAnsi="Times New Roman" w:cs="Times New Roman"/>
                                    <w:sz w:val="18"/>
                                    <w:szCs w:val="18"/>
                                  </w:rPr>
                                  <w:t xml:space="preserve"> 634</w:t>
                                </w:r>
                                <w:r w:rsidRPr="00E36C06">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37" name="Rectangle 37"/>
                          <wps:cNvSpPr>
                            <a:spLocks noChangeArrowheads="1"/>
                          </wps:cNvSpPr>
                          <wps:spPr bwMode="auto">
                            <a:xfrm>
                              <a:off x="2084832" y="3584448"/>
                              <a:ext cx="1477645" cy="648335"/>
                            </a:xfrm>
                            <a:prstGeom prst="rect">
                              <a:avLst/>
                            </a:prstGeom>
                            <a:solidFill>
                              <a:srgbClr val="FFFFFF"/>
                            </a:solidFill>
                            <a:ln w="9525">
                              <a:solidFill>
                                <a:srgbClr val="000000"/>
                              </a:solidFill>
                              <a:miter lim="800000"/>
                              <a:headEnd/>
                              <a:tailEnd/>
                            </a:ln>
                          </wps:spPr>
                          <wps:txbx>
                            <w:txbxContent>
                              <w:p w14:paraId="42D3128D" w14:textId="77777777" w:rsidR="003463FC" w:rsidRPr="00B028EB" w:rsidRDefault="003463FC" w:rsidP="0018340A">
                                <w:pPr>
                                  <w:jc w:val="center"/>
                                  <w:rPr>
                                    <w:rFonts w:ascii="Times New Roman" w:hAnsi="Times New Roman" w:cs="Times New Roman"/>
                                    <w:lang w:val="en"/>
                                  </w:rPr>
                                </w:pPr>
                                <w:r w:rsidRPr="00B028EB">
                                  <w:rPr>
                                    <w:rFonts w:ascii="Times New Roman" w:hAnsi="Times New Roman" w:cs="Times New Roman"/>
                                    <w:sz w:val="18"/>
                                    <w:szCs w:val="18"/>
                                  </w:rPr>
                                  <w:t>Full-text articles assessed for eligibilit</w:t>
                                </w:r>
                                <w:r w:rsidRPr="00417CF4">
                                  <w:rPr>
                                    <w:rFonts w:ascii="Times New Roman" w:hAnsi="Times New Roman" w:cs="Times New Roman"/>
                                    <w:sz w:val="18"/>
                                  </w:rPr>
                                  <w:t>y</w:t>
                                </w:r>
                                <w:r w:rsidRPr="00B028EB">
                                  <w:rPr>
                                    <w:rFonts w:ascii="Times New Roman" w:hAnsi="Times New Roman" w:cs="Times New Roman"/>
                                  </w:rPr>
                                  <w:t xml:space="preserve"> </w:t>
                                </w:r>
                                <w:r w:rsidRPr="00B028EB">
                                  <w:rPr>
                                    <w:rFonts w:ascii="Times New Roman" w:hAnsi="Times New Roman" w:cs="Times New Roman"/>
                                  </w:rPr>
                                  <w:br/>
                                </w: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69</w:t>
                                </w:r>
                                <w:r w:rsidRPr="00B028EB">
                                  <w:rPr>
                                    <w:rFonts w:ascii="Times New Roman" w:hAnsi="Times New Roman" w:cs="Times New Roman"/>
                                    <w:sz w:val="18"/>
                                    <w:szCs w:val="18"/>
                                  </w:rPr>
                                  <w:t>)</w:t>
                                </w:r>
                              </w:p>
                              <w:p w14:paraId="367B77CD" w14:textId="77777777" w:rsidR="003463FC" w:rsidRPr="00E36C06" w:rsidRDefault="003463FC" w:rsidP="0018340A">
                                <w:pPr>
                                  <w:jc w:val="center"/>
                                  <w:rPr>
                                    <w:rFonts w:ascii="Times New Roman" w:hAnsi="Times New Roman" w:cs="Times New Roman"/>
                                    <w:sz w:val="18"/>
                                    <w:szCs w:val="18"/>
                                    <w:lang w:val="en"/>
                                  </w:rPr>
                                </w:pPr>
                              </w:p>
                            </w:txbxContent>
                          </wps:txbx>
                          <wps:bodyPr rot="0" vert="horz" wrap="square" lIns="91440" tIns="91440" rIns="91440" bIns="91440" anchor="t" anchorCtr="0" upright="1">
                            <a:noAutofit/>
                          </wps:bodyPr>
                        </wps:wsp>
                        <wps:wsp>
                          <wps:cNvPr id="32" name="Rectangle 32"/>
                          <wps:cNvSpPr>
                            <a:spLocks noChangeArrowheads="1"/>
                          </wps:cNvSpPr>
                          <wps:spPr bwMode="auto">
                            <a:xfrm>
                              <a:off x="3875078" y="2534504"/>
                              <a:ext cx="2276802" cy="475615"/>
                            </a:xfrm>
                            <a:prstGeom prst="rect">
                              <a:avLst/>
                            </a:prstGeom>
                            <a:solidFill>
                              <a:srgbClr val="FFFFFF"/>
                            </a:solidFill>
                            <a:ln w="9525">
                              <a:solidFill>
                                <a:srgbClr val="000000"/>
                              </a:solidFill>
                              <a:miter lim="800000"/>
                              <a:headEnd/>
                              <a:tailEnd/>
                            </a:ln>
                          </wps:spPr>
                          <wps:txbx>
                            <w:txbxContent>
                              <w:p w14:paraId="264D9FCA" w14:textId="77777777" w:rsidR="003463FC" w:rsidRPr="00345002" w:rsidRDefault="003463FC" w:rsidP="0018340A">
                                <w:pPr>
                                  <w:jc w:val="center"/>
                                  <w:rPr>
                                    <w:rFonts w:ascii="Times New Roman" w:hAnsi="Times New Roman" w:cs="Times New Roman"/>
                                    <w:sz w:val="18"/>
                                    <w:szCs w:val="18"/>
                                    <w:lang w:val="en"/>
                                  </w:rPr>
                                </w:pPr>
                                <w:r w:rsidRPr="00345002">
                                  <w:rPr>
                                    <w:rFonts w:ascii="Times New Roman" w:hAnsi="Times New Roman" w:cs="Times New Roman"/>
                                    <w:sz w:val="18"/>
                                    <w:szCs w:val="18"/>
                                  </w:rPr>
                                  <w:t>R</w:t>
                                </w:r>
                                <w:r>
                                  <w:rPr>
                                    <w:rFonts w:ascii="Times New Roman" w:hAnsi="Times New Roman" w:cs="Times New Roman"/>
                                    <w:sz w:val="18"/>
                                    <w:szCs w:val="18"/>
                                  </w:rPr>
                                  <w:t xml:space="preserve">ecords excluded </w:t>
                                </w:r>
                                <w:r>
                                  <w:rPr>
                                    <w:rFonts w:ascii="Times New Roman" w:hAnsi="Times New Roman" w:cs="Times New Roman"/>
                                    <w:sz w:val="18"/>
                                    <w:szCs w:val="18"/>
                                  </w:rPr>
                                  <w:br/>
                                  <w:t>(</w:t>
                                </w:r>
                                <w:r w:rsidRPr="00725ADC">
                                  <w:rPr>
                                    <w:rFonts w:ascii="Times New Roman" w:hAnsi="Times New Roman" w:cs="Times New Roman"/>
                                    <w:i/>
                                    <w:sz w:val="18"/>
                                    <w:szCs w:val="18"/>
                                  </w:rPr>
                                  <w:t>n</w:t>
                                </w:r>
                                <w:r>
                                  <w:rPr>
                                    <w:rFonts w:ascii="Times New Roman" w:hAnsi="Times New Roman" w:cs="Times New Roman"/>
                                    <w:sz w:val="18"/>
                                    <w:szCs w:val="18"/>
                                  </w:rPr>
                                  <w:t xml:space="preserve"> = </w:t>
                                </w:r>
                                <w:r w:rsidRPr="00304D2B">
                                  <w:rPr>
                                    <w:rFonts w:ascii="Times New Roman" w:hAnsi="Times New Roman" w:cs="Times New Roman"/>
                                    <w:sz w:val="18"/>
                                    <w:szCs w:val="18"/>
                                  </w:rPr>
                                  <w:t>5</w:t>
                                </w:r>
                                <w:r>
                                  <w:rPr>
                                    <w:rFonts w:ascii="Times New Roman" w:hAnsi="Times New Roman" w:cs="Times New Roman"/>
                                    <w:sz w:val="18"/>
                                    <w:szCs w:val="18"/>
                                  </w:rPr>
                                  <w:t>65</w:t>
                                </w:r>
                                <w:r w:rsidRPr="00345002">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36" name="Rectangle 36"/>
                          <wps:cNvSpPr>
                            <a:spLocks noChangeArrowheads="1"/>
                          </wps:cNvSpPr>
                          <wps:spPr bwMode="auto">
                            <a:xfrm>
                              <a:off x="3875085" y="3262310"/>
                              <a:ext cx="2276806" cy="1654657"/>
                            </a:xfrm>
                            <a:prstGeom prst="rect">
                              <a:avLst/>
                            </a:prstGeom>
                            <a:solidFill>
                              <a:srgbClr val="FFFFFF"/>
                            </a:solidFill>
                            <a:ln w="9525">
                              <a:solidFill>
                                <a:srgbClr val="000000"/>
                              </a:solidFill>
                              <a:miter lim="800000"/>
                              <a:headEnd/>
                              <a:tailEnd/>
                            </a:ln>
                          </wps:spPr>
                          <wps:txbx>
                            <w:txbxContent>
                              <w:p w14:paraId="62807872" w14:textId="77777777" w:rsidR="003463FC" w:rsidRDefault="003463FC" w:rsidP="0018340A">
                                <w:pPr>
                                  <w:jc w:val="center"/>
                                  <w:rPr>
                                    <w:rFonts w:ascii="Times New Roman" w:hAnsi="Times New Roman" w:cs="Times New Roman"/>
                                    <w:sz w:val="18"/>
                                    <w:szCs w:val="18"/>
                                  </w:rPr>
                                </w:pPr>
                                <w:r w:rsidRPr="00613913">
                                  <w:rPr>
                                    <w:rFonts w:ascii="Times New Roman" w:hAnsi="Times New Roman" w:cs="Times New Roman"/>
                                    <w:sz w:val="18"/>
                                    <w:szCs w:val="18"/>
                                  </w:rPr>
                                  <w:t xml:space="preserve">Full-text articles excluded, with reasons </w:t>
                                </w:r>
                                <w:r w:rsidRPr="00613913">
                                  <w:rPr>
                                    <w:rFonts w:ascii="Times New Roman" w:hAnsi="Times New Roman" w:cs="Times New Roman"/>
                                    <w:sz w:val="18"/>
                                    <w:szCs w:val="18"/>
                                  </w:rPr>
                                  <w:br/>
                                  <w:t>(</w:t>
                                </w:r>
                                <w:r w:rsidRPr="00725ADC">
                                  <w:rPr>
                                    <w:rFonts w:ascii="Times New Roman" w:hAnsi="Times New Roman" w:cs="Times New Roman"/>
                                    <w:i/>
                                    <w:sz w:val="18"/>
                                    <w:szCs w:val="18"/>
                                  </w:rPr>
                                  <w:t>n</w:t>
                                </w:r>
                                <w:r w:rsidRPr="00613913">
                                  <w:rPr>
                                    <w:rFonts w:ascii="Times New Roman" w:hAnsi="Times New Roman" w:cs="Times New Roman"/>
                                    <w:sz w:val="18"/>
                                    <w:szCs w:val="18"/>
                                  </w:rPr>
                                  <w:t xml:space="preserve"> =</w:t>
                                </w:r>
                                <w:r>
                                  <w:rPr>
                                    <w:rFonts w:ascii="Times New Roman" w:hAnsi="Times New Roman" w:cs="Times New Roman"/>
                                    <w:sz w:val="18"/>
                                    <w:szCs w:val="18"/>
                                  </w:rPr>
                                  <w:t xml:space="preserve"> 52)</w:t>
                                </w:r>
                              </w:p>
                              <w:p w14:paraId="7599A260" w14:textId="77777777" w:rsidR="003463FC" w:rsidRDefault="003463FC" w:rsidP="00582AB5">
                                <w:pPr>
                                  <w:rPr>
                                    <w:rFonts w:ascii="Times New Roman" w:hAnsi="Times New Roman" w:cs="Times New Roman"/>
                                    <w:sz w:val="18"/>
                                    <w:szCs w:val="18"/>
                                  </w:rPr>
                                </w:pPr>
                              </w:p>
                              <w:p w14:paraId="21F72B79"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1. Treatment not GLM (</w:t>
                                </w:r>
                                <w:r>
                                  <w:rPr>
                                    <w:rFonts w:ascii="Times New Roman" w:hAnsi="Times New Roman" w:cs="Times New Roman"/>
                                    <w:i/>
                                    <w:sz w:val="18"/>
                                    <w:szCs w:val="18"/>
                                  </w:rPr>
                                  <w:t>n</w:t>
                                </w:r>
                                <w:r>
                                  <w:rPr>
                                    <w:rFonts w:ascii="Times New Roman" w:hAnsi="Times New Roman" w:cs="Times New Roman"/>
                                    <w:sz w:val="18"/>
                                    <w:szCs w:val="18"/>
                                  </w:rPr>
                                  <w:t xml:space="preserve"> = 15)</w:t>
                                </w:r>
                              </w:p>
                              <w:p w14:paraId="224B7855"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2. Case reconstruction/vignette (</w:t>
                                </w:r>
                                <w:r>
                                  <w:rPr>
                                    <w:rFonts w:ascii="Times New Roman" w:hAnsi="Times New Roman" w:cs="Times New Roman"/>
                                    <w:i/>
                                    <w:sz w:val="18"/>
                                    <w:szCs w:val="18"/>
                                  </w:rPr>
                                  <w:t>n</w:t>
                                </w:r>
                                <w:r>
                                  <w:rPr>
                                    <w:rFonts w:ascii="Times New Roman" w:hAnsi="Times New Roman" w:cs="Times New Roman"/>
                                    <w:sz w:val="18"/>
                                    <w:szCs w:val="18"/>
                                  </w:rPr>
                                  <w:t xml:space="preserve"> = 2)</w:t>
                                </w:r>
                              </w:p>
                              <w:p w14:paraId="44541145" w14:textId="77777777" w:rsidR="003463FC" w:rsidRPr="000A057D" w:rsidRDefault="003463FC" w:rsidP="00582AB5">
                                <w:pPr>
                                  <w:rPr>
                                    <w:rFonts w:ascii="Times New Roman" w:hAnsi="Times New Roman" w:cs="Times New Roman"/>
                                    <w:sz w:val="18"/>
                                    <w:szCs w:val="18"/>
                                  </w:rPr>
                                </w:pPr>
                                <w:r>
                                  <w:rPr>
                                    <w:rFonts w:ascii="Times New Roman" w:hAnsi="Times New Roman" w:cs="Times New Roman"/>
                                    <w:sz w:val="18"/>
                                    <w:szCs w:val="18"/>
                                  </w:rPr>
                                  <w:t>3. Case study (</w:t>
                                </w:r>
                                <w:r>
                                  <w:rPr>
                                    <w:rFonts w:ascii="Times New Roman" w:hAnsi="Times New Roman" w:cs="Times New Roman"/>
                                    <w:i/>
                                    <w:sz w:val="18"/>
                                    <w:szCs w:val="18"/>
                                  </w:rPr>
                                  <w:t xml:space="preserve">n </w:t>
                                </w:r>
                                <w:r>
                                  <w:rPr>
                                    <w:rFonts w:ascii="Times New Roman" w:hAnsi="Times New Roman" w:cs="Times New Roman"/>
                                    <w:sz w:val="18"/>
                                    <w:szCs w:val="18"/>
                                  </w:rPr>
                                  <w:t>= 5)</w:t>
                                </w:r>
                              </w:p>
                              <w:p w14:paraId="68276D57"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4. Review articles (</w:t>
                                </w:r>
                                <w:r>
                                  <w:rPr>
                                    <w:rFonts w:ascii="Times New Roman" w:hAnsi="Times New Roman" w:cs="Times New Roman"/>
                                    <w:i/>
                                    <w:sz w:val="18"/>
                                    <w:szCs w:val="18"/>
                                  </w:rPr>
                                  <w:t>n</w:t>
                                </w:r>
                                <w:r>
                                  <w:rPr>
                                    <w:rFonts w:ascii="Times New Roman" w:hAnsi="Times New Roman" w:cs="Times New Roman"/>
                                    <w:sz w:val="18"/>
                                    <w:szCs w:val="18"/>
                                  </w:rPr>
                                  <w:t xml:space="preserve"> = 5)</w:t>
                                </w:r>
                              </w:p>
                              <w:p w14:paraId="4B9A8450" w14:textId="77777777" w:rsidR="003463FC" w:rsidRPr="00D47A40" w:rsidRDefault="003463FC" w:rsidP="00582AB5">
                                <w:pPr>
                                  <w:rPr>
                                    <w:rFonts w:ascii="Times New Roman" w:hAnsi="Times New Roman" w:cs="Times New Roman"/>
                                    <w:sz w:val="18"/>
                                    <w:szCs w:val="18"/>
                                  </w:rPr>
                                </w:pPr>
                                <w:r>
                                  <w:rPr>
                                    <w:rFonts w:ascii="Times New Roman" w:hAnsi="Times New Roman" w:cs="Times New Roman"/>
                                    <w:sz w:val="18"/>
                                    <w:szCs w:val="18"/>
                                  </w:rPr>
                                  <w:t>5. No full text available (</w:t>
                                </w:r>
                                <w:r>
                                  <w:rPr>
                                    <w:rFonts w:ascii="Times New Roman" w:hAnsi="Times New Roman" w:cs="Times New Roman"/>
                                    <w:i/>
                                    <w:iCs/>
                                    <w:sz w:val="18"/>
                                    <w:szCs w:val="18"/>
                                  </w:rPr>
                                  <w:t>n</w:t>
                                </w:r>
                                <w:r>
                                  <w:rPr>
                                    <w:rFonts w:ascii="Times New Roman" w:hAnsi="Times New Roman" w:cs="Times New Roman"/>
                                    <w:sz w:val="18"/>
                                    <w:szCs w:val="18"/>
                                  </w:rPr>
                                  <w:t xml:space="preserve"> = 1)</w:t>
                                </w:r>
                              </w:p>
                              <w:p w14:paraId="01D2C583"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6a. Does not test GLM assumptions (</w:t>
                                </w:r>
                                <w:r>
                                  <w:rPr>
                                    <w:rFonts w:ascii="Times New Roman" w:hAnsi="Times New Roman" w:cs="Times New Roman"/>
                                    <w:i/>
                                    <w:sz w:val="18"/>
                                    <w:szCs w:val="18"/>
                                  </w:rPr>
                                  <w:t>n</w:t>
                                </w:r>
                                <w:r>
                                  <w:rPr>
                                    <w:rFonts w:ascii="Times New Roman" w:hAnsi="Times New Roman" w:cs="Times New Roman"/>
                                    <w:sz w:val="18"/>
                                    <w:szCs w:val="18"/>
                                  </w:rPr>
                                  <w:t xml:space="preserve"> = 13)</w:t>
                                </w:r>
                              </w:p>
                              <w:p w14:paraId="0DEFDAE8" w14:textId="77777777" w:rsidR="003463FC" w:rsidRPr="00E32281" w:rsidRDefault="003463FC" w:rsidP="00E32281">
                                <w:pPr>
                                  <w:rPr>
                                    <w:rFonts w:ascii="Times New Roman" w:hAnsi="Times New Roman" w:cs="Times New Roman"/>
                                    <w:sz w:val="18"/>
                                    <w:szCs w:val="18"/>
                                  </w:rPr>
                                </w:pPr>
                                <w:r w:rsidRPr="00E32281">
                                  <w:rPr>
                                    <w:rFonts w:ascii="Times New Roman" w:hAnsi="Times New Roman" w:cs="Times New Roman"/>
                                    <w:sz w:val="18"/>
                                    <w:szCs w:val="18"/>
                                  </w:rPr>
                                  <w:t>OR</w:t>
                                </w:r>
                              </w:p>
                              <w:p w14:paraId="45AD9F1F" w14:textId="77777777" w:rsidR="003463FC" w:rsidRPr="00582AB5" w:rsidRDefault="003463FC" w:rsidP="00582AB5">
                                <w:pPr>
                                  <w:rPr>
                                    <w:rFonts w:ascii="Times New Roman" w:hAnsi="Times New Roman" w:cs="Times New Roman"/>
                                    <w:sz w:val="18"/>
                                    <w:szCs w:val="18"/>
                                  </w:rPr>
                                </w:pPr>
                                <w:r>
                                  <w:rPr>
                                    <w:rFonts w:ascii="Times New Roman" w:hAnsi="Times New Roman" w:cs="Times New Roman"/>
                                    <w:sz w:val="18"/>
                                    <w:szCs w:val="18"/>
                                  </w:rPr>
                                  <w:t>6b. Does not test GLM outcomes (</w:t>
                                </w:r>
                                <w:r>
                                  <w:rPr>
                                    <w:rFonts w:ascii="Times New Roman" w:hAnsi="Times New Roman" w:cs="Times New Roman"/>
                                    <w:i/>
                                    <w:sz w:val="18"/>
                                    <w:szCs w:val="18"/>
                                  </w:rPr>
                                  <w:t>n</w:t>
                                </w:r>
                                <w:r>
                                  <w:rPr>
                                    <w:rFonts w:ascii="Times New Roman" w:hAnsi="Times New Roman" w:cs="Times New Roman"/>
                                    <w:sz w:val="18"/>
                                    <w:szCs w:val="18"/>
                                  </w:rPr>
                                  <w:t xml:space="preserve"> = 11)</w:t>
                                </w:r>
                              </w:p>
                              <w:p w14:paraId="30BE3284" w14:textId="77777777" w:rsidR="003463FC" w:rsidRPr="006D3DA9" w:rsidRDefault="003463FC" w:rsidP="0018340A">
                                <w:pPr>
                                  <w:rPr>
                                    <w:rFonts w:ascii="Times New Roman" w:hAnsi="Times New Roman" w:cs="Times New Roman"/>
                                    <w:sz w:val="18"/>
                                    <w:szCs w:val="18"/>
                                  </w:rPr>
                                </w:pPr>
                              </w:p>
                              <w:p w14:paraId="0BA4CC05" w14:textId="77777777" w:rsidR="003463FC" w:rsidRPr="00345002" w:rsidRDefault="003463FC" w:rsidP="0018340A">
                                <w:pPr>
                                  <w:jc w:val="center"/>
                                  <w:rPr>
                                    <w:rFonts w:ascii="Times New Roman" w:hAnsi="Times New Roman" w:cs="Times New Roman"/>
                                    <w:sz w:val="18"/>
                                    <w:szCs w:val="18"/>
                                    <w:lang w:val="en"/>
                                  </w:rPr>
                                </w:pPr>
                              </w:p>
                            </w:txbxContent>
                          </wps:txbx>
                          <wps:bodyPr rot="0" vert="horz" wrap="square" lIns="91440" tIns="91440" rIns="91440" bIns="91440" anchor="t" anchorCtr="0" upright="1">
                            <a:noAutofit/>
                          </wps:bodyPr>
                        </wps:wsp>
                        <wps:wsp>
                          <wps:cNvPr id="38" name="Straight Arrow Connector 38"/>
                          <wps:cNvCnPr>
                            <a:cxnSpLocks noChangeShapeType="1"/>
                          </wps:cNvCnPr>
                          <wps:spPr bwMode="auto">
                            <a:xfrm>
                              <a:off x="3569520" y="3898948"/>
                              <a:ext cx="296802"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2"/>
                          <wps:cNvSpPr txBox="1">
                            <a:spLocks noChangeArrowheads="1"/>
                          </wps:cNvSpPr>
                          <wps:spPr bwMode="auto">
                            <a:xfrm>
                              <a:off x="7315" y="0"/>
                              <a:ext cx="382270" cy="1280160"/>
                            </a:xfrm>
                            <a:prstGeom prst="rect">
                              <a:avLst/>
                            </a:prstGeom>
                            <a:solidFill>
                              <a:srgbClr val="FFFFFF"/>
                            </a:solidFill>
                            <a:ln w="9525">
                              <a:solidFill>
                                <a:srgbClr val="000000"/>
                              </a:solidFill>
                              <a:miter lim="800000"/>
                              <a:headEnd/>
                              <a:tailEnd/>
                            </a:ln>
                          </wps:spPr>
                          <wps:txbx>
                            <w:txbxContent>
                              <w:p w14:paraId="72F5ABEE" w14:textId="77777777" w:rsidR="003463FC" w:rsidRPr="00D747CF" w:rsidRDefault="003463FC" w:rsidP="0018340A">
                                <w:pPr>
                                  <w:jc w:val="center"/>
                                  <w:rPr>
                                    <w:rFonts w:ascii="Times New Roman" w:hAnsi="Times New Roman" w:cs="Times New Roman"/>
                                    <w:b/>
                                  </w:rPr>
                                </w:pPr>
                                <w:r w:rsidRPr="00D747CF">
                                  <w:rPr>
                                    <w:rFonts w:ascii="Times New Roman" w:hAnsi="Times New Roman" w:cs="Times New Roman"/>
                                    <w:b/>
                                  </w:rPr>
                                  <w:t>Identification</w:t>
                                </w:r>
                              </w:p>
                            </w:txbxContent>
                          </wps:txbx>
                          <wps:bodyPr rot="0" vert="vert270" wrap="square" lIns="91440" tIns="45720" rIns="91440" bIns="45720" anchor="t" anchorCtr="0">
                            <a:noAutofit/>
                          </wps:bodyPr>
                        </wps:wsp>
                        <wps:wsp>
                          <wps:cNvPr id="21" name="Text Box 2"/>
                          <wps:cNvSpPr txBox="1">
                            <a:spLocks noChangeArrowheads="1"/>
                          </wps:cNvSpPr>
                          <wps:spPr bwMode="auto">
                            <a:xfrm>
                              <a:off x="7315" y="1389888"/>
                              <a:ext cx="382270" cy="1620266"/>
                            </a:xfrm>
                            <a:prstGeom prst="rect">
                              <a:avLst/>
                            </a:prstGeom>
                            <a:solidFill>
                              <a:srgbClr val="FFFFFF"/>
                            </a:solidFill>
                            <a:ln w="9525">
                              <a:solidFill>
                                <a:srgbClr val="000000"/>
                              </a:solidFill>
                              <a:miter lim="800000"/>
                              <a:headEnd/>
                              <a:tailEnd/>
                            </a:ln>
                          </wps:spPr>
                          <wps:txbx>
                            <w:txbxContent>
                              <w:p w14:paraId="6A9FE29C" w14:textId="77777777" w:rsidR="003463FC" w:rsidRPr="00D747CF" w:rsidRDefault="003463FC" w:rsidP="0018340A">
                                <w:pPr>
                                  <w:jc w:val="center"/>
                                  <w:rPr>
                                    <w:rFonts w:ascii="Times New Roman" w:hAnsi="Times New Roman" w:cs="Times New Roman"/>
                                    <w:b/>
                                  </w:rPr>
                                </w:pPr>
                                <w:r w:rsidRPr="00D747CF">
                                  <w:rPr>
                                    <w:rFonts w:ascii="Times New Roman" w:hAnsi="Times New Roman" w:cs="Times New Roman"/>
                                    <w:b/>
                                  </w:rPr>
                                  <w:t>Screening</w:t>
                                </w:r>
                              </w:p>
                            </w:txbxContent>
                          </wps:txbx>
                          <wps:bodyPr rot="0" vert="vert270" wrap="square" lIns="91440" tIns="45720" rIns="91440" bIns="45720" anchor="t" anchorCtr="0">
                            <a:noAutofit/>
                          </wps:bodyPr>
                        </wps:wsp>
                        <wps:wsp>
                          <wps:cNvPr id="35" name="Text Box 2"/>
                          <wps:cNvSpPr txBox="1">
                            <a:spLocks noChangeArrowheads="1"/>
                          </wps:cNvSpPr>
                          <wps:spPr bwMode="auto">
                            <a:xfrm>
                              <a:off x="7315" y="3160167"/>
                              <a:ext cx="382270" cy="1371600"/>
                            </a:xfrm>
                            <a:prstGeom prst="rect">
                              <a:avLst/>
                            </a:prstGeom>
                            <a:solidFill>
                              <a:srgbClr val="FFFFFF"/>
                            </a:solidFill>
                            <a:ln w="9525">
                              <a:solidFill>
                                <a:srgbClr val="000000"/>
                              </a:solidFill>
                              <a:miter lim="800000"/>
                              <a:headEnd/>
                              <a:tailEnd/>
                            </a:ln>
                          </wps:spPr>
                          <wps:txbx>
                            <w:txbxContent>
                              <w:p w14:paraId="387B896D" w14:textId="77777777" w:rsidR="003463FC" w:rsidRPr="00D747CF" w:rsidRDefault="003463FC" w:rsidP="0018340A">
                                <w:pPr>
                                  <w:jc w:val="center"/>
                                  <w:rPr>
                                    <w:rFonts w:ascii="Times New Roman" w:hAnsi="Times New Roman" w:cs="Times New Roman"/>
                                    <w:b/>
                                  </w:rPr>
                                </w:pPr>
                                <w:r w:rsidRPr="00D747CF">
                                  <w:rPr>
                                    <w:rFonts w:ascii="Times New Roman" w:hAnsi="Times New Roman" w:cs="Times New Roman"/>
                                    <w:b/>
                                  </w:rPr>
                                  <w:t>Eligibility</w:t>
                                </w:r>
                              </w:p>
                            </w:txbxContent>
                          </wps:txbx>
                          <wps:bodyPr rot="0" vert="vert270" wrap="square" lIns="91440" tIns="45720" rIns="91440" bIns="45720" anchor="t" anchorCtr="0">
                            <a:noAutofit/>
                          </wps:bodyPr>
                        </wps:wsp>
                        <wps:wsp>
                          <wps:cNvPr id="46" name="Text Box 2"/>
                          <wps:cNvSpPr txBox="1">
                            <a:spLocks noChangeArrowheads="1"/>
                          </wps:cNvSpPr>
                          <wps:spPr bwMode="auto">
                            <a:xfrm>
                              <a:off x="0" y="4681727"/>
                              <a:ext cx="382270" cy="2372735"/>
                            </a:xfrm>
                            <a:prstGeom prst="rect">
                              <a:avLst/>
                            </a:prstGeom>
                            <a:solidFill>
                              <a:srgbClr val="FFFFFF"/>
                            </a:solidFill>
                            <a:ln w="9525">
                              <a:solidFill>
                                <a:srgbClr val="000000"/>
                              </a:solidFill>
                              <a:miter lim="800000"/>
                              <a:headEnd/>
                              <a:tailEnd/>
                            </a:ln>
                          </wps:spPr>
                          <wps:txbx>
                            <w:txbxContent>
                              <w:p w14:paraId="0AECBFDC" w14:textId="77777777" w:rsidR="003463FC" w:rsidRPr="007C60CA" w:rsidRDefault="003463FC" w:rsidP="0018340A">
                                <w:pPr>
                                  <w:jc w:val="center"/>
                                  <w:rPr>
                                    <w:rFonts w:ascii="Times New Roman" w:hAnsi="Times New Roman" w:cs="Times New Roman"/>
                                    <w:b/>
                                  </w:rPr>
                                </w:pPr>
                                <w:r w:rsidRPr="007C60CA">
                                  <w:rPr>
                                    <w:rFonts w:ascii="Times New Roman" w:hAnsi="Times New Roman" w:cs="Times New Roman"/>
                                    <w:b/>
                                  </w:rPr>
                                  <w:t>Included</w:t>
                                </w:r>
                              </w:p>
                            </w:txbxContent>
                          </wps:txbx>
                          <wps:bodyPr rot="0" vert="vert270" wrap="square" lIns="91440" tIns="45720" rIns="91440" bIns="45720" anchor="t" anchorCtr="0">
                            <a:noAutofit/>
                          </wps:bodyPr>
                        </wps:wsp>
                        <wps:wsp>
                          <wps:cNvPr id="47" name="Straight Arrow Connector 47"/>
                          <wps:cNvCnPr/>
                          <wps:spPr>
                            <a:xfrm>
                              <a:off x="2816352" y="5427879"/>
                              <a:ext cx="0" cy="573205"/>
                            </a:xfrm>
                            <a:prstGeom prst="straightConnector1">
                              <a:avLst/>
                            </a:prstGeom>
                            <a:noFill/>
                            <a:ln w="6350" cap="flat" cmpd="sng" algn="ctr">
                              <a:solidFill>
                                <a:sysClr val="windowText" lastClr="000000"/>
                              </a:solidFill>
                              <a:prstDash val="solid"/>
                              <a:miter lim="800000"/>
                              <a:tailEnd type="triangle"/>
                            </a:ln>
                            <a:effectLst/>
                          </wps:spPr>
                          <wps:bodyPr/>
                        </wps:wsp>
                        <wps:wsp>
                          <wps:cNvPr id="53" name="Rectangle 53"/>
                          <wps:cNvSpPr/>
                          <wps:spPr>
                            <a:xfrm>
                              <a:off x="2070201" y="6027725"/>
                              <a:ext cx="1501140" cy="64262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EE63D25" w14:textId="77777777" w:rsidR="003463FC" w:rsidRDefault="003463FC" w:rsidP="0018340A">
                                <w:pPr>
                                  <w:jc w:val="center"/>
                                  <w:rPr>
                                    <w:rFonts w:ascii="Times New Roman" w:hAnsi="Times New Roman" w:cs="Times New Roman"/>
                                    <w:sz w:val="18"/>
                                    <w:szCs w:val="18"/>
                                  </w:rPr>
                                </w:pPr>
                                <w:r w:rsidRPr="006705BD">
                                  <w:rPr>
                                    <w:rFonts w:ascii="Times New Roman" w:hAnsi="Times New Roman" w:cs="Times New Roman"/>
                                    <w:sz w:val="18"/>
                                    <w:szCs w:val="18"/>
                                  </w:rPr>
                                  <w:t xml:space="preserve">Studies included </w:t>
                                </w:r>
                                <w:r>
                                  <w:rPr>
                                    <w:rFonts w:ascii="Times New Roman" w:hAnsi="Times New Roman" w:cs="Times New Roman"/>
                                    <w:sz w:val="18"/>
                                    <w:szCs w:val="18"/>
                                  </w:rPr>
                                  <w:t>to examine Question two, GLM outcomes</w:t>
                                </w:r>
                              </w:p>
                              <w:p w14:paraId="01C47376" w14:textId="77777777" w:rsidR="003463FC" w:rsidRPr="006705BD" w:rsidRDefault="003463FC" w:rsidP="0018340A">
                                <w:pPr>
                                  <w:jc w:val="center"/>
                                  <w:rPr>
                                    <w:rFonts w:ascii="Times New Roman" w:hAnsi="Times New Roman" w:cs="Times New Roman"/>
                                    <w:sz w:val="18"/>
                                    <w:szCs w:val="18"/>
                                  </w:rPr>
                                </w:pP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rrowheads="1"/>
                          </wps:cNvSpPr>
                          <wps:spPr bwMode="auto">
                            <a:xfrm>
                              <a:off x="738829" y="4442608"/>
                              <a:ext cx="869950" cy="1242574"/>
                            </a:xfrm>
                            <a:prstGeom prst="rect">
                              <a:avLst/>
                            </a:prstGeom>
                            <a:solidFill>
                              <a:srgbClr val="FFFFFF"/>
                            </a:solidFill>
                            <a:ln w="9525">
                              <a:solidFill>
                                <a:srgbClr val="000000"/>
                              </a:solidFill>
                              <a:miter lim="800000"/>
                              <a:headEnd/>
                              <a:tailEnd/>
                            </a:ln>
                          </wps:spPr>
                          <wps:txbx>
                            <w:txbxContent>
                              <w:p w14:paraId="2F73568D" w14:textId="77777777" w:rsidR="003463FC" w:rsidRDefault="003463FC" w:rsidP="0018340A">
                                <w:pPr>
                                  <w:jc w:val="center"/>
                                  <w:rPr>
                                    <w:rFonts w:ascii="Times New Roman" w:hAnsi="Times New Roman" w:cs="Times New Roman"/>
                                    <w:sz w:val="18"/>
                                    <w:szCs w:val="18"/>
                                  </w:rPr>
                                </w:pPr>
                                <w:r w:rsidRPr="000A057D">
                                  <w:rPr>
                                    <w:rFonts w:ascii="Times New Roman" w:hAnsi="Times New Roman" w:cs="Times New Roman"/>
                                    <w:sz w:val="18"/>
                                    <w:szCs w:val="18"/>
                                  </w:rPr>
                                  <w:t>Quantitative</w:t>
                                </w:r>
                                <w:r w:rsidRPr="00613913">
                                  <w:rPr>
                                    <w:rFonts w:ascii="Times New Roman" w:hAnsi="Times New Roman" w:cs="Times New Roman"/>
                                    <w:sz w:val="18"/>
                                    <w:szCs w:val="18"/>
                                  </w:rPr>
                                  <w:t xml:space="preserve"> </w:t>
                                </w:r>
                                <w:r w:rsidRPr="00613913">
                                  <w:rPr>
                                    <w:rFonts w:ascii="Times New Roman" w:hAnsi="Times New Roman" w:cs="Times New Roman"/>
                                    <w:sz w:val="18"/>
                                    <w:szCs w:val="18"/>
                                  </w:rPr>
                                  <w:br/>
                                  <w:t>(</w:t>
                                </w:r>
                                <w:r w:rsidRPr="00725ADC">
                                  <w:rPr>
                                    <w:rFonts w:ascii="Times New Roman" w:hAnsi="Times New Roman" w:cs="Times New Roman"/>
                                    <w:i/>
                                    <w:sz w:val="18"/>
                                    <w:szCs w:val="18"/>
                                  </w:rPr>
                                  <w:t>n</w:t>
                                </w:r>
                                <w:r w:rsidRPr="00613913">
                                  <w:rPr>
                                    <w:rFonts w:ascii="Times New Roman" w:hAnsi="Times New Roman" w:cs="Times New Roman"/>
                                    <w:sz w:val="18"/>
                                    <w:szCs w:val="18"/>
                                  </w:rPr>
                                  <w:t xml:space="preserve"> =</w:t>
                                </w:r>
                                <w:r>
                                  <w:rPr>
                                    <w:rFonts w:ascii="Times New Roman" w:hAnsi="Times New Roman" w:cs="Times New Roman"/>
                                    <w:sz w:val="18"/>
                                    <w:szCs w:val="18"/>
                                  </w:rPr>
                                  <w:t xml:space="preserve"> 8</w:t>
                                </w:r>
                                <w:r w:rsidRPr="00613913">
                                  <w:rPr>
                                    <w:rFonts w:ascii="Times New Roman" w:hAnsi="Times New Roman" w:cs="Times New Roman"/>
                                    <w:sz w:val="18"/>
                                    <w:szCs w:val="18"/>
                                  </w:rPr>
                                  <w:t>)</w:t>
                                </w:r>
                              </w:p>
                              <w:p w14:paraId="76CC316A" w14:textId="77777777" w:rsidR="003463FC" w:rsidRDefault="003463FC" w:rsidP="0018340A">
                                <w:pPr>
                                  <w:jc w:val="center"/>
                                  <w:rPr>
                                    <w:rFonts w:ascii="Times New Roman" w:hAnsi="Times New Roman" w:cs="Times New Roman"/>
                                    <w:sz w:val="18"/>
                                    <w:szCs w:val="18"/>
                                  </w:rPr>
                                </w:pPr>
                              </w:p>
                              <w:p w14:paraId="1290B9AE" w14:textId="77777777" w:rsidR="003463FC" w:rsidRDefault="003463FC" w:rsidP="0018340A">
                                <w:pPr>
                                  <w:jc w:val="center"/>
                                  <w:rPr>
                                    <w:rFonts w:ascii="Times New Roman" w:hAnsi="Times New Roman" w:cs="Times New Roman"/>
                                    <w:sz w:val="18"/>
                                    <w:szCs w:val="18"/>
                                  </w:rPr>
                                </w:pPr>
                                <w:r>
                                  <w:rPr>
                                    <w:rFonts w:ascii="Times New Roman" w:hAnsi="Times New Roman" w:cs="Times New Roman"/>
                                    <w:sz w:val="18"/>
                                    <w:szCs w:val="18"/>
                                  </w:rPr>
                                  <w:t>Qualitative</w:t>
                                </w:r>
                              </w:p>
                              <w:p w14:paraId="552FF996" w14:textId="77777777" w:rsidR="003463FC" w:rsidRDefault="003463FC" w:rsidP="0018340A">
                                <w:pPr>
                                  <w:jc w:val="center"/>
                                  <w:rPr>
                                    <w:rFonts w:ascii="Times New Roman" w:hAnsi="Times New Roman" w:cs="Times New Roman"/>
                                    <w:sz w:val="18"/>
                                    <w:szCs w:val="18"/>
                                  </w:rPr>
                                </w:pPr>
                                <w:r>
                                  <w:rPr>
                                    <w:rFonts w:ascii="Times New Roman" w:hAnsi="Times New Roman" w:cs="Times New Roman"/>
                                    <w:sz w:val="18"/>
                                    <w:szCs w:val="18"/>
                                  </w:rPr>
                                  <w:t>(</w:t>
                                </w:r>
                                <w:r w:rsidRPr="002D4B26">
                                  <w:rPr>
                                    <w:rFonts w:ascii="Times New Roman" w:hAnsi="Times New Roman" w:cs="Times New Roman"/>
                                    <w:i/>
                                    <w:sz w:val="18"/>
                                    <w:szCs w:val="18"/>
                                  </w:rPr>
                                  <w:t>n</w:t>
                                </w:r>
                                <w:r>
                                  <w:rPr>
                                    <w:rFonts w:ascii="Times New Roman" w:hAnsi="Times New Roman" w:cs="Times New Roman"/>
                                    <w:i/>
                                    <w:sz w:val="18"/>
                                    <w:szCs w:val="18"/>
                                  </w:rPr>
                                  <w:t xml:space="preserve"> </w:t>
                                </w:r>
                                <w:r>
                                  <w:rPr>
                                    <w:rFonts w:ascii="Times New Roman" w:hAnsi="Times New Roman" w:cs="Times New Roman"/>
                                    <w:sz w:val="18"/>
                                    <w:szCs w:val="18"/>
                                  </w:rPr>
                                  <w:t>= 3)</w:t>
                                </w:r>
                              </w:p>
                              <w:p w14:paraId="2C86E43B" w14:textId="77777777" w:rsidR="003463FC" w:rsidRDefault="003463FC" w:rsidP="0018340A">
                                <w:pPr>
                                  <w:jc w:val="center"/>
                                  <w:rPr>
                                    <w:rFonts w:ascii="Times New Roman" w:hAnsi="Times New Roman" w:cs="Times New Roman"/>
                                    <w:sz w:val="18"/>
                                    <w:szCs w:val="18"/>
                                  </w:rPr>
                                </w:pPr>
                              </w:p>
                              <w:p w14:paraId="4DEE851F" w14:textId="77777777" w:rsidR="003463FC" w:rsidRDefault="003463FC" w:rsidP="0018340A">
                                <w:pPr>
                                  <w:jc w:val="center"/>
                                  <w:rPr>
                                    <w:rFonts w:ascii="Times New Roman" w:hAnsi="Times New Roman" w:cs="Times New Roman"/>
                                    <w:sz w:val="18"/>
                                    <w:szCs w:val="18"/>
                                  </w:rPr>
                                </w:pPr>
                                <w:r>
                                  <w:rPr>
                                    <w:rFonts w:ascii="Times New Roman" w:hAnsi="Times New Roman" w:cs="Times New Roman"/>
                                    <w:sz w:val="18"/>
                                    <w:szCs w:val="18"/>
                                  </w:rPr>
                                  <w:t>Mixed</w:t>
                                </w:r>
                              </w:p>
                              <w:p w14:paraId="5275E05C" w14:textId="77777777" w:rsidR="003463FC" w:rsidRPr="000A057D" w:rsidRDefault="003463FC" w:rsidP="0018340A">
                                <w:pPr>
                                  <w:jc w:val="center"/>
                                  <w:rPr>
                                    <w:rFonts w:ascii="Calibri" w:hAnsi="Calibri"/>
                                    <w:lang w:val="en"/>
                                  </w:rPr>
                                </w:pPr>
                                <w:r>
                                  <w:rPr>
                                    <w:rFonts w:ascii="Times New Roman" w:hAnsi="Times New Roman" w:cs="Times New Roman"/>
                                    <w:sz w:val="18"/>
                                    <w:szCs w:val="18"/>
                                  </w:rPr>
                                  <w:t>(</w:t>
                                </w:r>
                                <w:r>
                                  <w:rPr>
                                    <w:rFonts w:ascii="Times New Roman" w:hAnsi="Times New Roman" w:cs="Times New Roman"/>
                                    <w:i/>
                                    <w:sz w:val="18"/>
                                    <w:szCs w:val="18"/>
                                  </w:rPr>
                                  <w:t xml:space="preserve">n </w:t>
                                </w:r>
                                <w:r>
                                  <w:rPr>
                                    <w:rFonts w:ascii="Times New Roman" w:hAnsi="Times New Roman" w:cs="Times New Roman"/>
                                    <w:sz w:val="18"/>
                                    <w:szCs w:val="18"/>
                                  </w:rPr>
                                  <w:t>= 1)</w:t>
                                </w:r>
                              </w:p>
                            </w:txbxContent>
                          </wps:txbx>
                          <wps:bodyPr rot="0" vert="horz" wrap="square" lIns="91440" tIns="91440" rIns="91440" bIns="91440" anchor="t" anchorCtr="0" upright="1">
                            <a:noAutofit/>
                          </wps:bodyPr>
                        </wps:wsp>
                        <wps:wsp>
                          <wps:cNvPr id="45" name="Straight Arrow Connector 45"/>
                          <wps:cNvCnPr/>
                          <wps:spPr>
                            <a:xfrm flipH="1">
                              <a:off x="1609344" y="5135271"/>
                              <a:ext cx="474980" cy="0"/>
                            </a:xfrm>
                            <a:prstGeom prst="straightConnector1">
                              <a:avLst/>
                            </a:prstGeom>
                            <a:noFill/>
                            <a:ln w="6350" cap="flat" cmpd="sng" algn="ctr">
                              <a:solidFill>
                                <a:sysClr val="windowText" lastClr="000000"/>
                              </a:solidFill>
                              <a:prstDash val="solid"/>
                              <a:miter lim="800000"/>
                              <a:tailEnd type="triangle"/>
                            </a:ln>
                            <a:effectLst/>
                          </wps:spPr>
                          <wps:bodyPr/>
                        </wps:wsp>
                        <wps:wsp>
                          <wps:cNvPr id="2" name="Straight Arrow Connector 2"/>
                          <wps:cNvCnPr/>
                          <wps:spPr>
                            <a:xfrm>
                              <a:off x="2816352" y="4235501"/>
                              <a:ext cx="0" cy="573205"/>
                            </a:xfrm>
                            <a:prstGeom prst="straightConnector1">
                              <a:avLst/>
                            </a:prstGeom>
                            <a:noFill/>
                            <a:ln w="6350" cap="flat" cmpd="sng" algn="ctr">
                              <a:solidFill>
                                <a:sysClr val="windowText" lastClr="000000"/>
                              </a:solidFill>
                              <a:prstDash val="solid"/>
                              <a:miter lim="800000"/>
                              <a:tailEnd type="triangle"/>
                            </a:ln>
                            <a:effectLst/>
                          </wps:spPr>
                          <wps:bodyPr/>
                        </wps:wsp>
                        <wps:wsp>
                          <wps:cNvPr id="3" name="Straight Arrow Connector 3"/>
                          <wps:cNvCnPr/>
                          <wps:spPr>
                            <a:xfrm>
                              <a:off x="2823667" y="3006547"/>
                              <a:ext cx="0" cy="573205"/>
                            </a:xfrm>
                            <a:prstGeom prst="straightConnector1">
                              <a:avLst/>
                            </a:prstGeom>
                            <a:noFill/>
                            <a:ln w="6350" cap="flat" cmpd="sng" algn="ctr">
                              <a:solidFill>
                                <a:sysClr val="windowText" lastClr="000000"/>
                              </a:solidFill>
                              <a:prstDash val="solid"/>
                              <a:miter lim="800000"/>
                              <a:tailEnd type="triangle"/>
                            </a:ln>
                            <a:effectLst/>
                          </wps:spPr>
                          <wps:bodyPr/>
                        </wps:wsp>
                        <wps:wsp>
                          <wps:cNvPr id="4" name="Straight Arrow Connector 4"/>
                          <wps:cNvCnPr/>
                          <wps:spPr>
                            <a:xfrm>
                              <a:off x="2062886" y="804672"/>
                              <a:ext cx="0" cy="572770"/>
                            </a:xfrm>
                            <a:prstGeom prst="straightConnector1">
                              <a:avLst/>
                            </a:prstGeom>
                            <a:noFill/>
                            <a:ln w="6350" cap="flat" cmpd="sng" algn="ctr">
                              <a:solidFill>
                                <a:sysClr val="windowText" lastClr="000000"/>
                              </a:solidFill>
                              <a:prstDash val="solid"/>
                              <a:miter lim="800000"/>
                              <a:tailEnd type="triangle"/>
                            </a:ln>
                            <a:effectLst/>
                          </wps:spPr>
                          <wps:bodyPr/>
                        </wps:wsp>
                        <wps:wsp>
                          <wps:cNvPr id="5" name="Straight Arrow Connector 5"/>
                          <wps:cNvCnPr/>
                          <wps:spPr>
                            <a:xfrm>
                              <a:off x="3562502" y="804672"/>
                              <a:ext cx="0" cy="572770"/>
                            </a:xfrm>
                            <a:prstGeom prst="straightConnector1">
                              <a:avLst/>
                            </a:prstGeom>
                            <a:noFill/>
                            <a:ln w="6350" cap="flat" cmpd="sng" algn="ctr">
                              <a:solidFill>
                                <a:sysClr val="windowText" lastClr="000000"/>
                              </a:solidFill>
                              <a:prstDash val="solid"/>
                              <a:miter lim="800000"/>
                              <a:tailEnd type="triangle"/>
                            </a:ln>
                            <a:effectLst/>
                          </wps:spPr>
                          <wps:bodyPr/>
                        </wps:wsp>
                        <wps:wsp>
                          <wps:cNvPr id="6" name="Straight Arrow Connector 6"/>
                          <wps:cNvCnPr/>
                          <wps:spPr>
                            <a:xfrm>
                              <a:off x="2823667" y="1945843"/>
                              <a:ext cx="0" cy="573205"/>
                            </a:xfrm>
                            <a:prstGeom prst="straightConnector1">
                              <a:avLst/>
                            </a:prstGeom>
                            <a:noFill/>
                            <a:ln w="6350" cap="flat" cmpd="sng" algn="ctr">
                              <a:solidFill>
                                <a:sysClr val="windowText" lastClr="000000"/>
                              </a:solidFill>
                              <a:prstDash val="solid"/>
                              <a:miter lim="800000"/>
                              <a:tailEnd type="triangle"/>
                            </a:ln>
                            <a:effectLst/>
                          </wps:spPr>
                          <wps:bodyPr/>
                        </wps:wsp>
                        <wps:wsp>
                          <wps:cNvPr id="7" name="Rectangle 7"/>
                          <wps:cNvSpPr/>
                          <wps:spPr>
                            <a:xfrm>
                              <a:off x="2070201" y="4806087"/>
                              <a:ext cx="1501140" cy="64262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E0DE590" w14:textId="77777777" w:rsidR="003463FC" w:rsidRDefault="003463FC" w:rsidP="002D4B26">
                                <w:pPr>
                                  <w:jc w:val="center"/>
                                  <w:rPr>
                                    <w:rFonts w:ascii="Times New Roman" w:hAnsi="Times New Roman" w:cs="Times New Roman"/>
                                    <w:sz w:val="18"/>
                                    <w:szCs w:val="18"/>
                                  </w:rPr>
                                </w:pPr>
                                <w:r w:rsidRPr="006705BD">
                                  <w:rPr>
                                    <w:rFonts w:ascii="Times New Roman" w:hAnsi="Times New Roman" w:cs="Times New Roman"/>
                                    <w:sz w:val="18"/>
                                    <w:szCs w:val="18"/>
                                  </w:rPr>
                                  <w:t xml:space="preserve">Studies included </w:t>
                                </w:r>
                                <w:r>
                                  <w:rPr>
                                    <w:rFonts w:ascii="Times New Roman" w:hAnsi="Times New Roman" w:cs="Times New Roman"/>
                                    <w:sz w:val="18"/>
                                    <w:szCs w:val="18"/>
                                  </w:rPr>
                                  <w:t>to examine Question one, GLM assumptions</w:t>
                                </w:r>
                              </w:p>
                              <w:p w14:paraId="062C981D" w14:textId="77777777" w:rsidR="003463FC" w:rsidRPr="006705BD" w:rsidRDefault="003463FC" w:rsidP="002D4B26">
                                <w:pPr>
                                  <w:jc w:val="center"/>
                                  <w:rPr>
                                    <w:rFonts w:ascii="Times New Roman" w:hAnsi="Times New Roman" w:cs="Times New Roman"/>
                                    <w:sz w:val="18"/>
                                    <w:szCs w:val="18"/>
                                  </w:rPr>
                                </w:pP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Rectangle 11"/>
                        <wps:cNvSpPr>
                          <a:spLocks noChangeArrowheads="1"/>
                        </wps:cNvSpPr>
                        <wps:spPr bwMode="auto">
                          <a:xfrm>
                            <a:off x="739471" y="5812403"/>
                            <a:ext cx="869947" cy="1242545"/>
                          </a:xfrm>
                          <a:prstGeom prst="rect">
                            <a:avLst/>
                          </a:prstGeom>
                          <a:solidFill>
                            <a:srgbClr val="FFFFFF"/>
                          </a:solidFill>
                          <a:ln w="9525">
                            <a:solidFill>
                              <a:srgbClr val="000000"/>
                            </a:solidFill>
                            <a:miter lim="800000"/>
                            <a:headEnd/>
                            <a:tailEnd/>
                          </a:ln>
                        </wps:spPr>
                        <wps:txbx>
                          <w:txbxContent>
                            <w:p w14:paraId="239B6BC6" w14:textId="77777777" w:rsidR="003463FC" w:rsidRDefault="003463FC" w:rsidP="000A057D">
                              <w:pPr>
                                <w:jc w:val="center"/>
                                <w:rPr>
                                  <w:rFonts w:ascii="Times New Roman" w:hAnsi="Times New Roman" w:cs="Times New Roman"/>
                                  <w:sz w:val="18"/>
                                  <w:szCs w:val="18"/>
                                </w:rPr>
                              </w:pPr>
                              <w:r w:rsidRPr="000A057D">
                                <w:rPr>
                                  <w:rFonts w:ascii="Times New Roman" w:hAnsi="Times New Roman" w:cs="Times New Roman"/>
                                  <w:sz w:val="18"/>
                                  <w:szCs w:val="18"/>
                                </w:rPr>
                                <w:t>Quantitative</w:t>
                              </w:r>
                              <w:r w:rsidRPr="00613913">
                                <w:rPr>
                                  <w:rFonts w:ascii="Times New Roman" w:hAnsi="Times New Roman" w:cs="Times New Roman"/>
                                  <w:sz w:val="18"/>
                                  <w:szCs w:val="18"/>
                                </w:rPr>
                                <w:t xml:space="preserve"> </w:t>
                              </w:r>
                              <w:r w:rsidRPr="00613913">
                                <w:rPr>
                                  <w:rFonts w:ascii="Times New Roman" w:hAnsi="Times New Roman" w:cs="Times New Roman"/>
                                  <w:sz w:val="18"/>
                                  <w:szCs w:val="18"/>
                                </w:rPr>
                                <w:br/>
                                <w:t>(</w:t>
                              </w:r>
                              <w:r w:rsidRPr="00725ADC">
                                <w:rPr>
                                  <w:rFonts w:ascii="Times New Roman" w:hAnsi="Times New Roman" w:cs="Times New Roman"/>
                                  <w:i/>
                                  <w:sz w:val="18"/>
                                  <w:szCs w:val="18"/>
                                </w:rPr>
                                <w:t>n</w:t>
                              </w:r>
                              <w:r w:rsidRPr="00613913">
                                <w:rPr>
                                  <w:rFonts w:ascii="Times New Roman" w:hAnsi="Times New Roman" w:cs="Times New Roman"/>
                                  <w:sz w:val="18"/>
                                  <w:szCs w:val="18"/>
                                </w:rPr>
                                <w:t xml:space="preserve"> =</w:t>
                              </w:r>
                              <w:r>
                                <w:rPr>
                                  <w:rFonts w:ascii="Times New Roman" w:hAnsi="Times New Roman" w:cs="Times New Roman"/>
                                  <w:sz w:val="18"/>
                                  <w:szCs w:val="18"/>
                                </w:rPr>
                                <w:t xml:space="preserve"> 2</w:t>
                              </w:r>
                              <w:r w:rsidRPr="00613913">
                                <w:rPr>
                                  <w:rFonts w:ascii="Times New Roman" w:hAnsi="Times New Roman" w:cs="Times New Roman"/>
                                  <w:sz w:val="18"/>
                                  <w:szCs w:val="18"/>
                                </w:rPr>
                                <w:t>)</w:t>
                              </w:r>
                            </w:p>
                            <w:p w14:paraId="1C825C61" w14:textId="77777777" w:rsidR="003463FC" w:rsidRDefault="003463FC" w:rsidP="000A057D">
                              <w:pPr>
                                <w:jc w:val="center"/>
                                <w:rPr>
                                  <w:rFonts w:ascii="Times New Roman" w:hAnsi="Times New Roman" w:cs="Times New Roman"/>
                                  <w:sz w:val="18"/>
                                  <w:szCs w:val="18"/>
                                </w:rPr>
                              </w:pPr>
                            </w:p>
                            <w:p w14:paraId="501EB9B9" w14:textId="77777777" w:rsidR="003463FC" w:rsidRDefault="003463FC" w:rsidP="000A057D">
                              <w:pPr>
                                <w:jc w:val="center"/>
                                <w:rPr>
                                  <w:rFonts w:ascii="Times New Roman" w:hAnsi="Times New Roman" w:cs="Times New Roman"/>
                                  <w:sz w:val="18"/>
                                  <w:szCs w:val="18"/>
                                </w:rPr>
                              </w:pPr>
                              <w:r>
                                <w:rPr>
                                  <w:rFonts w:ascii="Times New Roman" w:hAnsi="Times New Roman" w:cs="Times New Roman"/>
                                  <w:sz w:val="18"/>
                                  <w:szCs w:val="18"/>
                                </w:rPr>
                                <w:t>Qualitative</w:t>
                              </w:r>
                            </w:p>
                            <w:p w14:paraId="45C7C8CC" w14:textId="77777777" w:rsidR="003463FC" w:rsidRDefault="003463FC" w:rsidP="000A057D">
                              <w:pPr>
                                <w:jc w:val="center"/>
                                <w:rPr>
                                  <w:rFonts w:ascii="Times New Roman" w:hAnsi="Times New Roman" w:cs="Times New Roman"/>
                                  <w:sz w:val="18"/>
                                  <w:szCs w:val="18"/>
                                </w:rPr>
                              </w:pPr>
                              <w:r>
                                <w:rPr>
                                  <w:rFonts w:ascii="Times New Roman" w:hAnsi="Times New Roman" w:cs="Times New Roman"/>
                                  <w:sz w:val="18"/>
                                  <w:szCs w:val="18"/>
                                </w:rPr>
                                <w:t>(</w:t>
                              </w:r>
                              <w:r w:rsidRPr="002D4B26">
                                <w:rPr>
                                  <w:rFonts w:ascii="Times New Roman" w:hAnsi="Times New Roman" w:cs="Times New Roman"/>
                                  <w:i/>
                                  <w:sz w:val="18"/>
                                  <w:szCs w:val="18"/>
                                </w:rPr>
                                <w:t>n</w:t>
                              </w:r>
                              <w:r>
                                <w:rPr>
                                  <w:rFonts w:ascii="Times New Roman" w:hAnsi="Times New Roman" w:cs="Times New Roman"/>
                                  <w:i/>
                                  <w:sz w:val="18"/>
                                  <w:szCs w:val="18"/>
                                </w:rPr>
                                <w:t xml:space="preserve"> </w:t>
                              </w:r>
                              <w:r>
                                <w:rPr>
                                  <w:rFonts w:ascii="Times New Roman" w:hAnsi="Times New Roman" w:cs="Times New Roman"/>
                                  <w:sz w:val="18"/>
                                  <w:szCs w:val="18"/>
                                </w:rPr>
                                <w:t>= 2)</w:t>
                              </w:r>
                            </w:p>
                            <w:p w14:paraId="1C6F04BE" w14:textId="77777777" w:rsidR="003463FC" w:rsidRDefault="003463FC" w:rsidP="000A057D">
                              <w:pPr>
                                <w:jc w:val="center"/>
                                <w:rPr>
                                  <w:rFonts w:ascii="Times New Roman" w:hAnsi="Times New Roman" w:cs="Times New Roman"/>
                                  <w:sz w:val="18"/>
                                  <w:szCs w:val="18"/>
                                </w:rPr>
                              </w:pPr>
                            </w:p>
                            <w:p w14:paraId="6A159D33" w14:textId="77777777" w:rsidR="003463FC" w:rsidRDefault="003463FC" w:rsidP="000A057D">
                              <w:pPr>
                                <w:jc w:val="center"/>
                                <w:rPr>
                                  <w:rFonts w:ascii="Times New Roman" w:hAnsi="Times New Roman" w:cs="Times New Roman"/>
                                  <w:sz w:val="18"/>
                                  <w:szCs w:val="18"/>
                                </w:rPr>
                              </w:pPr>
                              <w:r>
                                <w:rPr>
                                  <w:rFonts w:ascii="Times New Roman" w:hAnsi="Times New Roman" w:cs="Times New Roman"/>
                                  <w:sz w:val="18"/>
                                  <w:szCs w:val="18"/>
                                </w:rPr>
                                <w:t>Mixed</w:t>
                              </w:r>
                            </w:p>
                            <w:p w14:paraId="5A3CA5DC" w14:textId="77777777" w:rsidR="003463FC" w:rsidRPr="000A057D" w:rsidRDefault="003463FC" w:rsidP="000A057D">
                              <w:pPr>
                                <w:jc w:val="center"/>
                                <w:rPr>
                                  <w:rFonts w:ascii="Calibri" w:hAnsi="Calibri"/>
                                  <w:lang w:val="en"/>
                                </w:rPr>
                              </w:pPr>
                              <w:r>
                                <w:rPr>
                                  <w:rFonts w:ascii="Times New Roman" w:hAnsi="Times New Roman" w:cs="Times New Roman"/>
                                  <w:sz w:val="18"/>
                                  <w:szCs w:val="18"/>
                                </w:rPr>
                                <w:t>(</w:t>
                              </w:r>
                              <w:r>
                                <w:rPr>
                                  <w:rFonts w:ascii="Times New Roman" w:hAnsi="Times New Roman" w:cs="Times New Roman"/>
                                  <w:i/>
                                  <w:sz w:val="18"/>
                                  <w:szCs w:val="18"/>
                                </w:rPr>
                                <w:t xml:space="preserve">n </w:t>
                              </w:r>
                              <w:r>
                                <w:rPr>
                                  <w:rFonts w:ascii="Times New Roman" w:hAnsi="Times New Roman" w:cs="Times New Roman"/>
                                  <w:sz w:val="18"/>
                                  <w:szCs w:val="18"/>
                                </w:rPr>
                                <w:t>= 1)</w:t>
                              </w:r>
                            </w:p>
                          </w:txbxContent>
                        </wps:txbx>
                        <wps:bodyPr rot="0" vert="horz" wrap="square" lIns="91440" tIns="91440" rIns="91440" bIns="91440" anchor="t" anchorCtr="0" upright="1">
                          <a:noAutofit/>
                        </wps:bodyPr>
                      </wps:wsp>
                    </wpg:wgp>
                  </a:graphicData>
                </a:graphic>
                <wp14:sizeRelH relativeFrom="margin">
                  <wp14:pctWidth>0</wp14:pctWidth>
                </wp14:sizeRelH>
              </wp:anchor>
            </w:drawing>
          </mc:Choice>
          <mc:Fallback>
            <w:pict>
              <v:group w14:anchorId="0BD500E0" id="Group 12" o:spid="_x0000_s1026" style="position:absolute;left:0;text-align:left;margin-left:-12.5pt;margin-top:6.55pt;width:484.4pt;height:555.5pt;z-index:251710464;mso-width-relative:margin" coordsize="61518,70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">
                <v:group id="Group 10" o:spid="_x0000_s1027" style="position:absolute;width:61518;height:70544" coordsize="61518,70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7" o:spid="_x0000_s1028" style="position:absolute;left:7388;top:1755;width:20091;height:6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">
                    <v:textbox inset=",7.2pt,,7.2pt">
                      <w:txbxContent>
                        <w:p w14:paraId="7BA9E2B5" w14:textId="77777777" w:rsidR="003463FC" w:rsidRPr="00B568C9" w:rsidRDefault="003463FC" w:rsidP="0018340A">
                          <w:pPr>
                            <w:jc w:val="center"/>
                            <w:rPr>
                              <w:rFonts w:ascii="Times New Roman" w:hAnsi="Times New Roman" w:cs="Times New Roman"/>
                              <w:lang w:val="en"/>
                            </w:rPr>
                          </w:pPr>
                          <w:r w:rsidRPr="00E36C06">
                            <w:rPr>
                              <w:rFonts w:ascii="Times New Roman" w:hAnsi="Times New Roman" w:cs="Times New Roman"/>
                              <w:sz w:val="18"/>
                              <w:szCs w:val="18"/>
                            </w:rPr>
                            <w:t xml:space="preserve">Records identified through database searching </w:t>
                          </w:r>
                          <w:r w:rsidRPr="00B568C9">
                            <w:rPr>
                              <w:rFonts w:ascii="Times New Roman" w:hAnsi="Times New Roman" w:cs="Times New Roman"/>
                            </w:rPr>
                            <w:br/>
                          </w: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934</w:t>
                          </w:r>
                          <w:r w:rsidRPr="004B672D">
                            <w:rPr>
                              <w:rFonts w:ascii="Times New Roman" w:hAnsi="Times New Roman" w:cs="Times New Roman"/>
                              <w:sz w:val="18"/>
                              <w:szCs w:val="18"/>
                            </w:rPr>
                            <w:t>)</w:t>
                          </w:r>
                        </w:p>
                      </w:txbxContent>
                    </v:textbox>
                  </v:rect>
                  <v:rect id="Rectangle 16" o:spid="_x0000_s1029" style="position:absolute;left:28748;top:1755;width:19800;height:6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">
                    <v:textbox inset=",7.2pt,,7.2pt">
                      <w:txbxContent>
                        <w:p w14:paraId="0EEEC583" w14:textId="77777777" w:rsidR="003463FC" w:rsidRPr="00B568C9" w:rsidRDefault="003463FC" w:rsidP="0018340A">
                          <w:pPr>
                            <w:jc w:val="center"/>
                            <w:rPr>
                              <w:rFonts w:ascii="Times New Roman" w:hAnsi="Times New Roman" w:cs="Times New Roman"/>
                              <w:lang w:val="en"/>
                            </w:rPr>
                          </w:pPr>
                          <w:r w:rsidRPr="00E36C06">
                            <w:rPr>
                              <w:rFonts w:ascii="Times New Roman" w:hAnsi="Times New Roman" w:cs="Times New Roman"/>
                              <w:sz w:val="18"/>
                              <w:szCs w:val="18"/>
                            </w:rPr>
                            <w:t xml:space="preserve">Additional records identified through other sources </w:t>
                          </w:r>
                          <w:r w:rsidRPr="00B568C9">
                            <w:rPr>
                              <w:rFonts w:ascii="Times New Roman" w:hAnsi="Times New Roman" w:cs="Times New Roman"/>
                            </w:rPr>
                            <w:br/>
                          </w: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13</w:t>
                          </w:r>
                          <w:r w:rsidRPr="004B672D">
                            <w:rPr>
                              <w:rFonts w:ascii="Times New Roman" w:hAnsi="Times New Roman" w:cs="Times New Roman"/>
                              <w:sz w:val="18"/>
                              <w:szCs w:val="18"/>
                            </w:rPr>
                            <w:t>)</w:t>
                          </w:r>
                        </w:p>
                      </w:txbxContent>
                    </v:textbox>
                  </v:rect>
                  <v:rect id="Rectangle 20" o:spid="_x0000_s1030" style="position:absolute;left:14703;top:13898;width:26794;height:5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">
                    <v:textbox inset=",7.2pt,,7.2pt">
                      <w:txbxContent>
                        <w:p w14:paraId="41DF631C" w14:textId="77777777" w:rsidR="003463FC" w:rsidRPr="00E36C06" w:rsidRDefault="003463FC" w:rsidP="0018340A">
                          <w:pPr>
                            <w:jc w:val="center"/>
                            <w:rPr>
                              <w:rFonts w:ascii="Times New Roman" w:hAnsi="Times New Roman" w:cs="Times New Roman"/>
                              <w:sz w:val="18"/>
                              <w:szCs w:val="18"/>
                              <w:lang w:val="en"/>
                            </w:rPr>
                          </w:pPr>
                          <w:r w:rsidRPr="00E36C06">
                            <w:rPr>
                              <w:rFonts w:ascii="Times New Roman" w:hAnsi="Times New Roman" w:cs="Times New Roman"/>
                              <w:sz w:val="18"/>
                              <w:szCs w:val="18"/>
                            </w:rPr>
                            <w:t xml:space="preserve">Records after duplicates removed </w:t>
                          </w:r>
                          <w:r w:rsidRPr="00E36C06">
                            <w:rPr>
                              <w:rFonts w:ascii="Times New Roman" w:hAnsi="Times New Roman" w:cs="Times New Roman"/>
                              <w:sz w:val="18"/>
                              <w:szCs w:val="18"/>
                            </w:rPr>
                            <w:br/>
                            <w:t>(</w:t>
                          </w:r>
                          <w:r w:rsidRPr="00725ADC">
                            <w:rPr>
                              <w:rFonts w:ascii="Times New Roman" w:hAnsi="Times New Roman" w:cs="Times New Roman"/>
                              <w:i/>
                              <w:sz w:val="18"/>
                              <w:szCs w:val="18"/>
                            </w:rPr>
                            <w:t>n</w:t>
                          </w:r>
                          <w:r w:rsidRPr="00E36C06">
                            <w:rPr>
                              <w:rFonts w:ascii="Times New Roman" w:hAnsi="Times New Roman" w:cs="Times New Roman"/>
                              <w:sz w:val="18"/>
                              <w:szCs w:val="18"/>
                            </w:rPr>
                            <w:t xml:space="preserve"> =</w:t>
                          </w:r>
                          <w:r>
                            <w:rPr>
                              <w:rFonts w:ascii="Times New Roman" w:hAnsi="Times New Roman" w:cs="Times New Roman"/>
                              <w:sz w:val="18"/>
                              <w:szCs w:val="18"/>
                            </w:rPr>
                            <w:t xml:space="preserve"> 634</w:t>
                          </w:r>
                          <w:r w:rsidRPr="00E36C06">
                            <w:rPr>
                              <w:rFonts w:ascii="Times New Roman" w:hAnsi="Times New Roman" w:cs="Times New Roman"/>
                              <w:sz w:val="18"/>
                              <w:szCs w:val="18"/>
                            </w:rPr>
                            <w:t>)</w:t>
                          </w:r>
                        </w:p>
                      </w:txbxContent>
                    </v:textbox>
                  </v:rect>
                  <v:rect id="Rectangle 31" o:spid="_x0000_s1031" style="position:absolute;left:20848;top:25237;width:14776;height:4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">
                    <v:textbox inset=",7.2pt,,7.2pt">
                      <w:txbxContent>
                        <w:p w14:paraId="7A6291AC" w14:textId="77777777" w:rsidR="003463FC" w:rsidRPr="00E36C06" w:rsidRDefault="003463FC" w:rsidP="0018340A">
                          <w:pPr>
                            <w:jc w:val="center"/>
                            <w:rPr>
                              <w:rFonts w:ascii="Times New Roman" w:hAnsi="Times New Roman" w:cs="Times New Roman"/>
                              <w:sz w:val="18"/>
                              <w:szCs w:val="18"/>
                              <w:lang w:val="en"/>
                            </w:rPr>
                          </w:pPr>
                          <w:r w:rsidRPr="00E36C06">
                            <w:rPr>
                              <w:rFonts w:ascii="Times New Roman" w:hAnsi="Times New Roman" w:cs="Times New Roman"/>
                              <w:sz w:val="18"/>
                              <w:szCs w:val="18"/>
                            </w:rPr>
                            <w:t xml:space="preserve">Records screened </w:t>
                          </w:r>
                          <w:r w:rsidRPr="00E36C06">
                            <w:rPr>
                              <w:rFonts w:ascii="Times New Roman" w:hAnsi="Times New Roman" w:cs="Times New Roman"/>
                              <w:sz w:val="18"/>
                              <w:szCs w:val="18"/>
                            </w:rPr>
                            <w:br/>
                            <w:t>(</w:t>
                          </w:r>
                          <w:r w:rsidRPr="00725ADC">
                            <w:rPr>
                              <w:rFonts w:ascii="Times New Roman" w:hAnsi="Times New Roman" w:cs="Times New Roman"/>
                              <w:i/>
                              <w:sz w:val="18"/>
                              <w:szCs w:val="18"/>
                            </w:rPr>
                            <w:t>n</w:t>
                          </w:r>
                          <w:r w:rsidRPr="00E36C06">
                            <w:rPr>
                              <w:rFonts w:ascii="Times New Roman" w:hAnsi="Times New Roman" w:cs="Times New Roman"/>
                              <w:sz w:val="18"/>
                              <w:szCs w:val="18"/>
                            </w:rPr>
                            <w:t xml:space="preserve"> =</w:t>
                          </w:r>
                          <w:r>
                            <w:rPr>
                              <w:rFonts w:ascii="Times New Roman" w:hAnsi="Times New Roman" w:cs="Times New Roman"/>
                              <w:sz w:val="18"/>
                              <w:szCs w:val="18"/>
                            </w:rPr>
                            <w:t xml:space="preserve"> 634</w:t>
                          </w:r>
                          <w:r w:rsidRPr="00E36C06">
                            <w:rPr>
                              <w:rFonts w:ascii="Times New Roman" w:hAnsi="Times New Roman" w:cs="Times New Roman"/>
                              <w:sz w:val="18"/>
                              <w:szCs w:val="18"/>
                            </w:rPr>
                            <w:t>)</w:t>
                          </w:r>
                        </w:p>
                      </w:txbxContent>
                    </v:textbox>
                  </v:rect>
                  <v:rect id="Rectangle 37" o:spid="_x0000_s1032" style="position:absolute;left:20848;top:35844;width:14776;height:6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">
                    <v:textbox inset=",7.2pt,,7.2pt">
                      <w:txbxContent>
                        <w:p w14:paraId="42D3128D" w14:textId="77777777" w:rsidR="003463FC" w:rsidRPr="00B028EB" w:rsidRDefault="003463FC" w:rsidP="0018340A">
                          <w:pPr>
                            <w:jc w:val="center"/>
                            <w:rPr>
                              <w:rFonts w:ascii="Times New Roman" w:hAnsi="Times New Roman" w:cs="Times New Roman"/>
                              <w:lang w:val="en"/>
                            </w:rPr>
                          </w:pPr>
                          <w:r w:rsidRPr="00B028EB">
                            <w:rPr>
                              <w:rFonts w:ascii="Times New Roman" w:hAnsi="Times New Roman" w:cs="Times New Roman"/>
                              <w:sz w:val="18"/>
                              <w:szCs w:val="18"/>
                            </w:rPr>
                            <w:t>Full-text articles assessed for eligibilit</w:t>
                          </w:r>
                          <w:r w:rsidRPr="00417CF4">
                            <w:rPr>
                              <w:rFonts w:ascii="Times New Roman" w:hAnsi="Times New Roman" w:cs="Times New Roman"/>
                              <w:sz w:val="18"/>
                            </w:rPr>
                            <w:t>y</w:t>
                          </w:r>
                          <w:r w:rsidRPr="00B028EB">
                            <w:rPr>
                              <w:rFonts w:ascii="Times New Roman" w:hAnsi="Times New Roman" w:cs="Times New Roman"/>
                            </w:rPr>
                            <w:t xml:space="preserve"> </w:t>
                          </w:r>
                          <w:r w:rsidRPr="00B028EB">
                            <w:rPr>
                              <w:rFonts w:ascii="Times New Roman" w:hAnsi="Times New Roman" w:cs="Times New Roman"/>
                            </w:rPr>
                            <w:br/>
                          </w: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69</w:t>
                          </w:r>
                          <w:r w:rsidRPr="00B028EB">
                            <w:rPr>
                              <w:rFonts w:ascii="Times New Roman" w:hAnsi="Times New Roman" w:cs="Times New Roman"/>
                              <w:sz w:val="18"/>
                              <w:szCs w:val="18"/>
                            </w:rPr>
                            <w:t>)</w:t>
                          </w:r>
                        </w:p>
                        <w:p w14:paraId="367B77CD" w14:textId="77777777" w:rsidR="003463FC" w:rsidRPr="00E36C06" w:rsidRDefault="003463FC" w:rsidP="0018340A">
                          <w:pPr>
                            <w:jc w:val="center"/>
                            <w:rPr>
                              <w:rFonts w:ascii="Times New Roman" w:hAnsi="Times New Roman" w:cs="Times New Roman"/>
                              <w:sz w:val="18"/>
                              <w:szCs w:val="18"/>
                              <w:lang w:val="en"/>
                            </w:rPr>
                          </w:pPr>
                        </w:p>
                      </w:txbxContent>
                    </v:textbox>
                  </v:rect>
                  <v:rect id="Rectangle 32" o:spid="_x0000_s1033" style="position:absolute;left:38750;top:25345;width:22768;height:4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">
                    <v:textbox inset=",7.2pt,,7.2pt">
                      <w:txbxContent>
                        <w:p w14:paraId="264D9FCA" w14:textId="77777777" w:rsidR="003463FC" w:rsidRPr="00345002" w:rsidRDefault="003463FC" w:rsidP="0018340A">
                          <w:pPr>
                            <w:jc w:val="center"/>
                            <w:rPr>
                              <w:rFonts w:ascii="Times New Roman" w:hAnsi="Times New Roman" w:cs="Times New Roman"/>
                              <w:sz w:val="18"/>
                              <w:szCs w:val="18"/>
                              <w:lang w:val="en"/>
                            </w:rPr>
                          </w:pPr>
                          <w:r w:rsidRPr="00345002">
                            <w:rPr>
                              <w:rFonts w:ascii="Times New Roman" w:hAnsi="Times New Roman" w:cs="Times New Roman"/>
                              <w:sz w:val="18"/>
                              <w:szCs w:val="18"/>
                            </w:rPr>
                            <w:t>R</w:t>
                          </w:r>
                          <w:r>
                            <w:rPr>
                              <w:rFonts w:ascii="Times New Roman" w:hAnsi="Times New Roman" w:cs="Times New Roman"/>
                              <w:sz w:val="18"/>
                              <w:szCs w:val="18"/>
                            </w:rPr>
                            <w:t xml:space="preserve">ecords excluded </w:t>
                          </w:r>
                          <w:r>
                            <w:rPr>
                              <w:rFonts w:ascii="Times New Roman" w:hAnsi="Times New Roman" w:cs="Times New Roman"/>
                              <w:sz w:val="18"/>
                              <w:szCs w:val="18"/>
                            </w:rPr>
                            <w:br/>
                            <w:t>(</w:t>
                          </w:r>
                          <w:r w:rsidRPr="00725ADC">
                            <w:rPr>
                              <w:rFonts w:ascii="Times New Roman" w:hAnsi="Times New Roman" w:cs="Times New Roman"/>
                              <w:i/>
                              <w:sz w:val="18"/>
                              <w:szCs w:val="18"/>
                            </w:rPr>
                            <w:t>n</w:t>
                          </w:r>
                          <w:r>
                            <w:rPr>
                              <w:rFonts w:ascii="Times New Roman" w:hAnsi="Times New Roman" w:cs="Times New Roman"/>
                              <w:sz w:val="18"/>
                              <w:szCs w:val="18"/>
                            </w:rPr>
                            <w:t xml:space="preserve"> = </w:t>
                          </w:r>
                          <w:r w:rsidRPr="00304D2B">
                            <w:rPr>
                              <w:rFonts w:ascii="Times New Roman" w:hAnsi="Times New Roman" w:cs="Times New Roman"/>
                              <w:sz w:val="18"/>
                              <w:szCs w:val="18"/>
                            </w:rPr>
                            <w:t>5</w:t>
                          </w:r>
                          <w:r>
                            <w:rPr>
                              <w:rFonts w:ascii="Times New Roman" w:hAnsi="Times New Roman" w:cs="Times New Roman"/>
                              <w:sz w:val="18"/>
                              <w:szCs w:val="18"/>
                            </w:rPr>
                            <w:t>65</w:t>
                          </w:r>
                          <w:r w:rsidRPr="00345002">
                            <w:rPr>
                              <w:rFonts w:ascii="Times New Roman" w:hAnsi="Times New Roman" w:cs="Times New Roman"/>
                              <w:sz w:val="18"/>
                              <w:szCs w:val="18"/>
                            </w:rPr>
                            <w:t>)</w:t>
                          </w:r>
                        </w:p>
                      </w:txbxContent>
                    </v:textbox>
                  </v:rect>
                  <v:rect id="Rectangle 36" o:spid="_x0000_s1034" style="position:absolute;left:38750;top:32623;width:22768;height:16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">
                    <v:textbox inset=",7.2pt,,7.2pt">
                      <w:txbxContent>
                        <w:p w14:paraId="62807872" w14:textId="77777777" w:rsidR="003463FC" w:rsidRDefault="003463FC" w:rsidP="0018340A">
                          <w:pPr>
                            <w:jc w:val="center"/>
                            <w:rPr>
                              <w:rFonts w:ascii="Times New Roman" w:hAnsi="Times New Roman" w:cs="Times New Roman"/>
                              <w:sz w:val="18"/>
                              <w:szCs w:val="18"/>
                            </w:rPr>
                          </w:pPr>
                          <w:r w:rsidRPr="00613913">
                            <w:rPr>
                              <w:rFonts w:ascii="Times New Roman" w:hAnsi="Times New Roman" w:cs="Times New Roman"/>
                              <w:sz w:val="18"/>
                              <w:szCs w:val="18"/>
                            </w:rPr>
                            <w:t xml:space="preserve">Full-text articles excluded, with reasons </w:t>
                          </w:r>
                          <w:r w:rsidRPr="00613913">
                            <w:rPr>
                              <w:rFonts w:ascii="Times New Roman" w:hAnsi="Times New Roman" w:cs="Times New Roman"/>
                              <w:sz w:val="18"/>
                              <w:szCs w:val="18"/>
                            </w:rPr>
                            <w:br/>
                            <w:t>(</w:t>
                          </w:r>
                          <w:r w:rsidRPr="00725ADC">
                            <w:rPr>
                              <w:rFonts w:ascii="Times New Roman" w:hAnsi="Times New Roman" w:cs="Times New Roman"/>
                              <w:i/>
                              <w:sz w:val="18"/>
                              <w:szCs w:val="18"/>
                            </w:rPr>
                            <w:t>n</w:t>
                          </w:r>
                          <w:r w:rsidRPr="00613913">
                            <w:rPr>
                              <w:rFonts w:ascii="Times New Roman" w:hAnsi="Times New Roman" w:cs="Times New Roman"/>
                              <w:sz w:val="18"/>
                              <w:szCs w:val="18"/>
                            </w:rPr>
                            <w:t xml:space="preserve"> =</w:t>
                          </w:r>
                          <w:r>
                            <w:rPr>
                              <w:rFonts w:ascii="Times New Roman" w:hAnsi="Times New Roman" w:cs="Times New Roman"/>
                              <w:sz w:val="18"/>
                              <w:szCs w:val="18"/>
                            </w:rPr>
                            <w:t xml:space="preserve"> 52)</w:t>
                          </w:r>
                        </w:p>
                        <w:p w14:paraId="7599A260" w14:textId="77777777" w:rsidR="003463FC" w:rsidRDefault="003463FC" w:rsidP="00582AB5">
                          <w:pPr>
                            <w:rPr>
                              <w:rFonts w:ascii="Times New Roman" w:hAnsi="Times New Roman" w:cs="Times New Roman"/>
                              <w:sz w:val="18"/>
                              <w:szCs w:val="18"/>
                            </w:rPr>
                          </w:pPr>
                        </w:p>
                        <w:p w14:paraId="21F72B79"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1. Treatment not GLM (</w:t>
                          </w:r>
                          <w:r>
                            <w:rPr>
                              <w:rFonts w:ascii="Times New Roman" w:hAnsi="Times New Roman" w:cs="Times New Roman"/>
                              <w:i/>
                              <w:sz w:val="18"/>
                              <w:szCs w:val="18"/>
                            </w:rPr>
                            <w:t>n</w:t>
                          </w:r>
                          <w:r>
                            <w:rPr>
                              <w:rFonts w:ascii="Times New Roman" w:hAnsi="Times New Roman" w:cs="Times New Roman"/>
                              <w:sz w:val="18"/>
                              <w:szCs w:val="18"/>
                            </w:rPr>
                            <w:t xml:space="preserve"> = 15)</w:t>
                          </w:r>
                        </w:p>
                        <w:p w14:paraId="224B7855"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2. Case reconstruction/vignette (</w:t>
                          </w:r>
                          <w:r>
                            <w:rPr>
                              <w:rFonts w:ascii="Times New Roman" w:hAnsi="Times New Roman" w:cs="Times New Roman"/>
                              <w:i/>
                              <w:sz w:val="18"/>
                              <w:szCs w:val="18"/>
                            </w:rPr>
                            <w:t>n</w:t>
                          </w:r>
                          <w:r>
                            <w:rPr>
                              <w:rFonts w:ascii="Times New Roman" w:hAnsi="Times New Roman" w:cs="Times New Roman"/>
                              <w:sz w:val="18"/>
                              <w:szCs w:val="18"/>
                            </w:rPr>
                            <w:t xml:space="preserve"> = 2)</w:t>
                          </w:r>
                        </w:p>
                        <w:p w14:paraId="44541145" w14:textId="77777777" w:rsidR="003463FC" w:rsidRPr="000A057D" w:rsidRDefault="003463FC" w:rsidP="00582AB5">
                          <w:pPr>
                            <w:rPr>
                              <w:rFonts w:ascii="Times New Roman" w:hAnsi="Times New Roman" w:cs="Times New Roman"/>
                              <w:sz w:val="18"/>
                              <w:szCs w:val="18"/>
                            </w:rPr>
                          </w:pPr>
                          <w:r>
                            <w:rPr>
                              <w:rFonts w:ascii="Times New Roman" w:hAnsi="Times New Roman" w:cs="Times New Roman"/>
                              <w:sz w:val="18"/>
                              <w:szCs w:val="18"/>
                            </w:rPr>
                            <w:t>3. Case study (</w:t>
                          </w:r>
                          <w:r>
                            <w:rPr>
                              <w:rFonts w:ascii="Times New Roman" w:hAnsi="Times New Roman" w:cs="Times New Roman"/>
                              <w:i/>
                              <w:sz w:val="18"/>
                              <w:szCs w:val="18"/>
                            </w:rPr>
                            <w:t xml:space="preserve">n </w:t>
                          </w:r>
                          <w:r>
                            <w:rPr>
                              <w:rFonts w:ascii="Times New Roman" w:hAnsi="Times New Roman" w:cs="Times New Roman"/>
                              <w:sz w:val="18"/>
                              <w:szCs w:val="18"/>
                            </w:rPr>
                            <w:t>= 5)</w:t>
                          </w:r>
                        </w:p>
                        <w:p w14:paraId="68276D57"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4. Review articles (</w:t>
                          </w:r>
                          <w:r>
                            <w:rPr>
                              <w:rFonts w:ascii="Times New Roman" w:hAnsi="Times New Roman" w:cs="Times New Roman"/>
                              <w:i/>
                              <w:sz w:val="18"/>
                              <w:szCs w:val="18"/>
                            </w:rPr>
                            <w:t>n</w:t>
                          </w:r>
                          <w:r>
                            <w:rPr>
                              <w:rFonts w:ascii="Times New Roman" w:hAnsi="Times New Roman" w:cs="Times New Roman"/>
                              <w:sz w:val="18"/>
                              <w:szCs w:val="18"/>
                            </w:rPr>
                            <w:t xml:space="preserve"> = 5)</w:t>
                          </w:r>
                        </w:p>
                        <w:p w14:paraId="4B9A8450" w14:textId="77777777" w:rsidR="003463FC" w:rsidRPr="00D47A40" w:rsidRDefault="003463FC" w:rsidP="00582AB5">
                          <w:pPr>
                            <w:rPr>
                              <w:rFonts w:ascii="Times New Roman" w:hAnsi="Times New Roman" w:cs="Times New Roman"/>
                              <w:sz w:val="18"/>
                              <w:szCs w:val="18"/>
                            </w:rPr>
                          </w:pPr>
                          <w:r>
                            <w:rPr>
                              <w:rFonts w:ascii="Times New Roman" w:hAnsi="Times New Roman" w:cs="Times New Roman"/>
                              <w:sz w:val="18"/>
                              <w:szCs w:val="18"/>
                            </w:rPr>
                            <w:t>5. No full text available (</w:t>
                          </w:r>
                          <w:r>
                            <w:rPr>
                              <w:rFonts w:ascii="Times New Roman" w:hAnsi="Times New Roman" w:cs="Times New Roman"/>
                              <w:i/>
                              <w:iCs/>
                              <w:sz w:val="18"/>
                              <w:szCs w:val="18"/>
                            </w:rPr>
                            <w:t>n</w:t>
                          </w:r>
                          <w:r>
                            <w:rPr>
                              <w:rFonts w:ascii="Times New Roman" w:hAnsi="Times New Roman" w:cs="Times New Roman"/>
                              <w:sz w:val="18"/>
                              <w:szCs w:val="18"/>
                            </w:rPr>
                            <w:t xml:space="preserve"> = 1)</w:t>
                          </w:r>
                        </w:p>
                        <w:p w14:paraId="01D2C583" w14:textId="77777777" w:rsidR="003463FC" w:rsidRDefault="003463FC" w:rsidP="00582AB5">
                          <w:pPr>
                            <w:rPr>
                              <w:rFonts w:ascii="Times New Roman" w:hAnsi="Times New Roman" w:cs="Times New Roman"/>
                              <w:sz w:val="18"/>
                              <w:szCs w:val="18"/>
                            </w:rPr>
                          </w:pPr>
                          <w:r>
                            <w:rPr>
                              <w:rFonts w:ascii="Times New Roman" w:hAnsi="Times New Roman" w:cs="Times New Roman"/>
                              <w:sz w:val="18"/>
                              <w:szCs w:val="18"/>
                            </w:rPr>
                            <w:t>6a. Does not test GLM assumptions (</w:t>
                          </w:r>
                          <w:r>
                            <w:rPr>
                              <w:rFonts w:ascii="Times New Roman" w:hAnsi="Times New Roman" w:cs="Times New Roman"/>
                              <w:i/>
                              <w:sz w:val="18"/>
                              <w:szCs w:val="18"/>
                            </w:rPr>
                            <w:t>n</w:t>
                          </w:r>
                          <w:r>
                            <w:rPr>
                              <w:rFonts w:ascii="Times New Roman" w:hAnsi="Times New Roman" w:cs="Times New Roman"/>
                              <w:sz w:val="18"/>
                              <w:szCs w:val="18"/>
                            </w:rPr>
                            <w:t xml:space="preserve"> = 13)</w:t>
                          </w:r>
                        </w:p>
                        <w:p w14:paraId="0DEFDAE8" w14:textId="77777777" w:rsidR="003463FC" w:rsidRPr="00E32281" w:rsidRDefault="003463FC" w:rsidP="00E32281">
                          <w:pPr>
                            <w:rPr>
                              <w:rFonts w:ascii="Times New Roman" w:hAnsi="Times New Roman" w:cs="Times New Roman"/>
                              <w:sz w:val="18"/>
                              <w:szCs w:val="18"/>
                            </w:rPr>
                          </w:pPr>
                          <w:r w:rsidRPr="00E32281">
                            <w:rPr>
                              <w:rFonts w:ascii="Times New Roman" w:hAnsi="Times New Roman" w:cs="Times New Roman"/>
                              <w:sz w:val="18"/>
                              <w:szCs w:val="18"/>
                            </w:rPr>
                            <w:t>OR</w:t>
                          </w:r>
                        </w:p>
                        <w:p w14:paraId="45AD9F1F" w14:textId="77777777" w:rsidR="003463FC" w:rsidRPr="00582AB5" w:rsidRDefault="003463FC" w:rsidP="00582AB5">
                          <w:pPr>
                            <w:rPr>
                              <w:rFonts w:ascii="Times New Roman" w:hAnsi="Times New Roman" w:cs="Times New Roman"/>
                              <w:sz w:val="18"/>
                              <w:szCs w:val="18"/>
                            </w:rPr>
                          </w:pPr>
                          <w:r>
                            <w:rPr>
                              <w:rFonts w:ascii="Times New Roman" w:hAnsi="Times New Roman" w:cs="Times New Roman"/>
                              <w:sz w:val="18"/>
                              <w:szCs w:val="18"/>
                            </w:rPr>
                            <w:t>6b. Does not test GLM outcomes (</w:t>
                          </w:r>
                          <w:r>
                            <w:rPr>
                              <w:rFonts w:ascii="Times New Roman" w:hAnsi="Times New Roman" w:cs="Times New Roman"/>
                              <w:i/>
                              <w:sz w:val="18"/>
                              <w:szCs w:val="18"/>
                            </w:rPr>
                            <w:t>n</w:t>
                          </w:r>
                          <w:r>
                            <w:rPr>
                              <w:rFonts w:ascii="Times New Roman" w:hAnsi="Times New Roman" w:cs="Times New Roman"/>
                              <w:sz w:val="18"/>
                              <w:szCs w:val="18"/>
                            </w:rPr>
                            <w:t xml:space="preserve"> = 11)</w:t>
                          </w:r>
                        </w:p>
                        <w:p w14:paraId="30BE3284" w14:textId="77777777" w:rsidR="003463FC" w:rsidRPr="006D3DA9" w:rsidRDefault="003463FC" w:rsidP="0018340A">
                          <w:pPr>
                            <w:rPr>
                              <w:rFonts w:ascii="Times New Roman" w:hAnsi="Times New Roman" w:cs="Times New Roman"/>
                              <w:sz w:val="18"/>
                              <w:szCs w:val="18"/>
                            </w:rPr>
                          </w:pPr>
                        </w:p>
                        <w:p w14:paraId="0BA4CC05" w14:textId="77777777" w:rsidR="003463FC" w:rsidRPr="00345002" w:rsidRDefault="003463FC" w:rsidP="0018340A">
                          <w:pPr>
                            <w:jc w:val="center"/>
                            <w:rPr>
                              <w:rFonts w:ascii="Times New Roman" w:hAnsi="Times New Roman" w:cs="Times New Roman"/>
                              <w:sz w:val="18"/>
                              <w:szCs w:val="18"/>
                              <w:lang w:val="en"/>
                            </w:rPr>
                          </w:pPr>
                        </w:p>
                      </w:txbxContent>
                    </v:textbox>
                  </v:rect>
                  <v:shapetype id="_x0000_t32" coordsize="21600,21600" o:spt="32" o:oned="t" path="m,l21600,21600e" filled="f">
                    <v:path arrowok="t" fillok="f" o:connecttype="none"/>
                    <o:lock v:ext="edit" shapetype="t"/>
                  </v:shapetype>
                  <v:shape id="Straight Arrow Connector 38" o:spid="_x0000_s1035" type="#_x0000_t32" style="position:absolute;left:35695;top:38989;width:296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">
                    <v:stroke endarrow="block"/>
                    <v:shadow color="#ccc"/>
                  </v:shape>
                  <v:shapetype id="_x0000_t202" coordsize="21600,21600" o:spt="202" path="m,l,21600r21600,l21600,xe">
                    <v:stroke joinstyle="miter"/>
                    <v:path gradientshapeok="t" o:connecttype="rect"/>
                  </v:shapetype>
                  <v:shape id="Text Box 2" o:spid="_x0000_s1036" type="#_x0000_t202" style="position:absolute;left:73;width:3822;height:128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">
                    <v:textbox style="layout-flow:vertical;mso-layout-flow-alt:bottom-to-top">
                      <w:txbxContent>
                        <w:p w14:paraId="72F5ABEE" w14:textId="77777777" w:rsidR="003463FC" w:rsidRPr="00D747CF" w:rsidRDefault="003463FC" w:rsidP="0018340A">
                          <w:pPr>
                            <w:jc w:val="center"/>
                            <w:rPr>
                              <w:rFonts w:ascii="Times New Roman" w:hAnsi="Times New Roman" w:cs="Times New Roman"/>
                              <w:b/>
                            </w:rPr>
                          </w:pPr>
                          <w:r w:rsidRPr="00D747CF">
                            <w:rPr>
                              <w:rFonts w:ascii="Times New Roman" w:hAnsi="Times New Roman" w:cs="Times New Roman"/>
                              <w:b/>
                            </w:rPr>
                            <w:t>Identification</w:t>
                          </w:r>
                        </w:p>
                      </w:txbxContent>
                    </v:textbox>
                  </v:shape>
                  <v:shape id="Text Box 2" o:spid="_x0000_s1037" type="#_x0000_t202" style="position:absolute;left:73;top:13898;width:3822;height:16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">
                    <v:textbox style="layout-flow:vertical;mso-layout-flow-alt:bottom-to-top">
                      <w:txbxContent>
                        <w:p w14:paraId="6A9FE29C" w14:textId="77777777" w:rsidR="003463FC" w:rsidRPr="00D747CF" w:rsidRDefault="003463FC" w:rsidP="0018340A">
                          <w:pPr>
                            <w:jc w:val="center"/>
                            <w:rPr>
                              <w:rFonts w:ascii="Times New Roman" w:hAnsi="Times New Roman" w:cs="Times New Roman"/>
                              <w:b/>
                            </w:rPr>
                          </w:pPr>
                          <w:r w:rsidRPr="00D747CF">
                            <w:rPr>
                              <w:rFonts w:ascii="Times New Roman" w:hAnsi="Times New Roman" w:cs="Times New Roman"/>
                              <w:b/>
                            </w:rPr>
                            <w:t>Screening</w:t>
                          </w:r>
                        </w:p>
                      </w:txbxContent>
                    </v:textbox>
                  </v:shape>
                  <v:shape id="Text Box 2" o:spid="_x0000_s1038" type="#_x0000_t202" style="position:absolute;left:73;top:31601;width:3822;height:1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">
                    <v:textbox style="layout-flow:vertical;mso-layout-flow-alt:bottom-to-top">
                      <w:txbxContent>
                        <w:p w14:paraId="387B896D" w14:textId="77777777" w:rsidR="003463FC" w:rsidRPr="00D747CF" w:rsidRDefault="003463FC" w:rsidP="0018340A">
                          <w:pPr>
                            <w:jc w:val="center"/>
                            <w:rPr>
                              <w:rFonts w:ascii="Times New Roman" w:hAnsi="Times New Roman" w:cs="Times New Roman"/>
                              <w:b/>
                            </w:rPr>
                          </w:pPr>
                          <w:r w:rsidRPr="00D747CF">
                            <w:rPr>
                              <w:rFonts w:ascii="Times New Roman" w:hAnsi="Times New Roman" w:cs="Times New Roman"/>
                              <w:b/>
                            </w:rPr>
                            <w:t>Eligibility</w:t>
                          </w:r>
                        </w:p>
                      </w:txbxContent>
                    </v:textbox>
                  </v:shape>
                  <v:shape id="Text Box 2" o:spid="_x0000_s1039" type="#_x0000_t202" style="position:absolute;top:46817;width:3822;height:237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">
                    <v:textbox style="layout-flow:vertical;mso-layout-flow-alt:bottom-to-top">
                      <w:txbxContent>
                        <w:p w14:paraId="0AECBFDC" w14:textId="77777777" w:rsidR="003463FC" w:rsidRPr="007C60CA" w:rsidRDefault="003463FC" w:rsidP="0018340A">
                          <w:pPr>
                            <w:jc w:val="center"/>
                            <w:rPr>
                              <w:rFonts w:ascii="Times New Roman" w:hAnsi="Times New Roman" w:cs="Times New Roman"/>
                              <w:b/>
                            </w:rPr>
                          </w:pPr>
                          <w:r w:rsidRPr="007C60CA">
                            <w:rPr>
                              <w:rFonts w:ascii="Times New Roman" w:hAnsi="Times New Roman" w:cs="Times New Roman"/>
                              <w:b/>
                            </w:rPr>
                            <w:t>Included</w:t>
                          </w:r>
                        </w:p>
                      </w:txbxContent>
                    </v:textbox>
                  </v:shape>
                  <v:shape id="Straight Arrow Connector 47" o:spid="_x0000_s1040" type="#_x0000_t32" style="position:absolute;left:28163;top:54278;width:0;height:573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" strokecolor="windowText" strokeweight=".5pt">
                    <v:stroke endarrow="block" joinstyle="miter"/>
                  </v:shape>
                  <v:rect id="Rectangle 53" o:spid="_x0000_s1041" style="position:absolute;left:20702;top:60277;width:15011;height:64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" fillcolor="window" strokecolor="windowText">
                    <v:textbox>
                      <w:txbxContent>
                        <w:p w14:paraId="1EE63D25" w14:textId="77777777" w:rsidR="003463FC" w:rsidRDefault="003463FC" w:rsidP="0018340A">
                          <w:pPr>
                            <w:jc w:val="center"/>
                            <w:rPr>
                              <w:rFonts w:ascii="Times New Roman" w:hAnsi="Times New Roman" w:cs="Times New Roman"/>
                              <w:sz w:val="18"/>
                              <w:szCs w:val="18"/>
                            </w:rPr>
                          </w:pPr>
                          <w:r w:rsidRPr="006705BD">
                            <w:rPr>
                              <w:rFonts w:ascii="Times New Roman" w:hAnsi="Times New Roman" w:cs="Times New Roman"/>
                              <w:sz w:val="18"/>
                              <w:szCs w:val="18"/>
                            </w:rPr>
                            <w:t xml:space="preserve">Studies included </w:t>
                          </w:r>
                          <w:r>
                            <w:rPr>
                              <w:rFonts w:ascii="Times New Roman" w:hAnsi="Times New Roman" w:cs="Times New Roman"/>
                              <w:sz w:val="18"/>
                              <w:szCs w:val="18"/>
                            </w:rPr>
                            <w:t>to examine Question two, GLM outcomes</w:t>
                          </w:r>
                        </w:p>
                        <w:p w14:paraId="01C47376" w14:textId="77777777" w:rsidR="003463FC" w:rsidRPr="006705BD" w:rsidRDefault="003463FC" w:rsidP="0018340A">
                          <w:pPr>
                            <w:jc w:val="center"/>
                            <w:rPr>
                              <w:rFonts w:ascii="Times New Roman" w:hAnsi="Times New Roman" w:cs="Times New Roman"/>
                              <w:sz w:val="18"/>
                              <w:szCs w:val="18"/>
                            </w:rPr>
                          </w:pP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5)</w:t>
                          </w:r>
                        </w:p>
                      </w:txbxContent>
                    </v:textbox>
                  </v:rect>
                  <v:rect id="Rectangle 40" o:spid="_x0000_s1042" style="position:absolute;left:7388;top:44426;width:8699;height:1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">
                    <v:textbox inset=",7.2pt,,7.2pt">
                      <w:txbxContent>
                        <w:p w14:paraId="2F73568D" w14:textId="77777777" w:rsidR="003463FC" w:rsidRDefault="003463FC" w:rsidP="0018340A">
                          <w:pPr>
                            <w:jc w:val="center"/>
                            <w:rPr>
                              <w:rFonts w:ascii="Times New Roman" w:hAnsi="Times New Roman" w:cs="Times New Roman"/>
                              <w:sz w:val="18"/>
                              <w:szCs w:val="18"/>
                            </w:rPr>
                          </w:pPr>
                          <w:r w:rsidRPr="000A057D">
                            <w:rPr>
                              <w:rFonts w:ascii="Times New Roman" w:hAnsi="Times New Roman" w:cs="Times New Roman"/>
                              <w:sz w:val="18"/>
                              <w:szCs w:val="18"/>
                            </w:rPr>
                            <w:t>Quantitative</w:t>
                          </w:r>
                          <w:r w:rsidRPr="00613913">
                            <w:rPr>
                              <w:rFonts w:ascii="Times New Roman" w:hAnsi="Times New Roman" w:cs="Times New Roman"/>
                              <w:sz w:val="18"/>
                              <w:szCs w:val="18"/>
                            </w:rPr>
                            <w:t xml:space="preserve"> </w:t>
                          </w:r>
                          <w:r w:rsidRPr="00613913">
                            <w:rPr>
                              <w:rFonts w:ascii="Times New Roman" w:hAnsi="Times New Roman" w:cs="Times New Roman"/>
                              <w:sz w:val="18"/>
                              <w:szCs w:val="18"/>
                            </w:rPr>
                            <w:br/>
                            <w:t>(</w:t>
                          </w:r>
                          <w:r w:rsidRPr="00725ADC">
                            <w:rPr>
                              <w:rFonts w:ascii="Times New Roman" w:hAnsi="Times New Roman" w:cs="Times New Roman"/>
                              <w:i/>
                              <w:sz w:val="18"/>
                              <w:szCs w:val="18"/>
                            </w:rPr>
                            <w:t>n</w:t>
                          </w:r>
                          <w:r w:rsidRPr="00613913">
                            <w:rPr>
                              <w:rFonts w:ascii="Times New Roman" w:hAnsi="Times New Roman" w:cs="Times New Roman"/>
                              <w:sz w:val="18"/>
                              <w:szCs w:val="18"/>
                            </w:rPr>
                            <w:t xml:space="preserve"> =</w:t>
                          </w:r>
                          <w:r>
                            <w:rPr>
                              <w:rFonts w:ascii="Times New Roman" w:hAnsi="Times New Roman" w:cs="Times New Roman"/>
                              <w:sz w:val="18"/>
                              <w:szCs w:val="18"/>
                            </w:rPr>
                            <w:t xml:space="preserve"> 8</w:t>
                          </w:r>
                          <w:r w:rsidRPr="00613913">
                            <w:rPr>
                              <w:rFonts w:ascii="Times New Roman" w:hAnsi="Times New Roman" w:cs="Times New Roman"/>
                              <w:sz w:val="18"/>
                              <w:szCs w:val="18"/>
                            </w:rPr>
                            <w:t>)</w:t>
                          </w:r>
                        </w:p>
                        <w:p w14:paraId="76CC316A" w14:textId="77777777" w:rsidR="003463FC" w:rsidRDefault="003463FC" w:rsidP="0018340A">
                          <w:pPr>
                            <w:jc w:val="center"/>
                            <w:rPr>
                              <w:rFonts w:ascii="Times New Roman" w:hAnsi="Times New Roman" w:cs="Times New Roman"/>
                              <w:sz w:val="18"/>
                              <w:szCs w:val="18"/>
                            </w:rPr>
                          </w:pPr>
                        </w:p>
                        <w:p w14:paraId="1290B9AE" w14:textId="77777777" w:rsidR="003463FC" w:rsidRDefault="003463FC" w:rsidP="0018340A">
                          <w:pPr>
                            <w:jc w:val="center"/>
                            <w:rPr>
                              <w:rFonts w:ascii="Times New Roman" w:hAnsi="Times New Roman" w:cs="Times New Roman"/>
                              <w:sz w:val="18"/>
                              <w:szCs w:val="18"/>
                            </w:rPr>
                          </w:pPr>
                          <w:r>
                            <w:rPr>
                              <w:rFonts w:ascii="Times New Roman" w:hAnsi="Times New Roman" w:cs="Times New Roman"/>
                              <w:sz w:val="18"/>
                              <w:szCs w:val="18"/>
                            </w:rPr>
                            <w:t>Qualitative</w:t>
                          </w:r>
                        </w:p>
                        <w:p w14:paraId="552FF996" w14:textId="77777777" w:rsidR="003463FC" w:rsidRDefault="003463FC" w:rsidP="0018340A">
                          <w:pPr>
                            <w:jc w:val="center"/>
                            <w:rPr>
                              <w:rFonts w:ascii="Times New Roman" w:hAnsi="Times New Roman" w:cs="Times New Roman"/>
                              <w:sz w:val="18"/>
                              <w:szCs w:val="18"/>
                            </w:rPr>
                          </w:pPr>
                          <w:r>
                            <w:rPr>
                              <w:rFonts w:ascii="Times New Roman" w:hAnsi="Times New Roman" w:cs="Times New Roman"/>
                              <w:sz w:val="18"/>
                              <w:szCs w:val="18"/>
                            </w:rPr>
                            <w:t>(</w:t>
                          </w:r>
                          <w:r w:rsidRPr="002D4B26">
                            <w:rPr>
                              <w:rFonts w:ascii="Times New Roman" w:hAnsi="Times New Roman" w:cs="Times New Roman"/>
                              <w:i/>
                              <w:sz w:val="18"/>
                              <w:szCs w:val="18"/>
                            </w:rPr>
                            <w:t>n</w:t>
                          </w:r>
                          <w:r>
                            <w:rPr>
                              <w:rFonts w:ascii="Times New Roman" w:hAnsi="Times New Roman" w:cs="Times New Roman"/>
                              <w:i/>
                              <w:sz w:val="18"/>
                              <w:szCs w:val="18"/>
                            </w:rPr>
                            <w:t xml:space="preserve"> </w:t>
                          </w:r>
                          <w:r>
                            <w:rPr>
                              <w:rFonts w:ascii="Times New Roman" w:hAnsi="Times New Roman" w:cs="Times New Roman"/>
                              <w:sz w:val="18"/>
                              <w:szCs w:val="18"/>
                            </w:rPr>
                            <w:t>= 3)</w:t>
                          </w:r>
                        </w:p>
                        <w:p w14:paraId="2C86E43B" w14:textId="77777777" w:rsidR="003463FC" w:rsidRDefault="003463FC" w:rsidP="0018340A">
                          <w:pPr>
                            <w:jc w:val="center"/>
                            <w:rPr>
                              <w:rFonts w:ascii="Times New Roman" w:hAnsi="Times New Roman" w:cs="Times New Roman"/>
                              <w:sz w:val="18"/>
                              <w:szCs w:val="18"/>
                            </w:rPr>
                          </w:pPr>
                        </w:p>
                        <w:p w14:paraId="4DEE851F" w14:textId="77777777" w:rsidR="003463FC" w:rsidRDefault="003463FC" w:rsidP="0018340A">
                          <w:pPr>
                            <w:jc w:val="center"/>
                            <w:rPr>
                              <w:rFonts w:ascii="Times New Roman" w:hAnsi="Times New Roman" w:cs="Times New Roman"/>
                              <w:sz w:val="18"/>
                              <w:szCs w:val="18"/>
                            </w:rPr>
                          </w:pPr>
                          <w:r>
                            <w:rPr>
                              <w:rFonts w:ascii="Times New Roman" w:hAnsi="Times New Roman" w:cs="Times New Roman"/>
                              <w:sz w:val="18"/>
                              <w:szCs w:val="18"/>
                            </w:rPr>
                            <w:t>Mixed</w:t>
                          </w:r>
                        </w:p>
                        <w:p w14:paraId="5275E05C" w14:textId="77777777" w:rsidR="003463FC" w:rsidRPr="000A057D" w:rsidRDefault="003463FC" w:rsidP="0018340A">
                          <w:pPr>
                            <w:jc w:val="center"/>
                            <w:rPr>
                              <w:rFonts w:ascii="Calibri" w:hAnsi="Calibri"/>
                              <w:lang w:val="en"/>
                            </w:rPr>
                          </w:pPr>
                          <w:r>
                            <w:rPr>
                              <w:rFonts w:ascii="Times New Roman" w:hAnsi="Times New Roman" w:cs="Times New Roman"/>
                              <w:sz w:val="18"/>
                              <w:szCs w:val="18"/>
                            </w:rPr>
                            <w:t>(</w:t>
                          </w:r>
                          <w:r>
                            <w:rPr>
                              <w:rFonts w:ascii="Times New Roman" w:hAnsi="Times New Roman" w:cs="Times New Roman"/>
                              <w:i/>
                              <w:sz w:val="18"/>
                              <w:szCs w:val="18"/>
                            </w:rPr>
                            <w:t xml:space="preserve">n </w:t>
                          </w:r>
                          <w:r>
                            <w:rPr>
                              <w:rFonts w:ascii="Times New Roman" w:hAnsi="Times New Roman" w:cs="Times New Roman"/>
                              <w:sz w:val="18"/>
                              <w:szCs w:val="18"/>
                            </w:rPr>
                            <w:t>= 1)</w:t>
                          </w:r>
                        </w:p>
                      </w:txbxContent>
                    </v:textbox>
                  </v:rect>
                  <v:shape id="Straight Arrow Connector 45" o:spid="_x0000_s1043" type="#_x0000_t32" style="position:absolute;left:16093;top:51352;width:4750;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" strokecolor="windowText" strokeweight=".5pt">
                    <v:stroke endarrow="block" joinstyle="miter"/>
                  </v:shape>
                  <v:shape id="Straight Arrow Connector 2" o:spid="_x0000_s1044" type="#_x0000_t32" style="position:absolute;left:28163;top:42355;width:0;height:573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" strokecolor="windowText" strokeweight=".5pt">
                    <v:stroke endarrow="block" joinstyle="miter"/>
                  </v:shape>
                  <v:shape id="Straight Arrow Connector 3" o:spid="_x0000_s1045" type="#_x0000_t32" style="position:absolute;left:28236;top:30065;width:0;height:573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" strokecolor="windowText" strokeweight=".5pt">
                    <v:stroke endarrow="block" joinstyle="miter"/>
                  </v:shape>
                  <v:shape id="Straight Arrow Connector 4" o:spid="_x0000_s1046" type="#_x0000_t32" style="position:absolute;left:20628;top:8046;width:0;height:57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" strokecolor="windowText" strokeweight=".5pt">
                    <v:stroke endarrow="block" joinstyle="miter"/>
                  </v:shape>
                  <v:shape id="Straight Arrow Connector 5" o:spid="_x0000_s1047" type="#_x0000_t32" style="position:absolute;left:35625;top:8046;width:0;height:57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" strokecolor="windowText" strokeweight=".5pt">
                    <v:stroke endarrow="block" joinstyle="miter"/>
                  </v:shape>
                  <v:shape id="Straight Arrow Connector 6" o:spid="_x0000_s1048" type="#_x0000_t32" style="position:absolute;left:28236;top:19458;width:0;height:573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" strokecolor="windowText" strokeweight=".5pt">
                    <v:stroke endarrow="block" joinstyle="miter"/>
                  </v:shape>
                  <v:rect id="Rectangle 7" o:spid="_x0000_s1049" style="position:absolute;left:20702;top:48060;width:15011;height:6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" fillcolor="window" strokecolor="windowText">
                    <v:textbox>
                      <w:txbxContent>
                        <w:p w14:paraId="4E0DE590" w14:textId="77777777" w:rsidR="003463FC" w:rsidRDefault="003463FC" w:rsidP="002D4B26">
                          <w:pPr>
                            <w:jc w:val="center"/>
                            <w:rPr>
                              <w:rFonts w:ascii="Times New Roman" w:hAnsi="Times New Roman" w:cs="Times New Roman"/>
                              <w:sz w:val="18"/>
                              <w:szCs w:val="18"/>
                            </w:rPr>
                          </w:pPr>
                          <w:r w:rsidRPr="006705BD">
                            <w:rPr>
                              <w:rFonts w:ascii="Times New Roman" w:hAnsi="Times New Roman" w:cs="Times New Roman"/>
                              <w:sz w:val="18"/>
                              <w:szCs w:val="18"/>
                            </w:rPr>
                            <w:t xml:space="preserve">Studies included </w:t>
                          </w:r>
                          <w:r>
                            <w:rPr>
                              <w:rFonts w:ascii="Times New Roman" w:hAnsi="Times New Roman" w:cs="Times New Roman"/>
                              <w:sz w:val="18"/>
                              <w:szCs w:val="18"/>
                            </w:rPr>
                            <w:t>to examine Question one, GLM assumptions</w:t>
                          </w:r>
                        </w:p>
                        <w:p w14:paraId="062C981D" w14:textId="77777777" w:rsidR="003463FC" w:rsidRPr="006705BD" w:rsidRDefault="003463FC" w:rsidP="002D4B26">
                          <w:pPr>
                            <w:jc w:val="center"/>
                            <w:rPr>
                              <w:rFonts w:ascii="Times New Roman" w:hAnsi="Times New Roman" w:cs="Times New Roman"/>
                              <w:sz w:val="18"/>
                              <w:szCs w:val="18"/>
                            </w:rPr>
                          </w:pPr>
                          <w:r>
                            <w:rPr>
                              <w:rFonts w:ascii="Times New Roman" w:hAnsi="Times New Roman" w:cs="Times New Roman"/>
                              <w:sz w:val="18"/>
                              <w:szCs w:val="18"/>
                            </w:rPr>
                            <w:t>(</w:t>
                          </w:r>
                          <w:r w:rsidRPr="00725ADC">
                            <w:rPr>
                              <w:rFonts w:ascii="Times New Roman" w:hAnsi="Times New Roman" w:cs="Times New Roman"/>
                              <w:i/>
                              <w:sz w:val="18"/>
                              <w:szCs w:val="18"/>
                            </w:rPr>
                            <w:t>n</w:t>
                          </w:r>
                          <w:r>
                            <w:rPr>
                              <w:rFonts w:ascii="Times New Roman" w:hAnsi="Times New Roman" w:cs="Times New Roman"/>
                              <w:sz w:val="18"/>
                              <w:szCs w:val="18"/>
                            </w:rPr>
                            <w:t xml:space="preserve"> = 12)</w:t>
                          </w:r>
                        </w:p>
                      </w:txbxContent>
                    </v:textbox>
                  </v:rect>
                </v:group>
                <v:rect id="Rectangle 11" o:spid="_x0000_s1050" style="position:absolute;left:7394;top:58124;width:8700;height:1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">
                  <v:textbox inset=",7.2pt,,7.2pt">
                    <w:txbxContent>
                      <w:p w14:paraId="239B6BC6" w14:textId="77777777" w:rsidR="003463FC" w:rsidRDefault="003463FC" w:rsidP="000A057D">
                        <w:pPr>
                          <w:jc w:val="center"/>
                          <w:rPr>
                            <w:rFonts w:ascii="Times New Roman" w:hAnsi="Times New Roman" w:cs="Times New Roman"/>
                            <w:sz w:val="18"/>
                            <w:szCs w:val="18"/>
                          </w:rPr>
                        </w:pPr>
                        <w:r w:rsidRPr="000A057D">
                          <w:rPr>
                            <w:rFonts w:ascii="Times New Roman" w:hAnsi="Times New Roman" w:cs="Times New Roman"/>
                            <w:sz w:val="18"/>
                            <w:szCs w:val="18"/>
                          </w:rPr>
                          <w:t>Quantitative</w:t>
                        </w:r>
                        <w:r w:rsidRPr="00613913">
                          <w:rPr>
                            <w:rFonts w:ascii="Times New Roman" w:hAnsi="Times New Roman" w:cs="Times New Roman"/>
                            <w:sz w:val="18"/>
                            <w:szCs w:val="18"/>
                          </w:rPr>
                          <w:t xml:space="preserve"> </w:t>
                        </w:r>
                        <w:r w:rsidRPr="00613913">
                          <w:rPr>
                            <w:rFonts w:ascii="Times New Roman" w:hAnsi="Times New Roman" w:cs="Times New Roman"/>
                            <w:sz w:val="18"/>
                            <w:szCs w:val="18"/>
                          </w:rPr>
                          <w:br/>
                          <w:t>(</w:t>
                        </w:r>
                        <w:r w:rsidRPr="00725ADC">
                          <w:rPr>
                            <w:rFonts w:ascii="Times New Roman" w:hAnsi="Times New Roman" w:cs="Times New Roman"/>
                            <w:i/>
                            <w:sz w:val="18"/>
                            <w:szCs w:val="18"/>
                          </w:rPr>
                          <w:t>n</w:t>
                        </w:r>
                        <w:r w:rsidRPr="00613913">
                          <w:rPr>
                            <w:rFonts w:ascii="Times New Roman" w:hAnsi="Times New Roman" w:cs="Times New Roman"/>
                            <w:sz w:val="18"/>
                            <w:szCs w:val="18"/>
                          </w:rPr>
                          <w:t xml:space="preserve"> =</w:t>
                        </w:r>
                        <w:r>
                          <w:rPr>
                            <w:rFonts w:ascii="Times New Roman" w:hAnsi="Times New Roman" w:cs="Times New Roman"/>
                            <w:sz w:val="18"/>
                            <w:szCs w:val="18"/>
                          </w:rPr>
                          <w:t xml:space="preserve"> 2</w:t>
                        </w:r>
                        <w:r w:rsidRPr="00613913">
                          <w:rPr>
                            <w:rFonts w:ascii="Times New Roman" w:hAnsi="Times New Roman" w:cs="Times New Roman"/>
                            <w:sz w:val="18"/>
                            <w:szCs w:val="18"/>
                          </w:rPr>
                          <w:t>)</w:t>
                        </w:r>
                      </w:p>
                      <w:p w14:paraId="1C825C61" w14:textId="77777777" w:rsidR="003463FC" w:rsidRDefault="003463FC" w:rsidP="000A057D">
                        <w:pPr>
                          <w:jc w:val="center"/>
                          <w:rPr>
                            <w:rFonts w:ascii="Times New Roman" w:hAnsi="Times New Roman" w:cs="Times New Roman"/>
                            <w:sz w:val="18"/>
                            <w:szCs w:val="18"/>
                          </w:rPr>
                        </w:pPr>
                      </w:p>
                      <w:p w14:paraId="501EB9B9" w14:textId="77777777" w:rsidR="003463FC" w:rsidRDefault="003463FC" w:rsidP="000A057D">
                        <w:pPr>
                          <w:jc w:val="center"/>
                          <w:rPr>
                            <w:rFonts w:ascii="Times New Roman" w:hAnsi="Times New Roman" w:cs="Times New Roman"/>
                            <w:sz w:val="18"/>
                            <w:szCs w:val="18"/>
                          </w:rPr>
                        </w:pPr>
                        <w:r>
                          <w:rPr>
                            <w:rFonts w:ascii="Times New Roman" w:hAnsi="Times New Roman" w:cs="Times New Roman"/>
                            <w:sz w:val="18"/>
                            <w:szCs w:val="18"/>
                          </w:rPr>
                          <w:t>Qualitative</w:t>
                        </w:r>
                      </w:p>
                      <w:p w14:paraId="45C7C8CC" w14:textId="77777777" w:rsidR="003463FC" w:rsidRDefault="003463FC" w:rsidP="000A057D">
                        <w:pPr>
                          <w:jc w:val="center"/>
                          <w:rPr>
                            <w:rFonts w:ascii="Times New Roman" w:hAnsi="Times New Roman" w:cs="Times New Roman"/>
                            <w:sz w:val="18"/>
                            <w:szCs w:val="18"/>
                          </w:rPr>
                        </w:pPr>
                        <w:r>
                          <w:rPr>
                            <w:rFonts w:ascii="Times New Roman" w:hAnsi="Times New Roman" w:cs="Times New Roman"/>
                            <w:sz w:val="18"/>
                            <w:szCs w:val="18"/>
                          </w:rPr>
                          <w:t>(</w:t>
                        </w:r>
                        <w:r w:rsidRPr="002D4B26">
                          <w:rPr>
                            <w:rFonts w:ascii="Times New Roman" w:hAnsi="Times New Roman" w:cs="Times New Roman"/>
                            <w:i/>
                            <w:sz w:val="18"/>
                            <w:szCs w:val="18"/>
                          </w:rPr>
                          <w:t>n</w:t>
                        </w:r>
                        <w:r>
                          <w:rPr>
                            <w:rFonts w:ascii="Times New Roman" w:hAnsi="Times New Roman" w:cs="Times New Roman"/>
                            <w:i/>
                            <w:sz w:val="18"/>
                            <w:szCs w:val="18"/>
                          </w:rPr>
                          <w:t xml:space="preserve"> </w:t>
                        </w:r>
                        <w:r>
                          <w:rPr>
                            <w:rFonts w:ascii="Times New Roman" w:hAnsi="Times New Roman" w:cs="Times New Roman"/>
                            <w:sz w:val="18"/>
                            <w:szCs w:val="18"/>
                          </w:rPr>
                          <w:t>= 2)</w:t>
                        </w:r>
                      </w:p>
                      <w:p w14:paraId="1C6F04BE" w14:textId="77777777" w:rsidR="003463FC" w:rsidRDefault="003463FC" w:rsidP="000A057D">
                        <w:pPr>
                          <w:jc w:val="center"/>
                          <w:rPr>
                            <w:rFonts w:ascii="Times New Roman" w:hAnsi="Times New Roman" w:cs="Times New Roman"/>
                            <w:sz w:val="18"/>
                            <w:szCs w:val="18"/>
                          </w:rPr>
                        </w:pPr>
                      </w:p>
                      <w:p w14:paraId="6A159D33" w14:textId="77777777" w:rsidR="003463FC" w:rsidRDefault="003463FC" w:rsidP="000A057D">
                        <w:pPr>
                          <w:jc w:val="center"/>
                          <w:rPr>
                            <w:rFonts w:ascii="Times New Roman" w:hAnsi="Times New Roman" w:cs="Times New Roman"/>
                            <w:sz w:val="18"/>
                            <w:szCs w:val="18"/>
                          </w:rPr>
                        </w:pPr>
                        <w:r>
                          <w:rPr>
                            <w:rFonts w:ascii="Times New Roman" w:hAnsi="Times New Roman" w:cs="Times New Roman"/>
                            <w:sz w:val="18"/>
                            <w:szCs w:val="18"/>
                          </w:rPr>
                          <w:t>Mixed</w:t>
                        </w:r>
                      </w:p>
                      <w:p w14:paraId="5A3CA5DC" w14:textId="77777777" w:rsidR="003463FC" w:rsidRPr="000A057D" w:rsidRDefault="003463FC" w:rsidP="000A057D">
                        <w:pPr>
                          <w:jc w:val="center"/>
                          <w:rPr>
                            <w:rFonts w:ascii="Calibri" w:hAnsi="Calibri"/>
                            <w:lang w:val="en"/>
                          </w:rPr>
                        </w:pPr>
                        <w:r>
                          <w:rPr>
                            <w:rFonts w:ascii="Times New Roman" w:hAnsi="Times New Roman" w:cs="Times New Roman"/>
                            <w:sz w:val="18"/>
                            <w:szCs w:val="18"/>
                          </w:rPr>
                          <w:t>(</w:t>
                        </w:r>
                        <w:r>
                          <w:rPr>
                            <w:rFonts w:ascii="Times New Roman" w:hAnsi="Times New Roman" w:cs="Times New Roman"/>
                            <w:i/>
                            <w:sz w:val="18"/>
                            <w:szCs w:val="18"/>
                          </w:rPr>
                          <w:t xml:space="preserve">n </w:t>
                        </w:r>
                        <w:r>
                          <w:rPr>
                            <w:rFonts w:ascii="Times New Roman" w:hAnsi="Times New Roman" w:cs="Times New Roman"/>
                            <w:sz w:val="18"/>
                            <w:szCs w:val="18"/>
                          </w:rPr>
                          <w:t>= 1)</w:t>
                        </w:r>
                      </w:p>
                    </w:txbxContent>
                  </v:textbox>
                </v:rect>
              </v:group>
            </w:pict>
          </mc:Fallback>
        </mc:AlternateContent>
      </w:r>
    </w:p>
    <w:p w14:paraId="3F92718F" w14:textId="77777777" w:rsidR="0018340A" w:rsidRPr="002E2AA0" w:rsidRDefault="0018340A" w:rsidP="0018340A">
      <w:pPr>
        <w:keepLines/>
        <w:widowControl w:val="0"/>
        <w:jc w:val="center"/>
        <w:rPr>
          <w:rFonts w:ascii="Times New Roman" w:eastAsia="MS Mincho" w:hAnsi="Times New Roman" w:cs="Times New Roman"/>
          <w:b/>
          <w:lang w:val="en-US"/>
        </w:rPr>
      </w:pPr>
    </w:p>
    <w:p w14:paraId="701B4BF2" w14:textId="77777777" w:rsidR="0018340A" w:rsidRPr="002E2AA0" w:rsidRDefault="0018340A" w:rsidP="0018340A">
      <w:pPr>
        <w:keepLines/>
        <w:widowControl w:val="0"/>
        <w:jc w:val="center"/>
        <w:rPr>
          <w:rFonts w:ascii="Times New Roman" w:eastAsia="MS Mincho" w:hAnsi="Times New Roman" w:cs="Times New Roman"/>
          <w:b/>
          <w:lang w:val="en-US"/>
        </w:rPr>
      </w:pPr>
    </w:p>
    <w:p w14:paraId="623D6A50" w14:textId="77777777" w:rsidR="0018340A" w:rsidRPr="002E2AA0" w:rsidRDefault="0018340A" w:rsidP="0018340A">
      <w:pPr>
        <w:keepLines/>
        <w:widowControl w:val="0"/>
        <w:jc w:val="center"/>
        <w:rPr>
          <w:rFonts w:ascii="Times New Roman" w:eastAsia="MS Mincho" w:hAnsi="Times New Roman" w:cs="Times New Roman"/>
          <w:b/>
          <w:lang w:val="en-US"/>
        </w:rPr>
      </w:pPr>
    </w:p>
    <w:p w14:paraId="69247260" w14:textId="77777777" w:rsidR="0018340A" w:rsidRPr="002E2AA0" w:rsidRDefault="0018340A" w:rsidP="0018340A">
      <w:pPr>
        <w:keepLines/>
        <w:widowControl w:val="0"/>
        <w:jc w:val="center"/>
        <w:rPr>
          <w:rFonts w:ascii="Times New Roman" w:eastAsia="MS Mincho" w:hAnsi="Times New Roman" w:cs="Times New Roman"/>
          <w:b/>
          <w:lang w:val="en-US"/>
        </w:rPr>
      </w:pPr>
    </w:p>
    <w:p w14:paraId="3644BB9F" w14:textId="77777777" w:rsidR="0018340A" w:rsidRPr="002E2AA0" w:rsidRDefault="0018340A" w:rsidP="0018340A">
      <w:pPr>
        <w:keepLines/>
        <w:widowControl w:val="0"/>
        <w:jc w:val="center"/>
        <w:rPr>
          <w:rFonts w:ascii="Times New Roman" w:eastAsia="MS Mincho" w:hAnsi="Times New Roman" w:cs="Times New Roman"/>
          <w:b/>
          <w:lang w:val="en-US"/>
        </w:rPr>
      </w:pPr>
    </w:p>
    <w:p w14:paraId="05DE8813" w14:textId="77777777" w:rsidR="0018340A" w:rsidRPr="002E2AA0" w:rsidRDefault="0018340A" w:rsidP="0018340A">
      <w:pPr>
        <w:keepLines/>
        <w:widowControl w:val="0"/>
        <w:jc w:val="center"/>
        <w:rPr>
          <w:rFonts w:ascii="Times New Roman" w:eastAsia="MS Mincho" w:hAnsi="Times New Roman" w:cs="Times New Roman"/>
          <w:b/>
          <w:lang w:val="en-US"/>
        </w:rPr>
      </w:pPr>
    </w:p>
    <w:p w14:paraId="4516F50D" w14:textId="77777777" w:rsidR="0018340A" w:rsidRPr="002E2AA0" w:rsidRDefault="0018340A" w:rsidP="0018340A">
      <w:pPr>
        <w:keepLines/>
        <w:widowControl w:val="0"/>
        <w:jc w:val="center"/>
        <w:rPr>
          <w:rFonts w:ascii="Times New Roman" w:eastAsia="MS Mincho" w:hAnsi="Times New Roman" w:cs="Times New Roman"/>
          <w:b/>
          <w:lang w:val="en-US"/>
        </w:rPr>
      </w:pPr>
    </w:p>
    <w:p w14:paraId="1CC3DDC0" w14:textId="77777777" w:rsidR="0018340A" w:rsidRPr="002E2AA0" w:rsidRDefault="0018340A" w:rsidP="0018340A">
      <w:pPr>
        <w:keepLines/>
        <w:widowControl w:val="0"/>
        <w:jc w:val="center"/>
        <w:rPr>
          <w:rFonts w:ascii="Times New Roman" w:eastAsia="MS Mincho" w:hAnsi="Times New Roman" w:cs="Times New Roman"/>
          <w:b/>
          <w:lang w:val="en-US"/>
        </w:rPr>
      </w:pPr>
    </w:p>
    <w:p w14:paraId="211EC30D" w14:textId="77777777" w:rsidR="0018340A" w:rsidRPr="002E2AA0" w:rsidRDefault="0018340A" w:rsidP="0018340A">
      <w:pPr>
        <w:keepLines/>
        <w:widowControl w:val="0"/>
        <w:jc w:val="center"/>
        <w:rPr>
          <w:rFonts w:ascii="Times New Roman" w:eastAsia="MS Mincho" w:hAnsi="Times New Roman" w:cs="Times New Roman"/>
          <w:b/>
          <w:lang w:val="en-US"/>
        </w:rPr>
      </w:pPr>
    </w:p>
    <w:p w14:paraId="342D9B52" w14:textId="77777777" w:rsidR="0018340A" w:rsidRPr="002E2AA0" w:rsidRDefault="0018340A" w:rsidP="0018340A">
      <w:pPr>
        <w:keepLines/>
        <w:widowControl w:val="0"/>
        <w:jc w:val="center"/>
        <w:rPr>
          <w:rFonts w:ascii="Times New Roman" w:eastAsia="MS Mincho" w:hAnsi="Times New Roman" w:cs="Times New Roman"/>
          <w:b/>
          <w:lang w:val="en-US"/>
        </w:rPr>
      </w:pPr>
    </w:p>
    <w:p w14:paraId="54AC6B36" w14:textId="77777777" w:rsidR="0018340A" w:rsidRPr="002E2AA0" w:rsidRDefault="0018340A" w:rsidP="0018340A">
      <w:pPr>
        <w:keepLines/>
        <w:widowControl w:val="0"/>
        <w:jc w:val="center"/>
        <w:rPr>
          <w:rFonts w:ascii="Times New Roman" w:eastAsia="MS Mincho" w:hAnsi="Times New Roman" w:cs="Times New Roman"/>
          <w:b/>
          <w:lang w:val="en-US"/>
        </w:rPr>
      </w:pPr>
    </w:p>
    <w:p w14:paraId="7599C8F6" w14:textId="77777777" w:rsidR="0018340A" w:rsidRPr="002E2AA0" w:rsidRDefault="0018340A" w:rsidP="0018340A">
      <w:pPr>
        <w:keepLines/>
        <w:widowControl w:val="0"/>
        <w:jc w:val="center"/>
        <w:rPr>
          <w:rFonts w:ascii="Times New Roman" w:eastAsia="MS Mincho" w:hAnsi="Times New Roman" w:cs="Times New Roman"/>
          <w:b/>
          <w:lang w:val="en-US"/>
        </w:rPr>
      </w:pPr>
    </w:p>
    <w:p w14:paraId="27BF771C" w14:textId="77777777" w:rsidR="0018340A" w:rsidRPr="002E2AA0" w:rsidRDefault="0018340A" w:rsidP="0018340A">
      <w:pPr>
        <w:keepLines/>
        <w:widowControl w:val="0"/>
        <w:jc w:val="center"/>
        <w:rPr>
          <w:rFonts w:ascii="Times New Roman" w:eastAsia="MS Mincho" w:hAnsi="Times New Roman" w:cs="Times New Roman"/>
          <w:b/>
          <w:lang w:val="en-US"/>
        </w:rPr>
      </w:pPr>
    </w:p>
    <w:p w14:paraId="77493CD1" w14:textId="77777777" w:rsidR="0018340A" w:rsidRPr="002E2AA0" w:rsidRDefault="0018340A" w:rsidP="0018340A">
      <w:pPr>
        <w:keepLines/>
        <w:widowControl w:val="0"/>
        <w:jc w:val="center"/>
        <w:rPr>
          <w:rFonts w:ascii="Times New Roman" w:eastAsia="MS Mincho" w:hAnsi="Times New Roman" w:cs="Times New Roman"/>
          <w:b/>
          <w:lang w:val="en-US"/>
        </w:rPr>
      </w:pPr>
    </w:p>
    <w:p w14:paraId="4FAF2159" w14:textId="77777777" w:rsidR="0018340A" w:rsidRPr="002E2AA0" w:rsidRDefault="0018340A" w:rsidP="0018340A">
      <w:pPr>
        <w:keepNext/>
        <w:keepLines/>
        <w:widowControl w:val="0"/>
        <w:outlineLvl w:val="1"/>
        <w:rPr>
          <w:rFonts w:ascii="Times New Roman" w:eastAsia="Times New Roman" w:hAnsi="Times New Roman" w:cs="Times New Roman"/>
          <w:bCs/>
          <w:color w:val="000000"/>
          <w:kern w:val="28"/>
          <w:lang w:val="en-US" w:eastAsia="en-CA"/>
        </w:rPr>
      </w:pPr>
      <w:r w:rsidRPr="002E2AA0">
        <w:rPr>
          <w:rFonts w:ascii="Times New Roman" w:eastAsia="Times New Roman" w:hAnsi="Times New Roman" w:cs="Times New Roman"/>
          <w:bCs/>
          <w:color w:val="000000"/>
          <w:kern w:val="28"/>
          <w:lang w:val="en-US" w:eastAsia="en-CA"/>
        </w:rPr>
        <w:tab/>
      </w:r>
    </w:p>
    <w:p w14:paraId="0C9F4441" w14:textId="77777777" w:rsidR="0018340A" w:rsidRPr="002E2AA0" w:rsidRDefault="002E2AA0" w:rsidP="0018340A">
      <w:pPr>
        <w:keepLines/>
        <w:widowControl w:val="0"/>
        <w:tabs>
          <w:tab w:val="left" w:pos="687"/>
        </w:tabs>
        <w:rPr>
          <w:rFonts w:ascii="Times New Roman" w:eastAsia="MS Mincho" w:hAnsi="Times New Roman" w:cs="Times New Roman"/>
          <w:b/>
          <w:lang w:val="en-US"/>
        </w:rPr>
      </w:pPr>
      <w:r w:rsidRPr="002E2AA0">
        <w:rPr>
          <w:noProof/>
          <w:lang w:eastAsia="en-GB"/>
        </w:rPr>
        <mc:AlternateContent>
          <mc:Choice Requires="wps">
            <w:drawing>
              <wp:anchor distT="0" distB="0" distL="114300" distR="114300" simplePos="0" relativeHeight="251712512" behindDoc="0" locked="0" layoutInCell="1" allowOverlap="1" wp14:anchorId="62460867" wp14:editId="33BD45F0">
                <wp:simplePos x="0" y="0"/>
                <wp:positionH relativeFrom="column">
                  <wp:posOffset>3403444</wp:posOffset>
                </wp:positionH>
                <wp:positionV relativeFrom="paragraph">
                  <wp:posOffset>65295</wp:posOffset>
                </wp:positionV>
                <wp:extent cx="296801"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0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 w14:anchorId="0C5D41EE" id="Straight Arrow Connector 8" o:spid="_x0000_s1026" type="#_x0000_t32" style="position:absolute;margin-left:268pt;margin-top:5.15pt;width:23.3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MurgIAAKQFAAAOAAAAZHJzL2Uyb0RvYy54bWysVE2P2jAQvVfqf7B8zyaBACHasGJD6GXb rsRWPZvYIVYdO7INAVX97x0bSJftpao2h8hf8+bNm2ffPxxbgQ5MG65kjuO7CCMmK0W53OX428s6 SDEylkhKhJIsxydm8MPi44f7vsvYSDVKUKYRgEiT9V2OG2u7LAxN1bCWmDvVMQmbtdItsTDVu5Bq 0gN6K8JRFE3DXmnaaVUxY2B1dd7EC49f16yyX+vaMItEjoGb9X/t/1v3Dxf3JNtp0jW8utAg/8Gi JVxC0gFqRSxBe83/gmp5pZVRtb2rVBuquuYV8zVANXH0pppNQzrmawFxTDfIZN4PtvpyeNaI0xxD oyRpoUUbqwnfNRYttVY9KpSUIKPSKHVq9Z3JIKiQz9rVWx3lpntS1Q+DpCoaInfMs345dQAVu4jw JsRNTAc5t/1nReEM2VvlpTvWunWQIAo6+g6dhg6xo0UVLI7m0zSKMaquWyHJrnGdNvYTUy1ygxyb SxkD/9hnIYcnYx0rkl0DXFKp1lwI7wYhUZ/j+WQ08QFGCU7dpjtm9G5bCI0OxPnJf75E2Hl9TKu9 pB6sYYSWl7ElXMAYWa+N1RzUEgy7bC2jGAkGV8iNzvSEdBmZN/GZM8yOFoZ+HRTxBvs5j+ZlWqZJ kIymZZBEq1WwXBdJMF3Hs8lqvCqKVfzLlRInWcMpZdJVczV7nPybmS7X7mzTwe6DbOEtutcXyN4y Xa4n0SwZp8FsNhkHybiMgsd0XQTLIp5OZ+Vj8Vi+YVr66s37kB2kdKzU3jK9aWiPKHd2GU/mIzAW 5fA4jGbnziIidtCSymqMtLLfuW28uZ0tHcaNGwr/XXo3oJ+FuPbQzYYuXGr7IxVY8tpff2fcNTlf uK2ip2ftbOGuDzwFPujybLm35vXcn/rzuC5+AwAA//8DAFBLAwQUAAYACAAAACEAEtJMqOMAAAAO AQAADwAAAGRycy9kb3ducmV2LnhtbEyPT0/DMAzF70h8h8hI3Fi6lW5T13RCQ6BpN8ofccwa01Y0 TpVkW8enx4gDXCzZz35+v2I92l4c0YfOkYLpJAGBVDvTUaPg5fnhZgkiRE1G945QwRkDrMvLi0Ln xp3oCY9VbASbUMi1gjbGIZcy1C1aHSZuQGLtw3mrI7e+kcbrE5vbXs6SZC6t7og/tHrATYv1Z3Ww CsavXYbNW3cbt9PHhd9lm/f0tVLq+mq8X3G5W4GIOMa/C/hh4PxQcrC9O5AJoleQpXMGiiwkKQhe yJazBYj970CWhfyPUX4DAAD//wMAUEsBAi0AFAAGAAgAAAAhALaDOJL+AAAA4QEAABMAAAAAAAAA AAAAAAAAAAAAAFtDb250ZW50X1R5cGVzXS54bWxQSwECLQAUAAYACAAAACEAOP0h/9YAAACUAQAA CwAAAAAAAAAAAAAAAAAvAQAAX3JlbHMvLnJlbHNQSwECLQAUAAYACAAAACEAfgwDLq4CAACkBQAA DgAAAAAAAAAAAAAAAAAuAgAAZHJzL2Uyb0RvYy54bWxQSwECLQAUAAYACAAAACEAEtJMqOMAAAAO AQAADwAAAAAAAAAAAAAAAAAIBQAAZHJzL2Rvd25yZXYueG1sUEsFBgAAAAAEAAQA8wAAABgGAAAA AA== ">
                <v:stroke endarrow="block"/>
                <v:shadow color="#ccc"/>
              </v:shape>
            </w:pict>
          </mc:Fallback>
        </mc:AlternateContent>
      </w:r>
    </w:p>
    <w:p w14:paraId="550A1AD3" w14:textId="77777777" w:rsidR="0018340A" w:rsidRPr="002E2AA0" w:rsidRDefault="0018340A" w:rsidP="0018340A">
      <w:pPr>
        <w:keepLines/>
        <w:widowControl w:val="0"/>
        <w:jc w:val="center"/>
        <w:rPr>
          <w:rFonts w:ascii="Times New Roman" w:eastAsia="MS Mincho" w:hAnsi="Times New Roman" w:cs="Times New Roman"/>
          <w:b/>
          <w:lang w:val="en-US"/>
        </w:rPr>
      </w:pPr>
    </w:p>
    <w:p w14:paraId="7FB3E6BE" w14:textId="77777777" w:rsidR="0018340A" w:rsidRPr="002E2AA0" w:rsidRDefault="0018340A" w:rsidP="0018340A">
      <w:pPr>
        <w:keepLines/>
        <w:widowControl w:val="0"/>
        <w:jc w:val="center"/>
        <w:rPr>
          <w:rFonts w:ascii="Times New Roman" w:eastAsia="MS Mincho" w:hAnsi="Times New Roman" w:cs="Times New Roman"/>
          <w:b/>
          <w:lang w:val="en-US"/>
        </w:rPr>
      </w:pPr>
    </w:p>
    <w:p w14:paraId="33A7FBEA" w14:textId="77777777" w:rsidR="0018340A" w:rsidRPr="002E2AA0" w:rsidRDefault="0018340A" w:rsidP="0018340A">
      <w:pPr>
        <w:keepLines/>
        <w:widowControl w:val="0"/>
        <w:jc w:val="center"/>
        <w:rPr>
          <w:rFonts w:ascii="Times New Roman" w:eastAsia="MS Mincho" w:hAnsi="Times New Roman" w:cs="Times New Roman"/>
          <w:b/>
          <w:lang w:val="en-US"/>
        </w:rPr>
      </w:pPr>
    </w:p>
    <w:p w14:paraId="4E780145" w14:textId="77777777" w:rsidR="0018340A" w:rsidRPr="002E2AA0" w:rsidRDefault="0018340A" w:rsidP="0018340A">
      <w:pPr>
        <w:keepLines/>
        <w:widowControl w:val="0"/>
        <w:jc w:val="center"/>
        <w:rPr>
          <w:rFonts w:ascii="Times New Roman" w:eastAsia="MS Mincho" w:hAnsi="Times New Roman" w:cs="Times New Roman"/>
          <w:b/>
          <w:lang w:val="en-US"/>
        </w:rPr>
      </w:pPr>
    </w:p>
    <w:p w14:paraId="6CD595EC" w14:textId="77777777" w:rsidR="0018340A" w:rsidRPr="002E2AA0" w:rsidRDefault="0018340A" w:rsidP="0018340A">
      <w:pPr>
        <w:keepLines/>
        <w:widowControl w:val="0"/>
        <w:jc w:val="center"/>
        <w:rPr>
          <w:rFonts w:ascii="Times New Roman" w:eastAsia="MS Mincho" w:hAnsi="Times New Roman" w:cs="Times New Roman"/>
          <w:b/>
          <w:lang w:val="en-US"/>
        </w:rPr>
      </w:pPr>
    </w:p>
    <w:p w14:paraId="58E5611D" w14:textId="77777777" w:rsidR="0018340A" w:rsidRPr="002E2AA0" w:rsidRDefault="0018340A" w:rsidP="0018340A">
      <w:pPr>
        <w:keepLines/>
        <w:widowControl w:val="0"/>
        <w:jc w:val="center"/>
        <w:rPr>
          <w:rFonts w:ascii="Times New Roman" w:eastAsia="MS Mincho" w:hAnsi="Times New Roman" w:cs="Times New Roman"/>
          <w:b/>
          <w:lang w:val="en-US"/>
        </w:rPr>
      </w:pPr>
    </w:p>
    <w:p w14:paraId="72CB8267" w14:textId="77777777" w:rsidR="0018340A" w:rsidRPr="002E2AA0" w:rsidRDefault="0018340A" w:rsidP="0018340A">
      <w:pPr>
        <w:keepLines/>
        <w:widowControl w:val="0"/>
        <w:jc w:val="center"/>
        <w:rPr>
          <w:rFonts w:ascii="Times New Roman" w:eastAsia="MS Mincho" w:hAnsi="Times New Roman" w:cs="Times New Roman"/>
          <w:b/>
          <w:lang w:val="en-US"/>
        </w:rPr>
      </w:pPr>
    </w:p>
    <w:p w14:paraId="0456A6B4" w14:textId="77777777" w:rsidR="0018340A" w:rsidRPr="002E2AA0" w:rsidRDefault="0018340A" w:rsidP="0018340A">
      <w:pPr>
        <w:keepLines/>
        <w:widowControl w:val="0"/>
        <w:jc w:val="center"/>
        <w:rPr>
          <w:rFonts w:ascii="Times New Roman" w:eastAsia="MS Mincho" w:hAnsi="Times New Roman" w:cs="Times New Roman"/>
          <w:b/>
          <w:lang w:val="en-US"/>
        </w:rPr>
      </w:pPr>
    </w:p>
    <w:p w14:paraId="0B45EF7B"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b/>
          <w:noProof/>
          <w:lang w:eastAsia="en-GB"/>
        </w:rPr>
        <mc:AlternateContent>
          <mc:Choice Requires="wps">
            <w:drawing>
              <wp:anchor distT="36576" distB="36576" distL="36576" distR="36576" simplePos="0" relativeHeight="251667456" behindDoc="0" locked="0" layoutInCell="1" allowOverlap="1" wp14:anchorId="7F30DEF3" wp14:editId="10E61D85">
                <wp:simplePos x="0" y="0"/>
                <wp:positionH relativeFrom="column">
                  <wp:posOffset>4743450</wp:posOffset>
                </wp:positionH>
                <wp:positionV relativeFrom="paragraph">
                  <wp:posOffset>5372100</wp:posOffset>
                </wp:positionV>
                <wp:extent cx="628650" cy="0"/>
                <wp:effectExtent l="9525" t="59055" r="19050" b="5524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A36C7A" id="Straight Arrow Connector 41" o:spid="_x0000_s1026" type="#_x0000_t32" style="position:absolute;margin-left:373.5pt;margin-top:423pt;width:49.5pt;height: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Y0KrgIAAKYFAAAOAAAAZHJzL2Uyb0RvYy54bWysVE2PmzAQvVfqf7B8Z4GEfGrJKktIL9t2 pWzVs4MNWDU2sp2QqOp/79ghbLO9VNVyQP6a53lv3vj+4dQIdGTacCVTHN9FGDFZKMplleJvL9tg jpGxRFIilGQpPjODH1YfP9x37ZKNVK0EZRoBiDTLrk1xbW27DENT1Kwh5k61TMJmqXRDLEx1FVJN OkBvRDiKomnYKU1brQpmDKxuLpt45fHLkhX2a1kaZpFIMeRm/V/7/979w9U9WVaatDUv+jTIf2TR EC7h0gFqQyxBB83/gmp4oZVRpb0rVBOqsuQF8xyATRy9YbOrScs8FxDHtINM5v1giy/HZ404TXES YyRJAzXaWU14VVu01lp1KFNSgo5KIzgCenWtWUJYJp+1Y1yc5K59UsUPg6TKaiIr5vN+ObeA5SPC mxA3MS3cuu8+KwpnyMEqL96p1I2DBFnQydfoPNSInSwqYHE6mk8nUMniuhWS5TWu1cZ+YqpBbpBi 0/MYCMT+FnJ8MhZ4QOA1wF0q1ZYL4f0gJOpSvJiMJj7AKMGp23THjK72mdDoSJyj/OdEAbCbY1od JPVgNSM078eWcAFjZL02VnNQSzDsbmsYxUgwaCI3uiAK6W5k3saXnGF2sjD066CIt9jPRbTI5/k8 CZLRNA+SaLMJ1tssCabbeDbZjDdZtol/OSpxsqw5pUw6Nle7x8m/2alvvItRB8MPsoW36F4SSPY2 0/V2Es2S8TyYzSbjIBnnUfA432bBOoun01n+mD3mbzLNPXvzPskOUrqs1MEyvatphyh3dhlPFiPo AcrheRjNLpVFRFRQksJqjLSy37mtvbmdLR3GjRsy//W1G9AvQlxr6GZDFXpur1KBi6719T3j2uTS cHtFz8/a2cK1DzwGPqh/uNxr8+fcn3p9Xle/AQAA//8DAFBLAwQUAAYACAAAACEAd4M7ON0AAAAL AQAADwAAAGRycy9kb3ducmV2LnhtbEyPQUvDQBCF70L/wzKCN7uppk2J2ZRSUKQ3UxWP2+yYBLOz YXfbRn+9Iwr29j3m8ea9YjXaXhzRh86Rgtk0AYFUO9NRo+B5d3+9BBGiJqN7R6jgEwOsyslFoXPj TvSExyo2gkMo5FpBG+OQSxnqFq0OUzcg8e3deasjS99I4/WJw20vb5JkIa3uiD+0esBNi/VHdbAK xq/tHJvXLo2Ps4fMb+ebt9uXSqmry3F9ByLiGP/N8FOfq0PJnfbuQCaIXkGWZrwlKlimCwZ2/ML+ D2RZyPMN5TcAAAD//wMAUEsBAi0AFAAGAAgAAAAhALaDOJL+AAAA4QEAABMAAAAAAAAAAAAAAAAA AAAAAFtDb250ZW50X1R5cGVzXS54bWxQSwECLQAUAAYACAAAACEAOP0h/9YAAACUAQAACwAAAAAA AAAAAAAAAAAvAQAAX3JlbHMvLnJlbHNQSwECLQAUAAYACAAAACEA/12NCq4CAACmBQAADgAAAAAA AAAAAAAAAAAuAgAAZHJzL2Uyb0RvYy54bWxQSwECLQAUAAYACAAAACEAd4M7ON0AAAALAQAADwAA AAAAAAAAAAAAAAAIBQAAZHJzL2Rvd25yZXYueG1sUEsFBgAAAAAEAAQA8wAAABIGAAAAAA== ">
                <v:stroke endarrow="block"/>
                <v:shadow color="#ccc"/>
              </v:shape>
            </w:pict>
          </mc:Fallback>
        </mc:AlternateContent>
      </w:r>
    </w:p>
    <w:p w14:paraId="1500FBFB"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noProof/>
          <w:lang w:eastAsia="en-GB"/>
        </w:rPr>
        <mc:AlternateContent>
          <mc:Choice Requires="wps">
            <w:drawing>
              <wp:anchor distT="36576" distB="36576" distL="36576" distR="36576" simplePos="0" relativeHeight="251668480" behindDoc="0" locked="0" layoutInCell="1" allowOverlap="1" wp14:anchorId="670739ED" wp14:editId="1B46254C">
                <wp:simplePos x="0" y="0"/>
                <wp:positionH relativeFrom="column">
                  <wp:posOffset>4743450</wp:posOffset>
                </wp:positionH>
                <wp:positionV relativeFrom="paragraph">
                  <wp:posOffset>5372100</wp:posOffset>
                </wp:positionV>
                <wp:extent cx="628650" cy="0"/>
                <wp:effectExtent l="9525" t="59055" r="19050" b="552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6CEBC8" id="Straight Arrow Connector 44" o:spid="_x0000_s1026" type="#_x0000_t32" style="position:absolute;margin-left:373.5pt;margin-top:423pt;width:49.5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ZCGksAIAAKYFAAAOAAAAZHJzL2Uyb0RvYy54bWysVE2P2yAQvVfqf0Dcvf6I82Wts8o6Ti/b dqVs1TMxOEbFYAGJE1X97x1I4m62l6paHywGmDczb95w/3BsBTowbbiSOY7vIoyYrBTlcpfjby/r YIaRsURSIpRkOT4xgx8WHz/c913GEtUoQZlGACJN1nc5bqztsjA0VcNaYu5UxyQc1kq3xIKpdyHV pAf0VoRJFE3CXmnaaVUxY2B3dT7EC49f16yyX+vaMItEjiE36//a/7fuHy7uSbbTpGt4dUmD/EcW LeESgg5QK2IJ2mv+F1TLK62Mqu1dpdpQ1TWvmK8BqomjN9VsGtIxXwuQY7qBJvN+sNWXw7NGnOY4 TTGSpIUebawmfNdYtNRa9ahQUgKPSiO4Anz1ncnArZDP2lVcHeWme1LVD4OkKhoid8zn/XLqACt2 HuGNizNMB1G3/WdF4Q7ZW+XJO9a6dZBACzr6Hp2GHrGjRRVsTpLZZAydrK5HIcmufp029hNTLXKL HJtLHUMBsY9CDk/GuqxIdnVwQaVacyG8HoREfY7n42TsHYwSnLpDd83o3bYQGh2IU5T/fIlw8vqa VntJPVjDCC0va0u4gDWynhurObAlGHbRWkYxEgyGyK3O6QnpIjIv43POYB0tLP0+MOIl9nMezctZ OUuDNJmUQRqtVsFyXaTBZB1Px6vRqihW8S9XSpxmDaeUSVfNVe5x+m9yugzeWaiD4Afawlt0zy8k e5vpcj2OpuloFkyn41GQjsooeJyti2BZxJPJtHwsHss3mZa+evM+yQ5UuqzU3jK9aWiPKHdyGY3n SYzBgOchmZ47i4jYQUsqqzHSyn7ntvHidrJ0GDdqKPx36d2Afibi2kNnDV241PaHKpDktb9+ZtyY nAduq+jpWTtZuPGBx8A7XR4u99q8tv2tP8/r4jcAAAD//wMAUEsDBBQABgAIAAAAIQB3gzs43QAA AAsBAAAPAAAAZHJzL2Rvd25yZXYueG1sTI9BS8NAEIXvQv/DMoI3u6mmTYnZlFJQpDdTFY/b7JgE s7Nhd9tGf70jCvb2Pebx5r1iNdpeHNGHzpGC2TQBgVQ701Gj4Hl3f70EEaImo3tHqOATA6zKyUWh c+NO9ITHKjaCQyjkWkEb45BLGeoWrQ5TNyDx7d15qyNL30jj9YnDbS9vkmQhre6IP7R6wE2L9Ud1 sArGr+0cm9cujY+zh8xv55u325dKqavLcX0HIuIY/83wU5+rQ8md9u5AJoheQZZmvCUqWKYLBnb8 wv4PZFnI8w3lNwAAAP//AwBQSwECLQAUAAYACAAAACEAtoM4kv4AAADhAQAAEwAAAAAAAAAAAAAA AAAAAAAAW0NvbnRlbnRfVHlwZXNdLnhtbFBLAQItABQABgAIAAAAIQA4/SH/1gAAAJQBAAALAAAA AAAAAAAAAAAAAC8BAABfcmVscy8ucmVsc1BLAQItABQABgAIAAAAIQBBZCGksAIAAKYFAAAOAAAA AAAAAAAAAAAAAC4CAABkcnMvZTJvRG9jLnhtbFBLAQItABQABgAIAAAAIQB3gzs43QAAAAsBAAAP AAAAAAAAAAAAAAAAAAoFAABkcnMvZG93bnJldi54bWxQSwUGAAAAAAQABADzAAAAFAYAAAAA ">
                <v:stroke endarrow="block"/>
                <v:shadow color="#ccc"/>
              </v:shape>
            </w:pict>
          </mc:Fallback>
        </mc:AlternateContent>
      </w:r>
    </w:p>
    <w:p w14:paraId="61CF8BCC" w14:textId="77777777" w:rsidR="0018340A" w:rsidRPr="002E2AA0" w:rsidRDefault="0018340A" w:rsidP="0018340A">
      <w:pPr>
        <w:keepLines/>
        <w:widowControl w:val="0"/>
        <w:rPr>
          <w:rFonts w:ascii="Times New Roman" w:eastAsia="MS Mincho" w:hAnsi="Times New Roman" w:cs="Times New Roman"/>
          <w:lang w:val="en-US"/>
        </w:rPr>
      </w:pPr>
    </w:p>
    <w:p w14:paraId="7232F31D" w14:textId="77777777" w:rsidR="0018340A" w:rsidRPr="002E2AA0" w:rsidRDefault="0018340A" w:rsidP="0018340A">
      <w:pPr>
        <w:keepLines/>
        <w:widowControl w:val="0"/>
        <w:rPr>
          <w:rFonts w:ascii="Times New Roman" w:eastAsia="MS Mincho" w:hAnsi="Times New Roman" w:cs="Times New Roman"/>
          <w:lang w:val="en-US"/>
        </w:rPr>
      </w:pPr>
    </w:p>
    <w:p w14:paraId="27A58FDB" w14:textId="77777777" w:rsidR="0018340A" w:rsidRPr="002E2AA0" w:rsidRDefault="0018340A" w:rsidP="0018340A">
      <w:pPr>
        <w:keepLines/>
        <w:widowControl w:val="0"/>
        <w:rPr>
          <w:rFonts w:ascii="Times New Roman" w:eastAsia="MS Mincho" w:hAnsi="Times New Roman" w:cs="Times New Roman"/>
          <w:lang w:val="en-US"/>
        </w:rPr>
      </w:pPr>
    </w:p>
    <w:p w14:paraId="158C82D4"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noProof/>
          <w:lang w:eastAsia="en-GB"/>
        </w:rPr>
        <mc:AlternateContent>
          <mc:Choice Requires="wps">
            <w:drawing>
              <wp:anchor distT="0" distB="0" distL="114300" distR="114300" simplePos="0" relativeHeight="251675648" behindDoc="0" locked="0" layoutInCell="1" allowOverlap="1" wp14:anchorId="6D11932C" wp14:editId="5647F286">
                <wp:simplePos x="0" y="0"/>
                <wp:positionH relativeFrom="column">
                  <wp:posOffset>3028950</wp:posOffset>
                </wp:positionH>
                <wp:positionV relativeFrom="paragraph">
                  <wp:posOffset>7086600</wp:posOffset>
                </wp:positionV>
                <wp:extent cx="1714500" cy="914400"/>
                <wp:effectExtent l="9525" t="11430" r="952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65F952F"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932C" id="Rectangle 48" o:spid="_x0000_s1051" style="position:absolute;margin-left:238.5pt;margin-top:558pt;width:1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">
                <v:textbox inset=",7.2pt,,7.2pt">
                  <w:txbxContent>
                    <w:p w14:paraId="065F952F"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v:textbox>
              </v:rect>
            </w:pict>
          </mc:Fallback>
        </mc:AlternateContent>
      </w:r>
      <w:r w:rsidRPr="002E2AA0">
        <w:rPr>
          <w:rFonts w:ascii="Times New Roman" w:eastAsia="MS Mincho" w:hAnsi="Times New Roman" w:cs="Times New Roman"/>
          <w:noProof/>
          <w:lang w:eastAsia="en-GB"/>
        </w:rPr>
        <mc:AlternateContent>
          <mc:Choice Requires="wps">
            <w:drawing>
              <wp:anchor distT="36576" distB="36576" distL="36576" distR="36576" simplePos="0" relativeHeight="251669504" behindDoc="0" locked="0" layoutInCell="1" allowOverlap="1" wp14:anchorId="212FDC1E" wp14:editId="441C31C8">
                <wp:simplePos x="0" y="0"/>
                <wp:positionH relativeFrom="column">
                  <wp:posOffset>4743450</wp:posOffset>
                </wp:positionH>
                <wp:positionV relativeFrom="paragraph">
                  <wp:posOffset>5372100</wp:posOffset>
                </wp:positionV>
                <wp:extent cx="628650" cy="0"/>
                <wp:effectExtent l="9525" t="59055" r="19050" b="5524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33316" id="Straight Arrow Connector 49" o:spid="_x0000_s1026" type="#_x0000_t32" style="position:absolute;margin-left:373.5pt;margin-top:423pt;width:49.5pt;height: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zikRsAIAAKYFAAAOAAAAZHJzL2Uyb0RvYy54bWysVE2P2yAQvVfqf0Dcvf6I82Wts8o6Ti/b dqVs1TMxOEbFYAGJE1X97x1I4m62l6paHywGmDczb95w/3BsBTowbbiSOY7vIoyYrBTlcpfjby/r YIaRsURSIpRkOT4xgx8WHz/c913GEtUoQZlGACJN1nc5bqztsjA0VcNaYu5UxyQc1kq3xIKpdyHV pAf0VoRJFE3CXmnaaVUxY2B3dT7EC49f16yyX+vaMItEjiE36//a/7fuHy7uSbbTpGt4dUmD/EcW LeESgg5QK2IJ2mv+F1TLK62Mqu1dpdpQ1TWvmK8BqomjN9VsGtIxXwuQY7qBJvN+sNWXw7NGnOY4 nWMkSQs92lhN+K6xaKm16lGhpAQelUZwBfjqO5OBWyGftau4OspN96SqHwZJVTRE7pjP++XUAVbs PMIbF2eYDqJu+8+Kwh2yt8qTd6x16yCBFnT0PToNPWJHiyrYnCSzyRg6WV2PQpJd/Tpt7CemWuQW OTaXOoYCYh+FHJ6MdVmR7Orggkq15kJ4PQiJ+hzPx8nYOxglOHWH7prRu20hNDoQpyj/+RLh5PU1 rfaSerCGEVpe1pZwAWtkPTdWc2BLMOyitYxiJBgMkVud0xPSRWRexuecwTpaWPp9YMRL7Oc8mpez cpYGaTIpgzRarYLlukiDyTqejlejVVGs4l+ulDjNGk4pk66aq9zj9N/kdBm8s1AHwQ+0hbfonl9I 9jbT5XocTdPRLJhOx6MgHZVR8DhbF8GyiCeTaflYPJZvMi199eZ9kh2odFmpvWV609AeUe7kMhrP kxiDAc9DMj13FhGxg5ZUVmOklf3ObePF7WTpMG7UUPjv0rsB/UzEtYfOGrpwqe0PVSDJa3/9zLgx OQ/cVtHTs3aycOMDj4F3ujxc7rV5bftbf57XxW8AAAD//wMAUEsDBBQABgAIAAAAIQB3gzs43QAA AAsBAAAPAAAAZHJzL2Rvd25yZXYueG1sTI9BS8NAEIXvQv/DMoI3u6mmTYnZlFJQpDdTFY/b7JgE s7Nhd9tGf70jCvb2Pebx5r1iNdpeHNGHzpGC2TQBgVQ701Gj4Hl3f70EEaImo3tHqOATA6zKyUWh c+NO9ITHKjaCQyjkWkEb45BLGeoWrQ5TNyDx7d15qyNL30jj9YnDbS9vkmQhre6IP7R6wE2L9Ud1 sArGr+0cm9cujY+zh8xv55u325dKqavLcX0HIuIY/83wU5+rQ8md9u5AJoheQZZmvCUqWKYLBnb8 wv4PZFnI8w3lNwAAAP//AwBQSwECLQAUAAYACAAAACEAtoM4kv4AAADhAQAAEwAAAAAAAAAAAAAA AAAAAAAAW0NvbnRlbnRfVHlwZXNdLnhtbFBLAQItABQABgAIAAAAIQA4/SH/1gAAAJQBAAALAAAA AAAAAAAAAAAAAC8BAABfcmVscy8ucmVsc1BLAQItABQABgAIAAAAIQCkzikRsAIAAKYFAAAOAAAA AAAAAAAAAAAAAC4CAABkcnMvZTJvRG9jLnhtbFBLAQItABQABgAIAAAAIQB3gzs43QAAAAsBAAAP AAAAAAAAAAAAAAAAAAoFAABkcnMvZG93bnJldi54bWxQSwUGAAAAAAQABADzAAAAFAYAAAAA ">
                <v:stroke endarrow="block"/>
                <v:shadow color="#ccc"/>
              </v:shape>
            </w:pict>
          </mc:Fallback>
        </mc:AlternateContent>
      </w:r>
    </w:p>
    <w:p w14:paraId="4A83B051"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noProof/>
          <w:lang w:eastAsia="en-GB"/>
        </w:rPr>
        <mc:AlternateContent>
          <mc:Choice Requires="wps">
            <w:drawing>
              <wp:anchor distT="0" distB="0" distL="114300" distR="114300" simplePos="0" relativeHeight="251676672" behindDoc="0" locked="0" layoutInCell="1" allowOverlap="1" wp14:anchorId="08AE990E" wp14:editId="2D3267EF">
                <wp:simplePos x="0" y="0"/>
                <wp:positionH relativeFrom="column">
                  <wp:posOffset>3028950</wp:posOffset>
                </wp:positionH>
                <wp:positionV relativeFrom="paragraph">
                  <wp:posOffset>7086600</wp:posOffset>
                </wp:positionV>
                <wp:extent cx="1714500" cy="914400"/>
                <wp:effectExtent l="9525" t="11430" r="952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AAC0BA0"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990E" id="Rectangle 50" o:spid="_x0000_s1052" style="position:absolute;margin-left:238.5pt;margin-top:55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">
                <v:textbox inset=",7.2pt,,7.2pt">
                  <w:txbxContent>
                    <w:p w14:paraId="1AAC0BA0"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v:textbox>
              </v:rect>
            </w:pict>
          </mc:Fallback>
        </mc:AlternateContent>
      </w:r>
      <w:r w:rsidRPr="002E2AA0">
        <w:rPr>
          <w:rFonts w:ascii="Times New Roman" w:eastAsia="MS Mincho" w:hAnsi="Times New Roman" w:cs="Times New Roman"/>
          <w:noProof/>
          <w:lang w:eastAsia="en-GB"/>
        </w:rPr>
        <mc:AlternateContent>
          <mc:Choice Requires="wps">
            <w:drawing>
              <wp:anchor distT="0" distB="0" distL="114300" distR="114300" simplePos="0" relativeHeight="251674624" behindDoc="0" locked="0" layoutInCell="1" allowOverlap="1" wp14:anchorId="01C9F7FF" wp14:editId="3C3B9FA5">
                <wp:simplePos x="0" y="0"/>
                <wp:positionH relativeFrom="column">
                  <wp:posOffset>3028950</wp:posOffset>
                </wp:positionH>
                <wp:positionV relativeFrom="paragraph">
                  <wp:posOffset>7086600</wp:posOffset>
                </wp:positionV>
                <wp:extent cx="1714500" cy="914400"/>
                <wp:effectExtent l="9525" t="11430" r="952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38C1F4B"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F7FF" id="Rectangle 51" o:spid="_x0000_s1053" style="position:absolute;margin-left:238.5pt;margin-top:558pt;width:1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">
                <v:textbox inset=",7.2pt,,7.2pt">
                  <w:txbxContent>
                    <w:p w14:paraId="138C1F4B"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v:textbox>
              </v:rect>
            </w:pict>
          </mc:Fallback>
        </mc:AlternateContent>
      </w:r>
    </w:p>
    <w:p w14:paraId="39100132"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noProof/>
          <w:lang w:eastAsia="en-GB"/>
        </w:rPr>
        <mc:AlternateContent>
          <mc:Choice Requires="wps">
            <w:drawing>
              <wp:anchor distT="0" distB="0" distL="114300" distR="114300" simplePos="0" relativeHeight="251673600" behindDoc="0" locked="0" layoutInCell="1" allowOverlap="1" wp14:anchorId="566844A6" wp14:editId="791E7EA0">
                <wp:simplePos x="0" y="0"/>
                <wp:positionH relativeFrom="column">
                  <wp:posOffset>3028950</wp:posOffset>
                </wp:positionH>
                <wp:positionV relativeFrom="paragraph">
                  <wp:posOffset>7086600</wp:posOffset>
                </wp:positionV>
                <wp:extent cx="1714500" cy="914400"/>
                <wp:effectExtent l="9525" t="11430" r="9525"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DB28E41"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44A6" id="Rectangle 52" o:spid="_x0000_s1054" style="position:absolute;margin-left:238.5pt;margin-top:558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">
                <v:textbox inset=",7.2pt,,7.2pt">
                  <w:txbxContent>
                    <w:p w14:paraId="6DB28E41"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v:textbox>
              </v:rect>
            </w:pict>
          </mc:Fallback>
        </mc:AlternateContent>
      </w:r>
    </w:p>
    <w:p w14:paraId="360AB8FA"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noProof/>
          <w:lang w:eastAsia="en-GB"/>
        </w:rPr>
        <mc:AlternateContent>
          <mc:Choice Requires="wps">
            <w:drawing>
              <wp:anchor distT="0" distB="0" distL="114300" distR="114300" simplePos="0" relativeHeight="251678720" behindDoc="0" locked="0" layoutInCell="1" allowOverlap="1" wp14:anchorId="21ECB6AA" wp14:editId="11285906">
                <wp:simplePos x="0" y="0"/>
                <wp:positionH relativeFrom="column">
                  <wp:posOffset>2922905</wp:posOffset>
                </wp:positionH>
                <wp:positionV relativeFrom="paragraph">
                  <wp:posOffset>4888865</wp:posOffset>
                </wp:positionV>
                <wp:extent cx="1714500" cy="914400"/>
                <wp:effectExtent l="9525" t="11430" r="9525"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8679781"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B6AA" id="Rectangle 54" o:spid="_x0000_s1055" style="position:absolute;margin-left:230.15pt;margin-top:384.95pt;width:13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">
                <v:textbox inset=",7.2pt,,7.2pt">
                  <w:txbxContent>
                    <w:p w14:paraId="38679781"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v:textbox>
              </v:rect>
            </w:pict>
          </mc:Fallback>
        </mc:AlternateContent>
      </w:r>
      <w:r w:rsidRPr="002E2AA0">
        <w:rPr>
          <w:rFonts w:ascii="Times New Roman" w:eastAsia="MS Mincho" w:hAnsi="Times New Roman" w:cs="Times New Roman"/>
          <w:noProof/>
          <w:lang w:eastAsia="en-GB"/>
        </w:rPr>
        <mc:AlternateContent>
          <mc:Choice Requires="wps">
            <w:drawing>
              <wp:anchor distT="36576" distB="36576" distL="36576" distR="36576" simplePos="0" relativeHeight="251670528" behindDoc="0" locked="0" layoutInCell="1" allowOverlap="1" wp14:anchorId="53EBF6AC" wp14:editId="1E6306DE">
                <wp:simplePos x="0" y="0"/>
                <wp:positionH relativeFrom="column">
                  <wp:posOffset>4743450</wp:posOffset>
                </wp:positionH>
                <wp:positionV relativeFrom="paragraph">
                  <wp:posOffset>5372100</wp:posOffset>
                </wp:positionV>
                <wp:extent cx="628650" cy="0"/>
                <wp:effectExtent l="9525" t="59055" r="19050" b="5524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8B626D" id="Straight Arrow Connector 55" o:spid="_x0000_s1026" type="#_x0000_t32" style="position:absolute;margin-left:373.5pt;margin-top:423pt;width:49.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MHlVsAIAAKYFAAAOAAAAZHJzL2Uyb0RvYy54bWysVE2PmzAQvVfqf7B8Z4EE8oGWrLKE9LJt V8pWPTvYBKvGRrYTElX97x07Cd1sL1W1HJDH9ryZefPG9w/HVqAD04YrmeP4LsKIyUpRLnc5/vay DmYYGUskJUJJluMTM/hh8fHDfd9lbKQaJSjTCECkyfoux421XRaGpmpYS8yd6piEw1rpllgw9S6k mvSA3opwFEWTsFeadlpVzBjYXZ0P8cLj1zWr7Ne6NswikWPIzfq/9v+t+4eLe5LtNOkaXl3SIP+R RUu4hKAD1IpYgvaa/wXV8koro2p7V6k2VHXNK+ZrgGri6E01m4Z0zNcC5JhuoMm8H2z15fCsEac5 TlOMJGmhRxurCd81Fi21Vj0qlJTAo9IIrgBffWcycCvks3YVV0e56Z5U9cMgqYqGyB3zeb+cOsCK nUd44+IM00HUbf9ZUbhD9lZ58o61bh0k0IKOvkenoUfsaFEFm5PRbJJCJ6vrUUiyq1+njf3EVIvc IsfmUsdQQOyjkMOTsS4rkl0dXFCp1lwIrwchUZ/jeTpKvYNRglN36K4ZvdsWQqMDcYryny8RTl5f 02ovqQdrGKHlZW0JF7BG1nNjNQe2BMMuWssoRoLBELnVOT0hXUTmZXzOGayjhaXfB0a8xH7Oo3k5 K2dJkIwmZZBEq1WwXBdJMFnH03Q1XhXFKv7lSomTrOGUMumquco9Tv5NTpfBOwt1EPxAW3iL7vmF ZG8zXa7TaJqMZ8F0mo6DZFxGweNsXQTLIp5MpuVj8Vi+ybT01Zv3SXag0mWl9pbpTUN7RLmTyzid j2IMBjwPo+m5s4iIHbSkshojrex3bhsvbidLh3GjhsJ/l94N6Gcirj101tCFS21/qAJJXvvrZ8aN yXngtoqenrWThRsfeAy80+Xhcq/Na9vf+vO8Ln4DAAD//wMAUEsDBBQABgAIAAAAIQB3gzs43QAA AAsBAAAPAAAAZHJzL2Rvd25yZXYueG1sTI9BS8NAEIXvQv/DMoI3u6mmTYnZlFJQpDdTFY/b7JgE s7Nhd9tGf70jCvb2Pebx5r1iNdpeHNGHzpGC2TQBgVQ701Gj4Hl3f70EEaImo3tHqOATA6zKyUWh c+NO9ITHKjaCQyjkWkEb45BLGeoWrQ5TNyDx7d15qyNL30jj9YnDbS9vkmQhre6IP7R6wE2L9Ud1 sArGr+0cm9cujY+zh8xv55u325dKqavLcX0HIuIY/83wU5+rQ8md9u5AJoheQZZmvCUqWKYLBnb8 wv4PZFnI8w3lNwAAAP//AwBQSwECLQAUAAYACAAAACEAtoM4kv4AAADhAQAAEwAAAAAAAAAAAAAA AAAAAAAAW0NvbnRlbnRfVHlwZXNdLnhtbFBLAQItABQABgAIAAAAIQA4/SH/1gAAAJQBAAALAAAA AAAAAAAAAAAAAC8BAABfcmVscy8ucmVsc1BLAQItABQABgAIAAAAIQCXMHlVsAIAAKYFAAAOAAAA AAAAAAAAAAAAAC4CAABkcnMvZTJvRG9jLnhtbFBLAQItABQABgAIAAAAIQB3gzs43QAAAAsBAAAP AAAAAAAAAAAAAAAAAAoFAABkcnMvZG93bnJldi54bWxQSwUGAAAAAAQABADzAAAAFAYAAAAA ">
                <v:stroke endarrow="block"/>
                <v:shadow color="#ccc"/>
              </v:shape>
            </w:pict>
          </mc:Fallback>
        </mc:AlternateContent>
      </w:r>
    </w:p>
    <w:p w14:paraId="5467122E" w14:textId="77777777" w:rsidR="0018340A" w:rsidRPr="002E2AA0" w:rsidRDefault="0018340A" w:rsidP="0018340A">
      <w:pPr>
        <w:keepLines/>
        <w:widowControl w:val="0"/>
        <w:rPr>
          <w:rFonts w:ascii="Times New Roman" w:eastAsia="MS Mincho" w:hAnsi="Times New Roman" w:cs="Times New Roman"/>
          <w:lang w:val="en-US"/>
        </w:rPr>
      </w:pPr>
      <w:r w:rsidRPr="002E2AA0">
        <w:rPr>
          <w:rFonts w:ascii="Times New Roman" w:eastAsia="MS Mincho" w:hAnsi="Times New Roman" w:cs="Times New Roman"/>
          <w:noProof/>
          <w:lang w:eastAsia="en-GB"/>
        </w:rPr>
        <mc:AlternateContent>
          <mc:Choice Requires="wps">
            <w:drawing>
              <wp:anchor distT="0" distB="0" distL="114300" distR="114300" simplePos="0" relativeHeight="251677696" behindDoc="0" locked="0" layoutInCell="1" allowOverlap="1" wp14:anchorId="580B3914" wp14:editId="4199AA94">
                <wp:simplePos x="0" y="0"/>
                <wp:positionH relativeFrom="column">
                  <wp:posOffset>3028950</wp:posOffset>
                </wp:positionH>
                <wp:positionV relativeFrom="paragraph">
                  <wp:posOffset>7086600</wp:posOffset>
                </wp:positionV>
                <wp:extent cx="1714500" cy="914400"/>
                <wp:effectExtent l="9525" t="11430" r="9525" b="76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ABF0194"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3914" id="Rectangle 56" o:spid="_x0000_s1056" style="position:absolute;margin-left:238.5pt;margin-top:558pt;width:13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">
                <v:textbox inset=",7.2pt,,7.2pt">
                  <w:txbxContent>
                    <w:p w14:paraId="2ABF0194" w14:textId="77777777" w:rsidR="003463FC" w:rsidRDefault="003463FC" w:rsidP="0018340A">
                      <w:pPr>
                        <w:jc w:val="center"/>
                        <w:rPr>
                          <w:rFonts w:ascii="Calibri" w:hAnsi="Calibri"/>
                          <w:lang w:val="en"/>
                        </w:rPr>
                      </w:pPr>
                      <w:r>
                        <w:rPr>
                          <w:rFonts w:ascii="Calibri" w:hAnsi="Calibri"/>
                        </w:rPr>
                        <w:t>Studies included in quantitative synthesis (meta-analysis)</w:t>
                      </w:r>
                      <w:r>
                        <w:rPr>
                          <w:rFonts w:ascii="Calibri" w:hAnsi="Calibri"/>
                        </w:rPr>
                        <w:br/>
                        <w:t>(n =   )</w:t>
                      </w:r>
                    </w:p>
                  </w:txbxContent>
                </v:textbox>
              </v:rect>
            </w:pict>
          </mc:Fallback>
        </mc:AlternateContent>
      </w:r>
    </w:p>
    <w:p w14:paraId="113153DE" w14:textId="77777777" w:rsidR="0018340A" w:rsidRPr="002E2AA0" w:rsidRDefault="0018340A" w:rsidP="0018340A">
      <w:pPr>
        <w:keepLines/>
        <w:widowControl w:val="0"/>
        <w:rPr>
          <w:rFonts w:ascii="Times New Roman" w:eastAsia="MS Mincho" w:hAnsi="Times New Roman" w:cs="Times New Roman"/>
          <w:lang w:val="en-US"/>
        </w:rPr>
      </w:pPr>
    </w:p>
    <w:p w14:paraId="2C6B275E" w14:textId="77777777" w:rsidR="0018340A" w:rsidRPr="002E2AA0" w:rsidRDefault="002D4B26" w:rsidP="0018340A">
      <w:pPr>
        <w:spacing w:line="480" w:lineRule="auto"/>
        <w:rPr>
          <w:rFonts w:ascii="Times New Roman" w:hAnsi="Times New Roman" w:cs="Times New Roman"/>
          <w:lang w:val="en-US"/>
        </w:rPr>
      </w:pPr>
      <w:r w:rsidRPr="002E2AA0">
        <w:rPr>
          <w:rFonts w:ascii="Times New Roman" w:eastAsia="MS Mincho" w:hAnsi="Times New Roman" w:cs="Times New Roman"/>
          <w:noProof/>
          <w:lang w:eastAsia="en-GB"/>
        </w:rPr>
        <mc:AlternateContent>
          <mc:Choice Requires="wps">
            <w:drawing>
              <wp:anchor distT="0" distB="0" distL="114300" distR="114300" simplePos="0" relativeHeight="251707392" behindDoc="0" locked="0" layoutInCell="1" allowOverlap="1" wp14:anchorId="3F31C256" wp14:editId="72F93D86">
                <wp:simplePos x="0" y="0"/>
                <wp:positionH relativeFrom="column">
                  <wp:posOffset>1432255</wp:posOffset>
                </wp:positionH>
                <wp:positionV relativeFrom="paragraph">
                  <wp:posOffset>107950</wp:posOffset>
                </wp:positionV>
                <wp:extent cx="47498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4749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7F153C" id="Straight Arrow Connector 9" o:spid="_x0000_s1026" type="#_x0000_t32" style="position:absolute;margin-left:112.8pt;margin-top:8.5pt;width:37.4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2Wfr7gEAAMEDAAAOAAAAZHJzL2Uyb0RvYy54bWysU8tu2zAQvBfoPxC813LSNLUFy0FhN+2h aAwk/YANRUkE+MIua9l/3yWlGGl7K6oDQXKxw5nZ0ebu5Kw4aiQTfCOvFksptFehNb5v5I+n+3cr KSiBb8EGrxt51iTvtm/fbMZY6+swBNtqFAziqR5jI4eUYl1VpAbtgBYhas/FLqCDxEfsqxZhZHRn q+vl8rYaA7YRg9JEfLufinJb8LtOq/TQdaSTsI1kbqmsWNbnvFbbDdQ9QhyMmmnAP7BwYDw/eoHa QwLxE81fUM4oDBS6tFDBVaHrjNJFA6u5Wv6h5nGAqIsWNofixSb6f7Dq+/GAwrSNXEvhwfGIHhOC 6YckPiGGUeyC92xjQLHObo2Ram7a+QPOJ4oHzNJPHTrRWRO/chCKGSxPnIrX54vX+pSE4subjzfr FU9EvZSqCSEjRaT0RQcn8qaRNBO6MJnQ4fiNEnPgxpeG3OzDvbG2zNV6MTby9v2H/A5wujoLibcu sl7yvRRge46tSlj4UrCmzd0Zh860syiOwMnhwLVhfGLuUligxAUWVL7sCTP4rTXT2QMNU3MpTUFz JnHarXGNXF26oU5g7GffinSO7H9CA763eka2PrPRJcuz4DyDyfW8ew7tuQyjyifOSSE0ZzoH8fWZ 96//vO0vAAAA//8DAFBLAwQUAAYACAAAACEAbLnzM9sAAAAJAQAADwAAAGRycy9kb3ducmV2Lnht bEyPwU7DMBBE70j8g7VI3Kjd0DQQ4lQI1A+gIODoxksSJV5Httumf88iDnDcmafZmWozu1EcMcTe k4blQoFAarztqdXw9rq9uQMRkyFrRk+o4YwRNvXlRWVK60/0gsddagWHUCyNhi6lqZQyNh06Exd+ QmLvywdnEp+hlTaYE4e7UWZKraUzPfGHzkz41GEz7A5Ow7YdimWfN/fPQQ3x/eMzLwactL6+mh8f QCSc0x8MP/W5OtTcae8PZKMYNWRZvmaUjYI3MXCr1ArE/leQdSX/L6i/AQAA//8DAFBLAQItABQA BgAIAAAAIQC2gziS/gAAAOEBAAATAAAAAAAAAAAAAAAAAAAAAABbQ29udGVudF9UeXBlc10ueG1s UEsBAi0AFAAGAAgAAAAhADj9If/WAAAAlAEAAAsAAAAAAAAAAAAAAAAALwEAAF9yZWxzLy5yZWxz UEsBAi0AFAAGAAgAAAAhAAPZZ+vuAQAAwQMAAA4AAAAAAAAAAAAAAAAALgIAAGRycy9lMm9Eb2Mu eG1sUEsBAi0AFAAGAAgAAAAhAGy58zPbAAAACQEAAA8AAAAAAAAAAAAAAAAASAQAAGRycy9kb3du cmV2LnhtbFBLBQYAAAAABAAEAPMAAABQBQAAAAA= " strokecolor="windowText" strokeweight=".5pt">
                <v:stroke endarrow="block" joinstyle="miter"/>
              </v:shape>
            </w:pict>
          </mc:Fallback>
        </mc:AlternateContent>
      </w:r>
    </w:p>
    <w:p w14:paraId="25D21213" w14:textId="77777777" w:rsidR="0018340A" w:rsidRPr="002E2AA0" w:rsidRDefault="0018340A" w:rsidP="0018340A">
      <w:pPr>
        <w:rPr>
          <w:rFonts w:ascii="Times New Roman" w:hAnsi="Times New Roman" w:cs="Times New Roman"/>
          <w:lang w:val="en-US"/>
        </w:rPr>
      </w:pPr>
    </w:p>
    <w:p w14:paraId="070C1CFA" w14:textId="77777777" w:rsidR="0018340A" w:rsidRPr="002E2AA0" w:rsidRDefault="0018340A" w:rsidP="0018340A">
      <w:pPr>
        <w:rPr>
          <w:rFonts w:ascii="Times New Roman" w:hAnsi="Times New Roman" w:cs="Times New Roman"/>
          <w:lang w:val="en-US"/>
        </w:rPr>
      </w:pPr>
    </w:p>
    <w:p w14:paraId="76C04D87" w14:textId="77777777" w:rsidR="002D3B03" w:rsidRPr="002E2AA0" w:rsidRDefault="002D3B03" w:rsidP="0018340A">
      <w:pPr>
        <w:spacing w:line="480" w:lineRule="auto"/>
        <w:rPr>
          <w:rFonts w:ascii="Times New Roman" w:hAnsi="Times New Roman" w:cs="Times New Roman"/>
          <w:lang w:val="en-US"/>
        </w:rPr>
      </w:pPr>
    </w:p>
    <w:p w14:paraId="4A6B2269" w14:textId="77777777" w:rsidR="002D3B03" w:rsidRPr="002E2AA0" w:rsidRDefault="002D3B03" w:rsidP="0018340A">
      <w:pPr>
        <w:spacing w:line="480" w:lineRule="auto"/>
        <w:rPr>
          <w:rFonts w:ascii="Times New Roman" w:hAnsi="Times New Roman" w:cs="Times New Roman"/>
          <w:lang w:val="en-US"/>
        </w:rPr>
      </w:pPr>
    </w:p>
    <w:p w14:paraId="0B14056B" w14:textId="77777777" w:rsidR="0018340A" w:rsidRPr="002E2AA0" w:rsidRDefault="0018340A" w:rsidP="00685E15">
      <w:pPr>
        <w:spacing w:line="480" w:lineRule="auto"/>
        <w:rPr>
          <w:rFonts w:ascii="Times New Roman" w:hAnsi="Times New Roman" w:cs="Times New Roman"/>
          <w:i/>
          <w:iCs/>
          <w:lang w:val="en-US"/>
        </w:rPr>
      </w:pPr>
      <w:r w:rsidRPr="002E2AA0">
        <w:rPr>
          <w:rFonts w:ascii="Times New Roman" w:hAnsi="Times New Roman" w:cs="Times New Roman"/>
          <w:lang w:val="en-US"/>
        </w:rPr>
        <w:t xml:space="preserve">Figure 1. </w:t>
      </w:r>
      <w:r w:rsidRPr="002E2AA0">
        <w:rPr>
          <w:rFonts w:ascii="Times New Roman" w:hAnsi="Times New Roman" w:cs="Times New Roman"/>
          <w:i/>
          <w:iCs/>
          <w:lang w:val="en-US"/>
        </w:rPr>
        <w:t>Schematic overview of study selection process; adapted from Moher</w:t>
      </w:r>
      <w:r w:rsidR="00C83260">
        <w:rPr>
          <w:rFonts w:ascii="Times New Roman" w:hAnsi="Times New Roman" w:cs="Times New Roman"/>
          <w:i/>
          <w:iCs/>
          <w:lang w:val="en-US"/>
        </w:rPr>
        <w:t xml:space="preserve"> and colleagues </w:t>
      </w:r>
      <w:r w:rsidRPr="002E2AA0">
        <w:rPr>
          <w:rFonts w:ascii="Times New Roman" w:hAnsi="Times New Roman" w:cs="Times New Roman"/>
          <w:i/>
          <w:iCs/>
          <w:lang w:val="en-US"/>
        </w:rPr>
        <w:t>(2009).</w:t>
      </w:r>
    </w:p>
    <w:p w14:paraId="1A20833C" w14:textId="77777777" w:rsidR="0018340A" w:rsidRPr="002E2AA0" w:rsidRDefault="0018340A">
      <w:pPr>
        <w:rPr>
          <w:rFonts w:ascii="Times New Roman" w:hAnsi="Times New Roman" w:cs="Times New Roman"/>
          <w:b/>
          <w:lang w:val="en-US"/>
        </w:rPr>
      </w:pPr>
      <w:r w:rsidRPr="002E2AA0">
        <w:rPr>
          <w:rFonts w:ascii="Times New Roman" w:hAnsi="Times New Roman" w:cs="Times New Roman"/>
          <w:b/>
          <w:lang w:val="en-US"/>
        </w:rPr>
        <w:br w:type="page"/>
      </w:r>
    </w:p>
    <w:p w14:paraId="6C575276" w14:textId="0E7CBB6C" w:rsidR="00685E15" w:rsidRPr="002E2AA0" w:rsidRDefault="00FB34FF" w:rsidP="00685E15">
      <w:pPr>
        <w:spacing w:line="480" w:lineRule="auto"/>
        <w:rPr>
          <w:rFonts w:ascii="Times New Roman" w:hAnsi="Times New Roman" w:cs="Times New Roman"/>
          <w:b/>
          <w:lang w:val="en-US"/>
        </w:rPr>
      </w:pPr>
      <w:r>
        <w:rPr>
          <w:rFonts w:ascii="Times New Roman" w:hAnsi="Times New Roman" w:cs="Times New Roman"/>
          <w:b/>
          <w:lang w:val="en-US"/>
        </w:rPr>
        <w:lastRenderedPageBreak/>
        <w:t xml:space="preserve">3.4 </w:t>
      </w:r>
      <w:r w:rsidR="00685E15" w:rsidRPr="002E2AA0">
        <w:rPr>
          <w:rFonts w:ascii="Times New Roman" w:hAnsi="Times New Roman" w:cs="Times New Roman"/>
          <w:b/>
          <w:lang w:val="en-US"/>
        </w:rPr>
        <w:t>Quality of Studies</w:t>
      </w:r>
    </w:p>
    <w:p w14:paraId="6D036583" w14:textId="6EF6D985" w:rsidR="00862999" w:rsidRPr="002E2AA0" w:rsidRDefault="00AC10D7" w:rsidP="00AC10D7">
      <w:pPr>
        <w:spacing w:line="480" w:lineRule="auto"/>
        <w:rPr>
          <w:rFonts w:ascii="Times New Roman" w:hAnsi="Times New Roman" w:cs="Times New Roman"/>
          <w:lang w:val="en-US"/>
        </w:rPr>
      </w:pPr>
      <w:r w:rsidRPr="002E2AA0">
        <w:rPr>
          <w:rFonts w:ascii="Times New Roman" w:hAnsi="Times New Roman" w:cs="Times New Roman"/>
          <w:lang w:val="en-US"/>
        </w:rPr>
        <w:tab/>
      </w:r>
      <w:r w:rsidR="002F61A5" w:rsidRPr="002E2AA0">
        <w:rPr>
          <w:rFonts w:ascii="Times New Roman" w:hAnsi="Times New Roman" w:cs="Times New Roman"/>
          <w:lang w:val="en-US"/>
        </w:rPr>
        <w:t>Within systematic reviews, there</w:t>
      </w:r>
      <w:r w:rsidRPr="002E2AA0">
        <w:rPr>
          <w:rFonts w:ascii="Times New Roman" w:hAnsi="Times New Roman" w:cs="Times New Roman"/>
          <w:lang w:val="en-US"/>
        </w:rPr>
        <w:t xml:space="preserve"> is a need to appraise the quality, or internal validity, of </w:t>
      </w:r>
      <w:r w:rsidR="002F61A5" w:rsidRPr="002E2AA0">
        <w:rPr>
          <w:rFonts w:ascii="Times New Roman" w:hAnsi="Times New Roman" w:cs="Times New Roman"/>
          <w:lang w:val="en-US"/>
        </w:rPr>
        <w:t xml:space="preserve">all included </w:t>
      </w:r>
      <w:r w:rsidRPr="002E2AA0">
        <w:rPr>
          <w:rFonts w:ascii="Times New Roman" w:hAnsi="Times New Roman" w:cs="Times New Roman"/>
          <w:lang w:val="en-US"/>
        </w:rPr>
        <w:t xml:space="preserve">articles; enabling bias to be </w:t>
      </w:r>
      <w:r w:rsidR="00EC638A" w:rsidRPr="002E2AA0">
        <w:rPr>
          <w:rFonts w:ascii="Times New Roman" w:hAnsi="Times New Roman" w:cs="Times New Roman"/>
          <w:lang w:val="en-US"/>
        </w:rPr>
        <w:t>minimized</w:t>
      </w:r>
      <w:r w:rsidRPr="002E2AA0">
        <w:rPr>
          <w:rFonts w:ascii="Times New Roman" w:hAnsi="Times New Roman" w:cs="Times New Roman"/>
          <w:lang w:val="en-US"/>
        </w:rPr>
        <w:t xml:space="preserve"> (</w:t>
      </w:r>
      <w:r w:rsidR="002F61A5" w:rsidRPr="002E2AA0">
        <w:rPr>
          <w:rFonts w:ascii="Times New Roman" w:hAnsi="Times New Roman" w:cs="Times New Roman"/>
          <w:lang w:val="en-US"/>
        </w:rPr>
        <w:t>Lundh &amp; Gøtzsche, 2008</w:t>
      </w:r>
      <w:r w:rsidRPr="002E2AA0">
        <w:rPr>
          <w:rFonts w:ascii="Times New Roman" w:hAnsi="Times New Roman" w:cs="Times New Roman"/>
          <w:lang w:val="en-US"/>
        </w:rPr>
        <w:t xml:space="preserve">). Specifically, quality assessment allows </w:t>
      </w:r>
      <w:r w:rsidR="001E5772" w:rsidRPr="002E2AA0">
        <w:rPr>
          <w:rFonts w:ascii="Times New Roman" w:hAnsi="Times New Roman" w:cs="Times New Roman"/>
          <w:lang w:val="en-US"/>
        </w:rPr>
        <w:t xml:space="preserve">errors and </w:t>
      </w:r>
      <w:r w:rsidRPr="002E2AA0">
        <w:rPr>
          <w:rFonts w:ascii="Times New Roman" w:hAnsi="Times New Roman" w:cs="Times New Roman"/>
          <w:lang w:val="en-US"/>
        </w:rPr>
        <w:t>biases relating to design, measurement, analysis and evaluation to be examined</w:t>
      </w:r>
      <w:r w:rsidR="002F61A5" w:rsidRPr="002E2AA0">
        <w:rPr>
          <w:rFonts w:ascii="Times New Roman" w:hAnsi="Times New Roman" w:cs="Times New Roman"/>
          <w:lang w:val="en-US"/>
        </w:rPr>
        <w:t xml:space="preserve"> (Higgins et al., 2011)</w:t>
      </w:r>
      <w:r w:rsidRPr="002E2AA0">
        <w:rPr>
          <w:rFonts w:ascii="Times New Roman" w:hAnsi="Times New Roman" w:cs="Times New Roman"/>
          <w:lang w:val="en-US"/>
        </w:rPr>
        <w:t>. As such, Kmet</w:t>
      </w:r>
      <w:r w:rsidR="009C7B33">
        <w:rPr>
          <w:rFonts w:ascii="Times New Roman" w:hAnsi="Times New Roman" w:cs="Times New Roman"/>
          <w:lang w:val="en-US"/>
        </w:rPr>
        <w:t xml:space="preserve"> and colleagues</w:t>
      </w:r>
      <w:r w:rsidRPr="002E2AA0">
        <w:rPr>
          <w:rFonts w:ascii="Times New Roman" w:hAnsi="Times New Roman" w:cs="Times New Roman"/>
          <w:lang w:val="en-US"/>
        </w:rPr>
        <w:t xml:space="preserve"> (2004) developed a </w:t>
      </w:r>
      <w:r w:rsidR="00EC638A" w:rsidRPr="002E2AA0">
        <w:rPr>
          <w:rFonts w:ascii="Times New Roman" w:hAnsi="Times New Roman" w:cs="Times New Roman"/>
          <w:lang w:val="en-US"/>
        </w:rPr>
        <w:t>standardized</w:t>
      </w:r>
      <w:r w:rsidRPr="002E2AA0">
        <w:rPr>
          <w:rFonts w:ascii="Times New Roman" w:hAnsi="Times New Roman" w:cs="Times New Roman"/>
          <w:lang w:val="en-US"/>
        </w:rPr>
        <w:t>, empirically grounded quality assessment criteri</w:t>
      </w:r>
      <w:r w:rsidR="00AC27FF">
        <w:rPr>
          <w:rFonts w:ascii="Times New Roman" w:hAnsi="Times New Roman" w:cs="Times New Roman"/>
          <w:lang w:val="en-US"/>
        </w:rPr>
        <w:t>on</w:t>
      </w:r>
      <w:r w:rsidRPr="002E2AA0">
        <w:rPr>
          <w:rFonts w:ascii="Times New Roman" w:hAnsi="Times New Roman" w:cs="Times New Roman"/>
          <w:lang w:val="en-US"/>
        </w:rPr>
        <w:t xml:space="preserve">, which was used </w:t>
      </w:r>
      <w:r w:rsidR="002F61A5" w:rsidRPr="002E2AA0">
        <w:rPr>
          <w:rFonts w:ascii="Times New Roman" w:hAnsi="Times New Roman" w:cs="Times New Roman"/>
          <w:lang w:val="en-US"/>
        </w:rPr>
        <w:t xml:space="preserve">to assess risk of bias of articles included </w:t>
      </w:r>
      <w:r w:rsidRPr="002E2AA0">
        <w:rPr>
          <w:rFonts w:ascii="Times New Roman" w:hAnsi="Times New Roman" w:cs="Times New Roman"/>
          <w:lang w:val="en-US"/>
        </w:rPr>
        <w:t>in this review.</w:t>
      </w:r>
      <w:r w:rsidR="00C862AC" w:rsidRPr="002E2AA0">
        <w:rPr>
          <w:rFonts w:ascii="Times New Roman" w:hAnsi="Times New Roman" w:cs="Times New Roman"/>
          <w:lang w:val="en-US"/>
        </w:rPr>
        <w:t xml:space="preserve"> </w:t>
      </w:r>
      <w:r w:rsidR="00EC638A" w:rsidRPr="002E2AA0">
        <w:rPr>
          <w:rFonts w:ascii="Times New Roman" w:hAnsi="Times New Roman" w:cs="Times New Roman"/>
          <w:lang w:val="en-US"/>
        </w:rPr>
        <w:t>This criterion</w:t>
      </w:r>
      <w:r w:rsidR="00C862AC" w:rsidRPr="002E2AA0">
        <w:rPr>
          <w:rFonts w:ascii="Times New Roman" w:hAnsi="Times New Roman" w:cs="Times New Roman"/>
          <w:lang w:val="en-US"/>
        </w:rPr>
        <w:t xml:space="preserve"> allows the simultaneous quality assessment of various study </w:t>
      </w:r>
      <w:r w:rsidR="002F61A5" w:rsidRPr="002E2AA0">
        <w:rPr>
          <w:rFonts w:ascii="Times New Roman" w:hAnsi="Times New Roman" w:cs="Times New Roman"/>
          <w:lang w:val="en-US"/>
        </w:rPr>
        <w:t xml:space="preserve">methodologies, including both </w:t>
      </w:r>
      <w:r w:rsidR="00EC638A" w:rsidRPr="002E2AA0">
        <w:rPr>
          <w:rFonts w:ascii="Times New Roman" w:hAnsi="Times New Roman" w:cs="Times New Roman"/>
          <w:lang w:val="en-US"/>
        </w:rPr>
        <w:t>randomized</w:t>
      </w:r>
      <w:r w:rsidR="002F61A5" w:rsidRPr="002E2AA0">
        <w:rPr>
          <w:rFonts w:ascii="Times New Roman" w:hAnsi="Times New Roman" w:cs="Times New Roman"/>
          <w:lang w:val="en-US"/>
        </w:rPr>
        <w:t xml:space="preserve"> and non-</w:t>
      </w:r>
      <w:r w:rsidR="00EC638A" w:rsidRPr="002E2AA0">
        <w:rPr>
          <w:rFonts w:ascii="Times New Roman" w:hAnsi="Times New Roman" w:cs="Times New Roman"/>
          <w:lang w:val="en-US"/>
        </w:rPr>
        <w:t>randomized</w:t>
      </w:r>
      <w:r w:rsidR="00C862AC" w:rsidRPr="002E2AA0">
        <w:rPr>
          <w:rFonts w:ascii="Times New Roman" w:hAnsi="Times New Roman" w:cs="Times New Roman"/>
          <w:lang w:val="en-US"/>
        </w:rPr>
        <w:t xml:space="preserve"> </w:t>
      </w:r>
      <w:r w:rsidR="002F61A5" w:rsidRPr="002E2AA0">
        <w:rPr>
          <w:rFonts w:ascii="Times New Roman" w:hAnsi="Times New Roman" w:cs="Times New Roman"/>
          <w:lang w:val="en-US"/>
        </w:rPr>
        <w:t xml:space="preserve">designs </w:t>
      </w:r>
      <w:r w:rsidR="00C862AC" w:rsidRPr="002E2AA0">
        <w:rPr>
          <w:rFonts w:ascii="Times New Roman" w:hAnsi="Times New Roman" w:cs="Times New Roman"/>
          <w:lang w:val="en-US"/>
        </w:rPr>
        <w:t>(Kmet et al., 2004), and as such was the most appropriate measure for this systematic review.</w:t>
      </w:r>
    </w:p>
    <w:p w14:paraId="365A3B1E" w14:textId="77777777" w:rsidR="003B588B" w:rsidRPr="002E2AA0" w:rsidRDefault="00AC10D7" w:rsidP="00082F33">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The quality assessment consisted of 14 items for the quantitative criteria (see Table </w:t>
      </w:r>
      <w:r w:rsidR="002F61A5" w:rsidRPr="002E2AA0">
        <w:rPr>
          <w:rFonts w:ascii="Times New Roman" w:hAnsi="Times New Roman" w:cs="Times New Roman"/>
          <w:lang w:val="en-US"/>
        </w:rPr>
        <w:t>1</w:t>
      </w:r>
      <w:r w:rsidRPr="002E2AA0">
        <w:rPr>
          <w:rFonts w:ascii="Times New Roman" w:hAnsi="Times New Roman" w:cs="Times New Roman"/>
          <w:lang w:val="en-US"/>
        </w:rPr>
        <w:t xml:space="preserve">) and 10 for the qualitative criteria (see Table </w:t>
      </w:r>
      <w:r w:rsidR="002F61A5" w:rsidRPr="002E2AA0">
        <w:rPr>
          <w:rFonts w:ascii="Times New Roman" w:hAnsi="Times New Roman" w:cs="Times New Roman"/>
          <w:lang w:val="en-US"/>
        </w:rPr>
        <w:t>2</w:t>
      </w:r>
      <w:r w:rsidRPr="002E2AA0">
        <w:rPr>
          <w:rFonts w:ascii="Times New Roman" w:hAnsi="Times New Roman" w:cs="Times New Roman"/>
          <w:lang w:val="en-US"/>
        </w:rPr>
        <w:t>). Non-applicable items were omitted from the quantitative form only. Each item was scored as: condition not met (0), partially met (1), or condition fully met (2). For the quantitative form, overall quality score was calculated by dividing the total sum ((number of “</w:t>
      </w:r>
      <w:r w:rsidR="00477291" w:rsidRPr="002E2AA0">
        <w:rPr>
          <w:rFonts w:ascii="Times New Roman" w:hAnsi="Times New Roman" w:cs="Times New Roman"/>
          <w:lang w:val="en-US"/>
        </w:rPr>
        <w:t>conditions met</w:t>
      </w:r>
      <w:r w:rsidRPr="002E2AA0">
        <w:rPr>
          <w:rFonts w:ascii="Times New Roman" w:hAnsi="Times New Roman" w:cs="Times New Roman"/>
          <w:lang w:val="en-US"/>
        </w:rPr>
        <w:t>” *2) + (number of “partials” *1)) by the total possible sum (28 – (number of “N/A” *2)). Overall quality score for the qualitative form was calculated by dividing the total sum ((number of “</w:t>
      </w:r>
      <w:r w:rsidR="00477291" w:rsidRPr="002E2AA0">
        <w:rPr>
          <w:rFonts w:ascii="Times New Roman" w:hAnsi="Times New Roman" w:cs="Times New Roman"/>
          <w:lang w:val="en-US"/>
        </w:rPr>
        <w:t>conditions met</w:t>
      </w:r>
      <w:r w:rsidRPr="002E2AA0">
        <w:rPr>
          <w:rFonts w:ascii="Times New Roman" w:hAnsi="Times New Roman" w:cs="Times New Roman"/>
          <w:lang w:val="en-US"/>
        </w:rPr>
        <w:t>” *2) + (number of “partials” *1)) by the total possible sum (20)</w:t>
      </w:r>
      <w:r w:rsidR="00082F33" w:rsidRPr="002E2AA0">
        <w:rPr>
          <w:rFonts w:ascii="Times New Roman" w:hAnsi="Times New Roman" w:cs="Times New Roman"/>
          <w:lang w:val="en-US"/>
        </w:rPr>
        <w:t>, with scores converted into percentages</w:t>
      </w:r>
      <w:r w:rsidRPr="002E2AA0">
        <w:rPr>
          <w:rFonts w:ascii="Times New Roman" w:hAnsi="Times New Roman" w:cs="Times New Roman"/>
          <w:lang w:val="en-US"/>
        </w:rPr>
        <w:t xml:space="preserve">. </w:t>
      </w:r>
      <w:r w:rsidR="002F61A5" w:rsidRPr="002E2AA0">
        <w:rPr>
          <w:rFonts w:ascii="Times New Roman" w:hAnsi="Times New Roman" w:cs="Times New Roman"/>
          <w:lang w:val="en-US"/>
        </w:rPr>
        <w:t xml:space="preserve">For </w:t>
      </w:r>
      <w:r w:rsidR="00007468" w:rsidRPr="002E2AA0">
        <w:rPr>
          <w:rFonts w:ascii="Times New Roman" w:hAnsi="Times New Roman" w:cs="Times New Roman"/>
          <w:lang w:val="en-US"/>
        </w:rPr>
        <w:t xml:space="preserve">quantitative </w:t>
      </w:r>
      <w:r w:rsidR="002F61A5" w:rsidRPr="002E2AA0">
        <w:rPr>
          <w:rFonts w:ascii="Times New Roman" w:hAnsi="Times New Roman" w:cs="Times New Roman"/>
          <w:lang w:val="en-US"/>
        </w:rPr>
        <w:t xml:space="preserve">bias scores of </w:t>
      </w:r>
      <w:r w:rsidR="00C61F6B" w:rsidRPr="002E2AA0">
        <w:rPr>
          <w:rFonts w:ascii="Times New Roman" w:hAnsi="Times New Roman" w:cs="Times New Roman"/>
          <w:lang w:val="en-US"/>
        </w:rPr>
        <w:t xml:space="preserve">all </w:t>
      </w:r>
      <w:r w:rsidR="00007468" w:rsidRPr="002E2AA0">
        <w:rPr>
          <w:rFonts w:ascii="Times New Roman" w:hAnsi="Times New Roman" w:cs="Times New Roman"/>
          <w:lang w:val="en-US"/>
        </w:rPr>
        <w:t xml:space="preserve">included articles, see Table 3. </w:t>
      </w:r>
      <w:r w:rsidRPr="002E2AA0">
        <w:rPr>
          <w:rFonts w:ascii="Times New Roman" w:hAnsi="Times New Roman" w:cs="Times New Roman"/>
          <w:lang w:val="en-US"/>
        </w:rPr>
        <w:t xml:space="preserve">See </w:t>
      </w:r>
      <w:r w:rsidR="00C61F6B" w:rsidRPr="002E2AA0">
        <w:rPr>
          <w:rFonts w:ascii="Times New Roman" w:hAnsi="Times New Roman" w:cs="Times New Roman"/>
          <w:lang w:val="en-US"/>
        </w:rPr>
        <w:t>Table 4</w:t>
      </w:r>
      <w:r w:rsidR="00007468" w:rsidRPr="002E2AA0">
        <w:rPr>
          <w:rFonts w:ascii="Times New Roman" w:hAnsi="Times New Roman" w:cs="Times New Roman"/>
          <w:lang w:val="en-US"/>
        </w:rPr>
        <w:t xml:space="preserve"> for qualitative bias scores of </w:t>
      </w:r>
      <w:r w:rsidR="00C61F6B" w:rsidRPr="002E2AA0">
        <w:rPr>
          <w:rFonts w:ascii="Times New Roman" w:hAnsi="Times New Roman" w:cs="Times New Roman"/>
          <w:lang w:val="en-US"/>
        </w:rPr>
        <w:t xml:space="preserve">all </w:t>
      </w:r>
      <w:r w:rsidR="00007468" w:rsidRPr="002E2AA0">
        <w:rPr>
          <w:rFonts w:ascii="Times New Roman" w:hAnsi="Times New Roman" w:cs="Times New Roman"/>
          <w:lang w:val="en-US"/>
        </w:rPr>
        <w:t>included articles.</w:t>
      </w:r>
      <w:r w:rsidR="00082F33" w:rsidRPr="002E2AA0">
        <w:rPr>
          <w:rFonts w:ascii="Times New Roman" w:hAnsi="Times New Roman" w:cs="Times New Roman"/>
          <w:lang w:val="en-US"/>
        </w:rPr>
        <w:t xml:space="preserve"> </w:t>
      </w:r>
    </w:p>
    <w:p w14:paraId="3E9AB05C" w14:textId="47EB02F8" w:rsidR="00AC10D7" w:rsidRPr="002E2AA0" w:rsidRDefault="003B588B" w:rsidP="006326FF">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Scores were converted into percentages, with a minimum threshold of </w:t>
      </w:r>
      <w:r w:rsidR="006326FF" w:rsidRPr="002E2AA0">
        <w:rPr>
          <w:rFonts w:ascii="Times New Roman" w:hAnsi="Times New Roman" w:cs="Times New Roman"/>
          <w:lang w:val="en-US"/>
        </w:rPr>
        <w:t>60</w:t>
      </w:r>
      <w:r w:rsidRPr="002E2AA0">
        <w:rPr>
          <w:rFonts w:ascii="Times New Roman" w:hAnsi="Times New Roman" w:cs="Times New Roman"/>
          <w:lang w:val="en-US"/>
        </w:rPr>
        <w:t xml:space="preserve">% quality score set for inclusion. This is consistent with past systematic reviews (e.g., </w:t>
      </w:r>
      <w:r w:rsidR="009C7B33">
        <w:rPr>
          <w:rFonts w:ascii="Times New Roman" w:hAnsi="Times New Roman" w:cs="Times New Roman"/>
          <w:lang w:val="en-US"/>
        </w:rPr>
        <w:t xml:space="preserve">Chapman </w:t>
      </w:r>
      <w:r w:rsidR="009C7B33">
        <w:rPr>
          <w:rFonts w:ascii="Times New Roman" w:hAnsi="Times New Roman" w:cs="Times New Roman"/>
          <w:bCs/>
          <w:lang w:val="en-US"/>
        </w:rPr>
        <w:t>et al.</w:t>
      </w:r>
      <w:r w:rsidR="006326FF" w:rsidRPr="002E2AA0">
        <w:rPr>
          <w:rFonts w:ascii="Times New Roman" w:hAnsi="Times New Roman" w:cs="Times New Roman"/>
          <w:lang w:val="en-US"/>
        </w:rPr>
        <w:t>, 2018</w:t>
      </w:r>
      <w:r w:rsidRPr="002E2AA0">
        <w:rPr>
          <w:rFonts w:ascii="Times New Roman" w:hAnsi="Times New Roman" w:cs="Times New Roman"/>
          <w:lang w:val="en-US"/>
        </w:rPr>
        <w:t xml:space="preserve">), which regard 60% quality score as a threshold enabling both inclusion of a sufficient proportion of </w:t>
      </w:r>
      <w:r w:rsidR="006326FF" w:rsidRPr="002E2AA0">
        <w:rPr>
          <w:rFonts w:ascii="Times New Roman" w:hAnsi="Times New Roman" w:cs="Times New Roman"/>
          <w:lang w:val="en-US"/>
        </w:rPr>
        <w:t>articles</w:t>
      </w:r>
      <w:r w:rsidRPr="002E2AA0">
        <w:rPr>
          <w:rFonts w:ascii="Times New Roman" w:hAnsi="Times New Roman" w:cs="Times New Roman"/>
          <w:lang w:val="en-US"/>
        </w:rPr>
        <w:t xml:space="preserve">, whilst only reviewing those of good quality. </w:t>
      </w:r>
      <w:r w:rsidR="006326FF" w:rsidRPr="002E2AA0">
        <w:rPr>
          <w:rFonts w:ascii="Times New Roman" w:hAnsi="Times New Roman" w:cs="Times New Roman"/>
          <w:lang w:val="en-US"/>
        </w:rPr>
        <w:t xml:space="preserve">All </w:t>
      </w:r>
      <w:r w:rsidR="00843C22" w:rsidRPr="002E2AA0">
        <w:rPr>
          <w:rFonts w:ascii="Times New Roman" w:hAnsi="Times New Roman" w:cs="Times New Roman"/>
          <w:lang w:val="en-US"/>
        </w:rPr>
        <w:t>17</w:t>
      </w:r>
      <w:r w:rsidR="006326FF" w:rsidRPr="002E2AA0">
        <w:rPr>
          <w:rFonts w:ascii="Times New Roman" w:hAnsi="Times New Roman" w:cs="Times New Roman"/>
          <w:lang w:val="en-US"/>
        </w:rPr>
        <w:t xml:space="preserve"> articles met the threshold of 60%, so were included in the review. </w:t>
      </w:r>
      <w:r w:rsidR="00082F33" w:rsidRPr="002E2AA0">
        <w:rPr>
          <w:rFonts w:ascii="Times New Roman" w:hAnsi="Times New Roman" w:cs="Times New Roman"/>
          <w:lang w:val="en-US"/>
        </w:rPr>
        <w:t xml:space="preserve">A random sample of </w:t>
      </w:r>
      <w:r w:rsidR="000B7FEC">
        <w:rPr>
          <w:rFonts w:ascii="Times New Roman" w:hAnsi="Times New Roman" w:cs="Times New Roman"/>
          <w:lang w:val="en-US"/>
        </w:rPr>
        <w:t>50</w:t>
      </w:r>
      <w:r w:rsidR="00082F33" w:rsidRPr="002E2AA0">
        <w:rPr>
          <w:rFonts w:ascii="Times New Roman" w:hAnsi="Times New Roman" w:cs="Times New Roman"/>
          <w:lang w:val="en-US"/>
        </w:rPr>
        <w:t xml:space="preserve">% of the papers </w:t>
      </w:r>
      <w:r w:rsidR="00082F33" w:rsidRPr="002E2AA0">
        <w:rPr>
          <w:rFonts w:ascii="Times New Roman" w:hAnsi="Times New Roman" w:cs="Times New Roman"/>
          <w:lang w:val="en-US"/>
        </w:rPr>
        <w:lastRenderedPageBreak/>
        <w:t xml:space="preserve">were assessed by </w:t>
      </w:r>
      <w:r w:rsidR="00447F38">
        <w:rPr>
          <w:rFonts w:ascii="Times New Roman" w:hAnsi="Times New Roman" w:cs="Times New Roman"/>
          <w:lang w:val="en-US"/>
        </w:rPr>
        <w:t xml:space="preserve">the third author </w:t>
      </w:r>
      <w:r w:rsidR="00082F33" w:rsidRPr="002E2AA0">
        <w:rPr>
          <w:rFonts w:ascii="Times New Roman" w:hAnsi="Times New Roman" w:cs="Times New Roman"/>
          <w:lang w:val="en-US"/>
        </w:rPr>
        <w:t xml:space="preserve">to </w:t>
      </w:r>
      <w:r w:rsidR="002E2AA0" w:rsidRPr="002E2AA0">
        <w:rPr>
          <w:rFonts w:ascii="Times New Roman" w:hAnsi="Times New Roman" w:cs="Times New Roman"/>
          <w:lang w:val="en-US"/>
        </w:rPr>
        <w:t>ensure</w:t>
      </w:r>
      <w:r w:rsidR="00082F33" w:rsidRPr="002E2AA0">
        <w:rPr>
          <w:rFonts w:ascii="Times New Roman" w:hAnsi="Times New Roman" w:cs="Times New Roman"/>
          <w:lang w:val="en-US"/>
        </w:rPr>
        <w:t xml:space="preserve"> inter-rater reliability. Any disagreement was resolved through discussion.</w:t>
      </w:r>
    </w:p>
    <w:p w14:paraId="4F6C97AE" w14:textId="77777777" w:rsidR="00082F33" w:rsidRPr="002E2AA0" w:rsidRDefault="00082F33">
      <w:pPr>
        <w:rPr>
          <w:rFonts w:ascii="Times New Roman" w:hAnsi="Times New Roman" w:cs="Times New Roman"/>
          <w:lang w:val="en-US"/>
        </w:rPr>
      </w:pPr>
      <w:r w:rsidRPr="002E2AA0">
        <w:rPr>
          <w:rFonts w:ascii="Times New Roman" w:hAnsi="Times New Roman" w:cs="Times New Roman"/>
          <w:lang w:val="en-US"/>
        </w:rPr>
        <w:br w:type="page"/>
      </w:r>
    </w:p>
    <w:p w14:paraId="1403DB62" w14:textId="77777777" w:rsidR="00082F33" w:rsidRPr="002E2AA0" w:rsidRDefault="00082F33" w:rsidP="00082F33">
      <w:pPr>
        <w:rPr>
          <w:rFonts w:ascii="Times New Roman" w:hAnsi="Times New Roman" w:cs="Times New Roman"/>
          <w:i/>
          <w:iCs/>
          <w:lang w:val="en-US"/>
        </w:rPr>
      </w:pPr>
      <w:r w:rsidRPr="002E2AA0">
        <w:rPr>
          <w:rFonts w:ascii="Times New Roman" w:hAnsi="Times New Roman" w:cs="Times New Roman"/>
          <w:lang w:val="en-US"/>
        </w:rPr>
        <w:lastRenderedPageBreak/>
        <w:t xml:space="preserve">Table </w:t>
      </w:r>
      <w:r w:rsidR="003D4380" w:rsidRPr="002E2AA0">
        <w:rPr>
          <w:rFonts w:ascii="Times New Roman" w:hAnsi="Times New Roman" w:cs="Times New Roman"/>
          <w:lang w:val="en-US"/>
        </w:rPr>
        <w:t>1</w:t>
      </w:r>
      <w:r w:rsidRPr="002E2AA0">
        <w:rPr>
          <w:rFonts w:ascii="Times New Roman" w:hAnsi="Times New Roman" w:cs="Times New Roman"/>
          <w:lang w:val="en-US"/>
        </w:rPr>
        <w:t xml:space="preserve">. </w:t>
      </w:r>
      <w:r w:rsidRPr="002E2AA0">
        <w:rPr>
          <w:rFonts w:ascii="Times New Roman" w:hAnsi="Times New Roman" w:cs="Times New Roman"/>
          <w:i/>
          <w:iCs/>
          <w:lang w:val="en-US"/>
        </w:rPr>
        <w:t>Quality criteria for quantitative studies (Kmet et al., 2004)</w:t>
      </w:r>
    </w:p>
    <w:p w14:paraId="73040B07" w14:textId="77777777" w:rsidR="00082F33" w:rsidRPr="002E2AA0" w:rsidRDefault="00082F33" w:rsidP="00082F33">
      <w:pPr>
        <w:rPr>
          <w:rFonts w:ascii="Times New Roman" w:hAnsi="Times New Roman" w:cs="Times New Roman"/>
          <w:i/>
          <w:iCs/>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082F33" w:rsidRPr="002E2AA0" w14:paraId="6B23C975" w14:textId="77777777" w:rsidTr="00477291">
        <w:trPr>
          <w:trHeight w:val="652"/>
        </w:trPr>
        <w:tc>
          <w:tcPr>
            <w:tcW w:w="1555" w:type="dxa"/>
            <w:tcBorders>
              <w:top w:val="single" w:sz="4" w:space="0" w:color="auto"/>
              <w:bottom w:val="single" w:sz="4" w:space="0" w:color="auto"/>
            </w:tcBorders>
          </w:tcPr>
          <w:p w14:paraId="7D27EFDE"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Question No.</w:t>
            </w:r>
          </w:p>
        </w:tc>
        <w:tc>
          <w:tcPr>
            <w:tcW w:w="7461" w:type="dxa"/>
            <w:tcBorders>
              <w:top w:val="single" w:sz="4" w:space="0" w:color="auto"/>
              <w:bottom w:val="single" w:sz="4" w:space="0" w:color="auto"/>
            </w:tcBorders>
          </w:tcPr>
          <w:p w14:paraId="002A203F"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Question for inclusion of quantitative items</w:t>
            </w:r>
          </w:p>
        </w:tc>
      </w:tr>
      <w:tr w:rsidR="00082F33" w:rsidRPr="002E2AA0" w14:paraId="765CEE5F" w14:textId="77777777" w:rsidTr="00477291">
        <w:trPr>
          <w:trHeight w:val="652"/>
        </w:trPr>
        <w:tc>
          <w:tcPr>
            <w:tcW w:w="1555" w:type="dxa"/>
            <w:tcBorders>
              <w:top w:val="single" w:sz="4" w:space="0" w:color="auto"/>
            </w:tcBorders>
          </w:tcPr>
          <w:p w14:paraId="56F46CAA"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w:t>
            </w:r>
          </w:p>
        </w:tc>
        <w:tc>
          <w:tcPr>
            <w:tcW w:w="7461" w:type="dxa"/>
            <w:tcBorders>
              <w:top w:val="single" w:sz="4" w:space="0" w:color="auto"/>
            </w:tcBorders>
          </w:tcPr>
          <w:p w14:paraId="79F991D7"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question or objective sufficiently described?</w:t>
            </w:r>
          </w:p>
        </w:tc>
      </w:tr>
      <w:tr w:rsidR="00082F33" w:rsidRPr="002E2AA0" w14:paraId="7C55368C" w14:textId="77777777" w:rsidTr="00477291">
        <w:trPr>
          <w:trHeight w:val="652"/>
        </w:trPr>
        <w:tc>
          <w:tcPr>
            <w:tcW w:w="1555" w:type="dxa"/>
          </w:tcPr>
          <w:p w14:paraId="6631A9B8"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2</w:t>
            </w:r>
          </w:p>
        </w:tc>
        <w:tc>
          <w:tcPr>
            <w:tcW w:w="7461" w:type="dxa"/>
          </w:tcPr>
          <w:p w14:paraId="1A48F7C0"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design evident and appropriate to answer the study question?</w:t>
            </w:r>
          </w:p>
        </w:tc>
      </w:tr>
      <w:tr w:rsidR="00082F33" w:rsidRPr="002E2AA0" w14:paraId="7EB326F6" w14:textId="77777777" w:rsidTr="00477291">
        <w:trPr>
          <w:trHeight w:val="652"/>
        </w:trPr>
        <w:tc>
          <w:tcPr>
            <w:tcW w:w="1555" w:type="dxa"/>
          </w:tcPr>
          <w:p w14:paraId="6C1A82BB"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3</w:t>
            </w:r>
          </w:p>
        </w:tc>
        <w:tc>
          <w:tcPr>
            <w:tcW w:w="7461" w:type="dxa"/>
          </w:tcPr>
          <w:p w14:paraId="50163319"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method of subject selection (and comparison group selection, if applicable) or source of information for input variables (e.g., for decision analysis) described and appropriate?</w:t>
            </w:r>
          </w:p>
        </w:tc>
      </w:tr>
      <w:tr w:rsidR="00082F33" w:rsidRPr="002E2AA0" w14:paraId="5626AE45" w14:textId="77777777" w:rsidTr="00477291">
        <w:trPr>
          <w:trHeight w:val="652"/>
        </w:trPr>
        <w:tc>
          <w:tcPr>
            <w:tcW w:w="1555" w:type="dxa"/>
          </w:tcPr>
          <w:p w14:paraId="39EAA640"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4</w:t>
            </w:r>
          </w:p>
        </w:tc>
        <w:tc>
          <w:tcPr>
            <w:tcW w:w="7461" w:type="dxa"/>
          </w:tcPr>
          <w:p w14:paraId="79F8BAE4"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Are the subject (and comparison group, if applicable) characteristics or input variables information (e.g., for decision analysis) sufficiently described?</w:t>
            </w:r>
          </w:p>
        </w:tc>
      </w:tr>
      <w:tr w:rsidR="00082F33" w:rsidRPr="002E2AA0" w14:paraId="49084898" w14:textId="77777777" w:rsidTr="00477291">
        <w:trPr>
          <w:trHeight w:val="652"/>
        </w:trPr>
        <w:tc>
          <w:tcPr>
            <w:tcW w:w="1555" w:type="dxa"/>
          </w:tcPr>
          <w:p w14:paraId="24F86735"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5</w:t>
            </w:r>
          </w:p>
        </w:tc>
        <w:tc>
          <w:tcPr>
            <w:tcW w:w="7461" w:type="dxa"/>
          </w:tcPr>
          <w:p w14:paraId="689C236F"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If random allocation to treatment group was possible, is it described?</w:t>
            </w:r>
          </w:p>
        </w:tc>
      </w:tr>
      <w:tr w:rsidR="00082F33" w:rsidRPr="002E2AA0" w14:paraId="7E2EA568" w14:textId="77777777" w:rsidTr="00477291">
        <w:trPr>
          <w:trHeight w:val="652"/>
        </w:trPr>
        <w:tc>
          <w:tcPr>
            <w:tcW w:w="1555" w:type="dxa"/>
          </w:tcPr>
          <w:p w14:paraId="5DD5BEF1"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6</w:t>
            </w:r>
          </w:p>
        </w:tc>
        <w:tc>
          <w:tcPr>
            <w:tcW w:w="7461" w:type="dxa"/>
          </w:tcPr>
          <w:p w14:paraId="6C0B0794"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If interventional and blinding of investigators to intervention was possible, is it reported?</w:t>
            </w:r>
          </w:p>
        </w:tc>
      </w:tr>
      <w:tr w:rsidR="00082F33" w:rsidRPr="002E2AA0" w14:paraId="61C2872C" w14:textId="77777777" w:rsidTr="00477291">
        <w:trPr>
          <w:trHeight w:val="652"/>
        </w:trPr>
        <w:tc>
          <w:tcPr>
            <w:tcW w:w="1555" w:type="dxa"/>
          </w:tcPr>
          <w:p w14:paraId="5E8C95AB"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7</w:t>
            </w:r>
          </w:p>
        </w:tc>
        <w:tc>
          <w:tcPr>
            <w:tcW w:w="7461" w:type="dxa"/>
          </w:tcPr>
          <w:p w14:paraId="5256A9F2"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If interventional and blinding of subjects to intervention was possible, is it reported?</w:t>
            </w:r>
          </w:p>
        </w:tc>
      </w:tr>
      <w:tr w:rsidR="00082F33" w:rsidRPr="002E2AA0" w14:paraId="48CA0D55" w14:textId="77777777" w:rsidTr="00477291">
        <w:trPr>
          <w:trHeight w:val="652"/>
        </w:trPr>
        <w:tc>
          <w:tcPr>
            <w:tcW w:w="1555" w:type="dxa"/>
          </w:tcPr>
          <w:p w14:paraId="7EC89027"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8</w:t>
            </w:r>
          </w:p>
        </w:tc>
        <w:tc>
          <w:tcPr>
            <w:tcW w:w="7461" w:type="dxa"/>
          </w:tcPr>
          <w:p w14:paraId="6F4F1AF5"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Are outcome and (if applicable) exposure measure(s) well defined and robust to measurement/misclassification bias? And are means of assessment reported?</w:t>
            </w:r>
          </w:p>
        </w:tc>
      </w:tr>
      <w:tr w:rsidR="00082F33" w:rsidRPr="002E2AA0" w14:paraId="48625019" w14:textId="77777777" w:rsidTr="00477291">
        <w:trPr>
          <w:trHeight w:val="652"/>
        </w:trPr>
        <w:tc>
          <w:tcPr>
            <w:tcW w:w="1555" w:type="dxa"/>
          </w:tcPr>
          <w:p w14:paraId="0A6E581D"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9</w:t>
            </w:r>
          </w:p>
        </w:tc>
        <w:tc>
          <w:tcPr>
            <w:tcW w:w="7461" w:type="dxa"/>
          </w:tcPr>
          <w:p w14:paraId="46370908"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sample size appropriate?</w:t>
            </w:r>
          </w:p>
        </w:tc>
      </w:tr>
      <w:tr w:rsidR="00082F33" w:rsidRPr="002E2AA0" w14:paraId="1BD427F2" w14:textId="77777777" w:rsidTr="00477291">
        <w:trPr>
          <w:trHeight w:val="652"/>
        </w:trPr>
        <w:tc>
          <w:tcPr>
            <w:tcW w:w="1555" w:type="dxa"/>
          </w:tcPr>
          <w:p w14:paraId="7EA7A0E6"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10</w:t>
            </w:r>
          </w:p>
        </w:tc>
        <w:tc>
          <w:tcPr>
            <w:tcW w:w="7461" w:type="dxa"/>
          </w:tcPr>
          <w:p w14:paraId="7FD4A53E"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analysis described and appropriate?</w:t>
            </w:r>
          </w:p>
        </w:tc>
      </w:tr>
      <w:tr w:rsidR="00082F33" w:rsidRPr="002E2AA0" w14:paraId="29DD6A98" w14:textId="77777777" w:rsidTr="00477291">
        <w:trPr>
          <w:trHeight w:val="652"/>
        </w:trPr>
        <w:tc>
          <w:tcPr>
            <w:tcW w:w="1555" w:type="dxa"/>
          </w:tcPr>
          <w:p w14:paraId="350D4276"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11</w:t>
            </w:r>
          </w:p>
        </w:tc>
        <w:tc>
          <w:tcPr>
            <w:tcW w:w="7461" w:type="dxa"/>
          </w:tcPr>
          <w:p w14:paraId="58BB70A6"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some estimate of variance (e.g., confidence intervals, standard errors) reported for the main outcomes and results (e.g., those directly assessing the study question/objective upon which the conclusions are based)?</w:t>
            </w:r>
          </w:p>
        </w:tc>
      </w:tr>
      <w:tr w:rsidR="00082F33" w:rsidRPr="002E2AA0" w14:paraId="6EB61789" w14:textId="77777777" w:rsidTr="00477291">
        <w:trPr>
          <w:trHeight w:val="652"/>
        </w:trPr>
        <w:tc>
          <w:tcPr>
            <w:tcW w:w="1555" w:type="dxa"/>
          </w:tcPr>
          <w:p w14:paraId="2E4F1E57"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12</w:t>
            </w:r>
          </w:p>
        </w:tc>
        <w:tc>
          <w:tcPr>
            <w:tcW w:w="7461" w:type="dxa"/>
          </w:tcPr>
          <w:p w14:paraId="2C4BB045"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Are confounding factors controlled for?</w:t>
            </w:r>
          </w:p>
        </w:tc>
      </w:tr>
      <w:tr w:rsidR="00082F33" w:rsidRPr="002E2AA0" w14:paraId="2C68D6A8" w14:textId="77777777" w:rsidTr="00477291">
        <w:trPr>
          <w:trHeight w:val="652"/>
        </w:trPr>
        <w:tc>
          <w:tcPr>
            <w:tcW w:w="1555" w:type="dxa"/>
          </w:tcPr>
          <w:p w14:paraId="5AB1E61E"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13</w:t>
            </w:r>
          </w:p>
        </w:tc>
        <w:tc>
          <w:tcPr>
            <w:tcW w:w="7461" w:type="dxa"/>
          </w:tcPr>
          <w:p w14:paraId="75D5F6C5"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Are results reported in sufficient detail?</w:t>
            </w:r>
          </w:p>
        </w:tc>
      </w:tr>
      <w:tr w:rsidR="00082F33" w:rsidRPr="002E2AA0" w14:paraId="5C5FC2F6" w14:textId="77777777" w:rsidTr="00477291">
        <w:trPr>
          <w:trHeight w:val="652"/>
        </w:trPr>
        <w:tc>
          <w:tcPr>
            <w:tcW w:w="1555" w:type="dxa"/>
          </w:tcPr>
          <w:p w14:paraId="4CFFC4DF"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14</w:t>
            </w:r>
          </w:p>
        </w:tc>
        <w:tc>
          <w:tcPr>
            <w:tcW w:w="7461" w:type="dxa"/>
          </w:tcPr>
          <w:p w14:paraId="0B3070B0"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Do the results support the conclusions?</w:t>
            </w:r>
          </w:p>
        </w:tc>
      </w:tr>
    </w:tbl>
    <w:p w14:paraId="60C74BF4" w14:textId="77777777" w:rsidR="00082F33" w:rsidRPr="002E2AA0" w:rsidRDefault="00082F33" w:rsidP="00082F33">
      <w:pPr>
        <w:rPr>
          <w:rFonts w:ascii="Times New Roman" w:hAnsi="Times New Roman" w:cs="Times New Roman"/>
          <w:lang w:val="en-US"/>
        </w:rPr>
      </w:pPr>
    </w:p>
    <w:p w14:paraId="58B9C1C1" w14:textId="77777777" w:rsidR="00082F33" w:rsidRPr="002E2AA0" w:rsidRDefault="00082F33" w:rsidP="00082F33">
      <w:pPr>
        <w:rPr>
          <w:rFonts w:ascii="Times New Roman" w:hAnsi="Times New Roman" w:cs="Times New Roman"/>
          <w:lang w:val="en-US"/>
        </w:rPr>
      </w:pPr>
    </w:p>
    <w:p w14:paraId="694AFB74" w14:textId="77777777" w:rsidR="00082F33" w:rsidRPr="002E2AA0" w:rsidRDefault="00082F33" w:rsidP="00082F33">
      <w:pPr>
        <w:rPr>
          <w:rFonts w:ascii="Times New Roman" w:hAnsi="Times New Roman" w:cs="Times New Roman"/>
          <w:lang w:val="en-US"/>
        </w:rPr>
      </w:pPr>
    </w:p>
    <w:p w14:paraId="7C9D7205" w14:textId="77777777" w:rsidR="00082F33" w:rsidRPr="002E2AA0" w:rsidRDefault="00082F33" w:rsidP="00082F33">
      <w:pPr>
        <w:rPr>
          <w:rFonts w:ascii="Times New Roman" w:hAnsi="Times New Roman" w:cs="Times New Roman"/>
          <w:i/>
          <w:iCs/>
          <w:lang w:val="en-US"/>
        </w:rPr>
      </w:pPr>
      <w:r w:rsidRPr="002E2AA0">
        <w:rPr>
          <w:rFonts w:ascii="Times New Roman" w:hAnsi="Times New Roman" w:cs="Times New Roman"/>
          <w:lang w:val="en-US"/>
        </w:rPr>
        <w:lastRenderedPageBreak/>
        <w:t xml:space="preserve">Table </w:t>
      </w:r>
      <w:r w:rsidR="003D4380" w:rsidRPr="002E2AA0">
        <w:rPr>
          <w:rFonts w:ascii="Times New Roman" w:hAnsi="Times New Roman" w:cs="Times New Roman"/>
          <w:lang w:val="en-US"/>
        </w:rPr>
        <w:t>2</w:t>
      </w:r>
      <w:r w:rsidRPr="002E2AA0">
        <w:rPr>
          <w:rFonts w:ascii="Times New Roman" w:hAnsi="Times New Roman" w:cs="Times New Roman"/>
          <w:lang w:val="en-US"/>
        </w:rPr>
        <w:t xml:space="preserve">. </w:t>
      </w:r>
      <w:r w:rsidRPr="002E2AA0">
        <w:rPr>
          <w:rFonts w:ascii="Times New Roman" w:hAnsi="Times New Roman" w:cs="Times New Roman"/>
          <w:i/>
          <w:iCs/>
          <w:lang w:val="en-US"/>
        </w:rPr>
        <w:t>Quality criteria for qualitative studies (Kmet et al., 2004)</w:t>
      </w:r>
    </w:p>
    <w:p w14:paraId="3F2C24B3" w14:textId="77777777" w:rsidR="00082F33" w:rsidRPr="002E2AA0" w:rsidRDefault="00082F33" w:rsidP="00082F33">
      <w:pPr>
        <w:rPr>
          <w:rFonts w:ascii="Times New Roman" w:hAnsi="Times New Roman" w:cs="Times New Roman"/>
          <w:i/>
          <w:iCs/>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082F33" w:rsidRPr="002E2AA0" w14:paraId="06D2B74E" w14:textId="77777777" w:rsidTr="00477291">
        <w:trPr>
          <w:trHeight w:val="652"/>
        </w:trPr>
        <w:tc>
          <w:tcPr>
            <w:tcW w:w="1555" w:type="dxa"/>
            <w:tcBorders>
              <w:top w:val="single" w:sz="4" w:space="0" w:color="auto"/>
              <w:bottom w:val="single" w:sz="4" w:space="0" w:color="auto"/>
            </w:tcBorders>
          </w:tcPr>
          <w:p w14:paraId="1B88BCAC"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Question No.</w:t>
            </w:r>
          </w:p>
        </w:tc>
        <w:tc>
          <w:tcPr>
            <w:tcW w:w="7461" w:type="dxa"/>
            <w:tcBorders>
              <w:top w:val="single" w:sz="4" w:space="0" w:color="auto"/>
              <w:bottom w:val="single" w:sz="4" w:space="0" w:color="auto"/>
            </w:tcBorders>
          </w:tcPr>
          <w:p w14:paraId="67BADD8F"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Question for inclusion of qualitative items</w:t>
            </w:r>
          </w:p>
        </w:tc>
      </w:tr>
      <w:tr w:rsidR="00082F33" w:rsidRPr="002E2AA0" w14:paraId="671EE7C4" w14:textId="77777777" w:rsidTr="00477291">
        <w:trPr>
          <w:trHeight w:val="652"/>
        </w:trPr>
        <w:tc>
          <w:tcPr>
            <w:tcW w:w="1555" w:type="dxa"/>
            <w:tcBorders>
              <w:top w:val="single" w:sz="4" w:space="0" w:color="auto"/>
            </w:tcBorders>
          </w:tcPr>
          <w:p w14:paraId="5CCEE494"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w:t>
            </w:r>
          </w:p>
        </w:tc>
        <w:tc>
          <w:tcPr>
            <w:tcW w:w="7461" w:type="dxa"/>
            <w:tcBorders>
              <w:top w:val="single" w:sz="4" w:space="0" w:color="auto"/>
            </w:tcBorders>
          </w:tcPr>
          <w:p w14:paraId="0823F948"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question or objective sufficiently described?</w:t>
            </w:r>
          </w:p>
        </w:tc>
      </w:tr>
      <w:tr w:rsidR="00082F33" w:rsidRPr="002E2AA0" w14:paraId="3CA31B5D" w14:textId="77777777" w:rsidTr="00477291">
        <w:trPr>
          <w:trHeight w:val="652"/>
        </w:trPr>
        <w:tc>
          <w:tcPr>
            <w:tcW w:w="1555" w:type="dxa"/>
          </w:tcPr>
          <w:p w14:paraId="27AE3547"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2</w:t>
            </w:r>
          </w:p>
        </w:tc>
        <w:tc>
          <w:tcPr>
            <w:tcW w:w="7461" w:type="dxa"/>
          </w:tcPr>
          <w:p w14:paraId="613EADEC"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design evidence and appropriate to answer the study question?</w:t>
            </w:r>
          </w:p>
        </w:tc>
      </w:tr>
      <w:tr w:rsidR="00082F33" w:rsidRPr="002E2AA0" w14:paraId="526583AB" w14:textId="77777777" w:rsidTr="00477291">
        <w:trPr>
          <w:trHeight w:val="652"/>
        </w:trPr>
        <w:tc>
          <w:tcPr>
            <w:tcW w:w="1555" w:type="dxa"/>
          </w:tcPr>
          <w:p w14:paraId="585D9673"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3</w:t>
            </w:r>
          </w:p>
        </w:tc>
        <w:tc>
          <w:tcPr>
            <w:tcW w:w="7461" w:type="dxa"/>
          </w:tcPr>
          <w:p w14:paraId="1961A78D"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Is the context for the study clear?</w:t>
            </w:r>
          </w:p>
        </w:tc>
      </w:tr>
      <w:tr w:rsidR="00082F33" w:rsidRPr="002E2AA0" w14:paraId="11422CD9" w14:textId="77777777" w:rsidTr="00477291">
        <w:trPr>
          <w:trHeight w:val="652"/>
        </w:trPr>
        <w:tc>
          <w:tcPr>
            <w:tcW w:w="1555" w:type="dxa"/>
          </w:tcPr>
          <w:p w14:paraId="1B7920D9"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4</w:t>
            </w:r>
          </w:p>
        </w:tc>
        <w:tc>
          <w:tcPr>
            <w:tcW w:w="7461" w:type="dxa"/>
          </w:tcPr>
          <w:p w14:paraId="10EDE3A0"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Connection to a theoretical framework/wider body of knowledge?</w:t>
            </w:r>
          </w:p>
        </w:tc>
      </w:tr>
      <w:tr w:rsidR="00082F33" w:rsidRPr="002E2AA0" w14:paraId="26C8B8EA" w14:textId="77777777" w:rsidTr="00477291">
        <w:trPr>
          <w:trHeight w:val="652"/>
        </w:trPr>
        <w:tc>
          <w:tcPr>
            <w:tcW w:w="1555" w:type="dxa"/>
          </w:tcPr>
          <w:p w14:paraId="32BF2B64"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5</w:t>
            </w:r>
          </w:p>
        </w:tc>
        <w:tc>
          <w:tcPr>
            <w:tcW w:w="7461" w:type="dxa"/>
          </w:tcPr>
          <w:p w14:paraId="6AF07BC2"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Sampling strategy described and systematic?</w:t>
            </w:r>
          </w:p>
        </w:tc>
      </w:tr>
      <w:tr w:rsidR="00082F33" w:rsidRPr="002E2AA0" w14:paraId="147F2036" w14:textId="77777777" w:rsidTr="00477291">
        <w:trPr>
          <w:trHeight w:val="652"/>
        </w:trPr>
        <w:tc>
          <w:tcPr>
            <w:tcW w:w="1555" w:type="dxa"/>
          </w:tcPr>
          <w:p w14:paraId="7D6AB129"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6</w:t>
            </w:r>
          </w:p>
        </w:tc>
        <w:tc>
          <w:tcPr>
            <w:tcW w:w="7461" w:type="dxa"/>
          </w:tcPr>
          <w:p w14:paraId="011B6F07"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Data collection methods clearly described and systematic?</w:t>
            </w:r>
          </w:p>
        </w:tc>
      </w:tr>
      <w:tr w:rsidR="00082F33" w:rsidRPr="002E2AA0" w14:paraId="32D3E2A6" w14:textId="77777777" w:rsidTr="00477291">
        <w:trPr>
          <w:trHeight w:val="652"/>
        </w:trPr>
        <w:tc>
          <w:tcPr>
            <w:tcW w:w="1555" w:type="dxa"/>
          </w:tcPr>
          <w:p w14:paraId="6C0361BA"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7</w:t>
            </w:r>
          </w:p>
        </w:tc>
        <w:tc>
          <w:tcPr>
            <w:tcW w:w="7461" w:type="dxa"/>
          </w:tcPr>
          <w:p w14:paraId="58C9050E"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Data analysis clearly described and systematic?</w:t>
            </w:r>
          </w:p>
        </w:tc>
      </w:tr>
      <w:tr w:rsidR="00082F33" w:rsidRPr="002E2AA0" w14:paraId="25F0AA5D" w14:textId="77777777" w:rsidTr="00477291">
        <w:trPr>
          <w:trHeight w:val="652"/>
        </w:trPr>
        <w:tc>
          <w:tcPr>
            <w:tcW w:w="1555" w:type="dxa"/>
          </w:tcPr>
          <w:p w14:paraId="05AAB7C0"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8</w:t>
            </w:r>
          </w:p>
        </w:tc>
        <w:tc>
          <w:tcPr>
            <w:tcW w:w="7461" w:type="dxa"/>
          </w:tcPr>
          <w:p w14:paraId="0157F222"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Use of verification procedure to establish causality?</w:t>
            </w:r>
          </w:p>
        </w:tc>
      </w:tr>
      <w:tr w:rsidR="00082F33" w:rsidRPr="002E2AA0" w14:paraId="78C7B5DD" w14:textId="77777777" w:rsidTr="00477291">
        <w:trPr>
          <w:trHeight w:val="652"/>
        </w:trPr>
        <w:tc>
          <w:tcPr>
            <w:tcW w:w="1555" w:type="dxa"/>
          </w:tcPr>
          <w:p w14:paraId="1CC48B7A"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9</w:t>
            </w:r>
          </w:p>
        </w:tc>
        <w:tc>
          <w:tcPr>
            <w:tcW w:w="7461" w:type="dxa"/>
          </w:tcPr>
          <w:p w14:paraId="3B27968F"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Conclusions supported by the results?</w:t>
            </w:r>
          </w:p>
        </w:tc>
      </w:tr>
      <w:tr w:rsidR="00082F33" w:rsidRPr="002E2AA0" w14:paraId="7C628A66" w14:textId="77777777" w:rsidTr="00477291">
        <w:trPr>
          <w:trHeight w:val="652"/>
        </w:trPr>
        <w:tc>
          <w:tcPr>
            <w:tcW w:w="1555" w:type="dxa"/>
          </w:tcPr>
          <w:p w14:paraId="2098D393"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10</w:t>
            </w:r>
          </w:p>
        </w:tc>
        <w:tc>
          <w:tcPr>
            <w:tcW w:w="7461" w:type="dxa"/>
          </w:tcPr>
          <w:p w14:paraId="21F984A6" w14:textId="77777777" w:rsidR="00082F33" w:rsidRPr="002E2AA0" w:rsidRDefault="00082F33" w:rsidP="00477291">
            <w:pPr>
              <w:spacing w:line="360" w:lineRule="auto"/>
              <w:rPr>
                <w:rFonts w:ascii="Times New Roman" w:hAnsi="Times New Roman" w:cs="Times New Roman"/>
                <w:sz w:val="24"/>
                <w:szCs w:val="24"/>
                <w:lang w:val="en-US"/>
              </w:rPr>
            </w:pPr>
            <w:r w:rsidRPr="002E2AA0">
              <w:rPr>
                <w:rFonts w:ascii="Times New Roman" w:hAnsi="Times New Roman" w:cs="Times New Roman"/>
                <w:sz w:val="24"/>
                <w:szCs w:val="24"/>
                <w:lang w:val="en-US"/>
              </w:rPr>
              <w:t>Reflexivity of the account?</w:t>
            </w:r>
          </w:p>
        </w:tc>
      </w:tr>
    </w:tbl>
    <w:p w14:paraId="6B6470CD" w14:textId="77777777" w:rsidR="00477291" w:rsidRPr="002E2AA0" w:rsidRDefault="00477291" w:rsidP="00082F33">
      <w:pPr>
        <w:spacing w:line="480" w:lineRule="auto"/>
        <w:rPr>
          <w:rFonts w:ascii="Times New Roman" w:hAnsi="Times New Roman" w:cs="Times New Roman"/>
          <w:lang w:val="en-US"/>
        </w:rPr>
      </w:pPr>
    </w:p>
    <w:p w14:paraId="07484B28" w14:textId="77777777" w:rsidR="00477291" w:rsidRPr="002E2AA0" w:rsidRDefault="00477291" w:rsidP="00477291">
      <w:pPr>
        <w:rPr>
          <w:rFonts w:ascii="Times New Roman" w:hAnsi="Times New Roman" w:cs="Times New Roman"/>
          <w:lang w:val="en-US"/>
        </w:rPr>
      </w:pPr>
    </w:p>
    <w:p w14:paraId="7B77F98C" w14:textId="77777777" w:rsidR="00477291" w:rsidRPr="002E2AA0" w:rsidRDefault="00477291" w:rsidP="00477291">
      <w:pPr>
        <w:rPr>
          <w:rFonts w:ascii="Times New Roman" w:hAnsi="Times New Roman" w:cs="Times New Roman"/>
          <w:lang w:val="en-US"/>
        </w:rPr>
      </w:pPr>
    </w:p>
    <w:p w14:paraId="44AD5CA8" w14:textId="77777777" w:rsidR="00477291" w:rsidRPr="002E2AA0" w:rsidRDefault="00477291" w:rsidP="00477291">
      <w:pPr>
        <w:rPr>
          <w:rFonts w:ascii="Times New Roman" w:hAnsi="Times New Roman" w:cs="Times New Roman"/>
          <w:lang w:val="en-US"/>
        </w:rPr>
      </w:pPr>
    </w:p>
    <w:p w14:paraId="49C868FB" w14:textId="77777777" w:rsidR="00477291" w:rsidRPr="002E2AA0" w:rsidRDefault="00477291" w:rsidP="00477291">
      <w:pPr>
        <w:rPr>
          <w:rFonts w:ascii="Times New Roman" w:hAnsi="Times New Roman" w:cs="Times New Roman"/>
          <w:lang w:val="en-US"/>
        </w:rPr>
      </w:pPr>
    </w:p>
    <w:p w14:paraId="287037C2" w14:textId="77777777" w:rsidR="00477291" w:rsidRPr="002E2AA0" w:rsidRDefault="00477291" w:rsidP="00477291">
      <w:pPr>
        <w:rPr>
          <w:rFonts w:ascii="Times New Roman" w:hAnsi="Times New Roman" w:cs="Times New Roman"/>
          <w:lang w:val="en-US"/>
        </w:rPr>
      </w:pPr>
    </w:p>
    <w:p w14:paraId="7417C765" w14:textId="77777777" w:rsidR="00477291" w:rsidRPr="002E2AA0" w:rsidRDefault="00477291" w:rsidP="00477291">
      <w:pPr>
        <w:rPr>
          <w:rFonts w:ascii="Times New Roman" w:hAnsi="Times New Roman" w:cs="Times New Roman"/>
          <w:lang w:val="en-US"/>
        </w:rPr>
      </w:pPr>
    </w:p>
    <w:p w14:paraId="4F495731" w14:textId="77777777" w:rsidR="00477291" w:rsidRPr="002E2AA0" w:rsidRDefault="00477291" w:rsidP="00477291">
      <w:pPr>
        <w:rPr>
          <w:rFonts w:ascii="Times New Roman" w:hAnsi="Times New Roman" w:cs="Times New Roman"/>
          <w:lang w:val="en-US"/>
        </w:rPr>
      </w:pPr>
    </w:p>
    <w:p w14:paraId="4BA2C30C" w14:textId="77777777" w:rsidR="00477291" w:rsidRPr="002E2AA0" w:rsidRDefault="00477291" w:rsidP="00477291">
      <w:pPr>
        <w:rPr>
          <w:rFonts w:ascii="Times New Roman" w:hAnsi="Times New Roman" w:cs="Times New Roman"/>
          <w:lang w:val="en-US"/>
        </w:rPr>
      </w:pPr>
    </w:p>
    <w:p w14:paraId="3E2191CE" w14:textId="77777777" w:rsidR="00477291" w:rsidRPr="002E2AA0" w:rsidRDefault="00477291" w:rsidP="00477291">
      <w:pPr>
        <w:rPr>
          <w:rFonts w:ascii="Times New Roman" w:hAnsi="Times New Roman" w:cs="Times New Roman"/>
          <w:lang w:val="en-US"/>
        </w:rPr>
      </w:pPr>
    </w:p>
    <w:p w14:paraId="28E35BA3" w14:textId="77777777" w:rsidR="00477291" w:rsidRPr="002E2AA0" w:rsidRDefault="00477291" w:rsidP="00477291">
      <w:pPr>
        <w:rPr>
          <w:rFonts w:ascii="Times New Roman" w:hAnsi="Times New Roman" w:cs="Times New Roman"/>
          <w:lang w:val="en-US"/>
        </w:rPr>
      </w:pPr>
    </w:p>
    <w:p w14:paraId="353F40DA" w14:textId="77777777" w:rsidR="00477291" w:rsidRPr="002E2AA0" w:rsidRDefault="00477291" w:rsidP="00477291">
      <w:pPr>
        <w:rPr>
          <w:rFonts w:ascii="Times New Roman" w:hAnsi="Times New Roman" w:cs="Times New Roman"/>
          <w:lang w:val="en-US"/>
        </w:rPr>
      </w:pPr>
    </w:p>
    <w:p w14:paraId="56A7AD5B" w14:textId="77777777" w:rsidR="00477291" w:rsidRPr="002E2AA0" w:rsidRDefault="00477291" w:rsidP="00477291">
      <w:pPr>
        <w:rPr>
          <w:rFonts w:ascii="Times New Roman" w:hAnsi="Times New Roman" w:cs="Times New Roman"/>
          <w:lang w:val="en-US"/>
        </w:rPr>
      </w:pPr>
    </w:p>
    <w:p w14:paraId="79B264CE" w14:textId="77777777" w:rsidR="00477291" w:rsidRPr="002E2AA0" w:rsidRDefault="00477291" w:rsidP="00477291">
      <w:pPr>
        <w:rPr>
          <w:rFonts w:ascii="Times New Roman" w:hAnsi="Times New Roman" w:cs="Times New Roman"/>
          <w:lang w:val="en-US"/>
        </w:rPr>
        <w:sectPr w:rsidR="00477291" w:rsidRPr="002E2AA0" w:rsidSect="00477291">
          <w:headerReference w:type="even" r:id="rId9"/>
          <w:headerReference w:type="default" r:id="rId10"/>
          <w:headerReference w:type="first" r:id="rId11"/>
          <w:pgSz w:w="11900" w:h="16840"/>
          <w:pgMar w:top="1440" w:right="1440" w:bottom="1440" w:left="1440" w:header="708" w:footer="708" w:gutter="0"/>
          <w:cols w:space="708"/>
          <w:titlePg/>
          <w:docGrid w:linePitch="360"/>
        </w:sectPr>
      </w:pPr>
    </w:p>
    <w:p w14:paraId="4BD2307E" w14:textId="77777777" w:rsidR="00477291" w:rsidRPr="002E2AA0" w:rsidRDefault="00477291" w:rsidP="00477291">
      <w:pPr>
        <w:spacing w:line="480" w:lineRule="auto"/>
        <w:rPr>
          <w:rFonts w:ascii="Times New Roman" w:hAnsi="Times New Roman" w:cs="Times New Roman"/>
          <w:i/>
          <w:iCs/>
          <w:lang w:val="en-US"/>
        </w:rPr>
      </w:pPr>
      <w:r w:rsidRPr="002E2AA0">
        <w:rPr>
          <w:rFonts w:ascii="Times New Roman" w:hAnsi="Times New Roman" w:cs="Times New Roman"/>
          <w:lang w:val="en-US"/>
        </w:rPr>
        <w:lastRenderedPageBreak/>
        <w:t xml:space="preserve">Table 3. </w:t>
      </w:r>
      <w:r w:rsidRPr="002E2AA0">
        <w:rPr>
          <w:rFonts w:ascii="Times New Roman" w:hAnsi="Times New Roman" w:cs="Times New Roman"/>
          <w:i/>
          <w:iCs/>
          <w:lang w:val="en-US"/>
        </w:rPr>
        <w:t>Quality assessment for</w:t>
      </w:r>
      <w:r w:rsidR="00283AE2" w:rsidRPr="002E2AA0">
        <w:rPr>
          <w:rFonts w:ascii="Times New Roman" w:hAnsi="Times New Roman" w:cs="Times New Roman"/>
          <w:i/>
          <w:iCs/>
          <w:lang w:val="en-US"/>
        </w:rPr>
        <w:t xml:space="preserve"> all</w:t>
      </w:r>
      <w:r w:rsidRPr="002E2AA0">
        <w:rPr>
          <w:rFonts w:ascii="Times New Roman" w:hAnsi="Times New Roman" w:cs="Times New Roman"/>
          <w:i/>
          <w:iCs/>
          <w:lang w:val="en-US"/>
        </w:rPr>
        <w:t xml:space="preserve"> </w:t>
      </w:r>
      <w:r w:rsidR="00283AE2" w:rsidRPr="002E2AA0">
        <w:rPr>
          <w:rFonts w:ascii="Times New Roman" w:hAnsi="Times New Roman" w:cs="Times New Roman"/>
          <w:i/>
          <w:iCs/>
          <w:lang w:val="en-US"/>
        </w:rPr>
        <w:t xml:space="preserve">included </w:t>
      </w:r>
      <w:r w:rsidRPr="002E2AA0">
        <w:rPr>
          <w:rFonts w:ascii="Times New Roman" w:hAnsi="Times New Roman" w:cs="Times New Roman"/>
          <w:i/>
          <w:iCs/>
          <w:lang w:val="en-US"/>
        </w:rPr>
        <w:t>quantitative studies.</w:t>
      </w:r>
    </w:p>
    <w:tbl>
      <w:tblPr>
        <w:tblStyle w:val="TableGrid1"/>
        <w:tblW w:w="13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00"/>
        <w:gridCol w:w="601"/>
        <w:gridCol w:w="601"/>
        <w:gridCol w:w="601"/>
        <w:gridCol w:w="644"/>
        <w:gridCol w:w="644"/>
        <w:gridCol w:w="644"/>
        <w:gridCol w:w="601"/>
        <w:gridCol w:w="601"/>
        <w:gridCol w:w="644"/>
        <w:gridCol w:w="644"/>
        <w:gridCol w:w="644"/>
        <w:gridCol w:w="644"/>
        <w:gridCol w:w="644"/>
        <w:gridCol w:w="723"/>
        <w:gridCol w:w="1003"/>
        <w:gridCol w:w="1150"/>
      </w:tblGrid>
      <w:tr w:rsidR="00477291" w:rsidRPr="002E2AA0" w14:paraId="7E24BB00" w14:textId="77777777" w:rsidTr="00477291">
        <w:trPr>
          <w:trHeight w:val="652"/>
        </w:trPr>
        <w:tc>
          <w:tcPr>
            <w:tcW w:w="1975" w:type="dxa"/>
            <w:tcBorders>
              <w:top w:val="single" w:sz="4" w:space="0" w:color="auto"/>
              <w:bottom w:val="single" w:sz="4" w:space="0" w:color="auto"/>
            </w:tcBorders>
          </w:tcPr>
          <w:p w14:paraId="599B1CC7" w14:textId="77777777" w:rsidR="00477291" w:rsidRPr="002E2AA0" w:rsidRDefault="00477291" w:rsidP="00477291">
            <w:pPr>
              <w:rPr>
                <w:rFonts w:cs="Times New Roman"/>
                <w:b/>
                <w:bCs/>
              </w:rPr>
            </w:pPr>
            <w:r w:rsidRPr="002E2AA0">
              <w:rPr>
                <w:rFonts w:cs="Times New Roman"/>
                <w:b/>
                <w:bCs/>
              </w:rPr>
              <w:t>Author</w:t>
            </w:r>
          </w:p>
        </w:tc>
        <w:tc>
          <w:tcPr>
            <w:tcW w:w="600" w:type="dxa"/>
            <w:tcBorders>
              <w:top w:val="single" w:sz="4" w:space="0" w:color="auto"/>
              <w:bottom w:val="single" w:sz="4" w:space="0" w:color="auto"/>
            </w:tcBorders>
          </w:tcPr>
          <w:p w14:paraId="2EABD151" w14:textId="77777777" w:rsidR="00477291" w:rsidRPr="002E2AA0" w:rsidRDefault="00477291" w:rsidP="00477291">
            <w:pPr>
              <w:rPr>
                <w:rFonts w:cs="Times New Roman"/>
              </w:rPr>
            </w:pPr>
            <w:r w:rsidRPr="002E2AA0">
              <w:rPr>
                <w:rFonts w:cs="Times New Roman"/>
              </w:rPr>
              <w:t>Q1</w:t>
            </w:r>
          </w:p>
        </w:tc>
        <w:tc>
          <w:tcPr>
            <w:tcW w:w="601" w:type="dxa"/>
            <w:tcBorders>
              <w:top w:val="single" w:sz="4" w:space="0" w:color="auto"/>
              <w:bottom w:val="single" w:sz="4" w:space="0" w:color="auto"/>
            </w:tcBorders>
          </w:tcPr>
          <w:p w14:paraId="1089CDCC" w14:textId="77777777" w:rsidR="00477291" w:rsidRPr="002E2AA0" w:rsidRDefault="00477291" w:rsidP="00477291">
            <w:pPr>
              <w:rPr>
                <w:rFonts w:cs="Times New Roman"/>
              </w:rPr>
            </w:pPr>
            <w:r w:rsidRPr="002E2AA0">
              <w:rPr>
                <w:rFonts w:cs="Times New Roman"/>
              </w:rPr>
              <w:t>Q2</w:t>
            </w:r>
          </w:p>
        </w:tc>
        <w:tc>
          <w:tcPr>
            <w:tcW w:w="601" w:type="dxa"/>
            <w:tcBorders>
              <w:top w:val="single" w:sz="4" w:space="0" w:color="auto"/>
              <w:bottom w:val="single" w:sz="4" w:space="0" w:color="auto"/>
            </w:tcBorders>
          </w:tcPr>
          <w:p w14:paraId="11A8B586" w14:textId="77777777" w:rsidR="00477291" w:rsidRPr="002E2AA0" w:rsidRDefault="00477291" w:rsidP="00477291">
            <w:pPr>
              <w:rPr>
                <w:rFonts w:cs="Times New Roman"/>
              </w:rPr>
            </w:pPr>
            <w:r w:rsidRPr="002E2AA0">
              <w:rPr>
                <w:rFonts w:cs="Times New Roman"/>
              </w:rPr>
              <w:t>Q3</w:t>
            </w:r>
          </w:p>
        </w:tc>
        <w:tc>
          <w:tcPr>
            <w:tcW w:w="601" w:type="dxa"/>
            <w:tcBorders>
              <w:top w:val="single" w:sz="4" w:space="0" w:color="auto"/>
              <w:bottom w:val="single" w:sz="4" w:space="0" w:color="auto"/>
            </w:tcBorders>
          </w:tcPr>
          <w:p w14:paraId="104881D1" w14:textId="77777777" w:rsidR="00477291" w:rsidRPr="002E2AA0" w:rsidRDefault="00477291" w:rsidP="00477291">
            <w:pPr>
              <w:rPr>
                <w:rFonts w:cs="Times New Roman"/>
              </w:rPr>
            </w:pPr>
            <w:r w:rsidRPr="002E2AA0">
              <w:rPr>
                <w:rFonts w:cs="Times New Roman"/>
              </w:rPr>
              <w:t>Q4</w:t>
            </w:r>
          </w:p>
        </w:tc>
        <w:tc>
          <w:tcPr>
            <w:tcW w:w="644" w:type="dxa"/>
            <w:tcBorders>
              <w:top w:val="single" w:sz="4" w:space="0" w:color="auto"/>
              <w:bottom w:val="single" w:sz="4" w:space="0" w:color="auto"/>
            </w:tcBorders>
          </w:tcPr>
          <w:p w14:paraId="48A8E1E0" w14:textId="77777777" w:rsidR="00477291" w:rsidRPr="002E2AA0" w:rsidRDefault="00477291" w:rsidP="00477291">
            <w:pPr>
              <w:rPr>
                <w:rFonts w:cs="Times New Roman"/>
              </w:rPr>
            </w:pPr>
            <w:r w:rsidRPr="002E2AA0">
              <w:rPr>
                <w:rFonts w:cs="Times New Roman"/>
              </w:rPr>
              <w:t>Q5</w:t>
            </w:r>
          </w:p>
        </w:tc>
        <w:tc>
          <w:tcPr>
            <w:tcW w:w="644" w:type="dxa"/>
            <w:tcBorders>
              <w:top w:val="single" w:sz="4" w:space="0" w:color="auto"/>
              <w:bottom w:val="single" w:sz="4" w:space="0" w:color="auto"/>
            </w:tcBorders>
          </w:tcPr>
          <w:p w14:paraId="11EE3C00" w14:textId="77777777" w:rsidR="00477291" w:rsidRPr="002E2AA0" w:rsidRDefault="00477291" w:rsidP="00477291">
            <w:pPr>
              <w:rPr>
                <w:rFonts w:cs="Times New Roman"/>
              </w:rPr>
            </w:pPr>
            <w:r w:rsidRPr="002E2AA0">
              <w:rPr>
                <w:rFonts w:cs="Times New Roman"/>
              </w:rPr>
              <w:t>Q6</w:t>
            </w:r>
          </w:p>
        </w:tc>
        <w:tc>
          <w:tcPr>
            <w:tcW w:w="644" w:type="dxa"/>
            <w:tcBorders>
              <w:top w:val="single" w:sz="4" w:space="0" w:color="auto"/>
              <w:bottom w:val="single" w:sz="4" w:space="0" w:color="auto"/>
            </w:tcBorders>
          </w:tcPr>
          <w:p w14:paraId="7B807582" w14:textId="77777777" w:rsidR="00477291" w:rsidRPr="002E2AA0" w:rsidRDefault="00477291" w:rsidP="00477291">
            <w:pPr>
              <w:rPr>
                <w:rFonts w:cs="Times New Roman"/>
              </w:rPr>
            </w:pPr>
            <w:r w:rsidRPr="002E2AA0">
              <w:rPr>
                <w:rFonts w:cs="Times New Roman"/>
              </w:rPr>
              <w:t>Q7</w:t>
            </w:r>
          </w:p>
        </w:tc>
        <w:tc>
          <w:tcPr>
            <w:tcW w:w="601" w:type="dxa"/>
            <w:tcBorders>
              <w:top w:val="single" w:sz="4" w:space="0" w:color="auto"/>
              <w:bottom w:val="single" w:sz="4" w:space="0" w:color="auto"/>
            </w:tcBorders>
          </w:tcPr>
          <w:p w14:paraId="0A28EE32" w14:textId="77777777" w:rsidR="00477291" w:rsidRPr="002E2AA0" w:rsidRDefault="00477291" w:rsidP="00477291">
            <w:pPr>
              <w:rPr>
                <w:rFonts w:cs="Times New Roman"/>
              </w:rPr>
            </w:pPr>
            <w:r w:rsidRPr="002E2AA0">
              <w:rPr>
                <w:rFonts w:cs="Times New Roman"/>
              </w:rPr>
              <w:t>Q8</w:t>
            </w:r>
          </w:p>
        </w:tc>
        <w:tc>
          <w:tcPr>
            <w:tcW w:w="601" w:type="dxa"/>
            <w:tcBorders>
              <w:top w:val="single" w:sz="4" w:space="0" w:color="auto"/>
              <w:bottom w:val="single" w:sz="4" w:space="0" w:color="auto"/>
            </w:tcBorders>
          </w:tcPr>
          <w:p w14:paraId="5F46B247" w14:textId="77777777" w:rsidR="00477291" w:rsidRPr="002E2AA0" w:rsidRDefault="00477291" w:rsidP="00477291">
            <w:pPr>
              <w:rPr>
                <w:rFonts w:cs="Times New Roman"/>
              </w:rPr>
            </w:pPr>
            <w:r w:rsidRPr="002E2AA0">
              <w:rPr>
                <w:rFonts w:cs="Times New Roman"/>
              </w:rPr>
              <w:t>Q9</w:t>
            </w:r>
          </w:p>
        </w:tc>
        <w:tc>
          <w:tcPr>
            <w:tcW w:w="644" w:type="dxa"/>
            <w:tcBorders>
              <w:top w:val="single" w:sz="4" w:space="0" w:color="auto"/>
              <w:bottom w:val="single" w:sz="4" w:space="0" w:color="auto"/>
            </w:tcBorders>
          </w:tcPr>
          <w:p w14:paraId="36323DE3" w14:textId="77777777" w:rsidR="00477291" w:rsidRPr="002E2AA0" w:rsidRDefault="00477291" w:rsidP="00477291">
            <w:pPr>
              <w:rPr>
                <w:rFonts w:cs="Times New Roman"/>
              </w:rPr>
            </w:pPr>
            <w:r w:rsidRPr="002E2AA0">
              <w:rPr>
                <w:rFonts w:cs="Times New Roman"/>
              </w:rPr>
              <w:t>Q10</w:t>
            </w:r>
          </w:p>
        </w:tc>
        <w:tc>
          <w:tcPr>
            <w:tcW w:w="644" w:type="dxa"/>
            <w:tcBorders>
              <w:top w:val="single" w:sz="4" w:space="0" w:color="auto"/>
              <w:bottom w:val="single" w:sz="4" w:space="0" w:color="auto"/>
            </w:tcBorders>
          </w:tcPr>
          <w:p w14:paraId="407CFD1D" w14:textId="77777777" w:rsidR="00477291" w:rsidRPr="002E2AA0" w:rsidRDefault="00477291" w:rsidP="00477291">
            <w:pPr>
              <w:rPr>
                <w:rFonts w:cs="Times New Roman"/>
              </w:rPr>
            </w:pPr>
            <w:r w:rsidRPr="002E2AA0">
              <w:rPr>
                <w:rFonts w:cs="Times New Roman"/>
              </w:rPr>
              <w:t>Q11</w:t>
            </w:r>
          </w:p>
        </w:tc>
        <w:tc>
          <w:tcPr>
            <w:tcW w:w="644" w:type="dxa"/>
            <w:tcBorders>
              <w:top w:val="single" w:sz="4" w:space="0" w:color="auto"/>
              <w:bottom w:val="single" w:sz="4" w:space="0" w:color="auto"/>
            </w:tcBorders>
          </w:tcPr>
          <w:p w14:paraId="16071E99" w14:textId="77777777" w:rsidR="00477291" w:rsidRPr="002E2AA0" w:rsidRDefault="00477291" w:rsidP="00477291">
            <w:pPr>
              <w:rPr>
                <w:rFonts w:cs="Times New Roman"/>
              </w:rPr>
            </w:pPr>
            <w:r w:rsidRPr="002E2AA0">
              <w:rPr>
                <w:rFonts w:cs="Times New Roman"/>
              </w:rPr>
              <w:t>Q12</w:t>
            </w:r>
          </w:p>
        </w:tc>
        <w:tc>
          <w:tcPr>
            <w:tcW w:w="644" w:type="dxa"/>
            <w:tcBorders>
              <w:top w:val="single" w:sz="4" w:space="0" w:color="auto"/>
              <w:bottom w:val="single" w:sz="4" w:space="0" w:color="auto"/>
            </w:tcBorders>
          </w:tcPr>
          <w:p w14:paraId="2A2D9DFD" w14:textId="77777777" w:rsidR="00477291" w:rsidRPr="002E2AA0" w:rsidRDefault="00477291" w:rsidP="00477291">
            <w:pPr>
              <w:rPr>
                <w:rFonts w:cs="Times New Roman"/>
              </w:rPr>
            </w:pPr>
            <w:r w:rsidRPr="002E2AA0">
              <w:rPr>
                <w:rFonts w:cs="Times New Roman"/>
              </w:rPr>
              <w:t>Q13</w:t>
            </w:r>
          </w:p>
        </w:tc>
        <w:tc>
          <w:tcPr>
            <w:tcW w:w="644" w:type="dxa"/>
            <w:tcBorders>
              <w:top w:val="single" w:sz="4" w:space="0" w:color="auto"/>
              <w:bottom w:val="single" w:sz="4" w:space="0" w:color="auto"/>
            </w:tcBorders>
          </w:tcPr>
          <w:p w14:paraId="3312B48C" w14:textId="77777777" w:rsidR="00477291" w:rsidRPr="002E2AA0" w:rsidRDefault="00477291" w:rsidP="00477291">
            <w:pPr>
              <w:rPr>
                <w:rFonts w:cs="Times New Roman"/>
              </w:rPr>
            </w:pPr>
            <w:r w:rsidRPr="002E2AA0">
              <w:rPr>
                <w:rFonts w:cs="Times New Roman"/>
              </w:rPr>
              <w:t>Q14</w:t>
            </w:r>
          </w:p>
        </w:tc>
        <w:tc>
          <w:tcPr>
            <w:tcW w:w="723" w:type="dxa"/>
            <w:tcBorders>
              <w:top w:val="single" w:sz="4" w:space="0" w:color="auto"/>
              <w:bottom w:val="single" w:sz="4" w:space="0" w:color="auto"/>
            </w:tcBorders>
          </w:tcPr>
          <w:p w14:paraId="6FA53D31" w14:textId="77777777" w:rsidR="00477291" w:rsidRPr="002E2AA0" w:rsidRDefault="00477291" w:rsidP="00477291">
            <w:pPr>
              <w:rPr>
                <w:rFonts w:cs="Times New Roman"/>
              </w:rPr>
            </w:pPr>
            <w:r w:rsidRPr="002E2AA0">
              <w:rPr>
                <w:rFonts w:cs="Times New Roman"/>
              </w:rPr>
              <w:t>Total sum:</w:t>
            </w:r>
          </w:p>
        </w:tc>
        <w:tc>
          <w:tcPr>
            <w:tcW w:w="1003" w:type="dxa"/>
            <w:tcBorders>
              <w:top w:val="single" w:sz="4" w:space="0" w:color="auto"/>
              <w:bottom w:val="single" w:sz="4" w:space="0" w:color="auto"/>
            </w:tcBorders>
          </w:tcPr>
          <w:p w14:paraId="312974F1" w14:textId="77777777" w:rsidR="00477291" w:rsidRPr="002E2AA0" w:rsidRDefault="00477291" w:rsidP="00477291">
            <w:pPr>
              <w:rPr>
                <w:rFonts w:cs="Times New Roman"/>
              </w:rPr>
            </w:pPr>
            <w:r w:rsidRPr="002E2AA0">
              <w:rPr>
                <w:rFonts w:cs="Times New Roman"/>
              </w:rPr>
              <w:t>Total possible sum:</w:t>
            </w:r>
          </w:p>
        </w:tc>
        <w:tc>
          <w:tcPr>
            <w:tcW w:w="1150" w:type="dxa"/>
            <w:tcBorders>
              <w:top w:val="single" w:sz="4" w:space="0" w:color="auto"/>
              <w:bottom w:val="single" w:sz="4" w:space="0" w:color="auto"/>
            </w:tcBorders>
          </w:tcPr>
          <w:p w14:paraId="1E780A02" w14:textId="77777777" w:rsidR="00477291" w:rsidRPr="002E2AA0" w:rsidRDefault="00477291" w:rsidP="00477291">
            <w:pPr>
              <w:rPr>
                <w:rFonts w:cs="Times New Roman"/>
              </w:rPr>
            </w:pPr>
            <w:r w:rsidRPr="002E2AA0">
              <w:rPr>
                <w:rFonts w:cs="Times New Roman"/>
              </w:rPr>
              <w:t>Summary score (%):</w:t>
            </w:r>
          </w:p>
        </w:tc>
      </w:tr>
      <w:tr w:rsidR="00477291" w:rsidRPr="002E2AA0" w14:paraId="58FA79ED" w14:textId="77777777" w:rsidTr="00477291">
        <w:trPr>
          <w:trHeight w:val="652"/>
        </w:trPr>
        <w:tc>
          <w:tcPr>
            <w:tcW w:w="1975" w:type="dxa"/>
            <w:tcBorders>
              <w:top w:val="single" w:sz="4" w:space="0" w:color="auto"/>
              <w:bottom w:val="nil"/>
            </w:tcBorders>
          </w:tcPr>
          <w:p w14:paraId="6226EBC1" w14:textId="77777777" w:rsidR="00477291" w:rsidRPr="002E2AA0" w:rsidRDefault="00477291" w:rsidP="00477291">
            <w:pPr>
              <w:rPr>
                <w:rFonts w:cs="Times New Roman"/>
              </w:rPr>
            </w:pPr>
            <w:r w:rsidRPr="002E2AA0">
              <w:rPr>
                <w:rFonts w:cs="Times New Roman"/>
              </w:rPr>
              <w:t>Barendregt (2015)</w:t>
            </w:r>
          </w:p>
        </w:tc>
        <w:tc>
          <w:tcPr>
            <w:tcW w:w="600" w:type="dxa"/>
            <w:tcBorders>
              <w:top w:val="single" w:sz="4" w:space="0" w:color="auto"/>
              <w:bottom w:val="nil"/>
            </w:tcBorders>
          </w:tcPr>
          <w:p w14:paraId="0A2F3597" w14:textId="77777777" w:rsidR="00477291" w:rsidRPr="002E2AA0" w:rsidRDefault="00477291" w:rsidP="00477291">
            <w:pPr>
              <w:rPr>
                <w:rFonts w:cs="Times New Roman"/>
              </w:rPr>
            </w:pPr>
            <w:r w:rsidRPr="002E2AA0">
              <w:rPr>
                <w:rFonts w:cs="Times New Roman"/>
              </w:rPr>
              <w:t>2</w:t>
            </w:r>
          </w:p>
        </w:tc>
        <w:tc>
          <w:tcPr>
            <w:tcW w:w="601" w:type="dxa"/>
            <w:tcBorders>
              <w:top w:val="single" w:sz="4" w:space="0" w:color="auto"/>
              <w:bottom w:val="nil"/>
            </w:tcBorders>
          </w:tcPr>
          <w:p w14:paraId="5027999A" w14:textId="77777777" w:rsidR="00477291" w:rsidRPr="002E2AA0" w:rsidRDefault="00477291" w:rsidP="00477291">
            <w:pPr>
              <w:rPr>
                <w:rFonts w:cs="Times New Roman"/>
              </w:rPr>
            </w:pPr>
            <w:r w:rsidRPr="002E2AA0">
              <w:rPr>
                <w:rFonts w:cs="Times New Roman"/>
              </w:rPr>
              <w:t>2</w:t>
            </w:r>
          </w:p>
        </w:tc>
        <w:tc>
          <w:tcPr>
            <w:tcW w:w="601" w:type="dxa"/>
            <w:tcBorders>
              <w:top w:val="single" w:sz="4" w:space="0" w:color="auto"/>
              <w:bottom w:val="nil"/>
            </w:tcBorders>
          </w:tcPr>
          <w:p w14:paraId="1A3C882F" w14:textId="77777777" w:rsidR="00477291" w:rsidRPr="002E2AA0" w:rsidRDefault="00477291" w:rsidP="00477291">
            <w:pPr>
              <w:rPr>
                <w:rFonts w:cs="Times New Roman"/>
              </w:rPr>
            </w:pPr>
            <w:r w:rsidRPr="002E2AA0">
              <w:rPr>
                <w:rFonts w:cs="Times New Roman"/>
              </w:rPr>
              <w:t>2</w:t>
            </w:r>
          </w:p>
        </w:tc>
        <w:tc>
          <w:tcPr>
            <w:tcW w:w="601" w:type="dxa"/>
            <w:tcBorders>
              <w:top w:val="single" w:sz="4" w:space="0" w:color="auto"/>
              <w:bottom w:val="nil"/>
            </w:tcBorders>
          </w:tcPr>
          <w:p w14:paraId="1F412162" w14:textId="77777777" w:rsidR="00477291" w:rsidRPr="002E2AA0" w:rsidRDefault="00477291" w:rsidP="00477291">
            <w:pPr>
              <w:rPr>
                <w:rFonts w:cs="Times New Roman"/>
              </w:rPr>
            </w:pPr>
            <w:r w:rsidRPr="002E2AA0">
              <w:rPr>
                <w:rFonts w:cs="Times New Roman"/>
              </w:rPr>
              <w:t>2</w:t>
            </w:r>
          </w:p>
        </w:tc>
        <w:tc>
          <w:tcPr>
            <w:tcW w:w="644" w:type="dxa"/>
            <w:tcBorders>
              <w:top w:val="single" w:sz="4" w:space="0" w:color="auto"/>
              <w:bottom w:val="nil"/>
            </w:tcBorders>
          </w:tcPr>
          <w:p w14:paraId="20AA69D2" w14:textId="77777777" w:rsidR="00477291" w:rsidRPr="002E2AA0" w:rsidRDefault="00477291" w:rsidP="00477291">
            <w:pPr>
              <w:rPr>
                <w:rFonts w:cs="Times New Roman"/>
              </w:rPr>
            </w:pPr>
            <w:r w:rsidRPr="002E2AA0">
              <w:rPr>
                <w:rFonts w:cs="Times New Roman"/>
              </w:rPr>
              <w:t>N/A</w:t>
            </w:r>
          </w:p>
        </w:tc>
        <w:tc>
          <w:tcPr>
            <w:tcW w:w="644" w:type="dxa"/>
            <w:tcBorders>
              <w:top w:val="single" w:sz="4" w:space="0" w:color="auto"/>
              <w:bottom w:val="nil"/>
            </w:tcBorders>
          </w:tcPr>
          <w:p w14:paraId="44AA6020" w14:textId="77777777" w:rsidR="00477291" w:rsidRPr="002E2AA0" w:rsidRDefault="00477291" w:rsidP="00477291">
            <w:pPr>
              <w:rPr>
                <w:rFonts w:cs="Times New Roman"/>
              </w:rPr>
            </w:pPr>
            <w:r w:rsidRPr="002E2AA0">
              <w:rPr>
                <w:rFonts w:cs="Times New Roman"/>
              </w:rPr>
              <w:t>N/A</w:t>
            </w:r>
          </w:p>
        </w:tc>
        <w:tc>
          <w:tcPr>
            <w:tcW w:w="644" w:type="dxa"/>
            <w:tcBorders>
              <w:top w:val="single" w:sz="4" w:space="0" w:color="auto"/>
              <w:bottom w:val="nil"/>
            </w:tcBorders>
          </w:tcPr>
          <w:p w14:paraId="5736865D" w14:textId="77777777" w:rsidR="00477291" w:rsidRPr="002E2AA0" w:rsidRDefault="00477291" w:rsidP="00477291">
            <w:pPr>
              <w:rPr>
                <w:rFonts w:cs="Times New Roman"/>
              </w:rPr>
            </w:pPr>
            <w:r w:rsidRPr="002E2AA0">
              <w:rPr>
                <w:rFonts w:cs="Times New Roman"/>
              </w:rPr>
              <w:t>N/A</w:t>
            </w:r>
          </w:p>
        </w:tc>
        <w:tc>
          <w:tcPr>
            <w:tcW w:w="601" w:type="dxa"/>
            <w:tcBorders>
              <w:top w:val="single" w:sz="4" w:space="0" w:color="auto"/>
              <w:bottom w:val="nil"/>
            </w:tcBorders>
          </w:tcPr>
          <w:p w14:paraId="61CD7659" w14:textId="77777777" w:rsidR="00477291" w:rsidRPr="002E2AA0" w:rsidRDefault="00477291" w:rsidP="00477291">
            <w:pPr>
              <w:rPr>
                <w:rFonts w:cs="Times New Roman"/>
              </w:rPr>
            </w:pPr>
            <w:r w:rsidRPr="002E2AA0">
              <w:rPr>
                <w:rFonts w:cs="Times New Roman"/>
              </w:rPr>
              <w:t>2</w:t>
            </w:r>
          </w:p>
        </w:tc>
        <w:tc>
          <w:tcPr>
            <w:tcW w:w="601" w:type="dxa"/>
            <w:tcBorders>
              <w:top w:val="single" w:sz="4" w:space="0" w:color="auto"/>
              <w:bottom w:val="nil"/>
            </w:tcBorders>
          </w:tcPr>
          <w:p w14:paraId="224228FF" w14:textId="77777777" w:rsidR="00477291" w:rsidRPr="002E2AA0" w:rsidRDefault="00477291" w:rsidP="00477291">
            <w:pPr>
              <w:rPr>
                <w:rFonts w:cs="Times New Roman"/>
              </w:rPr>
            </w:pPr>
            <w:r w:rsidRPr="002E2AA0">
              <w:rPr>
                <w:rFonts w:cs="Times New Roman"/>
              </w:rPr>
              <w:t>2</w:t>
            </w:r>
          </w:p>
        </w:tc>
        <w:tc>
          <w:tcPr>
            <w:tcW w:w="644" w:type="dxa"/>
            <w:tcBorders>
              <w:top w:val="single" w:sz="4" w:space="0" w:color="auto"/>
              <w:bottom w:val="nil"/>
            </w:tcBorders>
          </w:tcPr>
          <w:p w14:paraId="5F2B915B" w14:textId="77777777" w:rsidR="00477291" w:rsidRPr="002E2AA0" w:rsidRDefault="00477291" w:rsidP="00477291">
            <w:pPr>
              <w:rPr>
                <w:rFonts w:cs="Times New Roman"/>
              </w:rPr>
            </w:pPr>
            <w:r w:rsidRPr="002E2AA0">
              <w:rPr>
                <w:rFonts w:cs="Times New Roman"/>
              </w:rPr>
              <w:t>2</w:t>
            </w:r>
          </w:p>
        </w:tc>
        <w:tc>
          <w:tcPr>
            <w:tcW w:w="644" w:type="dxa"/>
            <w:tcBorders>
              <w:top w:val="single" w:sz="4" w:space="0" w:color="auto"/>
              <w:bottom w:val="nil"/>
            </w:tcBorders>
          </w:tcPr>
          <w:p w14:paraId="25743E48" w14:textId="77777777" w:rsidR="00477291" w:rsidRPr="002E2AA0" w:rsidRDefault="00477291" w:rsidP="00477291">
            <w:pPr>
              <w:rPr>
                <w:rFonts w:cs="Times New Roman"/>
              </w:rPr>
            </w:pPr>
            <w:r w:rsidRPr="002E2AA0">
              <w:rPr>
                <w:rFonts w:cs="Times New Roman"/>
              </w:rPr>
              <w:t>2</w:t>
            </w:r>
          </w:p>
        </w:tc>
        <w:tc>
          <w:tcPr>
            <w:tcW w:w="644" w:type="dxa"/>
            <w:tcBorders>
              <w:top w:val="single" w:sz="4" w:space="0" w:color="auto"/>
              <w:bottom w:val="nil"/>
            </w:tcBorders>
          </w:tcPr>
          <w:p w14:paraId="77860B0C" w14:textId="77777777" w:rsidR="00477291" w:rsidRPr="002E2AA0" w:rsidRDefault="00477291" w:rsidP="00477291">
            <w:pPr>
              <w:rPr>
                <w:rFonts w:cs="Times New Roman"/>
              </w:rPr>
            </w:pPr>
            <w:r w:rsidRPr="002E2AA0">
              <w:rPr>
                <w:rFonts w:cs="Times New Roman"/>
              </w:rPr>
              <w:t>2</w:t>
            </w:r>
          </w:p>
        </w:tc>
        <w:tc>
          <w:tcPr>
            <w:tcW w:w="644" w:type="dxa"/>
            <w:tcBorders>
              <w:top w:val="single" w:sz="4" w:space="0" w:color="auto"/>
              <w:bottom w:val="nil"/>
            </w:tcBorders>
          </w:tcPr>
          <w:p w14:paraId="6C62C2B8" w14:textId="77777777" w:rsidR="00477291" w:rsidRPr="002E2AA0" w:rsidRDefault="00477291" w:rsidP="00477291">
            <w:pPr>
              <w:rPr>
                <w:rFonts w:cs="Times New Roman"/>
              </w:rPr>
            </w:pPr>
            <w:r w:rsidRPr="002E2AA0">
              <w:rPr>
                <w:rFonts w:cs="Times New Roman"/>
              </w:rPr>
              <w:t>2</w:t>
            </w:r>
          </w:p>
        </w:tc>
        <w:tc>
          <w:tcPr>
            <w:tcW w:w="644" w:type="dxa"/>
            <w:tcBorders>
              <w:top w:val="single" w:sz="4" w:space="0" w:color="auto"/>
              <w:bottom w:val="nil"/>
            </w:tcBorders>
          </w:tcPr>
          <w:p w14:paraId="23D4F452" w14:textId="77777777" w:rsidR="00477291" w:rsidRPr="002E2AA0" w:rsidRDefault="00477291" w:rsidP="00477291">
            <w:pPr>
              <w:rPr>
                <w:rFonts w:cs="Times New Roman"/>
              </w:rPr>
            </w:pPr>
            <w:r w:rsidRPr="002E2AA0">
              <w:rPr>
                <w:rFonts w:cs="Times New Roman"/>
              </w:rPr>
              <w:t>2</w:t>
            </w:r>
          </w:p>
        </w:tc>
        <w:tc>
          <w:tcPr>
            <w:tcW w:w="723" w:type="dxa"/>
            <w:tcBorders>
              <w:top w:val="single" w:sz="4" w:space="0" w:color="auto"/>
              <w:bottom w:val="nil"/>
            </w:tcBorders>
          </w:tcPr>
          <w:p w14:paraId="3BADC1C9" w14:textId="77777777" w:rsidR="00477291" w:rsidRPr="002E2AA0" w:rsidRDefault="00477291" w:rsidP="00477291">
            <w:pPr>
              <w:rPr>
                <w:rFonts w:cs="Times New Roman"/>
              </w:rPr>
            </w:pPr>
            <w:r w:rsidRPr="002E2AA0">
              <w:rPr>
                <w:rFonts w:cs="Times New Roman"/>
              </w:rPr>
              <w:t>22</w:t>
            </w:r>
          </w:p>
        </w:tc>
        <w:tc>
          <w:tcPr>
            <w:tcW w:w="1003" w:type="dxa"/>
            <w:tcBorders>
              <w:top w:val="single" w:sz="4" w:space="0" w:color="auto"/>
              <w:bottom w:val="nil"/>
            </w:tcBorders>
          </w:tcPr>
          <w:p w14:paraId="13F00740" w14:textId="77777777" w:rsidR="00477291" w:rsidRPr="002E2AA0" w:rsidRDefault="00477291" w:rsidP="00477291">
            <w:pPr>
              <w:rPr>
                <w:rFonts w:cs="Times New Roman"/>
              </w:rPr>
            </w:pPr>
            <w:r w:rsidRPr="002E2AA0">
              <w:rPr>
                <w:rFonts w:cs="Times New Roman"/>
              </w:rPr>
              <w:t>22</w:t>
            </w:r>
          </w:p>
        </w:tc>
        <w:tc>
          <w:tcPr>
            <w:tcW w:w="1150" w:type="dxa"/>
            <w:tcBorders>
              <w:top w:val="single" w:sz="4" w:space="0" w:color="auto"/>
              <w:bottom w:val="nil"/>
            </w:tcBorders>
          </w:tcPr>
          <w:p w14:paraId="7A52E3CF" w14:textId="77777777" w:rsidR="00477291" w:rsidRPr="002E2AA0" w:rsidRDefault="00477291" w:rsidP="00477291">
            <w:pPr>
              <w:rPr>
                <w:rFonts w:cs="Times New Roman"/>
              </w:rPr>
            </w:pPr>
            <w:r w:rsidRPr="002E2AA0">
              <w:rPr>
                <w:rFonts w:cs="Times New Roman"/>
              </w:rPr>
              <w:t>100</w:t>
            </w:r>
          </w:p>
        </w:tc>
      </w:tr>
      <w:tr w:rsidR="00477291" w:rsidRPr="002E2AA0" w14:paraId="53C54B2D" w14:textId="77777777" w:rsidTr="00477291">
        <w:trPr>
          <w:trHeight w:val="652"/>
        </w:trPr>
        <w:tc>
          <w:tcPr>
            <w:tcW w:w="1975" w:type="dxa"/>
            <w:tcBorders>
              <w:top w:val="nil"/>
              <w:bottom w:val="nil"/>
            </w:tcBorders>
          </w:tcPr>
          <w:p w14:paraId="1C247183" w14:textId="77777777" w:rsidR="00477291" w:rsidRPr="002E2AA0" w:rsidRDefault="00477291" w:rsidP="00477291">
            <w:pPr>
              <w:rPr>
                <w:rFonts w:cs="Times New Roman"/>
              </w:rPr>
            </w:pPr>
            <w:r w:rsidRPr="002E2AA0">
              <w:rPr>
                <w:rFonts w:cs="Times New Roman"/>
              </w:rPr>
              <w:t>Barendregt et al. (2018)</w:t>
            </w:r>
          </w:p>
        </w:tc>
        <w:tc>
          <w:tcPr>
            <w:tcW w:w="600" w:type="dxa"/>
            <w:tcBorders>
              <w:top w:val="nil"/>
              <w:bottom w:val="nil"/>
            </w:tcBorders>
          </w:tcPr>
          <w:p w14:paraId="3D235E18" w14:textId="77777777" w:rsidR="00477291" w:rsidRPr="002E2AA0" w:rsidRDefault="00477291" w:rsidP="00477291">
            <w:pPr>
              <w:rPr>
                <w:rFonts w:cs="Times New Roman"/>
              </w:rPr>
            </w:pPr>
            <w:r w:rsidRPr="002E2AA0">
              <w:rPr>
                <w:rFonts w:cs="Times New Roman"/>
              </w:rPr>
              <w:t>2</w:t>
            </w:r>
          </w:p>
        </w:tc>
        <w:tc>
          <w:tcPr>
            <w:tcW w:w="601" w:type="dxa"/>
            <w:tcBorders>
              <w:top w:val="nil"/>
              <w:bottom w:val="nil"/>
            </w:tcBorders>
          </w:tcPr>
          <w:p w14:paraId="10DD9EB5" w14:textId="77777777" w:rsidR="00477291" w:rsidRPr="002E2AA0" w:rsidRDefault="00477291" w:rsidP="00477291">
            <w:pPr>
              <w:rPr>
                <w:rFonts w:cs="Times New Roman"/>
              </w:rPr>
            </w:pPr>
            <w:r w:rsidRPr="002E2AA0">
              <w:rPr>
                <w:rFonts w:cs="Times New Roman"/>
              </w:rPr>
              <w:t>2</w:t>
            </w:r>
          </w:p>
        </w:tc>
        <w:tc>
          <w:tcPr>
            <w:tcW w:w="601" w:type="dxa"/>
            <w:tcBorders>
              <w:top w:val="nil"/>
              <w:bottom w:val="nil"/>
            </w:tcBorders>
          </w:tcPr>
          <w:p w14:paraId="211E2D05" w14:textId="77777777" w:rsidR="00477291" w:rsidRPr="002E2AA0" w:rsidRDefault="00477291" w:rsidP="00477291">
            <w:pPr>
              <w:rPr>
                <w:rFonts w:cs="Times New Roman"/>
              </w:rPr>
            </w:pPr>
            <w:r w:rsidRPr="002E2AA0">
              <w:rPr>
                <w:rFonts w:cs="Times New Roman"/>
              </w:rPr>
              <w:t>2</w:t>
            </w:r>
          </w:p>
        </w:tc>
        <w:tc>
          <w:tcPr>
            <w:tcW w:w="601" w:type="dxa"/>
            <w:tcBorders>
              <w:top w:val="nil"/>
              <w:bottom w:val="nil"/>
            </w:tcBorders>
          </w:tcPr>
          <w:p w14:paraId="1DB1D330" w14:textId="77777777" w:rsidR="00477291" w:rsidRPr="002E2AA0" w:rsidRDefault="00477291" w:rsidP="00477291">
            <w:pPr>
              <w:rPr>
                <w:rFonts w:cs="Times New Roman"/>
              </w:rPr>
            </w:pPr>
            <w:r w:rsidRPr="002E2AA0">
              <w:rPr>
                <w:rFonts w:cs="Times New Roman"/>
              </w:rPr>
              <w:t>2</w:t>
            </w:r>
          </w:p>
        </w:tc>
        <w:tc>
          <w:tcPr>
            <w:tcW w:w="644" w:type="dxa"/>
            <w:tcBorders>
              <w:top w:val="nil"/>
              <w:bottom w:val="nil"/>
            </w:tcBorders>
          </w:tcPr>
          <w:p w14:paraId="49FF9F05" w14:textId="77777777" w:rsidR="00477291" w:rsidRPr="002E2AA0" w:rsidRDefault="00477291" w:rsidP="00477291">
            <w:pPr>
              <w:rPr>
                <w:rFonts w:cs="Times New Roman"/>
              </w:rPr>
            </w:pPr>
            <w:r w:rsidRPr="002E2AA0">
              <w:rPr>
                <w:rFonts w:cs="Times New Roman"/>
              </w:rPr>
              <w:t>N/A</w:t>
            </w:r>
          </w:p>
        </w:tc>
        <w:tc>
          <w:tcPr>
            <w:tcW w:w="644" w:type="dxa"/>
            <w:tcBorders>
              <w:top w:val="nil"/>
              <w:bottom w:val="nil"/>
            </w:tcBorders>
          </w:tcPr>
          <w:p w14:paraId="6E8460B3" w14:textId="77777777" w:rsidR="00477291" w:rsidRPr="002E2AA0" w:rsidRDefault="00477291" w:rsidP="00477291">
            <w:pPr>
              <w:rPr>
                <w:rFonts w:cs="Times New Roman"/>
              </w:rPr>
            </w:pPr>
            <w:r w:rsidRPr="002E2AA0">
              <w:rPr>
                <w:rFonts w:cs="Times New Roman"/>
              </w:rPr>
              <w:t>N/A</w:t>
            </w:r>
          </w:p>
        </w:tc>
        <w:tc>
          <w:tcPr>
            <w:tcW w:w="644" w:type="dxa"/>
            <w:tcBorders>
              <w:top w:val="nil"/>
              <w:bottom w:val="nil"/>
            </w:tcBorders>
          </w:tcPr>
          <w:p w14:paraId="677EA3B8" w14:textId="77777777" w:rsidR="00477291" w:rsidRPr="002E2AA0" w:rsidRDefault="00477291" w:rsidP="00477291">
            <w:pPr>
              <w:rPr>
                <w:rFonts w:cs="Times New Roman"/>
              </w:rPr>
            </w:pPr>
            <w:r w:rsidRPr="002E2AA0">
              <w:rPr>
                <w:rFonts w:cs="Times New Roman"/>
              </w:rPr>
              <w:t>N/A</w:t>
            </w:r>
          </w:p>
        </w:tc>
        <w:tc>
          <w:tcPr>
            <w:tcW w:w="601" w:type="dxa"/>
            <w:tcBorders>
              <w:top w:val="nil"/>
              <w:bottom w:val="nil"/>
            </w:tcBorders>
          </w:tcPr>
          <w:p w14:paraId="005BAAE1" w14:textId="77777777" w:rsidR="00477291" w:rsidRPr="002E2AA0" w:rsidRDefault="00477291" w:rsidP="00477291">
            <w:pPr>
              <w:rPr>
                <w:rFonts w:cs="Times New Roman"/>
              </w:rPr>
            </w:pPr>
            <w:r w:rsidRPr="002E2AA0">
              <w:rPr>
                <w:rFonts w:cs="Times New Roman"/>
              </w:rPr>
              <w:t>2</w:t>
            </w:r>
          </w:p>
        </w:tc>
        <w:tc>
          <w:tcPr>
            <w:tcW w:w="601" w:type="dxa"/>
            <w:tcBorders>
              <w:top w:val="nil"/>
              <w:bottom w:val="nil"/>
            </w:tcBorders>
          </w:tcPr>
          <w:p w14:paraId="57B735D4" w14:textId="77777777" w:rsidR="00477291" w:rsidRPr="002E2AA0" w:rsidRDefault="00477291" w:rsidP="00477291">
            <w:pPr>
              <w:rPr>
                <w:rFonts w:cs="Times New Roman"/>
              </w:rPr>
            </w:pPr>
            <w:r w:rsidRPr="002E2AA0">
              <w:rPr>
                <w:rFonts w:cs="Times New Roman"/>
              </w:rPr>
              <w:t>2</w:t>
            </w:r>
          </w:p>
        </w:tc>
        <w:tc>
          <w:tcPr>
            <w:tcW w:w="644" w:type="dxa"/>
            <w:tcBorders>
              <w:top w:val="nil"/>
              <w:bottom w:val="nil"/>
            </w:tcBorders>
          </w:tcPr>
          <w:p w14:paraId="2A98F9C8" w14:textId="77777777" w:rsidR="00477291" w:rsidRPr="002E2AA0" w:rsidRDefault="00477291" w:rsidP="00477291">
            <w:pPr>
              <w:rPr>
                <w:rFonts w:cs="Times New Roman"/>
              </w:rPr>
            </w:pPr>
            <w:r w:rsidRPr="002E2AA0">
              <w:rPr>
                <w:rFonts w:cs="Times New Roman"/>
              </w:rPr>
              <w:t>2</w:t>
            </w:r>
          </w:p>
        </w:tc>
        <w:tc>
          <w:tcPr>
            <w:tcW w:w="644" w:type="dxa"/>
            <w:tcBorders>
              <w:top w:val="nil"/>
              <w:bottom w:val="nil"/>
            </w:tcBorders>
          </w:tcPr>
          <w:p w14:paraId="49B347DF" w14:textId="77777777" w:rsidR="00477291" w:rsidRPr="002E2AA0" w:rsidRDefault="00477291" w:rsidP="00477291">
            <w:pPr>
              <w:rPr>
                <w:rFonts w:cs="Times New Roman"/>
              </w:rPr>
            </w:pPr>
            <w:r w:rsidRPr="002E2AA0">
              <w:rPr>
                <w:rFonts w:cs="Times New Roman"/>
              </w:rPr>
              <w:t>2</w:t>
            </w:r>
          </w:p>
        </w:tc>
        <w:tc>
          <w:tcPr>
            <w:tcW w:w="644" w:type="dxa"/>
            <w:tcBorders>
              <w:top w:val="nil"/>
              <w:bottom w:val="nil"/>
            </w:tcBorders>
          </w:tcPr>
          <w:p w14:paraId="7DD90429" w14:textId="77777777" w:rsidR="00477291" w:rsidRPr="002E2AA0" w:rsidRDefault="00477291" w:rsidP="00477291">
            <w:pPr>
              <w:rPr>
                <w:rFonts w:cs="Times New Roman"/>
              </w:rPr>
            </w:pPr>
            <w:r w:rsidRPr="002E2AA0">
              <w:rPr>
                <w:rFonts w:cs="Times New Roman"/>
              </w:rPr>
              <w:t>1</w:t>
            </w:r>
          </w:p>
        </w:tc>
        <w:tc>
          <w:tcPr>
            <w:tcW w:w="644" w:type="dxa"/>
            <w:tcBorders>
              <w:top w:val="nil"/>
              <w:bottom w:val="nil"/>
            </w:tcBorders>
          </w:tcPr>
          <w:p w14:paraId="0981840C" w14:textId="77777777" w:rsidR="00477291" w:rsidRPr="002E2AA0" w:rsidRDefault="00477291" w:rsidP="00477291">
            <w:pPr>
              <w:rPr>
                <w:rFonts w:cs="Times New Roman"/>
              </w:rPr>
            </w:pPr>
            <w:r w:rsidRPr="002E2AA0">
              <w:rPr>
                <w:rFonts w:cs="Times New Roman"/>
              </w:rPr>
              <w:t>2</w:t>
            </w:r>
          </w:p>
        </w:tc>
        <w:tc>
          <w:tcPr>
            <w:tcW w:w="644" w:type="dxa"/>
            <w:tcBorders>
              <w:top w:val="nil"/>
              <w:bottom w:val="nil"/>
            </w:tcBorders>
          </w:tcPr>
          <w:p w14:paraId="48B36A3E" w14:textId="77777777" w:rsidR="00477291" w:rsidRPr="002E2AA0" w:rsidRDefault="00477291" w:rsidP="00477291">
            <w:pPr>
              <w:rPr>
                <w:rFonts w:cs="Times New Roman"/>
              </w:rPr>
            </w:pPr>
            <w:r w:rsidRPr="002E2AA0">
              <w:rPr>
                <w:rFonts w:cs="Times New Roman"/>
              </w:rPr>
              <w:t>2</w:t>
            </w:r>
          </w:p>
        </w:tc>
        <w:tc>
          <w:tcPr>
            <w:tcW w:w="723" w:type="dxa"/>
            <w:tcBorders>
              <w:top w:val="nil"/>
              <w:bottom w:val="nil"/>
            </w:tcBorders>
          </w:tcPr>
          <w:p w14:paraId="25FFBAF8" w14:textId="77777777" w:rsidR="00477291" w:rsidRPr="002E2AA0" w:rsidRDefault="00477291" w:rsidP="00477291">
            <w:pPr>
              <w:rPr>
                <w:rFonts w:cs="Times New Roman"/>
              </w:rPr>
            </w:pPr>
            <w:r w:rsidRPr="002E2AA0">
              <w:rPr>
                <w:rFonts w:cs="Times New Roman"/>
              </w:rPr>
              <w:t>21</w:t>
            </w:r>
          </w:p>
        </w:tc>
        <w:tc>
          <w:tcPr>
            <w:tcW w:w="1003" w:type="dxa"/>
            <w:tcBorders>
              <w:top w:val="nil"/>
              <w:bottom w:val="nil"/>
            </w:tcBorders>
          </w:tcPr>
          <w:p w14:paraId="5EB48BE4" w14:textId="77777777" w:rsidR="00477291" w:rsidRPr="002E2AA0" w:rsidRDefault="00477291" w:rsidP="00477291">
            <w:pPr>
              <w:rPr>
                <w:rFonts w:cs="Times New Roman"/>
              </w:rPr>
            </w:pPr>
            <w:r w:rsidRPr="002E2AA0">
              <w:rPr>
                <w:rFonts w:cs="Times New Roman"/>
              </w:rPr>
              <w:t>22</w:t>
            </w:r>
          </w:p>
        </w:tc>
        <w:tc>
          <w:tcPr>
            <w:tcW w:w="1150" w:type="dxa"/>
            <w:tcBorders>
              <w:top w:val="nil"/>
              <w:bottom w:val="nil"/>
            </w:tcBorders>
          </w:tcPr>
          <w:p w14:paraId="4F6794D3" w14:textId="77777777" w:rsidR="00477291" w:rsidRPr="002E2AA0" w:rsidRDefault="00477291" w:rsidP="00477291">
            <w:pPr>
              <w:rPr>
                <w:rFonts w:cs="Times New Roman"/>
              </w:rPr>
            </w:pPr>
            <w:r w:rsidRPr="002E2AA0">
              <w:rPr>
                <w:rFonts w:cs="Times New Roman"/>
              </w:rPr>
              <w:t>95.45</w:t>
            </w:r>
          </w:p>
        </w:tc>
      </w:tr>
      <w:tr w:rsidR="008B3973" w:rsidRPr="002E2AA0" w14:paraId="6CC377B7" w14:textId="77777777" w:rsidTr="0048711C">
        <w:trPr>
          <w:trHeight w:val="652"/>
        </w:trPr>
        <w:tc>
          <w:tcPr>
            <w:tcW w:w="1975" w:type="dxa"/>
            <w:tcBorders>
              <w:top w:val="nil"/>
              <w:bottom w:val="nil"/>
            </w:tcBorders>
          </w:tcPr>
          <w:p w14:paraId="52E1E619" w14:textId="77777777" w:rsidR="008B3973" w:rsidRPr="002E2AA0" w:rsidRDefault="008B3973" w:rsidP="008B3973">
            <w:pPr>
              <w:rPr>
                <w:rFonts w:cs="Times New Roman"/>
              </w:rPr>
            </w:pPr>
            <w:r w:rsidRPr="002E2AA0">
              <w:rPr>
                <w:rFonts w:cs="Times New Roman"/>
              </w:rPr>
              <w:t>Barnett et al. (2014)</w:t>
            </w:r>
          </w:p>
        </w:tc>
        <w:tc>
          <w:tcPr>
            <w:tcW w:w="600" w:type="dxa"/>
            <w:tcBorders>
              <w:top w:val="nil"/>
              <w:bottom w:val="nil"/>
            </w:tcBorders>
          </w:tcPr>
          <w:p w14:paraId="3F452460"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5A9141CD"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119647E4"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4D50B751"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2C956ED3"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7BC96AAB"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790E100A"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2B8A3B75"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7117B9AA"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363A9782"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0D32DAC"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408BD1FD"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4F039AB9"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85378E8"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155243FC" w14:textId="77777777" w:rsidR="008B3973" w:rsidRPr="002E2AA0" w:rsidRDefault="008B3973" w:rsidP="008B3973">
            <w:pPr>
              <w:rPr>
                <w:rFonts w:cs="Times New Roman"/>
              </w:rPr>
            </w:pPr>
            <w:r w:rsidRPr="002E2AA0">
              <w:rPr>
                <w:rFonts w:cs="Times New Roman"/>
              </w:rPr>
              <w:t>19</w:t>
            </w:r>
          </w:p>
        </w:tc>
        <w:tc>
          <w:tcPr>
            <w:tcW w:w="1003" w:type="dxa"/>
            <w:tcBorders>
              <w:top w:val="nil"/>
              <w:bottom w:val="nil"/>
            </w:tcBorders>
          </w:tcPr>
          <w:p w14:paraId="1006DD03"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725973FC" w14:textId="77777777" w:rsidR="008B3973" w:rsidRPr="002E2AA0" w:rsidRDefault="008B3973" w:rsidP="008B3973">
            <w:pPr>
              <w:rPr>
                <w:rFonts w:cs="Times New Roman"/>
              </w:rPr>
            </w:pPr>
            <w:r w:rsidRPr="002E2AA0">
              <w:rPr>
                <w:rFonts w:cs="Times New Roman"/>
              </w:rPr>
              <w:t>86.36</w:t>
            </w:r>
          </w:p>
        </w:tc>
      </w:tr>
      <w:tr w:rsidR="008B3973" w:rsidRPr="002E2AA0" w14:paraId="4A6278A9" w14:textId="77777777" w:rsidTr="00973AE9">
        <w:trPr>
          <w:trHeight w:val="652"/>
        </w:trPr>
        <w:tc>
          <w:tcPr>
            <w:tcW w:w="1975" w:type="dxa"/>
            <w:tcBorders>
              <w:top w:val="nil"/>
              <w:bottom w:val="nil"/>
            </w:tcBorders>
          </w:tcPr>
          <w:p w14:paraId="21D49A59" w14:textId="77777777" w:rsidR="008B3973" w:rsidRPr="002E2AA0" w:rsidRDefault="008B3973" w:rsidP="008B3973">
            <w:pPr>
              <w:rPr>
                <w:rFonts w:cs="Times New Roman"/>
              </w:rPr>
            </w:pPr>
            <w:r w:rsidRPr="002E2AA0">
              <w:rPr>
                <w:rFonts w:cs="Times New Roman"/>
              </w:rPr>
              <w:t>Barnett &amp; Wood (2008)*</w:t>
            </w:r>
          </w:p>
        </w:tc>
        <w:tc>
          <w:tcPr>
            <w:tcW w:w="600" w:type="dxa"/>
            <w:tcBorders>
              <w:top w:val="nil"/>
              <w:bottom w:val="nil"/>
            </w:tcBorders>
          </w:tcPr>
          <w:p w14:paraId="74320D57"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3F36A79C"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2EC8DFD1"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6B3F2E17"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71D80809"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07B93FD4"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68D2538C"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67DC1027"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0649066"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2D043F92"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17078575"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16978AF6"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4EBAAE59"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6ABF61E6"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4B1B9F07" w14:textId="77777777" w:rsidR="008B3973" w:rsidRPr="002E2AA0" w:rsidRDefault="008B3973" w:rsidP="008B3973">
            <w:pPr>
              <w:rPr>
                <w:rFonts w:cs="Times New Roman"/>
              </w:rPr>
            </w:pPr>
            <w:r w:rsidRPr="002E2AA0">
              <w:rPr>
                <w:rFonts w:cs="Times New Roman"/>
              </w:rPr>
              <w:t>20</w:t>
            </w:r>
          </w:p>
        </w:tc>
        <w:tc>
          <w:tcPr>
            <w:tcW w:w="1003" w:type="dxa"/>
            <w:tcBorders>
              <w:top w:val="nil"/>
              <w:bottom w:val="nil"/>
            </w:tcBorders>
          </w:tcPr>
          <w:p w14:paraId="7DB0ADA6"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7E02BEE6" w14:textId="77777777" w:rsidR="008B3973" w:rsidRPr="002E2AA0" w:rsidRDefault="008B3973" w:rsidP="008B3973">
            <w:pPr>
              <w:rPr>
                <w:rFonts w:cs="Times New Roman"/>
              </w:rPr>
            </w:pPr>
            <w:r w:rsidRPr="002E2AA0">
              <w:rPr>
                <w:rFonts w:cs="Times New Roman"/>
              </w:rPr>
              <w:t>90.91</w:t>
            </w:r>
          </w:p>
        </w:tc>
      </w:tr>
      <w:tr w:rsidR="008B3973" w:rsidRPr="002E2AA0" w14:paraId="680590EC" w14:textId="77777777" w:rsidTr="00477291">
        <w:trPr>
          <w:trHeight w:val="652"/>
        </w:trPr>
        <w:tc>
          <w:tcPr>
            <w:tcW w:w="1975" w:type="dxa"/>
            <w:tcBorders>
              <w:top w:val="nil"/>
              <w:bottom w:val="nil"/>
            </w:tcBorders>
          </w:tcPr>
          <w:p w14:paraId="3EBBD605" w14:textId="77777777" w:rsidR="008B3973" w:rsidRPr="002E2AA0" w:rsidRDefault="008B3973" w:rsidP="008B3973">
            <w:pPr>
              <w:rPr>
                <w:rFonts w:cs="Times New Roman"/>
              </w:rPr>
            </w:pPr>
            <w:r w:rsidRPr="002E2AA0">
              <w:rPr>
                <w:rFonts w:cs="Times New Roman"/>
              </w:rPr>
              <w:t>Bouman et al. (2009)</w:t>
            </w:r>
          </w:p>
        </w:tc>
        <w:tc>
          <w:tcPr>
            <w:tcW w:w="600" w:type="dxa"/>
            <w:tcBorders>
              <w:top w:val="nil"/>
              <w:bottom w:val="nil"/>
            </w:tcBorders>
          </w:tcPr>
          <w:p w14:paraId="470E4380"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9405C7F"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5292332"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1637EB57"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7A4C2897"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56BE2DB4"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58EC2E2D"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77B461BD"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5E16975B"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23B9561A"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1828E755"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743F7115"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40E21E3A"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3DAE6A9E"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673CF72D" w14:textId="77777777" w:rsidR="008B3973" w:rsidRPr="002E2AA0" w:rsidRDefault="008B3973" w:rsidP="008B3973">
            <w:pPr>
              <w:rPr>
                <w:rFonts w:cs="Times New Roman"/>
              </w:rPr>
            </w:pPr>
            <w:r w:rsidRPr="002E2AA0">
              <w:rPr>
                <w:rFonts w:cs="Times New Roman"/>
              </w:rPr>
              <w:t>22</w:t>
            </w:r>
          </w:p>
        </w:tc>
        <w:tc>
          <w:tcPr>
            <w:tcW w:w="1003" w:type="dxa"/>
            <w:tcBorders>
              <w:top w:val="nil"/>
              <w:bottom w:val="nil"/>
            </w:tcBorders>
          </w:tcPr>
          <w:p w14:paraId="28E37A00"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39CC271F" w14:textId="77777777" w:rsidR="008B3973" w:rsidRPr="002E2AA0" w:rsidRDefault="008B3973" w:rsidP="008B3973">
            <w:pPr>
              <w:rPr>
                <w:rFonts w:cs="Times New Roman"/>
              </w:rPr>
            </w:pPr>
            <w:r w:rsidRPr="002E2AA0">
              <w:rPr>
                <w:rFonts w:cs="Times New Roman"/>
              </w:rPr>
              <w:t>100</w:t>
            </w:r>
          </w:p>
        </w:tc>
      </w:tr>
      <w:tr w:rsidR="008B3973" w:rsidRPr="002E2AA0" w14:paraId="0298FCA0" w14:textId="77777777" w:rsidTr="00477291">
        <w:trPr>
          <w:trHeight w:val="652"/>
        </w:trPr>
        <w:tc>
          <w:tcPr>
            <w:tcW w:w="1975" w:type="dxa"/>
            <w:tcBorders>
              <w:top w:val="nil"/>
              <w:bottom w:val="nil"/>
            </w:tcBorders>
          </w:tcPr>
          <w:p w14:paraId="3895A492" w14:textId="77777777" w:rsidR="008B3973" w:rsidRPr="002E2AA0" w:rsidRDefault="008B3973" w:rsidP="008B3973">
            <w:pPr>
              <w:rPr>
                <w:rFonts w:cs="Times New Roman"/>
              </w:rPr>
            </w:pPr>
            <w:r w:rsidRPr="002E2AA0">
              <w:rPr>
                <w:rFonts w:cs="Times New Roman"/>
              </w:rPr>
              <w:t>Chu et al. (2015)</w:t>
            </w:r>
          </w:p>
        </w:tc>
        <w:tc>
          <w:tcPr>
            <w:tcW w:w="600" w:type="dxa"/>
            <w:tcBorders>
              <w:top w:val="nil"/>
              <w:bottom w:val="nil"/>
            </w:tcBorders>
          </w:tcPr>
          <w:p w14:paraId="5FD75206"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627299FA"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6189F7F1"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4F9B684"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7ADB90E2"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54523160"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703D12B4"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720373A1"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977EB97"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895BC52"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3668609" w14:textId="77777777" w:rsidR="008B3973" w:rsidRPr="002E2AA0" w:rsidRDefault="008B3973" w:rsidP="008B3973">
            <w:pPr>
              <w:rPr>
                <w:rFonts w:cs="Times New Roman"/>
              </w:rPr>
            </w:pPr>
            <w:r w:rsidRPr="002E2AA0">
              <w:rPr>
                <w:rFonts w:cs="Times New Roman"/>
              </w:rPr>
              <w:t>0</w:t>
            </w:r>
          </w:p>
        </w:tc>
        <w:tc>
          <w:tcPr>
            <w:tcW w:w="644" w:type="dxa"/>
            <w:tcBorders>
              <w:top w:val="nil"/>
              <w:bottom w:val="nil"/>
            </w:tcBorders>
          </w:tcPr>
          <w:p w14:paraId="0F30BE7F"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5C08BC97"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637DE5F"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385AC378" w14:textId="77777777" w:rsidR="008B3973" w:rsidRPr="002E2AA0" w:rsidRDefault="008B3973" w:rsidP="008B3973">
            <w:pPr>
              <w:rPr>
                <w:rFonts w:cs="Times New Roman"/>
              </w:rPr>
            </w:pPr>
            <w:r w:rsidRPr="002E2AA0">
              <w:rPr>
                <w:rFonts w:cs="Times New Roman"/>
              </w:rPr>
              <w:t>19</w:t>
            </w:r>
          </w:p>
        </w:tc>
        <w:tc>
          <w:tcPr>
            <w:tcW w:w="1003" w:type="dxa"/>
            <w:tcBorders>
              <w:top w:val="nil"/>
              <w:bottom w:val="nil"/>
            </w:tcBorders>
          </w:tcPr>
          <w:p w14:paraId="0D09AE16"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47682D27" w14:textId="77777777" w:rsidR="008B3973" w:rsidRPr="002E2AA0" w:rsidRDefault="008B3973" w:rsidP="008B3973">
            <w:pPr>
              <w:rPr>
                <w:rFonts w:cs="Times New Roman"/>
              </w:rPr>
            </w:pPr>
            <w:r w:rsidRPr="002E2AA0">
              <w:rPr>
                <w:rFonts w:cs="Times New Roman"/>
              </w:rPr>
              <w:t>86.36</w:t>
            </w:r>
          </w:p>
        </w:tc>
      </w:tr>
      <w:tr w:rsidR="008B3973" w:rsidRPr="002E2AA0" w14:paraId="7225AE28" w14:textId="77777777" w:rsidTr="0048711C">
        <w:trPr>
          <w:trHeight w:val="652"/>
        </w:trPr>
        <w:tc>
          <w:tcPr>
            <w:tcW w:w="1975" w:type="dxa"/>
            <w:tcBorders>
              <w:top w:val="nil"/>
              <w:bottom w:val="nil"/>
            </w:tcBorders>
          </w:tcPr>
          <w:p w14:paraId="4220363B" w14:textId="77777777" w:rsidR="008B3973" w:rsidRPr="002E2AA0" w:rsidRDefault="008B3973" w:rsidP="008B3973">
            <w:pPr>
              <w:rPr>
                <w:rFonts w:cs="Times New Roman"/>
              </w:rPr>
            </w:pPr>
            <w:r w:rsidRPr="002E2AA0">
              <w:rPr>
                <w:rFonts w:cs="Times New Roman"/>
              </w:rPr>
              <w:t>Harkins et al. (2012)*</w:t>
            </w:r>
          </w:p>
        </w:tc>
        <w:tc>
          <w:tcPr>
            <w:tcW w:w="600" w:type="dxa"/>
            <w:tcBorders>
              <w:top w:val="nil"/>
              <w:bottom w:val="nil"/>
            </w:tcBorders>
          </w:tcPr>
          <w:p w14:paraId="68CD4070"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252DF2B7"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6EC50AC7"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183B6C42"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3AB4CC1C"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4507277D"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3E82ADAB"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364D48FF"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4DF62A3D"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77BF4A90"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09C5F71" w14:textId="77777777" w:rsidR="008B3973" w:rsidRPr="002E2AA0" w:rsidRDefault="008B3973" w:rsidP="008B3973">
            <w:pPr>
              <w:rPr>
                <w:rFonts w:cs="Times New Roman"/>
              </w:rPr>
            </w:pPr>
            <w:r w:rsidRPr="002E2AA0">
              <w:rPr>
                <w:rFonts w:cs="Times New Roman"/>
              </w:rPr>
              <w:t>0</w:t>
            </w:r>
          </w:p>
        </w:tc>
        <w:tc>
          <w:tcPr>
            <w:tcW w:w="644" w:type="dxa"/>
            <w:tcBorders>
              <w:top w:val="nil"/>
              <w:bottom w:val="nil"/>
            </w:tcBorders>
          </w:tcPr>
          <w:p w14:paraId="0A061F89"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27F48810" w14:textId="77777777" w:rsidR="008B3973" w:rsidRPr="002E2AA0" w:rsidRDefault="008B3973" w:rsidP="008B3973">
            <w:pPr>
              <w:rPr>
                <w:rFonts w:cs="Times New Roman"/>
              </w:rPr>
            </w:pPr>
            <w:r w:rsidRPr="002E2AA0">
              <w:rPr>
                <w:rFonts w:cs="Times New Roman"/>
              </w:rPr>
              <w:t>0</w:t>
            </w:r>
          </w:p>
        </w:tc>
        <w:tc>
          <w:tcPr>
            <w:tcW w:w="644" w:type="dxa"/>
            <w:tcBorders>
              <w:top w:val="nil"/>
              <w:bottom w:val="nil"/>
            </w:tcBorders>
          </w:tcPr>
          <w:p w14:paraId="6B14A31E"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11C29B2B" w14:textId="77777777" w:rsidR="008B3973" w:rsidRPr="002E2AA0" w:rsidRDefault="008B3973" w:rsidP="008B3973">
            <w:pPr>
              <w:rPr>
                <w:rFonts w:cs="Times New Roman"/>
              </w:rPr>
            </w:pPr>
            <w:r w:rsidRPr="002E2AA0">
              <w:rPr>
                <w:rFonts w:cs="Times New Roman"/>
              </w:rPr>
              <w:t>16</w:t>
            </w:r>
          </w:p>
        </w:tc>
        <w:tc>
          <w:tcPr>
            <w:tcW w:w="1003" w:type="dxa"/>
            <w:tcBorders>
              <w:top w:val="nil"/>
              <w:bottom w:val="nil"/>
            </w:tcBorders>
          </w:tcPr>
          <w:p w14:paraId="71C773A5"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0BAC7589" w14:textId="77777777" w:rsidR="008B3973" w:rsidRPr="002E2AA0" w:rsidRDefault="008B3973" w:rsidP="008B3973">
            <w:pPr>
              <w:rPr>
                <w:rFonts w:cs="Times New Roman"/>
              </w:rPr>
            </w:pPr>
            <w:r w:rsidRPr="002E2AA0">
              <w:rPr>
                <w:rFonts w:cs="Times New Roman"/>
              </w:rPr>
              <w:t>72.73</w:t>
            </w:r>
          </w:p>
        </w:tc>
      </w:tr>
      <w:tr w:rsidR="008B3973" w:rsidRPr="002E2AA0" w14:paraId="1413A050" w14:textId="77777777" w:rsidTr="00973AE9">
        <w:trPr>
          <w:trHeight w:val="652"/>
        </w:trPr>
        <w:tc>
          <w:tcPr>
            <w:tcW w:w="1975" w:type="dxa"/>
            <w:tcBorders>
              <w:top w:val="nil"/>
              <w:bottom w:val="nil"/>
            </w:tcBorders>
          </w:tcPr>
          <w:p w14:paraId="2A9726E0" w14:textId="77777777" w:rsidR="008B3973" w:rsidRPr="002E2AA0" w:rsidRDefault="008B3973" w:rsidP="008B3973">
            <w:pPr>
              <w:rPr>
                <w:rFonts w:cs="Times New Roman"/>
              </w:rPr>
            </w:pPr>
            <w:r w:rsidRPr="002E2AA0">
              <w:rPr>
                <w:rFonts w:cs="Times New Roman"/>
              </w:rPr>
              <w:t>Loney &amp; Harkins (2018)</w:t>
            </w:r>
          </w:p>
        </w:tc>
        <w:tc>
          <w:tcPr>
            <w:tcW w:w="600" w:type="dxa"/>
            <w:tcBorders>
              <w:top w:val="nil"/>
              <w:bottom w:val="nil"/>
            </w:tcBorders>
          </w:tcPr>
          <w:p w14:paraId="03BB1A0C"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3BE2FA74"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DAF018C"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DDAFD54"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25352C1A"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03E997D9"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33730E5D"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5FFAD7E8"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3539BC1E"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2F2A6C4"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31F454D7"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5679953"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7271A7C4"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D3E0743"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1FA94EF6" w14:textId="77777777" w:rsidR="008B3973" w:rsidRPr="002E2AA0" w:rsidRDefault="008B3973" w:rsidP="008B3973">
            <w:pPr>
              <w:rPr>
                <w:rFonts w:cs="Times New Roman"/>
              </w:rPr>
            </w:pPr>
            <w:r w:rsidRPr="002E2AA0">
              <w:rPr>
                <w:rFonts w:cs="Times New Roman"/>
              </w:rPr>
              <w:t>21</w:t>
            </w:r>
          </w:p>
        </w:tc>
        <w:tc>
          <w:tcPr>
            <w:tcW w:w="1003" w:type="dxa"/>
            <w:tcBorders>
              <w:top w:val="nil"/>
              <w:bottom w:val="nil"/>
            </w:tcBorders>
          </w:tcPr>
          <w:p w14:paraId="3D4700FE"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67FDF101" w14:textId="77777777" w:rsidR="008B3973" w:rsidRPr="002E2AA0" w:rsidRDefault="008B3973" w:rsidP="008B3973">
            <w:pPr>
              <w:rPr>
                <w:rFonts w:cs="Times New Roman"/>
              </w:rPr>
            </w:pPr>
            <w:r w:rsidRPr="002E2AA0">
              <w:rPr>
                <w:rFonts w:cs="Times New Roman"/>
              </w:rPr>
              <w:t>95.45</w:t>
            </w:r>
          </w:p>
        </w:tc>
      </w:tr>
      <w:tr w:rsidR="008B3973" w:rsidRPr="002E2AA0" w14:paraId="2FBA4CDD" w14:textId="77777777" w:rsidTr="00973AE9">
        <w:trPr>
          <w:trHeight w:val="652"/>
        </w:trPr>
        <w:tc>
          <w:tcPr>
            <w:tcW w:w="1975" w:type="dxa"/>
            <w:tcBorders>
              <w:top w:val="nil"/>
              <w:bottom w:val="nil"/>
            </w:tcBorders>
          </w:tcPr>
          <w:p w14:paraId="4FF9D495" w14:textId="77777777" w:rsidR="008B3973" w:rsidRPr="002E2AA0" w:rsidRDefault="008B3973" w:rsidP="008B3973">
            <w:pPr>
              <w:rPr>
                <w:rFonts w:cs="Times New Roman"/>
              </w:rPr>
            </w:pPr>
            <w:r w:rsidRPr="002E2AA0">
              <w:rPr>
                <w:rFonts w:cs="Times New Roman"/>
              </w:rPr>
              <w:t>Mann et al. (2004)</w:t>
            </w:r>
          </w:p>
        </w:tc>
        <w:tc>
          <w:tcPr>
            <w:tcW w:w="600" w:type="dxa"/>
            <w:tcBorders>
              <w:top w:val="nil"/>
              <w:bottom w:val="nil"/>
            </w:tcBorders>
          </w:tcPr>
          <w:p w14:paraId="3E5D48D2"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1BBF8153"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1CD1093F" w14:textId="77777777" w:rsidR="008B3973" w:rsidRPr="002E2AA0" w:rsidRDefault="008B3973" w:rsidP="008B3973">
            <w:pPr>
              <w:rPr>
                <w:rFonts w:cs="Times New Roman"/>
              </w:rPr>
            </w:pPr>
            <w:r w:rsidRPr="002E2AA0">
              <w:rPr>
                <w:rFonts w:cs="Times New Roman"/>
              </w:rPr>
              <w:t>1</w:t>
            </w:r>
          </w:p>
        </w:tc>
        <w:tc>
          <w:tcPr>
            <w:tcW w:w="601" w:type="dxa"/>
            <w:tcBorders>
              <w:top w:val="nil"/>
              <w:bottom w:val="nil"/>
            </w:tcBorders>
          </w:tcPr>
          <w:p w14:paraId="1A5C834A" w14:textId="77777777" w:rsidR="008B3973" w:rsidRPr="002E2AA0" w:rsidRDefault="008B3973" w:rsidP="008B3973">
            <w:pPr>
              <w:rPr>
                <w:rFonts w:cs="Times New Roman"/>
              </w:rPr>
            </w:pPr>
            <w:r w:rsidRPr="002E2AA0">
              <w:rPr>
                <w:rFonts w:cs="Times New Roman"/>
              </w:rPr>
              <w:t>0</w:t>
            </w:r>
          </w:p>
        </w:tc>
        <w:tc>
          <w:tcPr>
            <w:tcW w:w="644" w:type="dxa"/>
            <w:tcBorders>
              <w:top w:val="nil"/>
              <w:bottom w:val="nil"/>
            </w:tcBorders>
          </w:tcPr>
          <w:p w14:paraId="6A2579B5"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3ABB0E10" w14:textId="77777777" w:rsidR="008B3973" w:rsidRPr="002E2AA0" w:rsidRDefault="008B3973" w:rsidP="008B3973">
            <w:pPr>
              <w:rPr>
                <w:rFonts w:cs="Times New Roman"/>
              </w:rPr>
            </w:pPr>
            <w:r w:rsidRPr="002E2AA0">
              <w:rPr>
                <w:rFonts w:cs="Times New Roman"/>
              </w:rPr>
              <w:t>0</w:t>
            </w:r>
          </w:p>
        </w:tc>
        <w:tc>
          <w:tcPr>
            <w:tcW w:w="644" w:type="dxa"/>
            <w:tcBorders>
              <w:top w:val="nil"/>
              <w:bottom w:val="nil"/>
            </w:tcBorders>
          </w:tcPr>
          <w:p w14:paraId="35175893" w14:textId="77777777" w:rsidR="008B3973" w:rsidRPr="002E2AA0" w:rsidRDefault="008B3973" w:rsidP="008B3973">
            <w:pPr>
              <w:rPr>
                <w:rFonts w:cs="Times New Roman"/>
              </w:rPr>
            </w:pPr>
            <w:r w:rsidRPr="002E2AA0">
              <w:rPr>
                <w:rFonts w:cs="Times New Roman"/>
              </w:rPr>
              <w:t>0</w:t>
            </w:r>
          </w:p>
        </w:tc>
        <w:tc>
          <w:tcPr>
            <w:tcW w:w="601" w:type="dxa"/>
            <w:tcBorders>
              <w:top w:val="nil"/>
              <w:bottom w:val="nil"/>
            </w:tcBorders>
          </w:tcPr>
          <w:p w14:paraId="5BADD44B"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36B639BB"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7D197C6"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EB83C6F"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4CF315F6"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249E5B94"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6A2C151B"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38328C91" w14:textId="77777777" w:rsidR="008B3973" w:rsidRPr="002E2AA0" w:rsidRDefault="008B3973" w:rsidP="008B3973">
            <w:pPr>
              <w:rPr>
                <w:rFonts w:cs="Times New Roman"/>
              </w:rPr>
            </w:pPr>
            <w:r w:rsidRPr="002E2AA0">
              <w:rPr>
                <w:rFonts w:cs="Times New Roman"/>
              </w:rPr>
              <w:t>18</w:t>
            </w:r>
          </w:p>
        </w:tc>
        <w:tc>
          <w:tcPr>
            <w:tcW w:w="1003" w:type="dxa"/>
            <w:tcBorders>
              <w:top w:val="nil"/>
              <w:bottom w:val="nil"/>
            </w:tcBorders>
          </w:tcPr>
          <w:p w14:paraId="064775C3" w14:textId="77777777" w:rsidR="008B3973" w:rsidRPr="002E2AA0" w:rsidRDefault="008B3973" w:rsidP="008B3973">
            <w:pPr>
              <w:rPr>
                <w:rFonts w:cs="Times New Roman"/>
              </w:rPr>
            </w:pPr>
            <w:r w:rsidRPr="002E2AA0">
              <w:rPr>
                <w:rFonts w:cs="Times New Roman"/>
              </w:rPr>
              <w:t>28</w:t>
            </w:r>
          </w:p>
        </w:tc>
        <w:tc>
          <w:tcPr>
            <w:tcW w:w="1150" w:type="dxa"/>
            <w:tcBorders>
              <w:top w:val="nil"/>
              <w:bottom w:val="nil"/>
            </w:tcBorders>
          </w:tcPr>
          <w:p w14:paraId="7E7D8092" w14:textId="77777777" w:rsidR="008B3973" w:rsidRPr="002E2AA0" w:rsidRDefault="008B3973" w:rsidP="008B3973">
            <w:pPr>
              <w:rPr>
                <w:rFonts w:cs="Times New Roman"/>
              </w:rPr>
            </w:pPr>
            <w:r w:rsidRPr="002E2AA0">
              <w:rPr>
                <w:rFonts w:cs="Times New Roman"/>
              </w:rPr>
              <w:t>64.29</w:t>
            </w:r>
          </w:p>
        </w:tc>
      </w:tr>
      <w:tr w:rsidR="008B3973" w:rsidRPr="002E2AA0" w14:paraId="56E9A68A" w14:textId="77777777" w:rsidTr="00477291">
        <w:trPr>
          <w:trHeight w:val="652"/>
        </w:trPr>
        <w:tc>
          <w:tcPr>
            <w:tcW w:w="1975" w:type="dxa"/>
            <w:tcBorders>
              <w:top w:val="nil"/>
              <w:bottom w:val="nil"/>
            </w:tcBorders>
          </w:tcPr>
          <w:p w14:paraId="19237C73" w14:textId="77777777" w:rsidR="008B3973" w:rsidRPr="002E2AA0" w:rsidRDefault="008B3973" w:rsidP="008B3973">
            <w:pPr>
              <w:rPr>
                <w:rFonts w:cs="Times New Roman"/>
              </w:rPr>
            </w:pPr>
            <w:r w:rsidRPr="002E2AA0">
              <w:rPr>
                <w:rFonts w:cs="Times New Roman"/>
              </w:rPr>
              <w:t>Van Damme et al. (2016)</w:t>
            </w:r>
          </w:p>
        </w:tc>
        <w:tc>
          <w:tcPr>
            <w:tcW w:w="600" w:type="dxa"/>
            <w:tcBorders>
              <w:top w:val="nil"/>
              <w:bottom w:val="nil"/>
            </w:tcBorders>
          </w:tcPr>
          <w:p w14:paraId="016A0A2B"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5C14C48C"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23C52027"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5C6F4FAF"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3550CC69"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77BE97D5"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65D3AF5A"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04FAFBF8"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2BA11EA1"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F20CF8B"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8C6E529"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1520B51"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3890FD2"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4C30CC9F"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0726C7BB" w14:textId="77777777" w:rsidR="008B3973" w:rsidRPr="002E2AA0" w:rsidRDefault="008B3973" w:rsidP="008B3973">
            <w:pPr>
              <w:rPr>
                <w:rFonts w:cs="Times New Roman"/>
              </w:rPr>
            </w:pPr>
            <w:r w:rsidRPr="002E2AA0">
              <w:rPr>
                <w:rFonts w:cs="Times New Roman"/>
              </w:rPr>
              <w:t>22</w:t>
            </w:r>
          </w:p>
        </w:tc>
        <w:tc>
          <w:tcPr>
            <w:tcW w:w="1003" w:type="dxa"/>
            <w:tcBorders>
              <w:top w:val="nil"/>
              <w:bottom w:val="nil"/>
            </w:tcBorders>
          </w:tcPr>
          <w:p w14:paraId="75C90DD9"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3D253186" w14:textId="77777777" w:rsidR="008B3973" w:rsidRPr="002E2AA0" w:rsidRDefault="008B3973" w:rsidP="008B3973">
            <w:pPr>
              <w:rPr>
                <w:rFonts w:cs="Times New Roman"/>
              </w:rPr>
            </w:pPr>
            <w:r w:rsidRPr="002E2AA0">
              <w:rPr>
                <w:rFonts w:cs="Times New Roman"/>
              </w:rPr>
              <w:t>100</w:t>
            </w:r>
          </w:p>
        </w:tc>
      </w:tr>
      <w:tr w:rsidR="008B3973" w:rsidRPr="002E2AA0" w14:paraId="253DA4B6" w14:textId="77777777" w:rsidTr="00477291">
        <w:trPr>
          <w:trHeight w:val="652"/>
        </w:trPr>
        <w:tc>
          <w:tcPr>
            <w:tcW w:w="1975" w:type="dxa"/>
            <w:tcBorders>
              <w:top w:val="nil"/>
              <w:bottom w:val="nil"/>
            </w:tcBorders>
          </w:tcPr>
          <w:p w14:paraId="5CA6D333" w14:textId="77777777" w:rsidR="008B3973" w:rsidRPr="002E2AA0" w:rsidRDefault="008B3973" w:rsidP="008B3973">
            <w:pPr>
              <w:rPr>
                <w:rFonts w:cs="Times New Roman"/>
              </w:rPr>
            </w:pPr>
            <w:r w:rsidRPr="002E2AA0">
              <w:rPr>
                <w:rFonts w:cs="Times New Roman"/>
              </w:rPr>
              <w:t>Willis &amp; Grace (2008)</w:t>
            </w:r>
          </w:p>
        </w:tc>
        <w:tc>
          <w:tcPr>
            <w:tcW w:w="600" w:type="dxa"/>
            <w:tcBorders>
              <w:top w:val="nil"/>
              <w:bottom w:val="nil"/>
            </w:tcBorders>
          </w:tcPr>
          <w:p w14:paraId="070127EB"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5265146C"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ACD59F7" w14:textId="77777777" w:rsidR="008B3973" w:rsidRPr="002E2AA0" w:rsidRDefault="008B3973" w:rsidP="008B3973">
            <w:pPr>
              <w:rPr>
                <w:rFonts w:cs="Times New Roman"/>
              </w:rPr>
            </w:pPr>
            <w:r w:rsidRPr="002E2AA0">
              <w:rPr>
                <w:rFonts w:cs="Times New Roman"/>
              </w:rPr>
              <w:t>2</w:t>
            </w:r>
          </w:p>
        </w:tc>
        <w:tc>
          <w:tcPr>
            <w:tcW w:w="601" w:type="dxa"/>
            <w:tcBorders>
              <w:top w:val="nil"/>
              <w:bottom w:val="nil"/>
            </w:tcBorders>
          </w:tcPr>
          <w:p w14:paraId="03010D56"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5A693CFC"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125577DA" w14:textId="77777777" w:rsidR="008B3973" w:rsidRPr="002E2AA0" w:rsidRDefault="008B3973" w:rsidP="008B3973">
            <w:pPr>
              <w:rPr>
                <w:rFonts w:cs="Times New Roman"/>
              </w:rPr>
            </w:pPr>
            <w:r w:rsidRPr="002E2AA0">
              <w:rPr>
                <w:rFonts w:cs="Times New Roman"/>
              </w:rPr>
              <w:t>N/A</w:t>
            </w:r>
          </w:p>
        </w:tc>
        <w:tc>
          <w:tcPr>
            <w:tcW w:w="644" w:type="dxa"/>
            <w:tcBorders>
              <w:top w:val="nil"/>
              <w:bottom w:val="nil"/>
            </w:tcBorders>
          </w:tcPr>
          <w:p w14:paraId="73E3AAAD" w14:textId="77777777" w:rsidR="008B3973" w:rsidRPr="002E2AA0" w:rsidRDefault="008B3973" w:rsidP="008B3973">
            <w:pPr>
              <w:rPr>
                <w:rFonts w:cs="Times New Roman"/>
              </w:rPr>
            </w:pPr>
            <w:r w:rsidRPr="002E2AA0">
              <w:rPr>
                <w:rFonts w:cs="Times New Roman"/>
              </w:rPr>
              <w:t>N/A</w:t>
            </w:r>
          </w:p>
        </w:tc>
        <w:tc>
          <w:tcPr>
            <w:tcW w:w="601" w:type="dxa"/>
            <w:tcBorders>
              <w:top w:val="nil"/>
              <w:bottom w:val="nil"/>
            </w:tcBorders>
          </w:tcPr>
          <w:p w14:paraId="0017AFCE" w14:textId="77777777" w:rsidR="008B3973" w:rsidRPr="002E2AA0" w:rsidRDefault="008B3973" w:rsidP="008B3973">
            <w:pPr>
              <w:rPr>
                <w:rFonts w:cs="Times New Roman"/>
              </w:rPr>
            </w:pPr>
            <w:r w:rsidRPr="002E2AA0">
              <w:rPr>
                <w:rFonts w:cs="Times New Roman"/>
              </w:rPr>
              <w:t>1</w:t>
            </w:r>
          </w:p>
        </w:tc>
        <w:tc>
          <w:tcPr>
            <w:tcW w:w="601" w:type="dxa"/>
            <w:tcBorders>
              <w:top w:val="nil"/>
              <w:bottom w:val="nil"/>
            </w:tcBorders>
          </w:tcPr>
          <w:p w14:paraId="27C0162E"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0F1F99DD" w14:textId="77777777" w:rsidR="008B3973" w:rsidRPr="002E2AA0" w:rsidRDefault="008B3973" w:rsidP="008B3973">
            <w:pPr>
              <w:rPr>
                <w:rFonts w:cs="Times New Roman"/>
              </w:rPr>
            </w:pPr>
            <w:r w:rsidRPr="002E2AA0">
              <w:rPr>
                <w:rFonts w:cs="Times New Roman"/>
              </w:rPr>
              <w:t>1</w:t>
            </w:r>
          </w:p>
        </w:tc>
        <w:tc>
          <w:tcPr>
            <w:tcW w:w="644" w:type="dxa"/>
            <w:tcBorders>
              <w:top w:val="nil"/>
              <w:bottom w:val="nil"/>
            </w:tcBorders>
          </w:tcPr>
          <w:p w14:paraId="4A5E6869" w14:textId="77777777" w:rsidR="008B3973" w:rsidRPr="002E2AA0" w:rsidRDefault="008B3973" w:rsidP="008B3973">
            <w:pPr>
              <w:rPr>
                <w:rFonts w:cs="Times New Roman"/>
              </w:rPr>
            </w:pPr>
            <w:r w:rsidRPr="002E2AA0">
              <w:rPr>
                <w:rFonts w:cs="Times New Roman"/>
              </w:rPr>
              <w:t>0</w:t>
            </w:r>
          </w:p>
        </w:tc>
        <w:tc>
          <w:tcPr>
            <w:tcW w:w="644" w:type="dxa"/>
            <w:tcBorders>
              <w:top w:val="nil"/>
              <w:bottom w:val="nil"/>
            </w:tcBorders>
          </w:tcPr>
          <w:p w14:paraId="22D855AB"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605B4C92" w14:textId="77777777" w:rsidR="008B3973" w:rsidRPr="002E2AA0" w:rsidRDefault="008B3973" w:rsidP="008B3973">
            <w:pPr>
              <w:rPr>
                <w:rFonts w:cs="Times New Roman"/>
              </w:rPr>
            </w:pPr>
            <w:r w:rsidRPr="002E2AA0">
              <w:rPr>
                <w:rFonts w:cs="Times New Roman"/>
              </w:rPr>
              <w:t>2</w:t>
            </w:r>
          </w:p>
        </w:tc>
        <w:tc>
          <w:tcPr>
            <w:tcW w:w="644" w:type="dxa"/>
            <w:tcBorders>
              <w:top w:val="nil"/>
              <w:bottom w:val="nil"/>
            </w:tcBorders>
          </w:tcPr>
          <w:p w14:paraId="299579DF" w14:textId="77777777" w:rsidR="008B3973" w:rsidRPr="002E2AA0" w:rsidRDefault="008B3973" w:rsidP="008B3973">
            <w:pPr>
              <w:rPr>
                <w:rFonts w:cs="Times New Roman"/>
              </w:rPr>
            </w:pPr>
            <w:r w:rsidRPr="002E2AA0">
              <w:rPr>
                <w:rFonts w:cs="Times New Roman"/>
              </w:rPr>
              <w:t>2</w:t>
            </w:r>
          </w:p>
        </w:tc>
        <w:tc>
          <w:tcPr>
            <w:tcW w:w="723" w:type="dxa"/>
            <w:tcBorders>
              <w:top w:val="nil"/>
              <w:bottom w:val="nil"/>
            </w:tcBorders>
          </w:tcPr>
          <w:p w14:paraId="66712B03" w14:textId="77777777" w:rsidR="008B3973" w:rsidRPr="002E2AA0" w:rsidRDefault="008B3973" w:rsidP="008B3973">
            <w:pPr>
              <w:rPr>
                <w:rFonts w:cs="Times New Roman"/>
              </w:rPr>
            </w:pPr>
            <w:r w:rsidRPr="002E2AA0">
              <w:rPr>
                <w:rFonts w:cs="Times New Roman"/>
              </w:rPr>
              <w:t>18</w:t>
            </w:r>
          </w:p>
        </w:tc>
        <w:tc>
          <w:tcPr>
            <w:tcW w:w="1003" w:type="dxa"/>
            <w:tcBorders>
              <w:top w:val="nil"/>
              <w:bottom w:val="nil"/>
            </w:tcBorders>
          </w:tcPr>
          <w:p w14:paraId="1E8C0B7A" w14:textId="77777777" w:rsidR="008B3973" w:rsidRPr="002E2AA0" w:rsidRDefault="008B3973" w:rsidP="008B3973">
            <w:pPr>
              <w:rPr>
                <w:rFonts w:cs="Times New Roman"/>
              </w:rPr>
            </w:pPr>
            <w:r w:rsidRPr="002E2AA0">
              <w:rPr>
                <w:rFonts w:cs="Times New Roman"/>
              </w:rPr>
              <w:t>22</w:t>
            </w:r>
          </w:p>
        </w:tc>
        <w:tc>
          <w:tcPr>
            <w:tcW w:w="1150" w:type="dxa"/>
            <w:tcBorders>
              <w:top w:val="nil"/>
              <w:bottom w:val="nil"/>
            </w:tcBorders>
          </w:tcPr>
          <w:p w14:paraId="7DA104AF" w14:textId="77777777" w:rsidR="008B3973" w:rsidRPr="002E2AA0" w:rsidRDefault="008B3973" w:rsidP="008B3973">
            <w:pPr>
              <w:rPr>
                <w:rFonts w:cs="Times New Roman"/>
              </w:rPr>
            </w:pPr>
            <w:r w:rsidRPr="002E2AA0">
              <w:rPr>
                <w:rFonts w:cs="Times New Roman"/>
              </w:rPr>
              <w:t>81.82</w:t>
            </w:r>
          </w:p>
        </w:tc>
      </w:tr>
      <w:tr w:rsidR="008B3973" w:rsidRPr="002E2AA0" w14:paraId="320F694E" w14:textId="77777777" w:rsidTr="00477291">
        <w:trPr>
          <w:trHeight w:val="652"/>
        </w:trPr>
        <w:tc>
          <w:tcPr>
            <w:tcW w:w="1975" w:type="dxa"/>
            <w:tcBorders>
              <w:top w:val="nil"/>
            </w:tcBorders>
          </w:tcPr>
          <w:p w14:paraId="48E4ACC3" w14:textId="77777777" w:rsidR="008B3973" w:rsidRPr="002E2AA0" w:rsidRDefault="008B3973" w:rsidP="008B3973">
            <w:pPr>
              <w:rPr>
                <w:rFonts w:cs="Times New Roman"/>
              </w:rPr>
            </w:pPr>
            <w:r w:rsidRPr="002E2AA0">
              <w:rPr>
                <w:rFonts w:cs="Times New Roman"/>
              </w:rPr>
              <w:lastRenderedPageBreak/>
              <w:t>Willis &amp; Ward (2011)</w:t>
            </w:r>
          </w:p>
        </w:tc>
        <w:tc>
          <w:tcPr>
            <w:tcW w:w="600" w:type="dxa"/>
            <w:tcBorders>
              <w:top w:val="nil"/>
            </w:tcBorders>
          </w:tcPr>
          <w:p w14:paraId="07C49C18" w14:textId="77777777" w:rsidR="008B3973" w:rsidRPr="002E2AA0" w:rsidRDefault="008B3973" w:rsidP="008B3973">
            <w:pPr>
              <w:rPr>
                <w:rFonts w:cs="Times New Roman"/>
              </w:rPr>
            </w:pPr>
            <w:r w:rsidRPr="002E2AA0">
              <w:rPr>
                <w:rFonts w:cs="Times New Roman"/>
              </w:rPr>
              <w:t>2</w:t>
            </w:r>
          </w:p>
        </w:tc>
        <w:tc>
          <w:tcPr>
            <w:tcW w:w="601" w:type="dxa"/>
            <w:tcBorders>
              <w:top w:val="nil"/>
            </w:tcBorders>
          </w:tcPr>
          <w:p w14:paraId="1CA503BC" w14:textId="77777777" w:rsidR="008B3973" w:rsidRPr="002E2AA0" w:rsidRDefault="008B3973" w:rsidP="008B3973">
            <w:pPr>
              <w:rPr>
                <w:rFonts w:cs="Times New Roman"/>
              </w:rPr>
            </w:pPr>
            <w:r w:rsidRPr="002E2AA0">
              <w:rPr>
                <w:rFonts w:cs="Times New Roman"/>
              </w:rPr>
              <w:t>1</w:t>
            </w:r>
          </w:p>
        </w:tc>
        <w:tc>
          <w:tcPr>
            <w:tcW w:w="601" w:type="dxa"/>
            <w:tcBorders>
              <w:top w:val="nil"/>
            </w:tcBorders>
          </w:tcPr>
          <w:p w14:paraId="018D13ED" w14:textId="77777777" w:rsidR="008B3973" w:rsidRPr="002E2AA0" w:rsidRDefault="008B3973" w:rsidP="008B3973">
            <w:pPr>
              <w:rPr>
                <w:rFonts w:cs="Times New Roman"/>
              </w:rPr>
            </w:pPr>
            <w:r w:rsidRPr="002E2AA0">
              <w:rPr>
                <w:rFonts w:cs="Times New Roman"/>
              </w:rPr>
              <w:t>2</w:t>
            </w:r>
          </w:p>
        </w:tc>
        <w:tc>
          <w:tcPr>
            <w:tcW w:w="601" w:type="dxa"/>
            <w:tcBorders>
              <w:top w:val="nil"/>
            </w:tcBorders>
          </w:tcPr>
          <w:p w14:paraId="1C42094C" w14:textId="77777777" w:rsidR="008B3973" w:rsidRPr="002E2AA0" w:rsidRDefault="008B3973" w:rsidP="008B3973">
            <w:pPr>
              <w:rPr>
                <w:rFonts w:cs="Times New Roman"/>
              </w:rPr>
            </w:pPr>
            <w:r w:rsidRPr="002E2AA0">
              <w:rPr>
                <w:rFonts w:cs="Times New Roman"/>
              </w:rPr>
              <w:t>2</w:t>
            </w:r>
          </w:p>
        </w:tc>
        <w:tc>
          <w:tcPr>
            <w:tcW w:w="644" w:type="dxa"/>
            <w:tcBorders>
              <w:top w:val="nil"/>
            </w:tcBorders>
          </w:tcPr>
          <w:p w14:paraId="2C6B63CE" w14:textId="77777777" w:rsidR="008B3973" w:rsidRPr="002E2AA0" w:rsidRDefault="008B3973" w:rsidP="008B3973">
            <w:pPr>
              <w:rPr>
                <w:rFonts w:cs="Times New Roman"/>
              </w:rPr>
            </w:pPr>
            <w:r w:rsidRPr="002E2AA0">
              <w:rPr>
                <w:rFonts w:cs="Times New Roman"/>
              </w:rPr>
              <w:t>N/A</w:t>
            </w:r>
          </w:p>
        </w:tc>
        <w:tc>
          <w:tcPr>
            <w:tcW w:w="644" w:type="dxa"/>
            <w:tcBorders>
              <w:top w:val="nil"/>
            </w:tcBorders>
          </w:tcPr>
          <w:p w14:paraId="2EE0A7D9" w14:textId="77777777" w:rsidR="008B3973" w:rsidRPr="002E2AA0" w:rsidRDefault="008B3973" w:rsidP="008B3973">
            <w:pPr>
              <w:rPr>
                <w:rFonts w:cs="Times New Roman"/>
              </w:rPr>
            </w:pPr>
            <w:r w:rsidRPr="002E2AA0">
              <w:rPr>
                <w:rFonts w:cs="Times New Roman"/>
              </w:rPr>
              <w:t>N/A</w:t>
            </w:r>
          </w:p>
        </w:tc>
        <w:tc>
          <w:tcPr>
            <w:tcW w:w="644" w:type="dxa"/>
            <w:tcBorders>
              <w:top w:val="nil"/>
            </w:tcBorders>
          </w:tcPr>
          <w:p w14:paraId="7B93EF08" w14:textId="77777777" w:rsidR="008B3973" w:rsidRPr="002E2AA0" w:rsidRDefault="008B3973" w:rsidP="008B3973">
            <w:pPr>
              <w:rPr>
                <w:rFonts w:cs="Times New Roman"/>
              </w:rPr>
            </w:pPr>
            <w:r w:rsidRPr="002E2AA0">
              <w:rPr>
                <w:rFonts w:cs="Times New Roman"/>
              </w:rPr>
              <w:t>N/A</w:t>
            </w:r>
          </w:p>
        </w:tc>
        <w:tc>
          <w:tcPr>
            <w:tcW w:w="601" w:type="dxa"/>
            <w:tcBorders>
              <w:top w:val="nil"/>
            </w:tcBorders>
          </w:tcPr>
          <w:p w14:paraId="7545FB21" w14:textId="77777777" w:rsidR="008B3973" w:rsidRPr="002E2AA0" w:rsidRDefault="008B3973" w:rsidP="008B3973">
            <w:pPr>
              <w:rPr>
                <w:rFonts w:cs="Times New Roman"/>
              </w:rPr>
            </w:pPr>
            <w:r w:rsidRPr="002E2AA0">
              <w:rPr>
                <w:rFonts w:cs="Times New Roman"/>
              </w:rPr>
              <w:t>2</w:t>
            </w:r>
          </w:p>
        </w:tc>
        <w:tc>
          <w:tcPr>
            <w:tcW w:w="601" w:type="dxa"/>
            <w:tcBorders>
              <w:top w:val="nil"/>
            </w:tcBorders>
          </w:tcPr>
          <w:p w14:paraId="18C014E8" w14:textId="77777777" w:rsidR="008B3973" w:rsidRPr="002E2AA0" w:rsidRDefault="008B3973" w:rsidP="008B3973">
            <w:pPr>
              <w:rPr>
                <w:rFonts w:cs="Times New Roman"/>
              </w:rPr>
            </w:pPr>
            <w:r w:rsidRPr="002E2AA0">
              <w:rPr>
                <w:rFonts w:cs="Times New Roman"/>
              </w:rPr>
              <w:t>2</w:t>
            </w:r>
          </w:p>
        </w:tc>
        <w:tc>
          <w:tcPr>
            <w:tcW w:w="644" w:type="dxa"/>
            <w:tcBorders>
              <w:top w:val="nil"/>
            </w:tcBorders>
          </w:tcPr>
          <w:p w14:paraId="1BEEBBC2" w14:textId="77777777" w:rsidR="008B3973" w:rsidRPr="002E2AA0" w:rsidRDefault="008B3973" w:rsidP="008B3973">
            <w:pPr>
              <w:rPr>
                <w:rFonts w:cs="Times New Roman"/>
              </w:rPr>
            </w:pPr>
            <w:r w:rsidRPr="002E2AA0">
              <w:rPr>
                <w:rFonts w:cs="Times New Roman"/>
              </w:rPr>
              <w:t>2</w:t>
            </w:r>
          </w:p>
        </w:tc>
        <w:tc>
          <w:tcPr>
            <w:tcW w:w="644" w:type="dxa"/>
            <w:tcBorders>
              <w:top w:val="nil"/>
            </w:tcBorders>
          </w:tcPr>
          <w:p w14:paraId="30A5D326" w14:textId="77777777" w:rsidR="008B3973" w:rsidRPr="002E2AA0" w:rsidRDefault="008B3973" w:rsidP="008B3973">
            <w:pPr>
              <w:rPr>
                <w:rFonts w:cs="Times New Roman"/>
              </w:rPr>
            </w:pPr>
            <w:r w:rsidRPr="002E2AA0">
              <w:rPr>
                <w:rFonts w:cs="Times New Roman"/>
              </w:rPr>
              <w:t>1</w:t>
            </w:r>
          </w:p>
        </w:tc>
        <w:tc>
          <w:tcPr>
            <w:tcW w:w="644" w:type="dxa"/>
            <w:tcBorders>
              <w:top w:val="nil"/>
            </w:tcBorders>
          </w:tcPr>
          <w:p w14:paraId="64A23231" w14:textId="77777777" w:rsidR="008B3973" w:rsidRPr="002E2AA0" w:rsidRDefault="008B3973" w:rsidP="008B3973">
            <w:pPr>
              <w:rPr>
                <w:rFonts w:cs="Times New Roman"/>
              </w:rPr>
            </w:pPr>
            <w:r w:rsidRPr="002E2AA0">
              <w:rPr>
                <w:rFonts w:cs="Times New Roman"/>
              </w:rPr>
              <w:t>1</w:t>
            </w:r>
          </w:p>
        </w:tc>
        <w:tc>
          <w:tcPr>
            <w:tcW w:w="644" w:type="dxa"/>
            <w:tcBorders>
              <w:top w:val="nil"/>
            </w:tcBorders>
          </w:tcPr>
          <w:p w14:paraId="3D6C7664" w14:textId="77777777" w:rsidR="008B3973" w:rsidRPr="002E2AA0" w:rsidRDefault="008B3973" w:rsidP="008B3973">
            <w:pPr>
              <w:rPr>
                <w:rFonts w:cs="Times New Roman"/>
              </w:rPr>
            </w:pPr>
            <w:r w:rsidRPr="002E2AA0">
              <w:rPr>
                <w:rFonts w:cs="Times New Roman"/>
              </w:rPr>
              <w:t>2</w:t>
            </w:r>
          </w:p>
        </w:tc>
        <w:tc>
          <w:tcPr>
            <w:tcW w:w="644" w:type="dxa"/>
            <w:tcBorders>
              <w:top w:val="nil"/>
            </w:tcBorders>
          </w:tcPr>
          <w:p w14:paraId="0506A616" w14:textId="77777777" w:rsidR="008B3973" w:rsidRPr="002E2AA0" w:rsidRDefault="008B3973" w:rsidP="008B3973">
            <w:pPr>
              <w:rPr>
                <w:rFonts w:cs="Times New Roman"/>
              </w:rPr>
            </w:pPr>
            <w:r w:rsidRPr="002E2AA0">
              <w:rPr>
                <w:rFonts w:cs="Times New Roman"/>
              </w:rPr>
              <w:t>2</w:t>
            </w:r>
          </w:p>
        </w:tc>
        <w:tc>
          <w:tcPr>
            <w:tcW w:w="723" w:type="dxa"/>
            <w:tcBorders>
              <w:top w:val="nil"/>
            </w:tcBorders>
          </w:tcPr>
          <w:p w14:paraId="6B1E3F9B" w14:textId="77777777" w:rsidR="008B3973" w:rsidRPr="002E2AA0" w:rsidRDefault="008B3973" w:rsidP="008B3973">
            <w:pPr>
              <w:rPr>
                <w:rFonts w:cs="Times New Roman"/>
              </w:rPr>
            </w:pPr>
            <w:r w:rsidRPr="002E2AA0">
              <w:rPr>
                <w:rFonts w:cs="Times New Roman"/>
              </w:rPr>
              <w:t>19</w:t>
            </w:r>
          </w:p>
        </w:tc>
        <w:tc>
          <w:tcPr>
            <w:tcW w:w="1003" w:type="dxa"/>
            <w:tcBorders>
              <w:top w:val="nil"/>
            </w:tcBorders>
          </w:tcPr>
          <w:p w14:paraId="027AFE32" w14:textId="77777777" w:rsidR="008B3973" w:rsidRPr="002E2AA0" w:rsidRDefault="008B3973" w:rsidP="008B3973">
            <w:pPr>
              <w:rPr>
                <w:rFonts w:cs="Times New Roman"/>
              </w:rPr>
            </w:pPr>
            <w:r w:rsidRPr="002E2AA0">
              <w:rPr>
                <w:rFonts w:cs="Times New Roman"/>
              </w:rPr>
              <w:t>22</w:t>
            </w:r>
          </w:p>
        </w:tc>
        <w:tc>
          <w:tcPr>
            <w:tcW w:w="1150" w:type="dxa"/>
            <w:tcBorders>
              <w:top w:val="nil"/>
            </w:tcBorders>
          </w:tcPr>
          <w:p w14:paraId="43767265" w14:textId="77777777" w:rsidR="008B3973" w:rsidRPr="002E2AA0" w:rsidRDefault="008B3973" w:rsidP="008B3973">
            <w:pPr>
              <w:rPr>
                <w:rFonts w:cs="Times New Roman"/>
              </w:rPr>
            </w:pPr>
            <w:r w:rsidRPr="002E2AA0">
              <w:rPr>
                <w:rFonts w:cs="Times New Roman"/>
              </w:rPr>
              <w:t>86.36</w:t>
            </w:r>
          </w:p>
        </w:tc>
      </w:tr>
    </w:tbl>
    <w:p w14:paraId="1447B34D" w14:textId="77777777" w:rsidR="00477291" w:rsidRPr="002E2AA0" w:rsidRDefault="00477291" w:rsidP="00477291">
      <w:pPr>
        <w:rPr>
          <w:rFonts w:ascii="Times New Roman" w:hAnsi="Times New Roman" w:cs="Times New Roman"/>
          <w:lang w:val="en-US"/>
        </w:rPr>
      </w:pPr>
    </w:p>
    <w:p w14:paraId="1DB63BE9" w14:textId="77777777" w:rsidR="00477291" w:rsidRPr="002E2AA0" w:rsidRDefault="00477291" w:rsidP="00477291">
      <w:pPr>
        <w:rPr>
          <w:rFonts w:ascii="Times New Roman" w:hAnsi="Times New Roman" w:cs="Times New Roman"/>
          <w:lang w:val="en-US"/>
        </w:rPr>
      </w:pPr>
      <w:r w:rsidRPr="002E2AA0">
        <w:rPr>
          <w:rFonts w:ascii="Times New Roman" w:hAnsi="Times New Roman" w:cs="Times New Roman"/>
          <w:lang w:val="en-US"/>
        </w:rPr>
        <w:t>*Included both a quantitative and qualitative component, which are examined for bias separately, using the appropriate quality assessment measure.</w:t>
      </w:r>
    </w:p>
    <w:p w14:paraId="73251031" w14:textId="77777777" w:rsidR="00477291" w:rsidRPr="002E2AA0" w:rsidRDefault="00477291" w:rsidP="00477291">
      <w:pPr>
        <w:rPr>
          <w:rFonts w:ascii="Times New Roman" w:hAnsi="Times New Roman" w:cs="Times New Roman"/>
          <w:lang w:val="en-US"/>
        </w:rPr>
      </w:pPr>
      <w:r w:rsidRPr="002E2AA0">
        <w:rPr>
          <w:rFonts w:ascii="Times New Roman" w:hAnsi="Times New Roman" w:cs="Times New Roman"/>
          <w:lang w:val="en-US"/>
        </w:rPr>
        <w:br w:type="page"/>
      </w:r>
    </w:p>
    <w:p w14:paraId="6FEB0AA1" w14:textId="77777777" w:rsidR="00477291" w:rsidRPr="002E2AA0" w:rsidRDefault="00477291" w:rsidP="00477291">
      <w:pPr>
        <w:spacing w:line="480" w:lineRule="auto"/>
        <w:rPr>
          <w:rFonts w:ascii="Times New Roman" w:hAnsi="Times New Roman" w:cs="Times New Roman"/>
          <w:i/>
          <w:iCs/>
          <w:lang w:val="en-US"/>
        </w:rPr>
      </w:pPr>
      <w:r w:rsidRPr="002E2AA0">
        <w:rPr>
          <w:rFonts w:ascii="Times New Roman" w:hAnsi="Times New Roman" w:cs="Times New Roman"/>
          <w:lang w:val="en-US"/>
        </w:rPr>
        <w:lastRenderedPageBreak/>
        <w:t xml:space="preserve">Table 4. </w:t>
      </w:r>
      <w:r w:rsidRPr="002E2AA0">
        <w:rPr>
          <w:rFonts w:ascii="Times New Roman" w:hAnsi="Times New Roman" w:cs="Times New Roman"/>
          <w:i/>
          <w:iCs/>
          <w:lang w:val="en-US"/>
        </w:rPr>
        <w:t xml:space="preserve">Quality assessment </w:t>
      </w:r>
      <w:r w:rsidR="00F5053D" w:rsidRPr="002E2AA0">
        <w:rPr>
          <w:rFonts w:ascii="Times New Roman" w:hAnsi="Times New Roman" w:cs="Times New Roman"/>
          <w:i/>
          <w:iCs/>
          <w:lang w:val="en-US"/>
        </w:rPr>
        <w:t>for</w:t>
      </w:r>
      <w:r w:rsidRPr="002E2AA0">
        <w:rPr>
          <w:rFonts w:ascii="Times New Roman" w:hAnsi="Times New Roman" w:cs="Times New Roman"/>
          <w:i/>
          <w:iCs/>
          <w:lang w:val="en-US"/>
        </w:rPr>
        <w:t xml:space="preserve"> </w:t>
      </w:r>
      <w:r w:rsidR="00F5053D" w:rsidRPr="002E2AA0">
        <w:rPr>
          <w:rFonts w:ascii="Times New Roman" w:hAnsi="Times New Roman" w:cs="Times New Roman"/>
          <w:i/>
          <w:iCs/>
          <w:lang w:val="en-US"/>
        </w:rPr>
        <w:t xml:space="preserve">all included </w:t>
      </w:r>
      <w:r w:rsidRPr="002E2AA0">
        <w:rPr>
          <w:rFonts w:ascii="Times New Roman" w:hAnsi="Times New Roman" w:cs="Times New Roman"/>
          <w:i/>
          <w:iCs/>
          <w:lang w:val="en-US"/>
        </w:rPr>
        <w:t>qualitative</w:t>
      </w:r>
      <w:r w:rsidR="00F5053D" w:rsidRPr="002E2AA0">
        <w:rPr>
          <w:rFonts w:ascii="Times New Roman" w:hAnsi="Times New Roman" w:cs="Times New Roman"/>
          <w:i/>
          <w:iCs/>
          <w:lang w:val="en-US"/>
        </w:rPr>
        <w:t xml:space="preserve"> studies</w:t>
      </w:r>
      <w:r w:rsidRPr="002E2AA0">
        <w:rPr>
          <w:rFonts w:ascii="Times New Roman" w:hAnsi="Times New Roman" w:cs="Times New Roman"/>
          <w:i/>
          <w:iCs/>
          <w:lang w:val="en-US"/>
        </w:rPr>
        <w:t>.</w:t>
      </w:r>
    </w:p>
    <w:p w14:paraId="2703B2CF" w14:textId="77777777" w:rsidR="00477291" w:rsidRPr="002E2AA0" w:rsidRDefault="00477291" w:rsidP="00477291">
      <w:pPr>
        <w:rPr>
          <w:rFonts w:ascii="Times New Roman" w:hAnsi="Times New Roman" w:cs="Times New Roman"/>
          <w:lang w:val="en-US"/>
        </w:rPr>
      </w:pPr>
    </w:p>
    <w:p w14:paraId="53EF6D77" w14:textId="77777777" w:rsidR="00477291" w:rsidRPr="002E2AA0" w:rsidRDefault="00477291" w:rsidP="00477291">
      <w:pPr>
        <w:rPr>
          <w:rFonts w:ascii="Times New Roman" w:hAnsi="Times New Roman" w:cs="Times New Roman"/>
          <w:lang w:val="en-US"/>
        </w:rPr>
      </w:pPr>
      <w:r w:rsidRPr="002E2AA0">
        <w:rPr>
          <w:rFonts w:ascii="Times New Roman" w:hAnsi="Times New Roman" w:cs="Times New Roman"/>
          <w:lang w:val="en-US"/>
        </w:rPr>
        <w:t>*Included both a quantitative and qualitative component, which are examined for bias separately, using the appropriate quality assessment measure.</w:t>
      </w:r>
    </w:p>
    <w:p w14:paraId="234745E6" w14:textId="77777777" w:rsidR="00477291" w:rsidRPr="002E2AA0" w:rsidRDefault="00477291" w:rsidP="00477291">
      <w:pPr>
        <w:spacing w:line="480" w:lineRule="auto"/>
        <w:rPr>
          <w:rFonts w:ascii="Times New Roman" w:hAnsi="Times New Roman" w:cs="Times New Roman"/>
          <w:lang w:val="en-US"/>
        </w:rPr>
      </w:pPr>
    </w:p>
    <w:tbl>
      <w:tblPr>
        <w:tblStyle w:val="TableGrid2"/>
        <w:tblpPr w:leftFromText="180" w:rightFromText="180" w:vertAnchor="page" w:horzAnchor="page" w:tblpX="1450" w:tblpY="1985"/>
        <w:tblW w:w="13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788"/>
        <w:gridCol w:w="784"/>
        <w:gridCol w:w="9"/>
        <w:gridCol w:w="777"/>
        <w:gridCol w:w="8"/>
        <w:gridCol w:w="784"/>
        <w:gridCol w:w="786"/>
        <w:gridCol w:w="786"/>
        <w:gridCol w:w="798"/>
        <w:gridCol w:w="783"/>
        <w:gridCol w:w="784"/>
        <w:gridCol w:w="804"/>
        <w:gridCol w:w="826"/>
        <w:gridCol w:w="1148"/>
        <w:gridCol w:w="1316"/>
      </w:tblGrid>
      <w:tr w:rsidR="00477291" w:rsidRPr="002E2AA0" w14:paraId="5F8D85F9" w14:textId="77777777" w:rsidTr="00973AE9">
        <w:trPr>
          <w:trHeight w:val="652"/>
        </w:trPr>
        <w:tc>
          <w:tcPr>
            <w:tcW w:w="2427" w:type="dxa"/>
            <w:tcBorders>
              <w:top w:val="single" w:sz="4" w:space="0" w:color="auto"/>
              <w:bottom w:val="single" w:sz="4" w:space="0" w:color="auto"/>
            </w:tcBorders>
          </w:tcPr>
          <w:p w14:paraId="00514FF7" w14:textId="77777777" w:rsidR="00477291" w:rsidRPr="002E2AA0" w:rsidRDefault="00477291" w:rsidP="00477291">
            <w:pPr>
              <w:rPr>
                <w:rFonts w:cs="Times New Roman"/>
                <w:b/>
                <w:bCs/>
              </w:rPr>
            </w:pPr>
            <w:r w:rsidRPr="002E2AA0">
              <w:rPr>
                <w:rFonts w:cs="Times New Roman"/>
                <w:b/>
                <w:bCs/>
              </w:rPr>
              <w:t>Author</w:t>
            </w:r>
          </w:p>
        </w:tc>
        <w:tc>
          <w:tcPr>
            <w:tcW w:w="788" w:type="dxa"/>
            <w:tcBorders>
              <w:top w:val="single" w:sz="4" w:space="0" w:color="auto"/>
              <w:bottom w:val="single" w:sz="4" w:space="0" w:color="auto"/>
            </w:tcBorders>
          </w:tcPr>
          <w:p w14:paraId="4A756E2D" w14:textId="77777777" w:rsidR="00477291" w:rsidRPr="002E2AA0" w:rsidRDefault="00477291" w:rsidP="00477291">
            <w:pPr>
              <w:rPr>
                <w:rFonts w:cs="Times New Roman"/>
              </w:rPr>
            </w:pPr>
            <w:r w:rsidRPr="002E2AA0">
              <w:rPr>
                <w:rFonts w:cs="Times New Roman"/>
              </w:rPr>
              <w:t>Q1</w:t>
            </w:r>
          </w:p>
        </w:tc>
        <w:tc>
          <w:tcPr>
            <w:tcW w:w="793" w:type="dxa"/>
            <w:gridSpan w:val="2"/>
            <w:tcBorders>
              <w:top w:val="single" w:sz="4" w:space="0" w:color="auto"/>
              <w:bottom w:val="single" w:sz="4" w:space="0" w:color="auto"/>
            </w:tcBorders>
          </w:tcPr>
          <w:p w14:paraId="16109E13" w14:textId="77777777" w:rsidR="00477291" w:rsidRPr="002E2AA0" w:rsidRDefault="00477291" w:rsidP="00477291">
            <w:pPr>
              <w:rPr>
                <w:rFonts w:cs="Times New Roman"/>
              </w:rPr>
            </w:pPr>
            <w:r w:rsidRPr="002E2AA0">
              <w:rPr>
                <w:rFonts w:cs="Times New Roman"/>
              </w:rPr>
              <w:t>Q2</w:t>
            </w:r>
          </w:p>
        </w:tc>
        <w:tc>
          <w:tcPr>
            <w:tcW w:w="785" w:type="dxa"/>
            <w:gridSpan w:val="2"/>
            <w:tcBorders>
              <w:top w:val="single" w:sz="4" w:space="0" w:color="auto"/>
              <w:bottom w:val="single" w:sz="4" w:space="0" w:color="auto"/>
            </w:tcBorders>
          </w:tcPr>
          <w:p w14:paraId="168D0C15" w14:textId="77777777" w:rsidR="00477291" w:rsidRPr="002E2AA0" w:rsidRDefault="00477291" w:rsidP="00477291">
            <w:pPr>
              <w:rPr>
                <w:rFonts w:cs="Times New Roman"/>
              </w:rPr>
            </w:pPr>
            <w:r w:rsidRPr="002E2AA0">
              <w:rPr>
                <w:rFonts w:cs="Times New Roman"/>
              </w:rPr>
              <w:t>Q3</w:t>
            </w:r>
          </w:p>
        </w:tc>
        <w:tc>
          <w:tcPr>
            <w:tcW w:w="784" w:type="dxa"/>
            <w:tcBorders>
              <w:top w:val="single" w:sz="4" w:space="0" w:color="auto"/>
              <w:bottom w:val="single" w:sz="4" w:space="0" w:color="auto"/>
            </w:tcBorders>
          </w:tcPr>
          <w:p w14:paraId="3C15388D" w14:textId="77777777" w:rsidR="00477291" w:rsidRPr="002E2AA0" w:rsidRDefault="00477291" w:rsidP="00477291">
            <w:pPr>
              <w:rPr>
                <w:rFonts w:cs="Times New Roman"/>
              </w:rPr>
            </w:pPr>
            <w:r w:rsidRPr="002E2AA0">
              <w:rPr>
                <w:rFonts w:cs="Times New Roman"/>
              </w:rPr>
              <w:t>Q4</w:t>
            </w:r>
          </w:p>
        </w:tc>
        <w:tc>
          <w:tcPr>
            <w:tcW w:w="786" w:type="dxa"/>
            <w:tcBorders>
              <w:top w:val="single" w:sz="4" w:space="0" w:color="auto"/>
              <w:bottom w:val="single" w:sz="4" w:space="0" w:color="auto"/>
            </w:tcBorders>
          </w:tcPr>
          <w:p w14:paraId="15275889" w14:textId="77777777" w:rsidR="00477291" w:rsidRPr="002E2AA0" w:rsidRDefault="00477291" w:rsidP="00477291">
            <w:pPr>
              <w:rPr>
                <w:rFonts w:cs="Times New Roman"/>
              </w:rPr>
            </w:pPr>
            <w:r w:rsidRPr="002E2AA0">
              <w:rPr>
                <w:rFonts w:cs="Times New Roman"/>
              </w:rPr>
              <w:t>Q5</w:t>
            </w:r>
          </w:p>
        </w:tc>
        <w:tc>
          <w:tcPr>
            <w:tcW w:w="786" w:type="dxa"/>
            <w:tcBorders>
              <w:top w:val="single" w:sz="4" w:space="0" w:color="auto"/>
              <w:bottom w:val="single" w:sz="4" w:space="0" w:color="auto"/>
            </w:tcBorders>
          </w:tcPr>
          <w:p w14:paraId="217C350C" w14:textId="77777777" w:rsidR="00477291" w:rsidRPr="002E2AA0" w:rsidRDefault="00477291" w:rsidP="00477291">
            <w:pPr>
              <w:rPr>
                <w:rFonts w:cs="Times New Roman"/>
              </w:rPr>
            </w:pPr>
            <w:r w:rsidRPr="002E2AA0">
              <w:rPr>
                <w:rFonts w:cs="Times New Roman"/>
              </w:rPr>
              <w:t>Q6</w:t>
            </w:r>
          </w:p>
        </w:tc>
        <w:tc>
          <w:tcPr>
            <w:tcW w:w="798" w:type="dxa"/>
            <w:tcBorders>
              <w:top w:val="single" w:sz="4" w:space="0" w:color="auto"/>
              <w:bottom w:val="single" w:sz="4" w:space="0" w:color="auto"/>
            </w:tcBorders>
          </w:tcPr>
          <w:p w14:paraId="350BC675" w14:textId="77777777" w:rsidR="00477291" w:rsidRPr="002E2AA0" w:rsidRDefault="00477291" w:rsidP="00477291">
            <w:pPr>
              <w:rPr>
                <w:rFonts w:cs="Times New Roman"/>
              </w:rPr>
            </w:pPr>
            <w:r w:rsidRPr="002E2AA0">
              <w:rPr>
                <w:rFonts w:cs="Times New Roman"/>
              </w:rPr>
              <w:t>Q7</w:t>
            </w:r>
          </w:p>
        </w:tc>
        <w:tc>
          <w:tcPr>
            <w:tcW w:w="783" w:type="dxa"/>
            <w:tcBorders>
              <w:top w:val="single" w:sz="4" w:space="0" w:color="auto"/>
              <w:bottom w:val="single" w:sz="4" w:space="0" w:color="auto"/>
            </w:tcBorders>
          </w:tcPr>
          <w:p w14:paraId="1FC939B8" w14:textId="77777777" w:rsidR="00477291" w:rsidRPr="002E2AA0" w:rsidRDefault="00477291" w:rsidP="00477291">
            <w:pPr>
              <w:rPr>
                <w:rFonts w:cs="Times New Roman"/>
              </w:rPr>
            </w:pPr>
            <w:r w:rsidRPr="002E2AA0">
              <w:rPr>
                <w:rFonts w:cs="Times New Roman"/>
              </w:rPr>
              <w:t>Q8</w:t>
            </w:r>
          </w:p>
        </w:tc>
        <w:tc>
          <w:tcPr>
            <w:tcW w:w="784" w:type="dxa"/>
            <w:tcBorders>
              <w:top w:val="single" w:sz="4" w:space="0" w:color="auto"/>
              <w:bottom w:val="single" w:sz="4" w:space="0" w:color="auto"/>
            </w:tcBorders>
          </w:tcPr>
          <w:p w14:paraId="05B7F8B3" w14:textId="77777777" w:rsidR="00477291" w:rsidRPr="002E2AA0" w:rsidRDefault="00477291" w:rsidP="00477291">
            <w:pPr>
              <w:rPr>
                <w:rFonts w:cs="Times New Roman"/>
              </w:rPr>
            </w:pPr>
            <w:r w:rsidRPr="002E2AA0">
              <w:rPr>
                <w:rFonts w:cs="Times New Roman"/>
              </w:rPr>
              <w:t>Q9</w:t>
            </w:r>
          </w:p>
        </w:tc>
        <w:tc>
          <w:tcPr>
            <w:tcW w:w="804" w:type="dxa"/>
            <w:tcBorders>
              <w:top w:val="single" w:sz="4" w:space="0" w:color="auto"/>
              <w:bottom w:val="single" w:sz="4" w:space="0" w:color="auto"/>
            </w:tcBorders>
          </w:tcPr>
          <w:p w14:paraId="7DCCAEFC" w14:textId="77777777" w:rsidR="00477291" w:rsidRPr="002E2AA0" w:rsidRDefault="00477291" w:rsidP="00477291">
            <w:pPr>
              <w:rPr>
                <w:rFonts w:cs="Times New Roman"/>
              </w:rPr>
            </w:pPr>
            <w:r w:rsidRPr="002E2AA0">
              <w:rPr>
                <w:rFonts w:cs="Times New Roman"/>
              </w:rPr>
              <w:t>Q10</w:t>
            </w:r>
          </w:p>
        </w:tc>
        <w:tc>
          <w:tcPr>
            <w:tcW w:w="826" w:type="dxa"/>
            <w:tcBorders>
              <w:top w:val="single" w:sz="4" w:space="0" w:color="auto"/>
              <w:bottom w:val="single" w:sz="4" w:space="0" w:color="auto"/>
            </w:tcBorders>
          </w:tcPr>
          <w:p w14:paraId="3061F016" w14:textId="77777777" w:rsidR="00477291" w:rsidRPr="002E2AA0" w:rsidRDefault="00477291" w:rsidP="00477291">
            <w:pPr>
              <w:rPr>
                <w:rFonts w:cs="Times New Roman"/>
              </w:rPr>
            </w:pPr>
            <w:r w:rsidRPr="002E2AA0">
              <w:rPr>
                <w:rFonts w:cs="Times New Roman"/>
              </w:rPr>
              <w:t>Total sum:</w:t>
            </w:r>
          </w:p>
        </w:tc>
        <w:tc>
          <w:tcPr>
            <w:tcW w:w="1148" w:type="dxa"/>
            <w:tcBorders>
              <w:top w:val="single" w:sz="4" w:space="0" w:color="auto"/>
              <w:bottom w:val="single" w:sz="4" w:space="0" w:color="auto"/>
            </w:tcBorders>
          </w:tcPr>
          <w:p w14:paraId="38443D41" w14:textId="77777777" w:rsidR="00477291" w:rsidRPr="002E2AA0" w:rsidRDefault="00477291" w:rsidP="00477291">
            <w:pPr>
              <w:rPr>
                <w:rFonts w:cs="Times New Roman"/>
              </w:rPr>
            </w:pPr>
            <w:r w:rsidRPr="002E2AA0">
              <w:rPr>
                <w:rFonts w:cs="Times New Roman"/>
              </w:rPr>
              <w:t>Total possible sum:</w:t>
            </w:r>
          </w:p>
        </w:tc>
        <w:tc>
          <w:tcPr>
            <w:tcW w:w="1316" w:type="dxa"/>
            <w:tcBorders>
              <w:top w:val="single" w:sz="4" w:space="0" w:color="auto"/>
              <w:bottom w:val="single" w:sz="4" w:space="0" w:color="auto"/>
            </w:tcBorders>
          </w:tcPr>
          <w:p w14:paraId="2CEEC879" w14:textId="77777777" w:rsidR="00477291" w:rsidRPr="002E2AA0" w:rsidRDefault="00477291" w:rsidP="00477291">
            <w:pPr>
              <w:rPr>
                <w:rFonts w:cs="Times New Roman"/>
              </w:rPr>
            </w:pPr>
            <w:r w:rsidRPr="002E2AA0">
              <w:rPr>
                <w:rFonts w:cs="Times New Roman"/>
              </w:rPr>
              <w:t>Summary score (%):</w:t>
            </w:r>
          </w:p>
        </w:tc>
      </w:tr>
      <w:tr w:rsidR="00477291" w:rsidRPr="002E2AA0" w14:paraId="1453B1D7" w14:textId="77777777" w:rsidTr="00973AE9">
        <w:trPr>
          <w:trHeight w:val="652"/>
        </w:trPr>
        <w:tc>
          <w:tcPr>
            <w:tcW w:w="2427" w:type="dxa"/>
            <w:tcBorders>
              <w:top w:val="single" w:sz="4" w:space="0" w:color="auto"/>
              <w:bottom w:val="nil"/>
            </w:tcBorders>
          </w:tcPr>
          <w:p w14:paraId="53598E41" w14:textId="77777777" w:rsidR="00477291" w:rsidRPr="002E2AA0" w:rsidRDefault="00477291" w:rsidP="00477291">
            <w:pPr>
              <w:rPr>
                <w:rFonts w:cs="Times New Roman"/>
                <w:bCs/>
              </w:rPr>
            </w:pPr>
            <w:r w:rsidRPr="002E2AA0">
              <w:rPr>
                <w:rFonts w:cs="Times New Roman"/>
                <w:bCs/>
              </w:rPr>
              <w:t>Barnett &amp; Wood (2008)*</w:t>
            </w:r>
          </w:p>
        </w:tc>
        <w:tc>
          <w:tcPr>
            <w:tcW w:w="788" w:type="dxa"/>
            <w:tcBorders>
              <w:top w:val="single" w:sz="4" w:space="0" w:color="auto"/>
              <w:bottom w:val="nil"/>
            </w:tcBorders>
          </w:tcPr>
          <w:p w14:paraId="2DB32390" w14:textId="77777777" w:rsidR="00477291" w:rsidRPr="002E2AA0" w:rsidRDefault="00477291" w:rsidP="00477291">
            <w:pPr>
              <w:rPr>
                <w:rFonts w:cs="Times New Roman"/>
              </w:rPr>
            </w:pPr>
            <w:r w:rsidRPr="002E2AA0">
              <w:rPr>
                <w:rFonts w:cs="Times New Roman"/>
              </w:rPr>
              <w:t>2</w:t>
            </w:r>
          </w:p>
        </w:tc>
        <w:tc>
          <w:tcPr>
            <w:tcW w:w="793" w:type="dxa"/>
            <w:gridSpan w:val="2"/>
            <w:tcBorders>
              <w:top w:val="single" w:sz="4" w:space="0" w:color="auto"/>
              <w:bottom w:val="nil"/>
            </w:tcBorders>
          </w:tcPr>
          <w:p w14:paraId="4C681DE2" w14:textId="77777777" w:rsidR="00477291" w:rsidRPr="002E2AA0" w:rsidRDefault="00477291" w:rsidP="00477291">
            <w:pPr>
              <w:rPr>
                <w:rFonts w:cs="Times New Roman"/>
              </w:rPr>
            </w:pPr>
            <w:r w:rsidRPr="002E2AA0">
              <w:rPr>
                <w:rFonts w:cs="Times New Roman"/>
              </w:rPr>
              <w:t>2</w:t>
            </w:r>
          </w:p>
        </w:tc>
        <w:tc>
          <w:tcPr>
            <w:tcW w:w="785" w:type="dxa"/>
            <w:gridSpan w:val="2"/>
            <w:tcBorders>
              <w:top w:val="single" w:sz="4" w:space="0" w:color="auto"/>
              <w:bottom w:val="nil"/>
            </w:tcBorders>
          </w:tcPr>
          <w:p w14:paraId="514F4762" w14:textId="77777777" w:rsidR="00477291" w:rsidRPr="002E2AA0" w:rsidRDefault="00477291" w:rsidP="00477291">
            <w:pPr>
              <w:rPr>
                <w:rFonts w:cs="Times New Roman"/>
              </w:rPr>
            </w:pPr>
            <w:r w:rsidRPr="002E2AA0">
              <w:rPr>
                <w:rFonts w:cs="Times New Roman"/>
              </w:rPr>
              <w:t>2</w:t>
            </w:r>
          </w:p>
        </w:tc>
        <w:tc>
          <w:tcPr>
            <w:tcW w:w="784" w:type="dxa"/>
            <w:tcBorders>
              <w:top w:val="single" w:sz="4" w:space="0" w:color="auto"/>
              <w:bottom w:val="nil"/>
            </w:tcBorders>
          </w:tcPr>
          <w:p w14:paraId="69726419" w14:textId="77777777" w:rsidR="00477291" w:rsidRPr="002E2AA0" w:rsidRDefault="00477291" w:rsidP="00477291">
            <w:pPr>
              <w:rPr>
                <w:rFonts w:cs="Times New Roman"/>
              </w:rPr>
            </w:pPr>
            <w:r w:rsidRPr="002E2AA0">
              <w:rPr>
                <w:rFonts w:cs="Times New Roman"/>
              </w:rPr>
              <w:t>2</w:t>
            </w:r>
          </w:p>
        </w:tc>
        <w:tc>
          <w:tcPr>
            <w:tcW w:w="786" w:type="dxa"/>
            <w:tcBorders>
              <w:top w:val="single" w:sz="4" w:space="0" w:color="auto"/>
              <w:bottom w:val="nil"/>
            </w:tcBorders>
          </w:tcPr>
          <w:p w14:paraId="647709B1" w14:textId="77777777" w:rsidR="00477291" w:rsidRPr="002E2AA0" w:rsidRDefault="00477291" w:rsidP="00477291">
            <w:pPr>
              <w:rPr>
                <w:rFonts w:cs="Times New Roman"/>
              </w:rPr>
            </w:pPr>
            <w:r w:rsidRPr="002E2AA0">
              <w:rPr>
                <w:rFonts w:cs="Times New Roman"/>
              </w:rPr>
              <w:t>2</w:t>
            </w:r>
          </w:p>
        </w:tc>
        <w:tc>
          <w:tcPr>
            <w:tcW w:w="786" w:type="dxa"/>
            <w:tcBorders>
              <w:top w:val="single" w:sz="4" w:space="0" w:color="auto"/>
              <w:bottom w:val="nil"/>
            </w:tcBorders>
          </w:tcPr>
          <w:p w14:paraId="45BBB9BF" w14:textId="77777777" w:rsidR="00477291" w:rsidRPr="002E2AA0" w:rsidRDefault="00477291" w:rsidP="00477291">
            <w:pPr>
              <w:rPr>
                <w:rFonts w:cs="Times New Roman"/>
              </w:rPr>
            </w:pPr>
            <w:r w:rsidRPr="002E2AA0">
              <w:rPr>
                <w:rFonts w:cs="Times New Roman"/>
              </w:rPr>
              <w:t>2</w:t>
            </w:r>
          </w:p>
        </w:tc>
        <w:tc>
          <w:tcPr>
            <w:tcW w:w="798" w:type="dxa"/>
            <w:tcBorders>
              <w:top w:val="single" w:sz="4" w:space="0" w:color="auto"/>
              <w:bottom w:val="nil"/>
            </w:tcBorders>
          </w:tcPr>
          <w:p w14:paraId="4DD1A42F" w14:textId="77777777" w:rsidR="00477291" w:rsidRPr="002E2AA0" w:rsidRDefault="00477291" w:rsidP="00477291">
            <w:pPr>
              <w:rPr>
                <w:rFonts w:cs="Times New Roman"/>
              </w:rPr>
            </w:pPr>
            <w:r w:rsidRPr="002E2AA0">
              <w:rPr>
                <w:rFonts w:cs="Times New Roman"/>
              </w:rPr>
              <w:t>2</w:t>
            </w:r>
          </w:p>
        </w:tc>
        <w:tc>
          <w:tcPr>
            <w:tcW w:w="783" w:type="dxa"/>
            <w:tcBorders>
              <w:top w:val="single" w:sz="4" w:space="0" w:color="auto"/>
              <w:bottom w:val="nil"/>
            </w:tcBorders>
          </w:tcPr>
          <w:p w14:paraId="7E948A11" w14:textId="77777777" w:rsidR="00477291" w:rsidRPr="002E2AA0" w:rsidRDefault="00477291" w:rsidP="00477291">
            <w:pPr>
              <w:rPr>
                <w:rFonts w:cs="Times New Roman"/>
              </w:rPr>
            </w:pPr>
            <w:r w:rsidRPr="002E2AA0">
              <w:rPr>
                <w:rFonts w:cs="Times New Roman"/>
              </w:rPr>
              <w:t>2</w:t>
            </w:r>
          </w:p>
        </w:tc>
        <w:tc>
          <w:tcPr>
            <w:tcW w:w="784" w:type="dxa"/>
            <w:tcBorders>
              <w:top w:val="single" w:sz="4" w:space="0" w:color="auto"/>
              <w:bottom w:val="nil"/>
            </w:tcBorders>
          </w:tcPr>
          <w:p w14:paraId="2381BD11" w14:textId="77777777" w:rsidR="00477291" w:rsidRPr="002E2AA0" w:rsidRDefault="00477291" w:rsidP="00477291">
            <w:pPr>
              <w:rPr>
                <w:rFonts w:cs="Times New Roman"/>
              </w:rPr>
            </w:pPr>
            <w:r w:rsidRPr="002E2AA0">
              <w:rPr>
                <w:rFonts w:cs="Times New Roman"/>
              </w:rPr>
              <w:t>2</w:t>
            </w:r>
          </w:p>
        </w:tc>
        <w:tc>
          <w:tcPr>
            <w:tcW w:w="804" w:type="dxa"/>
            <w:tcBorders>
              <w:top w:val="single" w:sz="4" w:space="0" w:color="auto"/>
              <w:bottom w:val="nil"/>
            </w:tcBorders>
          </w:tcPr>
          <w:p w14:paraId="433EF7A3" w14:textId="77777777" w:rsidR="00477291" w:rsidRPr="002E2AA0" w:rsidRDefault="00477291" w:rsidP="00477291">
            <w:pPr>
              <w:rPr>
                <w:rFonts w:cs="Times New Roman"/>
              </w:rPr>
            </w:pPr>
            <w:r w:rsidRPr="002E2AA0">
              <w:rPr>
                <w:rFonts w:cs="Times New Roman"/>
              </w:rPr>
              <w:t>0</w:t>
            </w:r>
          </w:p>
        </w:tc>
        <w:tc>
          <w:tcPr>
            <w:tcW w:w="826" w:type="dxa"/>
            <w:tcBorders>
              <w:top w:val="single" w:sz="4" w:space="0" w:color="auto"/>
              <w:bottom w:val="nil"/>
            </w:tcBorders>
          </w:tcPr>
          <w:p w14:paraId="61AF0679" w14:textId="77777777" w:rsidR="00477291" w:rsidRPr="002E2AA0" w:rsidRDefault="00477291" w:rsidP="00477291">
            <w:pPr>
              <w:rPr>
                <w:rFonts w:cs="Times New Roman"/>
              </w:rPr>
            </w:pPr>
            <w:r w:rsidRPr="002E2AA0">
              <w:rPr>
                <w:rFonts w:cs="Times New Roman"/>
              </w:rPr>
              <w:t>18</w:t>
            </w:r>
          </w:p>
        </w:tc>
        <w:tc>
          <w:tcPr>
            <w:tcW w:w="1148" w:type="dxa"/>
            <w:tcBorders>
              <w:top w:val="single" w:sz="4" w:space="0" w:color="auto"/>
              <w:bottom w:val="nil"/>
            </w:tcBorders>
          </w:tcPr>
          <w:p w14:paraId="12983D21" w14:textId="77777777" w:rsidR="00477291" w:rsidRPr="002E2AA0" w:rsidRDefault="00477291" w:rsidP="00477291">
            <w:pPr>
              <w:rPr>
                <w:rFonts w:cs="Times New Roman"/>
              </w:rPr>
            </w:pPr>
            <w:r w:rsidRPr="002E2AA0">
              <w:rPr>
                <w:rFonts w:cs="Times New Roman"/>
              </w:rPr>
              <w:t>20</w:t>
            </w:r>
          </w:p>
        </w:tc>
        <w:tc>
          <w:tcPr>
            <w:tcW w:w="1316" w:type="dxa"/>
            <w:tcBorders>
              <w:top w:val="single" w:sz="4" w:space="0" w:color="auto"/>
              <w:bottom w:val="nil"/>
            </w:tcBorders>
          </w:tcPr>
          <w:p w14:paraId="756DE76A" w14:textId="77777777" w:rsidR="00477291" w:rsidRPr="002E2AA0" w:rsidRDefault="00477291" w:rsidP="00477291">
            <w:pPr>
              <w:rPr>
                <w:rFonts w:cs="Times New Roman"/>
              </w:rPr>
            </w:pPr>
            <w:r w:rsidRPr="002E2AA0">
              <w:rPr>
                <w:rFonts w:cs="Times New Roman"/>
              </w:rPr>
              <w:t>90</w:t>
            </w:r>
          </w:p>
        </w:tc>
      </w:tr>
      <w:tr w:rsidR="00973AE9" w:rsidRPr="002E2AA0" w14:paraId="4750A788" w14:textId="77777777" w:rsidTr="00973AE9">
        <w:trPr>
          <w:trHeight w:val="652"/>
        </w:trPr>
        <w:tc>
          <w:tcPr>
            <w:tcW w:w="2427" w:type="dxa"/>
            <w:tcBorders>
              <w:top w:val="nil"/>
              <w:bottom w:val="nil"/>
            </w:tcBorders>
          </w:tcPr>
          <w:p w14:paraId="69DA40F9" w14:textId="77777777" w:rsidR="00973AE9" w:rsidRPr="002E2AA0" w:rsidRDefault="00973AE9" w:rsidP="00973AE9">
            <w:pPr>
              <w:rPr>
                <w:rFonts w:cs="Times New Roman"/>
              </w:rPr>
            </w:pPr>
            <w:r w:rsidRPr="002E2AA0">
              <w:rPr>
                <w:rFonts w:cs="Times New Roman"/>
              </w:rPr>
              <w:t>Harkins et al. (2012)*</w:t>
            </w:r>
          </w:p>
        </w:tc>
        <w:tc>
          <w:tcPr>
            <w:tcW w:w="788" w:type="dxa"/>
            <w:tcBorders>
              <w:top w:val="nil"/>
              <w:bottom w:val="nil"/>
            </w:tcBorders>
          </w:tcPr>
          <w:p w14:paraId="74FB6F50" w14:textId="77777777" w:rsidR="00973AE9" w:rsidRPr="002E2AA0" w:rsidRDefault="00973AE9" w:rsidP="00973AE9">
            <w:pPr>
              <w:rPr>
                <w:rFonts w:cs="Times New Roman"/>
              </w:rPr>
            </w:pPr>
            <w:r w:rsidRPr="002E2AA0">
              <w:rPr>
                <w:rFonts w:cs="Times New Roman"/>
              </w:rPr>
              <w:t>2</w:t>
            </w:r>
          </w:p>
        </w:tc>
        <w:tc>
          <w:tcPr>
            <w:tcW w:w="793" w:type="dxa"/>
            <w:gridSpan w:val="2"/>
            <w:tcBorders>
              <w:top w:val="nil"/>
              <w:bottom w:val="nil"/>
            </w:tcBorders>
          </w:tcPr>
          <w:p w14:paraId="6CEA4E9D" w14:textId="77777777" w:rsidR="00973AE9" w:rsidRPr="002E2AA0" w:rsidRDefault="00973AE9" w:rsidP="00973AE9">
            <w:pPr>
              <w:rPr>
                <w:rFonts w:cs="Times New Roman"/>
              </w:rPr>
            </w:pPr>
            <w:r w:rsidRPr="002E2AA0">
              <w:rPr>
                <w:rFonts w:cs="Times New Roman"/>
              </w:rPr>
              <w:t>2</w:t>
            </w:r>
          </w:p>
        </w:tc>
        <w:tc>
          <w:tcPr>
            <w:tcW w:w="785" w:type="dxa"/>
            <w:gridSpan w:val="2"/>
            <w:tcBorders>
              <w:top w:val="nil"/>
              <w:bottom w:val="nil"/>
            </w:tcBorders>
          </w:tcPr>
          <w:p w14:paraId="73D6D54B" w14:textId="77777777" w:rsidR="00973AE9" w:rsidRPr="002E2AA0" w:rsidRDefault="00973AE9" w:rsidP="00973AE9">
            <w:pPr>
              <w:rPr>
                <w:rFonts w:cs="Times New Roman"/>
              </w:rPr>
            </w:pPr>
            <w:r w:rsidRPr="002E2AA0">
              <w:rPr>
                <w:rFonts w:cs="Times New Roman"/>
              </w:rPr>
              <w:t>2</w:t>
            </w:r>
          </w:p>
        </w:tc>
        <w:tc>
          <w:tcPr>
            <w:tcW w:w="784" w:type="dxa"/>
            <w:tcBorders>
              <w:top w:val="nil"/>
              <w:bottom w:val="nil"/>
            </w:tcBorders>
          </w:tcPr>
          <w:p w14:paraId="13C18C9E" w14:textId="77777777" w:rsidR="00973AE9" w:rsidRPr="002E2AA0" w:rsidRDefault="00973AE9" w:rsidP="00973AE9">
            <w:pPr>
              <w:rPr>
                <w:rFonts w:cs="Times New Roman"/>
              </w:rPr>
            </w:pPr>
            <w:r w:rsidRPr="002E2AA0">
              <w:rPr>
                <w:rFonts w:cs="Times New Roman"/>
              </w:rPr>
              <w:t>2</w:t>
            </w:r>
          </w:p>
        </w:tc>
        <w:tc>
          <w:tcPr>
            <w:tcW w:w="786" w:type="dxa"/>
            <w:tcBorders>
              <w:top w:val="nil"/>
              <w:bottom w:val="nil"/>
            </w:tcBorders>
          </w:tcPr>
          <w:p w14:paraId="033C524F" w14:textId="77777777" w:rsidR="00973AE9" w:rsidRPr="002E2AA0" w:rsidRDefault="00973AE9" w:rsidP="00973AE9">
            <w:pPr>
              <w:rPr>
                <w:rFonts w:cs="Times New Roman"/>
              </w:rPr>
            </w:pPr>
            <w:r w:rsidRPr="002E2AA0">
              <w:rPr>
                <w:rFonts w:cs="Times New Roman"/>
              </w:rPr>
              <w:t>2</w:t>
            </w:r>
          </w:p>
        </w:tc>
        <w:tc>
          <w:tcPr>
            <w:tcW w:w="786" w:type="dxa"/>
            <w:tcBorders>
              <w:top w:val="nil"/>
              <w:bottom w:val="nil"/>
            </w:tcBorders>
          </w:tcPr>
          <w:p w14:paraId="3C2E4A0F" w14:textId="77777777" w:rsidR="00973AE9" w:rsidRPr="002E2AA0" w:rsidRDefault="00973AE9" w:rsidP="00973AE9">
            <w:pPr>
              <w:rPr>
                <w:rFonts w:cs="Times New Roman"/>
              </w:rPr>
            </w:pPr>
            <w:r w:rsidRPr="002E2AA0">
              <w:rPr>
                <w:rFonts w:cs="Times New Roman"/>
              </w:rPr>
              <w:t>2</w:t>
            </w:r>
          </w:p>
        </w:tc>
        <w:tc>
          <w:tcPr>
            <w:tcW w:w="798" w:type="dxa"/>
            <w:tcBorders>
              <w:top w:val="nil"/>
              <w:bottom w:val="nil"/>
            </w:tcBorders>
          </w:tcPr>
          <w:p w14:paraId="56DC057B" w14:textId="77777777" w:rsidR="00973AE9" w:rsidRPr="002E2AA0" w:rsidRDefault="00973AE9" w:rsidP="00973AE9">
            <w:pPr>
              <w:rPr>
                <w:rFonts w:cs="Times New Roman"/>
              </w:rPr>
            </w:pPr>
            <w:r w:rsidRPr="002E2AA0">
              <w:rPr>
                <w:rFonts w:cs="Times New Roman"/>
              </w:rPr>
              <w:t>2</w:t>
            </w:r>
          </w:p>
        </w:tc>
        <w:tc>
          <w:tcPr>
            <w:tcW w:w="783" w:type="dxa"/>
            <w:tcBorders>
              <w:top w:val="nil"/>
              <w:bottom w:val="nil"/>
            </w:tcBorders>
          </w:tcPr>
          <w:p w14:paraId="51CB1CF8" w14:textId="77777777" w:rsidR="00973AE9" w:rsidRPr="002E2AA0" w:rsidRDefault="00973AE9" w:rsidP="00973AE9">
            <w:pPr>
              <w:rPr>
                <w:rFonts w:cs="Times New Roman"/>
              </w:rPr>
            </w:pPr>
            <w:r w:rsidRPr="002E2AA0">
              <w:rPr>
                <w:rFonts w:cs="Times New Roman"/>
              </w:rPr>
              <w:t>2</w:t>
            </w:r>
          </w:p>
        </w:tc>
        <w:tc>
          <w:tcPr>
            <w:tcW w:w="784" w:type="dxa"/>
            <w:tcBorders>
              <w:top w:val="nil"/>
              <w:bottom w:val="nil"/>
            </w:tcBorders>
          </w:tcPr>
          <w:p w14:paraId="78233566" w14:textId="77777777" w:rsidR="00973AE9" w:rsidRPr="002E2AA0" w:rsidRDefault="00973AE9" w:rsidP="00973AE9">
            <w:pPr>
              <w:rPr>
                <w:rFonts w:cs="Times New Roman"/>
              </w:rPr>
            </w:pPr>
            <w:r w:rsidRPr="002E2AA0">
              <w:rPr>
                <w:rFonts w:cs="Times New Roman"/>
              </w:rPr>
              <w:t>2</w:t>
            </w:r>
          </w:p>
        </w:tc>
        <w:tc>
          <w:tcPr>
            <w:tcW w:w="804" w:type="dxa"/>
            <w:tcBorders>
              <w:top w:val="nil"/>
              <w:bottom w:val="nil"/>
            </w:tcBorders>
          </w:tcPr>
          <w:p w14:paraId="79C48C0D" w14:textId="77777777" w:rsidR="00973AE9" w:rsidRPr="002E2AA0" w:rsidRDefault="00973AE9" w:rsidP="00973AE9">
            <w:pPr>
              <w:rPr>
                <w:rFonts w:cs="Times New Roman"/>
              </w:rPr>
            </w:pPr>
            <w:r w:rsidRPr="002E2AA0">
              <w:rPr>
                <w:rFonts w:cs="Times New Roman"/>
              </w:rPr>
              <w:t>0</w:t>
            </w:r>
          </w:p>
        </w:tc>
        <w:tc>
          <w:tcPr>
            <w:tcW w:w="826" w:type="dxa"/>
            <w:tcBorders>
              <w:top w:val="nil"/>
              <w:bottom w:val="nil"/>
            </w:tcBorders>
          </w:tcPr>
          <w:p w14:paraId="043DD4A0" w14:textId="77777777" w:rsidR="00973AE9" w:rsidRPr="002E2AA0" w:rsidRDefault="00973AE9" w:rsidP="00973AE9">
            <w:pPr>
              <w:rPr>
                <w:rFonts w:cs="Times New Roman"/>
              </w:rPr>
            </w:pPr>
            <w:r w:rsidRPr="002E2AA0">
              <w:rPr>
                <w:rFonts w:cs="Times New Roman"/>
              </w:rPr>
              <w:t>18</w:t>
            </w:r>
          </w:p>
        </w:tc>
        <w:tc>
          <w:tcPr>
            <w:tcW w:w="1148" w:type="dxa"/>
            <w:tcBorders>
              <w:top w:val="nil"/>
              <w:bottom w:val="nil"/>
            </w:tcBorders>
          </w:tcPr>
          <w:p w14:paraId="5312A204" w14:textId="77777777" w:rsidR="00973AE9" w:rsidRPr="002E2AA0" w:rsidRDefault="00973AE9" w:rsidP="00973AE9">
            <w:pPr>
              <w:rPr>
                <w:rFonts w:cs="Times New Roman"/>
              </w:rPr>
            </w:pPr>
            <w:r w:rsidRPr="002E2AA0">
              <w:rPr>
                <w:rFonts w:cs="Times New Roman"/>
              </w:rPr>
              <w:t>20</w:t>
            </w:r>
          </w:p>
        </w:tc>
        <w:tc>
          <w:tcPr>
            <w:tcW w:w="1316" w:type="dxa"/>
            <w:tcBorders>
              <w:top w:val="nil"/>
              <w:bottom w:val="nil"/>
            </w:tcBorders>
          </w:tcPr>
          <w:p w14:paraId="0CDE4D85" w14:textId="77777777" w:rsidR="00973AE9" w:rsidRPr="002E2AA0" w:rsidRDefault="00973AE9" w:rsidP="00973AE9">
            <w:pPr>
              <w:rPr>
                <w:rFonts w:cs="Times New Roman"/>
              </w:rPr>
            </w:pPr>
            <w:r w:rsidRPr="002E2AA0">
              <w:rPr>
                <w:rFonts w:cs="Times New Roman"/>
              </w:rPr>
              <w:t>90</w:t>
            </w:r>
          </w:p>
        </w:tc>
      </w:tr>
      <w:tr w:rsidR="00973AE9" w:rsidRPr="002E2AA0" w14:paraId="282B3039" w14:textId="77777777" w:rsidTr="00973AE9">
        <w:trPr>
          <w:trHeight w:val="652"/>
        </w:trPr>
        <w:tc>
          <w:tcPr>
            <w:tcW w:w="2427" w:type="dxa"/>
            <w:tcBorders>
              <w:top w:val="nil"/>
              <w:bottom w:val="nil"/>
            </w:tcBorders>
          </w:tcPr>
          <w:p w14:paraId="7C37D96E" w14:textId="77777777" w:rsidR="00973AE9" w:rsidRPr="002E2AA0" w:rsidRDefault="00973AE9" w:rsidP="00973AE9">
            <w:pPr>
              <w:rPr>
                <w:rFonts w:cs="Times New Roman"/>
                <w:bCs/>
              </w:rPr>
            </w:pPr>
            <w:r w:rsidRPr="002E2AA0">
              <w:rPr>
                <w:rFonts w:cs="Times New Roman"/>
                <w:bCs/>
              </w:rPr>
              <w:t>Harris et al. (2019)</w:t>
            </w:r>
          </w:p>
        </w:tc>
        <w:tc>
          <w:tcPr>
            <w:tcW w:w="788" w:type="dxa"/>
            <w:tcBorders>
              <w:top w:val="nil"/>
              <w:bottom w:val="nil"/>
            </w:tcBorders>
          </w:tcPr>
          <w:p w14:paraId="059D46AD" w14:textId="77777777" w:rsidR="00973AE9" w:rsidRPr="002E2AA0" w:rsidRDefault="00973AE9" w:rsidP="00973AE9">
            <w:pPr>
              <w:rPr>
                <w:rFonts w:cs="Times New Roman"/>
              </w:rPr>
            </w:pPr>
            <w:r w:rsidRPr="002E2AA0">
              <w:rPr>
                <w:rFonts w:cs="Times New Roman"/>
              </w:rPr>
              <w:t>2</w:t>
            </w:r>
          </w:p>
        </w:tc>
        <w:tc>
          <w:tcPr>
            <w:tcW w:w="793" w:type="dxa"/>
            <w:gridSpan w:val="2"/>
            <w:tcBorders>
              <w:top w:val="nil"/>
              <w:bottom w:val="nil"/>
            </w:tcBorders>
          </w:tcPr>
          <w:p w14:paraId="7DAD1C1B" w14:textId="77777777" w:rsidR="00973AE9" w:rsidRPr="002E2AA0" w:rsidRDefault="00973AE9" w:rsidP="00973AE9">
            <w:pPr>
              <w:rPr>
                <w:rFonts w:cs="Times New Roman"/>
              </w:rPr>
            </w:pPr>
            <w:r w:rsidRPr="002E2AA0">
              <w:rPr>
                <w:rFonts w:cs="Times New Roman"/>
              </w:rPr>
              <w:t>2</w:t>
            </w:r>
          </w:p>
        </w:tc>
        <w:tc>
          <w:tcPr>
            <w:tcW w:w="785" w:type="dxa"/>
            <w:gridSpan w:val="2"/>
            <w:tcBorders>
              <w:top w:val="nil"/>
              <w:bottom w:val="nil"/>
            </w:tcBorders>
          </w:tcPr>
          <w:p w14:paraId="751C4006" w14:textId="77777777" w:rsidR="00973AE9" w:rsidRPr="002E2AA0" w:rsidRDefault="00973AE9" w:rsidP="00973AE9">
            <w:pPr>
              <w:rPr>
                <w:rFonts w:cs="Times New Roman"/>
              </w:rPr>
            </w:pPr>
            <w:r w:rsidRPr="002E2AA0">
              <w:rPr>
                <w:rFonts w:cs="Times New Roman"/>
              </w:rPr>
              <w:t>2</w:t>
            </w:r>
          </w:p>
        </w:tc>
        <w:tc>
          <w:tcPr>
            <w:tcW w:w="784" w:type="dxa"/>
            <w:tcBorders>
              <w:top w:val="nil"/>
              <w:bottom w:val="nil"/>
            </w:tcBorders>
          </w:tcPr>
          <w:p w14:paraId="57D12F13" w14:textId="77777777" w:rsidR="00973AE9" w:rsidRPr="002E2AA0" w:rsidRDefault="00973AE9" w:rsidP="00973AE9">
            <w:pPr>
              <w:rPr>
                <w:rFonts w:cs="Times New Roman"/>
              </w:rPr>
            </w:pPr>
            <w:r w:rsidRPr="002E2AA0">
              <w:rPr>
                <w:rFonts w:cs="Times New Roman"/>
              </w:rPr>
              <w:t>2</w:t>
            </w:r>
          </w:p>
        </w:tc>
        <w:tc>
          <w:tcPr>
            <w:tcW w:w="786" w:type="dxa"/>
            <w:tcBorders>
              <w:top w:val="nil"/>
              <w:bottom w:val="nil"/>
            </w:tcBorders>
          </w:tcPr>
          <w:p w14:paraId="0F07C05A" w14:textId="77777777" w:rsidR="00973AE9" w:rsidRPr="002E2AA0" w:rsidRDefault="00973AE9" w:rsidP="00973AE9">
            <w:pPr>
              <w:rPr>
                <w:rFonts w:cs="Times New Roman"/>
              </w:rPr>
            </w:pPr>
            <w:r w:rsidRPr="002E2AA0">
              <w:rPr>
                <w:rFonts w:cs="Times New Roman"/>
              </w:rPr>
              <w:t>2</w:t>
            </w:r>
          </w:p>
        </w:tc>
        <w:tc>
          <w:tcPr>
            <w:tcW w:w="786" w:type="dxa"/>
            <w:tcBorders>
              <w:top w:val="nil"/>
              <w:bottom w:val="nil"/>
            </w:tcBorders>
          </w:tcPr>
          <w:p w14:paraId="376AE502" w14:textId="77777777" w:rsidR="00973AE9" w:rsidRPr="002E2AA0" w:rsidRDefault="00973AE9" w:rsidP="00973AE9">
            <w:pPr>
              <w:rPr>
                <w:rFonts w:cs="Times New Roman"/>
              </w:rPr>
            </w:pPr>
            <w:r w:rsidRPr="002E2AA0">
              <w:rPr>
                <w:rFonts w:cs="Times New Roman"/>
              </w:rPr>
              <w:t>2</w:t>
            </w:r>
          </w:p>
        </w:tc>
        <w:tc>
          <w:tcPr>
            <w:tcW w:w="798" w:type="dxa"/>
            <w:tcBorders>
              <w:top w:val="nil"/>
              <w:bottom w:val="nil"/>
            </w:tcBorders>
          </w:tcPr>
          <w:p w14:paraId="1AE04CEE" w14:textId="77777777" w:rsidR="00973AE9" w:rsidRPr="002E2AA0" w:rsidRDefault="00973AE9" w:rsidP="00973AE9">
            <w:pPr>
              <w:rPr>
                <w:rFonts w:cs="Times New Roman"/>
              </w:rPr>
            </w:pPr>
            <w:r w:rsidRPr="002E2AA0">
              <w:rPr>
                <w:rFonts w:cs="Times New Roman"/>
              </w:rPr>
              <w:t>2</w:t>
            </w:r>
          </w:p>
        </w:tc>
        <w:tc>
          <w:tcPr>
            <w:tcW w:w="783" w:type="dxa"/>
            <w:tcBorders>
              <w:top w:val="nil"/>
              <w:bottom w:val="nil"/>
            </w:tcBorders>
          </w:tcPr>
          <w:p w14:paraId="29F3F9B7" w14:textId="77777777" w:rsidR="00973AE9" w:rsidRPr="002E2AA0" w:rsidRDefault="00973AE9" w:rsidP="00973AE9">
            <w:pPr>
              <w:rPr>
                <w:rFonts w:cs="Times New Roman"/>
              </w:rPr>
            </w:pPr>
            <w:r w:rsidRPr="002E2AA0">
              <w:rPr>
                <w:rFonts w:cs="Times New Roman"/>
              </w:rPr>
              <w:t>0</w:t>
            </w:r>
          </w:p>
        </w:tc>
        <w:tc>
          <w:tcPr>
            <w:tcW w:w="784" w:type="dxa"/>
            <w:tcBorders>
              <w:top w:val="nil"/>
              <w:bottom w:val="nil"/>
            </w:tcBorders>
          </w:tcPr>
          <w:p w14:paraId="0FBF9E40" w14:textId="77777777" w:rsidR="00973AE9" w:rsidRPr="002E2AA0" w:rsidRDefault="00973AE9" w:rsidP="00973AE9">
            <w:pPr>
              <w:rPr>
                <w:rFonts w:cs="Times New Roman"/>
              </w:rPr>
            </w:pPr>
            <w:r w:rsidRPr="002E2AA0">
              <w:rPr>
                <w:rFonts w:cs="Times New Roman"/>
              </w:rPr>
              <w:t>2</w:t>
            </w:r>
          </w:p>
        </w:tc>
        <w:tc>
          <w:tcPr>
            <w:tcW w:w="804" w:type="dxa"/>
            <w:tcBorders>
              <w:top w:val="nil"/>
              <w:bottom w:val="nil"/>
            </w:tcBorders>
          </w:tcPr>
          <w:p w14:paraId="4526BCA4" w14:textId="77777777" w:rsidR="00973AE9" w:rsidRPr="002E2AA0" w:rsidRDefault="00973AE9" w:rsidP="00973AE9">
            <w:pPr>
              <w:rPr>
                <w:rFonts w:cs="Times New Roman"/>
              </w:rPr>
            </w:pPr>
            <w:r w:rsidRPr="002E2AA0">
              <w:rPr>
                <w:rFonts w:cs="Times New Roman"/>
              </w:rPr>
              <w:t>0</w:t>
            </w:r>
          </w:p>
        </w:tc>
        <w:tc>
          <w:tcPr>
            <w:tcW w:w="826" w:type="dxa"/>
            <w:tcBorders>
              <w:top w:val="nil"/>
              <w:bottom w:val="nil"/>
            </w:tcBorders>
          </w:tcPr>
          <w:p w14:paraId="7A1FACAD" w14:textId="77777777" w:rsidR="00973AE9" w:rsidRPr="002E2AA0" w:rsidRDefault="00973AE9" w:rsidP="00973AE9">
            <w:pPr>
              <w:rPr>
                <w:rFonts w:cs="Times New Roman"/>
              </w:rPr>
            </w:pPr>
            <w:r w:rsidRPr="002E2AA0">
              <w:rPr>
                <w:rFonts w:cs="Times New Roman"/>
              </w:rPr>
              <w:t>16</w:t>
            </w:r>
          </w:p>
        </w:tc>
        <w:tc>
          <w:tcPr>
            <w:tcW w:w="1148" w:type="dxa"/>
            <w:tcBorders>
              <w:top w:val="nil"/>
              <w:bottom w:val="nil"/>
            </w:tcBorders>
          </w:tcPr>
          <w:p w14:paraId="2C306588" w14:textId="77777777" w:rsidR="00973AE9" w:rsidRPr="002E2AA0" w:rsidRDefault="00973AE9" w:rsidP="00973AE9">
            <w:pPr>
              <w:rPr>
                <w:rFonts w:cs="Times New Roman"/>
              </w:rPr>
            </w:pPr>
            <w:r w:rsidRPr="002E2AA0">
              <w:rPr>
                <w:rFonts w:cs="Times New Roman"/>
              </w:rPr>
              <w:t>20</w:t>
            </w:r>
          </w:p>
        </w:tc>
        <w:tc>
          <w:tcPr>
            <w:tcW w:w="1316" w:type="dxa"/>
            <w:tcBorders>
              <w:top w:val="nil"/>
              <w:bottom w:val="nil"/>
            </w:tcBorders>
          </w:tcPr>
          <w:p w14:paraId="57B3CF79" w14:textId="77777777" w:rsidR="00973AE9" w:rsidRPr="002E2AA0" w:rsidRDefault="00973AE9" w:rsidP="00973AE9">
            <w:pPr>
              <w:rPr>
                <w:rFonts w:cs="Times New Roman"/>
              </w:rPr>
            </w:pPr>
            <w:r w:rsidRPr="002E2AA0">
              <w:rPr>
                <w:rFonts w:cs="Times New Roman"/>
              </w:rPr>
              <w:t>80</w:t>
            </w:r>
          </w:p>
        </w:tc>
      </w:tr>
      <w:tr w:rsidR="00973AE9" w:rsidRPr="002E2AA0" w14:paraId="6C3CF3C7" w14:textId="77777777" w:rsidTr="00973AE9">
        <w:trPr>
          <w:trHeight w:val="652"/>
        </w:trPr>
        <w:tc>
          <w:tcPr>
            <w:tcW w:w="2427" w:type="dxa"/>
          </w:tcPr>
          <w:p w14:paraId="1BE5B754" w14:textId="77777777" w:rsidR="00973AE9" w:rsidRPr="002E2AA0" w:rsidRDefault="00973AE9" w:rsidP="00973AE9">
            <w:pPr>
              <w:rPr>
                <w:rFonts w:cs="Times New Roman"/>
              </w:rPr>
            </w:pPr>
            <w:r w:rsidRPr="002E2AA0">
              <w:rPr>
                <w:rFonts w:cs="Times New Roman"/>
              </w:rPr>
              <w:t>Leeson &amp; Adshead (2013)</w:t>
            </w:r>
          </w:p>
        </w:tc>
        <w:tc>
          <w:tcPr>
            <w:tcW w:w="788" w:type="dxa"/>
          </w:tcPr>
          <w:p w14:paraId="56B6C2F8" w14:textId="77777777" w:rsidR="00973AE9" w:rsidRPr="002E2AA0" w:rsidRDefault="00973AE9" w:rsidP="00973AE9">
            <w:pPr>
              <w:rPr>
                <w:rFonts w:cs="Times New Roman"/>
              </w:rPr>
            </w:pPr>
            <w:r w:rsidRPr="002E2AA0">
              <w:rPr>
                <w:rFonts w:cs="Times New Roman"/>
              </w:rPr>
              <w:t>2</w:t>
            </w:r>
          </w:p>
        </w:tc>
        <w:tc>
          <w:tcPr>
            <w:tcW w:w="793" w:type="dxa"/>
            <w:gridSpan w:val="2"/>
          </w:tcPr>
          <w:p w14:paraId="3C627970" w14:textId="77777777" w:rsidR="00973AE9" w:rsidRPr="002E2AA0" w:rsidRDefault="00973AE9" w:rsidP="00973AE9">
            <w:pPr>
              <w:rPr>
                <w:rFonts w:cs="Times New Roman"/>
              </w:rPr>
            </w:pPr>
            <w:r w:rsidRPr="002E2AA0">
              <w:rPr>
                <w:rFonts w:cs="Times New Roman"/>
              </w:rPr>
              <w:t>2</w:t>
            </w:r>
          </w:p>
        </w:tc>
        <w:tc>
          <w:tcPr>
            <w:tcW w:w="785" w:type="dxa"/>
            <w:gridSpan w:val="2"/>
          </w:tcPr>
          <w:p w14:paraId="28D99342" w14:textId="77777777" w:rsidR="00973AE9" w:rsidRPr="002E2AA0" w:rsidRDefault="00973AE9" w:rsidP="00973AE9">
            <w:pPr>
              <w:rPr>
                <w:rFonts w:cs="Times New Roman"/>
              </w:rPr>
            </w:pPr>
            <w:r w:rsidRPr="002E2AA0">
              <w:rPr>
                <w:rFonts w:cs="Times New Roman"/>
              </w:rPr>
              <w:t>1</w:t>
            </w:r>
          </w:p>
        </w:tc>
        <w:tc>
          <w:tcPr>
            <w:tcW w:w="784" w:type="dxa"/>
          </w:tcPr>
          <w:p w14:paraId="3DF30F16" w14:textId="77777777" w:rsidR="00973AE9" w:rsidRPr="002E2AA0" w:rsidRDefault="00973AE9" w:rsidP="00973AE9">
            <w:pPr>
              <w:rPr>
                <w:rFonts w:cs="Times New Roman"/>
              </w:rPr>
            </w:pPr>
            <w:r w:rsidRPr="002E2AA0">
              <w:rPr>
                <w:rFonts w:cs="Times New Roman"/>
              </w:rPr>
              <w:t>2</w:t>
            </w:r>
          </w:p>
        </w:tc>
        <w:tc>
          <w:tcPr>
            <w:tcW w:w="786" w:type="dxa"/>
          </w:tcPr>
          <w:p w14:paraId="30969D1A" w14:textId="77777777" w:rsidR="00973AE9" w:rsidRPr="002E2AA0" w:rsidRDefault="00973AE9" w:rsidP="00973AE9">
            <w:pPr>
              <w:rPr>
                <w:rFonts w:cs="Times New Roman"/>
              </w:rPr>
            </w:pPr>
            <w:r w:rsidRPr="002E2AA0">
              <w:rPr>
                <w:rFonts w:cs="Times New Roman"/>
              </w:rPr>
              <w:t>2</w:t>
            </w:r>
          </w:p>
        </w:tc>
        <w:tc>
          <w:tcPr>
            <w:tcW w:w="786" w:type="dxa"/>
          </w:tcPr>
          <w:p w14:paraId="1D15CDAE" w14:textId="77777777" w:rsidR="00973AE9" w:rsidRPr="002E2AA0" w:rsidRDefault="00973AE9" w:rsidP="00973AE9">
            <w:pPr>
              <w:rPr>
                <w:rFonts w:cs="Times New Roman"/>
              </w:rPr>
            </w:pPr>
            <w:r w:rsidRPr="002E2AA0">
              <w:rPr>
                <w:rFonts w:cs="Times New Roman"/>
              </w:rPr>
              <w:t>2</w:t>
            </w:r>
          </w:p>
        </w:tc>
        <w:tc>
          <w:tcPr>
            <w:tcW w:w="798" w:type="dxa"/>
          </w:tcPr>
          <w:p w14:paraId="688060E1" w14:textId="77777777" w:rsidR="00973AE9" w:rsidRPr="002E2AA0" w:rsidRDefault="00973AE9" w:rsidP="00973AE9">
            <w:pPr>
              <w:rPr>
                <w:rFonts w:cs="Times New Roman"/>
              </w:rPr>
            </w:pPr>
            <w:r w:rsidRPr="002E2AA0">
              <w:rPr>
                <w:rFonts w:cs="Times New Roman"/>
              </w:rPr>
              <w:t>0</w:t>
            </w:r>
          </w:p>
        </w:tc>
        <w:tc>
          <w:tcPr>
            <w:tcW w:w="783" w:type="dxa"/>
          </w:tcPr>
          <w:p w14:paraId="20117B52" w14:textId="77777777" w:rsidR="00973AE9" w:rsidRPr="002E2AA0" w:rsidRDefault="00973AE9" w:rsidP="00973AE9">
            <w:pPr>
              <w:rPr>
                <w:rFonts w:cs="Times New Roman"/>
              </w:rPr>
            </w:pPr>
            <w:r w:rsidRPr="002E2AA0">
              <w:rPr>
                <w:rFonts w:cs="Times New Roman"/>
              </w:rPr>
              <w:t>0</w:t>
            </w:r>
          </w:p>
        </w:tc>
        <w:tc>
          <w:tcPr>
            <w:tcW w:w="784" w:type="dxa"/>
          </w:tcPr>
          <w:p w14:paraId="59B4BBA0" w14:textId="77777777" w:rsidR="00973AE9" w:rsidRPr="002E2AA0" w:rsidRDefault="00973AE9" w:rsidP="00973AE9">
            <w:pPr>
              <w:rPr>
                <w:rFonts w:cs="Times New Roman"/>
              </w:rPr>
            </w:pPr>
            <w:r w:rsidRPr="002E2AA0">
              <w:rPr>
                <w:rFonts w:cs="Times New Roman"/>
              </w:rPr>
              <w:t>2</w:t>
            </w:r>
          </w:p>
        </w:tc>
        <w:tc>
          <w:tcPr>
            <w:tcW w:w="804" w:type="dxa"/>
          </w:tcPr>
          <w:p w14:paraId="058EC3DE" w14:textId="77777777" w:rsidR="00973AE9" w:rsidRPr="002E2AA0" w:rsidRDefault="00973AE9" w:rsidP="00973AE9">
            <w:pPr>
              <w:rPr>
                <w:rFonts w:cs="Times New Roman"/>
              </w:rPr>
            </w:pPr>
            <w:r w:rsidRPr="002E2AA0">
              <w:rPr>
                <w:rFonts w:cs="Times New Roman"/>
              </w:rPr>
              <w:t>0</w:t>
            </w:r>
          </w:p>
        </w:tc>
        <w:tc>
          <w:tcPr>
            <w:tcW w:w="826" w:type="dxa"/>
          </w:tcPr>
          <w:p w14:paraId="50FCCDDA" w14:textId="77777777" w:rsidR="00973AE9" w:rsidRPr="002E2AA0" w:rsidRDefault="00973AE9" w:rsidP="00973AE9">
            <w:pPr>
              <w:rPr>
                <w:rFonts w:cs="Times New Roman"/>
              </w:rPr>
            </w:pPr>
            <w:r w:rsidRPr="002E2AA0">
              <w:rPr>
                <w:rFonts w:cs="Times New Roman"/>
              </w:rPr>
              <w:t>13</w:t>
            </w:r>
          </w:p>
        </w:tc>
        <w:tc>
          <w:tcPr>
            <w:tcW w:w="1148" w:type="dxa"/>
          </w:tcPr>
          <w:p w14:paraId="0D71F280" w14:textId="77777777" w:rsidR="00973AE9" w:rsidRPr="002E2AA0" w:rsidRDefault="00973AE9" w:rsidP="00973AE9">
            <w:pPr>
              <w:rPr>
                <w:rFonts w:cs="Times New Roman"/>
              </w:rPr>
            </w:pPr>
            <w:r w:rsidRPr="002E2AA0">
              <w:rPr>
                <w:rFonts w:cs="Times New Roman"/>
              </w:rPr>
              <w:t>20</w:t>
            </w:r>
          </w:p>
        </w:tc>
        <w:tc>
          <w:tcPr>
            <w:tcW w:w="1316" w:type="dxa"/>
          </w:tcPr>
          <w:p w14:paraId="6770C4DB" w14:textId="77777777" w:rsidR="00973AE9" w:rsidRPr="002E2AA0" w:rsidRDefault="00973AE9" w:rsidP="00973AE9">
            <w:pPr>
              <w:rPr>
                <w:rFonts w:cs="Times New Roman"/>
              </w:rPr>
            </w:pPr>
            <w:r w:rsidRPr="002E2AA0">
              <w:rPr>
                <w:rFonts w:cs="Times New Roman"/>
              </w:rPr>
              <w:t>65</w:t>
            </w:r>
          </w:p>
        </w:tc>
      </w:tr>
      <w:tr w:rsidR="00973AE9" w:rsidRPr="002E2AA0" w14:paraId="509B6C09" w14:textId="77777777" w:rsidTr="00973AE9">
        <w:trPr>
          <w:trHeight w:val="652"/>
        </w:trPr>
        <w:tc>
          <w:tcPr>
            <w:tcW w:w="2427" w:type="dxa"/>
            <w:tcBorders>
              <w:top w:val="nil"/>
            </w:tcBorders>
          </w:tcPr>
          <w:p w14:paraId="7960FA8C" w14:textId="77777777" w:rsidR="00973AE9" w:rsidRPr="002E2AA0" w:rsidRDefault="00973AE9" w:rsidP="00973AE9">
            <w:pPr>
              <w:rPr>
                <w:rFonts w:cs="Times New Roman"/>
              </w:rPr>
            </w:pPr>
            <w:r w:rsidRPr="002E2AA0">
              <w:rPr>
                <w:rFonts w:cs="Times New Roman"/>
              </w:rPr>
              <w:t>Purvis (2005)</w:t>
            </w:r>
          </w:p>
        </w:tc>
        <w:tc>
          <w:tcPr>
            <w:tcW w:w="788" w:type="dxa"/>
            <w:tcBorders>
              <w:top w:val="nil"/>
            </w:tcBorders>
          </w:tcPr>
          <w:p w14:paraId="1878C45F" w14:textId="77777777" w:rsidR="00973AE9" w:rsidRPr="002E2AA0" w:rsidRDefault="00973AE9" w:rsidP="00973AE9">
            <w:pPr>
              <w:rPr>
                <w:rFonts w:cs="Times New Roman"/>
              </w:rPr>
            </w:pPr>
            <w:r w:rsidRPr="002E2AA0">
              <w:rPr>
                <w:rFonts w:cs="Times New Roman"/>
              </w:rPr>
              <w:t>2</w:t>
            </w:r>
          </w:p>
        </w:tc>
        <w:tc>
          <w:tcPr>
            <w:tcW w:w="793" w:type="dxa"/>
            <w:gridSpan w:val="2"/>
            <w:tcBorders>
              <w:top w:val="nil"/>
            </w:tcBorders>
          </w:tcPr>
          <w:p w14:paraId="6C123F8F" w14:textId="77777777" w:rsidR="00973AE9" w:rsidRPr="002E2AA0" w:rsidRDefault="00973AE9" w:rsidP="00973AE9">
            <w:pPr>
              <w:rPr>
                <w:rFonts w:cs="Times New Roman"/>
              </w:rPr>
            </w:pPr>
            <w:r w:rsidRPr="002E2AA0">
              <w:rPr>
                <w:rFonts w:cs="Times New Roman"/>
              </w:rPr>
              <w:t>2</w:t>
            </w:r>
          </w:p>
        </w:tc>
        <w:tc>
          <w:tcPr>
            <w:tcW w:w="785" w:type="dxa"/>
            <w:gridSpan w:val="2"/>
            <w:tcBorders>
              <w:top w:val="nil"/>
            </w:tcBorders>
          </w:tcPr>
          <w:p w14:paraId="131D42FE" w14:textId="77777777" w:rsidR="00973AE9" w:rsidRPr="002E2AA0" w:rsidRDefault="00973AE9" w:rsidP="00973AE9">
            <w:pPr>
              <w:rPr>
                <w:rFonts w:cs="Times New Roman"/>
              </w:rPr>
            </w:pPr>
            <w:r w:rsidRPr="002E2AA0">
              <w:rPr>
                <w:rFonts w:cs="Times New Roman"/>
              </w:rPr>
              <w:t>2</w:t>
            </w:r>
          </w:p>
        </w:tc>
        <w:tc>
          <w:tcPr>
            <w:tcW w:w="784" w:type="dxa"/>
            <w:tcBorders>
              <w:top w:val="nil"/>
            </w:tcBorders>
          </w:tcPr>
          <w:p w14:paraId="649FCF6E" w14:textId="77777777" w:rsidR="00973AE9" w:rsidRPr="002E2AA0" w:rsidRDefault="00973AE9" w:rsidP="00973AE9">
            <w:pPr>
              <w:rPr>
                <w:rFonts w:cs="Times New Roman"/>
              </w:rPr>
            </w:pPr>
            <w:r w:rsidRPr="002E2AA0">
              <w:rPr>
                <w:rFonts w:cs="Times New Roman"/>
              </w:rPr>
              <w:t>2</w:t>
            </w:r>
          </w:p>
        </w:tc>
        <w:tc>
          <w:tcPr>
            <w:tcW w:w="786" w:type="dxa"/>
            <w:tcBorders>
              <w:top w:val="nil"/>
            </w:tcBorders>
          </w:tcPr>
          <w:p w14:paraId="61E5A1E6" w14:textId="77777777" w:rsidR="00973AE9" w:rsidRPr="002E2AA0" w:rsidRDefault="00973AE9" w:rsidP="00973AE9">
            <w:pPr>
              <w:rPr>
                <w:rFonts w:cs="Times New Roman"/>
              </w:rPr>
            </w:pPr>
            <w:r w:rsidRPr="002E2AA0">
              <w:rPr>
                <w:rFonts w:cs="Times New Roman"/>
              </w:rPr>
              <w:t>2</w:t>
            </w:r>
          </w:p>
        </w:tc>
        <w:tc>
          <w:tcPr>
            <w:tcW w:w="786" w:type="dxa"/>
            <w:tcBorders>
              <w:top w:val="nil"/>
            </w:tcBorders>
          </w:tcPr>
          <w:p w14:paraId="4180E6D2" w14:textId="77777777" w:rsidR="00973AE9" w:rsidRPr="002E2AA0" w:rsidRDefault="00973AE9" w:rsidP="00973AE9">
            <w:pPr>
              <w:rPr>
                <w:rFonts w:cs="Times New Roman"/>
              </w:rPr>
            </w:pPr>
            <w:r w:rsidRPr="002E2AA0">
              <w:rPr>
                <w:rFonts w:cs="Times New Roman"/>
              </w:rPr>
              <w:t>2</w:t>
            </w:r>
          </w:p>
        </w:tc>
        <w:tc>
          <w:tcPr>
            <w:tcW w:w="798" w:type="dxa"/>
            <w:tcBorders>
              <w:top w:val="nil"/>
            </w:tcBorders>
          </w:tcPr>
          <w:p w14:paraId="0923E035" w14:textId="77777777" w:rsidR="00973AE9" w:rsidRPr="002E2AA0" w:rsidRDefault="00973AE9" w:rsidP="00973AE9">
            <w:pPr>
              <w:rPr>
                <w:rFonts w:cs="Times New Roman"/>
              </w:rPr>
            </w:pPr>
            <w:r w:rsidRPr="002E2AA0">
              <w:rPr>
                <w:rFonts w:cs="Times New Roman"/>
              </w:rPr>
              <w:t>2</w:t>
            </w:r>
          </w:p>
        </w:tc>
        <w:tc>
          <w:tcPr>
            <w:tcW w:w="783" w:type="dxa"/>
            <w:tcBorders>
              <w:top w:val="nil"/>
            </w:tcBorders>
          </w:tcPr>
          <w:p w14:paraId="405D0388" w14:textId="77777777" w:rsidR="00973AE9" w:rsidRPr="002E2AA0" w:rsidRDefault="00973AE9" w:rsidP="00973AE9">
            <w:pPr>
              <w:rPr>
                <w:rFonts w:cs="Times New Roman"/>
              </w:rPr>
            </w:pPr>
            <w:r w:rsidRPr="002E2AA0">
              <w:rPr>
                <w:rFonts w:cs="Times New Roman"/>
              </w:rPr>
              <w:t>2</w:t>
            </w:r>
          </w:p>
        </w:tc>
        <w:tc>
          <w:tcPr>
            <w:tcW w:w="784" w:type="dxa"/>
            <w:tcBorders>
              <w:top w:val="nil"/>
            </w:tcBorders>
          </w:tcPr>
          <w:p w14:paraId="4B5D4DAD" w14:textId="77777777" w:rsidR="00973AE9" w:rsidRPr="002E2AA0" w:rsidRDefault="00973AE9" w:rsidP="00973AE9">
            <w:pPr>
              <w:rPr>
                <w:rFonts w:cs="Times New Roman"/>
              </w:rPr>
            </w:pPr>
            <w:r w:rsidRPr="002E2AA0">
              <w:rPr>
                <w:rFonts w:cs="Times New Roman"/>
              </w:rPr>
              <w:t>2</w:t>
            </w:r>
          </w:p>
        </w:tc>
        <w:tc>
          <w:tcPr>
            <w:tcW w:w="804" w:type="dxa"/>
            <w:tcBorders>
              <w:top w:val="nil"/>
            </w:tcBorders>
          </w:tcPr>
          <w:p w14:paraId="5579B472" w14:textId="77777777" w:rsidR="00973AE9" w:rsidRPr="002E2AA0" w:rsidRDefault="00973AE9" w:rsidP="00973AE9">
            <w:pPr>
              <w:rPr>
                <w:rFonts w:cs="Times New Roman"/>
              </w:rPr>
            </w:pPr>
            <w:r w:rsidRPr="002E2AA0">
              <w:rPr>
                <w:rFonts w:cs="Times New Roman"/>
              </w:rPr>
              <w:t>0</w:t>
            </w:r>
          </w:p>
        </w:tc>
        <w:tc>
          <w:tcPr>
            <w:tcW w:w="826" w:type="dxa"/>
            <w:tcBorders>
              <w:top w:val="nil"/>
            </w:tcBorders>
          </w:tcPr>
          <w:p w14:paraId="390C6802" w14:textId="77777777" w:rsidR="00973AE9" w:rsidRPr="002E2AA0" w:rsidRDefault="00973AE9" w:rsidP="00973AE9">
            <w:pPr>
              <w:rPr>
                <w:rFonts w:cs="Times New Roman"/>
              </w:rPr>
            </w:pPr>
            <w:r w:rsidRPr="002E2AA0">
              <w:rPr>
                <w:rFonts w:cs="Times New Roman"/>
              </w:rPr>
              <w:t>18</w:t>
            </w:r>
          </w:p>
        </w:tc>
        <w:tc>
          <w:tcPr>
            <w:tcW w:w="1148" w:type="dxa"/>
            <w:tcBorders>
              <w:top w:val="nil"/>
            </w:tcBorders>
          </w:tcPr>
          <w:p w14:paraId="2BFEF277" w14:textId="77777777" w:rsidR="00973AE9" w:rsidRPr="002E2AA0" w:rsidRDefault="00973AE9" w:rsidP="00973AE9">
            <w:pPr>
              <w:rPr>
                <w:rFonts w:cs="Times New Roman"/>
              </w:rPr>
            </w:pPr>
            <w:r w:rsidRPr="002E2AA0">
              <w:rPr>
                <w:rFonts w:cs="Times New Roman"/>
              </w:rPr>
              <w:t>20</w:t>
            </w:r>
          </w:p>
        </w:tc>
        <w:tc>
          <w:tcPr>
            <w:tcW w:w="1316" w:type="dxa"/>
            <w:tcBorders>
              <w:top w:val="nil"/>
            </w:tcBorders>
          </w:tcPr>
          <w:p w14:paraId="6EA87B9F" w14:textId="77777777" w:rsidR="00973AE9" w:rsidRPr="002E2AA0" w:rsidRDefault="00973AE9" w:rsidP="00973AE9">
            <w:pPr>
              <w:rPr>
                <w:rFonts w:cs="Times New Roman"/>
              </w:rPr>
            </w:pPr>
            <w:r w:rsidRPr="002E2AA0">
              <w:rPr>
                <w:rFonts w:cs="Times New Roman"/>
              </w:rPr>
              <w:t>90</w:t>
            </w:r>
          </w:p>
        </w:tc>
      </w:tr>
      <w:tr w:rsidR="00973AE9" w:rsidRPr="002E2AA0" w14:paraId="711B5085" w14:textId="77777777" w:rsidTr="00973AE9">
        <w:trPr>
          <w:trHeight w:val="652"/>
        </w:trPr>
        <w:tc>
          <w:tcPr>
            <w:tcW w:w="2427" w:type="dxa"/>
          </w:tcPr>
          <w:p w14:paraId="758C770C" w14:textId="77777777" w:rsidR="00973AE9" w:rsidRPr="002E2AA0" w:rsidRDefault="00973AE9" w:rsidP="00973AE9">
            <w:pPr>
              <w:rPr>
                <w:rFonts w:cs="Times New Roman"/>
              </w:rPr>
            </w:pPr>
            <w:r w:rsidRPr="002E2AA0">
              <w:rPr>
                <w:rFonts w:cs="Times New Roman"/>
              </w:rPr>
              <w:t>Taylor (2017)</w:t>
            </w:r>
          </w:p>
        </w:tc>
        <w:tc>
          <w:tcPr>
            <w:tcW w:w="788" w:type="dxa"/>
          </w:tcPr>
          <w:p w14:paraId="28C00923" w14:textId="77777777" w:rsidR="00973AE9" w:rsidRPr="002E2AA0" w:rsidRDefault="00973AE9" w:rsidP="00973AE9">
            <w:pPr>
              <w:rPr>
                <w:rFonts w:cs="Times New Roman"/>
              </w:rPr>
            </w:pPr>
            <w:r w:rsidRPr="002E2AA0">
              <w:rPr>
                <w:rFonts w:cs="Times New Roman"/>
              </w:rPr>
              <w:t>2</w:t>
            </w:r>
          </w:p>
        </w:tc>
        <w:tc>
          <w:tcPr>
            <w:tcW w:w="793" w:type="dxa"/>
            <w:gridSpan w:val="2"/>
          </w:tcPr>
          <w:p w14:paraId="6A2B4E44" w14:textId="77777777" w:rsidR="00973AE9" w:rsidRPr="002E2AA0" w:rsidRDefault="00973AE9" w:rsidP="00973AE9">
            <w:pPr>
              <w:rPr>
                <w:rFonts w:cs="Times New Roman"/>
              </w:rPr>
            </w:pPr>
            <w:r w:rsidRPr="002E2AA0">
              <w:rPr>
                <w:rFonts w:cs="Times New Roman"/>
              </w:rPr>
              <w:t>2</w:t>
            </w:r>
          </w:p>
        </w:tc>
        <w:tc>
          <w:tcPr>
            <w:tcW w:w="785" w:type="dxa"/>
            <w:gridSpan w:val="2"/>
          </w:tcPr>
          <w:p w14:paraId="1A667CA5" w14:textId="77777777" w:rsidR="00973AE9" w:rsidRPr="002E2AA0" w:rsidRDefault="00973AE9" w:rsidP="00973AE9">
            <w:pPr>
              <w:rPr>
                <w:rFonts w:cs="Times New Roman"/>
              </w:rPr>
            </w:pPr>
            <w:r w:rsidRPr="002E2AA0">
              <w:rPr>
                <w:rFonts w:cs="Times New Roman"/>
              </w:rPr>
              <w:t>2</w:t>
            </w:r>
          </w:p>
        </w:tc>
        <w:tc>
          <w:tcPr>
            <w:tcW w:w="784" w:type="dxa"/>
          </w:tcPr>
          <w:p w14:paraId="68C875AB" w14:textId="77777777" w:rsidR="00973AE9" w:rsidRPr="002E2AA0" w:rsidRDefault="00973AE9" w:rsidP="00973AE9">
            <w:pPr>
              <w:rPr>
                <w:rFonts w:cs="Times New Roman"/>
              </w:rPr>
            </w:pPr>
            <w:r w:rsidRPr="002E2AA0">
              <w:rPr>
                <w:rFonts w:cs="Times New Roman"/>
              </w:rPr>
              <w:t>2</w:t>
            </w:r>
          </w:p>
        </w:tc>
        <w:tc>
          <w:tcPr>
            <w:tcW w:w="786" w:type="dxa"/>
          </w:tcPr>
          <w:p w14:paraId="6D571602" w14:textId="77777777" w:rsidR="00973AE9" w:rsidRPr="002E2AA0" w:rsidRDefault="00973AE9" w:rsidP="00973AE9">
            <w:pPr>
              <w:rPr>
                <w:rFonts w:cs="Times New Roman"/>
              </w:rPr>
            </w:pPr>
            <w:r w:rsidRPr="002E2AA0">
              <w:rPr>
                <w:rFonts w:cs="Times New Roman"/>
              </w:rPr>
              <w:t>2</w:t>
            </w:r>
          </w:p>
        </w:tc>
        <w:tc>
          <w:tcPr>
            <w:tcW w:w="786" w:type="dxa"/>
          </w:tcPr>
          <w:p w14:paraId="40F4325A" w14:textId="77777777" w:rsidR="00973AE9" w:rsidRPr="002E2AA0" w:rsidRDefault="00973AE9" w:rsidP="00973AE9">
            <w:pPr>
              <w:rPr>
                <w:rFonts w:cs="Times New Roman"/>
              </w:rPr>
            </w:pPr>
            <w:r w:rsidRPr="002E2AA0">
              <w:rPr>
                <w:rFonts w:cs="Times New Roman"/>
              </w:rPr>
              <w:t>1</w:t>
            </w:r>
          </w:p>
        </w:tc>
        <w:tc>
          <w:tcPr>
            <w:tcW w:w="798" w:type="dxa"/>
          </w:tcPr>
          <w:p w14:paraId="733C88A0" w14:textId="77777777" w:rsidR="00973AE9" w:rsidRPr="002E2AA0" w:rsidRDefault="00973AE9" w:rsidP="00973AE9">
            <w:pPr>
              <w:rPr>
                <w:rFonts w:cs="Times New Roman"/>
              </w:rPr>
            </w:pPr>
            <w:r w:rsidRPr="002E2AA0">
              <w:rPr>
                <w:rFonts w:cs="Times New Roman"/>
              </w:rPr>
              <w:t>1</w:t>
            </w:r>
          </w:p>
        </w:tc>
        <w:tc>
          <w:tcPr>
            <w:tcW w:w="783" w:type="dxa"/>
          </w:tcPr>
          <w:p w14:paraId="74524B79" w14:textId="77777777" w:rsidR="00973AE9" w:rsidRPr="002E2AA0" w:rsidRDefault="00973AE9" w:rsidP="00973AE9">
            <w:pPr>
              <w:rPr>
                <w:rFonts w:cs="Times New Roman"/>
              </w:rPr>
            </w:pPr>
            <w:r w:rsidRPr="002E2AA0">
              <w:rPr>
                <w:rFonts w:cs="Times New Roman"/>
              </w:rPr>
              <w:t>0</w:t>
            </w:r>
          </w:p>
        </w:tc>
        <w:tc>
          <w:tcPr>
            <w:tcW w:w="784" w:type="dxa"/>
          </w:tcPr>
          <w:p w14:paraId="142649C9" w14:textId="77777777" w:rsidR="00973AE9" w:rsidRPr="002E2AA0" w:rsidRDefault="00973AE9" w:rsidP="00973AE9">
            <w:pPr>
              <w:rPr>
                <w:rFonts w:cs="Times New Roman"/>
              </w:rPr>
            </w:pPr>
            <w:r w:rsidRPr="002E2AA0">
              <w:rPr>
                <w:rFonts w:cs="Times New Roman"/>
              </w:rPr>
              <w:t>2</w:t>
            </w:r>
          </w:p>
        </w:tc>
        <w:tc>
          <w:tcPr>
            <w:tcW w:w="804" w:type="dxa"/>
          </w:tcPr>
          <w:p w14:paraId="1BE95BFE" w14:textId="77777777" w:rsidR="00973AE9" w:rsidRPr="002E2AA0" w:rsidRDefault="00973AE9" w:rsidP="00973AE9">
            <w:pPr>
              <w:rPr>
                <w:rFonts w:cs="Times New Roman"/>
              </w:rPr>
            </w:pPr>
            <w:r w:rsidRPr="002E2AA0">
              <w:rPr>
                <w:rFonts w:cs="Times New Roman"/>
              </w:rPr>
              <w:t>0</w:t>
            </w:r>
          </w:p>
        </w:tc>
        <w:tc>
          <w:tcPr>
            <w:tcW w:w="826" w:type="dxa"/>
          </w:tcPr>
          <w:p w14:paraId="627AED0C" w14:textId="77777777" w:rsidR="00973AE9" w:rsidRPr="002E2AA0" w:rsidRDefault="00973AE9" w:rsidP="00973AE9">
            <w:pPr>
              <w:rPr>
                <w:rFonts w:cs="Times New Roman"/>
              </w:rPr>
            </w:pPr>
            <w:r w:rsidRPr="002E2AA0">
              <w:rPr>
                <w:rFonts w:cs="Times New Roman"/>
              </w:rPr>
              <w:t>14</w:t>
            </w:r>
          </w:p>
        </w:tc>
        <w:tc>
          <w:tcPr>
            <w:tcW w:w="1148" w:type="dxa"/>
          </w:tcPr>
          <w:p w14:paraId="20E4D408" w14:textId="77777777" w:rsidR="00973AE9" w:rsidRPr="002E2AA0" w:rsidRDefault="00973AE9" w:rsidP="00973AE9">
            <w:pPr>
              <w:rPr>
                <w:rFonts w:cs="Times New Roman"/>
              </w:rPr>
            </w:pPr>
            <w:r w:rsidRPr="002E2AA0">
              <w:rPr>
                <w:rFonts w:cs="Times New Roman"/>
              </w:rPr>
              <w:t>20</w:t>
            </w:r>
          </w:p>
        </w:tc>
        <w:tc>
          <w:tcPr>
            <w:tcW w:w="1316" w:type="dxa"/>
          </w:tcPr>
          <w:p w14:paraId="05A6F540" w14:textId="77777777" w:rsidR="00973AE9" w:rsidRPr="002E2AA0" w:rsidRDefault="00973AE9" w:rsidP="00973AE9">
            <w:pPr>
              <w:rPr>
                <w:rFonts w:cs="Times New Roman"/>
              </w:rPr>
            </w:pPr>
            <w:r w:rsidRPr="002E2AA0">
              <w:rPr>
                <w:rFonts w:cs="Times New Roman"/>
              </w:rPr>
              <w:t>70</w:t>
            </w:r>
          </w:p>
        </w:tc>
      </w:tr>
      <w:tr w:rsidR="00973AE9" w:rsidRPr="002E2AA0" w14:paraId="651C8E51" w14:textId="77777777" w:rsidTr="00973AE9">
        <w:trPr>
          <w:trHeight w:val="652"/>
        </w:trPr>
        <w:tc>
          <w:tcPr>
            <w:tcW w:w="2427" w:type="dxa"/>
          </w:tcPr>
          <w:p w14:paraId="3FECE7F7" w14:textId="77777777" w:rsidR="00973AE9" w:rsidRPr="002E2AA0" w:rsidRDefault="00973AE9" w:rsidP="00973AE9">
            <w:pPr>
              <w:rPr>
                <w:rFonts w:cs="Times New Roman"/>
              </w:rPr>
            </w:pPr>
            <w:r w:rsidRPr="002E2AA0">
              <w:rPr>
                <w:rFonts w:cs="Times New Roman"/>
              </w:rPr>
              <w:t>Ward &amp; Attwell (2014)</w:t>
            </w:r>
          </w:p>
        </w:tc>
        <w:tc>
          <w:tcPr>
            <w:tcW w:w="788" w:type="dxa"/>
          </w:tcPr>
          <w:p w14:paraId="7E8BCD10" w14:textId="77777777" w:rsidR="00973AE9" w:rsidRPr="002E2AA0" w:rsidRDefault="00973AE9" w:rsidP="00973AE9">
            <w:pPr>
              <w:rPr>
                <w:rFonts w:cs="Times New Roman"/>
              </w:rPr>
            </w:pPr>
            <w:r w:rsidRPr="002E2AA0">
              <w:rPr>
                <w:rFonts w:cs="Times New Roman"/>
              </w:rPr>
              <w:t>2</w:t>
            </w:r>
          </w:p>
        </w:tc>
        <w:tc>
          <w:tcPr>
            <w:tcW w:w="784" w:type="dxa"/>
          </w:tcPr>
          <w:p w14:paraId="5446D2F3" w14:textId="77777777" w:rsidR="00973AE9" w:rsidRPr="002E2AA0" w:rsidRDefault="00973AE9" w:rsidP="00973AE9">
            <w:pPr>
              <w:rPr>
                <w:rFonts w:cs="Times New Roman"/>
              </w:rPr>
            </w:pPr>
            <w:r w:rsidRPr="002E2AA0">
              <w:rPr>
                <w:rFonts w:cs="Times New Roman"/>
              </w:rPr>
              <w:t>2</w:t>
            </w:r>
          </w:p>
        </w:tc>
        <w:tc>
          <w:tcPr>
            <w:tcW w:w="786" w:type="dxa"/>
            <w:gridSpan w:val="2"/>
          </w:tcPr>
          <w:p w14:paraId="3C17A319" w14:textId="77777777" w:rsidR="00973AE9" w:rsidRPr="002E2AA0" w:rsidRDefault="00973AE9" w:rsidP="00973AE9">
            <w:pPr>
              <w:rPr>
                <w:rFonts w:cs="Times New Roman"/>
              </w:rPr>
            </w:pPr>
            <w:r w:rsidRPr="002E2AA0">
              <w:rPr>
                <w:rFonts w:cs="Times New Roman"/>
              </w:rPr>
              <w:t>2</w:t>
            </w:r>
          </w:p>
        </w:tc>
        <w:tc>
          <w:tcPr>
            <w:tcW w:w="792" w:type="dxa"/>
            <w:gridSpan w:val="2"/>
          </w:tcPr>
          <w:p w14:paraId="71D8C25B" w14:textId="77777777" w:rsidR="00973AE9" w:rsidRPr="002E2AA0" w:rsidRDefault="00973AE9" w:rsidP="00973AE9">
            <w:pPr>
              <w:rPr>
                <w:rFonts w:cs="Times New Roman"/>
              </w:rPr>
            </w:pPr>
            <w:r w:rsidRPr="002E2AA0">
              <w:rPr>
                <w:rFonts w:cs="Times New Roman"/>
              </w:rPr>
              <w:t>2</w:t>
            </w:r>
          </w:p>
        </w:tc>
        <w:tc>
          <w:tcPr>
            <w:tcW w:w="786" w:type="dxa"/>
          </w:tcPr>
          <w:p w14:paraId="23A519D1" w14:textId="77777777" w:rsidR="00973AE9" w:rsidRPr="002E2AA0" w:rsidRDefault="00973AE9" w:rsidP="00973AE9">
            <w:pPr>
              <w:rPr>
                <w:rFonts w:cs="Times New Roman"/>
              </w:rPr>
            </w:pPr>
            <w:r w:rsidRPr="002E2AA0">
              <w:rPr>
                <w:rFonts w:cs="Times New Roman"/>
              </w:rPr>
              <w:t>2</w:t>
            </w:r>
          </w:p>
        </w:tc>
        <w:tc>
          <w:tcPr>
            <w:tcW w:w="786" w:type="dxa"/>
          </w:tcPr>
          <w:p w14:paraId="0FDC2B0A" w14:textId="77777777" w:rsidR="00973AE9" w:rsidRPr="002E2AA0" w:rsidRDefault="00973AE9" w:rsidP="00973AE9">
            <w:pPr>
              <w:rPr>
                <w:rFonts w:cs="Times New Roman"/>
              </w:rPr>
            </w:pPr>
            <w:r w:rsidRPr="002E2AA0">
              <w:rPr>
                <w:rFonts w:cs="Times New Roman"/>
              </w:rPr>
              <w:t>2</w:t>
            </w:r>
          </w:p>
        </w:tc>
        <w:tc>
          <w:tcPr>
            <w:tcW w:w="798" w:type="dxa"/>
          </w:tcPr>
          <w:p w14:paraId="0C6BD662" w14:textId="77777777" w:rsidR="00973AE9" w:rsidRPr="002E2AA0" w:rsidRDefault="00973AE9" w:rsidP="00973AE9">
            <w:pPr>
              <w:rPr>
                <w:rFonts w:cs="Times New Roman"/>
              </w:rPr>
            </w:pPr>
            <w:r w:rsidRPr="002E2AA0">
              <w:rPr>
                <w:rFonts w:cs="Times New Roman"/>
              </w:rPr>
              <w:t>1</w:t>
            </w:r>
          </w:p>
        </w:tc>
        <w:tc>
          <w:tcPr>
            <w:tcW w:w="783" w:type="dxa"/>
          </w:tcPr>
          <w:p w14:paraId="200C2679" w14:textId="77777777" w:rsidR="00973AE9" w:rsidRPr="002E2AA0" w:rsidRDefault="00973AE9" w:rsidP="00973AE9">
            <w:pPr>
              <w:rPr>
                <w:rFonts w:cs="Times New Roman"/>
              </w:rPr>
            </w:pPr>
            <w:r w:rsidRPr="002E2AA0">
              <w:rPr>
                <w:rFonts w:cs="Times New Roman"/>
              </w:rPr>
              <w:t>0</w:t>
            </w:r>
          </w:p>
        </w:tc>
        <w:tc>
          <w:tcPr>
            <w:tcW w:w="784" w:type="dxa"/>
          </w:tcPr>
          <w:p w14:paraId="0D2CC4A1" w14:textId="77777777" w:rsidR="00973AE9" w:rsidRPr="002E2AA0" w:rsidRDefault="00973AE9" w:rsidP="00973AE9">
            <w:pPr>
              <w:rPr>
                <w:rFonts w:cs="Times New Roman"/>
              </w:rPr>
            </w:pPr>
            <w:r w:rsidRPr="002E2AA0">
              <w:rPr>
                <w:rFonts w:cs="Times New Roman"/>
              </w:rPr>
              <w:t>2</w:t>
            </w:r>
          </w:p>
        </w:tc>
        <w:tc>
          <w:tcPr>
            <w:tcW w:w="804" w:type="dxa"/>
          </w:tcPr>
          <w:p w14:paraId="098011B5" w14:textId="77777777" w:rsidR="00973AE9" w:rsidRPr="002E2AA0" w:rsidRDefault="00973AE9" w:rsidP="00973AE9">
            <w:pPr>
              <w:rPr>
                <w:rFonts w:cs="Times New Roman"/>
              </w:rPr>
            </w:pPr>
            <w:r w:rsidRPr="002E2AA0">
              <w:rPr>
                <w:rFonts w:cs="Times New Roman"/>
              </w:rPr>
              <w:t>0</w:t>
            </w:r>
          </w:p>
        </w:tc>
        <w:tc>
          <w:tcPr>
            <w:tcW w:w="826" w:type="dxa"/>
          </w:tcPr>
          <w:p w14:paraId="11340F98" w14:textId="77777777" w:rsidR="00973AE9" w:rsidRPr="002E2AA0" w:rsidRDefault="00973AE9" w:rsidP="00973AE9">
            <w:pPr>
              <w:rPr>
                <w:rFonts w:cs="Times New Roman"/>
              </w:rPr>
            </w:pPr>
            <w:r w:rsidRPr="002E2AA0">
              <w:rPr>
                <w:rFonts w:cs="Times New Roman"/>
              </w:rPr>
              <w:t>15</w:t>
            </w:r>
          </w:p>
        </w:tc>
        <w:tc>
          <w:tcPr>
            <w:tcW w:w="1148" w:type="dxa"/>
          </w:tcPr>
          <w:p w14:paraId="1546EE99" w14:textId="77777777" w:rsidR="00973AE9" w:rsidRPr="002E2AA0" w:rsidRDefault="00973AE9" w:rsidP="00973AE9">
            <w:pPr>
              <w:rPr>
                <w:rFonts w:cs="Times New Roman"/>
              </w:rPr>
            </w:pPr>
            <w:r w:rsidRPr="002E2AA0">
              <w:rPr>
                <w:rFonts w:cs="Times New Roman"/>
              </w:rPr>
              <w:t>20</w:t>
            </w:r>
          </w:p>
        </w:tc>
        <w:tc>
          <w:tcPr>
            <w:tcW w:w="1316" w:type="dxa"/>
          </w:tcPr>
          <w:p w14:paraId="5D3C15C8" w14:textId="77777777" w:rsidR="00973AE9" w:rsidRPr="002E2AA0" w:rsidRDefault="00973AE9" w:rsidP="00973AE9">
            <w:pPr>
              <w:rPr>
                <w:rFonts w:cs="Times New Roman"/>
              </w:rPr>
            </w:pPr>
            <w:r w:rsidRPr="002E2AA0">
              <w:rPr>
                <w:rFonts w:cs="Times New Roman"/>
              </w:rPr>
              <w:t>75</w:t>
            </w:r>
          </w:p>
        </w:tc>
      </w:tr>
    </w:tbl>
    <w:p w14:paraId="138CB283" w14:textId="77777777" w:rsidR="00477291" w:rsidRPr="002E2AA0" w:rsidRDefault="00973AE9" w:rsidP="00973AE9">
      <w:pPr>
        <w:spacing w:line="480" w:lineRule="auto"/>
        <w:rPr>
          <w:rFonts w:ascii="Times New Roman" w:hAnsi="Times New Roman" w:cs="Times New Roman"/>
          <w:lang w:val="en-US"/>
        </w:rPr>
      </w:pPr>
      <w:r w:rsidRPr="002E2AA0">
        <w:rPr>
          <w:rFonts w:ascii="Times New Roman" w:hAnsi="Times New Roman" w:cs="Times New Roman"/>
          <w:lang w:val="en-US"/>
        </w:rPr>
        <w:t xml:space="preserve"> </w:t>
      </w:r>
    </w:p>
    <w:p w14:paraId="17A91373" w14:textId="77777777" w:rsidR="00477291" w:rsidRPr="002E2AA0" w:rsidRDefault="00477291" w:rsidP="00477291">
      <w:pPr>
        <w:rPr>
          <w:rFonts w:ascii="Times New Roman" w:hAnsi="Times New Roman" w:cs="Times New Roman"/>
          <w:lang w:val="en-US"/>
        </w:rPr>
      </w:pPr>
      <w:r w:rsidRPr="002E2AA0">
        <w:rPr>
          <w:rFonts w:ascii="Times New Roman" w:hAnsi="Times New Roman" w:cs="Times New Roman"/>
          <w:lang w:val="en-US"/>
        </w:rPr>
        <w:br w:type="page"/>
      </w:r>
    </w:p>
    <w:p w14:paraId="4C5BDDAC" w14:textId="77777777" w:rsidR="00477291" w:rsidRPr="002E2AA0" w:rsidRDefault="00477291" w:rsidP="00477291">
      <w:pPr>
        <w:rPr>
          <w:rFonts w:ascii="Times New Roman" w:hAnsi="Times New Roman" w:cs="Times New Roman"/>
          <w:lang w:val="en-US"/>
        </w:rPr>
        <w:sectPr w:rsidR="00477291" w:rsidRPr="002E2AA0" w:rsidSect="00477291">
          <w:pgSz w:w="16840" w:h="11900" w:orient="landscape"/>
          <w:pgMar w:top="1440" w:right="1440" w:bottom="1440" w:left="1440" w:header="708" w:footer="708" w:gutter="0"/>
          <w:cols w:space="708"/>
          <w:docGrid w:linePitch="360"/>
        </w:sectPr>
      </w:pPr>
    </w:p>
    <w:p w14:paraId="7B53E07B" w14:textId="5FD84FB3" w:rsidR="0099527D" w:rsidRPr="002E2AA0" w:rsidRDefault="00FB34FF" w:rsidP="0099527D">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 xml:space="preserve">4. </w:t>
      </w:r>
      <w:r w:rsidR="0099527D" w:rsidRPr="002E2AA0">
        <w:rPr>
          <w:rFonts w:ascii="Times New Roman" w:hAnsi="Times New Roman" w:cs="Times New Roman"/>
          <w:b/>
          <w:lang w:val="en-US"/>
        </w:rPr>
        <w:t>Results</w:t>
      </w:r>
    </w:p>
    <w:p w14:paraId="5BD7B615" w14:textId="1289E0E0" w:rsidR="0099527D" w:rsidRPr="002E2AA0" w:rsidRDefault="00FB34FF" w:rsidP="0099527D">
      <w:pPr>
        <w:spacing w:line="480" w:lineRule="auto"/>
        <w:rPr>
          <w:rFonts w:ascii="Times New Roman" w:hAnsi="Times New Roman" w:cs="Times New Roman"/>
          <w:b/>
          <w:lang w:val="en-US"/>
        </w:rPr>
      </w:pPr>
      <w:r>
        <w:rPr>
          <w:rFonts w:ascii="Times New Roman" w:hAnsi="Times New Roman" w:cs="Times New Roman"/>
          <w:b/>
          <w:lang w:val="en-US"/>
        </w:rPr>
        <w:t xml:space="preserve">4.1 </w:t>
      </w:r>
      <w:r w:rsidR="0099527D" w:rsidRPr="002E2AA0">
        <w:rPr>
          <w:rFonts w:ascii="Times New Roman" w:hAnsi="Times New Roman" w:cs="Times New Roman"/>
          <w:b/>
          <w:lang w:val="en-US"/>
        </w:rPr>
        <w:t xml:space="preserve">Study Design </w:t>
      </w:r>
    </w:p>
    <w:p w14:paraId="7D7136F1" w14:textId="5ECC4B7F" w:rsidR="0099527D" w:rsidRPr="002E2AA0" w:rsidRDefault="0099527D" w:rsidP="0099527D">
      <w:pPr>
        <w:spacing w:line="480" w:lineRule="auto"/>
        <w:rPr>
          <w:rFonts w:ascii="Times New Roman" w:hAnsi="Times New Roman" w:cs="Times New Roman"/>
          <w:lang w:val="en-US"/>
        </w:rPr>
      </w:pPr>
      <w:r w:rsidRPr="002E2AA0">
        <w:rPr>
          <w:rFonts w:ascii="Times New Roman" w:hAnsi="Times New Roman" w:cs="Times New Roman"/>
          <w:lang w:val="en-US"/>
        </w:rPr>
        <w:tab/>
        <w:t xml:space="preserve">Table 7 shows data extracted from each of the </w:t>
      </w:r>
      <w:r w:rsidR="00642F04" w:rsidRPr="002E2AA0">
        <w:rPr>
          <w:rFonts w:ascii="Times New Roman" w:hAnsi="Times New Roman" w:cs="Times New Roman"/>
          <w:lang w:val="en-US"/>
        </w:rPr>
        <w:t>1</w:t>
      </w:r>
      <w:r w:rsidR="00843C22" w:rsidRPr="002E2AA0">
        <w:rPr>
          <w:rFonts w:ascii="Times New Roman" w:hAnsi="Times New Roman" w:cs="Times New Roman"/>
          <w:lang w:val="en-US"/>
        </w:rPr>
        <w:t xml:space="preserve">7 </w:t>
      </w:r>
      <w:r w:rsidRPr="002E2AA0">
        <w:rPr>
          <w:rFonts w:ascii="Times New Roman" w:hAnsi="Times New Roman" w:cs="Times New Roman"/>
          <w:lang w:val="en-US"/>
        </w:rPr>
        <w:t xml:space="preserve">articles included in this review. </w:t>
      </w:r>
      <w:r w:rsidR="00C00A92" w:rsidRPr="002E2AA0">
        <w:rPr>
          <w:rFonts w:ascii="Times New Roman" w:hAnsi="Times New Roman" w:cs="Times New Roman"/>
          <w:lang w:val="en-US"/>
        </w:rPr>
        <w:t>Seven</w:t>
      </w:r>
      <w:r w:rsidRPr="002E2AA0">
        <w:rPr>
          <w:rFonts w:ascii="Times New Roman" w:hAnsi="Times New Roman" w:cs="Times New Roman"/>
          <w:lang w:val="en-US"/>
        </w:rPr>
        <w:t xml:space="preserve"> (4</w:t>
      </w:r>
      <w:r w:rsidR="00C00A92" w:rsidRPr="002E2AA0">
        <w:rPr>
          <w:rFonts w:ascii="Times New Roman" w:hAnsi="Times New Roman" w:cs="Times New Roman"/>
          <w:lang w:val="en-US"/>
        </w:rPr>
        <w:t>1</w:t>
      </w:r>
      <w:r w:rsidRPr="002E2AA0">
        <w:rPr>
          <w:rFonts w:ascii="Times New Roman" w:hAnsi="Times New Roman" w:cs="Times New Roman"/>
          <w:lang w:val="en-US"/>
        </w:rPr>
        <w:t>.</w:t>
      </w:r>
      <w:r w:rsidR="00C00A92" w:rsidRPr="002E2AA0">
        <w:rPr>
          <w:rFonts w:ascii="Times New Roman" w:hAnsi="Times New Roman" w:cs="Times New Roman"/>
          <w:lang w:val="en-US"/>
        </w:rPr>
        <w:t>18</w:t>
      </w:r>
      <w:r w:rsidRPr="002E2AA0">
        <w:rPr>
          <w:rFonts w:ascii="Times New Roman" w:hAnsi="Times New Roman" w:cs="Times New Roman"/>
          <w:lang w:val="en-US"/>
        </w:rPr>
        <w:t>%) of the included articles were written after Netto et al.’s (2014) review, from 2015 onwards. The remaining articles were written between 2004 and 2014. Ten articles were quantitative (5</w:t>
      </w:r>
      <w:r w:rsidR="004D0730" w:rsidRPr="002E2AA0">
        <w:rPr>
          <w:rFonts w:ascii="Times New Roman" w:hAnsi="Times New Roman" w:cs="Times New Roman"/>
          <w:lang w:val="en-US"/>
        </w:rPr>
        <w:t>8</w:t>
      </w:r>
      <w:r w:rsidRPr="002E2AA0">
        <w:rPr>
          <w:rFonts w:ascii="Times New Roman" w:hAnsi="Times New Roman" w:cs="Times New Roman"/>
          <w:lang w:val="en-US"/>
        </w:rPr>
        <w:t>.</w:t>
      </w:r>
      <w:r w:rsidR="004D0730" w:rsidRPr="002E2AA0">
        <w:rPr>
          <w:rFonts w:ascii="Times New Roman" w:hAnsi="Times New Roman" w:cs="Times New Roman"/>
          <w:lang w:val="en-US"/>
        </w:rPr>
        <w:t>82</w:t>
      </w:r>
      <w:r w:rsidRPr="002E2AA0">
        <w:rPr>
          <w:rFonts w:ascii="Times New Roman" w:hAnsi="Times New Roman" w:cs="Times New Roman"/>
          <w:lang w:val="en-US"/>
        </w:rPr>
        <w:t xml:space="preserve">%), </w:t>
      </w:r>
      <w:r w:rsidR="004D0730" w:rsidRPr="002E2AA0">
        <w:rPr>
          <w:rFonts w:ascii="Times New Roman" w:hAnsi="Times New Roman" w:cs="Times New Roman"/>
          <w:lang w:val="en-US"/>
        </w:rPr>
        <w:t>five</w:t>
      </w:r>
      <w:r w:rsidRPr="002E2AA0">
        <w:rPr>
          <w:rFonts w:ascii="Times New Roman" w:hAnsi="Times New Roman" w:cs="Times New Roman"/>
          <w:lang w:val="en-US"/>
        </w:rPr>
        <w:t xml:space="preserve"> qualitative (</w:t>
      </w:r>
      <w:r w:rsidR="004D0730" w:rsidRPr="002E2AA0">
        <w:rPr>
          <w:rFonts w:ascii="Times New Roman" w:hAnsi="Times New Roman" w:cs="Times New Roman"/>
          <w:lang w:val="en-US"/>
        </w:rPr>
        <w:t>29.41</w:t>
      </w:r>
      <w:r w:rsidRPr="002E2AA0">
        <w:rPr>
          <w:rFonts w:ascii="Times New Roman" w:hAnsi="Times New Roman" w:cs="Times New Roman"/>
          <w:lang w:val="en-US"/>
        </w:rPr>
        <w:t>%) and two were mixed methods (</w:t>
      </w:r>
      <w:r w:rsidR="004D0730" w:rsidRPr="002E2AA0">
        <w:rPr>
          <w:rFonts w:ascii="Times New Roman" w:hAnsi="Times New Roman" w:cs="Times New Roman"/>
          <w:lang w:val="en-US"/>
        </w:rPr>
        <w:t>11.77</w:t>
      </w:r>
      <w:r w:rsidR="00EB5474">
        <w:rPr>
          <w:rFonts w:ascii="Times New Roman" w:hAnsi="Times New Roman" w:cs="Times New Roman"/>
          <w:lang w:val="en-US"/>
        </w:rPr>
        <w:t>%). Of the quantitative studies</w:t>
      </w:r>
      <w:r w:rsidRPr="002E2AA0">
        <w:rPr>
          <w:rFonts w:ascii="Times New Roman" w:hAnsi="Times New Roman" w:cs="Times New Roman"/>
          <w:lang w:val="en-US"/>
        </w:rPr>
        <w:t>, fo</w:t>
      </w:r>
      <w:r w:rsidRPr="00B17604">
        <w:rPr>
          <w:rFonts w:ascii="Times New Roman" w:hAnsi="Times New Roman" w:cs="Times New Roman"/>
          <w:lang w:val="en-US"/>
        </w:rPr>
        <w:t>ur were longitudinal (</w:t>
      </w:r>
      <w:r w:rsidR="00B17604" w:rsidRPr="00B17604">
        <w:rPr>
          <w:rFonts w:ascii="Times New Roman" w:hAnsi="Times New Roman" w:cs="Times New Roman"/>
          <w:lang w:val="en-US"/>
        </w:rPr>
        <w:t>40.0</w:t>
      </w:r>
      <w:r w:rsidRPr="00B17604">
        <w:rPr>
          <w:rFonts w:ascii="Times New Roman" w:hAnsi="Times New Roman" w:cs="Times New Roman"/>
          <w:lang w:val="en-US"/>
        </w:rPr>
        <w:t xml:space="preserve">%), </w:t>
      </w:r>
      <w:r w:rsidR="00EB5474" w:rsidRPr="00B17604">
        <w:rPr>
          <w:rFonts w:ascii="Times New Roman" w:hAnsi="Times New Roman" w:cs="Times New Roman"/>
          <w:lang w:val="en-US"/>
        </w:rPr>
        <w:t>two were</w:t>
      </w:r>
      <w:r w:rsidRPr="00B17604">
        <w:rPr>
          <w:rFonts w:ascii="Times New Roman" w:hAnsi="Times New Roman" w:cs="Times New Roman"/>
          <w:lang w:val="en-US"/>
        </w:rPr>
        <w:t xml:space="preserve"> </w:t>
      </w:r>
      <w:r w:rsidR="004D6AB9" w:rsidRPr="00B17604">
        <w:rPr>
          <w:rFonts w:ascii="Times New Roman" w:hAnsi="Times New Roman" w:cs="Times New Roman"/>
          <w:lang w:val="en-US"/>
        </w:rPr>
        <w:t>cross-sectional</w:t>
      </w:r>
      <w:r w:rsidRPr="00B17604">
        <w:rPr>
          <w:rFonts w:ascii="Times New Roman" w:hAnsi="Times New Roman" w:cs="Times New Roman"/>
          <w:lang w:val="en-US"/>
        </w:rPr>
        <w:t xml:space="preserve"> (</w:t>
      </w:r>
      <w:r w:rsidR="00B17604" w:rsidRPr="00B17604">
        <w:rPr>
          <w:rFonts w:ascii="Times New Roman" w:hAnsi="Times New Roman" w:cs="Times New Roman"/>
          <w:lang w:val="en-US"/>
        </w:rPr>
        <w:t>20.0</w:t>
      </w:r>
      <w:r w:rsidRPr="00B17604">
        <w:rPr>
          <w:rFonts w:ascii="Times New Roman" w:hAnsi="Times New Roman" w:cs="Times New Roman"/>
          <w:lang w:val="en-US"/>
        </w:rPr>
        <w:t>%),</w:t>
      </w:r>
      <w:r w:rsidR="004D6AB9" w:rsidRPr="00B17604">
        <w:rPr>
          <w:rFonts w:ascii="Times New Roman" w:hAnsi="Times New Roman" w:cs="Times New Roman"/>
          <w:lang w:val="en-US"/>
        </w:rPr>
        <w:t xml:space="preserve"> </w:t>
      </w:r>
      <w:r w:rsidRPr="00B17604">
        <w:rPr>
          <w:rFonts w:ascii="Times New Roman" w:hAnsi="Times New Roman" w:cs="Times New Roman"/>
          <w:lang w:val="en-US"/>
        </w:rPr>
        <w:t>two (</w:t>
      </w:r>
      <w:r w:rsidR="00B17604" w:rsidRPr="00B17604">
        <w:rPr>
          <w:rFonts w:ascii="Times New Roman" w:hAnsi="Times New Roman" w:cs="Times New Roman"/>
          <w:lang w:val="en-US"/>
        </w:rPr>
        <w:t>20.0</w:t>
      </w:r>
      <w:r w:rsidRPr="00B17604">
        <w:rPr>
          <w:rFonts w:ascii="Times New Roman" w:hAnsi="Times New Roman" w:cs="Times New Roman"/>
          <w:lang w:val="en-US"/>
        </w:rPr>
        <w:t>%) used a retrospective methodology (of which one matched participants on static risk level and follow-up time)</w:t>
      </w:r>
      <w:r w:rsidR="004D6AB9" w:rsidRPr="00B17604">
        <w:rPr>
          <w:rFonts w:ascii="Times New Roman" w:hAnsi="Times New Roman" w:cs="Times New Roman"/>
          <w:lang w:val="en-US"/>
        </w:rPr>
        <w:t>, one was quasi-experimental (</w:t>
      </w:r>
      <w:r w:rsidR="00B17604" w:rsidRPr="00B17604">
        <w:rPr>
          <w:rFonts w:ascii="Times New Roman" w:hAnsi="Times New Roman" w:cs="Times New Roman"/>
          <w:lang w:val="en-US"/>
        </w:rPr>
        <w:t>10.0</w:t>
      </w:r>
      <w:r w:rsidR="004D6AB9" w:rsidRPr="00B17604">
        <w:rPr>
          <w:rFonts w:ascii="Times New Roman" w:hAnsi="Times New Roman" w:cs="Times New Roman"/>
          <w:lang w:val="en-US"/>
        </w:rPr>
        <w:t>%), and one was a RCT (</w:t>
      </w:r>
      <w:r w:rsidR="00B17604" w:rsidRPr="00B17604">
        <w:rPr>
          <w:rFonts w:ascii="Times New Roman" w:hAnsi="Times New Roman" w:cs="Times New Roman"/>
          <w:lang w:val="en-US"/>
        </w:rPr>
        <w:t>10.0</w:t>
      </w:r>
      <w:r w:rsidR="004D6AB9" w:rsidRPr="00B17604">
        <w:rPr>
          <w:rFonts w:ascii="Times New Roman" w:hAnsi="Times New Roman" w:cs="Times New Roman"/>
          <w:lang w:val="en-US"/>
        </w:rPr>
        <w:t>%)</w:t>
      </w:r>
      <w:r w:rsidRPr="00B17604">
        <w:rPr>
          <w:rFonts w:ascii="Times New Roman" w:hAnsi="Times New Roman" w:cs="Times New Roman"/>
          <w:lang w:val="en-US"/>
        </w:rPr>
        <w:t>.</w:t>
      </w:r>
      <w:r w:rsidRPr="002E2AA0">
        <w:rPr>
          <w:rFonts w:ascii="Times New Roman" w:hAnsi="Times New Roman" w:cs="Times New Roman"/>
          <w:lang w:val="en-US"/>
        </w:rPr>
        <w:t xml:space="preserve"> Twelve studies (</w:t>
      </w:r>
      <w:r w:rsidR="004D0730" w:rsidRPr="002E2AA0">
        <w:rPr>
          <w:rFonts w:ascii="Times New Roman" w:hAnsi="Times New Roman" w:cs="Times New Roman"/>
          <w:lang w:val="en-US"/>
        </w:rPr>
        <w:t>70.59</w:t>
      </w:r>
      <w:r w:rsidRPr="002E2AA0">
        <w:rPr>
          <w:rFonts w:ascii="Times New Roman" w:hAnsi="Times New Roman" w:cs="Times New Roman"/>
          <w:lang w:val="en-US"/>
        </w:rPr>
        <w:t xml:space="preserve">%) assessed the </w:t>
      </w:r>
      <w:r w:rsidRPr="002E2AA0">
        <w:rPr>
          <w:rFonts w:ascii="Times New Roman" w:hAnsi="Times New Roman" w:cs="Times New Roman"/>
          <w:i/>
          <w:lang w:val="en-US"/>
        </w:rPr>
        <w:t>assumptions</w:t>
      </w:r>
      <w:r w:rsidRPr="002E2AA0">
        <w:rPr>
          <w:rFonts w:ascii="Times New Roman" w:hAnsi="Times New Roman" w:cs="Times New Roman"/>
          <w:lang w:val="en-US"/>
        </w:rPr>
        <w:t xml:space="preserve"> of the GLM (question 1). The assumptions examined included the relationship between offending and</w:t>
      </w:r>
      <w:r w:rsidRPr="002E2AA0">
        <w:rPr>
          <w:rFonts w:ascii="Times New Roman" w:hAnsi="Times New Roman" w:cs="Times New Roman"/>
          <w:color w:val="000000" w:themeColor="text1"/>
          <w:lang w:val="en-US"/>
        </w:rPr>
        <w:t xml:space="preserve"> primary goods, four obstacles in Good Lives plans, and pathways to offending. </w:t>
      </w:r>
      <w:r w:rsidR="004D0730" w:rsidRPr="002E2AA0">
        <w:rPr>
          <w:rFonts w:ascii="Times New Roman" w:hAnsi="Times New Roman" w:cs="Times New Roman"/>
          <w:lang w:val="en-US"/>
        </w:rPr>
        <w:t>Five</w:t>
      </w:r>
      <w:r w:rsidRPr="002E2AA0">
        <w:rPr>
          <w:rFonts w:ascii="Times New Roman" w:hAnsi="Times New Roman" w:cs="Times New Roman"/>
          <w:lang w:val="en-US"/>
        </w:rPr>
        <w:t xml:space="preserve"> studies </w:t>
      </w:r>
      <w:r w:rsidR="004D0730" w:rsidRPr="002E2AA0">
        <w:rPr>
          <w:rFonts w:ascii="Times New Roman" w:hAnsi="Times New Roman" w:cs="Times New Roman"/>
          <w:lang w:val="en-US"/>
        </w:rPr>
        <w:t xml:space="preserve">(29.41%) </w:t>
      </w:r>
      <w:r w:rsidRPr="002E2AA0">
        <w:rPr>
          <w:rFonts w:ascii="Times New Roman" w:hAnsi="Times New Roman" w:cs="Times New Roman"/>
          <w:lang w:val="en-US"/>
        </w:rPr>
        <w:t xml:space="preserve">assessed the </w:t>
      </w:r>
      <w:r w:rsidRPr="002E2AA0">
        <w:rPr>
          <w:rFonts w:ascii="Times New Roman" w:hAnsi="Times New Roman" w:cs="Times New Roman"/>
          <w:i/>
          <w:lang w:val="en-US"/>
        </w:rPr>
        <w:t xml:space="preserve">outcomes </w:t>
      </w:r>
      <w:r w:rsidRPr="002E2AA0">
        <w:rPr>
          <w:rFonts w:ascii="Times New Roman" w:hAnsi="Times New Roman" w:cs="Times New Roman"/>
          <w:lang w:val="en-US"/>
        </w:rPr>
        <w:t>of GLM interventions, including: pre-post treatment change, attrition rates, treatment engagement, and service user perspectives.</w:t>
      </w:r>
    </w:p>
    <w:p w14:paraId="7B55AA4B" w14:textId="4D4A62C8" w:rsidR="0099527D" w:rsidRPr="002E2AA0" w:rsidRDefault="00FB34FF" w:rsidP="0099527D">
      <w:pPr>
        <w:spacing w:line="480" w:lineRule="auto"/>
        <w:rPr>
          <w:rFonts w:ascii="Times New Roman" w:hAnsi="Times New Roman" w:cs="Times New Roman"/>
          <w:lang w:val="en-US"/>
        </w:rPr>
      </w:pPr>
      <w:r>
        <w:rPr>
          <w:rFonts w:ascii="Times New Roman" w:hAnsi="Times New Roman" w:cs="Times New Roman"/>
          <w:b/>
          <w:lang w:val="en-US"/>
        </w:rPr>
        <w:t xml:space="preserve">4.2 </w:t>
      </w:r>
      <w:r w:rsidR="0099527D" w:rsidRPr="002E2AA0">
        <w:rPr>
          <w:rFonts w:ascii="Times New Roman" w:hAnsi="Times New Roman" w:cs="Times New Roman"/>
          <w:b/>
          <w:lang w:val="en-US"/>
        </w:rPr>
        <w:t>Sample and Recruitment</w:t>
      </w:r>
    </w:p>
    <w:p w14:paraId="2072EB12" w14:textId="77777777" w:rsidR="0099527D" w:rsidRPr="002E2AA0" w:rsidRDefault="0099527D" w:rsidP="00C00A92">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Sample sizes ranged from </w:t>
      </w:r>
      <w:r w:rsidR="004D0730" w:rsidRPr="002E2AA0">
        <w:rPr>
          <w:rFonts w:ascii="Times New Roman" w:hAnsi="Times New Roman" w:cs="Times New Roman"/>
          <w:lang w:val="en-US"/>
        </w:rPr>
        <w:t>10</w:t>
      </w:r>
      <w:r w:rsidRPr="002E2AA0">
        <w:rPr>
          <w:rFonts w:ascii="Times New Roman" w:hAnsi="Times New Roman" w:cs="Times New Roman"/>
          <w:lang w:val="en-US"/>
        </w:rPr>
        <w:t xml:space="preserve"> to 777 participants. The majority of the studies used adult samples (</w:t>
      </w:r>
      <w:r w:rsidRPr="002E2AA0">
        <w:rPr>
          <w:rFonts w:ascii="Times New Roman" w:hAnsi="Times New Roman" w:cs="Times New Roman"/>
          <w:i/>
          <w:lang w:val="en-US"/>
        </w:rPr>
        <w:t>n</w:t>
      </w:r>
      <w:r w:rsidRPr="002E2AA0">
        <w:rPr>
          <w:rFonts w:ascii="Times New Roman" w:hAnsi="Times New Roman" w:cs="Times New Roman"/>
          <w:lang w:val="en-US"/>
        </w:rPr>
        <w:t xml:space="preserve"> = 1</w:t>
      </w:r>
      <w:r w:rsidR="004D0730" w:rsidRPr="002E2AA0">
        <w:rPr>
          <w:rFonts w:ascii="Times New Roman" w:hAnsi="Times New Roman" w:cs="Times New Roman"/>
          <w:lang w:val="en-US"/>
        </w:rPr>
        <w:t>2</w:t>
      </w:r>
      <w:r w:rsidRPr="002E2AA0">
        <w:rPr>
          <w:rFonts w:ascii="Times New Roman" w:hAnsi="Times New Roman" w:cs="Times New Roman"/>
          <w:lang w:val="en-US"/>
        </w:rPr>
        <w:t xml:space="preserve">; </w:t>
      </w:r>
      <w:r w:rsidR="004D0730" w:rsidRPr="002E2AA0">
        <w:rPr>
          <w:rFonts w:ascii="Times New Roman" w:hAnsi="Times New Roman" w:cs="Times New Roman"/>
          <w:lang w:val="en-US"/>
        </w:rPr>
        <w:t>70.59</w:t>
      </w:r>
      <w:r w:rsidRPr="002E2AA0">
        <w:rPr>
          <w:rFonts w:ascii="Times New Roman" w:hAnsi="Times New Roman" w:cs="Times New Roman"/>
          <w:lang w:val="en-US"/>
        </w:rPr>
        <w:t xml:space="preserve">%), with the remaining five studies assessing adolescent samples </w:t>
      </w:r>
      <w:r w:rsidR="004D0730" w:rsidRPr="002E2AA0">
        <w:rPr>
          <w:rFonts w:ascii="Times New Roman" w:hAnsi="Times New Roman" w:cs="Times New Roman"/>
          <w:lang w:val="en-US"/>
        </w:rPr>
        <w:t>(29.41%)</w:t>
      </w:r>
      <w:r w:rsidRPr="002E2AA0">
        <w:rPr>
          <w:rFonts w:ascii="Times New Roman" w:hAnsi="Times New Roman" w:cs="Times New Roman"/>
          <w:lang w:val="en-US"/>
        </w:rPr>
        <w:t xml:space="preserve">. </w:t>
      </w:r>
      <w:r w:rsidR="004D0730" w:rsidRPr="002E2AA0">
        <w:rPr>
          <w:rFonts w:ascii="Times New Roman" w:hAnsi="Times New Roman" w:cs="Times New Roman"/>
          <w:lang w:val="en-US"/>
        </w:rPr>
        <w:t>Fourteen</w:t>
      </w:r>
      <w:r w:rsidRPr="002E2AA0">
        <w:rPr>
          <w:rFonts w:ascii="Times New Roman" w:hAnsi="Times New Roman" w:cs="Times New Roman"/>
          <w:lang w:val="en-US"/>
        </w:rPr>
        <w:t xml:space="preserve"> (</w:t>
      </w:r>
      <w:r w:rsidR="00C00A92" w:rsidRPr="002E2AA0">
        <w:rPr>
          <w:rFonts w:ascii="Times New Roman" w:hAnsi="Times New Roman" w:cs="Times New Roman"/>
          <w:lang w:val="en-US"/>
        </w:rPr>
        <w:t>82.35</w:t>
      </w:r>
      <w:r w:rsidRPr="002E2AA0">
        <w:rPr>
          <w:rFonts w:ascii="Times New Roman" w:hAnsi="Times New Roman" w:cs="Times New Roman"/>
          <w:lang w:val="en-US"/>
        </w:rPr>
        <w:t>%) studies recruited male participants, with one study (</w:t>
      </w:r>
      <w:r w:rsidR="00C00A92" w:rsidRPr="002E2AA0">
        <w:rPr>
          <w:rFonts w:ascii="Times New Roman" w:hAnsi="Times New Roman" w:cs="Times New Roman"/>
          <w:lang w:val="en-US"/>
        </w:rPr>
        <w:t>5.88</w:t>
      </w:r>
      <w:r w:rsidRPr="002E2AA0">
        <w:rPr>
          <w:rFonts w:ascii="Times New Roman" w:hAnsi="Times New Roman" w:cs="Times New Roman"/>
          <w:lang w:val="en-US"/>
        </w:rPr>
        <w:t>%; Van Damme et al., 2016) recruiting female participants only. The remaining two studies (</w:t>
      </w:r>
      <w:r w:rsidR="00C00A92" w:rsidRPr="002E2AA0">
        <w:rPr>
          <w:rFonts w:ascii="Times New Roman" w:hAnsi="Times New Roman" w:cs="Times New Roman"/>
          <w:lang w:val="en-US"/>
        </w:rPr>
        <w:t>11.77</w:t>
      </w:r>
      <w:r w:rsidRPr="002E2AA0">
        <w:rPr>
          <w:rFonts w:ascii="Times New Roman" w:hAnsi="Times New Roman" w:cs="Times New Roman"/>
          <w:lang w:val="en-US"/>
        </w:rPr>
        <w:t>%; Leeson &amp; Adshead, 2013; Loney &amp; Harkins, 2018) had a mixture of both male and female participants. Seven studies recruited participants from the United Kingdom (</w:t>
      </w:r>
      <w:r w:rsidR="00C00A92" w:rsidRPr="002E2AA0">
        <w:rPr>
          <w:rFonts w:ascii="Times New Roman" w:hAnsi="Times New Roman" w:cs="Times New Roman"/>
          <w:lang w:val="en-US"/>
        </w:rPr>
        <w:t>41.18</w:t>
      </w:r>
      <w:r w:rsidRPr="002E2AA0">
        <w:rPr>
          <w:rFonts w:ascii="Times New Roman" w:hAnsi="Times New Roman" w:cs="Times New Roman"/>
          <w:lang w:val="en-US"/>
        </w:rPr>
        <w:t>%), three from The Netherlands (</w:t>
      </w:r>
      <w:r w:rsidR="00C00A92" w:rsidRPr="002E2AA0">
        <w:rPr>
          <w:rFonts w:ascii="Times New Roman" w:hAnsi="Times New Roman" w:cs="Times New Roman"/>
          <w:lang w:val="en-US"/>
        </w:rPr>
        <w:t>17.65</w:t>
      </w:r>
      <w:r w:rsidRPr="002E2AA0">
        <w:rPr>
          <w:rFonts w:ascii="Times New Roman" w:hAnsi="Times New Roman" w:cs="Times New Roman"/>
          <w:lang w:val="en-US"/>
        </w:rPr>
        <w:t>%)</w:t>
      </w:r>
      <w:r w:rsidR="00C00A92" w:rsidRPr="002E2AA0">
        <w:rPr>
          <w:rFonts w:ascii="Times New Roman" w:hAnsi="Times New Roman" w:cs="Times New Roman"/>
          <w:lang w:val="en-US"/>
        </w:rPr>
        <w:t>,</w:t>
      </w:r>
      <w:r w:rsidRPr="002E2AA0">
        <w:rPr>
          <w:rFonts w:ascii="Times New Roman" w:hAnsi="Times New Roman" w:cs="Times New Roman"/>
          <w:lang w:val="en-US"/>
        </w:rPr>
        <w:t xml:space="preserve"> </w:t>
      </w:r>
      <w:r w:rsidR="00C00A92" w:rsidRPr="002E2AA0">
        <w:rPr>
          <w:rFonts w:ascii="Times New Roman" w:hAnsi="Times New Roman" w:cs="Times New Roman"/>
          <w:lang w:val="en-US"/>
        </w:rPr>
        <w:t xml:space="preserve">two from New Zealand (11.77%), </w:t>
      </w:r>
      <w:r w:rsidRPr="002E2AA0">
        <w:rPr>
          <w:rFonts w:ascii="Times New Roman" w:hAnsi="Times New Roman" w:cs="Times New Roman"/>
          <w:lang w:val="en-US"/>
        </w:rPr>
        <w:t>and two from Australia (</w:t>
      </w:r>
      <w:r w:rsidR="00C00A92" w:rsidRPr="002E2AA0">
        <w:rPr>
          <w:rFonts w:ascii="Times New Roman" w:hAnsi="Times New Roman" w:cs="Times New Roman"/>
          <w:lang w:val="en-US"/>
        </w:rPr>
        <w:t>11.77</w:t>
      </w:r>
      <w:r w:rsidRPr="002E2AA0">
        <w:rPr>
          <w:rFonts w:ascii="Times New Roman" w:hAnsi="Times New Roman" w:cs="Times New Roman"/>
          <w:lang w:val="en-US"/>
        </w:rPr>
        <w:t>%), with one (</w:t>
      </w:r>
      <w:r w:rsidR="00C00A92" w:rsidRPr="002E2AA0">
        <w:rPr>
          <w:rFonts w:ascii="Times New Roman" w:hAnsi="Times New Roman" w:cs="Times New Roman"/>
          <w:lang w:val="en-US"/>
        </w:rPr>
        <w:t>5.88</w:t>
      </w:r>
      <w:r w:rsidRPr="002E2AA0">
        <w:rPr>
          <w:rFonts w:ascii="Times New Roman" w:hAnsi="Times New Roman" w:cs="Times New Roman"/>
          <w:lang w:val="en-US"/>
        </w:rPr>
        <w:t>%) from each of the following countries: Singapore, United States</w:t>
      </w:r>
      <w:r w:rsidR="00BB400D" w:rsidRPr="002E2AA0">
        <w:rPr>
          <w:rFonts w:ascii="Times New Roman" w:hAnsi="Times New Roman" w:cs="Times New Roman"/>
          <w:lang w:val="en-US"/>
        </w:rPr>
        <w:t xml:space="preserve"> and </w:t>
      </w:r>
      <w:r w:rsidRPr="002E2AA0">
        <w:rPr>
          <w:rFonts w:ascii="Times New Roman" w:hAnsi="Times New Roman" w:cs="Times New Roman"/>
          <w:lang w:val="en-US"/>
        </w:rPr>
        <w:t xml:space="preserve">Belgium. </w:t>
      </w:r>
    </w:p>
    <w:p w14:paraId="73B0D3B3" w14:textId="77777777"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lastRenderedPageBreak/>
        <w:t>Over half of the included studies examined individuals who had sexually offended (</w:t>
      </w:r>
      <w:r w:rsidRPr="002E2AA0">
        <w:rPr>
          <w:rFonts w:ascii="Times New Roman" w:hAnsi="Times New Roman" w:cs="Times New Roman"/>
          <w:i/>
          <w:lang w:val="en-US"/>
        </w:rPr>
        <w:t xml:space="preserve">n </w:t>
      </w:r>
      <w:r w:rsidRPr="002E2AA0">
        <w:rPr>
          <w:rFonts w:ascii="Times New Roman" w:hAnsi="Times New Roman" w:cs="Times New Roman"/>
          <w:lang w:val="en-US"/>
        </w:rPr>
        <w:t xml:space="preserve">= 10; </w:t>
      </w:r>
      <w:r w:rsidR="00BB400D" w:rsidRPr="002E2AA0">
        <w:rPr>
          <w:rFonts w:ascii="Times New Roman" w:hAnsi="Times New Roman" w:cs="Times New Roman"/>
          <w:lang w:val="en-US"/>
        </w:rPr>
        <w:t>58.82</w:t>
      </w:r>
      <w:r w:rsidRPr="002E2AA0">
        <w:rPr>
          <w:rFonts w:ascii="Times New Roman" w:hAnsi="Times New Roman" w:cs="Times New Roman"/>
          <w:lang w:val="en-US"/>
        </w:rPr>
        <w:t xml:space="preserve">%), </w:t>
      </w:r>
      <w:r w:rsidR="00BB400D" w:rsidRPr="002E2AA0">
        <w:rPr>
          <w:rFonts w:ascii="Times New Roman" w:hAnsi="Times New Roman" w:cs="Times New Roman"/>
          <w:lang w:val="en-US"/>
        </w:rPr>
        <w:t xml:space="preserve">four studies examined general delinquency/antisocial </w:t>
      </w:r>
      <w:r w:rsidR="00EC638A" w:rsidRPr="002E2AA0">
        <w:rPr>
          <w:rFonts w:ascii="Times New Roman" w:hAnsi="Times New Roman" w:cs="Times New Roman"/>
          <w:lang w:val="en-US"/>
        </w:rPr>
        <w:t>behavior</w:t>
      </w:r>
      <w:r w:rsidR="00BB400D" w:rsidRPr="002E2AA0">
        <w:rPr>
          <w:rFonts w:ascii="Times New Roman" w:hAnsi="Times New Roman" w:cs="Times New Roman"/>
          <w:lang w:val="en-US"/>
        </w:rPr>
        <w:t xml:space="preserve"> (23.53%), two</w:t>
      </w:r>
      <w:r w:rsidRPr="002E2AA0">
        <w:rPr>
          <w:rFonts w:ascii="Times New Roman" w:hAnsi="Times New Roman" w:cs="Times New Roman"/>
          <w:lang w:val="en-US"/>
        </w:rPr>
        <w:t xml:space="preserve"> studies examined mixed offending typologies (including sexual, violent and non-violent offences; </w:t>
      </w:r>
      <w:r w:rsidR="00BB400D" w:rsidRPr="002E2AA0">
        <w:rPr>
          <w:rFonts w:ascii="Times New Roman" w:hAnsi="Times New Roman" w:cs="Times New Roman"/>
          <w:lang w:val="en-US"/>
        </w:rPr>
        <w:t>11.77</w:t>
      </w:r>
      <w:r w:rsidRPr="002E2AA0">
        <w:rPr>
          <w:rFonts w:ascii="Times New Roman" w:hAnsi="Times New Roman" w:cs="Times New Roman"/>
          <w:lang w:val="en-US"/>
        </w:rPr>
        <w:t>%), and one study assessed burglars (5.</w:t>
      </w:r>
      <w:r w:rsidR="00BB400D" w:rsidRPr="002E2AA0">
        <w:rPr>
          <w:rFonts w:ascii="Times New Roman" w:hAnsi="Times New Roman" w:cs="Times New Roman"/>
          <w:lang w:val="en-US"/>
        </w:rPr>
        <w:t>88</w:t>
      </w:r>
      <w:r w:rsidRPr="002E2AA0">
        <w:rPr>
          <w:rFonts w:ascii="Times New Roman" w:hAnsi="Times New Roman" w:cs="Times New Roman"/>
          <w:lang w:val="en-US"/>
        </w:rPr>
        <w:t xml:space="preserve">%). Although </w:t>
      </w:r>
      <w:r w:rsidR="00BB400D" w:rsidRPr="002E2AA0">
        <w:rPr>
          <w:rFonts w:ascii="Times New Roman" w:hAnsi="Times New Roman" w:cs="Times New Roman"/>
          <w:lang w:val="en-US"/>
        </w:rPr>
        <w:t>16</w:t>
      </w:r>
      <w:r w:rsidRPr="002E2AA0">
        <w:rPr>
          <w:rFonts w:ascii="Times New Roman" w:hAnsi="Times New Roman" w:cs="Times New Roman"/>
          <w:lang w:val="en-US"/>
        </w:rPr>
        <w:t xml:space="preserve"> of the </w:t>
      </w:r>
      <w:r w:rsidR="00BB400D" w:rsidRPr="002E2AA0">
        <w:rPr>
          <w:rFonts w:ascii="Times New Roman" w:hAnsi="Times New Roman" w:cs="Times New Roman"/>
          <w:lang w:val="en-US"/>
        </w:rPr>
        <w:t>17</w:t>
      </w:r>
      <w:r w:rsidRPr="002E2AA0">
        <w:rPr>
          <w:rFonts w:ascii="Times New Roman" w:hAnsi="Times New Roman" w:cs="Times New Roman"/>
          <w:lang w:val="en-US"/>
        </w:rPr>
        <w:t xml:space="preserve"> studies recruited participants from an offending population (94.</w:t>
      </w:r>
      <w:r w:rsidR="000C582A" w:rsidRPr="002E2AA0">
        <w:rPr>
          <w:rFonts w:ascii="Times New Roman" w:hAnsi="Times New Roman" w:cs="Times New Roman"/>
          <w:lang w:val="en-US"/>
        </w:rPr>
        <w:t>12</w:t>
      </w:r>
      <w:r w:rsidRPr="002E2AA0">
        <w:rPr>
          <w:rFonts w:ascii="Times New Roman" w:hAnsi="Times New Roman" w:cs="Times New Roman"/>
          <w:lang w:val="en-US"/>
        </w:rPr>
        <w:t xml:space="preserve">%), one study (Loney &amp; Harkins, 2018) assessed antisocial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in university students. The remaining participants were recruited from prisons (</w:t>
      </w:r>
      <w:r w:rsidRPr="002E2AA0">
        <w:rPr>
          <w:rFonts w:ascii="Times New Roman" w:hAnsi="Times New Roman" w:cs="Times New Roman"/>
          <w:i/>
          <w:lang w:val="en-US"/>
        </w:rPr>
        <w:t xml:space="preserve">n </w:t>
      </w:r>
      <w:r w:rsidRPr="002E2AA0">
        <w:rPr>
          <w:rFonts w:ascii="Times New Roman" w:hAnsi="Times New Roman" w:cs="Times New Roman"/>
          <w:lang w:val="en-US"/>
        </w:rPr>
        <w:t xml:space="preserve">= 5; </w:t>
      </w:r>
      <w:r w:rsidR="00B94C73" w:rsidRPr="002E2AA0">
        <w:rPr>
          <w:rFonts w:ascii="Times New Roman" w:hAnsi="Times New Roman" w:cs="Times New Roman"/>
          <w:lang w:val="en-US"/>
        </w:rPr>
        <w:t>29.4</w:t>
      </w:r>
      <w:r w:rsidR="009E1D3A" w:rsidRPr="002E2AA0">
        <w:rPr>
          <w:rFonts w:ascii="Times New Roman" w:hAnsi="Times New Roman" w:cs="Times New Roman"/>
          <w:lang w:val="en-US"/>
        </w:rPr>
        <w:t>1</w:t>
      </w:r>
      <w:r w:rsidRPr="002E2AA0">
        <w:rPr>
          <w:rFonts w:ascii="Times New Roman" w:hAnsi="Times New Roman" w:cs="Times New Roman"/>
          <w:lang w:val="en-US"/>
        </w:rPr>
        <w:t>%), community services (</w:t>
      </w:r>
      <w:r w:rsidR="00B94C73" w:rsidRPr="002E2AA0">
        <w:rPr>
          <w:rFonts w:ascii="Times New Roman" w:hAnsi="Times New Roman" w:cs="Times New Roman"/>
          <w:i/>
          <w:lang w:val="en-US"/>
        </w:rPr>
        <w:t xml:space="preserve">n </w:t>
      </w:r>
      <w:r w:rsidR="00B94C73" w:rsidRPr="002E2AA0">
        <w:rPr>
          <w:rFonts w:ascii="Times New Roman" w:hAnsi="Times New Roman" w:cs="Times New Roman"/>
          <w:lang w:val="en-US"/>
        </w:rPr>
        <w:t>= 5; 29.4</w:t>
      </w:r>
      <w:r w:rsidR="009E1D3A" w:rsidRPr="002E2AA0">
        <w:rPr>
          <w:rFonts w:ascii="Times New Roman" w:hAnsi="Times New Roman" w:cs="Times New Roman"/>
          <w:lang w:val="en-US"/>
        </w:rPr>
        <w:t>1</w:t>
      </w:r>
      <w:r w:rsidR="00B94C73" w:rsidRPr="002E2AA0">
        <w:rPr>
          <w:rFonts w:ascii="Times New Roman" w:hAnsi="Times New Roman" w:cs="Times New Roman"/>
          <w:lang w:val="en-US"/>
        </w:rPr>
        <w:t>%</w:t>
      </w:r>
      <w:r w:rsidRPr="002E2AA0">
        <w:rPr>
          <w:rFonts w:ascii="Times New Roman" w:hAnsi="Times New Roman" w:cs="Times New Roman"/>
          <w:lang w:val="en-US"/>
        </w:rPr>
        <w:t>), mixed prison and community (</w:t>
      </w:r>
      <w:r w:rsidRPr="002E2AA0">
        <w:rPr>
          <w:rFonts w:ascii="Times New Roman" w:hAnsi="Times New Roman" w:cs="Times New Roman"/>
          <w:i/>
          <w:lang w:val="en-US"/>
        </w:rPr>
        <w:t>n</w:t>
      </w:r>
      <w:r w:rsidRPr="002E2AA0">
        <w:rPr>
          <w:rFonts w:ascii="Times New Roman" w:hAnsi="Times New Roman" w:cs="Times New Roman"/>
          <w:lang w:val="en-US"/>
        </w:rPr>
        <w:t xml:space="preserve"> = 1; 5.</w:t>
      </w:r>
      <w:r w:rsidR="00B94C73" w:rsidRPr="002E2AA0">
        <w:rPr>
          <w:rFonts w:ascii="Times New Roman" w:hAnsi="Times New Roman" w:cs="Times New Roman"/>
          <w:lang w:val="en-US"/>
        </w:rPr>
        <w:t>88</w:t>
      </w:r>
      <w:r w:rsidRPr="002E2AA0">
        <w:rPr>
          <w:rFonts w:ascii="Times New Roman" w:hAnsi="Times New Roman" w:cs="Times New Roman"/>
          <w:lang w:val="en-US"/>
        </w:rPr>
        <w:t>%), forensic secure units (</w:t>
      </w:r>
      <w:r w:rsidRPr="002E2AA0">
        <w:rPr>
          <w:rFonts w:ascii="Times New Roman" w:hAnsi="Times New Roman" w:cs="Times New Roman"/>
          <w:i/>
          <w:lang w:val="en-US"/>
        </w:rPr>
        <w:t xml:space="preserve">n </w:t>
      </w:r>
      <w:r w:rsidRPr="002E2AA0">
        <w:rPr>
          <w:rFonts w:ascii="Times New Roman" w:hAnsi="Times New Roman" w:cs="Times New Roman"/>
          <w:lang w:val="en-US"/>
        </w:rPr>
        <w:t xml:space="preserve">= </w:t>
      </w:r>
      <w:r w:rsidR="00B94C73" w:rsidRPr="002E2AA0">
        <w:rPr>
          <w:rFonts w:ascii="Times New Roman" w:hAnsi="Times New Roman" w:cs="Times New Roman"/>
          <w:lang w:val="en-US"/>
        </w:rPr>
        <w:t>2</w:t>
      </w:r>
      <w:r w:rsidRPr="002E2AA0">
        <w:rPr>
          <w:rFonts w:ascii="Times New Roman" w:hAnsi="Times New Roman" w:cs="Times New Roman"/>
          <w:lang w:val="en-US"/>
        </w:rPr>
        <w:t xml:space="preserve">; </w:t>
      </w:r>
      <w:r w:rsidR="00B94C73" w:rsidRPr="002E2AA0">
        <w:rPr>
          <w:rFonts w:ascii="Times New Roman" w:hAnsi="Times New Roman" w:cs="Times New Roman"/>
          <w:lang w:val="en-US"/>
        </w:rPr>
        <w:t>11.77</w:t>
      </w:r>
      <w:r w:rsidRPr="002E2AA0">
        <w:rPr>
          <w:rFonts w:ascii="Times New Roman" w:hAnsi="Times New Roman" w:cs="Times New Roman"/>
          <w:lang w:val="en-US"/>
        </w:rPr>
        <w:t>%), and forensic outpatients (</w:t>
      </w:r>
      <w:r w:rsidRPr="002E2AA0">
        <w:rPr>
          <w:rFonts w:ascii="Times New Roman" w:hAnsi="Times New Roman" w:cs="Times New Roman"/>
          <w:i/>
          <w:lang w:val="en-US"/>
        </w:rPr>
        <w:t xml:space="preserve">n </w:t>
      </w:r>
      <w:r w:rsidRPr="002E2AA0">
        <w:rPr>
          <w:rFonts w:ascii="Times New Roman" w:hAnsi="Times New Roman" w:cs="Times New Roman"/>
          <w:lang w:val="en-US"/>
        </w:rPr>
        <w:t>= 3</w:t>
      </w:r>
      <w:r w:rsidR="009E1D3A" w:rsidRPr="002E2AA0">
        <w:rPr>
          <w:rFonts w:ascii="Times New Roman" w:hAnsi="Times New Roman" w:cs="Times New Roman"/>
          <w:lang w:val="en-US"/>
        </w:rPr>
        <w:t>;</w:t>
      </w:r>
      <w:r w:rsidRPr="002E2AA0">
        <w:rPr>
          <w:rFonts w:ascii="Times New Roman" w:hAnsi="Times New Roman" w:cs="Times New Roman"/>
          <w:lang w:val="en-US"/>
        </w:rPr>
        <w:t xml:space="preserve"> </w:t>
      </w:r>
      <w:r w:rsidR="00B94C73" w:rsidRPr="002E2AA0">
        <w:rPr>
          <w:rFonts w:ascii="Times New Roman" w:hAnsi="Times New Roman" w:cs="Times New Roman"/>
          <w:lang w:val="en-US"/>
        </w:rPr>
        <w:t>17.65</w:t>
      </w:r>
      <w:r w:rsidRPr="002E2AA0">
        <w:rPr>
          <w:rFonts w:ascii="Times New Roman" w:hAnsi="Times New Roman" w:cs="Times New Roman"/>
          <w:lang w:val="en-US"/>
        </w:rPr>
        <w:t>%).</w:t>
      </w:r>
    </w:p>
    <w:p w14:paraId="61B662C6" w14:textId="567B7367" w:rsidR="0099527D" w:rsidRPr="002E2AA0" w:rsidRDefault="00FB34FF" w:rsidP="0099527D">
      <w:pPr>
        <w:spacing w:line="480" w:lineRule="auto"/>
        <w:jc w:val="center"/>
        <w:rPr>
          <w:rFonts w:ascii="Times New Roman" w:hAnsi="Times New Roman" w:cs="Times New Roman"/>
          <w:b/>
          <w:lang w:val="en-US"/>
        </w:rPr>
      </w:pPr>
      <w:r>
        <w:rPr>
          <w:rFonts w:ascii="Times New Roman" w:hAnsi="Times New Roman" w:cs="Times New Roman"/>
          <w:b/>
          <w:lang w:val="en-US"/>
        </w:rPr>
        <w:t xml:space="preserve">5. </w:t>
      </w:r>
      <w:r w:rsidR="0099527D" w:rsidRPr="002E2AA0">
        <w:rPr>
          <w:rFonts w:ascii="Times New Roman" w:hAnsi="Times New Roman" w:cs="Times New Roman"/>
          <w:b/>
          <w:lang w:val="en-US"/>
        </w:rPr>
        <w:t>Key Findings</w:t>
      </w:r>
    </w:p>
    <w:p w14:paraId="2CF843BC" w14:textId="77777777" w:rsidR="0099527D" w:rsidRPr="002E2AA0" w:rsidRDefault="0099527D" w:rsidP="0099527D">
      <w:pPr>
        <w:spacing w:line="480" w:lineRule="auto"/>
        <w:rPr>
          <w:rFonts w:ascii="Times New Roman" w:hAnsi="Times New Roman" w:cs="Times New Roman"/>
          <w:bCs/>
          <w:lang w:val="en-US"/>
        </w:rPr>
      </w:pPr>
      <w:r w:rsidRPr="002E2AA0">
        <w:rPr>
          <w:rFonts w:ascii="Times New Roman" w:hAnsi="Times New Roman" w:cs="Times New Roman"/>
          <w:lang w:val="en-US"/>
        </w:rPr>
        <w:tab/>
        <w:t xml:space="preserve">The following section narratively </w:t>
      </w:r>
      <w:r w:rsidR="00EC638A" w:rsidRPr="002E2AA0">
        <w:rPr>
          <w:rFonts w:ascii="Times New Roman" w:hAnsi="Times New Roman" w:cs="Times New Roman"/>
          <w:lang w:val="en-US"/>
        </w:rPr>
        <w:t>synthesizes</w:t>
      </w:r>
      <w:r w:rsidRPr="002E2AA0">
        <w:rPr>
          <w:rFonts w:ascii="Times New Roman" w:hAnsi="Times New Roman" w:cs="Times New Roman"/>
          <w:lang w:val="en-US"/>
        </w:rPr>
        <w:t xml:space="preserve"> the literature to examine whether the GLM is an ideological and </w:t>
      </w:r>
      <w:r w:rsidR="00EC638A" w:rsidRPr="002E2AA0">
        <w:rPr>
          <w:rFonts w:ascii="Times New Roman" w:hAnsi="Times New Roman" w:cs="Times New Roman"/>
          <w:lang w:val="en-US"/>
        </w:rPr>
        <w:t>intuition-based</w:t>
      </w:r>
      <w:r w:rsidRPr="002E2AA0">
        <w:rPr>
          <w:rFonts w:ascii="Times New Roman" w:hAnsi="Times New Roman" w:cs="Times New Roman"/>
          <w:lang w:val="en-US"/>
        </w:rPr>
        <w:t xml:space="preserve"> model, or an empirically supported model. </w:t>
      </w:r>
    </w:p>
    <w:p w14:paraId="4B4B5C29" w14:textId="3527D372" w:rsidR="0099527D" w:rsidRPr="002E2AA0" w:rsidRDefault="00FB34FF" w:rsidP="0099527D">
      <w:pPr>
        <w:spacing w:line="480" w:lineRule="auto"/>
        <w:rPr>
          <w:rFonts w:ascii="Times New Roman" w:hAnsi="Times New Roman" w:cs="Times New Roman"/>
          <w:b/>
          <w:lang w:val="en-US"/>
        </w:rPr>
      </w:pPr>
      <w:r>
        <w:rPr>
          <w:rFonts w:ascii="Times New Roman" w:hAnsi="Times New Roman" w:cs="Times New Roman"/>
          <w:b/>
          <w:lang w:val="en-US"/>
        </w:rPr>
        <w:t xml:space="preserve">5.1 </w:t>
      </w:r>
      <w:r w:rsidR="0099527D" w:rsidRPr="002E2AA0">
        <w:rPr>
          <w:rFonts w:ascii="Times New Roman" w:hAnsi="Times New Roman" w:cs="Times New Roman"/>
          <w:b/>
          <w:lang w:val="en-US"/>
        </w:rPr>
        <w:t>Empirically Supported Assumptions</w:t>
      </w:r>
    </w:p>
    <w:p w14:paraId="251B7B12" w14:textId="572787D1" w:rsidR="0099527D" w:rsidRPr="002E2AA0" w:rsidRDefault="00FB34FF" w:rsidP="0099527D">
      <w:pPr>
        <w:spacing w:line="480" w:lineRule="auto"/>
        <w:ind w:firstLine="720"/>
        <w:rPr>
          <w:rFonts w:ascii="Times New Roman" w:hAnsi="Times New Roman" w:cs="Times New Roman"/>
          <w:lang w:val="en-US"/>
        </w:rPr>
      </w:pPr>
      <w:r>
        <w:rPr>
          <w:rFonts w:ascii="Times New Roman" w:hAnsi="Times New Roman" w:cs="Times New Roman"/>
          <w:b/>
          <w:lang w:val="en-US"/>
        </w:rPr>
        <w:t xml:space="preserve">5.1.1 </w:t>
      </w:r>
      <w:r w:rsidR="0099527D" w:rsidRPr="002E2AA0">
        <w:rPr>
          <w:rFonts w:ascii="Times New Roman" w:hAnsi="Times New Roman" w:cs="Times New Roman"/>
          <w:b/>
          <w:lang w:val="en-US"/>
        </w:rPr>
        <w:t xml:space="preserve">Offending as an attempt to fulfil primary goods. </w:t>
      </w:r>
      <w:r w:rsidR="0099527D" w:rsidRPr="002E2AA0">
        <w:rPr>
          <w:rFonts w:ascii="Times New Roman" w:hAnsi="Times New Roman" w:cs="Times New Roman"/>
          <w:lang w:val="en-US"/>
        </w:rPr>
        <w:t xml:space="preserve">The first key assumption of the GLM is that primary goods are universal to all humans, with offending and psychopathology occurring due to difficulty in fulfilling the primary goods in prosocial ways. Seven studies included in this review directly examined this assumption. Firstly, Purvis (2005) interviewed 26 adult males who had sexually offended against children (25 incarcerated at the time of the interview). Findings suggest the primary goods of Pleasure, Relatedness, Inner Peace, Excellence in Play, Life and Agency, were explicitly pursued through engagement in sexual offending. </w:t>
      </w:r>
      <w:r w:rsidR="00EC638A" w:rsidRPr="002E2AA0">
        <w:rPr>
          <w:rFonts w:ascii="Times New Roman" w:hAnsi="Times New Roman" w:cs="Times New Roman"/>
          <w:lang w:val="en-US"/>
        </w:rPr>
        <w:t>Likewise, Willis and Ward (2011) conducted interviews with 16 adult males who had sexually offended against children at one</w:t>
      </w:r>
      <w:r w:rsidR="00EC638A">
        <w:rPr>
          <w:rFonts w:ascii="Times New Roman" w:hAnsi="Times New Roman" w:cs="Times New Roman"/>
          <w:lang w:val="en-US"/>
        </w:rPr>
        <w:t>-</w:t>
      </w:r>
      <w:r w:rsidR="00EC638A" w:rsidRPr="002E2AA0">
        <w:rPr>
          <w:rFonts w:ascii="Times New Roman" w:hAnsi="Times New Roman" w:cs="Times New Roman"/>
          <w:lang w:val="en-US"/>
        </w:rPr>
        <w:t>, three</w:t>
      </w:r>
      <w:r w:rsidR="00EC638A">
        <w:rPr>
          <w:rFonts w:ascii="Times New Roman" w:hAnsi="Times New Roman" w:cs="Times New Roman"/>
          <w:lang w:val="en-US"/>
        </w:rPr>
        <w:t>-</w:t>
      </w:r>
      <w:r w:rsidR="00EC638A" w:rsidRPr="002E2AA0">
        <w:rPr>
          <w:rFonts w:ascii="Times New Roman" w:hAnsi="Times New Roman" w:cs="Times New Roman"/>
          <w:lang w:val="en-US"/>
        </w:rPr>
        <w:t xml:space="preserve"> and six</w:t>
      </w:r>
      <w:r w:rsidR="00EC638A">
        <w:rPr>
          <w:rFonts w:ascii="Times New Roman" w:hAnsi="Times New Roman" w:cs="Times New Roman"/>
          <w:lang w:val="en-US"/>
        </w:rPr>
        <w:t>-</w:t>
      </w:r>
      <w:r w:rsidR="00EC638A" w:rsidRPr="002E2AA0">
        <w:rPr>
          <w:rFonts w:ascii="Times New Roman" w:hAnsi="Times New Roman" w:cs="Times New Roman"/>
          <w:lang w:val="en-US"/>
        </w:rPr>
        <w:t xml:space="preserve"> months following re-entry to the community, examining the degree to which they endorsed the primary goods. </w:t>
      </w:r>
      <w:r w:rsidR="0099527D" w:rsidRPr="002E2AA0">
        <w:rPr>
          <w:rFonts w:ascii="Times New Roman" w:hAnsi="Times New Roman" w:cs="Times New Roman"/>
          <w:lang w:val="en-US"/>
        </w:rPr>
        <w:t xml:space="preserve">Findings show average achievement of primary goods positively related to </w:t>
      </w:r>
      <w:r w:rsidR="00383A9E">
        <w:rPr>
          <w:rFonts w:ascii="Times New Roman" w:hAnsi="Times New Roman" w:cs="Times New Roman"/>
          <w:lang w:val="en-US"/>
        </w:rPr>
        <w:t xml:space="preserve">effectiveness of community re-entry (based on experiences of accommodation, </w:t>
      </w:r>
      <w:r w:rsidR="00383A9E">
        <w:rPr>
          <w:rFonts w:ascii="Times New Roman" w:hAnsi="Times New Roman" w:cs="Times New Roman"/>
          <w:lang w:val="en-US"/>
        </w:rPr>
        <w:lastRenderedPageBreak/>
        <w:t>social support and employment)</w:t>
      </w:r>
      <w:r w:rsidR="0099527D" w:rsidRPr="002E2AA0">
        <w:rPr>
          <w:rFonts w:ascii="Times New Roman" w:hAnsi="Times New Roman" w:cs="Times New Roman"/>
          <w:lang w:val="en-US"/>
        </w:rPr>
        <w:t>. As effective community re-entry has previously been found to be related to reduced recidivism (Huebner</w:t>
      </w:r>
      <w:r w:rsidR="009C7B33" w:rsidRPr="009C7B33">
        <w:rPr>
          <w:rFonts w:ascii="Times New Roman" w:hAnsi="Times New Roman" w:cs="Times New Roman"/>
          <w:bCs/>
          <w:lang w:val="en-US"/>
        </w:rPr>
        <w:t xml:space="preserve"> </w:t>
      </w:r>
      <w:r w:rsidR="009C7B33">
        <w:rPr>
          <w:rFonts w:ascii="Times New Roman" w:hAnsi="Times New Roman" w:cs="Times New Roman"/>
          <w:bCs/>
          <w:lang w:val="en-US"/>
        </w:rPr>
        <w:t>et al.</w:t>
      </w:r>
      <w:r w:rsidR="0099527D" w:rsidRPr="002E2AA0">
        <w:rPr>
          <w:rFonts w:ascii="Times New Roman" w:hAnsi="Times New Roman" w:cs="Times New Roman"/>
          <w:lang w:val="en-US"/>
        </w:rPr>
        <w:t xml:space="preserve">, 2010), Willis and Ward’s (2011) findings suggest attainment of primary goods acts as a protective factor against offending; supporting the GLM assumption. </w:t>
      </w:r>
    </w:p>
    <w:p w14:paraId="2A4D23C7" w14:textId="61F7C495"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Taylor (2017) examined the application of the GLM assumptions to burglars (</w:t>
      </w:r>
      <w:r w:rsidRPr="002E2AA0">
        <w:rPr>
          <w:rFonts w:ascii="Times New Roman" w:hAnsi="Times New Roman" w:cs="Times New Roman"/>
          <w:i/>
          <w:iCs/>
          <w:lang w:val="en-US"/>
        </w:rPr>
        <w:t xml:space="preserve">n </w:t>
      </w:r>
      <w:r w:rsidRPr="002E2AA0">
        <w:rPr>
          <w:rFonts w:ascii="Times New Roman" w:hAnsi="Times New Roman" w:cs="Times New Roman"/>
          <w:lang w:val="en-US"/>
        </w:rPr>
        <w:t>= 30; 15 incarcerated),</w:t>
      </w:r>
      <w:r w:rsidR="00FD647C">
        <w:rPr>
          <w:rFonts w:ascii="Times New Roman" w:hAnsi="Times New Roman" w:cs="Times New Roman"/>
          <w:lang w:val="en-US"/>
        </w:rPr>
        <w:t xml:space="preserve"> with</w:t>
      </w:r>
      <w:r w:rsidRPr="002E2AA0">
        <w:rPr>
          <w:rFonts w:ascii="Times New Roman" w:hAnsi="Times New Roman" w:cs="Times New Roman"/>
          <w:lang w:val="en-US"/>
        </w:rPr>
        <w:t xml:space="preserve"> interviews conducted exploring what primary goods were sought through their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Findings support the </w:t>
      </w:r>
      <w:r w:rsidR="000F6F9F" w:rsidRPr="002E2AA0">
        <w:rPr>
          <w:rFonts w:ascii="Times New Roman" w:hAnsi="Times New Roman" w:cs="Times New Roman"/>
          <w:lang w:val="en-US"/>
        </w:rPr>
        <w:t>assumption that offending represents an attempt to fulfil primary goods</w:t>
      </w:r>
      <w:r w:rsidRPr="002E2AA0">
        <w:rPr>
          <w:rFonts w:ascii="Times New Roman" w:hAnsi="Times New Roman" w:cs="Times New Roman"/>
          <w:lang w:val="en-US"/>
        </w:rPr>
        <w:t xml:space="preserve">. For instance, participants reported attempting to achieve Pleasure; some received a ‘buzz’ through their offending, whilst financial gain allowed an indulgent and excessive lifestyle. Interestingly, burglars attempted to protect their Inner Peace by developing ‘codes of conduct’, whereby they only targeted those who were affluent and avoided </w:t>
      </w:r>
      <w:r w:rsidR="00EC638A" w:rsidRPr="002E2AA0">
        <w:rPr>
          <w:rFonts w:ascii="Times New Roman" w:hAnsi="Times New Roman" w:cs="Times New Roman"/>
          <w:lang w:val="en-US"/>
        </w:rPr>
        <w:t>burglarizing</w:t>
      </w:r>
      <w:r w:rsidRPr="002E2AA0">
        <w:rPr>
          <w:rFonts w:ascii="Times New Roman" w:hAnsi="Times New Roman" w:cs="Times New Roman"/>
          <w:lang w:val="en-US"/>
        </w:rPr>
        <w:t xml:space="preserve"> the elderly. Although each of the primary goods </w:t>
      </w:r>
      <w:r w:rsidR="000D3343">
        <w:rPr>
          <w:rFonts w:ascii="Times New Roman" w:hAnsi="Times New Roman" w:cs="Times New Roman"/>
          <w:lang w:val="en-US"/>
        </w:rPr>
        <w:t xml:space="preserve">was </w:t>
      </w:r>
      <w:r w:rsidRPr="002E2AA0">
        <w:rPr>
          <w:rFonts w:ascii="Times New Roman" w:hAnsi="Times New Roman" w:cs="Times New Roman"/>
          <w:lang w:val="en-US"/>
        </w:rPr>
        <w:t xml:space="preserve">relevant to burglary, Creativity, Spirituality and Community were not </w:t>
      </w:r>
      <w:r w:rsidRPr="002E2AA0">
        <w:rPr>
          <w:rFonts w:ascii="Times New Roman" w:hAnsi="Times New Roman" w:cs="Times New Roman"/>
          <w:i/>
          <w:iCs/>
          <w:lang w:val="en-US"/>
        </w:rPr>
        <w:t xml:space="preserve">explicitly </w:t>
      </w:r>
      <w:r w:rsidRPr="002E2AA0">
        <w:rPr>
          <w:rFonts w:ascii="Times New Roman" w:hAnsi="Times New Roman" w:cs="Times New Roman"/>
          <w:lang w:val="en-US"/>
        </w:rPr>
        <w:t xml:space="preserve">pursued through participants’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This supports the notion that the primary goods are sought through offending.</w:t>
      </w:r>
    </w:p>
    <w:p w14:paraId="6C6252A5" w14:textId="5819260D"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Thus far, all studies have used an adult population</w:t>
      </w:r>
      <w:r w:rsidR="000D3343">
        <w:rPr>
          <w:rFonts w:ascii="Times New Roman" w:hAnsi="Times New Roman" w:cs="Times New Roman"/>
          <w:lang w:val="en-US"/>
        </w:rPr>
        <w:t>, but</w:t>
      </w:r>
      <w:r w:rsidRPr="002E2AA0">
        <w:rPr>
          <w:rFonts w:ascii="Times New Roman" w:hAnsi="Times New Roman" w:cs="Times New Roman"/>
          <w:lang w:val="en-US"/>
        </w:rPr>
        <w:t xml:space="preserve"> as an individuals’ </w:t>
      </w:r>
      <w:r w:rsidR="006142F4" w:rsidRPr="002E2AA0">
        <w:rPr>
          <w:rFonts w:ascii="Times New Roman" w:hAnsi="Times New Roman" w:cs="Times New Roman"/>
          <w:lang w:val="en-US"/>
        </w:rPr>
        <w:t xml:space="preserve">Good Lives </w:t>
      </w:r>
      <w:r w:rsidRPr="002E2AA0">
        <w:rPr>
          <w:rFonts w:ascii="Times New Roman" w:hAnsi="Times New Roman" w:cs="Times New Roman"/>
          <w:lang w:val="en-US"/>
        </w:rPr>
        <w:t xml:space="preserve">plan is flexible and can change according to life stage, it is important to consider whether the </w:t>
      </w:r>
      <w:r w:rsidR="006142F4" w:rsidRPr="002E2AA0">
        <w:rPr>
          <w:rFonts w:ascii="Times New Roman" w:hAnsi="Times New Roman" w:cs="Times New Roman"/>
          <w:lang w:val="en-US"/>
        </w:rPr>
        <w:t xml:space="preserve">GLM </w:t>
      </w:r>
      <w:r w:rsidRPr="002E2AA0">
        <w:rPr>
          <w:rFonts w:ascii="Times New Roman" w:hAnsi="Times New Roman" w:cs="Times New Roman"/>
          <w:lang w:val="en-US"/>
        </w:rPr>
        <w:t xml:space="preserve">assumption is supported in youths. Studies </w:t>
      </w:r>
      <w:r w:rsidR="006142F4" w:rsidRPr="002E2AA0">
        <w:rPr>
          <w:rFonts w:ascii="Times New Roman" w:hAnsi="Times New Roman" w:cs="Times New Roman"/>
          <w:lang w:val="en-US"/>
        </w:rPr>
        <w:t xml:space="preserve">of youths, </w:t>
      </w:r>
      <w:r w:rsidRPr="002E2AA0">
        <w:rPr>
          <w:rFonts w:ascii="Times New Roman" w:hAnsi="Times New Roman" w:cs="Times New Roman"/>
          <w:lang w:val="en-US"/>
        </w:rPr>
        <w:t xml:space="preserve">assessing </w:t>
      </w:r>
      <w:r w:rsidR="006142F4" w:rsidRPr="002E2AA0">
        <w:rPr>
          <w:rFonts w:ascii="Times New Roman" w:hAnsi="Times New Roman" w:cs="Times New Roman"/>
          <w:lang w:val="en-US"/>
        </w:rPr>
        <w:t>the assumption that offending and psychopathology occur due to difficulty fulfilling primary goods in prosocial ways,</w:t>
      </w:r>
      <w:r w:rsidRPr="002E2AA0">
        <w:rPr>
          <w:rFonts w:ascii="Times New Roman" w:hAnsi="Times New Roman" w:cs="Times New Roman"/>
          <w:lang w:val="en-US"/>
        </w:rPr>
        <w:t xml:space="preserve"> have mixed results. For instance, compared to the six primary goods associated with adult sexual offending in Purvis’ (2005) study, fewer primary goods were sought through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in Chu </w:t>
      </w:r>
      <w:r w:rsidR="009C7B33">
        <w:rPr>
          <w:rFonts w:ascii="Times New Roman" w:hAnsi="Times New Roman" w:cs="Times New Roman"/>
          <w:lang w:val="en-US"/>
        </w:rPr>
        <w:t>and colleague</w:t>
      </w:r>
      <w:r w:rsidRPr="002E2AA0">
        <w:rPr>
          <w:rFonts w:ascii="Times New Roman" w:hAnsi="Times New Roman" w:cs="Times New Roman"/>
          <w:lang w:val="en-US"/>
        </w:rPr>
        <w:t>s</w:t>
      </w:r>
      <w:r w:rsidR="000D3343">
        <w:rPr>
          <w:rFonts w:ascii="Times New Roman" w:hAnsi="Times New Roman" w:cs="Times New Roman"/>
          <w:lang w:val="en-US"/>
        </w:rPr>
        <w:t>’</w:t>
      </w:r>
      <w:r w:rsidRPr="002E2AA0">
        <w:rPr>
          <w:rFonts w:ascii="Times New Roman" w:hAnsi="Times New Roman" w:cs="Times New Roman"/>
          <w:lang w:val="en-US"/>
        </w:rPr>
        <w:t xml:space="preserve"> (2015) retrospective analysis of 168 adolescent sexual offenders’ clinical files. Pleasure (91.1% of total sample), Relatedness (35.7%) and Inner Peace (17.3%) were present in some clinical files, whilst Creativity, Spirituality and Life were not present in any; the remaining primary goods were present in less than 10% of </w:t>
      </w:r>
      <w:r w:rsidRPr="002E2AA0">
        <w:rPr>
          <w:rFonts w:ascii="Times New Roman" w:hAnsi="Times New Roman" w:cs="Times New Roman"/>
          <w:lang w:val="en-US"/>
        </w:rPr>
        <w:lastRenderedPageBreak/>
        <w:t xml:space="preserve">clinical files. No differences were found according to age of victim (child vs. non-child) or nature of offence (penetrative vs. non-penetrative). Although this </w:t>
      </w:r>
      <w:r w:rsidR="006142F4" w:rsidRPr="002E2AA0">
        <w:rPr>
          <w:rFonts w:ascii="Times New Roman" w:hAnsi="Times New Roman" w:cs="Times New Roman"/>
          <w:lang w:val="en-US"/>
        </w:rPr>
        <w:t xml:space="preserve">still </w:t>
      </w:r>
      <w:r w:rsidRPr="002E2AA0">
        <w:rPr>
          <w:rFonts w:ascii="Times New Roman" w:hAnsi="Times New Roman" w:cs="Times New Roman"/>
          <w:lang w:val="en-US"/>
        </w:rPr>
        <w:t xml:space="preserve">supports the </w:t>
      </w:r>
      <w:r w:rsidR="000D3343" w:rsidRPr="002E2AA0">
        <w:rPr>
          <w:rFonts w:ascii="Times New Roman" w:hAnsi="Times New Roman" w:cs="Times New Roman"/>
          <w:lang w:val="en-US"/>
        </w:rPr>
        <w:t xml:space="preserve">GLM </w:t>
      </w:r>
      <w:r w:rsidRPr="002E2AA0">
        <w:rPr>
          <w:rFonts w:ascii="Times New Roman" w:hAnsi="Times New Roman" w:cs="Times New Roman"/>
          <w:lang w:val="en-US"/>
        </w:rPr>
        <w:t xml:space="preserve">assumption that primary goods are maladaptively sought through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the results must be interpreted cautiously. As the authors explain, reliance on a retrospective review of clinical files means the amount of information available is limited. It is also possible that clinicians would only have reported factors that needed targeting in interventions, meaning the presence of primary goods at the time of offending could have been underestimated in Chu </w:t>
      </w:r>
      <w:r w:rsidR="009C7B33">
        <w:rPr>
          <w:rFonts w:ascii="Times New Roman" w:hAnsi="Times New Roman" w:cs="Times New Roman"/>
          <w:lang w:val="en-US"/>
        </w:rPr>
        <w:t>and colleague</w:t>
      </w:r>
      <w:r w:rsidRPr="002E2AA0">
        <w:rPr>
          <w:rFonts w:ascii="Times New Roman" w:hAnsi="Times New Roman" w:cs="Times New Roman"/>
          <w:lang w:val="en-US"/>
        </w:rPr>
        <w:t xml:space="preserve">’s (2015) study. Critically, one reason why fewer primary goods were found to be associated with sexual offending in youths could be due to their life stage. Adolescence is </w:t>
      </w:r>
      <w:r w:rsidR="00EC638A" w:rsidRPr="002E2AA0">
        <w:rPr>
          <w:rFonts w:ascii="Times New Roman" w:hAnsi="Times New Roman" w:cs="Times New Roman"/>
          <w:lang w:val="en-US"/>
        </w:rPr>
        <w:t>characterized</w:t>
      </w:r>
      <w:r w:rsidRPr="002E2AA0">
        <w:rPr>
          <w:rFonts w:ascii="Times New Roman" w:hAnsi="Times New Roman" w:cs="Times New Roman"/>
          <w:lang w:val="en-US"/>
        </w:rPr>
        <w:t xml:space="preserve"> by impulsivity, emotional turmoil, and the development of relationships independent of parents</w:t>
      </w:r>
      <w:r w:rsidR="009C7B33">
        <w:rPr>
          <w:rFonts w:ascii="Times New Roman" w:hAnsi="Times New Roman" w:cs="Times New Roman"/>
          <w:lang w:val="en-US"/>
        </w:rPr>
        <w:t xml:space="preserve"> (Dumas </w:t>
      </w:r>
      <w:r w:rsidR="009C7B33">
        <w:rPr>
          <w:rFonts w:ascii="Times New Roman" w:hAnsi="Times New Roman" w:cs="Times New Roman"/>
          <w:bCs/>
          <w:lang w:val="en-US"/>
        </w:rPr>
        <w:t>et al.</w:t>
      </w:r>
      <w:r w:rsidR="006142F4" w:rsidRPr="002E2AA0">
        <w:rPr>
          <w:rFonts w:ascii="Times New Roman" w:hAnsi="Times New Roman" w:cs="Times New Roman"/>
          <w:lang w:val="en-US"/>
        </w:rPr>
        <w:t>, 2012)</w:t>
      </w:r>
      <w:r w:rsidRPr="002E2AA0">
        <w:rPr>
          <w:rFonts w:ascii="Times New Roman" w:hAnsi="Times New Roman" w:cs="Times New Roman"/>
          <w:lang w:val="en-US"/>
        </w:rPr>
        <w:t>; suggesting the primary goods of Pleasure, Inner Peace and Relatedness would be the most sought after, to the neglect of other primary goods.</w:t>
      </w:r>
    </w:p>
    <w:p w14:paraId="13097D7A" w14:textId="77777777"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However, Barendregt (2015) found little support for the relationship between unmet needs and general delinquency in 172 adolescent males in secure residential care. Using the Lancashire Quality of Life Profile (LQoLP; Van Nieuwenhuizen</w:t>
      </w:r>
      <w:r w:rsidR="009C7B33" w:rsidRPr="009C7B33">
        <w:rPr>
          <w:rFonts w:ascii="Times New Roman" w:hAnsi="Times New Roman" w:cs="Times New Roman"/>
          <w:bCs/>
          <w:lang w:val="en-US"/>
        </w:rPr>
        <w:t xml:space="preserve"> </w:t>
      </w:r>
      <w:r w:rsidR="009C7B33">
        <w:rPr>
          <w:rFonts w:ascii="Times New Roman" w:hAnsi="Times New Roman" w:cs="Times New Roman"/>
          <w:bCs/>
          <w:lang w:val="en-US"/>
        </w:rPr>
        <w:t>et al.</w:t>
      </w:r>
      <w:r w:rsidRPr="002E2AA0">
        <w:rPr>
          <w:rFonts w:ascii="Times New Roman" w:hAnsi="Times New Roman" w:cs="Times New Roman"/>
          <w:lang w:val="en-US"/>
        </w:rPr>
        <w:t>, 2002), unmet needs corresponding to the primary goods were examined, including: work and education, leisure, religion, finances, living situation, safety, family, peers, and health. Overall, unmet needs accounted for only 2.4% of variance in delinquency, with unmet financial needs positively related to delinquency. This is in comparison to risk factors across the individual, family, peer and school domains, which accounted for 13.8% of variance. When combining both unmet needs and risk factors, 13.4% of variance in delinquency was explained; although, only risk in the peer domain remained significantly associated with delinquency. This provides more support for risk-perspectives of offending than the GLM assumption that offending occurs due to difficulty in fulfilling the primary goods in prosocial ways.</w:t>
      </w:r>
    </w:p>
    <w:p w14:paraId="6E1F7CC5" w14:textId="36CAEEBC"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lastRenderedPageBreak/>
        <w:t xml:space="preserve">Yet, Barendregt (2015) found unmet needs had additional explanatory value, beyond risk factors, in psychopathology. Specifically, unmet leisure and financial needs were positively related to Disruptive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Disorders (DBD); Autism Spectrum disorder was related to unmet health needs, and</w:t>
      </w:r>
      <w:r w:rsidR="003463FC">
        <w:rPr>
          <w:rFonts w:ascii="Times New Roman" w:hAnsi="Times New Roman" w:cs="Times New Roman"/>
          <w:lang w:val="en-US"/>
        </w:rPr>
        <w:t>,</w:t>
      </w:r>
      <w:r w:rsidRPr="002E2AA0">
        <w:rPr>
          <w:rFonts w:ascii="Times New Roman" w:hAnsi="Times New Roman" w:cs="Times New Roman"/>
          <w:lang w:val="en-US"/>
        </w:rPr>
        <w:t xml:space="preserve"> having unmet safety and health needs were associated with Attention Deficit Disorder. This supports the GLM assumption that psychopathology can occur due to </w:t>
      </w:r>
      <w:r w:rsidR="00A1291B">
        <w:rPr>
          <w:rFonts w:ascii="Times New Roman" w:hAnsi="Times New Roman" w:cs="Times New Roman"/>
          <w:lang w:val="en-US"/>
        </w:rPr>
        <w:t xml:space="preserve">unmet needs associated with </w:t>
      </w:r>
      <w:r w:rsidRPr="002E2AA0">
        <w:rPr>
          <w:rFonts w:ascii="Times New Roman" w:hAnsi="Times New Roman" w:cs="Times New Roman"/>
          <w:lang w:val="en-US"/>
        </w:rPr>
        <w:t>difficulty in fulfilling the primary goods. Although, contrary to the GLM assumption, and rather inexplicably, unmet health needs were associated with a lower chance of DBD. Critically, it must be noted that as this was a cross-sectional study, conclusions cannot be drawn regarding the order of emergence (i.e., whether unmet needs led to psychopathology, or vice versa). Overall, Barendreg</w:t>
      </w:r>
      <w:r w:rsidR="003C595C" w:rsidRPr="002E2AA0">
        <w:rPr>
          <w:rFonts w:ascii="Times New Roman" w:hAnsi="Times New Roman" w:cs="Times New Roman"/>
          <w:lang w:val="en-US"/>
        </w:rPr>
        <w:t>t</w:t>
      </w:r>
      <w:r w:rsidRPr="002E2AA0">
        <w:rPr>
          <w:rFonts w:ascii="Times New Roman" w:hAnsi="Times New Roman" w:cs="Times New Roman"/>
          <w:lang w:val="en-US"/>
        </w:rPr>
        <w:t xml:space="preserve">’s (2015) study suggests unmet needs are primarily associated with psychopathology, whilst risk factors are more associated with delinquency. </w:t>
      </w:r>
    </w:p>
    <w:p w14:paraId="49028E66" w14:textId="7927598A"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Similarly, using a longitudinal design, Barendregt et al. (2018) assessed whether higher Quality of Life (QoL), </w:t>
      </w:r>
      <w:r w:rsidR="00EC638A" w:rsidRPr="002E2AA0">
        <w:rPr>
          <w:rFonts w:ascii="Times New Roman" w:hAnsi="Times New Roman" w:cs="Times New Roman"/>
          <w:lang w:val="en-US"/>
        </w:rPr>
        <w:t>characterized</w:t>
      </w:r>
      <w:r w:rsidRPr="002E2AA0">
        <w:rPr>
          <w:rFonts w:ascii="Times New Roman" w:hAnsi="Times New Roman" w:cs="Times New Roman"/>
          <w:lang w:val="en-US"/>
        </w:rPr>
        <w:t xml:space="preserve"> by achievement of primary goods, in 95 male adolescents during their admission to a secure residential facility related to lower rates of psychosocial issues and self-reported delinquency 12 months following discharge. Supporting the findings of Barendregt (2015), low scores on the QoL health domain, as measured using the LQoLP</w:t>
      </w:r>
      <w:r w:rsidR="00087554">
        <w:rPr>
          <w:rFonts w:ascii="Times New Roman" w:hAnsi="Times New Roman" w:cs="Times New Roman"/>
          <w:lang w:val="en-US"/>
        </w:rPr>
        <w:t xml:space="preserve"> (</w:t>
      </w:r>
      <w:r w:rsidR="009C7B33">
        <w:rPr>
          <w:rFonts w:ascii="Times New Roman" w:hAnsi="Times New Roman" w:cs="Times New Roman"/>
          <w:lang w:val="en-US"/>
        </w:rPr>
        <w:t>Van Nieuwenhuizen</w:t>
      </w:r>
      <w:r w:rsidR="00087554">
        <w:rPr>
          <w:rFonts w:ascii="Times New Roman" w:hAnsi="Times New Roman" w:cs="Times New Roman"/>
          <w:lang w:val="en-US"/>
        </w:rPr>
        <w:t xml:space="preserve"> et al., 2002)</w:t>
      </w:r>
      <w:r w:rsidRPr="002E2AA0">
        <w:rPr>
          <w:rFonts w:ascii="Times New Roman" w:hAnsi="Times New Roman" w:cs="Times New Roman"/>
          <w:lang w:val="en-US"/>
        </w:rPr>
        <w:t>, during admission predicted more psychosocial issues 12 months after discharge</w:t>
      </w:r>
      <w:r w:rsidR="00A1291B">
        <w:rPr>
          <w:rFonts w:ascii="Times New Roman" w:hAnsi="Times New Roman" w:cs="Times New Roman"/>
          <w:lang w:val="en-US"/>
        </w:rPr>
        <w:t>. N</w:t>
      </w:r>
      <w:r w:rsidRPr="002E2AA0">
        <w:rPr>
          <w:rFonts w:ascii="Times New Roman" w:hAnsi="Times New Roman" w:cs="Times New Roman"/>
          <w:lang w:val="en-US"/>
        </w:rPr>
        <w:t xml:space="preserve">o relationship was found between QoL and self-reported recidivism. Yet, as discussed below, this assumes a direct pathway from unmet needs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Following the indirect pathway, which was not examined in either of Barendregt </w:t>
      </w:r>
      <w:r w:rsidR="003C595C" w:rsidRPr="002E2AA0">
        <w:rPr>
          <w:rFonts w:ascii="Times New Roman" w:hAnsi="Times New Roman" w:cs="Times New Roman"/>
          <w:lang w:val="en-US"/>
        </w:rPr>
        <w:t>and colleague</w:t>
      </w:r>
      <w:r w:rsidRPr="002E2AA0">
        <w:rPr>
          <w:rFonts w:ascii="Times New Roman" w:hAnsi="Times New Roman" w:cs="Times New Roman"/>
          <w:lang w:val="en-US"/>
        </w:rPr>
        <w:t>s</w:t>
      </w:r>
      <w:r w:rsidR="000D3343">
        <w:rPr>
          <w:rFonts w:ascii="Times New Roman" w:hAnsi="Times New Roman" w:cs="Times New Roman"/>
          <w:lang w:val="en-US"/>
        </w:rPr>
        <w:t>’</w:t>
      </w:r>
      <w:r w:rsidRPr="002E2AA0">
        <w:rPr>
          <w:rFonts w:ascii="Times New Roman" w:hAnsi="Times New Roman" w:cs="Times New Roman"/>
          <w:lang w:val="en-US"/>
        </w:rPr>
        <w:t xml:space="preserve"> studies (2015, 2018), unmet needs could increase psychopathology, which in turn leads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As the majority of participants in the studies (85.47% and 100% respectively) had a diagnosed psychiatric disorder, it may </w:t>
      </w:r>
      <w:r w:rsidRPr="002E2AA0">
        <w:rPr>
          <w:rFonts w:ascii="Times New Roman" w:hAnsi="Times New Roman" w:cs="Times New Roman"/>
          <w:lang w:val="en-US"/>
        </w:rPr>
        <w:lastRenderedPageBreak/>
        <w:t>be more likely that they would follow the indirect pathway to offending. Therefore, it cannot be discarded that a failure in fulfilling primary goods lead</w:t>
      </w:r>
      <w:r w:rsidR="00A1291B">
        <w:rPr>
          <w:rFonts w:ascii="Times New Roman" w:hAnsi="Times New Roman" w:cs="Times New Roman"/>
          <w:lang w:val="en-US"/>
        </w:rPr>
        <w:t>s</w:t>
      </w:r>
      <w:r w:rsidRPr="002E2AA0">
        <w:rPr>
          <w:rFonts w:ascii="Times New Roman" w:hAnsi="Times New Roman" w:cs="Times New Roman"/>
          <w:lang w:val="en-US"/>
        </w:rPr>
        <w:t xml:space="preserve">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w:t>
      </w:r>
    </w:p>
    <w:p w14:paraId="021DAA36" w14:textId="02A61E57" w:rsidR="0099527D" w:rsidRPr="002E2AA0" w:rsidRDefault="00A1291B" w:rsidP="0099527D">
      <w:pPr>
        <w:spacing w:line="480" w:lineRule="auto"/>
        <w:ind w:firstLine="720"/>
        <w:rPr>
          <w:rFonts w:ascii="Times New Roman" w:hAnsi="Times New Roman" w:cs="Times New Roman"/>
          <w:lang w:val="en-US"/>
        </w:rPr>
      </w:pPr>
      <w:r>
        <w:rPr>
          <w:rFonts w:ascii="Times New Roman" w:hAnsi="Times New Roman" w:cs="Times New Roman"/>
          <w:lang w:val="en-US"/>
        </w:rPr>
        <w:t>R</w:t>
      </w:r>
      <w:r w:rsidR="0099527D" w:rsidRPr="002E2AA0">
        <w:rPr>
          <w:rFonts w:ascii="Times New Roman" w:hAnsi="Times New Roman" w:cs="Times New Roman"/>
          <w:lang w:val="en-US"/>
        </w:rPr>
        <w:t xml:space="preserve">esearch conducted by Bouman </w:t>
      </w:r>
      <w:r w:rsidR="009C7B33">
        <w:rPr>
          <w:rFonts w:ascii="Times New Roman" w:hAnsi="Times New Roman" w:cs="Times New Roman"/>
          <w:lang w:val="en-US"/>
        </w:rPr>
        <w:t>and colleagues</w:t>
      </w:r>
      <w:r w:rsidR="0099527D" w:rsidRPr="002E2AA0">
        <w:rPr>
          <w:rFonts w:ascii="Times New Roman" w:hAnsi="Times New Roman" w:cs="Times New Roman"/>
          <w:lang w:val="en-US"/>
        </w:rPr>
        <w:t xml:space="preserve"> (2009) with adult male participants (</w:t>
      </w:r>
      <w:r w:rsidR="0099527D" w:rsidRPr="002E2AA0">
        <w:rPr>
          <w:rFonts w:ascii="Times New Roman" w:hAnsi="Times New Roman" w:cs="Times New Roman"/>
          <w:i/>
          <w:iCs/>
          <w:lang w:val="en-US"/>
        </w:rPr>
        <w:t>n</w:t>
      </w:r>
      <w:r w:rsidR="0099527D" w:rsidRPr="002E2AA0">
        <w:rPr>
          <w:rFonts w:ascii="Times New Roman" w:hAnsi="Times New Roman" w:cs="Times New Roman"/>
          <w:lang w:val="en-US"/>
        </w:rPr>
        <w:t xml:space="preserve"> = 135) who had a diagnosed personality disorder, had findings consistent with that of Barendregt and colleagues (2015, 2018); suggesting psychopathology influence</w:t>
      </w:r>
      <w:r w:rsidR="008E590B">
        <w:rPr>
          <w:rFonts w:ascii="Times New Roman" w:hAnsi="Times New Roman" w:cs="Times New Roman"/>
          <w:lang w:val="en-US"/>
        </w:rPr>
        <w:t>s</w:t>
      </w:r>
      <w:r w:rsidR="0099527D" w:rsidRPr="002E2AA0">
        <w:rPr>
          <w:rFonts w:ascii="Times New Roman" w:hAnsi="Times New Roman" w:cs="Times New Roman"/>
          <w:lang w:val="en-US"/>
        </w:rPr>
        <w:t xml:space="preserve"> the relationship between fulfilling primary goods and recidivism. Overall, forensic outpatients who reported having unmet needs (</w:t>
      </w:r>
      <w:r w:rsidR="004844EA">
        <w:rPr>
          <w:rFonts w:ascii="Times New Roman" w:hAnsi="Times New Roman" w:cs="Times New Roman"/>
          <w:lang w:val="en-US"/>
        </w:rPr>
        <w:t xml:space="preserve">also </w:t>
      </w:r>
      <w:r w:rsidR="0099527D" w:rsidRPr="002E2AA0">
        <w:rPr>
          <w:rFonts w:ascii="Times New Roman" w:hAnsi="Times New Roman" w:cs="Times New Roman"/>
          <w:lang w:val="en-US"/>
        </w:rPr>
        <w:t>measured using the LQoLP</w:t>
      </w:r>
      <w:r w:rsidR="00087554">
        <w:rPr>
          <w:rFonts w:ascii="Times New Roman" w:hAnsi="Times New Roman" w:cs="Times New Roman"/>
          <w:lang w:val="en-US"/>
        </w:rPr>
        <w:t xml:space="preserve">; </w:t>
      </w:r>
      <w:r w:rsidR="009C7B33">
        <w:rPr>
          <w:rFonts w:ascii="Times New Roman" w:hAnsi="Times New Roman" w:cs="Times New Roman"/>
          <w:lang w:val="en-US"/>
        </w:rPr>
        <w:t>Van Nieuwenhuizen</w:t>
      </w:r>
      <w:r w:rsidR="00087554">
        <w:rPr>
          <w:rFonts w:ascii="Times New Roman" w:hAnsi="Times New Roman" w:cs="Times New Roman"/>
          <w:lang w:val="en-US"/>
        </w:rPr>
        <w:t xml:space="preserve"> et al., 2002</w:t>
      </w:r>
      <w:r w:rsidR="0099527D" w:rsidRPr="002E2AA0">
        <w:rPr>
          <w:rFonts w:ascii="Times New Roman" w:hAnsi="Times New Roman" w:cs="Times New Roman"/>
          <w:lang w:val="en-US"/>
        </w:rPr>
        <w:t xml:space="preserve">) were no more likely to self-report recidivism three months later, than their counterparts who reported having a fulfilled life. However, assessing each particular domain, high satisfaction with health and life fulfilment were negatively associated with self-reported violent and general recidivism, even when controlling for level of risk; suggesting fulfilling the primary good of Life acts as a protective factor against offending. </w:t>
      </w:r>
      <w:r w:rsidR="00DA1B4F" w:rsidRPr="002E2AA0">
        <w:rPr>
          <w:rFonts w:ascii="Times New Roman" w:hAnsi="Times New Roman" w:cs="Times New Roman"/>
          <w:lang w:val="en-US"/>
        </w:rPr>
        <w:t>In particular</w:t>
      </w:r>
      <w:r w:rsidR="0099527D" w:rsidRPr="002E2AA0">
        <w:rPr>
          <w:rFonts w:ascii="Times New Roman" w:hAnsi="Times New Roman" w:cs="Times New Roman"/>
          <w:lang w:val="en-US"/>
        </w:rPr>
        <w:t xml:space="preserve">, high risk outpatients were found to be three times more likely to commit general offences at three-month follow-up if they were unsatisfied with their health, compared to high risk outpatients who were satisfied. Although, notably, less than 50% of participants completed the self-reported offending measure at three-month follow-up; suggesting the influence of unmet needs on recidivism may have been underestimated. </w:t>
      </w:r>
    </w:p>
    <w:p w14:paraId="47179436" w14:textId="77777777"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At a three-year follow-up, Bouman et al. (2009) reviewed official records of recidivism, finding violent reconvictions were moderately related to having unmet needs in general, and significantly related to poor satisfaction with health. In addition, property crimes related to poor satisfaction with finances, and general crimes related to poor satisfaction with health. However, when accounting for risk level, none of these relationships remained significant; providing further support for risk-based perspectives of offending over the GLM. Although, again, high risk outpatients were six times less likely to commit a violent offence if satisfied with their health, and three times less likely to commit a violent offence if satisfied </w:t>
      </w:r>
      <w:r w:rsidRPr="002E2AA0">
        <w:rPr>
          <w:rFonts w:ascii="Times New Roman" w:hAnsi="Times New Roman" w:cs="Times New Roman"/>
          <w:lang w:val="en-US"/>
        </w:rPr>
        <w:lastRenderedPageBreak/>
        <w:t xml:space="preserve">with their life in general, than high risk dissatisfied outpatients. </w:t>
      </w:r>
      <w:r w:rsidR="00725EB0">
        <w:rPr>
          <w:rFonts w:ascii="Times New Roman" w:hAnsi="Times New Roman" w:cs="Times New Roman"/>
          <w:lang w:val="en-US"/>
        </w:rPr>
        <w:t>T</w:t>
      </w:r>
      <w:r w:rsidRPr="002E2AA0">
        <w:rPr>
          <w:rFonts w:ascii="Times New Roman" w:hAnsi="Times New Roman" w:cs="Times New Roman"/>
          <w:lang w:val="en-US"/>
        </w:rPr>
        <w:t xml:space="preserve">his suggests that fulfilling one’s needs </w:t>
      </w:r>
      <w:r w:rsidR="00DA1B4F" w:rsidRPr="002E2AA0">
        <w:rPr>
          <w:rFonts w:ascii="Times New Roman" w:hAnsi="Times New Roman" w:cs="Times New Roman"/>
          <w:lang w:val="en-US"/>
        </w:rPr>
        <w:t xml:space="preserve">is associated with </w:t>
      </w:r>
      <w:r w:rsidRPr="002E2AA0">
        <w:rPr>
          <w:rFonts w:ascii="Times New Roman" w:hAnsi="Times New Roman" w:cs="Times New Roman"/>
          <w:lang w:val="en-US"/>
        </w:rPr>
        <w:t>reduced recidivism in both the short and long-term for high-risk outpatients</w:t>
      </w:r>
      <w:r w:rsidR="00DA1B4F" w:rsidRPr="002E2AA0">
        <w:rPr>
          <w:rFonts w:ascii="Times New Roman" w:hAnsi="Times New Roman" w:cs="Times New Roman"/>
          <w:lang w:val="en-US"/>
        </w:rPr>
        <w:t>, but not low-risk outpatients</w:t>
      </w:r>
      <w:r w:rsidRPr="002E2AA0">
        <w:rPr>
          <w:rFonts w:ascii="Times New Roman" w:hAnsi="Times New Roman" w:cs="Times New Roman"/>
          <w:lang w:val="en-US"/>
        </w:rPr>
        <w:t xml:space="preserve">. </w:t>
      </w:r>
    </w:p>
    <w:p w14:paraId="6E9DB71B" w14:textId="5F72D528" w:rsidR="0099527D" w:rsidRPr="002E2AA0" w:rsidRDefault="00FB34FF" w:rsidP="0099527D">
      <w:pPr>
        <w:spacing w:line="480" w:lineRule="auto"/>
        <w:ind w:firstLine="720"/>
        <w:rPr>
          <w:rFonts w:ascii="Times New Roman" w:hAnsi="Times New Roman" w:cs="Times New Roman"/>
          <w:lang w:val="en-US"/>
        </w:rPr>
      </w:pPr>
      <w:r>
        <w:rPr>
          <w:rFonts w:ascii="Times New Roman" w:hAnsi="Times New Roman" w:cs="Times New Roman"/>
          <w:b/>
          <w:bCs/>
          <w:lang w:val="en-US"/>
        </w:rPr>
        <w:t xml:space="preserve">5.1.2 </w:t>
      </w:r>
      <w:r w:rsidR="0099527D" w:rsidRPr="002E2AA0">
        <w:rPr>
          <w:rFonts w:ascii="Times New Roman" w:hAnsi="Times New Roman" w:cs="Times New Roman"/>
          <w:b/>
          <w:bCs/>
          <w:lang w:val="en-US"/>
        </w:rPr>
        <w:t xml:space="preserve">Obstacles in the Good Lives Plan. </w:t>
      </w:r>
      <w:r w:rsidR="0099527D" w:rsidRPr="002E2AA0">
        <w:rPr>
          <w:rFonts w:ascii="Times New Roman" w:hAnsi="Times New Roman" w:cs="Times New Roman"/>
          <w:lang w:val="en-US"/>
        </w:rPr>
        <w:t>The Good Lives Model assumes there are four possible obstacles in an individual’s Good Lives plan which cause difficulty in obtaining primary goods (Ward &amp; Fortune, 2013). To reiterate, these include: (1) inappropriate means (i.e., use of inappropriate and/or harmful secondary goods); (2) lack of scope (i.e., focusing on some primary goods, to the neglect of others); (3) lack of coherence (i.e., conflict in the way primary goods are ordered or related to one another), and; (4) lack of capacity (i.e., problems with internal skills or external conditions, preventing attainment of primary goods). Six studies included in this review examined at least one of the four possible obstacles in a Good Lives plan.</w:t>
      </w:r>
    </w:p>
    <w:p w14:paraId="33866F56" w14:textId="53684429"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Willis and Grace (2008) retrospectively examined the relationship between presence of secondary goods (i.e., having appropriate </w:t>
      </w:r>
      <w:r w:rsidRPr="002E2AA0">
        <w:rPr>
          <w:rFonts w:ascii="Times New Roman" w:hAnsi="Times New Roman" w:cs="Times New Roman"/>
          <w:i/>
          <w:iCs/>
          <w:lang w:val="en-US"/>
        </w:rPr>
        <w:t>means</w:t>
      </w:r>
      <w:r w:rsidRPr="002E2AA0">
        <w:rPr>
          <w:rFonts w:ascii="Times New Roman" w:hAnsi="Times New Roman" w:cs="Times New Roman"/>
          <w:lang w:val="en-US"/>
        </w:rPr>
        <w:t xml:space="preserve">) in reintegration plans and recidivism in 81 child molesters who had undergone prison-based treatment for sexual offending. Compared to </w:t>
      </w:r>
      <w:r w:rsidR="00EC638A" w:rsidRPr="002E2AA0">
        <w:rPr>
          <w:rFonts w:ascii="Times New Roman" w:hAnsi="Times New Roman" w:cs="Times New Roman"/>
          <w:lang w:val="en-US"/>
        </w:rPr>
        <w:t>non</w:t>
      </w:r>
      <w:r w:rsidR="00EC638A">
        <w:rPr>
          <w:rFonts w:ascii="Times New Roman" w:hAnsi="Times New Roman" w:cs="Times New Roman"/>
          <w:lang w:val="en-US"/>
        </w:rPr>
        <w:t>-</w:t>
      </w:r>
      <w:r w:rsidR="00EC638A" w:rsidRPr="002E2AA0">
        <w:rPr>
          <w:rFonts w:ascii="Times New Roman" w:hAnsi="Times New Roman" w:cs="Times New Roman"/>
          <w:lang w:val="en-US"/>
        </w:rPr>
        <w:t>recidivists</w:t>
      </w:r>
      <w:r w:rsidRPr="002E2AA0">
        <w:rPr>
          <w:rFonts w:ascii="Times New Roman" w:hAnsi="Times New Roman" w:cs="Times New Roman"/>
          <w:lang w:val="en-US"/>
        </w:rPr>
        <w:t xml:space="preserve"> (</w:t>
      </w:r>
      <w:r w:rsidRPr="002E2AA0">
        <w:rPr>
          <w:rFonts w:ascii="Times New Roman" w:hAnsi="Times New Roman" w:cs="Times New Roman"/>
          <w:i/>
          <w:iCs/>
          <w:lang w:val="en-US"/>
        </w:rPr>
        <w:t xml:space="preserve">n </w:t>
      </w:r>
      <w:r w:rsidRPr="002E2AA0">
        <w:rPr>
          <w:rFonts w:ascii="Times New Roman" w:hAnsi="Times New Roman" w:cs="Times New Roman"/>
          <w:lang w:val="en-US"/>
        </w:rPr>
        <w:t>= 42), recidivists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39) had poorer quality reintegration plans, with these less likely to have included GLM secondary goods. Assessing specific offence typologies, sexual recidivists were less likely to have reintegration plans with GLM secondary goods included than non-sexual recidivists. This remained significant when controlling for IQ, and near significance for overall deviance. Although, when controlling for these simultaneously, no relationship was found between presence of GLM secondary goods in reintegration plans and sexual recidivism. Willis and Grace (2008) found no difference between </w:t>
      </w:r>
      <w:r w:rsidR="00EC638A" w:rsidRPr="002E2AA0">
        <w:rPr>
          <w:rFonts w:ascii="Times New Roman" w:hAnsi="Times New Roman" w:cs="Times New Roman"/>
          <w:lang w:val="en-US"/>
        </w:rPr>
        <w:t>non-recidivists</w:t>
      </w:r>
      <w:r w:rsidRPr="002E2AA0">
        <w:rPr>
          <w:rFonts w:ascii="Times New Roman" w:hAnsi="Times New Roman" w:cs="Times New Roman"/>
          <w:lang w:val="en-US"/>
        </w:rPr>
        <w:t xml:space="preserve"> and violent recidivists on presence of GLM secondary goods in reintegration plans; suggesting obstacles in a Good Lives plan does not increase risk of violent reoffending. </w:t>
      </w:r>
    </w:p>
    <w:p w14:paraId="4769F8B4" w14:textId="77777777"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lastRenderedPageBreak/>
        <w:t>However, for general recidivism, presence of GLM secondary goods approached significance (</w:t>
      </w:r>
      <w:r w:rsidRPr="002E2AA0">
        <w:rPr>
          <w:rFonts w:ascii="Times New Roman" w:hAnsi="Times New Roman" w:cs="Times New Roman"/>
          <w:i/>
          <w:iCs/>
          <w:lang w:val="en-US"/>
        </w:rPr>
        <w:t>p</w:t>
      </w:r>
      <w:r w:rsidRPr="002E2AA0">
        <w:rPr>
          <w:rFonts w:ascii="Times New Roman" w:hAnsi="Times New Roman" w:cs="Times New Roman"/>
          <w:lang w:val="en-US"/>
        </w:rPr>
        <w:t xml:space="preserve">&lt;.06), whilst for ‘any’ recidivism (including sexual, violent and non-violent offences), </w:t>
      </w:r>
      <w:r w:rsidR="00EC638A" w:rsidRPr="002E2AA0">
        <w:rPr>
          <w:rFonts w:ascii="Times New Roman" w:hAnsi="Times New Roman" w:cs="Times New Roman"/>
          <w:lang w:val="en-US"/>
        </w:rPr>
        <w:t>non-recidivists</w:t>
      </w:r>
      <w:r w:rsidRPr="002E2AA0">
        <w:rPr>
          <w:rFonts w:ascii="Times New Roman" w:hAnsi="Times New Roman" w:cs="Times New Roman"/>
          <w:lang w:val="en-US"/>
        </w:rPr>
        <w:t xml:space="preserve"> were more likely to have GLM secondary goods in their reintegration plans than recidivists, even when controlling for IQ and overall deviance simultaneously. As having concrete methods should aid in achievement of primary goods, this supports the assumption that having a lack of means increases risk of sexual, general, and ‘any’ offending, but not violent offending. </w:t>
      </w:r>
      <w:r w:rsidR="00E52F4C" w:rsidRPr="002E2AA0">
        <w:rPr>
          <w:rFonts w:ascii="Times New Roman" w:hAnsi="Times New Roman" w:cs="Times New Roman"/>
          <w:lang w:val="en-US"/>
        </w:rPr>
        <w:t>Yet</w:t>
      </w:r>
      <w:r w:rsidRPr="002E2AA0">
        <w:rPr>
          <w:rFonts w:ascii="Times New Roman" w:hAnsi="Times New Roman" w:cs="Times New Roman"/>
          <w:lang w:val="en-US"/>
        </w:rPr>
        <w:t xml:space="preserve">, this must be approached with caution as the extent to which the reintegration plans were implemented by offenders and effective means used to attain the primary goods was not examined in Willis and Grace’s (2008) study. </w:t>
      </w:r>
    </w:p>
    <w:p w14:paraId="4776EFA6" w14:textId="77777777" w:rsidR="0099527D" w:rsidRPr="002E2AA0" w:rsidRDefault="0099527D" w:rsidP="0099527D">
      <w:pPr>
        <w:spacing w:line="480" w:lineRule="auto"/>
        <w:rPr>
          <w:rFonts w:ascii="Times New Roman" w:hAnsi="Times New Roman" w:cs="Times New Roman"/>
          <w:lang w:val="en-US"/>
        </w:rPr>
      </w:pPr>
      <w:r w:rsidRPr="002E2AA0">
        <w:rPr>
          <w:rFonts w:ascii="Times New Roman" w:hAnsi="Times New Roman" w:cs="Times New Roman"/>
          <w:lang w:val="en-US"/>
        </w:rPr>
        <w:tab/>
        <w:t>In the only study to date which examines the assumptions of the GLM in the general population, Loney and Harkins (2018) assessed whether self-reported offending in university students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340) was predicted by the use of maladaptive means to achieve the primary goods of Agency, Inner Peace and Pleasure. Using the Measure of Life Priorities Scale (designed by the study authors), maladaptive means to achieve Agency (i.e., asserting dominance) and Inner Peace (i.e., using substances to regulate mood) were found to predict engagement in self-reported violent offending; maladaptive means to achieve Agency predicted self-reported acquisitive offending, and; maladaptive means to achieve Pleasure (i.e., use of alcohol/drugs) and Inner Peace predicted self-reported drug offending. This supports the GLM assumption that the use of inappropriate means to achieve primary goods can lead to engagement in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This also demonstrates there are differences according to offence type in the primary goods sought through maladaptive means. However, further research is necessary to establish whether this is limited to the three primary goods assessed by Loney and Harkins (2018</w:t>
      </w:r>
      <w:r w:rsidR="00EC638A" w:rsidRPr="002E2AA0">
        <w:rPr>
          <w:rFonts w:ascii="Times New Roman" w:hAnsi="Times New Roman" w:cs="Times New Roman"/>
          <w:lang w:val="en-US"/>
        </w:rPr>
        <w:t>) or</w:t>
      </w:r>
      <w:r w:rsidRPr="002E2AA0">
        <w:rPr>
          <w:rFonts w:ascii="Times New Roman" w:hAnsi="Times New Roman" w:cs="Times New Roman"/>
          <w:lang w:val="en-US"/>
        </w:rPr>
        <w:t xml:space="preserve"> is applicable to all 11 primary goods. </w:t>
      </w:r>
    </w:p>
    <w:p w14:paraId="38D4A07A" w14:textId="77777777"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Critically, Loney and Harkins (2018) also assessed whether strategies used to achieve the primary goods were perceived as effective by participants. No relationship was found </w:t>
      </w:r>
      <w:r w:rsidRPr="002E2AA0">
        <w:rPr>
          <w:rFonts w:ascii="Times New Roman" w:hAnsi="Times New Roman" w:cs="Times New Roman"/>
          <w:lang w:val="en-US"/>
        </w:rPr>
        <w:lastRenderedPageBreak/>
        <w:t>between self-reported offending (acquisitive, violent or drug offending) and having a lack of effective means. Although this may imply that using ineffective means to achieve primary goods does not increase risk of offending, this may be due to participants young age (</w:t>
      </w:r>
      <w:r w:rsidRPr="002E2AA0">
        <w:rPr>
          <w:rFonts w:ascii="Times New Roman" w:hAnsi="Times New Roman" w:cs="Times New Roman"/>
          <w:i/>
          <w:iCs/>
          <w:lang w:val="en-US"/>
        </w:rPr>
        <w:t xml:space="preserve">M </w:t>
      </w:r>
      <w:r w:rsidRPr="002E2AA0">
        <w:rPr>
          <w:rFonts w:ascii="Times New Roman" w:hAnsi="Times New Roman" w:cs="Times New Roman"/>
          <w:lang w:val="en-US"/>
        </w:rPr>
        <w:t xml:space="preserve">= 20.03 years). Early adulthood is </w:t>
      </w:r>
      <w:r w:rsidR="00EC638A" w:rsidRPr="002E2AA0">
        <w:rPr>
          <w:rFonts w:ascii="Times New Roman" w:hAnsi="Times New Roman" w:cs="Times New Roman"/>
          <w:lang w:val="en-US"/>
        </w:rPr>
        <w:t>characterized</w:t>
      </w:r>
      <w:r w:rsidRPr="002E2AA0">
        <w:rPr>
          <w:rFonts w:ascii="Times New Roman" w:hAnsi="Times New Roman" w:cs="Times New Roman"/>
          <w:lang w:val="en-US"/>
        </w:rPr>
        <w:t xml:space="preserve"> by change and development (Arnett, 2007), meaning a lack of effective strategies may have been perceived as a temporary situation and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was not necessary to fulfil the primary goods. </w:t>
      </w:r>
    </w:p>
    <w:p w14:paraId="501D34BF" w14:textId="6E22FE12" w:rsidR="0099527D" w:rsidRPr="002E2AA0" w:rsidRDefault="0099527D" w:rsidP="0099527D">
      <w:pPr>
        <w:spacing w:line="480" w:lineRule="auto"/>
        <w:rPr>
          <w:rFonts w:ascii="Times New Roman" w:hAnsi="Times New Roman" w:cs="Times New Roman"/>
          <w:lang w:val="en-US"/>
        </w:rPr>
      </w:pPr>
      <w:r w:rsidRPr="002E2AA0">
        <w:rPr>
          <w:rFonts w:ascii="Times New Roman" w:hAnsi="Times New Roman" w:cs="Times New Roman"/>
          <w:lang w:val="en-US"/>
        </w:rPr>
        <w:tab/>
        <w:t>Barnett and Wood (2008) are the only authors to date to have examined all of the obstacles in sexual offenders’ Good Lives plans. Assessing three of the primary goods (Agency, Inner Peace, and Relatedness) which had previously been conceptually linked to dynamic risk factors of sexual offending (Ward &amp; Mann, 200</w:t>
      </w:r>
      <w:r w:rsidR="002C2C5F">
        <w:rPr>
          <w:rFonts w:ascii="Times New Roman" w:hAnsi="Times New Roman" w:cs="Times New Roman"/>
          <w:lang w:val="en-US"/>
        </w:rPr>
        <w:t>4</w:t>
      </w:r>
      <w:r w:rsidRPr="002E2AA0">
        <w:rPr>
          <w:rFonts w:ascii="Times New Roman" w:hAnsi="Times New Roman" w:cs="Times New Roman"/>
          <w:lang w:val="en-US"/>
        </w:rPr>
        <w:t xml:space="preserve">), Barnett and Wood (2008) examined the </w:t>
      </w:r>
      <w:r w:rsidR="00EC638A" w:rsidRPr="002E2AA0">
        <w:rPr>
          <w:rFonts w:ascii="Times New Roman" w:hAnsi="Times New Roman" w:cs="Times New Roman"/>
          <w:lang w:val="en-US"/>
        </w:rPr>
        <w:t>prioritization</w:t>
      </w:r>
      <w:r w:rsidRPr="002E2AA0">
        <w:rPr>
          <w:rFonts w:ascii="Times New Roman" w:hAnsi="Times New Roman" w:cs="Times New Roman"/>
          <w:lang w:val="en-US"/>
        </w:rPr>
        <w:t xml:space="preserve"> that 42 incarcerated adult male sexual </w:t>
      </w:r>
      <w:r w:rsidR="00EC638A" w:rsidRPr="002E2AA0">
        <w:rPr>
          <w:rFonts w:ascii="Times New Roman" w:hAnsi="Times New Roman" w:cs="Times New Roman"/>
          <w:lang w:val="en-US"/>
        </w:rPr>
        <w:t>offenders</w:t>
      </w:r>
      <w:r w:rsidRPr="002E2AA0">
        <w:rPr>
          <w:rFonts w:ascii="Times New Roman" w:hAnsi="Times New Roman" w:cs="Times New Roman"/>
          <w:lang w:val="en-US"/>
        </w:rPr>
        <w:t xml:space="preserve"> assigned to the primary goods. Participants were found to assign highest priority to Relatedness, then Agency. Priority scores assigned to Inner Peace were significantly lower than those assigned to Relatedness or Agency, with no difference found between these two primary goods. This supports the GLM notion that offending occurs when there is a lack of </w:t>
      </w:r>
      <w:r w:rsidRPr="002E2AA0">
        <w:rPr>
          <w:rFonts w:ascii="Times New Roman" w:hAnsi="Times New Roman" w:cs="Times New Roman"/>
          <w:i/>
          <w:lang w:val="en-US"/>
        </w:rPr>
        <w:t>scope</w:t>
      </w:r>
      <w:r w:rsidRPr="002E2AA0">
        <w:rPr>
          <w:rFonts w:ascii="Times New Roman" w:hAnsi="Times New Roman" w:cs="Times New Roman"/>
          <w:lang w:val="en-US"/>
        </w:rPr>
        <w:t xml:space="preserve"> in an individual’s implicit </w:t>
      </w:r>
      <w:r w:rsidR="002764F0" w:rsidRPr="002E2AA0">
        <w:rPr>
          <w:rFonts w:ascii="Times New Roman" w:hAnsi="Times New Roman" w:cs="Times New Roman"/>
          <w:lang w:val="en-US"/>
        </w:rPr>
        <w:t xml:space="preserve">Good Lives </w:t>
      </w:r>
      <w:r w:rsidRPr="002E2AA0">
        <w:rPr>
          <w:rFonts w:ascii="Times New Roman" w:hAnsi="Times New Roman" w:cs="Times New Roman"/>
          <w:lang w:val="en-US"/>
        </w:rPr>
        <w:t>plan. However, when participants</w:t>
      </w:r>
      <w:r w:rsidR="005934A8">
        <w:rPr>
          <w:rFonts w:ascii="Times New Roman" w:hAnsi="Times New Roman" w:cs="Times New Roman"/>
          <w:lang w:val="en-US"/>
        </w:rPr>
        <w:t>’</w:t>
      </w:r>
      <w:r w:rsidRPr="002E2AA0">
        <w:rPr>
          <w:rFonts w:ascii="Times New Roman" w:hAnsi="Times New Roman" w:cs="Times New Roman"/>
          <w:lang w:val="en-US"/>
        </w:rPr>
        <w:t xml:space="preserve"> </w:t>
      </w:r>
      <w:r w:rsidR="002764F0" w:rsidRPr="002E2AA0">
        <w:rPr>
          <w:rFonts w:ascii="Times New Roman" w:hAnsi="Times New Roman" w:cs="Times New Roman"/>
          <w:lang w:val="en-US"/>
        </w:rPr>
        <w:t xml:space="preserve">Good Lives </w:t>
      </w:r>
      <w:r w:rsidRPr="002E2AA0">
        <w:rPr>
          <w:rFonts w:ascii="Times New Roman" w:hAnsi="Times New Roman" w:cs="Times New Roman"/>
          <w:lang w:val="en-US"/>
        </w:rPr>
        <w:t xml:space="preserve">plans were categorized as either balanced (three primary goods assigned a high priority) or unbalanced (at least one primary good assigned low priority), slightly over half (52.4%) of participants had a balanced </w:t>
      </w:r>
      <w:r w:rsidR="002764F0" w:rsidRPr="002E2AA0">
        <w:rPr>
          <w:rFonts w:ascii="Times New Roman" w:hAnsi="Times New Roman" w:cs="Times New Roman"/>
          <w:lang w:val="en-US"/>
        </w:rPr>
        <w:t xml:space="preserve">Good Lives </w:t>
      </w:r>
      <w:r w:rsidRPr="002E2AA0">
        <w:rPr>
          <w:rFonts w:ascii="Times New Roman" w:hAnsi="Times New Roman" w:cs="Times New Roman"/>
          <w:lang w:val="en-US"/>
        </w:rPr>
        <w:t xml:space="preserve">plan. Although, as only three of the 11 primary goods were examined, this does not necessarily mean the participants’ Good Lives plans were balanced overall. </w:t>
      </w:r>
    </w:p>
    <w:p w14:paraId="0B7D67B8" w14:textId="3DA7C8A3"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Open-ended questions indicated </w:t>
      </w:r>
      <w:r w:rsidR="005934A8">
        <w:rPr>
          <w:rFonts w:ascii="Times New Roman" w:hAnsi="Times New Roman" w:cs="Times New Roman"/>
          <w:lang w:val="en-US"/>
        </w:rPr>
        <w:t xml:space="preserve">that </w:t>
      </w:r>
      <w:r w:rsidRPr="002E2AA0">
        <w:rPr>
          <w:rFonts w:ascii="Times New Roman" w:hAnsi="Times New Roman" w:cs="Times New Roman"/>
          <w:lang w:val="en-US"/>
        </w:rPr>
        <w:t xml:space="preserve">all four obstacles in the GLM were present in participants. For instance, issues in scope was evident in the lack of desire to achieve one of the three primary goods (e.g., “I enjoyed being dependent on others”, p. 458, demonstrates neglect of Agency). Regarding the obstacle </w:t>
      </w:r>
      <w:r w:rsidRPr="002E2AA0">
        <w:rPr>
          <w:rFonts w:ascii="Times New Roman" w:hAnsi="Times New Roman" w:cs="Times New Roman"/>
          <w:i/>
          <w:lang w:val="en-US"/>
        </w:rPr>
        <w:t xml:space="preserve">means, </w:t>
      </w:r>
      <w:r w:rsidRPr="002E2AA0">
        <w:rPr>
          <w:rFonts w:ascii="Times New Roman" w:hAnsi="Times New Roman" w:cs="Times New Roman"/>
          <w:lang w:val="en-US"/>
        </w:rPr>
        <w:t xml:space="preserve">some participants used offending as a </w:t>
      </w:r>
      <w:r w:rsidRPr="002E2AA0">
        <w:rPr>
          <w:rFonts w:ascii="Times New Roman" w:hAnsi="Times New Roman" w:cs="Times New Roman"/>
          <w:lang w:val="en-US"/>
        </w:rPr>
        <w:lastRenderedPageBreak/>
        <w:t xml:space="preserve">maladaptive </w:t>
      </w:r>
      <w:r w:rsidRPr="002E2AA0">
        <w:rPr>
          <w:rFonts w:ascii="Times New Roman" w:hAnsi="Times New Roman" w:cs="Times New Roman"/>
          <w:iCs/>
          <w:lang w:val="en-US"/>
        </w:rPr>
        <w:t>method</w:t>
      </w:r>
      <w:r w:rsidRPr="002E2AA0">
        <w:rPr>
          <w:rFonts w:ascii="Times New Roman" w:hAnsi="Times New Roman" w:cs="Times New Roman"/>
          <w:i/>
          <w:iCs/>
          <w:lang w:val="en-US"/>
        </w:rPr>
        <w:t xml:space="preserve"> </w:t>
      </w:r>
      <w:r w:rsidRPr="002E2AA0">
        <w:rPr>
          <w:rFonts w:ascii="Times New Roman" w:hAnsi="Times New Roman" w:cs="Times New Roman"/>
          <w:lang w:val="en-US"/>
        </w:rPr>
        <w:t xml:space="preserve">of achieving their primary goods (e.g., “Achieving agency… I was trying to control someone sexually”, p.458). There was a lack of </w:t>
      </w:r>
      <w:r w:rsidRPr="002E2AA0">
        <w:rPr>
          <w:rFonts w:ascii="Times New Roman" w:hAnsi="Times New Roman" w:cs="Times New Roman"/>
          <w:i/>
          <w:iCs/>
          <w:lang w:val="en-US"/>
        </w:rPr>
        <w:t>coherence</w:t>
      </w:r>
      <w:r w:rsidRPr="002E2AA0">
        <w:rPr>
          <w:rFonts w:ascii="Times New Roman" w:hAnsi="Times New Roman" w:cs="Times New Roman"/>
          <w:lang w:val="en-US"/>
        </w:rPr>
        <w:t xml:space="preserve"> between goods reported, particularly between </w:t>
      </w:r>
      <w:r w:rsidR="00877D17">
        <w:rPr>
          <w:rFonts w:ascii="Times New Roman" w:hAnsi="Times New Roman" w:cs="Times New Roman"/>
          <w:lang w:val="en-US"/>
        </w:rPr>
        <w:t>A</w:t>
      </w:r>
      <w:r w:rsidRPr="002E2AA0">
        <w:rPr>
          <w:rFonts w:ascii="Times New Roman" w:hAnsi="Times New Roman" w:cs="Times New Roman"/>
          <w:lang w:val="en-US"/>
        </w:rPr>
        <w:t xml:space="preserve">gency and </w:t>
      </w:r>
      <w:r w:rsidR="00877D17">
        <w:rPr>
          <w:rFonts w:ascii="Times New Roman" w:hAnsi="Times New Roman" w:cs="Times New Roman"/>
          <w:lang w:val="en-US"/>
        </w:rPr>
        <w:t>R</w:t>
      </w:r>
      <w:r w:rsidR="00877D17" w:rsidRPr="002E2AA0">
        <w:rPr>
          <w:rFonts w:ascii="Times New Roman" w:hAnsi="Times New Roman" w:cs="Times New Roman"/>
          <w:lang w:val="en-US"/>
        </w:rPr>
        <w:t xml:space="preserve">elatedness </w:t>
      </w:r>
      <w:r w:rsidRPr="002E2AA0">
        <w:rPr>
          <w:rFonts w:ascii="Times New Roman" w:hAnsi="Times New Roman" w:cs="Times New Roman"/>
          <w:lang w:val="en-US"/>
        </w:rPr>
        <w:t xml:space="preserve">(e.g., “I put too much time into work and not enough into my relationships”, p. 459). Finally, participants discussed difficulty in </w:t>
      </w:r>
      <w:r w:rsidRPr="002E2AA0">
        <w:rPr>
          <w:rFonts w:ascii="Times New Roman" w:hAnsi="Times New Roman" w:cs="Times New Roman"/>
          <w:i/>
          <w:iCs/>
          <w:lang w:val="en-US"/>
        </w:rPr>
        <w:t xml:space="preserve">capacity </w:t>
      </w:r>
      <w:r w:rsidRPr="002E2AA0">
        <w:rPr>
          <w:rFonts w:ascii="Times New Roman" w:hAnsi="Times New Roman" w:cs="Times New Roman"/>
          <w:lang w:val="en-US"/>
        </w:rPr>
        <w:t xml:space="preserve">preventing them from achieving the primary goods (e.g., “I didn’t know how to express my feelings”, p. 459). </w:t>
      </w:r>
    </w:p>
    <w:p w14:paraId="6500B9A2" w14:textId="7D995400"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Focusing on </w:t>
      </w:r>
      <w:r w:rsidRPr="002E2AA0">
        <w:rPr>
          <w:rFonts w:ascii="Times New Roman" w:hAnsi="Times New Roman" w:cs="Times New Roman"/>
          <w:i/>
          <w:lang w:val="en-US"/>
        </w:rPr>
        <w:t>internal</w:t>
      </w:r>
      <w:r w:rsidRPr="002E2AA0">
        <w:rPr>
          <w:rFonts w:ascii="Times New Roman" w:hAnsi="Times New Roman" w:cs="Times New Roman"/>
          <w:lang w:val="en-US"/>
        </w:rPr>
        <w:t xml:space="preserve"> </w:t>
      </w:r>
      <w:r w:rsidRPr="002E2AA0">
        <w:rPr>
          <w:rFonts w:ascii="Times New Roman" w:hAnsi="Times New Roman" w:cs="Times New Roman"/>
          <w:i/>
          <w:iCs/>
          <w:lang w:val="en-US"/>
        </w:rPr>
        <w:t>capacity</w:t>
      </w:r>
      <w:r w:rsidRPr="002E2AA0">
        <w:rPr>
          <w:rFonts w:ascii="Times New Roman" w:hAnsi="Times New Roman" w:cs="Times New Roman"/>
          <w:lang w:val="en-US"/>
        </w:rPr>
        <w:t xml:space="preserve"> (an individual</w:t>
      </w:r>
      <w:r w:rsidR="005934A8">
        <w:rPr>
          <w:rFonts w:ascii="Times New Roman" w:hAnsi="Times New Roman" w:cs="Times New Roman"/>
          <w:lang w:val="en-US"/>
        </w:rPr>
        <w:t>’</w:t>
      </w:r>
      <w:r w:rsidRPr="002E2AA0">
        <w:rPr>
          <w:rFonts w:ascii="Times New Roman" w:hAnsi="Times New Roman" w:cs="Times New Roman"/>
          <w:lang w:val="en-US"/>
        </w:rPr>
        <w:t xml:space="preserve">s cognitive, psychological and </w:t>
      </w:r>
      <w:r w:rsidR="00EC638A" w:rsidRPr="002E2AA0">
        <w:rPr>
          <w:rFonts w:ascii="Times New Roman" w:hAnsi="Times New Roman" w:cs="Times New Roman"/>
          <w:lang w:val="en-US"/>
        </w:rPr>
        <w:t>behavioral</w:t>
      </w:r>
      <w:r w:rsidRPr="002E2AA0">
        <w:rPr>
          <w:rFonts w:ascii="Times New Roman" w:hAnsi="Times New Roman" w:cs="Times New Roman"/>
          <w:lang w:val="en-US"/>
        </w:rPr>
        <w:t xml:space="preserve"> skills) in more depth, Barnett and Wood (2008) found participants whose Good Lives plan </w:t>
      </w:r>
      <w:r w:rsidR="00877D17">
        <w:rPr>
          <w:rFonts w:ascii="Times New Roman" w:hAnsi="Times New Roman" w:cs="Times New Roman"/>
          <w:lang w:val="en-US"/>
        </w:rPr>
        <w:t>were</w:t>
      </w:r>
      <w:r w:rsidR="00877D17" w:rsidRPr="002E2AA0">
        <w:rPr>
          <w:rFonts w:ascii="Times New Roman" w:hAnsi="Times New Roman" w:cs="Times New Roman"/>
          <w:lang w:val="en-US"/>
        </w:rPr>
        <w:t xml:space="preserve"> </w:t>
      </w:r>
      <w:r w:rsidRPr="002E2AA0">
        <w:rPr>
          <w:rFonts w:ascii="Times New Roman" w:hAnsi="Times New Roman" w:cs="Times New Roman"/>
          <w:lang w:val="en-US"/>
        </w:rPr>
        <w:t xml:space="preserve">balanced had higher overall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ability than those with an unbalanced Good Lives plan. Comparatively, an unbalanced Good Lives plan was related to greater dysfunctional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scores, with dysfunctional scores highest amongst participants who assigned </w:t>
      </w:r>
      <w:r w:rsidR="00877D17" w:rsidRPr="002E2AA0">
        <w:rPr>
          <w:rFonts w:ascii="Times New Roman" w:hAnsi="Times New Roman" w:cs="Times New Roman"/>
          <w:lang w:val="en-US"/>
        </w:rPr>
        <w:t>lowe</w:t>
      </w:r>
      <w:r w:rsidR="00877D17">
        <w:rPr>
          <w:rFonts w:ascii="Times New Roman" w:hAnsi="Times New Roman" w:cs="Times New Roman"/>
          <w:lang w:val="en-US"/>
        </w:rPr>
        <w:t>st</w:t>
      </w:r>
      <w:r w:rsidR="00877D17" w:rsidRPr="002E2AA0">
        <w:rPr>
          <w:rFonts w:ascii="Times New Roman" w:hAnsi="Times New Roman" w:cs="Times New Roman"/>
          <w:lang w:val="en-US"/>
        </w:rPr>
        <w:t xml:space="preserve"> </w:t>
      </w:r>
      <w:r w:rsidRPr="002E2AA0">
        <w:rPr>
          <w:rFonts w:ascii="Times New Roman" w:hAnsi="Times New Roman" w:cs="Times New Roman"/>
          <w:lang w:val="en-US"/>
        </w:rPr>
        <w:t xml:space="preserve">priority to Relatedness. No difference was found in functional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scores according to balanced or unbalanced Good Lives plans, although offenders who placed high priority on Relatedness had higher functional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scores. Critically, it is unclear from this study whether functional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skills were used to aid in securing primary goods through non-offending (i.e., positive relationships) or offending </w:t>
      </w:r>
      <w:r w:rsidR="00EC638A" w:rsidRPr="002E2AA0">
        <w:rPr>
          <w:rFonts w:ascii="Times New Roman" w:hAnsi="Times New Roman" w:cs="Times New Roman"/>
          <w:lang w:val="en-US"/>
        </w:rPr>
        <w:t>behaviors</w:t>
      </w:r>
      <w:r w:rsidRPr="002E2AA0">
        <w:rPr>
          <w:rFonts w:ascii="Times New Roman" w:hAnsi="Times New Roman" w:cs="Times New Roman"/>
          <w:lang w:val="en-US"/>
        </w:rPr>
        <w:t xml:space="preserve">. Despite this, Barnett and Wood (2008) provide support for the presence of each of the four obstacles in achieving primary goods, which could lead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w:t>
      </w:r>
    </w:p>
    <w:p w14:paraId="67DE7A1B" w14:textId="7E386FAB"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The remaining studies all examined the relationship between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and the obstacle of capacity. Purvis (2005) examined the internal and external obstacles experienced by men who had sexually offended in the pursuit of primary goods. Overall, a wide range of obstacles were identified. These included 20 different internal obstacles (e.g., a lack of interpersonal skills, distrust, emotional difficulties and substance abuse) and 18 external obstacles (e.g., lack of social support, poverty and lack of employment). The extent </w:t>
      </w:r>
      <w:r w:rsidRPr="002E2AA0">
        <w:rPr>
          <w:rFonts w:ascii="Times New Roman" w:hAnsi="Times New Roman" w:cs="Times New Roman"/>
          <w:lang w:val="en-US"/>
        </w:rPr>
        <w:lastRenderedPageBreak/>
        <w:t xml:space="preserve">to which internal and external obstacles were faced differed between participants considerably, with some experiencing a large number of obstacles, whilst others had only a small number. Interestingly, Purvis (2005) found the means used by participants to secure primary goods were dependent on the types of obstacles they experienced, with participants who experienced a large number of obstacles often </w:t>
      </w:r>
      <w:r w:rsidR="005872B3" w:rsidRPr="002E2AA0">
        <w:rPr>
          <w:rFonts w:ascii="Times New Roman" w:hAnsi="Times New Roman" w:cs="Times New Roman"/>
          <w:lang w:val="en-US"/>
        </w:rPr>
        <w:t>reporting having</w:t>
      </w:r>
      <w:r w:rsidRPr="002E2AA0">
        <w:rPr>
          <w:rFonts w:ascii="Times New Roman" w:hAnsi="Times New Roman" w:cs="Times New Roman"/>
          <w:lang w:val="en-US"/>
        </w:rPr>
        <w:t xml:space="preserve"> no means to secure the primary goods. </w:t>
      </w:r>
    </w:p>
    <w:p w14:paraId="5CFF3A1E" w14:textId="794E9A2C"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Using a longitudinal approach, Barendregt </w:t>
      </w:r>
      <w:r w:rsidR="009C7B33">
        <w:rPr>
          <w:rFonts w:ascii="Times New Roman" w:hAnsi="Times New Roman" w:cs="Times New Roman"/>
          <w:lang w:val="en-US"/>
        </w:rPr>
        <w:t>and colleagues</w:t>
      </w:r>
      <w:r w:rsidRPr="002E2AA0">
        <w:rPr>
          <w:rFonts w:ascii="Times New Roman" w:hAnsi="Times New Roman" w:cs="Times New Roman"/>
          <w:lang w:val="en-US"/>
        </w:rPr>
        <w:t xml:space="preserve"> (2018) examined whether internal obstacles (examined as difficulties in coping skills) related to risk of reoffending and psychosocial difficulties 12 months after discharge from a secure residential care facility. Using active coping strategies at Time 1 related to lower self-reported recidivism at Time 2. Comparatively, using passive coping strategies at Time 1 was associated with less psychosocial problems at follow-up. This supports the GLM assumption that issues in internal capacity can increase risk of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However, attrition was high in this study with only 95 of the 172 adolescent males tested at Time 1 completing the Time 2 questionnaires. Attrition analysis demonstrated that those who completed Time 2 were more likely to have autism spectrum disorder and reactive attachment disorder, questioning the </w:t>
      </w:r>
      <w:r w:rsidR="00AC27FF" w:rsidRPr="002E2AA0">
        <w:rPr>
          <w:rFonts w:ascii="Times New Roman" w:hAnsi="Times New Roman" w:cs="Times New Roman"/>
          <w:lang w:val="en-US"/>
        </w:rPr>
        <w:t>generalizability</w:t>
      </w:r>
      <w:r w:rsidRPr="002E2AA0">
        <w:rPr>
          <w:rFonts w:ascii="Times New Roman" w:hAnsi="Times New Roman" w:cs="Times New Roman"/>
          <w:lang w:val="en-US"/>
        </w:rPr>
        <w:t xml:space="preserve"> of these findings. </w:t>
      </w:r>
    </w:p>
    <w:p w14:paraId="466588B5" w14:textId="5620F412"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Critically, Barendregt </w:t>
      </w:r>
      <w:r w:rsidR="009C7B33">
        <w:rPr>
          <w:rFonts w:ascii="Times New Roman" w:hAnsi="Times New Roman" w:cs="Times New Roman"/>
          <w:lang w:val="en-US"/>
        </w:rPr>
        <w:t>and colleagues</w:t>
      </w:r>
      <w:r w:rsidRPr="002E2AA0">
        <w:rPr>
          <w:rFonts w:ascii="Times New Roman" w:hAnsi="Times New Roman" w:cs="Times New Roman"/>
          <w:lang w:val="en-US"/>
        </w:rPr>
        <w:t xml:space="preserve"> (2018) did not directly examine the relationship between issues in capacity and attainment of primary goods. Overcoming this, Harris </w:t>
      </w:r>
      <w:r w:rsidR="009C7B33">
        <w:rPr>
          <w:rFonts w:ascii="Times New Roman" w:hAnsi="Times New Roman" w:cs="Times New Roman"/>
          <w:lang w:val="en-US"/>
        </w:rPr>
        <w:t xml:space="preserve">and colleagues </w:t>
      </w:r>
      <w:r w:rsidRPr="002E2AA0">
        <w:rPr>
          <w:rFonts w:ascii="Times New Roman" w:hAnsi="Times New Roman" w:cs="Times New Roman"/>
          <w:lang w:val="en-US"/>
        </w:rPr>
        <w:t xml:space="preserve">(2019) interviewed 42 men who had been released into the community following incarceration for sexual offences, regarding their attainment of primary goods. Although some primary goods were well achieved by participants, including Knowledge (73.8% achieved), </w:t>
      </w:r>
      <w:r w:rsidR="004371F3" w:rsidRPr="002E2AA0">
        <w:rPr>
          <w:rFonts w:ascii="Times New Roman" w:hAnsi="Times New Roman" w:cs="Times New Roman"/>
          <w:lang w:val="en-US"/>
        </w:rPr>
        <w:t>Relatedness</w:t>
      </w:r>
      <w:r w:rsidRPr="002E2AA0">
        <w:rPr>
          <w:rFonts w:ascii="Times New Roman" w:hAnsi="Times New Roman" w:cs="Times New Roman"/>
          <w:lang w:val="en-US"/>
        </w:rPr>
        <w:t xml:space="preserve"> (66.7%), Spirituality (45.2%) and Community (38.1%), the remaining primary goods were achieved in less than 10% of participants. A number of </w:t>
      </w:r>
      <w:r w:rsidRPr="002E2AA0">
        <w:rPr>
          <w:rFonts w:ascii="Times New Roman" w:hAnsi="Times New Roman" w:cs="Times New Roman"/>
          <w:i/>
          <w:iCs/>
          <w:lang w:val="en-US"/>
        </w:rPr>
        <w:t>external capacity</w:t>
      </w:r>
      <w:r w:rsidRPr="002E2AA0">
        <w:rPr>
          <w:rFonts w:ascii="Times New Roman" w:hAnsi="Times New Roman" w:cs="Times New Roman"/>
          <w:lang w:val="en-US"/>
        </w:rPr>
        <w:t xml:space="preserve"> issues were reported which prevented achievement of primary goods, particularly toward the </w:t>
      </w:r>
      <w:r w:rsidRPr="002E2AA0">
        <w:rPr>
          <w:rFonts w:ascii="Times New Roman" w:hAnsi="Times New Roman" w:cs="Times New Roman"/>
          <w:lang w:val="en-US"/>
        </w:rPr>
        <w:lastRenderedPageBreak/>
        <w:t>goods of Life, Agency, Inner Peace and Mastery (combining both Excellence in Work and Play). These include</w:t>
      </w:r>
      <w:r w:rsidR="00877D17">
        <w:rPr>
          <w:rFonts w:ascii="Times New Roman" w:hAnsi="Times New Roman" w:cs="Times New Roman"/>
          <w:lang w:val="en-US"/>
        </w:rPr>
        <w:t>d</w:t>
      </w:r>
      <w:r w:rsidRPr="002E2AA0">
        <w:rPr>
          <w:rFonts w:ascii="Times New Roman" w:hAnsi="Times New Roman" w:cs="Times New Roman"/>
          <w:lang w:val="en-US"/>
        </w:rPr>
        <w:t xml:space="preserve"> rejection from others, difficulty securing housing and </w:t>
      </w:r>
      <w:r w:rsidR="004371F3" w:rsidRPr="002E2AA0">
        <w:rPr>
          <w:rFonts w:ascii="Times New Roman" w:hAnsi="Times New Roman" w:cs="Times New Roman"/>
          <w:lang w:val="en-US"/>
        </w:rPr>
        <w:t>employment</w:t>
      </w:r>
      <w:r w:rsidRPr="002E2AA0">
        <w:rPr>
          <w:rFonts w:ascii="Times New Roman" w:hAnsi="Times New Roman" w:cs="Times New Roman"/>
          <w:lang w:val="en-US"/>
        </w:rPr>
        <w:t xml:space="preserve">, and financial strain, which often occurred due to restrictions placed on the offender as part of their re-entry to the community (e.g., unable to live near children, no use of computers). </w:t>
      </w:r>
    </w:p>
    <w:p w14:paraId="403A729A" w14:textId="04696528" w:rsidR="0099527D" w:rsidRPr="002E2AA0" w:rsidRDefault="0099527D" w:rsidP="0099527D">
      <w:pPr>
        <w:spacing w:line="480" w:lineRule="auto"/>
        <w:ind w:firstLine="720"/>
        <w:rPr>
          <w:rFonts w:ascii="Times New Roman" w:hAnsi="Times New Roman" w:cs="Times New Roman"/>
          <w:lang w:val="en-US"/>
        </w:rPr>
      </w:pPr>
      <w:r w:rsidRPr="002E2AA0">
        <w:rPr>
          <w:rFonts w:ascii="Times New Roman" w:hAnsi="Times New Roman" w:cs="Times New Roman"/>
          <w:lang w:val="en-US"/>
        </w:rPr>
        <w:t>Of the primary goods most achieved, both Knowledge and Community were attained by participants through engagement in the sexual offender treatment, as they faced rejection from mainstream clubs/groups. As such, it is questionable how these primary goods will be adequately achieved, in light of the barriers discussed, once the program has finished. Overall, Harris</w:t>
      </w:r>
      <w:r w:rsidR="009C7B33">
        <w:rPr>
          <w:rFonts w:ascii="Times New Roman" w:hAnsi="Times New Roman" w:cs="Times New Roman"/>
          <w:lang w:val="en-US"/>
        </w:rPr>
        <w:t xml:space="preserve"> and colleague</w:t>
      </w:r>
      <w:r w:rsidRPr="002E2AA0">
        <w:rPr>
          <w:rFonts w:ascii="Times New Roman" w:hAnsi="Times New Roman" w:cs="Times New Roman"/>
          <w:lang w:val="en-US"/>
        </w:rPr>
        <w:t>s</w:t>
      </w:r>
      <w:r w:rsidR="005934A8">
        <w:rPr>
          <w:rFonts w:ascii="Times New Roman" w:hAnsi="Times New Roman" w:cs="Times New Roman"/>
          <w:lang w:val="en-US"/>
        </w:rPr>
        <w:t>’</w:t>
      </w:r>
      <w:r w:rsidRPr="002E2AA0">
        <w:rPr>
          <w:rFonts w:ascii="Times New Roman" w:hAnsi="Times New Roman" w:cs="Times New Roman"/>
          <w:lang w:val="en-US"/>
        </w:rPr>
        <w:t xml:space="preserve"> (2019) study supports the GLM assumption that issues in capacity lead to difficulty in securing primary goods. However, as interviewees were only those who had participated in treatment, these findings are unlikely to be </w:t>
      </w:r>
      <w:r w:rsidR="00EC638A" w:rsidRPr="002E2AA0">
        <w:rPr>
          <w:rFonts w:ascii="Times New Roman" w:hAnsi="Times New Roman" w:cs="Times New Roman"/>
          <w:lang w:val="en-US"/>
        </w:rPr>
        <w:t>generalizable</w:t>
      </w:r>
      <w:r w:rsidRPr="002E2AA0">
        <w:rPr>
          <w:rFonts w:ascii="Times New Roman" w:hAnsi="Times New Roman" w:cs="Times New Roman"/>
          <w:lang w:val="en-US"/>
        </w:rPr>
        <w:t xml:space="preserve"> to those who did not receive treatment or were not motivated to engage with it. </w:t>
      </w:r>
    </w:p>
    <w:p w14:paraId="1D4B5889" w14:textId="0012FFCE" w:rsidR="0099527D" w:rsidRPr="002E2AA0" w:rsidRDefault="0099527D" w:rsidP="0099527D">
      <w:pPr>
        <w:spacing w:line="480" w:lineRule="auto"/>
        <w:rPr>
          <w:rFonts w:ascii="Times New Roman" w:hAnsi="Times New Roman" w:cs="Times New Roman"/>
          <w:lang w:val="en-US"/>
        </w:rPr>
      </w:pPr>
      <w:r w:rsidRPr="002E2AA0">
        <w:rPr>
          <w:rFonts w:ascii="Times New Roman" w:hAnsi="Times New Roman" w:cs="Times New Roman"/>
          <w:lang w:val="en-US"/>
        </w:rPr>
        <w:tab/>
      </w:r>
      <w:r w:rsidR="00FB34FF" w:rsidRPr="00FB34FF">
        <w:rPr>
          <w:rFonts w:ascii="Times New Roman" w:hAnsi="Times New Roman" w:cs="Times New Roman"/>
          <w:b/>
          <w:lang w:val="en-US"/>
        </w:rPr>
        <w:t xml:space="preserve">5.1.3 </w:t>
      </w:r>
      <w:r w:rsidRPr="002E2AA0">
        <w:rPr>
          <w:rFonts w:ascii="Times New Roman" w:hAnsi="Times New Roman" w:cs="Times New Roman"/>
          <w:b/>
          <w:bCs/>
          <w:lang w:val="en-US"/>
        </w:rPr>
        <w:t xml:space="preserve">Pathways to Offending. </w:t>
      </w:r>
      <w:r w:rsidRPr="002E2AA0">
        <w:rPr>
          <w:rFonts w:ascii="Times New Roman" w:hAnsi="Times New Roman" w:cs="Times New Roman"/>
          <w:lang w:val="en-US"/>
        </w:rPr>
        <w:t xml:space="preserve">Only two studies have examined the GLM assumption that there are two distinct pathways to offending: a direct and indirect route. Purvis (2005) first discovered this concept in interviews with males who had sexually offended against children interviewed. Findings showed that the majority of participants expressed both indirect and direct pathways to offending. As an example of a direct pathway to offending, Purvis (2005) found participants sought an intimate relationship with others in order to secure the primary good of Relatedness. However, due to internal (e.g., distrust of adults) and external (e.g., poor relationship skills) obstacles, participants directly tried to secure the primary good through sexual contact with children. Some participants, however, only </w:t>
      </w:r>
      <w:r w:rsidR="00EC638A" w:rsidRPr="002E2AA0">
        <w:rPr>
          <w:rFonts w:ascii="Times New Roman" w:hAnsi="Times New Roman" w:cs="Times New Roman"/>
          <w:lang w:val="en-US"/>
        </w:rPr>
        <w:t>utilized</w:t>
      </w:r>
      <w:r w:rsidRPr="002E2AA0">
        <w:rPr>
          <w:rFonts w:ascii="Times New Roman" w:hAnsi="Times New Roman" w:cs="Times New Roman"/>
          <w:lang w:val="en-US"/>
        </w:rPr>
        <w:t xml:space="preserve"> indirect pathways to offending, meaning they found it difficult to comprehend their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often because they had not engaged in any planning for their sexual offence. For example, Purvis (2005) described how participants </w:t>
      </w:r>
      <w:r w:rsidR="00877D17">
        <w:rPr>
          <w:rFonts w:ascii="Times New Roman" w:hAnsi="Times New Roman" w:cs="Times New Roman"/>
          <w:lang w:val="en-US"/>
        </w:rPr>
        <w:t>sought</w:t>
      </w:r>
      <w:r w:rsidR="00877D17" w:rsidRPr="002E2AA0">
        <w:rPr>
          <w:rFonts w:ascii="Times New Roman" w:hAnsi="Times New Roman" w:cs="Times New Roman"/>
          <w:lang w:val="en-US"/>
        </w:rPr>
        <w:t xml:space="preserve"> </w:t>
      </w:r>
      <w:r w:rsidRPr="002E2AA0">
        <w:rPr>
          <w:rFonts w:ascii="Times New Roman" w:hAnsi="Times New Roman" w:cs="Times New Roman"/>
          <w:lang w:val="en-US"/>
        </w:rPr>
        <w:t xml:space="preserve">the primary good of Inner Peace, but due to internal (e.g., poor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skills) and external (e.g., lack of social </w:t>
      </w:r>
      <w:r w:rsidRPr="002E2AA0">
        <w:rPr>
          <w:rFonts w:ascii="Times New Roman" w:hAnsi="Times New Roman" w:cs="Times New Roman"/>
          <w:lang w:val="en-US"/>
        </w:rPr>
        <w:lastRenderedPageBreak/>
        <w:t xml:space="preserve">support) obstacles they </w:t>
      </w:r>
      <w:r w:rsidR="00877D17">
        <w:rPr>
          <w:rFonts w:ascii="Times New Roman" w:hAnsi="Times New Roman" w:cs="Times New Roman"/>
          <w:lang w:val="en-US"/>
        </w:rPr>
        <w:t>relied</w:t>
      </w:r>
      <w:r w:rsidR="00877D17" w:rsidRPr="002E2AA0">
        <w:rPr>
          <w:rFonts w:ascii="Times New Roman" w:hAnsi="Times New Roman" w:cs="Times New Roman"/>
          <w:lang w:val="en-US"/>
        </w:rPr>
        <w:t xml:space="preserve"> </w:t>
      </w:r>
      <w:r w:rsidRPr="002E2AA0">
        <w:rPr>
          <w:rFonts w:ascii="Times New Roman" w:hAnsi="Times New Roman" w:cs="Times New Roman"/>
          <w:lang w:val="en-US"/>
        </w:rPr>
        <w:t xml:space="preserve">on non-offending but inappropriate means (e.g., alcohol/drug use). The inappropriate means used then led </w:t>
      </w:r>
      <w:r w:rsidR="009427FB">
        <w:rPr>
          <w:rFonts w:ascii="Times New Roman" w:hAnsi="Times New Roman" w:cs="Times New Roman"/>
          <w:lang w:val="en-US"/>
        </w:rPr>
        <w:t>in</w:t>
      </w:r>
      <w:r w:rsidRPr="002E2AA0">
        <w:rPr>
          <w:rFonts w:ascii="Times New Roman" w:hAnsi="Times New Roman" w:cs="Times New Roman"/>
          <w:lang w:val="en-US"/>
        </w:rPr>
        <w:t>to a spiral</w:t>
      </w:r>
      <w:r w:rsidR="009427FB">
        <w:rPr>
          <w:rFonts w:ascii="Times New Roman" w:hAnsi="Times New Roman" w:cs="Times New Roman"/>
          <w:lang w:val="en-US"/>
        </w:rPr>
        <w:t>ing</w:t>
      </w:r>
      <w:r w:rsidRPr="002E2AA0">
        <w:rPr>
          <w:rFonts w:ascii="Times New Roman" w:hAnsi="Times New Roman" w:cs="Times New Roman"/>
          <w:lang w:val="en-US"/>
        </w:rPr>
        <w:t xml:space="preserve"> effect (i.e., increasing depression, relationship difficulties and financial issues), which </w:t>
      </w:r>
      <w:r w:rsidR="009E768F">
        <w:rPr>
          <w:rFonts w:ascii="Times New Roman" w:hAnsi="Times New Roman" w:cs="Times New Roman"/>
          <w:lang w:val="en-US"/>
        </w:rPr>
        <w:t>increase</w:t>
      </w:r>
      <w:r w:rsidR="009427FB">
        <w:rPr>
          <w:rFonts w:ascii="Times New Roman" w:hAnsi="Times New Roman" w:cs="Times New Roman"/>
          <w:lang w:val="en-US"/>
        </w:rPr>
        <w:t>d</w:t>
      </w:r>
      <w:r w:rsidR="009E768F">
        <w:rPr>
          <w:rFonts w:ascii="Times New Roman" w:hAnsi="Times New Roman" w:cs="Times New Roman"/>
          <w:lang w:val="en-US"/>
        </w:rPr>
        <w:t xml:space="preserve"> risk of</w:t>
      </w:r>
      <w:r w:rsidRPr="002E2AA0">
        <w:rPr>
          <w:rFonts w:ascii="Times New Roman" w:hAnsi="Times New Roman" w:cs="Times New Roman"/>
          <w:lang w:val="en-US"/>
        </w:rPr>
        <w:t xml:space="preserve"> offending.</w:t>
      </w:r>
    </w:p>
    <w:p w14:paraId="6E904A65" w14:textId="77777777" w:rsidR="0099527D" w:rsidRPr="002E2AA0" w:rsidRDefault="0099527D" w:rsidP="0099527D">
      <w:pPr>
        <w:spacing w:line="480" w:lineRule="auto"/>
        <w:rPr>
          <w:rFonts w:ascii="Times New Roman" w:hAnsi="Times New Roman" w:cs="Times New Roman"/>
          <w:lang w:val="en-US"/>
        </w:rPr>
      </w:pPr>
      <w:r w:rsidRPr="002E2AA0">
        <w:rPr>
          <w:rFonts w:ascii="Times New Roman" w:hAnsi="Times New Roman" w:cs="Times New Roman"/>
          <w:lang w:val="en-US"/>
        </w:rPr>
        <w:tab/>
        <w:t xml:space="preserve">Van Damme </w:t>
      </w:r>
      <w:r w:rsidR="009C7B33">
        <w:rPr>
          <w:rFonts w:ascii="Times New Roman" w:hAnsi="Times New Roman" w:cs="Times New Roman"/>
          <w:lang w:val="en-US"/>
        </w:rPr>
        <w:t>and colleagues</w:t>
      </w:r>
      <w:r w:rsidRPr="002E2AA0">
        <w:rPr>
          <w:rFonts w:ascii="Times New Roman" w:hAnsi="Times New Roman" w:cs="Times New Roman"/>
          <w:lang w:val="en-US"/>
        </w:rPr>
        <w:t xml:space="preserve"> (2016) longitudinally examined the direct and indirect pathways to offending in adolescent females incarcerated at a Belgium youth detention </w:t>
      </w:r>
      <w:r w:rsidR="00EC638A" w:rsidRPr="002E2AA0">
        <w:rPr>
          <w:rFonts w:ascii="Times New Roman" w:hAnsi="Times New Roman" w:cs="Times New Roman"/>
          <w:lang w:val="en-US"/>
        </w:rPr>
        <w:t>center</w:t>
      </w:r>
      <w:r w:rsidRPr="002E2AA0">
        <w:rPr>
          <w:rFonts w:ascii="Times New Roman" w:hAnsi="Times New Roman" w:cs="Times New Roman"/>
          <w:lang w:val="en-US"/>
        </w:rPr>
        <w:t xml:space="preserve">, partially supporting the GLM assumption. At admission, 136 females completed a QoL measure based on two weeks pre-detention. Six months following release, self-reported mental health issues and offending were examined in 95 adolescents (follow-up rate of 70%). Unlike Purvis’ (2005) findings, there was no support for a direct pathway from overall QoL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in this study. This difference may be due to participants age; adolescents needs are often met externally (i.e., parent/carer providing necessary resources to meet needs), meaning the desire to fulfil these may not directly </w:t>
      </w:r>
      <w:r w:rsidR="00C93F81" w:rsidRPr="002E2AA0">
        <w:rPr>
          <w:rFonts w:ascii="Times New Roman" w:hAnsi="Times New Roman" w:cs="Times New Roman"/>
          <w:lang w:val="en-US"/>
        </w:rPr>
        <w:t>underlie</w:t>
      </w:r>
      <w:r w:rsidRPr="002E2AA0">
        <w:rPr>
          <w:rFonts w:ascii="Times New Roman" w:hAnsi="Times New Roman" w:cs="Times New Roman"/>
          <w:lang w:val="en-US"/>
        </w:rPr>
        <w:t xml:space="preserve">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However, a positive pathway from satisfaction with social relationships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was found by Van Damme </w:t>
      </w:r>
      <w:r w:rsidR="009C7B33">
        <w:rPr>
          <w:rFonts w:ascii="Times New Roman" w:hAnsi="Times New Roman" w:cs="Times New Roman"/>
          <w:lang w:val="en-US"/>
        </w:rPr>
        <w:t>and colleagues</w:t>
      </w:r>
      <w:r w:rsidRPr="002E2AA0">
        <w:rPr>
          <w:rFonts w:ascii="Times New Roman" w:hAnsi="Times New Roman" w:cs="Times New Roman"/>
          <w:lang w:val="en-US"/>
        </w:rPr>
        <w:t xml:space="preserve"> (2016). This is consistent with the developmental stage of the participants, whereby emphasis is placed on peer relationships. As antisocial adolescents tend to associate with equally delinquent peers, being satisfied with their social relationships immediately prior to admission suggests they are more likely to retain these relationships after </w:t>
      </w:r>
      <w:r w:rsidR="00EC638A" w:rsidRPr="002E2AA0">
        <w:rPr>
          <w:rFonts w:ascii="Times New Roman" w:hAnsi="Times New Roman" w:cs="Times New Roman"/>
          <w:lang w:val="en-US"/>
        </w:rPr>
        <w:t>discharge and</w:t>
      </w:r>
      <w:r w:rsidRPr="002E2AA0">
        <w:rPr>
          <w:rFonts w:ascii="Times New Roman" w:hAnsi="Times New Roman" w:cs="Times New Roman"/>
          <w:lang w:val="en-US"/>
        </w:rPr>
        <w:t xml:space="preserve"> return to their antisocial/offending </w:t>
      </w:r>
      <w:r w:rsidR="00EC638A" w:rsidRPr="002E2AA0">
        <w:rPr>
          <w:rFonts w:ascii="Times New Roman" w:hAnsi="Times New Roman" w:cs="Times New Roman"/>
          <w:lang w:val="en-US"/>
        </w:rPr>
        <w:t>behaviors</w:t>
      </w:r>
      <w:r w:rsidRPr="002E2AA0">
        <w:rPr>
          <w:rFonts w:ascii="Times New Roman" w:hAnsi="Times New Roman" w:cs="Times New Roman"/>
          <w:lang w:val="en-US"/>
        </w:rPr>
        <w:t>.</w:t>
      </w:r>
    </w:p>
    <w:p w14:paraId="30830199" w14:textId="4226B4CE" w:rsidR="0099527D" w:rsidRPr="002E2AA0" w:rsidRDefault="0099527D" w:rsidP="0099527D">
      <w:pPr>
        <w:spacing w:line="480" w:lineRule="auto"/>
        <w:rPr>
          <w:rFonts w:ascii="Times New Roman" w:hAnsi="Times New Roman" w:cs="Times New Roman"/>
          <w:lang w:val="en-US"/>
        </w:rPr>
      </w:pPr>
      <w:r w:rsidRPr="002E2AA0">
        <w:rPr>
          <w:rFonts w:ascii="Times New Roman" w:hAnsi="Times New Roman" w:cs="Times New Roman"/>
          <w:lang w:val="en-US"/>
        </w:rPr>
        <w:tab/>
        <w:t xml:space="preserve">Van Damme </w:t>
      </w:r>
      <w:r w:rsidR="009C7B33">
        <w:rPr>
          <w:rFonts w:ascii="Times New Roman" w:hAnsi="Times New Roman" w:cs="Times New Roman"/>
          <w:lang w:val="en-US"/>
        </w:rPr>
        <w:t>and colleagues</w:t>
      </w:r>
      <w:r w:rsidR="00A610C0">
        <w:rPr>
          <w:rFonts w:ascii="Times New Roman" w:hAnsi="Times New Roman" w:cs="Times New Roman"/>
          <w:lang w:val="en-US"/>
        </w:rPr>
        <w:t>’</w:t>
      </w:r>
      <w:r w:rsidRPr="002E2AA0">
        <w:rPr>
          <w:rFonts w:ascii="Times New Roman" w:hAnsi="Times New Roman" w:cs="Times New Roman"/>
          <w:lang w:val="en-US"/>
        </w:rPr>
        <w:t xml:space="preserve"> (2016) findings did support the GLM’s indirect pathway. Low QoL was associated with increased risk of mental health problems in the participants, which then increased risk of recidivism. This indirect pathway was found for overall QoL, as well as each domain tested (social relationships, physical health, psychological health, and environment). Notably, the adolescents that dropped out of the study had a higher average score on the QoL domain psychological health compared to those who completed the follow-up questionnaires. As those included in this study had poorer </w:t>
      </w:r>
      <w:r w:rsidRPr="002E2AA0">
        <w:rPr>
          <w:rFonts w:ascii="Times New Roman" w:hAnsi="Times New Roman" w:cs="Times New Roman"/>
          <w:lang w:val="en-US"/>
        </w:rPr>
        <w:lastRenderedPageBreak/>
        <w:t>psychological health, this may explain why the indirect pathway, which takes into account mental health issues, was supported whilst no support for the direct pathway was found.</w:t>
      </w:r>
    </w:p>
    <w:p w14:paraId="2CE11CA1" w14:textId="6FC59FBD" w:rsidR="00BB74EA" w:rsidRPr="002E2AA0" w:rsidRDefault="00FB34FF" w:rsidP="0099527D">
      <w:pPr>
        <w:spacing w:line="480" w:lineRule="auto"/>
        <w:rPr>
          <w:rFonts w:ascii="Times New Roman" w:hAnsi="Times New Roman" w:cs="Times New Roman"/>
          <w:b/>
          <w:lang w:val="en-US"/>
        </w:rPr>
      </w:pPr>
      <w:r>
        <w:rPr>
          <w:rFonts w:ascii="Times New Roman" w:hAnsi="Times New Roman" w:cs="Times New Roman"/>
          <w:b/>
          <w:lang w:val="en-US"/>
        </w:rPr>
        <w:t xml:space="preserve">5.2 </w:t>
      </w:r>
      <w:r w:rsidR="00F5044F" w:rsidRPr="002E2AA0">
        <w:rPr>
          <w:rFonts w:ascii="Times New Roman" w:hAnsi="Times New Roman" w:cs="Times New Roman"/>
          <w:b/>
          <w:lang w:val="en-US"/>
        </w:rPr>
        <w:t>Empirically Supported Outcomes</w:t>
      </w:r>
    </w:p>
    <w:p w14:paraId="5314225B" w14:textId="73EC4199" w:rsidR="00F5044F" w:rsidRPr="002E2AA0" w:rsidRDefault="00FB34FF" w:rsidP="00F5044F">
      <w:pPr>
        <w:spacing w:line="480" w:lineRule="auto"/>
        <w:ind w:firstLine="720"/>
        <w:rPr>
          <w:rFonts w:ascii="Times New Roman" w:hAnsi="Times New Roman" w:cs="Times New Roman"/>
          <w:lang w:val="en-US"/>
        </w:rPr>
      </w:pPr>
      <w:r>
        <w:rPr>
          <w:rFonts w:ascii="Times New Roman" w:hAnsi="Times New Roman" w:cs="Times New Roman"/>
          <w:b/>
          <w:bCs/>
          <w:lang w:val="en-US"/>
        </w:rPr>
        <w:t xml:space="preserve">5.2.1 </w:t>
      </w:r>
      <w:r w:rsidR="00F5044F" w:rsidRPr="002E2AA0">
        <w:rPr>
          <w:rFonts w:ascii="Times New Roman" w:hAnsi="Times New Roman" w:cs="Times New Roman"/>
          <w:b/>
          <w:bCs/>
          <w:lang w:val="en-US"/>
        </w:rPr>
        <w:t xml:space="preserve">Comparison of GLM to Relapse Prevention Interventions. </w:t>
      </w:r>
      <w:r w:rsidR="00F5044F" w:rsidRPr="002E2AA0">
        <w:rPr>
          <w:rFonts w:ascii="Times New Roman" w:hAnsi="Times New Roman" w:cs="Times New Roman"/>
          <w:lang w:val="en-US"/>
        </w:rPr>
        <w:t xml:space="preserve">Three studies compared the effectiveness of GLM informed interventions to </w:t>
      </w:r>
      <w:r w:rsidR="000F6F9F" w:rsidRPr="002E2AA0">
        <w:rPr>
          <w:rFonts w:ascii="Times New Roman" w:hAnsi="Times New Roman" w:cs="Times New Roman"/>
          <w:lang w:val="en-US"/>
        </w:rPr>
        <w:t>standard</w:t>
      </w:r>
      <w:r w:rsidR="00F5044F" w:rsidRPr="002E2AA0">
        <w:rPr>
          <w:rFonts w:ascii="Times New Roman" w:hAnsi="Times New Roman" w:cs="Times New Roman"/>
          <w:lang w:val="en-US"/>
        </w:rPr>
        <w:t xml:space="preserve"> Relapse Prevention (RP) interventions for adult males who had sexually offended (Barnett et al., 2013; Harkins et al., 2012; Mann et al., 2004). Barnett et al. (2013) and Harkins et al. (2012) </w:t>
      </w:r>
      <w:r w:rsidR="000F6F9F" w:rsidRPr="002E2AA0">
        <w:rPr>
          <w:rFonts w:ascii="Times New Roman" w:hAnsi="Times New Roman" w:cs="Times New Roman"/>
          <w:lang w:val="en-US"/>
        </w:rPr>
        <w:t>conducted</w:t>
      </w:r>
      <w:r w:rsidR="00F5044F" w:rsidRPr="002E2AA0">
        <w:rPr>
          <w:rFonts w:ascii="Times New Roman" w:hAnsi="Times New Roman" w:cs="Times New Roman"/>
          <w:lang w:val="en-US"/>
        </w:rPr>
        <w:t xml:space="preserve"> interviews</w:t>
      </w:r>
      <w:r w:rsidR="000F6F9F" w:rsidRPr="002E2AA0">
        <w:rPr>
          <w:rFonts w:ascii="Times New Roman" w:hAnsi="Times New Roman" w:cs="Times New Roman"/>
          <w:lang w:val="en-US"/>
        </w:rPr>
        <w:t xml:space="preserve"> with offenders who had received community-based interventions</w:t>
      </w:r>
      <w:r w:rsidR="00F5044F" w:rsidRPr="002E2AA0">
        <w:rPr>
          <w:rFonts w:ascii="Times New Roman" w:hAnsi="Times New Roman" w:cs="Times New Roman"/>
          <w:lang w:val="en-US"/>
        </w:rPr>
        <w:t xml:space="preserve">, assessing pre-post measures of psychometric change (including self-esteem, loneliness, empathy, assertiveness, Locus of Control, relapse prevention, victim empathy distortions and beliefs about children). No difference was found between GLM and RP groups in either study on overall psychometric change and attrition rates. Harkins </w:t>
      </w:r>
      <w:r w:rsidR="009C7B33">
        <w:rPr>
          <w:rFonts w:ascii="Times New Roman" w:hAnsi="Times New Roman" w:cs="Times New Roman"/>
          <w:lang w:val="en-US"/>
        </w:rPr>
        <w:t>and colleagues</w:t>
      </w:r>
      <w:r w:rsidR="00F5044F" w:rsidRPr="002E2AA0">
        <w:rPr>
          <w:rFonts w:ascii="Times New Roman" w:hAnsi="Times New Roman" w:cs="Times New Roman"/>
          <w:lang w:val="en-US"/>
        </w:rPr>
        <w:t xml:space="preserve"> (2012) also found no difference between groups (GLM, </w:t>
      </w:r>
      <w:r w:rsidR="00F5044F" w:rsidRPr="002E2AA0">
        <w:rPr>
          <w:rFonts w:ascii="Times New Roman" w:hAnsi="Times New Roman" w:cs="Times New Roman"/>
          <w:i/>
          <w:iCs/>
          <w:lang w:val="en-US"/>
        </w:rPr>
        <w:t xml:space="preserve">n </w:t>
      </w:r>
      <w:r w:rsidR="00F5044F" w:rsidRPr="002E2AA0">
        <w:rPr>
          <w:rFonts w:ascii="Times New Roman" w:hAnsi="Times New Roman" w:cs="Times New Roman"/>
          <w:lang w:val="en-US"/>
        </w:rPr>
        <w:t xml:space="preserve">= 76; RP, </w:t>
      </w:r>
      <w:r w:rsidR="00F5044F" w:rsidRPr="002E2AA0">
        <w:rPr>
          <w:rFonts w:ascii="Times New Roman" w:hAnsi="Times New Roman" w:cs="Times New Roman"/>
          <w:i/>
          <w:iCs/>
          <w:lang w:val="en-US"/>
        </w:rPr>
        <w:t xml:space="preserve">n </w:t>
      </w:r>
      <w:r w:rsidR="00F5044F" w:rsidRPr="002E2AA0">
        <w:rPr>
          <w:rFonts w:ascii="Times New Roman" w:hAnsi="Times New Roman" w:cs="Times New Roman"/>
          <w:lang w:val="en-US"/>
        </w:rPr>
        <w:t>= 701) on achieving a treated profile (i.e., no psychometric difference between offenders and the non-offender general population); suggesting the GLM</w:t>
      </w:r>
      <w:r w:rsidR="002E2AA0" w:rsidRPr="002E2AA0">
        <w:rPr>
          <w:rFonts w:ascii="Times New Roman" w:hAnsi="Times New Roman" w:cs="Times New Roman"/>
          <w:lang w:val="en-US"/>
        </w:rPr>
        <w:t>-</w:t>
      </w:r>
      <w:r w:rsidR="00F5044F" w:rsidRPr="002E2AA0">
        <w:rPr>
          <w:rFonts w:ascii="Times New Roman" w:hAnsi="Times New Roman" w:cs="Times New Roman"/>
          <w:lang w:val="en-US"/>
        </w:rPr>
        <w:t>consistent intervention was considered to be as effective as the standard RP intervention. Facilitators and participants in Harkins et al. (2012) study reported the GLM</w:t>
      </w:r>
      <w:r w:rsidR="002E2AA0" w:rsidRPr="002E2AA0">
        <w:rPr>
          <w:rFonts w:ascii="Times New Roman" w:hAnsi="Times New Roman" w:cs="Times New Roman"/>
          <w:lang w:val="en-US"/>
        </w:rPr>
        <w:t>-</w:t>
      </w:r>
      <w:r w:rsidR="00F5044F" w:rsidRPr="002E2AA0">
        <w:rPr>
          <w:rFonts w:ascii="Times New Roman" w:hAnsi="Times New Roman" w:cs="Times New Roman"/>
          <w:lang w:val="en-US"/>
        </w:rPr>
        <w:t xml:space="preserve">consistent intervention to be more optimistic and opportunity-focused. However, concerns were raised regarding consistency with all GLM principles, as the balance between promoting goods and reducing risk was not adequate. Conversely, Barnett </w:t>
      </w:r>
      <w:r w:rsidR="009C7B33">
        <w:rPr>
          <w:rFonts w:ascii="Times New Roman" w:hAnsi="Times New Roman" w:cs="Times New Roman"/>
          <w:lang w:val="en-US"/>
        </w:rPr>
        <w:t>and colleagues</w:t>
      </w:r>
      <w:r w:rsidR="00F5044F" w:rsidRPr="002E2AA0">
        <w:rPr>
          <w:rFonts w:ascii="Times New Roman" w:hAnsi="Times New Roman" w:cs="Times New Roman"/>
          <w:lang w:val="en-US"/>
        </w:rPr>
        <w:t xml:space="preserve"> (2013</w:t>
      </w:r>
      <w:r w:rsidR="008B37E4" w:rsidRPr="002E2AA0">
        <w:rPr>
          <w:rFonts w:ascii="Times New Roman" w:hAnsi="Times New Roman" w:cs="Times New Roman"/>
          <w:lang w:val="en-US"/>
        </w:rPr>
        <w:t xml:space="preserve">; </w:t>
      </w:r>
      <w:r w:rsidR="008B37E4" w:rsidRPr="002E2AA0">
        <w:rPr>
          <w:rFonts w:ascii="Times New Roman" w:hAnsi="Times New Roman" w:cs="Times New Roman"/>
          <w:i/>
          <w:iCs/>
          <w:lang w:val="en-US"/>
        </w:rPr>
        <w:t xml:space="preserve">N </w:t>
      </w:r>
      <w:r w:rsidR="008B37E4" w:rsidRPr="002E2AA0">
        <w:rPr>
          <w:rFonts w:ascii="Times New Roman" w:hAnsi="Times New Roman" w:cs="Times New Roman"/>
          <w:lang w:val="en-US"/>
        </w:rPr>
        <w:t>not specified</w:t>
      </w:r>
      <w:r w:rsidR="00F5044F" w:rsidRPr="002E2AA0">
        <w:rPr>
          <w:rFonts w:ascii="Times New Roman" w:hAnsi="Times New Roman" w:cs="Times New Roman"/>
          <w:lang w:val="en-US"/>
        </w:rPr>
        <w:t>) found a higher proportion of the GLM</w:t>
      </w:r>
      <w:r w:rsidR="002E2AA0" w:rsidRPr="002E2AA0">
        <w:rPr>
          <w:rFonts w:ascii="Times New Roman" w:hAnsi="Times New Roman" w:cs="Times New Roman"/>
          <w:lang w:val="en-US"/>
        </w:rPr>
        <w:t>-</w:t>
      </w:r>
      <w:r w:rsidR="00F5044F" w:rsidRPr="002E2AA0">
        <w:rPr>
          <w:rFonts w:ascii="Times New Roman" w:hAnsi="Times New Roman" w:cs="Times New Roman"/>
          <w:lang w:val="en-US"/>
        </w:rPr>
        <w:t xml:space="preserve">consistent intervention completers achieved a treated profile than RP completers; suggesting they made a greater improvement overall. Yet, pre-treatment, RP completers were found to have higher dysfunctionality scores on psychometric measures than GLM completers, meaning they may be less likely to achieve a treated profile. As such, the authors suggest that the GLM may be </w:t>
      </w:r>
      <w:r w:rsidR="00F5044F" w:rsidRPr="002E2AA0">
        <w:rPr>
          <w:rFonts w:ascii="Times New Roman" w:hAnsi="Times New Roman" w:cs="Times New Roman"/>
          <w:lang w:val="en-US"/>
        </w:rPr>
        <w:lastRenderedPageBreak/>
        <w:t>more appropriate for participants deemed ‘functional’ prior to the intervention (Barnett et al., 2013).</w:t>
      </w:r>
    </w:p>
    <w:p w14:paraId="4676DD0B" w14:textId="39725C8B" w:rsidR="00F5044F" w:rsidRPr="002E2AA0" w:rsidRDefault="00F5044F" w:rsidP="00F5044F">
      <w:pPr>
        <w:spacing w:line="480" w:lineRule="auto"/>
        <w:rPr>
          <w:rFonts w:ascii="Times New Roman" w:hAnsi="Times New Roman" w:cs="Times New Roman"/>
          <w:lang w:val="en-US"/>
        </w:rPr>
      </w:pPr>
      <w:r w:rsidRPr="002E2AA0">
        <w:rPr>
          <w:rFonts w:ascii="Times New Roman" w:hAnsi="Times New Roman" w:cs="Times New Roman"/>
          <w:lang w:val="en-US"/>
        </w:rPr>
        <w:tab/>
        <w:t xml:space="preserve">In the only </w:t>
      </w:r>
      <w:r w:rsidR="00EC638A" w:rsidRPr="002E2AA0">
        <w:rPr>
          <w:rFonts w:ascii="Times New Roman" w:hAnsi="Times New Roman" w:cs="Times New Roman"/>
          <w:lang w:val="en-US"/>
        </w:rPr>
        <w:t>randomized</w:t>
      </w:r>
      <w:r w:rsidRPr="002E2AA0">
        <w:rPr>
          <w:rFonts w:ascii="Times New Roman" w:hAnsi="Times New Roman" w:cs="Times New Roman"/>
          <w:lang w:val="en-US"/>
        </w:rPr>
        <w:t xml:space="preserve"> control trial to date, Mann </w:t>
      </w:r>
      <w:r w:rsidR="009C7B33">
        <w:rPr>
          <w:rFonts w:ascii="Times New Roman" w:hAnsi="Times New Roman" w:cs="Times New Roman"/>
          <w:lang w:val="en-US"/>
        </w:rPr>
        <w:t xml:space="preserve">and </w:t>
      </w:r>
      <w:proofErr w:type="spellStart"/>
      <w:r w:rsidR="009C7B33">
        <w:rPr>
          <w:rFonts w:ascii="Times New Roman" w:hAnsi="Times New Roman" w:cs="Times New Roman"/>
          <w:lang w:val="en-US"/>
        </w:rPr>
        <w:t>colleages</w:t>
      </w:r>
      <w:proofErr w:type="spellEnd"/>
      <w:r w:rsidRPr="002E2AA0">
        <w:rPr>
          <w:rFonts w:ascii="Times New Roman" w:hAnsi="Times New Roman" w:cs="Times New Roman"/>
          <w:lang w:val="en-US"/>
        </w:rPr>
        <w:t xml:space="preserve"> (2004) assigned incarcerated adult males who had sexually offended to either an approach-focused (i.e., GLM</w:t>
      </w:r>
      <w:r w:rsidR="00F13870" w:rsidRPr="002E2AA0">
        <w:rPr>
          <w:rFonts w:ascii="Times New Roman" w:hAnsi="Times New Roman" w:cs="Times New Roman"/>
          <w:lang w:val="en-US"/>
        </w:rPr>
        <w:t>-</w:t>
      </w:r>
      <w:r w:rsidRPr="002E2AA0">
        <w:rPr>
          <w:rFonts w:ascii="Times New Roman" w:hAnsi="Times New Roman" w:cs="Times New Roman"/>
          <w:lang w:val="en-US"/>
        </w:rPr>
        <w:t xml:space="preserve">consistent;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24) or avoidance-focused (i.e., standard RP; </w:t>
      </w:r>
      <w:r w:rsidRPr="002E2AA0">
        <w:rPr>
          <w:rFonts w:ascii="Times New Roman" w:hAnsi="Times New Roman" w:cs="Times New Roman"/>
          <w:i/>
          <w:iCs/>
          <w:lang w:val="en-US"/>
        </w:rPr>
        <w:t xml:space="preserve">n </w:t>
      </w:r>
      <w:r w:rsidRPr="002E2AA0">
        <w:rPr>
          <w:rFonts w:ascii="Times New Roman" w:hAnsi="Times New Roman" w:cs="Times New Roman"/>
          <w:lang w:val="en-US"/>
        </w:rPr>
        <w:t>= 23) intervention. In comparison to the standard RP group, findings suggest that participants who received the GLM</w:t>
      </w:r>
      <w:r w:rsidR="00F13870" w:rsidRPr="002E2AA0">
        <w:rPr>
          <w:rFonts w:ascii="Times New Roman" w:hAnsi="Times New Roman" w:cs="Times New Roman"/>
          <w:lang w:val="en-US"/>
        </w:rPr>
        <w:t>-</w:t>
      </w:r>
      <w:r w:rsidRPr="002E2AA0">
        <w:rPr>
          <w:rFonts w:ascii="Times New Roman" w:hAnsi="Times New Roman" w:cs="Times New Roman"/>
          <w:lang w:val="en-US"/>
        </w:rPr>
        <w:t>consistent intervention demonstrated greater motivation to desist from offending upon completion of treatment, as rated by therapists. In addition, engagement in treatment and willingness to disclose lapses, measured through homework completion, was found to be higher in the GLM</w:t>
      </w:r>
      <w:r w:rsidR="00F13870" w:rsidRPr="002E2AA0">
        <w:rPr>
          <w:rFonts w:ascii="Times New Roman" w:hAnsi="Times New Roman" w:cs="Times New Roman"/>
          <w:lang w:val="en-US"/>
        </w:rPr>
        <w:t>-</w:t>
      </w:r>
      <w:r w:rsidRPr="002E2AA0">
        <w:rPr>
          <w:rFonts w:ascii="Times New Roman" w:hAnsi="Times New Roman" w:cs="Times New Roman"/>
          <w:lang w:val="en-US"/>
        </w:rPr>
        <w:t xml:space="preserve">consistent group than standard RP group. However, this may be due to the homework task given, as participants may </w:t>
      </w:r>
      <w:r w:rsidR="00835FB8">
        <w:rPr>
          <w:rFonts w:ascii="Times New Roman" w:hAnsi="Times New Roman" w:cs="Times New Roman"/>
          <w:lang w:val="en-US"/>
        </w:rPr>
        <w:t>have found</w:t>
      </w:r>
      <w:r w:rsidR="00835FB8" w:rsidRPr="002E2AA0">
        <w:rPr>
          <w:rFonts w:ascii="Times New Roman" w:hAnsi="Times New Roman" w:cs="Times New Roman"/>
          <w:lang w:val="en-US"/>
        </w:rPr>
        <w:t xml:space="preserve"> </w:t>
      </w:r>
      <w:r w:rsidRPr="002E2AA0">
        <w:rPr>
          <w:rFonts w:ascii="Times New Roman" w:hAnsi="Times New Roman" w:cs="Times New Roman"/>
          <w:lang w:val="en-US"/>
        </w:rPr>
        <w:t>it more appealing to complete a diary that focuse</w:t>
      </w:r>
      <w:r w:rsidR="00835FB8">
        <w:rPr>
          <w:rFonts w:ascii="Times New Roman" w:hAnsi="Times New Roman" w:cs="Times New Roman"/>
          <w:lang w:val="en-US"/>
        </w:rPr>
        <w:t>d</w:t>
      </w:r>
      <w:r w:rsidRPr="002E2AA0">
        <w:rPr>
          <w:rFonts w:ascii="Times New Roman" w:hAnsi="Times New Roman" w:cs="Times New Roman"/>
          <w:lang w:val="en-US"/>
        </w:rPr>
        <w:t xml:space="preserve"> on goal achievement than risk avoidance. Pre-post measures of self-esteem, recognition of risk and coping strategies were found to improve in both the GLM</w:t>
      </w:r>
      <w:r w:rsidR="00F13870" w:rsidRPr="002E2AA0">
        <w:rPr>
          <w:rFonts w:ascii="Times New Roman" w:hAnsi="Times New Roman" w:cs="Times New Roman"/>
          <w:lang w:val="en-US"/>
        </w:rPr>
        <w:t>-</w:t>
      </w:r>
      <w:r w:rsidRPr="002E2AA0">
        <w:rPr>
          <w:rFonts w:ascii="Times New Roman" w:hAnsi="Times New Roman" w:cs="Times New Roman"/>
          <w:lang w:val="en-US"/>
        </w:rPr>
        <w:t xml:space="preserve">consistent and standard RP groups, but no overall difference in these measures was found between the two groups. Supporting the findings of Barnett et al. (2013) and Harkins et al. (2012), Mann </w:t>
      </w:r>
      <w:r w:rsidR="001C0CD6">
        <w:rPr>
          <w:rFonts w:ascii="Times New Roman" w:hAnsi="Times New Roman" w:cs="Times New Roman"/>
          <w:lang w:val="en-US"/>
        </w:rPr>
        <w:t>and colleague</w:t>
      </w:r>
      <w:r w:rsidRPr="002E2AA0">
        <w:rPr>
          <w:rFonts w:ascii="Times New Roman" w:hAnsi="Times New Roman" w:cs="Times New Roman"/>
          <w:lang w:val="en-US"/>
        </w:rPr>
        <w:t>s</w:t>
      </w:r>
      <w:r w:rsidR="005934A8">
        <w:rPr>
          <w:rFonts w:ascii="Times New Roman" w:hAnsi="Times New Roman" w:cs="Times New Roman"/>
          <w:lang w:val="en-US"/>
        </w:rPr>
        <w:t>’</w:t>
      </w:r>
      <w:r w:rsidR="007C781A">
        <w:rPr>
          <w:rFonts w:ascii="Times New Roman" w:hAnsi="Times New Roman" w:cs="Times New Roman"/>
          <w:lang w:val="en-US"/>
        </w:rPr>
        <w:t xml:space="preserve"> (2004)</w:t>
      </w:r>
      <w:r w:rsidRPr="002E2AA0">
        <w:rPr>
          <w:rFonts w:ascii="Times New Roman" w:hAnsi="Times New Roman" w:cs="Times New Roman"/>
          <w:lang w:val="en-US"/>
        </w:rPr>
        <w:t xml:space="preserve"> findings suggest a GLM</w:t>
      </w:r>
      <w:r w:rsidR="00F13870" w:rsidRPr="002E2AA0">
        <w:rPr>
          <w:rFonts w:ascii="Times New Roman" w:hAnsi="Times New Roman" w:cs="Times New Roman"/>
          <w:lang w:val="en-US"/>
        </w:rPr>
        <w:t>-</w:t>
      </w:r>
      <w:r w:rsidRPr="002E2AA0">
        <w:rPr>
          <w:rFonts w:ascii="Times New Roman" w:hAnsi="Times New Roman" w:cs="Times New Roman"/>
          <w:lang w:val="en-US"/>
        </w:rPr>
        <w:t>consistent intervention can be perceived as equally effective as standard RP interventions, and may enhance motivation and treatment engagement beyond that of RP interventions.</w:t>
      </w:r>
    </w:p>
    <w:p w14:paraId="590ABC9F" w14:textId="4695852F" w:rsidR="009847D6" w:rsidRPr="002E2AA0" w:rsidRDefault="00F5044F" w:rsidP="00D37C9B">
      <w:pPr>
        <w:spacing w:line="480" w:lineRule="auto"/>
        <w:rPr>
          <w:rFonts w:ascii="Times New Roman" w:hAnsi="Times New Roman" w:cs="Times New Roman"/>
          <w:lang w:val="en-US"/>
        </w:rPr>
      </w:pPr>
      <w:r w:rsidRPr="002E2AA0">
        <w:rPr>
          <w:rFonts w:ascii="Times New Roman" w:hAnsi="Times New Roman" w:cs="Times New Roman"/>
          <w:lang w:val="en-US"/>
        </w:rPr>
        <w:tab/>
      </w:r>
      <w:r w:rsidR="00FB34FF" w:rsidRPr="00FB34FF">
        <w:rPr>
          <w:rFonts w:ascii="Times New Roman" w:hAnsi="Times New Roman" w:cs="Times New Roman"/>
          <w:b/>
          <w:lang w:val="en-US"/>
        </w:rPr>
        <w:t xml:space="preserve">5.2.2 </w:t>
      </w:r>
      <w:r w:rsidRPr="00FB34FF">
        <w:rPr>
          <w:rFonts w:ascii="Times New Roman" w:hAnsi="Times New Roman" w:cs="Times New Roman"/>
          <w:b/>
          <w:bCs/>
          <w:lang w:val="en-US"/>
        </w:rPr>
        <w:t>Se</w:t>
      </w:r>
      <w:r w:rsidRPr="002E2AA0">
        <w:rPr>
          <w:rFonts w:ascii="Times New Roman" w:hAnsi="Times New Roman" w:cs="Times New Roman"/>
          <w:b/>
          <w:bCs/>
          <w:lang w:val="en-US"/>
        </w:rPr>
        <w:t xml:space="preserve">rvice User Perspectives of GLM Informed Interventions. </w:t>
      </w:r>
      <w:r w:rsidRPr="002E2AA0">
        <w:rPr>
          <w:rFonts w:ascii="Times New Roman" w:hAnsi="Times New Roman" w:cs="Times New Roman"/>
          <w:lang w:val="en-US"/>
        </w:rPr>
        <w:t xml:space="preserve">Two studies have examined </w:t>
      </w:r>
      <w:r w:rsidR="00EC638A" w:rsidRPr="002E2AA0">
        <w:rPr>
          <w:rFonts w:ascii="Times New Roman" w:hAnsi="Times New Roman" w:cs="Times New Roman"/>
          <w:lang w:val="en-US"/>
        </w:rPr>
        <w:t>users’</w:t>
      </w:r>
      <w:r w:rsidRPr="002E2AA0">
        <w:rPr>
          <w:rFonts w:ascii="Times New Roman" w:hAnsi="Times New Roman" w:cs="Times New Roman"/>
          <w:lang w:val="en-US"/>
        </w:rPr>
        <w:t xml:space="preserve"> perspectives of GLM informed interventions (Leeson &amp; Adshead, 2013; Ward &amp; Attwell, 2014). Leeson and Adshead (2013) interviewed practitioners (</w:t>
      </w:r>
      <w:r w:rsidRPr="002E2AA0">
        <w:rPr>
          <w:rFonts w:ascii="Times New Roman" w:hAnsi="Times New Roman" w:cs="Times New Roman"/>
          <w:i/>
          <w:iCs/>
          <w:lang w:val="en-US"/>
        </w:rPr>
        <w:t xml:space="preserve">n </w:t>
      </w:r>
      <w:r w:rsidRPr="002E2AA0">
        <w:rPr>
          <w:rFonts w:ascii="Times New Roman" w:hAnsi="Times New Roman" w:cs="Times New Roman"/>
          <w:lang w:val="en-US"/>
        </w:rPr>
        <w:t>= 7) and service users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4) who had engaged with G-map’s Good Lives Model – Adapted version (GLM-A). Practitioners suggested that the GLM-A was the most valuable intervention for engaging adolescents who had expressed harmful sexual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and promoting motivation to change. Over the course of the intervention, service users’ feelings </w:t>
      </w:r>
      <w:r w:rsidRPr="002E2AA0">
        <w:rPr>
          <w:rFonts w:ascii="Times New Roman" w:hAnsi="Times New Roman" w:cs="Times New Roman"/>
          <w:lang w:val="en-US"/>
        </w:rPr>
        <w:lastRenderedPageBreak/>
        <w:t>of shame and hopelessness, and expressions of defensiveness reduced, whilst optimism for the futu</w:t>
      </w:r>
      <w:r w:rsidR="0048711C" w:rsidRPr="002E2AA0">
        <w:rPr>
          <w:rFonts w:ascii="Times New Roman" w:hAnsi="Times New Roman" w:cs="Times New Roman"/>
          <w:lang w:val="en-US"/>
        </w:rPr>
        <w:t xml:space="preserve">re, level of support networks, </w:t>
      </w:r>
      <w:r w:rsidRPr="002E2AA0">
        <w:rPr>
          <w:rFonts w:ascii="Times New Roman" w:hAnsi="Times New Roman" w:cs="Times New Roman"/>
          <w:lang w:val="en-US"/>
        </w:rPr>
        <w:t xml:space="preserve">and confidence increased. Furthermore, service users’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was found to improve across the course of the intervention. Supporting this, Ward and Attwell (2014) conducted interviews with adult male forensic service users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10), at risk of committing a sexual or violent offence and had undertaken a </w:t>
      </w:r>
      <w:r w:rsidR="00EC638A" w:rsidRPr="002E2AA0">
        <w:rPr>
          <w:rFonts w:ascii="Times New Roman" w:hAnsi="Times New Roman" w:cs="Times New Roman"/>
          <w:lang w:val="en-US"/>
        </w:rPr>
        <w:t>community based</w:t>
      </w:r>
      <w:r w:rsidRPr="002E2AA0">
        <w:rPr>
          <w:rFonts w:ascii="Times New Roman" w:hAnsi="Times New Roman" w:cs="Times New Roman"/>
          <w:lang w:val="en-US"/>
        </w:rPr>
        <w:t xml:space="preserve">, GLM informed intervention. In addition to Leeson and Adshead’s (2013) findings, Ward and Attwell (2014) found service users </w:t>
      </w:r>
      <w:r w:rsidR="00037932" w:rsidRPr="002E2AA0">
        <w:rPr>
          <w:rFonts w:ascii="Times New Roman" w:hAnsi="Times New Roman" w:cs="Times New Roman"/>
          <w:lang w:val="en-US"/>
        </w:rPr>
        <w:t>reported</w:t>
      </w:r>
      <w:r w:rsidRPr="002E2AA0">
        <w:rPr>
          <w:rFonts w:ascii="Times New Roman" w:hAnsi="Times New Roman" w:cs="Times New Roman"/>
          <w:lang w:val="en-US"/>
        </w:rPr>
        <w:t xml:space="preserve"> improvement in their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skills, perspective-taking ability, trust of others and self-awareness over the course of the intervention. </w:t>
      </w:r>
      <w:r w:rsidR="00835FB8">
        <w:rPr>
          <w:rFonts w:ascii="Times New Roman" w:hAnsi="Times New Roman" w:cs="Times New Roman"/>
          <w:lang w:val="en-US"/>
        </w:rPr>
        <w:t>Whilst</w:t>
      </w:r>
      <w:r w:rsidR="00835FB8" w:rsidRPr="002E2AA0">
        <w:rPr>
          <w:rFonts w:ascii="Times New Roman" w:hAnsi="Times New Roman" w:cs="Times New Roman"/>
          <w:lang w:val="en-US"/>
        </w:rPr>
        <w:t xml:space="preserve"> </w:t>
      </w:r>
      <w:r w:rsidRPr="002E2AA0">
        <w:rPr>
          <w:rFonts w:ascii="Times New Roman" w:hAnsi="Times New Roman" w:cs="Times New Roman"/>
          <w:lang w:val="en-US"/>
        </w:rPr>
        <w:t>these studies provide support</w:t>
      </w:r>
      <w:r w:rsidR="00835FB8">
        <w:rPr>
          <w:rFonts w:ascii="Times New Roman" w:hAnsi="Times New Roman" w:cs="Times New Roman"/>
          <w:lang w:val="en-US"/>
        </w:rPr>
        <w:t xml:space="preserve"> from a service-user perspective</w:t>
      </w:r>
      <w:r w:rsidRPr="002E2AA0">
        <w:rPr>
          <w:rFonts w:ascii="Times New Roman" w:hAnsi="Times New Roman" w:cs="Times New Roman"/>
          <w:lang w:val="en-US"/>
        </w:rPr>
        <w:t xml:space="preserve"> for GLM informed interventions, </w:t>
      </w:r>
      <w:r w:rsidR="00835FB8">
        <w:rPr>
          <w:rFonts w:ascii="Times New Roman" w:hAnsi="Times New Roman" w:cs="Times New Roman"/>
          <w:lang w:val="en-US"/>
        </w:rPr>
        <w:t xml:space="preserve">caution must be taken when </w:t>
      </w:r>
      <w:r w:rsidR="00383A9E">
        <w:rPr>
          <w:rFonts w:ascii="Times New Roman" w:hAnsi="Times New Roman" w:cs="Times New Roman"/>
          <w:lang w:val="en-US"/>
        </w:rPr>
        <w:t xml:space="preserve">drawing conclusions based on </w:t>
      </w:r>
      <w:r w:rsidR="00835FB8">
        <w:rPr>
          <w:rFonts w:ascii="Times New Roman" w:hAnsi="Times New Roman" w:cs="Times New Roman"/>
          <w:lang w:val="en-US"/>
        </w:rPr>
        <w:t xml:space="preserve">just </w:t>
      </w:r>
      <w:r w:rsidR="00383A9E">
        <w:rPr>
          <w:rFonts w:ascii="Times New Roman" w:hAnsi="Times New Roman" w:cs="Times New Roman"/>
          <w:lang w:val="en-US"/>
        </w:rPr>
        <w:t xml:space="preserve">two studies, with a combined sample of </w:t>
      </w:r>
      <w:r w:rsidR="00835FB8">
        <w:rPr>
          <w:rFonts w:ascii="Times New Roman" w:hAnsi="Times New Roman" w:cs="Times New Roman"/>
          <w:lang w:val="en-US"/>
        </w:rPr>
        <w:t>only</w:t>
      </w:r>
      <w:r w:rsidR="00383A9E">
        <w:rPr>
          <w:rFonts w:ascii="Times New Roman" w:hAnsi="Times New Roman" w:cs="Times New Roman"/>
          <w:lang w:val="en-US"/>
        </w:rPr>
        <w:t xml:space="preserve"> 21 participants</w:t>
      </w:r>
      <w:r w:rsidR="00835FB8">
        <w:rPr>
          <w:rFonts w:ascii="Times New Roman" w:hAnsi="Times New Roman" w:cs="Times New Roman"/>
          <w:lang w:val="en-US"/>
        </w:rPr>
        <w:t>.</w:t>
      </w:r>
    </w:p>
    <w:p w14:paraId="0BF3007F" w14:textId="20F5128B" w:rsidR="000F6BEF" w:rsidRPr="002E2AA0" w:rsidRDefault="00FB34FF" w:rsidP="000F6BEF">
      <w:pPr>
        <w:spacing w:line="480" w:lineRule="auto"/>
        <w:jc w:val="center"/>
        <w:rPr>
          <w:rFonts w:ascii="Times New Roman" w:hAnsi="Times New Roman" w:cs="Times New Roman"/>
          <w:b/>
          <w:bCs/>
          <w:lang w:val="en-US"/>
        </w:rPr>
      </w:pPr>
      <w:r>
        <w:rPr>
          <w:rFonts w:ascii="Times New Roman" w:hAnsi="Times New Roman" w:cs="Times New Roman"/>
          <w:b/>
          <w:bCs/>
          <w:lang w:val="en-US"/>
        </w:rPr>
        <w:t xml:space="preserve">6. </w:t>
      </w:r>
      <w:r w:rsidR="000F6BEF" w:rsidRPr="002E2AA0">
        <w:rPr>
          <w:rFonts w:ascii="Times New Roman" w:hAnsi="Times New Roman" w:cs="Times New Roman"/>
          <w:b/>
          <w:bCs/>
          <w:lang w:val="en-US"/>
        </w:rPr>
        <w:t>Discussion</w:t>
      </w:r>
    </w:p>
    <w:p w14:paraId="0466CEB9" w14:textId="77777777" w:rsidR="009B53AD" w:rsidRPr="002E2AA0" w:rsidRDefault="002D435A" w:rsidP="007A27CD">
      <w:pPr>
        <w:spacing w:line="480" w:lineRule="auto"/>
        <w:ind w:firstLine="720"/>
        <w:rPr>
          <w:rFonts w:ascii="Times New Roman" w:hAnsi="Times New Roman" w:cs="Times New Roman"/>
          <w:lang w:val="en-US"/>
        </w:rPr>
      </w:pPr>
      <w:r w:rsidRPr="002E2AA0">
        <w:rPr>
          <w:rFonts w:ascii="Times New Roman" w:hAnsi="Times New Roman" w:cs="Times New Roman"/>
          <w:lang w:val="en-US"/>
        </w:rPr>
        <w:t xml:space="preserve">The aim of this paper was to </w:t>
      </w:r>
      <w:r w:rsidR="007A27CD" w:rsidRPr="002E2AA0">
        <w:rPr>
          <w:rFonts w:ascii="Times New Roman" w:hAnsi="Times New Roman" w:cs="Times New Roman"/>
          <w:lang w:val="en-US"/>
        </w:rPr>
        <w:t>assess</w:t>
      </w:r>
      <w:r w:rsidRPr="002E2AA0">
        <w:rPr>
          <w:rFonts w:ascii="Times New Roman" w:hAnsi="Times New Roman" w:cs="Times New Roman"/>
          <w:lang w:val="en-US"/>
        </w:rPr>
        <w:t xml:space="preserve"> whether the GLM is an ideological and </w:t>
      </w:r>
      <w:r w:rsidR="00EC638A" w:rsidRPr="002E2AA0">
        <w:rPr>
          <w:rFonts w:ascii="Times New Roman" w:hAnsi="Times New Roman" w:cs="Times New Roman"/>
          <w:lang w:val="en-US"/>
        </w:rPr>
        <w:t>intuition-based</w:t>
      </w:r>
      <w:r w:rsidRPr="002E2AA0">
        <w:rPr>
          <w:rFonts w:ascii="Times New Roman" w:hAnsi="Times New Roman" w:cs="Times New Roman"/>
          <w:lang w:val="en-US"/>
        </w:rPr>
        <w:t xml:space="preserve"> model (as suggested by Bonta &amp; Andrews, 2003) or an empirically supported model. To </w:t>
      </w:r>
      <w:r w:rsidR="007A27CD" w:rsidRPr="002E2AA0">
        <w:rPr>
          <w:rFonts w:ascii="Times New Roman" w:hAnsi="Times New Roman" w:cs="Times New Roman"/>
          <w:lang w:val="en-US"/>
        </w:rPr>
        <w:t>examine</w:t>
      </w:r>
      <w:r w:rsidRPr="002E2AA0">
        <w:rPr>
          <w:rFonts w:ascii="Times New Roman" w:hAnsi="Times New Roman" w:cs="Times New Roman"/>
          <w:lang w:val="en-US"/>
        </w:rPr>
        <w:t xml:space="preserve"> this</w:t>
      </w:r>
      <w:r w:rsidR="009B53AD" w:rsidRPr="002E2AA0">
        <w:rPr>
          <w:rFonts w:ascii="Times New Roman" w:hAnsi="Times New Roman" w:cs="Times New Roman"/>
          <w:lang w:val="en-US"/>
        </w:rPr>
        <w:t>,</w:t>
      </w:r>
      <w:r w:rsidRPr="002E2AA0">
        <w:rPr>
          <w:rFonts w:ascii="Times New Roman" w:hAnsi="Times New Roman" w:cs="Times New Roman"/>
          <w:lang w:val="en-US"/>
        </w:rPr>
        <w:t xml:space="preserve"> </w:t>
      </w:r>
      <w:r w:rsidR="007A27CD" w:rsidRPr="002E2AA0">
        <w:rPr>
          <w:rFonts w:ascii="Times New Roman" w:hAnsi="Times New Roman" w:cs="Times New Roman"/>
          <w:lang w:val="en-US"/>
        </w:rPr>
        <w:t xml:space="preserve">studies relating to </w:t>
      </w:r>
      <w:r w:rsidRPr="002E2AA0">
        <w:rPr>
          <w:rFonts w:ascii="Times New Roman" w:hAnsi="Times New Roman" w:cs="Times New Roman"/>
          <w:lang w:val="en-US"/>
        </w:rPr>
        <w:t>both the assumptions of the GLM and the outcomes of GLM-consistent interventions</w:t>
      </w:r>
      <w:r w:rsidR="007A27CD" w:rsidRPr="002E2AA0">
        <w:rPr>
          <w:rFonts w:ascii="Times New Roman" w:hAnsi="Times New Roman" w:cs="Times New Roman"/>
          <w:lang w:val="en-US"/>
        </w:rPr>
        <w:t xml:space="preserve"> were systematically reviewed</w:t>
      </w:r>
      <w:r w:rsidRPr="002E2AA0">
        <w:rPr>
          <w:rFonts w:ascii="Times New Roman" w:hAnsi="Times New Roman" w:cs="Times New Roman"/>
          <w:lang w:val="en-US"/>
        </w:rPr>
        <w:t>.</w:t>
      </w:r>
      <w:r w:rsidR="007A27CD" w:rsidRPr="002E2AA0">
        <w:rPr>
          <w:rFonts w:ascii="Times New Roman" w:hAnsi="Times New Roman" w:cs="Times New Roman"/>
          <w:lang w:val="en-US"/>
        </w:rPr>
        <w:t xml:space="preserve"> </w:t>
      </w:r>
      <w:r w:rsidR="009B53AD" w:rsidRPr="002E2AA0">
        <w:rPr>
          <w:rFonts w:ascii="Times New Roman" w:hAnsi="Times New Roman" w:cs="Times New Roman"/>
          <w:lang w:val="en-US"/>
        </w:rPr>
        <w:t xml:space="preserve">Seventeen studies met the inclusion criteria, including 12 studies assessing the GLM assumptions and five examining the outcomes of GLM-consistent interventions. </w:t>
      </w:r>
    </w:p>
    <w:p w14:paraId="771546BA" w14:textId="2F86E228" w:rsidR="009B53AD" w:rsidRPr="002E2AA0" w:rsidRDefault="00FB34FF" w:rsidP="009B53AD">
      <w:pPr>
        <w:spacing w:line="480" w:lineRule="auto"/>
        <w:rPr>
          <w:rFonts w:ascii="Times New Roman" w:hAnsi="Times New Roman" w:cs="Times New Roman"/>
          <w:b/>
          <w:bCs/>
          <w:lang w:val="en-US"/>
        </w:rPr>
      </w:pPr>
      <w:r>
        <w:rPr>
          <w:rFonts w:ascii="Times New Roman" w:hAnsi="Times New Roman" w:cs="Times New Roman"/>
          <w:b/>
          <w:bCs/>
          <w:lang w:val="en-US"/>
        </w:rPr>
        <w:t xml:space="preserve">6.1 </w:t>
      </w:r>
      <w:r w:rsidR="009B53AD" w:rsidRPr="002E2AA0">
        <w:rPr>
          <w:rFonts w:ascii="Times New Roman" w:hAnsi="Times New Roman" w:cs="Times New Roman"/>
          <w:b/>
          <w:bCs/>
          <w:lang w:val="en-US"/>
        </w:rPr>
        <w:t>GLM Assumptions</w:t>
      </w:r>
    </w:p>
    <w:p w14:paraId="06473E44" w14:textId="77777777" w:rsidR="009109E9" w:rsidRPr="002E2AA0" w:rsidRDefault="007A27CD" w:rsidP="00E249BB">
      <w:pPr>
        <w:spacing w:line="480" w:lineRule="auto"/>
        <w:ind w:firstLine="720"/>
        <w:rPr>
          <w:rFonts w:ascii="Times New Roman" w:hAnsi="Times New Roman" w:cs="Times New Roman"/>
          <w:lang w:val="en-US"/>
        </w:rPr>
      </w:pPr>
      <w:r w:rsidRPr="002E2AA0">
        <w:rPr>
          <w:rFonts w:ascii="Times New Roman" w:hAnsi="Times New Roman" w:cs="Times New Roman"/>
          <w:lang w:val="en-US"/>
        </w:rPr>
        <w:t>This is the first systematic review of studies relating to the GLM assumptions</w:t>
      </w:r>
      <w:r w:rsidR="009B53AD" w:rsidRPr="002E2AA0">
        <w:rPr>
          <w:rFonts w:ascii="Times New Roman" w:hAnsi="Times New Roman" w:cs="Times New Roman"/>
          <w:lang w:val="en-US"/>
        </w:rPr>
        <w:t xml:space="preserve">. Three distinct assumptions were examined, including: (1) offending </w:t>
      </w:r>
      <w:r w:rsidR="00EC638A" w:rsidRPr="002E2AA0">
        <w:rPr>
          <w:rFonts w:ascii="Times New Roman" w:hAnsi="Times New Roman" w:cs="Times New Roman"/>
          <w:lang w:val="en-US"/>
        </w:rPr>
        <w:t>behavior</w:t>
      </w:r>
      <w:r w:rsidR="009B53AD" w:rsidRPr="002E2AA0">
        <w:rPr>
          <w:rFonts w:ascii="Times New Roman" w:hAnsi="Times New Roman" w:cs="Times New Roman"/>
          <w:lang w:val="en-US"/>
        </w:rPr>
        <w:t xml:space="preserve"> represents an attempt to fulfil the primary goods; (2) obstacles prevent attainment of primary goods, and; (3) there are </w:t>
      </w:r>
      <w:r w:rsidR="00B95B4E" w:rsidRPr="002E2AA0">
        <w:rPr>
          <w:rFonts w:ascii="Times New Roman" w:hAnsi="Times New Roman" w:cs="Times New Roman"/>
          <w:lang w:val="en-US"/>
        </w:rPr>
        <w:t xml:space="preserve">both </w:t>
      </w:r>
      <w:r w:rsidR="009B53AD" w:rsidRPr="002E2AA0">
        <w:rPr>
          <w:rFonts w:ascii="Times New Roman" w:hAnsi="Times New Roman" w:cs="Times New Roman"/>
          <w:lang w:val="en-US"/>
        </w:rPr>
        <w:t xml:space="preserve">direct and indirect pathways to offending. </w:t>
      </w:r>
      <w:r w:rsidR="00CD32B0" w:rsidRPr="002E2AA0">
        <w:rPr>
          <w:rFonts w:ascii="Times New Roman" w:hAnsi="Times New Roman" w:cs="Times New Roman"/>
          <w:lang w:val="en-US"/>
        </w:rPr>
        <w:t xml:space="preserve">Findings regarding the first assumption, that offending </w:t>
      </w:r>
      <w:r w:rsidR="00EC638A" w:rsidRPr="002E2AA0">
        <w:rPr>
          <w:rFonts w:ascii="Times New Roman" w:hAnsi="Times New Roman" w:cs="Times New Roman"/>
          <w:lang w:val="en-US"/>
        </w:rPr>
        <w:t>behavior</w:t>
      </w:r>
      <w:r w:rsidR="00CD32B0" w:rsidRPr="002E2AA0">
        <w:rPr>
          <w:rFonts w:ascii="Times New Roman" w:hAnsi="Times New Roman" w:cs="Times New Roman"/>
          <w:lang w:val="en-US"/>
        </w:rPr>
        <w:t xml:space="preserve"> represents an attempt to fulfil the primary goods, were mixed. </w:t>
      </w:r>
      <w:r w:rsidR="00B95B4E" w:rsidRPr="002E2AA0">
        <w:rPr>
          <w:rFonts w:ascii="Times New Roman" w:hAnsi="Times New Roman" w:cs="Times New Roman"/>
          <w:lang w:val="en-US"/>
        </w:rPr>
        <w:t>T</w:t>
      </w:r>
      <w:r w:rsidR="00CD32B0" w:rsidRPr="002E2AA0">
        <w:rPr>
          <w:rFonts w:ascii="Times New Roman" w:hAnsi="Times New Roman" w:cs="Times New Roman"/>
          <w:lang w:val="en-US"/>
        </w:rPr>
        <w:t xml:space="preserve">hree studies </w:t>
      </w:r>
      <w:r w:rsidR="00B95B4E" w:rsidRPr="002E2AA0">
        <w:rPr>
          <w:rFonts w:ascii="Times New Roman" w:hAnsi="Times New Roman" w:cs="Times New Roman"/>
          <w:lang w:val="en-US"/>
        </w:rPr>
        <w:t>of</w:t>
      </w:r>
      <w:r w:rsidR="00CD32B0" w:rsidRPr="002E2AA0">
        <w:rPr>
          <w:rFonts w:ascii="Times New Roman" w:hAnsi="Times New Roman" w:cs="Times New Roman"/>
          <w:lang w:val="en-US"/>
        </w:rPr>
        <w:t xml:space="preserve"> individual’s who had sexually offended supported this assumption</w:t>
      </w:r>
      <w:r w:rsidR="00B963E7" w:rsidRPr="002E2AA0">
        <w:rPr>
          <w:rFonts w:ascii="Times New Roman" w:hAnsi="Times New Roman" w:cs="Times New Roman"/>
          <w:lang w:val="en-US"/>
        </w:rPr>
        <w:t xml:space="preserve">, with attainment </w:t>
      </w:r>
      <w:r w:rsidR="00B963E7" w:rsidRPr="002E2AA0">
        <w:rPr>
          <w:rFonts w:ascii="Times New Roman" w:hAnsi="Times New Roman" w:cs="Times New Roman"/>
          <w:lang w:val="en-US"/>
        </w:rPr>
        <w:lastRenderedPageBreak/>
        <w:t>of primary goods</w:t>
      </w:r>
      <w:r w:rsidR="00B95B4E" w:rsidRPr="002E2AA0">
        <w:rPr>
          <w:rFonts w:ascii="Times New Roman" w:hAnsi="Times New Roman" w:cs="Times New Roman"/>
          <w:lang w:val="en-US"/>
        </w:rPr>
        <w:t xml:space="preserve"> found to be</w:t>
      </w:r>
      <w:r w:rsidR="00B963E7" w:rsidRPr="002E2AA0">
        <w:rPr>
          <w:rFonts w:ascii="Times New Roman" w:hAnsi="Times New Roman" w:cs="Times New Roman"/>
          <w:lang w:val="en-US"/>
        </w:rPr>
        <w:t xml:space="preserve"> explicitly pursued through offending </w:t>
      </w:r>
      <w:r w:rsidR="00E262D4" w:rsidRPr="002E2AA0">
        <w:rPr>
          <w:rFonts w:ascii="Times New Roman" w:hAnsi="Times New Roman" w:cs="Times New Roman"/>
          <w:lang w:val="en-US"/>
        </w:rPr>
        <w:t>(Chu et al., 2015; Purvis, 2005) and related to effectiveness of re-entry to the community (Willis &amp; Ward, 2011</w:t>
      </w:r>
      <w:r w:rsidR="00B95B4E" w:rsidRPr="002E2AA0">
        <w:rPr>
          <w:rFonts w:ascii="Times New Roman" w:hAnsi="Times New Roman" w:cs="Times New Roman"/>
          <w:lang w:val="en-US"/>
        </w:rPr>
        <w:t>). Furthermore, in the only study on burglars to date, Taylor (201</w:t>
      </w:r>
      <w:r w:rsidR="0039139A">
        <w:rPr>
          <w:rFonts w:ascii="Times New Roman" w:hAnsi="Times New Roman" w:cs="Times New Roman"/>
          <w:lang w:val="en-US"/>
        </w:rPr>
        <w:t>7</w:t>
      </w:r>
      <w:r w:rsidR="00B95B4E" w:rsidRPr="002E2AA0">
        <w:rPr>
          <w:rFonts w:ascii="Times New Roman" w:hAnsi="Times New Roman" w:cs="Times New Roman"/>
          <w:lang w:val="en-US"/>
        </w:rPr>
        <w:t xml:space="preserve">) also found participants explicitly sought the majority of primary goods through offending (excluding Creativity, Spirituality and Community). </w:t>
      </w:r>
    </w:p>
    <w:p w14:paraId="1FE871E3" w14:textId="71232F04" w:rsidR="00385D30" w:rsidRDefault="004B2AA0" w:rsidP="00B33355">
      <w:pPr>
        <w:spacing w:line="480" w:lineRule="auto"/>
        <w:ind w:firstLine="720"/>
        <w:rPr>
          <w:rFonts w:ascii="Times New Roman" w:hAnsi="Times New Roman" w:cs="Times New Roman"/>
          <w:lang w:val="en-US"/>
        </w:rPr>
      </w:pPr>
      <w:r>
        <w:rPr>
          <w:rFonts w:ascii="Times New Roman" w:hAnsi="Times New Roman" w:cs="Times New Roman"/>
          <w:lang w:val="en-US"/>
        </w:rPr>
        <w:t>However</w:t>
      </w:r>
      <w:r w:rsidR="009109E9" w:rsidRPr="002E2AA0">
        <w:rPr>
          <w:rFonts w:ascii="Times New Roman" w:hAnsi="Times New Roman" w:cs="Times New Roman"/>
          <w:lang w:val="en-US"/>
        </w:rPr>
        <w:t>, Bouman and colleagues (2009) found, when controlling for risk level, no relationship between attainment of primary goods and recidivism after three years. Furthermore</w:t>
      </w:r>
      <w:r w:rsidR="00B95B4E" w:rsidRPr="002E2AA0">
        <w:rPr>
          <w:rFonts w:ascii="Times New Roman" w:hAnsi="Times New Roman" w:cs="Times New Roman"/>
          <w:lang w:val="en-US"/>
        </w:rPr>
        <w:t>,</w:t>
      </w:r>
      <w:r w:rsidR="00C95A59" w:rsidRPr="002E2AA0">
        <w:rPr>
          <w:rFonts w:ascii="Times New Roman" w:hAnsi="Times New Roman" w:cs="Times New Roman"/>
          <w:lang w:val="en-US"/>
        </w:rPr>
        <w:t xml:space="preserve"> </w:t>
      </w:r>
      <w:r w:rsidR="009109E9" w:rsidRPr="002E2AA0">
        <w:rPr>
          <w:rFonts w:ascii="Times New Roman" w:hAnsi="Times New Roman" w:cs="Times New Roman"/>
          <w:lang w:val="en-US"/>
        </w:rPr>
        <w:t xml:space="preserve">studies conducted by </w:t>
      </w:r>
      <w:r w:rsidR="00C95A59" w:rsidRPr="002E2AA0">
        <w:rPr>
          <w:rFonts w:ascii="Times New Roman" w:hAnsi="Times New Roman" w:cs="Times New Roman"/>
          <w:lang w:val="en-US"/>
        </w:rPr>
        <w:t>Barendregt</w:t>
      </w:r>
      <w:r w:rsidR="009109E9" w:rsidRPr="002E2AA0">
        <w:rPr>
          <w:rFonts w:ascii="Times New Roman" w:hAnsi="Times New Roman" w:cs="Times New Roman"/>
          <w:lang w:val="en-US"/>
        </w:rPr>
        <w:t xml:space="preserve"> and colleagues (</w:t>
      </w:r>
      <w:r w:rsidR="00C95A59" w:rsidRPr="002E2AA0">
        <w:rPr>
          <w:rFonts w:ascii="Times New Roman" w:hAnsi="Times New Roman" w:cs="Times New Roman"/>
          <w:lang w:val="en-US"/>
        </w:rPr>
        <w:t>2015</w:t>
      </w:r>
      <w:r w:rsidR="009109E9" w:rsidRPr="002E2AA0">
        <w:rPr>
          <w:rFonts w:ascii="Times New Roman" w:hAnsi="Times New Roman" w:cs="Times New Roman"/>
          <w:lang w:val="en-US"/>
        </w:rPr>
        <w:t xml:space="preserve">; </w:t>
      </w:r>
      <w:r w:rsidR="00C95A59" w:rsidRPr="002E2AA0">
        <w:rPr>
          <w:rFonts w:ascii="Times New Roman" w:hAnsi="Times New Roman" w:cs="Times New Roman"/>
          <w:lang w:val="en-US"/>
        </w:rPr>
        <w:t>2018</w:t>
      </w:r>
      <w:r w:rsidR="009109E9" w:rsidRPr="002E2AA0">
        <w:rPr>
          <w:rFonts w:ascii="Times New Roman" w:hAnsi="Times New Roman" w:cs="Times New Roman"/>
          <w:lang w:val="en-US"/>
        </w:rPr>
        <w:t xml:space="preserve">) </w:t>
      </w:r>
      <w:r w:rsidR="00B92E85" w:rsidRPr="002E2AA0">
        <w:rPr>
          <w:rFonts w:ascii="Times New Roman" w:hAnsi="Times New Roman" w:cs="Times New Roman"/>
          <w:lang w:val="en-US"/>
        </w:rPr>
        <w:t>found</w:t>
      </w:r>
      <w:r w:rsidR="00C95A59" w:rsidRPr="002E2AA0">
        <w:rPr>
          <w:rFonts w:ascii="Times New Roman" w:hAnsi="Times New Roman" w:cs="Times New Roman"/>
          <w:lang w:val="en-US"/>
        </w:rPr>
        <w:t xml:space="preserve"> no relationship between attainment of primary goods and offending </w:t>
      </w:r>
      <w:r w:rsidR="00EC638A" w:rsidRPr="002E2AA0">
        <w:rPr>
          <w:rFonts w:ascii="Times New Roman" w:hAnsi="Times New Roman" w:cs="Times New Roman"/>
          <w:lang w:val="en-US"/>
        </w:rPr>
        <w:t>behavior</w:t>
      </w:r>
      <w:r w:rsidR="00C95A59" w:rsidRPr="002E2AA0">
        <w:rPr>
          <w:rFonts w:ascii="Times New Roman" w:hAnsi="Times New Roman" w:cs="Times New Roman"/>
          <w:lang w:val="en-US"/>
        </w:rPr>
        <w:t xml:space="preserve">. </w:t>
      </w:r>
      <w:r w:rsidR="009109E9" w:rsidRPr="002E2AA0">
        <w:rPr>
          <w:rFonts w:ascii="Times New Roman" w:hAnsi="Times New Roman" w:cs="Times New Roman"/>
          <w:lang w:val="en-US"/>
        </w:rPr>
        <w:t>Yet</w:t>
      </w:r>
      <w:r w:rsidR="00C95A59" w:rsidRPr="002E2AA0">
        <w:rPr>
          <w:rFonts w:ascii="Times New Roman" w:hAnsi="Times New Roman" w:cs="Times New Roman"/>
          <w:lang w:val="en-US"/>
        </w:rPr>
        <w:t xml:space="preserve">, </w:t>
      </w:r>
      <w:r w:rsidR="003C595C" w:rsidRPr="002E2AA0">
        <w:rPr>
          <w:rFonts w:ascii="Times New Roman" w:hAnsi="Times New Roman" w:cs="Times New Roman"/>
          <w:lang w:val="en-US"/>
        </w:rPr>
        <w:t>psychopathology was more likely amongst participants who had failed to attain their primary goods effectively (Barendregt, 2015; Barendregt et al., 2018).</w:t>
      </w:r>
      <w:r w:rsidR="009109E9" w:rsidRPr="002E2AA0">
        <w:rPr>
          <w:rFonts w:ascii="Times New Roman" w:hAnsi="Times New Roman" w:cs="Times New Roman"/>
          <w:lang w:val="en-US"/>
        </w:rPr>
        <w:t xml:space="preserve"> </w:t>
      </w:r>
      <w:r w:rsidR="003463FC">
        <w:rPr>
          <w:rFonts w:ascii="Times New Roman" w:hAnsi="Times New Roman" w:cs="Times New Roman"/>
          <w:lang w:val="en-US"/>
        </w:rPr>
        <w:t xml:space="preserve">It must be noted that it is unclear whether there is any overlap in the samples used between Barendregt </w:t>
      </w:r>
      <w:r w:rsidR="00B33355">
        <w:rPr>
          <w:rFonts w:ascii="Times New Roman" w:hAnsi="Times New Roman" w:cs="Times New Roman"/>
          <w:lang w:val="en-US"/>
        </w:rPr>
        <w:t>and colleagues</w:t>
      </w:r>
      <w:r w:rsidR="003463FC">
        <w:rPr>
          <w:rFonts w:ascii="Times New Roman" w:hAnsi="Times New Roman" w:cs="Times New Roman"/>
          <w:lang w:val="en-US"/>
        </w:rPr>
        <w:t xml:space="preserve"> 2015 and 2018 </w:t>
      </w:r>
      <w:r w:rsidR="00B33355">
        <w:rPr>
          <w:rFonts w:ascii="Times New Roman" w:hAnsi="Times New Roman" w:cs="Times New Roman"/>
          <w:lang w:val="en-US"/>
        </w:rPr>
        <w:t>research, which could explain the consistency in findings across both studies.</w:t>
      </w:r>
      <w:r>
        <w:rPr>
          <w:rFonts w:ascii="Times New Roman" w:hAnsi="Times New Roman" w:cs="Times New Roman"/>
          <w:lang w:val="en-US"/>
        </w:rPr>
        <w:t xml:space="preserve"> Critically, risk factors (or criminogenic needs) are conceptualized within the GLM as impeding the attainment of primary goods (Ward et al., 2007). </w:t>
      </w:r>
      <w:r w:rsidR="00385D30">
        <w:rPr>
          <w:rFonts w:ascii="Times New Roman" w:hAnsi="Times New Roman" w:cs="Times New Roman"/>
          <w:lang w:val="en-US"/>
        </w:rPr>
        <w:t>As risk factors and primary goods are not mutually exclusive within the GLM, analyzing these as distinct constructs (as in Barendregt et al., 2015; 2018), or controlling for risk level (see Bouman et al., 2009), may explain why offending behavior was not found to relate to attainment of primary goods in these studies.</w:t>
      </w:r>
    </w:p>
    <w:p w14:paraId="762C715E" w14:textId="56999B94" w:rsidR="009109E9" w:rsidRPr="002E2AA0" w:rsidRDefault="009109E9" w:rsidP="00E249BB">
      <w:pPr>
        <w:spacing w:line="480" w:lineRule="auto"/>
        <w:ind w:firstLine="720"/>
        <w:rPr>
          <w:rFonts w:ascii="Times New Roman" w:hAnsi="Times New Roman" w:cs="Times New Roman"/>
          <w:lang w:val="en-US"/>
        </w:rPr>
      </w:pPr>
      <w:r w:rsidRPr="002E2AA0">
        <w:rPr>
          <w:rFonts w:ascii="Times New Roman" w:hAnsi="Times New Roman" w:cs="Times New Roman"/>
          <w:lang w:val="en-US"/>
        </w:rPr>
        <w:t>Although not explicitly examined in Barendregt and colleagues</w:t>
      </w:r>
      <w:r w:rsidR="00A610C0">
        <w:rPr>
          <w:rFonts w:ascii="Times New Roman" w:hAnsi="Times New Roman" w:cs="Times New Roman"/>
          <w:lang w:val="en-US"/>
        </w:rPr>
        <w:t>’</w:t>
      </w:r>
      <w:r w:rsidRPr="002E2AA0">
        <w:rPr>
          <w:rFonts w:ascii="Times New Roman" w:hAnsi="Times New Roman" w:cs="Times New Roman"/>
          <w:lang w:val="en-US"/>
        </w:rPr>
        <w:t xml:space="preserve"> (2015; 2018) studies, this could provide support for the indirect pathway, whereby a failure to attain primary goods increases psychopathology, which in turn leads to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Alternatively, these findings may be due to the measures used to assess the primary goods. </w:t>
      </w:r>
      <w:r w:rsidR="00E249BB" w:rsidRPr="002E2AA0">
        <w:rPr>
          <w:rFonts w:ascii="Times New Roman" w:hAnsi="Times New Roman" w:cs="Times New Roman"/>
          <w:lang w:val="en-US"/>
        </w:rPr>
        <w:t>T</w:t>
      </w:r>
      <w:r w:rsidRPr="002E2AA0">
        <w:rPr>
          <w:rFonts w:ascii="Times New Roman" w:hAnsi="Times New Roman" w:cs="Times New Roman"/>
          <w:lang w:val="en-US"/>
        </w:rPr>
        <w:t>hese authors used a</w:t>
      </w:r>
      <w:r w:rsidR="00311079" w:rsidRPr="002E2AA0">
        <w:rPr>
          <w:rFonts w:ascii="Times New Roman" w:hAnsi="Times New Roman" w:cs="Times New Roman"/>
          <w:lang w:val="en-US"/>
        </w:rPr>
        <w:t xml:space="preserve"> general measure of QoL (LQoLP</w:t>
      </w:r>
      <w:r w:rsidR="00087554">
        <w:rPr>
          <w:rFonts w:ascii="Times New Roman" w:hAnsi="Times New Roman" w:cs="Times New Roman"/>
          <w:lang w:val="en-US"/>
        </w:rPr>
        <w:t xml:space="preserve">; </w:t>
      </w:r>
      <w:r w:rsidR="001C0CD6">
        <w:rPr>
          <w:rFonts w:ascii="Times New Roman" w:hAnsi="Times New Roman" w:cs="Times New Roman"/>
          <w:lang w:val="en-US"/>
        </w:rPr>
        <w:t>Van Nieuwenhuizen</w:t>
      </w:r>
      <w:r w:rsidR="00087554">
        <w:rPr>
          <w:rFonts w:ascii="Times New Roman" w:hAnsi="Times New Roman" w:cs="Times New Roman"/>
          <w:lang w:val="en-US"/>
        </w:rPr>
        <w:t xml:space="preserve"> et al., 2002</w:t>
      </w:r>
      <w:r w:rsidR="00311079" w:rsidRPr="002E2AA0">
        <w:rPr>
          <w:rFonts w:ascii="Times New Roman" w:hAnsi="Times New Roman" w:cs="Times New Roman"/>
          <w:lang w:val="en-US"/>
        </w:rPr>
        <w:t>),</w:t>
      </w:r>
      <w:r w:rsidRPr="002E2AA0">
        <w:rPr>
          <w:rFonts w:ascii="Times New Roman" w:hAnsi="Times New Roman" w:cs="Times New Roman"/>
          <w:lang w:val="en-US"/>
        </w:rPr>
        <w:t xml:space="preserve"> assuming th</w:t>
      </w:r>
      <w:r w:rsidR="00E249BB" w:rsidRPr="002E2AA0">
        <w:rPr>
          <w:rFonts w:ascii="Times New Roman" w:hAnsi="Times New Roman" w:cs="Times New Roman"/>
          <w:lang w:val="en-US"/>
        </w:rPr>
        <w:t>at</w:t>
      </w:r>
      <w:r w:rsidRPr="002E2AA0">
        <w:rPr>
          <w:rFonts w:ascii="Times New Roman" w:hAnsi="Times New Roman" w:cs="Times New Roman"/>
          <w:lang w:val="en-US"/>
        </w:rPr>
        <w:t xml:space="preserve"> unmet needs directly represent the primary goods specified in the GLM. However, some of the </w:t>
      </w:r>
      <w:r w:rsidR="00E249BB" w:rsidRPr="002E2AA0">
        <w:rPr>
          <w:rFonts w:ascii="Times New Roman" w:hAnsi="Times New Roman" w:cs="Times New Roman"/>
          <w:lang w:val="en-US"/>
        </w:rPr>
        <w:lastRenderedPageBreak/>
        <w:t xml:space="preserve">LQoLP </w:t>
      </w:r>
      <w:r w:rsidRPr="002E2AA0">
        <w:rPr>
          <w:rFonts w:ascii="Times New Roman" w:hAnsi="Times New Roman" w:cs="Times New Roman"/>
          <w:lang w:val="en-US"/>
        </w:rPr>
        <w:t>domains could relate to the same primary good</w:t>
      </w:r>
      <w:r w:rsidR="00E249BB" w:rsidRPr="002E2AA0">
        <w:rPr>
          <w:rFonts w:ascii="Times New Roman" w:hAnsi="Times New Roman" w:cs="Times New Roman"/>
          <w:lang w:val="en-US"/>
        </w:rPr>
        <w:t xml:space="preserve"> (e.g., </w:t>
      </w:r>
      <w:r w:rsidRPr="002E2AA0">
        <w:rPr>
          <w:rFonts w:ascii="Times New Roman" w:hAnsi="Times New Roman" w:cs="Times New Roman"/>
          <w:lang w:val="en-US"/>
        </w:rPr>
        <w:t xml:space="preserve">LQoLP domains of finances, living situation, safety and health, could all </w:t>
      </w:r>
      <w:r w:rsidR="00E249BB" w:rsidRPr="002E2AA0">
        <w:rPr>
          <w:rFonts w:ascii="Times New Roman" w:hAnsi="Times New Roman" w:cs="Times New Roman"/>
          <w:lang w:val="en-US"/>
        </w:rPr>
        <w:t>map onto</w:t>
      </w:r>
      <w:r w:rsidRPr="002E2AA0">
        <w:rPr>
          <w:rFonts w:ascii="Times New Roman" w:hAnsi="Times New Roman" w:cs="Times New Roman"/>
          <w:lang w:val="en-US"/>
        </w:rPr>
        <w:t xml:space="preserve"> the primary good of Life</w:t>
      </w:r>
      <w:r w:rsidR="00E249BB" w:rsidRPr="002E2AA0">
        <w:rPr>
          <w:rFonts w:ascii="Times New Roman" w:hAnsi="Times New Roman" w:cs="Times New Roman"/>
          <w:lang w:val="en-US"/>
        </w:rPr>
        <w:t>)</w:t>
      </w:r>
      <w:r w:rsidRPr="002E2AA0">
        <w:rPr>
          <w:rFonts w:ascii="Times New Roman" w:hAnsi="Times New Roman" w:cs="Times New Roman"/>
          <w:lang w:val="en-US"/>
        </w:rPr>
        <w:t xml:space="preserve">. Equally, some domains could </w:t>
      </w:r>
      <w:r w:rsidR="00E249BB" w:rsidRPr="002E2AA0">
        <w:rPr>
          <w:rFonts w:ascii="Times New Roman" w:hAnsi="Times New Roman" w:cs="Times New Roman"/>
          <w:lang w:val="en-US"/>
        </w:rPr>
        <w:t>relate</w:t>
      </w:r>
      <w:r w:rsidRPr="002E2AA0">
        <w:rPr>
          <w:rFonts w:ascii="Times New Roman" w:hAnsi="Times New Roman" w:cs="Times New Roman"/>
          <w:lang w:val="en-US"/>
        </w:rPr>
        <w:t xml:space="preserve"> </w:t>
      </w:r>
      <w:r w:rsidR="00B33355">
        <w:rPr>
          <w:rFonts w:ascii="Times New Roman" w:hAnsi="Times New Roman" w:cs="Times New Roman"/>
          <w:lang w:val="en-US"/>
        </w:rPr>
        <w:t xml:space="preserve">to </w:t>
      </w:r>
      <w:r w:rsidRPr="002E2AA0">
        <w:rPr>
          <w:rFonts w:ascii="Times New Roman" w:hAnsi="Times New Roman" w:cs="Times New Roman"/>
          <w:lang w:val="en-US"/>
        </w:rPr>
        <w:t>more than one primary good</w:t>
      </w:r>
      <w:r w:rsidR="00E249BB" w:rsidRPr="002E2AA0">
        <w:rPr>
          <w:rFonts w:ascii="Times New Roman" w:hAnsi="Times New Roman" w:cs="Times New Roman"/>
          <w:lang w:val="en-US"/>
        </w:rPr>
        <w:t xml:space="preserve"> (e.g., </w:t>
      </w:r>
      <w:r w:rsidRPr="002E2AA0">
        <w:rPr>
          <w:rFonts w:ascii="Times New Roman" w:hAnsi="Times New Roman" w:cs="Times New Roman"/>
          <w:lang w:val="en-US"/>
        </w:rPr>
        <w:t>meeting financial needs could also represent Excellence in Work</w:t>
      </w:r>
      <w:r w:rsidR="00E249BB" w:rsidRPr="002E2AA0">
        <w:rPr>
          <w:rFonts w:ascii="Times New Roman" w:hAnsi="Times New Roman" w:cs="Times New Roman"/>
          <w:lang w:val="en-US"/>
        </w:rPr>
        <w:t>)</w:t>
      </w:r>
      <w:r w:rsidRPr="002E2AA0">
        <w:rPr>
          <w:rFonts w:ascii="Times New Roman" w:hAnsi="Times New Roman" w:cs="Times New Roman"/>
          <w:lang w:val="en-US"/>
        </w:rPr>
        <w:t xml:space="preserve">. As suggested by Willis and Grace (2008), to ensure comparable research is conducted, it is necessary </w:t>
      </w:r>
      <w:r w:rsidR="00561847" w:rsidRPr="002E2AA0">
        <w:rPr>
          <w:rFonts w:ascii="Times New Roman" w:hAnsi="Times New Roman" w:cs="Times New Roman"/>
          <w:lang w:val="en-US"/>
        </w:rPr>
        <w:t xml:space="preserve">for future research </w:t>
      </w:r>
      <w:r w:rsidRPr="002E2AA0">
        <w:rPr>
          <w:rFonts w:ascii="Times New Roman" w:hAnsi="Times New Roman" w:cs="Times New Roman"/>
          <w:lang w:val="en-US"/>
        </w:rPr>
        <w:t xml:space="preserve">to develop a </w:t>
      </w:r>
      <w:r w:rsidR="00EC638A" w:rsidRPr="002E2AA0">
        <w:rPr>
          <w:rFonts w:ascii="Times New Roman" w:hAnsi="Times New Roman" w:cs="Times New Roman"/>
          <w:lang w:val="en-US"/>
        </w:rPr>
        <w:t>standardized</w:t>
      </w:r>
      <w:r w:rsidRPr="002E2AA0">
        <w:rPr>
          <w:rFonts w:ascii="Times New Roman" w:hAnsi="Times New Roman" w:cs="Times New Roman"/>
          <w:lang w:val="en-US"/>
        </w:rPr>
        <w:t xml:space="preserve">, reliable and valid method to measure achievement of primary goods according to the GLM. </w:t>
      </w:r>
    </w:p>
    <w:p w14:paraId="22062BF8" w14:textId="77777777" w:rsidR="00A0758C" w:rsidRPr="002E2AA0" w:rsidRDefault="00A0758C" w:rsidP="00A0758C">
      <w:pPr>
        <w:spacing w:line="480" w:lineRule="auto"/>
        <w:ind w:firstLine="720"/>
        <w:rPr>
          <w:rFonts w:ascii="Times New Roman" w:hAnsi="Times New Roman" w:cs="Times New Roman"/>
          <w:lang w:val="en-US"/>
        </w:rPr>
      </w:pPr>
      <w:r w:rsidRPr="002E2AA0">
        <w:rPr>
          <w:rFonts w:ascii="Times New Roman" w:hAnsi="Times New Roman" w:cs="Times New Roman"/>
          <w:lang w:val="en-US"/>
        </w:rPr>
        <w:t>Overall, t</w:t>
      </w:r>
      <w:r w:rsidR="00B92E85" w:rsidRPr="002E2AA0">
        <w:rPr>
          <w:rFonts w:ascii="Times New Roman" w:hAnsi="Times New Roman" w:cs="Times New Roman"/>
          <w:lang w:val="en-US"/>
        </w:rPr>
        <w:t xml:space="preserve">he second GLM assumption that </w:t>
      </w:r>
      <w:r w:rsidRPr="002E2AA0">
        <w:rPr>
          <w:rFonts w:ascii="Times New Roman" w:hAnsi="Times New Roman" w:cs="Times New Roman"/>
          <w:lang w:val="en-US"/>
        </w:rPr>
        <w:t xml:space="preserve">there are four possible obstacles (means, scope, coherence, and capacity) in an individual’s Good Lives plan </w:t>
      </w:r>
      <w:r w:rsidR="00B92E85" w:rsidRPr="002E2AA0">
        <w:rPr>
          <w:rFonts w:ascii="Times New Roman" w:hAnsi="Times New Roman" w:cs="Times New Roman"/>
          <w:lang w:val="en-US"/>
        </w:rPr>
        <w:t xml:space="preserve">was </w:t>
      </w:r>
      <w:r w:rsidRPr="002E2AA0">
        <w:rPr>
          <w:rFonts w:ascii="Times New Roman" w:hAnsi="Times New Roman" w:cs="Times New Roman"/>
          <w:lang w:val="en-US"/>
        </w:rPr>
        <w:t xml:space="preserve">fully </w:t>
      </w:r>
      <w:r w:rsidR="00B92E85" w:rsidRPr="002E2AA0">
        <w:rPr>
          <w:rFonts w:ascii="Times New Roman" w:hAnsi="Times New Roman" w:cs="Times New Roman"/>
          <w:lang w:val="en-US"/>
        </w:rPr>
        <w:t xml:space="preserve">supported in </w:t>
      </w:r>
      <w:r w:rsidRPr="002E2AA0">
        <w:rPr>
          <w:rFonts w:ascii="Times New Roman" w:hAnsi="Times New Roman" w:cs="Times New Roman"/>
          <w:lang w:val="en-US"/>
        </w:rPr>
        <w:t xml:space="preserve">each of </w:t>
      </w:r>
      <w:r w:rsidR="00B92E85" w:rsidRPr="002E2AA0">
        <w:rPr>
          <w:rFonts w:ascii="Times New Roman" w:hAnsi="Times New Roman" w:cs="Times New Roman"/>
          <w:lang w:val="en-US"/>
        </w:rPr>
        <w:t xml:space="preserve">the six studies reviewed. </w:t>
      </w:r>
      <w:r w:rsidRPr="002E2AA0">
        <w:rPr>
          <w:rFonts w:ascii="Times New Roman" w:hAnsi="Times New Roman" w:cs="Times New Roman"/>
          <w:lang w:val="en-US"/>
        </w:rPr>
        <w:t xml:space="preserve">The majority of studies examined capacity issues or problematic means in offenders’ Good Lives plans. With the exception of Barnett and Wood’s (2008) study of adult males who had sexually offended (in which all four obstacles were examined), there was a noticeable lack of research assessing the obstacles of scope and coherence. As such, to ensure that the GLM is considered an empirically supported model, not based only on intuition, it is necessary the future research consider the role of scope and coherence in attainment of primary goods and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w:t>
      </w:r>
    </w:p>
    <w:p w14:paraId="61D196A5" w14:textId="3F45B5FA" w:rsidR="001515DC" w:rsidRPr="002E2AA0" w:rsidRDefault="00640A1C" w:rsidP="002578BE">
      <w:pPr>
        <w:spacing w:line="480" w:lineRule="auto"/>
        <w:rPr>
          <w:rFonts w:ascii="Times New Roman" w:hAnsi="Times New Roman" w:cs="Times New Roman"/>
          <w:lang w:val="en-US"/>
        </w:rPr>
      </w:pPr>
      <w:r w:rsidRPr="002E2AA0">
        <w:rPr>
          <w:rFonts w:ascii="Times New Roman" w:hAnsi="Times New Roman" w:cs="Times New Roman"/>
          <w:lang w:val="en-US"/>
        </w:rPr>
        <w:tab/>
        <w:t>The third assumption, that there are two distinct pathways to offending (direct and indirect), was only examined in two studies inc</w:t>
      </w:r>
      <w:r w:rsidR="00C87B8D" w:rsidRPr="002E2AA0">
        <w:rPr>
          <w:rFonts w:ascii="Times New Roman" w:hAnsi="Times New Roman" w:cs="Times New Roman"/>
          <w:lang w:val="en-US"/>
        </w:rPr>
        <w:t xml:space="preserve">luded in this systematic review, with mixed findings. Both studies (Purvis, 2005; Van Damme et al., 2016) supported the indirect pathway to offending, whilst the direct pathway </w:t>
      </w:r>
      <w:r w:rsidR="00FC30F8" w:rsidRPr="002E2AA0">
        <w:rPr>
          <w:rFonts w:ascii="Times New Roman" w:hAnsi="Times New Roman" w:cs="Times New Roman"/>
          <w:lang w:val="en-US"/>
        </w:rPr>
        <w:t xml:space="preserve">to offending </w:t>
      </w:r>
      <w:r w:rsidR="00C87B8D" w:rsidRPr="002E2AA0">
        <w:rPr>
          <w:rFonts w:ascii="Times New Roman" w:hAnsi="Times New Roman" w:cs="Times New Roman"/>
          <w:lang w:val="en-US"/>
        </w:rPr>
        <w:t xml:space="preserve">was only </w:t>
      </w:r>
      <w:r w:rsidR="00FC30F8" w:rsidRPr="002E2AA0">
        <w:rPr>
          <w:rFonts w:ascii="Times New Roman" w:hAnsi="Times New Roman" w:cs="Times New Roman"/>
          <w:lang w:val="en-US"/>
        </w:rPr>
        <w:t>found</w:t>
      </w:r>
      <w:r w:rsidR="00C87B8D" w:rsidRPr="002E2AA0">
        <w:rPr>
          <w:rFonts w:ascii="Times New Roman" w:hAnsi="Times New Roman" w:cs="Times New Roman"/>
          <w:lang w:val="en-US"/>
        </w:rPr>
        <w:t xml:space="preserve"> in Purvis’ (2005) study. </w:t>
      </w:r>
      <w:r w:rsidR="00FC30F8" w:rsidRPr="002E2AA0">
        <w:rPr>
          <w:rFonts w:ascii="Times New Roman" w:hAnsi="Times New Roman" w:cs="Times New Roman"/>
          <w:lang w:val="en-US"/>
        </w:rPr>
        <w:t>A number of factors may account for the differences in Purvis’ (2005) and Van Damme and colleagues</w:t>
      </w:r>
      <w:r w:rsidR="00A610C0">
        <w:rPr>
          <w:rFonts w:ascii="Times New Roman" w:hAnsi="Times New Roman" w:cs="Times New Roman"/>
          <w:lang w:val="en-US"/>
        </w:rPr>
        <w:t>’</w:t>
      </w:r>
      <w:r w:rsidR="00FC30F8" w:rsidRPr="002E2AA0">
        <w:rPr>
          <w:rFonts w:ascii="Times New Roman" w:hAnsi="Times New Roman" w:cs="Times New Roman"/>
          <w:lang w:val="en-US"/>
        </w:rPr>
        <w:t xml:space="preserve"> (2016) findings, including study design (</w:t>
      </w:r>
      <w:r w:rsidR="00306402" w:rsidRPr="002E2AA0">
        <w:rPr>
          <w:rFonts w:ascii="Times New Roman" w:hAnsi="Times New Roman" w:cs="Times New Roman"/>
          <w:lang w:val="en-US"/>
        </w:rPr>
        <w:t>qualitative vs. longitudinal respectively)</w:t>
      </w:r>
      <w:r w:rsidR="00FC30F8" w:rsidRPr="002E2AA0">
        <w:rPr>
          <w:rFonts w:ascii="Times New Roman" w:hAnsi="Times New Roman" w:cs="Times New Roman"/>
          <w:lang w:val="en-US"/>
        </w:rPr>
        <w:t xml:space="preserve">, offence type </w:t>
      </w:r>
      <w:r w:rsidR="00306402" w:rsidRPr="002E2AA0">
        <w:rPr>
          <w:rFonts w:ascii="Times New Roman" w:hAnsi="Times New Roman" w:cs="Times New Roman"/>
          <w:lang w:val="en-US"/>
        </w:rPr>
        <w:t xml:space="preserve">(sexual offending vs. general delinquency) </w:t>
      </w:r>
      <w:r w:rsidR="00FC30F8" w:rsidRPr="002E2AA0">
        <w:rPr>
          <w:rFonts w:ascii="Times New Roman" w:hAnsi="Times New Roman" w:cs="Times New Roman"/>
          <w:lang w:val="en-US"/>
        </w:rPr>
        <w:t xml:space="preserve">and </w:t>
      </w:r>
      <w:r w:rsidR="00306402" w:rsidRPr="002E2AA0">
        <w:rPr>
          <w:rFonts w:ascii="Times New Roman" w:hAnsi="Times New Roman" w:cs="Times New Roman"/>
          <w:lang w:val="en-US"/>
        </w:rPr>
        <w:t xml:space="preserve">participant characteristics (adult males vs. adolescent females). </w:t>
      </w:r>
      <w:r w:rsidR="00C93F81" w:rsidRPr="002E2AA0">
        <w:rPr>
          <w:rFonts w:ascii="Times New Roman" w:hAnsi="Times New Roman" w:cs="Times New Roman"/>
          <w:lang w:val="en-US"/>
        </w:rPr>
        <w:t xml:space="preserve">Alternatively, Purvis (2005) suggests that only some </w:t>
      </w:r>
      <w:r w:rsidR="00EC638A" w:rsidRPr="002E2AA0">
        <w:rPr>
          <w:rFonts w:ascii="Times New Roman" w:hAnsi="Times New Roman" w:cs="Times New Roman"/>
          <w:lang w:val="en-US"/>
        </w:rPr>
        <w:t>individuals</w:t>
      </w:r>
      <w:r w:rsidR="00C93F81" w:rsidRPr="002E2AA0">
        <w:rPr>
          <w:rFonts w:ascii="Times New Roman" w:hAnsi="Times New Roman" w:cs="Times New Roman"/>
          <w:lang w:val="en-US"/>
        </w:rPr>
        <w:t xml:space="preserve"> engage in the direct pathway to offending, with the majority following </w:t>
      </w:r>
      <w:r w:rsidR="00C93F81" w:rsidRPr="002E2AA0">
        <w:rPr>
          <w:rFonts w:ascii="Times New Roman" w:hAnsi="Times New Roman" w:cs="Times New Roman"/>
          <w:lang w:val="en-US"/>
        </w:rPr>
        <w:lastRenderedPageBreak/>
        <w:t xml:space="preserve">the indirect pathway. </w:t>
      </w:r>
      <w:r w:rsidR="006B0014" w:rsidRPr="002E2AA0">
        <w:rPr>
          <w:rFonts w:ascii="Times New Roman" w:hAnsi="Times New Roman" w:cs="Times New Roman"/>
          <w:lang w:val="en-US"/>
        </w:rPr>
        <w:t xml:space="preserve">As such, future research needs to consider whether the GLM assumptions are upheld across different offending populations and typologies. </w:t>
      </w:r>
    </w:p>
    <w:p w14:paraId="408D11B5" w14:textId="733604C8" w:rsidR="00795DA1" w:rsidRPr="002E2AA0" w:rsidRDefault="00FB34FF" w:rsidP="006B0014">
      <w:pPr>
        <w:spacing w:line="480" w:lineRule="auto"/>
        <w:rPr>
          <w:rFonts w:ascii="Times New Roman" w:hAnsi="Times New Roman" w:cs="Times New Roman"/>
          <w:b/>
          <w:lang w:val="en-US"/>
        </w:rPr>
      </w:pPr>
      <w:r>
        <w:rPr>
          <w:rFonts w:ascii="Times New Roman" w:hAnsi="Times New Roman" w:cs="Times New Roman"/>
          <w:b/>
          <w:lang w:val="en-US"/>
        </w:rPr>
        <w:t xml:space="preserve">6.2 </w:t>
      </w:r>
      <w:r w:rsidR="00795DA1" w:rsidRPr="002E2AA0">
        <w:rPr>
          <w:rFonts w:ascii="Times New Roman" w:hAnsi="Times New Roman" w:cs="Times New Roman"/>
          <w:b/>
          <w:lang w:val="en-US"/>
        </w:rPr>
        <w:t xml:space="preserve">GLM Outcomes </w:t>
      </w:r>
    </w:p>
    <w:p w14:paraId="7EED1774" w14:textId="6AA343DF" w:rsidR="00AC4DD4" w:rsidRPr="002E2AA0" w:rsidRDefault="001515DC" w:rsidP="008F5D99">
      <w:pPr>
        <w:spacing w:line="480" w:lineRule="auto"/>
        <w:rPr>
          <w:rFonts w:ascii="Times New Roman" w:hAnsi="Times New Roman" w:cs="Times New Roman"/>
          <w:lang w:val="en-US"/>
        </w:rPr>
      </w:pPr>
      <w:r w:rsidRPr="002E2AA0">
        <w:rPr>
          <w:rFonts w:ascii="Times New Roman" w:hAnsi="Times New Roman" w:cs="Times New Roman"/>
          <w:lang w:val="en-US"/>
        </w:rPr>
        <w:tab/>
      </w:r>
      <w:r w:rsidR="00BF6F5D" w:rsidRPr="002E2AA0">
        <w:rPr>
          <w:rFonts w:ascii="Times New Roman" w:hAnsi="Times New Roman" w:cs="Times New Roman"/>
          <w:lang w:val="en-US"/>
        </w:rPr>
        <w:t xml:space="preserve">This systematic review aimed to provide an update on the empirical evidence </w:t>
      </w:r>
      <w:r w:rsidR="008B17D9" w:rsidRPr="002E2AA0">
        <w:rPr>
          <w:rFonts w:ascii="Times New Roman" w:hAnsi="Times New Roman" w:cs="Times New Roman"/>
          <w:lang w:val="en-US"/>
        </w:rPr>
        <w:t xml:space="preserve">examining the outcomes of GLM-consistent interventions, </w:t>
      </w:r>
      <w:r w:rsidR="00BF6F5D" w:rsidRPr="002E2AA0">
        <w:rPr>
          <w:rFonts w:ascii="Times New Roman" w:hAnsi="Times New Roman" w:cs="Times New Roman"/>
          <w:lang w:val="en-US"/>
        </w:rPr>
        <w:t>since Netto and colleagues published their review paper</w:t>
      </w:r>
      <w:r w:rsidR="008B17D9" w:rsidRPr="002E2AA0">
        <w:rPr>
          <w:rFonts w:ascii="Times New Roman" w:hAnsi="Times New Roman" w:cs="Times New Roman"/>
          <w:lang w:val="en-US"/>
        </w:rPr>
        <w:t xml:space="preserve"> in 2014</w:t>
      </w:r>
      <w:r w:rsidR="00BF6F5D" w:rsidRPr="002E2AA0">
        <w:rPr>
          <w:rFonts w:ascii="Times New Roman" w:hAnsi="Times New Roman" w:cs="Times New Roman"/>
          <w:lang w:val="en-US"/>
        </w:rPr>
        <w:t>. As Netto and colleagues (2014) did not find any empirical articles that met all inclusion criteria</w:t>
      </w:r>
      <w:r w:rsidR="008B17D9" w:rsidRPr="002E2AA0">
        <w:rPr>
          <w:rFonts w:ascii="Times New Roman" w:hAnsi="Times New Roman" w:cs="Times New Roman"/>
          <w:lang w:val="en-US"/>
        </w:rPr>
        <w:t xml:space="preserve"> (RCT with recidivism as an outcome)</w:t>
      </w:r>
      <w:r w:rsidR="00BF6F5D" w:rsidRPr="002E2AA0">
        <w:rPr>
          <w:rFonts w:ascii="Times New Roman" w:hAnsi="Times New Roman" w:cs="Times New Roman"/>
          <w:lang w:val="en-US"/>
        </w:rPr>
        <w:t xml:space="preserve">, the current systematic review </w:t>
      </w:r>
      <w:r w:rsidR="00EC638A" w:rsidRPr="002E2AA0">
        <w:rPr>
          <w:rFonts w:ascii="Times New Roman" w:hAnsi="Times New Roman" w:cs="Times New Roman"/>
          <w:lang w:val="en-US"/>
        </w:rPr>
        <w:t>utilized</w:t>
      </w:r>
      <w:r w:rsidR="00BF6F5D" w:rsidRPr="002E2AA0">
        <w:rPr>
          <w:rFonts w:ascii="Times New Roman" w:hAnsi="Times New Roman" w:cs="Times New Roman"/>
          <w:lang w:val="en-US"/>
        </w:rPr>
        <w:t xml:space="preserve"> a broader inclusion </w:t>
      </w:r>
      <w:r w:rsidR="00EC638A" w:rsidRPr="002E2AA0">
        <w:rPr>
          <w:rFonts w:ascii="Times New Roman" w:hAnsi="Times New Roman" w:cs="Times New Roman"/>
          <w:lang w:val="en-US"/>
        </w:rPr>
        <w:t>criterion</w:t>
      </w:r>
      <w:r w:rsidR="00AC4DD4" w:rsidRPr="002E2AA0">
        <w:rPr>
          <w:rFonts w:ascii="Times New Roman" w:hAnsi="Times New Roman" w:cs="Times New Roman"/>
          <w:lang w:val="en-US"/>
        </w:rPr>
        <w:t>.</w:t>
      </w:r>
      <w:r w:rsidR="00BF6F5D" w:rsidRPr="002E2AA0">
        <w:rPr>
          <w:rFonts w:ascii="Times New Roman" w:hAnsi="Times New Roman" w:cs="Times New Roman"/>
          <w:lang w:val="en-US"/>
        </w:rPr>
        <w:t xml:space="preserve"> As Reeves and colleagues (</w:t>
      </w:r>
      <w:r w:rsidR="00D15096">
        <w:rPr>
          <w:rFonts w:ascii="Times New Roman" w:hAnsi="Times New Roman" w:cs="Times New Roman"/>
          <w:lang w:val="en-US"/>
        </w:rPr>
        <w:t>2019</w:t>
      </w:r>
      <w:r w:rsidR="00BF6F5D" w:rsidRPr="002E2AA0">
        <w:rPr>
          <w:rFonts w:ascii="Times New Roman" w:hAnsi="Times New Roman" w:cs="Times New Roman"/>
          <w:lang w:val="en-US"/>
        </w:rPr>
        <w:t>) suggest</w:t>
      </w:r>
      <w:r w:rsidR="008B17D9" w:rsidRPr="002E2AA0">
        <w:rPr>
          <w:rFonts w:ascii="Times New Roman" w:hAnsi="Times New Roman" w:cs="Times New Roman"/>
          <w:lang w:val="en-US"/>
        </w:rPr>
        <w:t xml:space="preserve"> </w:t>
      </w:r>
      <w:r w:rsidR="00EC638A" w:rsidRPr="002E2AA0">
        <w:rPr>
          <w:rFonts w:ascii="Times New Roman" w:hAnsi="Times New Roman" w:cs="Times New Roman"/>
          <w:lang w:val="en-US"/>
        </w:rPr>
        <w:t>non</w:t>
      </w:r>
      <w:r w:rsidR="00EC638A">
        <w:rPr>
          <w:rFonts w:ascii="Times New Roman" w:hAnsi="Times New Roman" w:cs="Times New Roman"/>
          <w:lang w:val="en-US"/>
        </w:rPr>
        <w:t>-</w:t>
      </w:r>
      <w:r w:rsidR="00EC638A" w:rsidRPr="002E2AA0">
        <w:rPr>
          <w:rFonts w:ascii="Times New Roman" w:hAnsi="Times New Roman" w:cs="Times New Roman"/>
          <w:lang w:val="en-US"/>
        </w:rPr>
        <w:t>randomi</w:t>
      </w:r>
      <w:r w:rsidR="00EC638A">
        <w:rPr>
          <w:rFonts w:ascii="Times New Roman" w:hAnsi="Times New Roman" w:cs="Times New Roman"/>
          <w:lang w:val="en-US"/>
        </w:rPr>
        <w:t>z</w:t>
      </w:r>
      <w:r w:rsidR="00EC638A" w:rsidRPr="002E2AA0">
        <w:rPr>
          <w:rFonts w:ascii="Times New Roman" w:hAnsi="Times New Roman" w:cs="Times New Roman"/>
          <w:lang w:val="en-US"/>
        </w:rPr>
        <w:t>ed</w:t>
      </w:r>
      <w:r w:rsidR="008B17D9" w:rsidRPr="002E2AA0">
        <w:rPr>
          <w:rFonts w:ascii="Times New Roman" w:hAnsi="Times New Roman" w:cs="Times New Roman"/>
          <w:lang w:val="en-US"/>
        </w:rPr>
        <w:t xml:space="preserve"> studies are necessary for understanding the effectiveness of interventions, </w:t>
      </w:r>
      <w:r w:rsidR="009C125E" w:rsidRPr="002E2AA0">
        <w:rPr>
          <w:rFonts w:ascii="Times New Roman" w:hAnsi="Times New Roman" w:cs="Times New Roman"/>
          <w:lang w:val="en-US"/>
        </w:rPr>
        <w:t>particularly when</w:t>
      </w:r>
      <w:r w:rsidR="008B17D9" w:rsidRPr="002E2AA0">
        <w:rPr>
          <w:rFonts w:ascii="Times New Roman" w:hAnsi="Times New Roman" w:cs="Times New Roman"/>
          <w:lang w:val="en-US"/>
        </w:rPr>
        <w:t xml:space="preserve"> RCT</w:t>
      </w:r>
      <w:r w:rsidR="009C125E" w:rsidRPr="002E2AA0">
        <w:rPr>
          <w:rFonts w:ascii="Times New Roman" w:hAnsi="Times New Roman" w:cs="Times New Roman"/>
          <w:lang w:val="en-US"/>
        </w:rPr>
        <w:t>’s</w:t>
      </w:r>
      <w:r w:rsidR="008B17D9" w:rsidRPr="002E2AA0">
        <w:rPr>
          <w:rFonts w:ascii="Times New Roman" w:hAnsi="Times New Roman" w:cs="Times New Roman"/>
          <w:lang w:val="en-US"/>
        </w:rPr>
        <w:t xml:space="preserve"> </w:t>
      </w:r>
      <w:r w:rsidR="009C125E" w:rsidRPr="002E2AA0">
        <w:rPr>
          <w:rFonts w:ascii="Times New Roman" w:hAnsi="Times New Roman" w:cs="Times New Roman"/>
          <w:lang w:val="en-US"/>
        </w:rPr>
        <w:t xml:space="preserve">are not available due to ethical or practical concerns. </w:t>
      </w:r>
      <w:r w:rsidR="004A68F5" w:rsidRPr="002E2AA0">
        <w:rPr>
          <w:rFonts w:ascii="Times New Roman" w:hAnsi="Times New Roman" w:cs="Times New Roman"/>
          <w:lang w:val="en-US"/>
        </w:rPr>
        <w:t xml:space="preserve">Furthermore, </w:t>
      </w:r>
      <w:r w:rsidR="008F5D99" w:rsidRPr="002E2AA0">
        <w:rPr>
          <w:rFonts w:ascii="Times New Roman" w:hAnsi="Times New Roman" w:cs="Times New Roman"/>
          <w:lang w:val="en-US"/>
        </w:rPr>
        <w:t xml:space="preserve">Killias (2006) suggests that to improve impact evaluations of interventions for offending </w:t>
      </w:r>
      <w:r w:rsidR="00EC638A" w:rsidRPr="002E2AA0">
        <w:rPr>
          <w:rFonts w:ascii="Times New Roman" w:hAnsi="Times New Roman" w:cs="Times New Roman"/>
          <w:lang w:val="en-US"/>
        </w:rPr>
        <w:t>behavior</w:t>
      </w:r>
      <w:r w:rsidR="008F5D99" w:rsidRPr="002E2AA0">
        <w:rPr>
          <w:rFonts w:ascii="Times New Roman" w:hAnsi="Times New Roman" w:cs="Times New Roman"/>
          <w:lang w:val="en-US"/>
        </w:rPr>
        <w:t xml:space="preserve">, it is necessary to consider relative improvement through pre-post measures of change. This overcomes the difficulty of relying on a single primary outcome measure of recidivism, which can be confounded by </w:t>
      </w:r>
      <w:r w:rsidR="00AC4DD4" w:rsidRPr="002E2AA0">
        <w:rPr>
          <w:rFonts w:ascii="Times New Roman" w:hAnsi="Times New Roman" w:cs="Times New Roman"/>
          <w:lang w:val="en-US"/>
        </w:rPr>
        <w:t>issues</w:t>
      </w:r>
      <w:r w:rsidR="008F5D99" w:rsidRPr="002E2AA0">
        <w:rPr>
          <w:rFonts w:ascii="Times New Roman" w:hAnsi="Times New Roman" w:cs="Times New Roman"/>
          <w:lang w:val="en-US"/>
        </w:rPr>
        <w:t xml:space="preserve"> in detection (Klingele, 2018). In addition, due to their unique insight, service user </w:t>
      </w:r>
      <w:r w:rsidR="00EC638A" w:rsidRPr="002E2AA0">
        <w:rPr>
          <w:rFonts w:ascii="Times New Roman" w:hAnsi="Times New Roman" w:cs="Times New Roman"/>
          <w:lang w:val="en-US"/>
        </w:rPr>
        <w:t>perspectives</w:t>
      </w:r>
      <w:r w:rsidR="008F5D99" w:rsidRPr="002E2AA0">
        <w:rPr>
          <w:rFonts w:ascii="Times New Roman" w:hAnsi="Times New Roman" w:cs="Times New Roman"/>
          <w:lang w:val="en-US"/>
        </w:rPr>
        <w:t xml:space="preserve"> should be considered for evaluating interventions (NHS England, 2015). As such, </w:t>
      </w:r>
      <w:r w:rsidR="004A68F5" w:rsidRPr="002E2AA0">
        <w:rPr>
          <w:rFonts w:ascii="Times New Roman" w:hAnsi="Times New Roman" w:cs="Times New Roman"/>
          <w:lang w:val="en-US"/>
        </w:rPr>
        <w:t xml:space="preserve">the current systematic review </w:t>
      </w:r>
      <w:r w:rsidR="008F5D99" w:rsidRPr="002E2AA0">
        <w:rPr>
          <w:rFonts w:ascii="Times New Roman" w:hAnsi="Times New Roman" w:cs="Times New Roman"/>
          <w:lang w:val="en-US"/>
        </w:rPr>
        <w:t>expanded on Netto and colleagues</w:t>
      </w:r>
      <w:r w:rsidR="00CE16EF">
        <w:rPr>
          <w:rFonts w:ascii="Times New Roman" w:hAnsi="Times New Roman" w:cs="Times New Roman"/>
          <w:lang w:val="en-US"/>
        </w:rPr>
        <w:t>’</w:t>
      </w:r>
      <w:r w:rsidR="008F5D99" w:rsidRPr="002E2AA0">
        <w:rPr>
          <w:rFonts w:ascii="Times New Roman" w:hAnsi="Times New Roman" w:cs="Times New Roman"/>
          <w:lang w:val="en-US"/>
        </w:rPr>
        <w:t xml:space="preserve"> (2014) review by </w:t>
      </w:r>
      <w:r w:rsidR="004A68F5" w:rsidRPr="002E2AA0">
        <w:rPr>
          <w:rFonts w:ascii="Times New Roman" w:hAnsi="Times New Roman" w:cs="Times New Roman"/>
          <w:lang w:val="en-US"/>
        </w:rPr>
        <w:t>includ</w:t>
      </w:r>
      <w:r w:rsidR="008F5D99" w:rsidRPr="002E2AA0">
        <w:rPr>
          <w:rFonts w:ascii="Times New Roman" w:hAnsi="Times New Roman" w:cs="Times New Roman"/>
          <w:lang w:val="en-US"/>
        </w:rPr>
        <w:t>ing</w:t>
      </w:r>
      <w:r w:rsidR="004A68F5" w:rsidRPr="002E2AA0">
        <w:rPr>
          <w:rFonts w:ascii="Times New Roman" w:hAnsi="Times New Roman" w:cs="Times New Roman"/>
          <w:lang w:val="en-US"/>
        </w:rPr>
        <w:t xml:space="preserve"> </w:t>
      </w:r>
      <w:r w:rsidR="008F5D99" w:rsidRPr="002E2AA0">
        <w:rPr>
          <w:rFonts w:ascii="Times New Roman" w:hAnsi="Times New Roman" w:cs="Times New Roman"/>
          <w:lang w:val="en-US"/>
        </w:rPr>
        <w:t xml:space="preserve">a variety of outcome measures (including recidivism, pre-post change and service user perspectives). </w:t>
      </w:r>
    </w:p>
    <w:p w14:paraId="68A9C103" w14:textId="391D6E62" w:rsidR="00A32B4E" w:rsidRPr="002E2AA0" w:rsidRDefault="00037932" w:rsidP="00A32B4E">
      <w:pPr>
        <w:spacing w:line="480" w:lineRule="auto"/>
        <w:rPr>
          <w:rFonts w:ascii="Times New Roman" w:hAnsi="Times New Roman" w:cs="Times New Roman"/>
          <w:bCs/>
          <w:lang w:val="en-US"/>
        </w:rPr>
      </w:pPr>
      <w:r w:rsidRPr="002E2AA0">
        <w:rPr>
          <w:rFonts w:ascii="Times New Roman" w:hAnsi="Times New Roman" w:cs="Times New Roman"/>
          <w:lang w:val="en-US"/>
        </w:rPr>
        <w:tab/>
      </w:r>
      <w:r w:rsidR="005C6E07" w:rsidRPr="002E2AA0">
        <w:rPr>
          <w:rFonts w:ascii="Times New Roman" w:hAnsi="Times New Roman" w:cs="Times New Roman"/>
          <w:lang w:val="en-US"/>
        </w:rPr>
        <w:t>Overall</w:t>
      </w:r>
      <w:r w:rsidR="006A32B1" w:rsidRPr="002E2AA0">
        <w:rPr>
          <w:rFonts w:ascii="Times New Roman" w:hAnsi="Times New Roman" w:cs="Times New Roman"/>
          <w:lang w:val="en-US"/>
        </w:rPr>
        <w:t xml:space="preserve">, findings suggest that GLM-consistent interventions are as effective as standard RP </w:t>
      </w:r>
      <w:r w:rsidR="00EC638A" w:rsidRPr="002E2AA0">
        <w:rPr>
          <w:rFonts w:ascii="Times New Roman" w:hAnsi="Times New Roman" w:cs="Times New Roman"/>
          <w:lang w:val="en-US"/>
        </w:rPr>
        <w:t>programs</w:t>
      </w:r>
      <w:r w:rsidR="006A32B1" w:rsidRPr="002E2AA0">
        <w:rPr>
          <w:rFonts w:ascii="Times New Roman" w:hAnsi="Times New Roman" w:cs="Times New Roman"/>
          <w:lang w:val="en-US"/>
        </w:rPr>
        <w:t xml:space="preserve"> regarding improvements in pre-post measures of psychometric change (Barnett et al., 2013; Harkins et al., 2012; Mann et al., 2004). GLM-consistent interventions were also found to improve motivation to change and engagement with the </w:t>
      </w:r>
      <w:r w:rsidR="00EC638A" w:rsidRPr="002E2AA0">
        <w:rPr>
          <w:rFonts w:ascii="Times New Roman" w:hAnsi="Times New Roman" w:cs="Times New Roman"/>
          <w:lang w:val="en-US"/>
        </w:rPr>
        <w:t>program</w:t>
      </w:r>
      <w:r w:rsidR="006A32B1" w:rsidRPr="002E2AA0">
        <w:rPr>
          <w:rFonts w:ascii="Times New Roman" w:hAnsi="Times New Roman" w:cs="Times New Roman"/>
          <w:lang w:val="en-US"/>
        </w:rPr>
        <w:t xml:space="preserve">, beyond that of standard RP </w:t>
      </w:r>
      <w:r w:rsidR="00EC638A" w:rsidRPr="002E2AA0">
        <w:rPr>
          <w:rFonts w:ascii="Times New Roman" w:hAnsi="Times New Roman" w:cs="Times New Roman"/>
          <w:lang w:val="en-US"/>
        </w:rPr>
        <w:t>programs</w:t>
      </w:r>
      <w:r w:rsidR="006A32B1" w:rsidRPr="002E2AA0">
        <w:rPr>
          <w:rFonts w:ascii="Times New Roman" w:hAnsi="Times New Roman" w:cs="Times New Roman"/>
          <w:lang w:val="en-US"/>
        </w:rPr>
        <w:t xml:space="preserve"> (Mann et al., 2004). Service user perspectives were positive regarding GLM-consistent interventions, suggesting they helped improve their optimism about the future, confidence and trust in others (Leeson &amp; Adshead, 2013; Ward &amp; Attwell, </w:t>
      </w:r>
      <w:r w:rsidR="006A32B1" w:rsidRPr="002E2AA0">
        <w:rPr>
          <w:rFonts w:ascii="Times New Roman" w:hAnsi="Times New Roman" w:cs="Times New Roman"/>
          <w:lang w:val="en-US"/>
        </w:rPr>
        <w:lastRenderedPageBreak/>
        <w:t xml:space="preserve">2014). </w:t>
      </w:r>
      <w:r w:rsidR="005C6E07" w:rsidRPr="002E2AA0">
        <w:rPr>
          <w:rFonts w:ascii="Times New Roman" w:hAnsi="Times New Roman" w:cs="Times New Roman"/>
          <w:lang w:val="en-US"/>
        </w:rPr>
        <w:t>This provides preliminary</w:t>
      </w:r>
      <w:r w:rsidR="001245FF" w:rsidRPr="002E2AA0">
        <w:rPr>
          <w:rFonts w:ascii="Times New Roman" w:hAnsi="Times New Roman" w:cs="Times New Roman"/>
          <w:lang w:val="en-US"/>
        </w:rPr>
        <w:t xml:space="preserve"> </w:t>
      </w:r>
      <w:r w:rsidR="005C6E07" w:rsidRPr="002E2AA0">
        <w:rPr>
          <w:rFonts w:ascii="Times New Roman" w:hAnsi="Times New Roman" w:cs="Times New Roman"/>
          <w:lang w:val="en-US"/>
        </w:rPr>
        <w:t>support for GLM-consistent interventions</w:t>
      </w:r>
      <w:r w:rsidR="00E71C28" w:rsidRPr="002E2AA0">
        <w:rPr>
          <w:rFonts w:ascii="Times New Roman" w:hAnsi="Times New Roman" w:cs="Times New Roman"/>
          <w:lang w:val="en-US"/>
        </w:rPr>
        <w:t>, particularly from a clinical perspective where engagement and motivation to change are critical factors in treatment success</w:t>
      </w:r>
      <w:r w:rsidR="0085405E">
        <w:rPr>
          <w:rFonts w:ascii="Times New Roman" w:hAnsi="Times New Roman" w:cs="Times New Roman"/>
          <w:lang w:val="en-US"/>
        </w:rPr>
        <w:t xml:space="preserve"> (McMurran &amp; Ward, 2004</w:t>
      </w:r>
      <w:r w:rsidR="00D00CC6" w:rsidRPr="002E2AA0">
        <w:rPr>
          <w:rFonts w:ascii="Times New Roman" w:hAnsi="Times New Roman" w:cs="Times New Roman"/>
          <w:lang w:val="en-US"/>
        </w:rPr>
        <w:t>)</w:t>
      </w:r>
      <w:r w:rsidR="005C6E07" w:rsidRPr="002E2AA0">
        <w:rPr>
          <w:rFonts w:ascii="Times New Roman" w:hAnsi="Times New Roman" w:cs="Times New Roman"/>
          <w:lang w:val="en-US"/>
        </w:rPr>
        <w:t xml:space="preserve">. </w:t>
      </w:r>
      <w:r w:rsidR="00AE3327" w:rsidRPr="002E2AA0">
        <w:rPr>
          <w:rFonts w:ascii="Times New Roman" w:hAnsi="Times New Roman" w:cs="Times New Roman"/>
          <w:bCs/>
          <w:lang w:val="en-US"/>
        </w:rPr>
        <w:t>However, no studies that met the inclusion criteria for a GLM-consistent intervention examined recidivism rates. As such, c</w:t>
      </w:r>
      <w:r w:rsidR="002578BE" w:rsidRPr="002E2AA0">
        <w:rPr>
          <w:rFonts w:ascii="Times New Roman" w:hAnsi="Times New Roman" w:cs="Times New Roman"/>
          <w:bCs/>
          <w:lang w:val="en-US"/>
        </w:rPr>
        <w:t>onsistent with Netto and colleagues (2014), no conclusion can be drawn regarding the effectiveness of GLM-consistent interventions at reducing recidivism.</w:t>
      </w:r>
      <w:r w:rsidR="00432C7C" w:rsidRPr="00432C7C">
        <w:rPr>
          <w:rFonts w:ascii="Times New Roman" w:hAnsi="Times New Roman" w:cs="Times New Roman"/>
          <w:lang w:val="en-US"/>
        </w:rPr>
        <w:t xml:space="preserve"> </w:t>
      </w:r>
      <w:r w:rsidR="00432C7C">
        <w:rPr>
          <w:rFonts w:ascii="Times New Roman" w:hAnsi="Times New Roman" w:cs="Times New Roman"/>
          <w:lang w:val="en-US"/>
        </w:rPr>
        <w:t>Therefore</w:t>
      </w:r>
      <w:r w:rsidR="00432C7C" w:rsidRPr="0040347C">
        <w:rPr>
          <w:rFonts w:ascii="Times New Roman" w:hAnsi="Times New Roman" w:cs="Times New Roman"/>
          <w:lang w:val="en-US"/>
        </w:rPr>
        <w:t>, until more rigorous evaluations have been conducted, caution must be taken when implementing GLM-consistent interventions with individuals who have offended, in order to reduce the risk of inadvertent harmful consequences (McNeill, 2012; Netto et al., 2014).</w:t>
      </w:r>
    </w:p>
    <w:p w14:paraId="535E844E" w14:textId="77777777" w:rsidR="00AE3327" w:rsidRPr="002E2AA0" w:rsidRDefault="00E71C28" w:rsidP="00A32B4E">
      <w:pPr>
        <w:spacing w:line="480" w:lineRule="auto"/>
        <w:ind w:firstLine="720"/>
        <w:rPr>
          <w:rFonts w:ascii="Times New Roman" w:hAnsi="Times New Roman" w:cs="Times New Roman"/>
          <w:bCs/>
          <w:lang w:val="en-US"/>
        </w:rPr>
      </w:pPr>
      <w:r w:rsidRPr="002E2AA0">
        <w:rPr>
          <w:rFonts w:ascii="Times New Roman" w:hAnsi="Times New Roman" w:cs="Times New Roman"/>
          <w:bCs/>
          <w:lang w:val="en-US"/>
        </w:rPr>
        <w:t xml:space="preserve">Furthermore, </w:t>
      </w:r>
      <w:r w:rsidR="001245FF" w:rsidRPr="002E2AA0">
        <w:rPr>
          <w:rFonts w:ascii="Times New Roman" w:hAnsi="Times New Roman" w:cs="Times New Roman"/>
          <w:bCs/>
          <w:lang w:val="en-US"/>
        </w:rPr>
        <w:t xml:space="preserve">all of </w:t>
      </w:r>
      <w:r w:rsidRPr="002E2AA0">
        <w:rPr>
          <w:rFonts w:ascii="Times New Roman" w:hAnsi="Times New Roman" w:cs="Times New Roman"/>
          <w:bCs/>
          <w:lang w:val="en-US"/>
        </w:rPr>
        <w:t xml:space="preserve">the studies </w:t>
      </w:r>
      <w:r w:rsidR="000E6FCC" w:rsidRPr="002E2AA0">
        <w:rPr>
          <w:rFonts w:ascii="Times New Roman" w:hAnsi="Times New Roman" w:cs="Times New Roman"/>
          <w:bCs/>
          <w:lang w:val="en-US"/>
        </w:rPr>
        <w:t>which examined the outcomes of GLM-consistent interventions</w:t>
      </w:r>
      <w:r w:rsidRPr="002E2AA0">
        <w:rPr>
          <w:rFonts w:ascii="Times New Roman" w:hAnsi="Times New Roman" w:cs="Times New Roman"/>
          <w:bCs/>
          <w:lang w:val="en-US"/>
        </w:rPr>
        <w:t xml:space="preserve"> were targeted at individuals who had sexually </w:t>
      </w:r>
      <w:r w:rsidR="00EC638A" w:rsidRPr="002E2AA0">
        <w:rPr>
          <w:rFonts w:ascii="Times New Roman" w:hAnsi="Times New Roman" w:cs="Times New Roman"/>
          <w:bCs/>
          <w:lang w:val="en-US"/>
        </w:rPr>
        <w:t>offended or</w:t>
      </w:r>
      <w:r w:rsidRPr="002E2AA0">
        <w:rPr>
          <w:rFonts w:ascii="Times New Roman" w:hAnsi="Times New Roman" w:cs="Times New Roman"/>
          <w:bCs/>
          <w:lang w:val="en-US"/>
        </w:rPr>
        <w:t xml:space="preserve"> were at risk of doing so. As such, the findings are limited in terms of generali</w:t>
      </w:r>
      <w:r w:rsidR="00D50E33">
        <w:rPr>
          <w:rFonts w:ascii="Times New Roman" w:hAnsi="Times New Roman" w:cs="Times New Roman"/>
          <w:bCs/>
          <w:lang w:val="en-US"/>
        </w:rPr>
        <w:t>z</w:t>
      </w:r>
      <w:r w:rsidRPr="002E2AA0">
        <w:rPr>
          <w:rFonts w:ascii="Times New Roman" w:hAnsi="Times New Roman" w:cs="Times New Roman"/>
          <w:bCs/>
          <w:lang w:val="en-US"/>
        </w:rPr>
        <w:t>ability to other offending typologies. In addition, all participants were male in the included studies. As gender-informed interventions are associated with reduced recidivism in female offenders (Gobeil</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xml:space="preserve">, 2016), this suggests that further research is needed to examine the applicability of GLM-consistent interventions to female offenders. </w:t>
      </w:r>
      <w:r w:rsidR="000E6FCC" w:rsidRPr="002E2AA0">
        <w:rPr>
          <w:rFonts w:ascii="Times New Roman" w:hAnsi="Times New Roman" w:cs="Times New Roman"/>
          <w:lang w:val="en-US"/>
        </w:rPr>
        <w:t>Consistent with the findings of Netto and colleagues (2014), t</w:t>
      </w:r>
      <w:r w:rsidR="00AE3327" w:rsidRPr="002E2AA0">
        <w:rPr>
          <w:rFonts w:ascii="Times New Roman" w:hAnsi="Times New Roman" w:cs="Times New Roman"/>
          <w:lang w:val="en-US"/>
        </w:rPr>
        <w:t xml:space="preserve">his systematic review has demonstrated that there remains a paucity of </w:t>
      </w:r>
      <w:r w:rsidR="00EC638A" w:rsidRPr="002E2AA0">
        <w:rPr>
          <w:rFonts w:ascii="Times New Roman" w:hAnsi="Times New Roman" w:cs="Times New Roman"/>
          <w:lang w:val="en-US"/>
        </w:rPr>
        <w:t>high-quality</w:t>
      </w:r>
      <w:r w:rsidR="00AE3327" w:rsidRPr="002E2AA0">
        <w:rPr>
          <w:rFonts w:ascii="Times New Roman" w:hAnsi="Times New Roman" w:cs="Times New Roman"/>
          <w:lang w:val="en-US"/>
        </w:rPr>
        <w:t xml:space="preserve"> research on the effectiveness of GLM-consistent interventions for offenders. This is despite the growing popularity of GLM-consistent interventions internationally (</w:t>
      </w:r>
      <w:r w:rsidR="00AE3327" w:rsidRPr="002E2AA0">
        <w:rPr>
          <w:rFonts w:ascii="Times New Roman" w:hAnsi="Times New Roman" w:cs="Times New Roman"/>
          <w:bCs/>
          <w:lang w:val="en-US"/>
        </w:rPr>
        <w:t xml:space="preserve">Fortune, 2018; McGrath et al., 2009). </w:t>
      </w:r>
    </w:p>
    <w:p w14:paraId="6C06739C" w14:textId="2AA57EA4" w:rsidR="001245FF" w:rsidRPr="002E2AA0" w:rsidRDefault="00FB34FF" w:rsidP="008F5D99">
      <w:pPr>
        <w:spacing w:line="480" w:lineRule="auto"/>
        <w:rPr>
          <w:rFonts w:ascii="Times New Roman" w:hAnsi="Times New Roman" w:cs="Times New Roman"/>
          <w:b/>
          <w:lang w:val="en-US"/>
        </w:rPr>
      </w:pPr>
      <w:r>
        <w:rPr>
          <w:rFonts w:ascii="Times New Roman" w:hAnsi="Times New Roman" w:cs="Times New Roman"/>
          <w:b/>
          <w:lang w:val="en-US"/>
        </w:rPr>
        <w:t>6.</w:t>
      </w:r>
      <w:r w:rsidR="00432C7C">
        <w:rPr>
          <w:rFonts w:ascii="Times New Roman" w:hAnsi="Times New Roman" w:cs="Times New Roman"/>
          <w:b/>
          <w:lang w:val="en-US"/>
        </w:rPr>
        <w:t>3</w:t>
      </w:r>
      <w:r>
        <w:rPr>
          <w:rFonts w:ascii="Times New Roman" w:hAnsi="Times New Roman" w:cs="Times New Roman"/>
          <w:b/>
          <w:lang w:val="en-US"/>
        </w:rPr>
        <w:t xml:space="preserve"> </w:t>
      </w:r>
      <w:r w:rsidR="001245FF" w:rsidRPr="002E2AA0">
        <w:rPr>
          <w:rFonts w:ascii="Times New Roman" w:hAnsi="Times New Roman" w:cs="Times New Roman"/>
          <w:b/>
          <w:lang w:val="en-US"/>
        </w:rPr>
        <w:t>Limitations</w:t>
      </w:r>
    </w:p>
    <w:p w14:paraId="4E8E0841" w14:textId="6D7D0DEF" w:rsidR="00A6267B" w:rsidRPr="002E2AA0" w:rsidRDefault="000974ED" w:rsidP="008F5D99">
      <w:pPr>
        <w:spacing w:line="480" w:lineRule="auto"/>
        <w:rPr>
          <w:rFonts w:ascii="Times New Roman" w:hAnsi="Times New Roman" w:cs="Times New Roman"/>
          <w:bCs/>
          <w:lang w:val="en-US"/>
        </w:rPr>
      </w:pPr>
      <w:r w:rsidRPr="002E2AA0">
        <w:rPr>
          <w:rFonts w:ascii="Times New Roman" w:hAnsi="Times New Roman" w:cs="Times New Roman"/>
          <w:bCs/>
          <w:lang w:val="en-US"/>
        </w:rPr>
        <w:tab/>
        <w:t xml:space="preserve">As with all research, the current systematic review is not without its limitations. Firstly, this review only included studies that had been published in English. As such, all but one study (Chu et al., 2015) </w:t>
      </w:r>
      <w:r w:rsidR="00A6267B" w:rsidRPr="002E2AA0">
        <w:rPr>
          <w:rFonts w:ascii="Times New Roman" w:hAnsi="Times New Roman" w:cs="Times New Roman"/>
          <w:bCs/>
          <w:lang w:val="en-US"/>
        </w:rPr>
        <w:t xml:space="preserve">included </w:t>
      </w:r>
      <w:r w:rsidRPr="002E2AA0">
        <w:rPr>
          <w:rFonts w:ascii="Times New Roman" w:hAnsi="Times New Roman" w:cs="Times New Roman"/>
          <w:bCs/>
          <w:lang w:val="en-US"/>
        </w:rPr>
        <w:t>was conducted in</w:t>
      </w:r>
      <w:r w:rsidR="00A6267B" w:rsidRPr="002E2AA0">
        <w:rPr>
          <w:rFonts w:ascii="Times New Roman" w:hAnsi="Times New Roman" w:cs="Times New Roman"/>
          <w:bCs/>
          <w:lang w:val="en-US"/>
        </w:rPr>
        <w:t xml:space="preserve"> a </w:t>
      </w:r>
      <w:r w:rsidR="00EC638A" w:rsidRPr="002E2AA0">
        <w:rPr>
          <w:rFonts w:ascii="Times New Roman" w:hAnsi="Times New Roman" w:cs="Times New Roman"/>
          <w:bCs/>
          <w:lang w:val="en-US"/>
        </w:rPr>
        <w:t>Westernized</w:t>
      </w:r>
      <w:r w:rsidR="00A6267B" w:rsidRPr="002E2AA0">
        <w:rPr>
          <w:rFonts w:ascii="Times New Roman" w:hAnsi="Times New Roman" w:cs="Times New Roman"/>
          <w:bCs/>
          <w:lang w:val="en-US"/>
        </w:rPr>
        <w:t xml:space="preserve"> country</w:t>
      </w:r>
      <w:r w:rsidRPr="002E2AA0">
        <w:rPr>
          <w:rFonts w:ascii="Times New Roman" w:hAnsi="Times New Roman" w:cs="Times New Roman"/>
          <w:bCs/>
          <w:lang w:val="en-US"/>
        </w:rPr>
        <w:t xml:space="preserve">. As the GLM is an internationally </w:t>
      </w:r>
      <w:r w:rsidR="00EC638A" w:rsidRPr="002E2AA0">
        <w:rPr>
          <w:rFonts w:ascii="Times New Roman" w:hAnsi="Times New Roman" w:cs="Times New Roman"/>
          <w:bCs/>
          <w:lang w:val="en-US"/>
        </w:rPr>
        <w:t>utilized</w:t>
      </w:r>
      <w:r w:rsidRPr="002E2AA0">
        <w:rPr>
          <w:rFonts w:ascii="Times New Roman" w:hAnsi="Times New Roman" w:cs="Times New Roman"/>
          <w:bCs/>
          <w:lang w:val="en-US"/>
        </w:rPr>
        <w:t xml:space="preserve"> model of offender rehabilitation, it is possible that </w:t>
      </w:r>
      <w:r w:rsidR="00A6267B" w:rsidRPr="002E2AA0">
        <w:rPr>
          <w:rFonts w:ascii="Times New Roman" w:hAnsi="Times New Roman" w:cs="Times New Roman"/>
          <w:bCs/>
          <w:lang w:val="en-US"/>
        </w:rPr>
        <w:t xml:space="preserve">the findings </w:t>
      </w:r>
      <w:r w:rsidR="00A6267B" w:rsidRPr="002E2AA0">
        <w:rPr>
          <w:rFonts w:ascii="Times New Roman" w:hAnsi="Times New Roman" w:cs="Times New Roman"/>
          <w:bCs/>
          <w:lang w:val="en-US"/>
        </w:rPr>
        <w:lastRenderedPageBreak/>
        <w:t xml:space="preserve">discussed in this review may not be </w:t>
      </w:r>
      <w:r w:rsidR="00EC638A" w:rsidRPr="002E2AA0">
        <w:rPr>
          <w:rFonts w:ascii="Times New Roman" w:hAnsi="Times New Roman" w:cs="Times New Roman"/>
          <w:bCs/>
          <w:lang w:val="en-US"/>
        </w:rPr>
        <w:t>generalizable</w:t>
      </w:r>
      <w:r w:rsidR="00A6267B" w:rsidRPr="002E2AA0">
        <w:rPr>
          <w:rFonts w:ascii="Times New Roman" w:hAnsi="Times New Roman" w:cs="Times New Roman"/>
          <w:bCs/>
          <w:lang w:val="en-US"/>
        </w:rPr>
        <w:t xml:space="preserve"> to collectivist cultures. In particular, some primary goods that are </w:t>
      </w:r>
      <w:r w:rsidR="00EC638A" w:rsidRPr="002E2AA0">
        <w:rPr>
          <w:rFonts w:ascii="Times New Roman" w:hAnsi="Times New Roman" w:cs="Times New Roman"/>
          <w:bCs/>
          <w:lang w:val="en-US"/>
        </w:rPr>
        <w:t>emphasized</w:t>
      </w:r>
      <w:r w:rsidR="00A6267B" w:rsidRPr="002E2AA0">
        <w:rPr>
          <w:rFonts w:ascii="Times New Roman" w:hAnsi="Times New Roman" w:cs="Times New Roman"/>
          <w:bCs/>
          <w:lang w:val="en-US"/>
        </w:rPr>
        <w:t xml:space="preserve"> in individualistic cultures (e.g., Agency and Excellence in Play) may be of less importance within collectivist cultures, which may focus on goods such as Relatedness and Knowledge (Ward &amp; Maruna, 2007). Furthermore, Willis, Prescott and Yates (2013) suggest cultural differences need to be considered in the labels used to explain the GLM </w:t>
      </w:r>
      <w:r w:rsidR="002E2AA0" w:rsidRPr="002E2AA0">
        <w:rPr>
          <w:rFonts w:ascii="Times New Roman" w:hAnsi="Times New Roman" w:cs="Times New Roman"/>
          <w:bCs/>
          <w:lang w:val="en-US"/>
        </w:rPr>
        <w:t>concepts</w:t>
      </w:r>
      <w:r w:rsidR="00A6267B" w:rsidRPr="002E2AA0">
        <w:rPr>
          <w:rFonts w:ascii="Times New Roman" w:hAnsi="Times New Roman" w:cs="Times New Roman"/>
          <w:bCs/>
          <w:lang w:val="en-US"/>
        </w:rPr>
        <w:t>. As such, future research should consider the role of culture when evaluating the GLM.</w:t>
      </w:r>
      <w:r w:rsidR="005706FF" w:rsidRPr="002E2AA0">
        <w:rPr>
          <w:rFonts w:ascii="Times New Roman" w:hAnsi="Times New Roman" w:cs="Times New Roman"/>
          <w:bCs/>
          <w:lang w:val="en-US"/>
        </w:rPr>
        <w:t xml:space="preserve"> Despite this, Chu and colleagues</w:t>
      </w:r>
      <w:r w:rsidR="00A73354">
        <w:rPr>
          <w:rFonts w:ascii="Times New Roman" w:hAnsi="Times New Roman" w:cs="Times New Roman"/>
          <w:bCs/>
          <w:lang w:val="en-US"/>
        </w:rPr>
        <w:t>’</w:t>
      </w:r>
      <w:r w:rsidR="005706FF" w:rsidRPr="002E2AA0">
        <w:rPr>
          <w:rFonts w:ascii="Times New Roman" w:hAnsi="Times New Roman" w:cs="Times New Roman"/>
          <w:bCs/>
          <w:lang w:val="en-US"/>
        </w:rPr>
        <w:t xml:space="preserve"> (2015) study supported the applicability of the GLM </w:t>
      </w:r>
      <w:r w:rsidR="002E2AA0" w:rsidRPr="002E2AA0">
        <w:rPr>
          <w:rFonts w:ascii="Times New Roman" w:hAnsi="Times New Roman" w:cs="Times New Roman"/>
          <w:bCs/>
          <w:lang w:val="en-US"/>
        </w:rPr>
        <w:t>assumptions</w:t>
      </w:r>
      <w:r w:rsidR="005706FF" w:rsidRPr="002E2AA0">
        <w:rPr>
          <w:rFonts w:ascii="Times New Roman" w:hAnsi="Times New Roman" w:cs="Times New Roman"/>
          <w:bCs/>
          <w:lang w:val="en-US"/>
        </w:rPr>
        <w:t xml:space="preserve"> to Singaporean youths who had sexually offended.</w:t>
      </w:r>
      <w:r w:rsidR="00944D43" w:rsidRPr="002E2AA0">
        <w:rPr>
          <w:rFonts w:ascii="Times New Roman" w:hAnsi="Times New Roman" w:cs="Times New Roman"/>
          <w:bCs/>
          <w:lang w:val="en-US"/>
        </w:rPr>
        <w:t xml:space="preserve"> Regarding generali</w:t>
      </w:r>
      <w:r w:rsidR="00D50E33">
        <w:rPr>
          <w:rFonts w:ascii="Times New Roman" w:hAnsi="Times New Roman" w:cs="Times New Roman"/>
          <w:bCs/>
          <w:lang w:val="en-US"/>
        </w:rPr>
        <w:t>z</w:t>
      </w:r>
      <w:r w:rsidR="00944D43" w:rsidRPr="002E2AA0">
        <w:rPr>
          <w:rFonts w:ascii="Times New Roman" w:hAnsi="Times New Roman" w:cs="Times New Roman"/>
          <w:bCs/>
          <w:lang w:val="en-US"/>
        </w:rPr>
        <w:t xml:space="preserve">ability, the vast majority of studies assessed adult males who had sexually offended; meaning the applicability of the GLM </w:t>
      </w:r>
      <w:r w:rsidR="002E2AA0" w:rsidRPr="002E2AA0">
        <w:rPr>
          <w:rFonts w:ascii="Times New Roman" w:hAnsi="Times New Roman" w:cs="Times New Roman"/>
          <w:bCs/>
          <w:lang w:val="en-US"/>
        </w:rPr>
        <w:t>assumptions</w:t>
      </w:r>
      <w:r w:rsidR="00944D43" w:rsidRPr="002E2AA0">
        <w:rPr>
          <w:rFonts w:ascii="Times New Roman" w:hAnsi="Times New Roman" w:cs="Times New Roman"/>
          <w:bCs/>
          <w:lang w:val="en-US"/>
        </w:rPr>
        <w:t xml:space="preserve"> and interventions to a variety of participant demographics and offending typologies requires further study. </w:t>
      </w:r>
    </w:p>
    <w:p w14:paraId="39DF84B3" w14:textId="77777777" w:rsidR="00697160" w:rsidRPr="002E2AA0" w:rsidRDefault="00697160" w:rsidP="008F5D99">
      <w:pPr>
        <w:spacing w:line="480" w:lineRule="auto"/>
        <w:rPr>
          <w:rFonts w:ascii="Times New Roman" w:hAnsi="Times New Roman" w:cs="Times New Roman"/>
          <w:bCs/>
          <w:lang w:val="en-US"/>
        </w:rPr>
      </w:pPr>
      <w:r w:rsidRPr="002E2AA0">
        <w:rPr>
          <w:rFonts w:ascii="Times New Roman" w:hAnsi="Times New Roman" w:cs="Times New Roman"/>
          <w:bCs/>
          <w:lang w:val="en-US"/>
        </w:rPr>
        <w:tab/>
        <w:t xml:space="preserve">Critically, it was challenging </w:t>
      </w:r>
      <w:r w:rsidR="009822B1" w:rsidRPr="002E2AA0">
        <w:rPr>
          <w:rFonts w:ascii="Times New Roman" w:hAnsi="Times New Roman" w:cs="Times New Roman"/>
          <w:bCs/>
          <w:lang w:val="en-US"/>
        </w:rPr>
        <w:t xml:space="preserve">in this review </w:t>
      </w:r>
      <w:r w:rsidRPr="002E2AA0">
        <w:rPr>
          <w:rFonts w:ascii="Times New Roman" w:hAnsi="Times New Roman" w:cs="Times New Roman"/>
          <w:bCs/>
          <w:lang w:val="en-US"/>
        </w:rPr>
        <w:t>to compare the findings of the studies</w:t>
      </w:r>
      <w:r w:rsidR="009822B1" w:rsidRPr="002E2AA0">
        <w:rPr>
          <w:rFonts w:ascii="Times New Roman" w:hAnsi="Times New Roman" w:cs="Times New Roman"/>
          <w:bCs/>
          <w:lang w:val="en-US"/>
        </w:rPr>
        <w:t xml:space="preserve"> evaluating the GLM </w:t>
      </w:r>
      <w:r w:rsidR="002E2AA0" w:rsidRPr="002E2AA0">
        <w:rPr>
          <w:rFonts w:ascii="Times New Roman" w:hAnsi="Times New Roman" w:cs="Times New Roman"/>
          <w:bCs/>
          <w:lang w:val="en-US"/>
        </w:rPr>
        <w:t>assumptions</w:t>
      </w:r>
      <w:r w:rsidRPr="002E2AA0">
        <w:rPr>
          <w:rFonts w:ascii="Times New Roman" w:hAnsi="Times New Roman" w:cs="Times New Roman"/>
          <w:bCs/>
          <w:lang w:val="en-US"/>
        </w:rPr>
        <w:t xml:space="preserve"> </w:t>
      </w:r>
      <w:r w:rsidR="009822B1" w:rsidRPr="002E2AA0">
        <w:rPr>
          <w:rFonts w:ascii="Times New Roman" w:hAnsi="Times New Roman" w:cs="Times New Roman"/>
          <w:bCs/>
          <w:lang w:val="en-US"/>
        </w:rPr>
        <w:t>as a</w:t>
      </w:r>
      <w:r w:rsidRPr="002E2AA0">
        <w:rPr>
          <w:rFonts w:ascii="Times New Roman" w:hAnsi="Times New Roman" w:cs="Times New Roman"/>
          <w:bCs/>
          <w:lang w:val="en-US"/>
        </w:rPr>
        <w:t xml:space="preserve"> variety of </w:t>
      </w:r>
      <w:r w:rsidR="009822B1" w:rsidRPr="002E2AA0">
        <w:rPr>
          <w:rFonts w:ascii="Times New Roman" w:hAnsi="Times New Roman" w:cs="Times New Roman"/>
          <w:bCs/>
          <w:lang w:val="en-US"/>
        </w:rPr>
        <w:t xml:space="preserve">different </w:t>
      </w:r>
      <w:r w:rsidRPr="002E2AA0">
        <w:rPr>
          <w:rFonts w:ascii="Times New Roman" w:hAnsi="Times New Roman" w:cs="Times New Roman"/>
          <w:bCs/>
          <w:lang w:val="en-US"/>
        </w:rPr>
        <w:t>measures</w:t>
      </w:r>
      <w:r w:rsidR="009822B1" w:rsidRPr="002E2AA0">
        <w:rPr>
          <w:rFonts w:ascii="Times New Roman" w:hAnsi="Times New Roman" w:cs="Times New Roman"/>
          <w:bCs/>
          <w:lang w:val="en-US"/>
        </w:rPr>
        <w:t xml:space="preserve"> were</w:t>
      </w:r>
      <w:r w:rsidRPr="002E2AA0">
        <w:rPr>
          <w:rFonts w:ascii="Times New Roman" w:hAnsi="Times New Roman" w:cs="Times New Roman"/>
          <w:bCs/>
          <w:lang w:val="en-US"/>
        </w:rPr>
        <w:t xml:space="preserve"> used</w:t>
      </w:r>
      <w:r w:rsidR="009822B1" w:rsidRPr="002E2AA0">
        <w:rPr>
          <w:rFonts w:ascii="Times New Roman" w:hAnsi="Times New Roman" w:cs="Times New Roman"/>
          <w:bCs/>
          <w:lang w:val="en-US"/>
        </w:rPr>
        <w:t xml:space="preserve"> throughout</w:t>
      </w:r>
      <w:r w:rsidRPr="002E2AA0">
        <w:rPr>
          <w:rFonts w:ascii="Times New Roman" w:hAnsi="Times New Roman" w:cs="Times New Roman"/>
          <w:bCs/>
          <w:lang w:val="en-US"/>
        </w:rPr>
        <w:t>. For instance, some studies directly probed participants regarding each of the primary goods (e.g., Barnett &amp; Wood, 2008; Loney &amp; Harkins, 2018), whilst others used measures of QoL (e.g., Barendregt et al., 2015; Bouman et al., 2009).</w:t>
      </w:r>
      <w:r w:rsidR="00C03278" w:rsidRPr="002E2AA0">
        <w:rPr>
          <w:rFonts w:ascii="Times New Roman" w:hAnsi="Times New Roman" w:cs="Times New Roman"/>
          <w:bCs/>
          <w:lang w:val="en-US"/>
        </w:rPr>
        <w:t xml:space="preserve"> </w:t>
      </w:r>
      <w:r w:rsidR="009822B1" w:rsidRPr="002E2AA0">
        <w:rPr>
          <w:rFonts w:ascii="Times New Roman" w:hAnsi="Times New Roman" w:cs="Times New Roman"/>
          <w:bCs/>
          <w:lang w:val="en-US"/>
        </w:rPr>
        <w:t xml:space="preserve">It is questionable whether the different measures fully mapped onto the GLM primary goods, which may explain the contradictory findings (e.g., Barendregt, 2018). </w:t>
      </w:r>
      <w:r w:rsidR="00C03278" w:rsidRPr="002E2AA0">
        <w:rPr>
          <w:rFonts w:ascii="Times New Roman" w:hAnsi="Times New Roman" w:cs="Times New Roman"/>
          <w:bCs/>
          <w:lang w:val="en-US"/>
        </w:rPr>
        <w:t xml:space="preserve">As such, to ensure comparable and valid research is conducted, the development of a </w:t>
      </w:r>
      <w:r w:rsidR="00EC638A" w:rsidRPr="002E2AA0">
        <w:rPr>
          <w:rFonts w:ascii="Times New Roman" w:hAnsi="Times New Roman" w:cs="Times New Roman"/>
          <w:bCs/>
          <w:lang w:val="en-US"/>
        </w:rPr>
        <w:t>standardized</w:t>
      </w:r>
      <w:r w:rsidR="00C03278" w:rsidRPr="002E2AA0">
        <w:rPr>
          <w:rFonts w:ascii="Times New Roman" w:hAnsi="Times New Roman" w:cs="Times New Roman"/>
          <w:bCs/>
          <w:lang w:val="en-US"/>
        </w:rPr>
        <w:t xml:space="preserve"> measure for the primary goods, as specified in the GLM, is essential (Willis &amp; Grace, 2008). </w:t>
      </w:r>
    </w:p>
    <w:p w14:paraId="4A35374C" w14:textId="4D6867C4" w:rsidR="002A714C" w:rsidRPr="0040347C" w:rsidRDefault="00216D9E" w:rsidP="0040347C">
      <w:pPr>
        <w:spacing w:line="480" w:lineRule="auto"/>
        <w:rPr>
          <w:rFonts w:ascii="Times New Roman" w:hAnsi="Times New Roman" w:cs="Times New Roman"/>
          <w:bCs/>
          <w:lang w:val="en-US"/>
        </w:rPr>
      </w:pPr>
      <w:r w:rsidRPr="002E2AA0">
        <w:rPr>
          <w:rFonts w:ascii="Times New Roman" w:hAnsi="Times New Roman" w:cs="Times New Roman"/>
          <w:bCs/>
          <w:lang w:val="en-US"/>
        </w:rPr>
        <w:tab/>
        <w:t>A further limitation of this review relates to the search process. GLM experts could have been contacted for assistance in identifying relevant studies, particularly amongst the grey literature. However, the GLM website (</w:t>
      </w:r>
      <w:r w:rsidRPr="002E2AA0">
        <w:rPr>
          <w:rFonts w:ascii="Times New Roman" w:hAnsi="Times New Roman" w:cs="Times New Roman"/>
          <w:lang w:val="en-US"/>
        </w:rPr>
        <w:t xml:space="preserve">https://www.goodlivesmodel.com/index.shtml), </w:t>
      </w:r>
      <w:r w:rsidRPr="002E2AA0">
        <w:rPr>
          <w:rFonts w:ascii="Times New Roman" w:hAnsi="Times New Roman" w:cs="Times New Roman"/>
          <w:bCs/>
          <w:lang w:val="en-US"/>
        </w:rPr>
        <w:t xml:space="preserve">which is regularly updated by experts in the field, was searched for any potential studies that could meet the inclusion criteria. In addition, a number of studies within the grey literature </w:t>
      </w:r>
      <w:r w:rsidRPr="002E2AA0">
        <w:rPr>
          <w:rFonts w:ascii="Times New Roman" w:hAnsi="Times New Roman" w:cs="Times New Roman"/>
          <w:bCs/>
          <w:lang w:val="en-US"/>
        </w:rPr>
        <w:lastRenderedPageBreak/>
        <w:t>were identified using the broad search strategy; reducing publication bias. Furthermore, where full text access was not available (Simons et al., 2006), both the authors and experts in the field were contacted</w:t>
      </w:r>
      <w:r w:rsidR="00944D43" w:rsidRPr="002E2AA0">
        <w:rPr>
          <w:rFonts w:ascii="Times New Roman" w:hAnsi="Times New Roman" w:cs="Times New Roman"/>
          <w:bCs/>
          <w:lang w:val="en-US"/>
        </w:rPr>
        <w:t xml:space="preserve">. Yet, </w:t>
      </w:r>
      <w:r w:rsidRPr="002E2AA0">
        <w:rPr>
          <w:rFonts w:ascii="Times New Roman" w:hAnsi="Times New Roman" w:cs="Times New Roman"/>
          <w:bCs/>
          <w:lang w:val="en-US"/>
        </w:rPr>
        <w:t>this request was not responded to</w:t>
      </w:r>
      <w:r w:rsidR="00944D43" w:rsidRPr="002E2AA0">
        <w:rPr>
          <w:rFonts w:ascii="Times New Roman" w:hAnsi="Times New Roman" w:cs="Times New Roman"/>
          <w:bCs/>
          <w:lang w:val="en-US"/>
        </w:rPr>
        <w:t xml:space="preserve">, meaning </w:t>
      </w:r>
      <w:r w:rsidR="007F2FAF" w:rsidRPr="002E2AA0">
        <w:rPr>
          <w:rFonts w:ascii="Times New Roman" w:hAnsi="Times New Roman" w:cs="Times New Roman"/>
          <w:bCs/>
          <w:lang w:val="en-US"/>
        </w:rPr>
        <w:t xml:space="preserve">the potentially relevant study by </w:t>
      </w:r>
      <w:r w:rsidR="00944D43" w:rsidRPr="002E2AA0">
        <w:rPr>
          <w:rFonts w:ascii="Times New Roman" w:hAnsi="Times New Roman" w:cs="Times New Roman"/>
          <w:bCs/>
          <w:lang w:val="en-US"/>
        </w:rPr>
        <w:t>Simons and colleagues (2016) had to be excluded.</w:t>
      </w:r>
      <w:r w:rsidR="00B93DBF" w:rsidRPr="002E2AA0">
        <w:rPr>
          <w:rFonts w:ascii="Times New Roman" w:hAnsi="Times New Roman" w:cs="Times New Roman"/>
          <w:bCs/>
          <w:lang w:val="en-US"/>
        </w:rPr>
        <w:t xml:space="preserve"> Despite these limitations, this is the first systematic review to examine the literature surrounding the GLM </w:t>
      </w:r>
      <w:r w:rsidR="002E2AA0" w:rsidRPr="002E2AA0">
        <w:rPr>
          <w:rFonts w:ascii="Times New Roman" w:hAnsi="Times New Roman" w:cs="Times New Roman"/>
          <w:bCs/>
          <w:lang w:val="en-US"/>
        </w:rPr>
        <w:t>assumptions</w:t>
      </w:r>
      <w:r w:rsidR="00B93DBF" w:rsidRPr="002E2AA0">
        <w:rPr>
          <w:rFonts w:ascii="Times New Roman" w:hAnsi="Times New Roman" w:cs="Times New Roman"/>
          <w:bCs/>
          <w:lang w:val="en-US"/>
        </w:rPr>
        <w:t xml:space="preserve"> and has provided a needed update regarding the outcomes of GLM-consistent interventions.</w:t>
      </w:r>
    </w:p>
    <w:p w14:paraId="319BF75A" w14:textId="6BEB7B0F" w:rsidR="00A27D4A" w:rsidRPr="002E2AA0" w:rsidRDefault="00FB34FF" w:rsidP="00A27D4A">
      <w:pPr>
        <w:spacing w:line="480" w:lineRule="auto"/>
        <w:jc w:val="center"/>
        <w:rPr>
          <w:rFonts w:ascii="Times New Roman" w:hAnsi="Times New Roman" w:cs="Times New Roman"/>
          <w:b/>
          <w:bCs/>
          <w:lang w:val="en-US"/>
        </w:rPr>
      </w:pPr>
      <w:r>
        <w:rPr>
          <w:rFonts w:ascii="Times New Roman" w:hAnsi="Times New Roman" w:cs="Times New Roman"/>
          <w:b/>
          <w:bCs/>
          <w:lang w:val="en-US"/>
        </w:rPr>
        <w:t xml:space="preserve">7. </w:t>
      </w:r>
      <w:r w:rsidR="00A27D4A" w:rsidRPr="002E2AA0">
        <w:rPr>
          <w:rFonts w:ascii="Times New Roman" w:hAnsi="Times New Roman" w:cs="Times New Roman"/>
          <w:b/>
          <w:bCs/>
          <w:lang w:val="en-US"/>
        </w:rPr>
        <w:t>Conclusion</w:t>
      </w:r>
    </w:p>
    <w:p w14:paraId="476D0459" w14:textId="7677C8AA" w:rsidR="00EE014F" w:rsidRDefault="00F80416" w:rsidP="00A27D4A">
      <w:pPr>
        <w:spacing w:line="480" w:lineRule="auto"/>
        <w:rPr>
          <w:rFonts w:ascii="Times New Roman" w:hAnsi="Times New Roman" w:cs="Times New Roman"/>
          <w:lang w:val="en-US"/>
        </w:rPr>
      </w:pPr>
      <w:r w:rsidRPr="002E2AA0">
        <w:rPr>
          <w:rFonts w:ascii="Times New Roman" w:hAnsi="Times New Roman" w:cs="Times New Roman"/>
          <w:lang w:val="en-US"/>
        </w:rPr>
        <w:tab/>
        <w:t xml:space="preserve">This systematic review synthesized the literature examining the GLM assumptions and outcomes of GLM-consistent interventions. Specifically, there were mixed findings regarding the three GLM assumptions examined: (1) half of the reviewed studies supported the assumption that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represents an attempt to fulfil the primary goods, with the remainder not finding a relationship between these factors; (2) the four obstacles were found to prevent attainment of primary goods, and; (3) of the two studies available, only one study found </w:t>
      </w:r>
      <w:r w:rsidRPr="002E2AA0">
        <w:rPr>
          <w:rFonts w:ascii="Times New Roman" w:hAnsi="Times New Roman" w:cs="Times New Roman"/>
          <w:i/>
          <w:iCs/>
          <w:lang w:val="en-US"/>
        </w:rPr>
        <w:t>both</w:t>
      </w:r>
      <w:r w:rsidRPr="002E2AA0">
        <w:rPr>
          <w:rFonts w:ascii="Times New Roman" w:hAnsi="Times New Roman" w:cs="Times New Roman"/>
          <w:lang w:val="en-US"/>
        </w:rPr>
        <w:t xml:space="preserve"> the indirect and direct pathways were experienced by individuals who had offended. Preliminary findings regarding the outcomes of GLM-consisten</w:t>
      </w:r>
      <w:r w:rsidR="00F807C7">
        <w:rPr>
          <w:rFonts w:ascii="Times New Roman" w:hAnsi="Times New Roman" w:cs="Times New Roman"/>
          <w:lang w:val="en-US"/>
        </w:rPr>
        <w:t xml:space="preserve">t interventions were positive; </w:t>
      </w:r>
      <w:r w:rsidRPr="002E2AA0">
        <w:rPr>
          <w:rFonts w:ascii="Times New Roman" w:hAnsi="Times New Roman" w:cs="Times New Roman"/>
          <w:lang w:val="en-US"/>
        </w:rPr>
        <w:t>GLM-consistent intervention</w:t>
      </w:r>
      <w:r w:rsidR="005934A8">
        <w:rPr>
          <w:rFonts w:ascii="Times New Roman" w:hAnsi="Times New Roman" w:cs="Times New Roman"/>
          <w:lang w:val="en-US"/>
        </w:rPr>
        <w:t>s</w:t>
      </w:r>
      <w:r w:rsidRPr="002E2AA0">
        <w:rPr>
          <w:rFonts w:ascii="Times New Roman" w:hAnsi="Times New Roman" w:cs="Times New Roman"/>
          <w:lang w:val="en-US"/>
        </w:rPr>
        <w:t xml:space="preserve"> were found to be as effective as standard RP </w:t>
      </w:r>
      <w:r w:rsidR="00EC638A" w:rsidRPr="002E2AA0">
        <w:rPr>
          <w:rFonts w:ascii="Times New Roman" w:hAnsi="Times New Roman" w:cs="Times New Roman"/>
          <w:lang w:val="en-US"/>
        </w:rPr>
        <w:t>programs</w:t>
      </w:r>
      <w:r w:rsidRPr="002E2AA0">
        <w:rPr>
          <w:rFonts w:ascii="Times New Roman" w:hAnsi="Times New Roman" w:cs="Times New Roman"/>
          <w:lang w:val="en-US"/>
        </w:rPr>
        <w:t xml:space="preserve">, whilst enhancing motivation to change, engagement in treatment and optimism for the future amongst participants. However, this review has highlighted that there remains a paucity of research concerning both the GLM assumptions and outcomes of GLM-consistent interventions, despite the wide-spread interest in this model of offender rehabilitation. As such, </w:t>
      </w:r>
      <w:r w:rsidR="003A05CA" w:rsidRPr="002E2AA0">
        <w:rPr>
          <w:rFonts w:ascii="Times New Roman" w:hAnsi="Times New Roman" w:cs="Times New Roman"/>
          <w:lang w:val="en-US"/>
        </w:rPr>
        <w:t xml:space="preserve">in answer the question, ‘to what extent is the GLM an ideological and </w:t>
      </w:r>
      <w:r w:rsidR="00EC638A" w:rsidRPr="002E2AA0">
        <w:rPr>
          <w:rFonts w:ascii="Times New Roman" w:hAnsi="Times New Roman" w:cs="Times New Roman"/>
          <w:lang w:val="en-US"/>
        </w:rPr>
        <w:t>intuition-based</w:t>
      </w:r>
      <w:r w:rsidR="003A05CA" w:rsidRPr="002E2AA0">
        <w:rPr>
          <w:rFonts w:ascii="Times New Roman" w:hAnsi="Times New Roman" w:cs="Times New Roman"/>
          <w:lang w:val="en-US"/>
        </w:rPr>
        <w:t xml:space="preserve"> model, or an empirically supported model?’, it can be concluded that the GLM is tentatively emerging as an empirically supported model. Although, much more rigorous and </w:t>
      </w:r>
      <w:r w:rsidR="00EC638A" w:rsidRPr="002E2AA0">
        <w:rPr>
          <w:rFonts w:ascii="Times New Roman" w:hAnsi="Times New Roman" w:cs="Times New Roman"/>
          <w:lang w:val="en-US"/>
        </w:rPr>
        <w:t>high-quality</w:t>
      </w:r>
      <w:r w:rsidR="003A05CA" w:rsidRPr="002E2AA0">
        <w:rPr>
          <w:rFonts w:ascii="Times New Roman" w:hAnsi="Times New Roman" w:cs="Times New Roman"/>
          <w:lang w:val="en-US"/>
        </w:rPr>
        <w:t xml:space="preserve"> evaluations of the GLM are essential. </w:t>
      </w:r>
    </w:p>
    <w:p w14:paraId="462B75D2" w14:textId="77777777" w:rsidR="00607D70" w:rsidRPr="00607D70" w:rsidRDefault="00607D70" w:rsidP="00607D70">
      <w:pPr>
        <w:spacing w:line="480" w:lineRule="auto"/>
        <w:jc w:val="center"/>
        <w:rPr>
          <w:rFonts w:ascii="Times New Roman" w:hAnsi="Times New Roman" w:cs="Times New Roman"/>
          <w:b/>
        </w:rPr>
      </w:pPr>
      <w:r w:rsidRPr="00607D70">
        <w:rPr>
          <w:rFonts w:ascii="Times New Roman" w:hAnsi="Times New Roman" w:cs="Times New Roman"/>
          <w:b/>
        </w:rPr>
        <w:lastRenderedPageBreak/>
        <w:t>Funding Sources</w:t>
      </w:r>
    </w:p>
    <w:p w14:paraId="3C4C9D34" w14:textId="433C4AE5" w:rsidR="00EE014F" w:rsidRPr="00A8392F" w:rsidRDefault="00607D70" w:rsidP="00A8392F">
      <w:pPr>
        <w:spacing w:line="480" w:lineRule="auto"/>
        <w:rPr>
          <w:rFonts w:ascii="Times New Roman" w:hAnsi="Times New Roman" w:cs="Times New Roman"/>
        </w:rPr>
      </w:pPr>
      <w:r w:rsidRPr="00607D70">
        <w:rPr>
          <w:rFonts w:ascii="Times New Roman" w:hAnsi="Times New Roman" w:cs="Times New Roman"/>
        </w:rPr>
        <w:t>This work was supported by the Economic and Social Research Council (grant number ES/J500148/1).</w:t>
      </w:r>
    </w:p>
    <w:p w14:paraId="39FBC0ED" w14:textId="77777777" w:rsidR="0040347C" w:rsidRDefault="0040347C">
      <w:pPr>
        <w:rPr>
          <w:rFonts w:ascii="Times New Roman" w:eastAsia="Calibri" w:hAnsi="Times New Roman" w:cs="Times New Roman"/>
        </w:rPr>
      </w:pPr>
      <w:r>
        <w:rPr>
          <w:rFonts w:ascii="Times New Roman" w:eastAsia="Calibri" w:hAnsi="Times New Roman" w:cs="Times New Roman"/>
        </w:rPr>
        <w:br w:type="page"/>
      </w:r>
    </w:p>
    <w:p w14:paraId="6237A9AF" w14:textId="3BC970DE" w:rsidR="00DC1737" w:rsidRPr="00DC1737" w:rsidRDefault="00DC1737" w:rsidP="00DC1737">
      <w:pPr>
        <w:spacing w:line="480" w:lineRule="auto"/>
        <w:jc w:val="center"/>
        <w:rPr>
          <w:rFonts w:ascii="Times New Roman" w:eastAsia="Calibri" w:hAnsi="Times New Roman" w:cs="Times New Roman"/>
        </w:rPr>
      </w:pPr>
      <w:r w:rsidRPr="00DC1737">
        <w:rPr>
          <w:rFonts w:ascii="Times New Roman" w:eastAsia="Calibri" w:hAnsi="Times New Roman" w:cs="Times New Roman"/>
        </w:rPr>
        <w:lastRenderedPageBreak/>
        <w:t>References</w:t>
      </w:r>
    </w:p>
    <w:p w14:paraId="0C757798"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American Psychiatric Association (2000). </w:t>
      </w:r>
      <w:r w:rsidRPr="00DC1737">
        <w:rPr>
          <w:rFonts w:ascii="Times New Roman" w:eastAsia="Calibri" w:hAnsi="Times New Roman" w:cs="Times New Roman"/>
          <w:i/>
        </w:rPr>
        <w:t xml:space="preserve">Diagnostic and statistical manual of mental disorders </w:t>
      </w:r>
      <w:r w:rsidRPr="00DC1737">
        <w:rPr>
          <w:rFonts w:ascii="Times New Roman" w:eastAsia="Calibri" w:hAnsi="Times New Roman" w:cs="Times New Roman"/>
        </w:rPr>
        <w:t>(4</w:t>
      </w:r>
      <w:r w:rsidRPr="00DC1737">
        <w:rPr>
          <w:rFonts w:ascii="Times New Roman" w:eastAsia="Calibri" w:hAnsi="Times New Roman" w:cs="Times New Roman"/>
          <w:vertAlign w:val="superscript"/>
        </w:rPr>
        <w:t>th</w:t>
      </w:r>
      <w:r w:rsidRPr="00DC1737">
        <w:rPr>
          <w:rFonts w:ascii="Times New Roman" w:eastAsia="Calibri" w:hAnsi="Times New Roman" w:cs="Times New Roman"/>
        </w:rPr>
        <w:t xml:space="preserve"> ed., Text Revision). Author.</w:t>
      </w:r>
    </w:p>
    <w:p w14:paraId="1179AD9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Andrews, D. A., &amp; Bonta, J. L. (1995). </w:t>
      </w:r>
      <w:r w:rsidRPr="00DC1737">
        <w:rPr>
          <w:rFonts w:ascii="Times New Roman" w:eastAsia="Calibri" w:hAnsi="Times New Roman" w:cs="Times New Roman"/>
          <w:i/>
        </w:rPr>
        <w:t xml:space="preserve">The Level of Service Inventory – Revised. </w:t>
      </w:r>
      <w:r w:rsidRPr="00DC1737">
        <w:rPr>
          <w:rFonts w:ascii="Times New Roman" w:eastAsia="Calibri" w:hAnsi="Times New Roman" w:cs="Times New Roman"/>
        </w:rPr>
        <w:t>Multi-Health Systems.</w:t>
      </w:r>
    </w:p>
    <w:p w14:paraId="0405CD4F"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Andrews, D. A., &amp; Bonta, J. (2010). Rehabilitating criminal justice policy and practice. </w:t>
      </w:r>
      <w:r w:rsidRPr="00DC1737">
        <w:rPr>
          <w:rFonts w:ascii="Times New Roman" w:eastAsia="Calibri" w:hAnsi="Times New Roman" w:cs="Times New Roman"/>
          <w:i/>
        </w:rPr>
        <w:t>Psychology, Public Policy, and Law, 16</w:t>
      </w:r>
      <w:r w:rsidRPr="00DC1737">
        <w:rPr>
          <w:rFonts w:ascii="Times New Roman" w:eastAsia="Calibri" w:hAnsi="Times New Roman" w:cs="Times New Roman"/>
        </w:rPr>
        <w:t>(1), 39–55. http://doi.org/10.1037/a0018362</w:t>
      </w:r>
    </w:p>
    <w:p w14:paraId="6DA1F370"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Arnett, J. J. (2007). Emerging Adulthood: What Is It, and What Is It Good For? Child Development Perspectives, 1(2), 68–73. https://doi.org/10.1111/j.1750-8606.2007.00016.x</w:t>
      </w:r>
    </w:p>
    <w:p w14:paraId="7905022D"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Barendregt, C. S. (2015). </w:t>
      </w:r>
      <w:r w:rsidR="00DC1737" w:rsidRPr="00DC1737">
        <w:rPr>
          <w:rFonts w:ascii="Times New Roman" w:eastAsia="Calibri" w:hAnsi="Times New Roman" w:cs="Times New Roman"/>
          <w:i/>
        </w:rPr>
        <w:t xml:space="preserve">Needs, risks, and protective factors of adolescents in secure residential care: Identification of a conceptual model based on the Good Lives Model </w:t>
      </w:r>
      <w:r w:rsidR="00DC1737" w:rsidRPr="00DC1737">
        <w:rPr>
          <w:rFonts w:ascii="Times New Roman" w:eastAsia="Calibri" w:hAnsi="Times New Roman" w:cs="Times New Roman"/>
        </w:rPr>
        <w:t xml:space="preserve">[Doctoral dissertation, Tilburg University]. </w:t>
      </w:r>
      <w:proofErr w:type="spellStart"/>
      <w:r w:rsidR="00DC1737" w:rsidRPr="00DC1737">
        <w:rPr>
          <w:rFonts w:ascii="Times New Roman" w:eastAsia="Calibri" w:hAnsi="Times New Roman" w:cs="Times New Roman"/>
        </w:rPr>
        <w:t>Ipskamp</w:t>
      </w:r>
      <w:proofErr w:type="spellEnd"/>
      <w:r w:rsidR="00DC1737" w:rsidRPr="00DC1737">
        <w:rPr>
          <w:rFonts w:ascii="Times New Roman" w:eastAsia="Calibri" w:hAnsi="Times New Roman" w:cs="Times New Roman"/>
        </w:rPr>
        <w:t xml:space="preserve"> </w:t>
      </w:r>
      <w:proofErr w:type="spellStart"/>
      <w:r w:rsidR="00DC1737" w:rsidRPr="00DC1737">
        <w:rPr>
          <w:rFonts w:ascii="Times New Roman" w:eastAsia="Calibri" w:hAnsi="Times New Roman" w:cs="Times New Roman"/>
        </w:rPr>
        <w:t>Drukkers</w:t>
      </w:r>
      <w:proofErr w:type="spellEnd"/>
      <w:r w:rsidR="00DC1737" w:rsidRPr="00DC1737">
        <w:rPr>
          <w:rFonts w:ascii="Times New Roman" w:eastAsia="Calibri" w:hAnsi="Times New Roman" w:cs="Times New Roman"/>
        </w:rPr>
        <w:t>. https://pure.uvt.nl/ws/portalfiles/portal/25642852/Barendregt_Needs_06_03_2015_emb_tot_01_05_2018_aangep_Dankwoord_eruit.pdf</w:t>
      </w:r>
      <w:r w:rsidR="00DC1737" w:rsidRPr="00DC1737">
        <w:rPr>
          <w:rFonts w:ascii="Times New Roman" w:eastAsia="Calibri" w:hAnsi="Times New Roman" w:cs="Times New Roman"/>
          <w:i/>
        </w:rPr>
        <w:t xml:space="preserve"> </w:t>
      </w:r>
    </w:p>
    <w:p w14:paraId="5031672A"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Barendregt, C. S., Van der Laan, A. M., </w:t>
      </w:r>
      <w:proofErr w:type="spellStart"/>
      <w:r w:rsidR="00DC1737" w:rsidRPr="00DC1737">
        <w:rPr>
          <w:rFonts w:ascii="Times New Roman" w:eastAsia="Calibri" w:hAnsi="Times New Roman" w:cs="Times New Roman"/>
        </w:rPr>
        <w:t>Bongers</w:t>
      </w:r>
      <w:proofErr w:type="spellEnd"/>
      <w:r w:rsidR="00DC1737" w:rsidRPr="00DC1737">
        <w:rPr>
          <w:rFonts w:ascii="Times New Roman" w:eastAsia="Calibri" w:hAnsi="Times New Roman" w:cs="Times New Roman"/>
        </w:rPr>
        <w:t xml:space="preserve">, I. L., &amp; Van Nieuwenhuizen, C. (2018). Quality of life, delinquency and psychosocial functioning of adolescents in secure residential care: testing two assumptions of the Good Lives Model. </w:t>
      </w:r>
      <w:r w:rsidR="00DC1737" w:rsidRPr="00DC1737">
        <w:rPr>
          <w:rFonts w:ascii="Times New Roman" w:eastAsia="Calibri" w:hAnsi="Times New Roman" w:cs="Times New Roman"/>
          <w:i/>
        </w:rPr>
        <w:t>Child and Adolescent Psychiatry and Mental Health, 12</w:t>
      </w:r>
      <w:r w:rsidR="00DC1737" w:rsidRPr="00DC1737">
        <w:rPr>
          <w:rFonts w:ascii="Times New Roman" w:eastAsia="Calibri" w:hAnsi="Times New Roman" w:cs="Times New Roman"/>
        </w:rPr>
        <w:t>(1). https://doi.org/10.1186/s13034-017-0209-9</w:t>
      </w:r>
    </w:p>
    <w:p w14:paraId="124FA8FA"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Barnett, G. D., </w:t>
      </w:r>
      <w:proofErr w:type="spellStart"/>
      <w:r w:rsidR="00DC1737" w:rsidRPr="00DC1737">
        <w:rPr>
          <w:rFonts w:ascii="Times New Roman" w:eastAsia="Calibri" w:hAnsi="Times New Roman" w:cs="Times New Roman"/>
        </w:rPr>
        <w:t>Manderville</w:t>
      </w:r>
      <w:proofErr w:type="spellEnd"/>
      <w:r w:rsidR="00DC1737" w:rsidRPr="00DC1737">
        <w:rPr>
          <w:rFonts w:ascii="Times New Roman" w:eastAsia="Calibri" w:hAnsi="Times New Roman" w:cs="Times New Roman"/>
        </w:rPr>
        <w:t xml:space="preserve">-Norden, R., &amp; </w:t>
      </w:r>
      <w:proofErr w:type="spellStart"/>
      <w:r w:rsidR="00DC1737" w:rsidRPr="00DC1737">
        <w:rPr>
          <w:rFonts w:ascii="Times New Roman" w:eastAsia="Calibri" w:hAnsi="Times New Roman" w:cs="Times New Roman"/>
        </w:rPr>
        <w:t>Rakestrow</w:t>
      </w:r>
      <w:proofErr w:type="spellEnd"/>
      <w:r w:rsidR="00DC1737" w:rsidRPr="00DC1737">
        <w:rPr>
          <w:rFonts w:ascii="Times New Roman" w:eastAsia="Calibri" w:hAnsi="Times New Roman" w:cs="Times New Roman"/>
        </w:rPr>
        <w:t xml:space="preserve">, J. (2014). The Good Lives Model or relapse prevention: What works better in facilitating change? </w:t>
      </w:r>
      <w:r w:rsidR="00DC1737" w:rsidRPr="00DC1737">
        <w:rPr>
          <w:rFonts w:ascii="Times New Roman" w:eastAsia="Calibri" w:hAnsi="Times New Roman" w:cs="Times New Roman"/>
          <w:i/>
        </w:rPr>
        <w:t>Sexual Abuse, 26</w:t>
      </w:r>
      <w:r w:rsidR="00DC1737" w:rsidRPr="00DC1737">
        <w:rPr>
          <w:rFonts w:ascii="Times New Roman" w:eastAsia="Calibri" w:hAnsi="Times New Roman" w:cs="Times New Roman"/>
        </w:rPr>
        <w:t>(1), 3-33. https://doi.org/10.1177/1079063212474473</w:t>
      </w:r>
    </w:p>
    <w:p w14:paraId="151235D2"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lastRenderedPageBreak/>
        <w:t>*</w:t>
      </w:r>
      <w:r w:rsidR="00DC1737" w:rsidRPr="00DC1737">
        <w:rPr>
          <w:rFonts w:ascii="Times New Roman" w:eastAsia="Calibri" w:hAnsi="Times New Roman" w:cs="Times New Roman"/>
        </w:rPr>
        <w:t xml:space="preserve">Barnett, G., &amp; Wood, J. L. (2008). Agency, relatedness, inner peace, and problem solving in sexual offending. </w:t>
      </w:r>
      <w:r w:rsidR="00DC1737" w:rsidRPr="00DC1737">
        <w:rPr>
          <w:rFonts w:ascii="Times New Roman" w:eastAsia="Calibri" w:hAnsi="Times New Roman" w:cs="Times New Roman"/>
          <w:i/>
        </w:rPr>
        <w:t>Sexual Abuse: A Journal of Research and Treatment, 20</w:t>
      </w:r>
      <w:r w:rsidR="00DC1737" w:rsidRPr="00DC1737">
        <w:rPr>
          <w:rFonts w:ascii="Times New Roman" w:eastAsia="Calibri" w:hAnsi="Times New Roman" w:cs="Times New Roman"/>
        </w:rPr>
        <w:t>(4), 444–465. https://doi.org/10.1177/1079063208325202</w:t>
      </w:r>
    </w:p>
    <w:p w14:paraId="76A77933"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Becket, R. C. (1987). </w:t>
      </w:r>
      <w:r w:rsidRPr="00DC1737">
        <w:rPr>
          <w:rFonts w:ascii="Times New Roman" w:eastAsia="Calibri" w:hAnsi="Times New Roman" w:cs="Times New Roman"/>
          <w:i/>
        </w:rPr>
        <w:t xml:space="preserve">Children and sex questionnaire </w:t>
      </w:r>
      <w:r w:rsidRPr="00DC1737">
        <w:rPr>
          <w:rFonts w:ascii="Times New Roman" w:eastAsia="Calibri" w:hAnsi="Times New Roman" w:cs="Times New Roman"/>
        </w:rPr>
        <w:t>[Unpublished manuscript].</w:t>
      </w:r>
    </w:p>
    <w:p w14:paraId="11E1976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Becket, R. C., &amp; Fisher, D. (1994) </w:t>
      </w:r>
      <w:r w:rsidRPr="00DC1737">
        <w:rPr>
          <w:rFonts w:ascii="Times New Roman" w:eastAsia="Calibri" w:hAnsi="Times New Roman" w:cs="Times New Roman"/>
          <w:i/>
        </w:rPr>
        <w:t xml:space="preserve">Assessing victim empathy: A new measure </w:t>
      </w:r>
      <w:r w:rsidRPr="00DC1737">
        <w:rPr>
          <w:rFonts w:ascii="Times New Roman" w:eastAsia="Calibri" w:hAnsi="Times New Roman" w:cs="Times New Roman"/>
        </w:rPr>
        <w:t>[Paper Presentation]. 13</w:t>
      </w:r>
      <w:r w:rsidRPr="00DC1737">
        <w:rPr>
          <w:rFonts w:ascii="Times New Roman" w:eastAsia="Calibri" w:hAnsi="Times New Roman" w:cs="Times New Roman"/>
          <w:vertAlign w:val="superscript"/>
        </w:rPr>
        <w:t>th</w:t>
      </w:r>
      <w:r w:rsidRPr="00DC1737">
        <w:rPr>
          <w:rFonts w:ascii="Times New Roman" w:eastAsia="Calibri" w:hAnsi="Times New Roman" w:cs="Times New Roman"/>
        </w:rPr>
        <w:t xml:space="preserve"> Annual Conference of the Association for the Treatment of Sexual Abusers, San Francisco, CA, United States.</w:t>
      </w:r>
    </w:p>
    <w:p w14:paraId="167A509E"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Beckett, R. C., Fisher, D., Mann, R., &amp; Thornton, D. (1997). The relapse prevention questionnaire and interview. In H. Eldridge (Ed.), </w:t>
      </w:r>
      <w:r w:rsidRPr="00DC1737">
        <w:rPr>
          <w:rFonts w:ascii="Times New Roman" w:eastAsia="Calibri" w:hAnsi="Times New Roman" w:cs="Times New Roman"/>
          <w:i/>
        </w:rPr>
        <w:t>Therapists guide for maintaining change: Relapse prevention manual for adult male perpetrators of child sexual abuse</w:t>
      </w:r>
      <w:r w:rsidRPr="00DC1737">
        <w:rPr>
          <w:rFonts w:ascii="Times New Roman" w:eastAsia="Calibri" w:hAnsi="Times New Roman" w:cs="Times New Roman"/>
        </w:rPr>
        <w:t xml:space="preserve"> (pp. 124-128). SAGE publishing.</w:t>
      </w:r>
    </w:p>
    <w:p w14:paraId="6D737D16"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Bijstra, J. O., Bosma, H. A., &amp; Jackson, S. (1994). The relationship between social skills and psycho-social functioning in early adolescence. </w:t>
      </w:r>
      <w:r w:rsidRPr="00DC1737">
        <w:rPr>
          <w:rFonts w:ascii="Times New Roman" w:eastAsia="Calibri" w:hAnsi="Times New Roman" w:cs="Times New Roman"/>
          <w:i/>
          <w:iCs/>
        </w:rPr>
        <w:t>Personality and Individual Differences</w:t>
      </w:r>
      <w:r w:rsidRPr="00DC1737">
        <w:rPr>
          <w:rFonts w:ascii="Times New Roman" w:eastAsia="Calibri" w:hAnsi="Times New Roman" w:cs="Times New Roman"/>
        </w:rPr>
        <w:t>, </w:t>
      </w:r>
      <w:r w:rsidRPr="00DC1737">
        <w:rPr>
          <w:rFonts w:ascii="Times New Roman" w:eastAsia="Calibri" w:hAnsi="Times New Roman" w:cs="Times New Roman"/>
          <w:i/>
          <w:iCs/>
        </w:rPr>
        <w:t>16</w:t>
      </w:r>
      <w:r w:rsidRPr="00DC1737">
        <w:rPr>
          <w:rFonts w:ascii="Times New Roman" w:eastAsia="Calibri" w:hAnsi="Times New Roman" w:cs="Times New Roman"/>
        </w:rPr>
        <w:t>(5), 767-776. https://doi.org/10.1016/0191-8869(94)90218-6</w:t>
      </w:r>
    </w:p>
    <w:p w14:paraId="02929DF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Bonta, J., &amp; Andrews, D. A. (2003). A commentary on Ward and Stewart’s model of human needs. </w:t>
      </w:r>
      <w:r w:rsidRPr="00DC1737">
        <w:rPr>
          <w:rFonts w:ascii="Times New Roman" w:eastAsia="Calibri" w:hAnsi="Times New Roman" w:cs="Times New Roman"/>
          <w:i/>
          <w:iCs/>
        </w:rPr>
        <w:t>Psychology, Crime &amp; Law, 9</w:t>
      </w:r>
      <w:r w:rsidRPr="00DC1737">
        <w:rPr>
          <w:rFonts w:ascii="Times New Roman" w:eastAsia="Calibri" w:hAnsi="Times New Roman" w:cs="Times New Roman"/>
        </w:rPr>
        <w:t>(3), 215-218. https://doi.org/10.1080/10683/16031000112115</w:t>
      </w:r>
    </w:p>
    <w:p w14:paraId="4DC2F900"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Borum, R., Bartel, P., &amp; Forth, A. (2002). </w:t>
      </w:r>
      <w:r w:rsidRPr="00DC1737">
        <w:rPr>
          <w:rFonts w:ascii="Times New Roman" w:eastAsia="Calibri" w:hAnsi="Times New Roman" w:cs="Times New Roman"/>
          <w:i/>
        </w:rPr>
        <w:t>Manual for the Structured Assessment of Violence Risk in Youth (SAVRY; Consultant ed.).</w:t>
      </w:r>
      <w:r w:rsidRPr="00DC1737">
        <w:rPr>
          <w:rFonts w:ascii="Times New Roman" w:eastAsia="Calibri" w:hAnsi="Times New Roman" w:cs="Times New Roman"/>
        </w:rPr>
        <w:t xml:space="preserve"> University of South Florida.</w:t>
      </w:r>
    </w:p>
    <w:p w14:paraId="4BD760E6"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Bouman, Y. H. A., Schene, A. H., &amp; de Ruiter, C. (2009). Subjective well-being and recidivism in forensic psychiatric outpatients. </w:t>
      </w:r>
      <w:r w:rsidR="00DC1737" w:rsidRPr="00DC1737">
        <w:rPr>
          <w:rFonts w:ascii="Times New Roman" w:eastAsia="Calibri" w:hAnsi="Times New Roman" w:cs="Times New Roman"/>
          <w:i/>
        </w:rPr>
        <w:t>International Journal of Forensic Mental Health, 8</w:t>
      </w:r>
      <w:r w:rsidR="00DC1737" w:rsidRPr="00DC1737">
        <w:rPr>
          <w:rFonts w:ascii="Times New Roman" w:eastAsia="Calibri" w:hAnsi="Times New Roman" w:cs="Times New Roman"/>
        </w:rPr>
        <w:t>(4), 225–234. https://doi.org/10.1080/14999011003635647</w:t>
      </w:r>
    </w:p>
    <w:p w14:paraId="20AD379D" w14:textId="77777777" w:rsidR="00DC1737" w:rsidRPr="00DC1737" w:rsidRDefault="00DC1737" w:rsidP="00DC1737">
      <w:pPr>
        <w:spacing w:after="160" w:line="480" w:lineRule="auto"/>
        <w:ind w:left="720" w:hanging="720"/>
        <w:rPr>
          <w:rFonts w:ascii="Times New Roman" w:eastAsia="Calibri" w:hAnsi="Times New Roman" w:cs="Times New Roman"/>
        </w:rPr>
      </w:pPr>
    </w:p>
    <w:p w14:paraId="303B56A1"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Chapman, H., Gillespie, S. M., &amp; Mitchell, I. J. (2018). Facial affect processing in incarcerated violent males: A systematic review. </w:t>
      </w:r>
      <w:r w:rsidRPr="00DC1737">
        <w:rPr>
          <w:rFonts w:ascii="Times New Roman" w:eastAsia="Calibri" w:hAnsi="Times New Roman" w:cs="Times New Roman"/>
          <w:i/>
        </w:rPr>
        <w:t xml:space="preserve">Aggression and Violent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38</w:t>
      </w:r>
      <w:r w:rsidRPr="00DC1737">
        <w:rPr>
          <w:rFonts w:ascii="Times New Roman" w:eastAsia="Calibri" w:hAnsi="Times New Roman" w:cs="Times New Roman"/>
        </w:rPr>
        <w:t>(1), 123–138. https://doi.org/10.1016/j.avb.2017.10.006</w:t>
      </w:r>
    </w:p>
    <w:p w14:paraId="6F773B19"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Chu, C. M., Koh, L. L., Zeng, G., &amp; Teoh, J. (2015). Youth who sexual offended: Primary human goods and offense pathways. </w:t>
      </w:r>
      <w:r w:rsidR="00DC1737" w:rsidRPr="00DC1737">
        <w:rPr>
          <w:rFonts w:ascii="Times New Roman" w:eastAsia="Calibri" w:hAnsi="Times New Roman" w:cs="Times New Roman"/>
          <w:i/>
          <w:iCs/>
        </w:rPr>
        <w:t>Sexual Abuse</w:t>
      </w:r>
      <w:r w:rsidR="00DC1737" w:rsidRPr="00DC1737">
        <w:rPr>
          <w:rFonts w:ascii="Times New Roman" w:eastAsia="Calibri" w:hAnsi="Times New Roman" w:cs="Times New Roman"/>
        </w:rPr>
        <w:t>, </w:t>
      </w:r>
      <w:r w:rsidR="00DC1737" w:rsidRPr="00DC1737">
        <w:rPr>
          <w:rFonts w:ascii="Times New Roman" w:eastAsia="Calibri" w:hAnsi="Times New Roman" w:cs="Times New Roman"/>
          <w:i/>
          <w:iCs/>
        </w:rPr>
        <w:t>27</w:t>
      </w:r>
      <w:r w:rsidR="00DC1737" w:rsidRPr="00DC1737">
        <w:rPr>
          <w:rFonts w:ascii="Times New Roman" w:eastAsia="Calibri" w:hAnsi="Times New Roman" w:cs="Times New Roman"/>
        </w:rPr>
        <w:t xml:space="preserve">(2), 151-172. https://doi.org/10.1177/1079063213499188   </w:t>
      </w:r>
    </w:p>
    <w:p w14:paraId="4C231B67"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Crowther, M., Lim, W., &amp; Crowther, M. A. (2010). Systematic review and meta-analysis methodology. </w:t>
      </w:r>
      <w:r w:rsidRPr="00DC1737">
        <w:rPr>
          <w:rFonts w:ascii="Times New Roman" w:eastAsia="Calibri" w:hAnsi="Times New Roman" w:cs="Times New Roman"/>
          <w:i/>
          <w:iCs/>
        </w:rPr>
        <w:t xml:space="preserve">Blood, The Journal of the American Society of </w:t>
      </w:r>
      <w:proofErr w:type="spellStart"/>
      <w:r w:rsidRPr="00DC1737">
        <w:rPr>
          <w:rFonts w:ascii="Times New Roman" w:eastAsia="Calibri" w:hAnsi="Times New Roman" w:cs="Times New Roman"/>
          <w:i/>
          <w:iCs/>
        </w:rPr>
        <w:t>Hematology</w:t>
      </w:r>
      <w:proofErr w:type="spellEnd"/>
      <w:r w:rsidRPr="00DC1737">
        <w:rPr>
          <w:rFonts w:ascii="Times New Roman" w:eastAsia="Calibri" w:hAnsi="Times New Roman" w:cs="Times New Roman"/>
          <w:i/>
          <w:iCs/>
        </w:rPr>
        <w:t>, 116</w:t>
      </w:r>
      <w:r w:rsidRPr="00DC1737">
        <w:rPr>
          <w:rFonts w:ascii="Times New Roman" w:eastAsia="Calibri" w:hAnsi="Times New Roman" w:cs="Times New Roman"/>
        </w:rPr>
        <w:t>(17), 3140–3146. https://doi.org/10.1182/blood-2010-05-280883</w:t>
      </w:r>
    </w:p>
    <w:p w14:paraId="79DF18DA"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D’Zurilla, T. J., </w:t>
      </w:r>
      <w:proofErr w:type="spellStart"/>
      <w:r w:rsidRPr="00DC1737">
        <w:rPr>
          <w:rFonts w:ascii="Times New Roman" w:eastAsia="Calibri" w:hAnsi="Times New Roman" w:cs="Times New Roman"/>
        </w:rPr>
        <w:t>Nezu,A</w:t>
      </w:r>
      <w:proofErr w:type="spellEnd"/>
      <w:r w:rsidRPr="00DC1737">
        <w:rPr>
          <w:rFonts w:ascii="Times New Roman" w:eastAsia="Calibri" w:hAnsi="Times New Roman" w:cs="Times New Roman"/>
        </w:rPr>
        <w:t>. M., &amp; Maydeu-</w:t>
      </w:r>
      <w:proofErr w:type="spellStart"/>
      <w:r w:rsidRPr="00DC1737">
        <w:rPr>
          <w:rFonts w:ascii="Times New Roman" w:eastAsia="Calibri" w:hAnsi="Times New Roman" w:cs="Times New Roman"/>
        </w:rPr>
        <w:t>Olivares,A</w:t>
      </w:r>
      <w:proofErr w:type="spellEnd"/>
      <w:r w:rsidRPr="00DC1737">
        <w:rPr>
          <w:rFonts w:ascii="Times New Roman" w:eastAsia="Calibri" w:hAnsi="Times New Roman" w:cs="Times New Roman"/>
        </w:rPr>
        <w:t xml:space="preserve">. (2002). </w:t>
      </w:r>
      <w:r w:rsidRPr="00DC1737">
        <w:rPr>
          <w:rFonts w:ascii="Times New Roman" w:eastAsia="Calibri" w:hAnsi="Times New Roman" w:cs="Times New Roman"/>
          <w:i/>
        </w:rPr>
        <w:t xml:space="preserve">Social Problem-Solving Inventory–Revised (SPSI-R): Technical manual. </w:t>
      </w:r>
      <w:r w:rsidRPr="00DC1737">
        <w:rPr>
          <w:rFonts w:ascii="Times New Roman" w:eastAsia="Calibri" w:hAnsi="Times New Roman" w:cs="Times New Roman"/>
        </w:rPr>
        <w:t>Multi-Health Systems.</w:t>
      </w:r>
    </w:p>
    <w:p w14:paraId="7EC96C9C"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Davis, M. H. (1980). A multidimensional approach to individual differences in empathy. </w:t>
      </w:r>
      <w:r w:rsidRPr="00DC1737">
        <w:rPr>
          <w:rFonts w:ascii="Times New Roman" w:eastAsia="Calibri" w:hAnsi="Times New Roman" w:cs="Times New Roman"/>
          <w:i/>
        </w:rPr>
        <w:t xml:space="preserve">JSAS </w:t>
      </w:r>
      <w:proofErr w:type="spellStart"/>
      <w:r w:rsidRPr="00DC1737">
        <w:rPr>
          <w:rFonts w:ascii="Times New Roman" w:eastAsia="Calibri" w:hAnsi="Times New Roman" w:cs="Times New Roman"/>
          <w:i/>
        </w:rPr>
        <w:t>Catalog</w:t>
      </w:r>
      <w:proofErr w:type="spellEnd"/>
      <w:r w:rsidRPr="00DC1737">
        <w:rPr>
          <w:rFonts w:ascii="Times New Roman" w:eastAsia="Calibri" w:hAnsi="Times New Roman" w:cs="Times New Roman"/>
          <w:i/>
        </w:rPr>
        <w:t xml:space="preserve"> of Selected Documents in Psychology, 10</w:t>
      </w:r>
      <w:r w:rsidRPr="00DC1737">
        <w:rPr>
          <w:rFonts w:ascii="Times New Roman" w:eastAsia="Calibri" w:hAnsi="Times New Roman" w:cs="Times New Roman"/>
        </w:rPr>
        <w:t>, 85-100. https://www.uv.es/friasnav/Davis_1980.pdf</w:t>
      </w:r>
    </w:p>
    <w:p w14:paraId="1058A1F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Debats, D. L., Van der Lubbe, P. M., &amp; Wezeman, F. R. (1993). On the psychometric properties of the Life Regard Index (LRI): A measure of meaningful life: An evaluation in three independent samples based on the Dutch version. </w:t>
      </w:r>
      <w:r w:rsidRPr="00DC1737">
        <w:rPr>
          <w:rFonts w:ascii="Times New Roman" w:eastAsia="Calibri" w:hAnsi="Times New Roman" w:cs="Times New Roman"/>
          <w:i/>
          <w:iCs/>
        </w:rPr>
        <w:t>Personality and individual differences</w:t>
      </w:r>
      <w:r w:rsidRPr="00DC1737">
        <w:rPr>
          <w:rFonts w:ascii="Times New Roman" w:eastAsia="Calibri" w:hAnsi="Times New Roman" w:cs="Times New Roman"/>
        </w:rPr>
        <w:t>, </w:t>
      </w:r>
      <w:r w:rsidRPr="00DC1737">
        <w:rPr>
          <w:rFonts w:ascii="Times New Roman" w:eastAsia="Calibri" w:hAnsi="Times New Roman" w:cs="Times New Roman"/>
          <w:i/>
          <w:iCs/>
        </w:rPr>
        <w:t>14</w:t>
      </w:r>
      <w:r w:rsidRPr="00DC1737">
        <w:rPr>
          <w:rFonts w:ascii="Times New Roman" w:eastAsia="Calibri" w:hAnsi="Times New Roman" w:cs="Times New Roman"/>
        </w:rPr>
        <w:t>(2), 337-345. https://doi.org/10.1016/0191-8869(93)90132-M</w:t>
      </w:r>
    </w:p>
    <w:p w14:paraId="334A865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Dumas, T. M., Ellis, W. E., &amp; Wolfe, D. A. (2012). Identity development as a buffer of adolescent risk </w:t>
      </w:r>
      <w:proofErr w:type="spellStart"/>
      <w:r w:rsidRPr="00DC1737">
        <w:rPr>
          <w:rFonts w:ascii="Times New Roman" w:eastAsia="Calibri" w:hAnsi="Times New Roman" w:cs="Times New Roman"/>
        </w:rPr>
        <w:t>behaviors</w:t>
      </w:r>
      <w:proofErr w:type="spellEnd"/>
      <w:r w:rsidRPr="00DC1737">
        <w:rPr>
          <w:rFonts w:ascii="Times New Roman" w:eastAsia="Calibri" w:hAnsi="Times New Roman" w:cs="Times New Roman"/>
        </w:rPr>
        <w:t xml:space="preserve"> in the context of peer group pressure and control. </w:t>
      </w:r>
      <w:r w:rsidRPr="00DC1737">
        <w:rPr>
          <w:rFonts w:ascii="Times New Roman" w:eastAsia="Calibri" w:hAnsi="Times New Roman" w:cs="Times New Roman"/>
          <w:i/>
        </w:rPr>
        <w:t>Journal of Adolescence, 35</w:t>
      </w:r>
      <w:r w:rsidRPr="00DC1737">
        <w:rPr>
          <w:rFonts w:ascii="Times New Roman" w:eastAsia="Calibri" w:hAnsi="Times New Roman" w:cs="Times New Roman"/>
        </w:rPr>
        <w:t>(4), 917–927. https://doi.org/10.1016/j.adolescence.2011.12.012</w:t>
      </w:r>
    </w:p>
    <w:p w14:paraId="4D10192F" w14:textId="77777777" w:rsidR="00DC1737" w:rsidRPr="00DC1737" w:rsidRDefault="00DC1737" w:rsidP="00DC1737">
      <w:pPr>
        <w:spacing w:after="160" w:line="480" w:lineRule="auto"/>
        <w:ind w:left="720" w:hanging="720"/>
        <w:rPr>
          <w:rFonts w:ascii="Times New Roman" w:eastAsia="Calibri" w:hAnsi="Times New Roman" w:cs="Times New Roman"/>
        </w:rPr>
      </w:pPr>
    </w:p>
    <w:p w14:paraId="7DA303A7"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Fitzpatrick-Lewis, D., </w:t>
      </w:r>
      <w:proofErr w:type="spellStart"/>
      <w:r w:rsidRPr="00DC1737">
        <w:rPr>
          <w:rFonts w:ascii="Times New Roman" w:eastAsia="Calibri" w:hAnsi="Times New Roman" w:cs="Times New Roman"/>
        </w:rPr>
        <w:t>Ciliska</w:t>
      </w:r>
      <w:proofErr w:type="spellEnd"/>
      <w:r w:rsidRPr="00DC1737">
        <w:rPr>
          <w:rFonts w:ascii="Times New Roman" w:eastAsia="Calibri" w:hAnsi="Times New Roman" w:cs="Times New Roman"/>
        </w:rPr>
        <w:t xml:space="preserve">, D., &amp; Thomas, H. (2009). </w:t>
      </w:r>
      <w:r w:rsidRPr="00DC1737">
        <w:rPr>
          <w:rFonts w:ascii="Times New Roman" w:eastAsia="Calibri" w:hAnsi="Times New Roman" w:cs="Times New Roman"/>
          <w:i/>
          <w:iCs/>
        </w:rPr>
        <w:t xml:space="preserve">The methods for the synthesis of studies without control groups. </w:t>
      </w:r>
      <w:r w:rsidRPr="00DC1737">
        <w:rPr>
          <w:rFonts w:ascii="Times New Roman" w:eastAsia="Calibri" w:hAnsi="Times New Roman" w:cs="Times New Roman"/>
        </w:rPr>
        <w:t>National Collaborating Centre for Methods and Tools</w:t>
      </w:r>
    </w:p>
    <w:p w14:paraId="71D006DD"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Fortune, C.-A. (2018). The Good Lives Model: A strength-based approach for youth offenders. </w:t>
      </w:r>
      <w:r w:rsidRPr="00DC1737">
        <w:rPr>
          <w:rFonts w:ascii="Times New Roman" w:eastAsia="Calibri" w:hAnsi="Times New Roman" w:cs="Times New Roman"/>
          <w:i/>
        </w:rPr>
        <w:t xml:space="preserve">Aggression and Violent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38</w:t>
      </w:r>
      <w:r w:rsidRPr="00DC1737">
        <w:rPr>
          <w:rFonts w:ascii="Times New Roman" w:eastAsia="Calibri" w:hAnsi="Times New Roman" w:cs="Times New Roman"/>
        </w:rPr>
        <w:t>, 21–30. https://doi.org/10.1016/j.avb.2017.11.003</w:t>
      </w:r>
    </w:p>
    <w:p w14:paraId="54A44D63"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Gannon, T. A., King, T., Miles, H., Lockerbie, L., &amp; Willis, G. M. (2011). Good Lives sexual offender treatment for mentally disordered offenders. </w:t>
      </w:r>
      <w:r w:rsidRPr="00DC1737">
        <w:rPr>
          <w:rFonts w:ascii="Times New Roman" w:eastAsia="Calibri" w:hAnsi="Times New Roman" w:cs="Times New Roman"/>
          <w:i/>
        </w:rPr>
        <w:t>The British Journal of Forensic Practice, 13</w:t>
      </w:r>
      <w:r w:rsidRPr="00DC1737">
        <w:rPr>
          <w:rFonts w:ascii="Times New Roman" w:eastAsia="Calibri" w:hAnsi="Times New Roman" w:cs="Times New Roman"/>
        </w:rPr>
        <w:t>(3), 153–168. https://doi.org/10.1108/14636641111157805</w:t>
      </w:r>
    </w:p>
    <w:p w14:paraId="3E39A79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Gobeil, R., Blanchette, K., &amp; Stewart, L. (2016). A meta-analytic review of correctional interventions for women offenders. </w:t>
      </w:r>
      <w:r w:rsidRPr="00DC1737">
        <w:rPr>
          <w:rFonts w:ascii="Times New Roman" w:eastAsia="Calibri" w:hAnsi="Times New Roman" w:cs="Times New Roman"/>
          <w:i/>
        </w:rPr>
        <w:t xml:space="preserve">Criminal Justice and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43</w:t>
      </w:r>
      <w:r w:rsidRPr="00DC1737">
        <w:rPr>
          <w:rFonts w:ascii="Times New Roman" w:eastAsia="Calibri" w:hAnsi="Times New Roman" w:cs="Times New Roman"/>
        </w:rPr>
        <w:t>(3), 301–322. https://doi.org/10.1177/0093854815621100</w:t>
      </w:r>
    </w:p>
    <w:p w14:paraId="44DFBA9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Goodman, R. (1999). The extended version of the strengths and difficulties questionnaire as a guide to child psychiatric </w:t>
      </w:r>
      <w:proofErr w:type="spellStart"/>
      <w:r w:rsidRPr="00DC1737">
        <w:rPr>
          <w:rFonts w:ascii="Times New Roman" w:eastAsia="Calibri" w:hAnsi="Times New Roman" w:cs="Times New Roman"/>
        </w:rPr>
        <w:t>caseness</w:t>
      </w:r>
      <w:proofErr w:type="spellEnd"/>
      <w:r w:rsidRPr="00DC1737">
        <w:rPr>
          <w:rFonts w:ascii="Times New Roman" w:eastAsia="Calibri" w:hAnsi="Times New Roman" w:cs="Times New Roman"/>
        </w:rPr>
        <w:t xml:space="preserve"> and consequent burden. </w:t>
      </w:r>
      <w:r w:rsidRPr="00DC1737">
        <w:rPr>
          <w:rFonts w:ascii="Times New Roman" w:eastAsia="Calibri" w:hAnsi="Times New Roman" w:cs="Times New Roman"/>
          <w:i/>
        </w:rPr>
        <w:t>Journal of Child Psychology and Psychiatry, 40</w:t>
      </w:r>
      <w:r w:rsidRPr="00DC1737">
        <w:rPr>
          <w:rFonts w:ascii="Times New Roman" w:eastAsia="Calibri" w:hAnsi="Times New Roman" w:cs="Times New Roman"/>
        </w:rPr>
        <w:t>(5), 791–799. https://doi.org/10.1017/s0021963099004096</w:t>
      </w:r>
    </w:p>
    <w:p w14:paraId="56058E5D" w14:textId="77777777" w:rsidR="00DC1737" w:rsidRPr="00DC1737" w:rsidRDefault="00DC1737" w:rsidP="00DC1737">
      <w:pPr>
        <w:spacing w:after="160" w:line="480" w:lineRule="auto"/>
        <w:ind w:left="720" w:hanging="720"/>
        <w:rPr>
          <w:rFonts w:ascii="Times New Roman" w:eastAsia="Calibri" w:hAnsi="Times New Roman" w:cs="Times New Roman"/>
        </w:rPr>
      </w:pPr>
      <w:proofErr w:type="spellStart"/>
      <w:r w:rsidRPr="00DC1737">
        <w:rPr>
          <w:rFonts w:ascii="Times New Roman" w:eastAsia="Calibri" w:hAnsi="Times New Roman" w:cs="Times New Roman"/>
        </w:rPr>
        <w:t>Grisso</w:t>
      </w:r>
      <w:proofErr w:type="spellEnd"/>
      <w:r w:rsidRPr="00DC1737">
        <w:rPr>
          <w:rFonts w:ascii="Times New Roman" w:eastAsia="Calibri" w:hAnsi="Times New Roman" w:cs="Times New Roman"/>
        </w:rPr>
        <w:t xml:space="preserve">, T., Barnum, R., Fletcher, K. E., Cauffman, E., &amp; </w:t>
      </w:r>
      <w:proofErr w:type="spellStart"/>
      <w:r w:rsidRPr="00DC1737">
        <w:rPr>
          <w:rFonts w:ascii="Times New Roman" w:eastAsia="Calibri" w:hAnsi="Times New Roman" w:cs="Times New Roman"/>
        </w:rPr>
        <w:t>Peuschold</w:t>
      </w:r>
      <w:proofErr w:type="spellEnd"/>
      <w:r w:rsidRPr="00DC1737">
        <w:rPr>
          <w:rFonts w:ascii="Times New Roman" w:eastAsia="Calibri" w:hAnsi="Times New Roman" w:cs="Times New Roman"/>
        </w:rPr>
        <w:t xml:space="preserve">, D. (2001). Massachusetts Youth Screening Instrument for mental health needs of juvenile justice youths. </w:t>
      </w:r>
      <w:r w:rsidRPr="00DC1737">
        <w:rPr>
          <w:rFonts w:ascii="Times New Roman" w:eastAsia="Calibri" w:hAnsi="Times New Roman" w:cs="Times New Roman"/>
          <w:i/>
        </w:rPr>
        <w:t>Journal of the American Academy of Child and Adolescent Psychiatry, 40</w:t>
      </w:r>
      <w:r w:rsidRPr="00DC1737">
        <w:rPr>
          <w:rFonts w:ascii="Times New Roman" w:eastAsia="Calibri" w:hAnsi="Times New Roman" w:cs="Times New Roman"/>
        </w:rPr>
        <w:t>(5), 541–548. http://dx.doi.org/10 .1097/00004583-200105000-00013</w:t>
      </w:r>
    </w:p>
    <w:p w14:paraId="2E337461"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Hanson, R. K., </w:t>
      </w:r>
      <w:proofErr w:type="spellStart"/>
      <w:r w:rsidRPr="00DC1737">
        <w:rPr>
          <w:rFonts w:ascii="Times New Roman" w:eastAsia="Calibri" w:hAnsi="Times New Roman" w:cs="Times New Roman"/>
        </w:rPr>
        <w:t>Bourgon</w:t>
      </w:r>
      <w:proofErr w:type="spellEnd"/>
      <w:r w:rsidRPr="00DC1737">
        <w:rPr>
          <w:rFonts w:ascii="Times New Roman" w:eastAsia="Calibri" w:hAnsi="Times New Roman" w:cs="Times New Roman"/>
        </w:rPr>
        <w:t xml:space="preserve">, G., </w:t>
      </w:r>
      <w:proofErr w:type="spellStart"/>
      <w:r w:rsidRPr="00DC1737">
        <w:rPr>
          <w:rFonts w:ascii="Times New Roman" w:eastAsia="Calibri" w:hAnsi="Times New Roman" w:cs="Times New Roman"/>
        </w:rPr>
        <w:t>Helmus</w:t>
      </w:r>
      <w:proofErr w:type="spellEnd"/>
      <w:r w:rsidRPr="00DC1737">
        <w:rPr>
          <w:rFonts w:ascii="Times New Roman" w:eastAsia="Calibri" w:hAnsi="Times New Roman" w:cs="Times New Roman"/>
        </w:rPr>
        <w:t xml:space="preserve">, L., &amp; Hodgson, S. (2009). The principles of effective correctional treatment also apply to sexual offenders: A meta-analysis. </w:t>
      </w:r>
      <w:r w:rsidRPr="00DC1737">
        <w:rPr>
          <w:rFonts w:ascii="Times New Roman" w:eastAsia="Calibri" w:hAnsi="Times New Roman" w:cs="Times New Roman"/>
          <w:i/>
        </w:rPr>
        <w:t xml:space="preserve">Criminal Justice and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3</w:t>
      </w:r>
      <w:r w:rsidRPr="00DC1737">
        <w:rPr>
          <w:rFonts w:ascii="Times New Roman" w:eastAsia="Calibri" w:hAnsi="Times New Roman" w:cs="Times New Roman"/>
        </w:rPr>
        <w:t>6(9), 865–891. https://doi.org/10.1177/0093854809338545</w:t>
      </w:r>
    </w:p>
    <w:p w14:paraId="07048AFA"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Hanson, R. K., Harris, A. J. R., Scott, T., &amp; </w:t>
      </w:r>
      <w:proofErr w:type="spellStart"/>
      <w:r w:rsidRPr="00DC1737">
        <w:rPr>
          <w:rFonts w:ascii="Times New Roman" w:eastAsia="Calibri" w:hAnsi="Times New Roman" w:cs="Times New Roman"/>
        </w:rPr>
        <w:t>Helmus</w:t>
      </w:r>
      <w:proofErr w:type="spellEnd"/>
      <w:r w:rsidRPr="00DC1737">
        <w:rPr>
          <w:rFonts w:ascii="Times New Roman" w:eastAsia="Calibri" w:hAnsi="Times New Roman" w:cs="Times New Roman"/>
        </w:rPr>
        <w:t xml:space="preserve">, L. (2007). </w:t>
      </w:r>
      <w:r w:rsidRPr="00DC1737">
        <w:rPr>
          <w:rFonts w:ascii="Times New Roman" w:eastAsia="Calibri" w:hAnsi="Times New Roman" w:cs="Times New Roman"/>
          <w:i/>
        </w:rPr>
        <w:t>Assessing the risk of sexual offenders on community supervision: The Dynamic Supervision Project</w:t>
      </w:r>
      <w:r w:rsidRPr="00DC1737">
        <w:rPr>
          <w:rFonts w:ascii="Times New Roman" w:eastAsia="Calibri" w:hAnsi="Times New Roman" w:cs="Times New Roman"/>
        </w:rPr>
        <w:t>. Public Safety Canada.</w:t>
      </w:r>
    </w:p>
    <w:p w14:paraId="54545536"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Harkins, L., Flak, V. E., Beech, A. R., &amp; Woodhams, J. (2012). Evaluation of a community-based sex offender treatment program using a Good Lives Model approach. </w:t>
      </w:r>
      <w:r w:rsidR="00DC1737" w:rsidRPr="00DC1737">
        <w:rPr>
          <w:rFonts w:ascii="Times New Roman" w:eastAsia="Calibri" w:hAnsi="Times New Roman" w:cs="Times New Roman"/>
          <w:i/>
          <w:iCs/>
        </w:rPr>
        <w:t>Sexual Abuse: A Journal of Research and Treatment, 24</w:t>
      </w:r>
      <w:r w:rsidR="00DC1737" w:rsidRPr="00DC1737">
        <w:rPr>
          <w:rFonts w:ascii="Times New Roman" w:eastAsia="Calibri" w:hAnsi="Times New Roman" w:cs="Times New Roman"/>
        </w:rPr>
        <w:t>(6), 519–543. https://doi.org/10.1177/1079063211429469</w:t>
      </w:r>
    </w:p>
    <w:p w14:paraId="4255E1E4"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Harris, D. A., </w:t>
      </w:r>
      <w:proofErr w:type="spellStart"/>
      <w:r w:rsidR="00DC1737" w:rsidRPr="00DC1737">
        <w:rPr>
          <w:rFonts w:ascii="Times New Roman" w:eastAsia="Calibri" w:hAnsi="Times New Roman" w:cs="Times New Roman"/>
        </w:rPr>
        <w:t>Pedneault</w:t>
      </w:r>
      <w:proofErr w:type="spellEnd"/>
      <w:r w:rsidR="00DC1737" w:rsidRPr="00DC1737">
        <w:rPr>
          <w:rFonts w:ascii="Times New Roman" w:eastAsia="Calibri" w:hAnsi="Times New Roman" w:cs="Times New Roman"/>
        </w:rPr>
        <w:t>, A., &amp; Willis, G. (2017). The pursuit of primary human goods in men desisting from sexual offending. Sexual Abuse, 31(2), 197–219. https://doi.org/10.1177/1079063217729155</w:t>
      </w:r>
    </w:p>
    <w:p w14:paraId="73C7C988"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Hawker, S., Payne, S., Kerr, C., </w:t>
      </w:r>
      <w:proofErr w:type="spellStart"/>
      <w:r w:rsidRPr="00DC1737">
        <w:rPr>
          <w:rFonts w:ascii="Times New Roman" w:eastAsia="Calibri" w:hAnsi="Times New Roman" w:cs="Times New Roman"/>
        </w:rPr>
        <w:t>Hardey</w:t>
      </w:r>
      <w:proofErr w:type="spellEnd"/>
      <w:r w:rsidRPr="00DC1737">
        <w:rPr>
          <w:rFonts w:ascii="Times New Roman" w:eastAsia="Calibri" w:hAnsi="Times New Roman" w:cs="Times New Roman"/>
        </w:rPr>
        <w:t xml:space="preserve">, M., &amp; Powell, J. (2002). Appraising the evidence: Reviewing disparate data systematically. </w:t>
      </w:r>
      <w:r w:rsidRPr="00DC1737">
        <w:rPr>
          <w:rFonts w:ascii="Times New Roman" w:eastAsia="Calibri" w:hAnsi="Times New Roman" w:cs="Times New Roman"/>
          <w:i/>
          <w:iCs/>
        </w:rPr>
        <w:t>Qualitative Health Research, 12</w:t>
      </w:r>
      <w:r w:rsidRPr="00DC1737">
        <w:rPr>
          <w:rFonts w:ascii="Times New Roman" w:eastAsia="Calibri" w:hAnsi="Times New Roman" w:cs="Times New Roman"/>
        </w:rPr>
        <w:t>(9), 1284–1299. https://doi.org/10.1177/1049732302238251</w:t>
      </w:r>
    </w:p>
    <w:p w14:paraId="528B6137"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Higgins, J. P. T., Altman, D. G., Gøtzsche, P. C., </w:t>
      </w:r>
      <w:proofErr w:type="spellStart"/>
      <w:r w:rsidRPr="00DC1737">
        <w:rPr>
          <w:rFonts w:ascii="Times New Roman" w:eastAsia="Calibri" w:hAnsi="Times New Roman" w:cs="Times New Roman"/>
        </w:rPr>
        <w:t>Jüni</w:t>
      </w:r>
      <w:proofErr w:type="spellEnd"/>
      <w:r w:rsidRPr="00DC1737">
        <w:rPr>
          <w:rFonts w:ascii="Times New Roman" w:eastAsia="Calibri" w:hAnsi="Times New Roman" w:cs="Times New Roman"/>
        </w:rPr>
        <w:t xml:space="preserve">, P., Moher, D., </w:t>
      </w:r>
      <w:proofErr w:type="spellStart"/>
      <w:r w:rsidRPr="00DC1737">
        <w:rPr>
          <w:rFonts w:ascii="Times New Roman" w:eastAsia="Calibri" w:hAnsi="Times New Roman" w:cs="Times New Roman"/>
        </w:rPr>
        <w:t>Oxman</w:t>
      </w:r>
      <w:proofErr w:type="spellEnd"/>
      <w:r w:rsidRPr="00DC1737">
        <w:rPr>
          <w:rFonts w:ascii="Times New Roman" w:eastAsia="Calibri" w:hAnsi="Times New Roman" w:cs="Times New Roman"/>
        </w:rPr>
        <w:t xml:space="preserve">, A. D., </w:t>
      </w:r>
      <w:proofErr w:type="spellStart"/>
      <w:r w:rsidRPr="00DC1737">
        <w:rPr>
          <w:rFonts w:ascii="Times New Roman" w:eastAsia="Calibri" w:hAnsi="Times New Roman" w:cs="Times New Roman"/>
        </w:rPr>
        <w:t>Savović</w:t>
      </w:r>
      <w:proofErr w:type="spellEnd"/>
      <w:r w:rsidRPr="00DC1737">
        <w:rPr>
          <w:rFonts w:ascii="Times New Roman" w:eastAsia="Calibri" w:hAnsi="Times New Roman" w:cs="Times New Roman"/>
        </w:rPr>
        <w:t xml:space="preserve">, J., Schulz, K. F., Weeks, L., Sterne, J. A. C., Cochrane Bias Methods Group, &amp; Cochrane Statistical Methods Group. (2011). The Cochrane Collaboration’s tool for assessing risk of bias in randomised trials. </w:t>
      </w:r>
      <w:r w:rsidRPr="00DC1737">
        <w:rPr>
          <w:rFonts w:ascii="Times New Roman" w:eastAsia="Calibri" w:hAnsi="Times New Roman" w:cs="Times New Roman"/>
          <w:i/>
        </w:rPr>
        <w:t>BMJ, 343</w:t>
      </w:r>
      <w:r w:rsidRPr="00DC1737">
        <w:rPr>
          <w:rFonts w:ascii="Times New Roman" w:eastAsia="Calibri" w:hAnsi="Times New Roman" w:cs="Times New Roman"/>
        </w:rPr>
        <w:t>(d5928). https://doi-org.chain.kent.ac.uk/10.1136/bmj.d5928</w:t>
      </w:r>
    </w:p>
    <w:p w14:paraId="481D49B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Huebner, B. M., DeJong, C., &amp; </w:t>
      </w:r>
      <w:proofErr w:type="spellStart"/>
      <w:r w:rsidRPr="00DC1737">
        <w:rPr>
          <w:rFonts w:ascii="Times New Roman" w:eastAsia="Calibri" w:hAnsi="Times New Roman" w:cs="Times New Roman"/>
        </w:rPr>
        <w:t>Cobbina</w:t>
      </w:r>
      <w:proofErr w:type="spellEnd"/>
      <w:r w:rsidRPr="00DC1737">
        <w:rPr>
          <w:rFonts w:ascii="Times New Roman" w:eastAsia="Calibri" w:hAnsi="Times New Roman" w:cs="Times New Roman"/>
        </w:rPr>
        <w:t xml:space="preserve">, J. (2010). Women coming home: Long‐term patterns of recidivism. </w:t>
      </w:r>
      <w:r w:rsidRPr="00DC1737">
        <w:rPr>
          <w:rFonts w:ascii="Times New Roman" w:eastAsia="Calibri" w:hAnsi="Times New Roman" w:cs="Times New Roman"/>
          <w:i/>
        </w:rPr>
        <w:t>Justice Quarterly, 27</w:t>
      </w:r>
      <w:r w:rsidRPr="00DC1737">
        <w:rPr>
          <w:rFonts w:ascii="Times New Roman" w:eastAsia="Calibri" w:hAnsi="Times New Roman" w:cs="Times New Roman"/>
        </w:rPr>
        <w:t>(2), 225–254. https://doi.org/10.1080/07418820902870486</w:t>
      </w:r>
    </w:p>
    <w:p w14:paraId="26A2611A"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Keltner, A. A., Marshall, P. G., &amp; Marshall, W. L. (1981). Measurement and correlation of assertiveness and social fear in a prison population. </w:t>
      </w:r>
      <w:r w:rsidRPr="00DC1737">
        <w:rPr>
          <w:rFonts w:ascii="Times New Roman" w:eastAsia="Calibri" w:hAnsi="Times New Roman" w:cs="Times New Roman"/>
          <w:i/>
        </w:rPr>
        <w:t>Corrective and Social Psychiatry, 27</w:t>
      </w:r>
      <w:r w:rsidRPr="00DC1737">
        <w:rPr>
          <w:rFonts w:ascii="Times New Roman" w:eastAsia="Calibri" w:hAnsi="Times New Roman" w:cs="Times New Roman"/>
        </w:rPr>
        <w:t>, 41-47.</w:t>
      </w:r>
    </w:p>
    <w:p w14:paraId="3E73F7F0"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Killias, M. (2006). Improving impact evaluations through randomised experiments: The challenge of the National Research Council report for European criminology. </w:t>
      </w:r>
      <w:r w:rsidRPr="00DC1737">
        <w:rPr>
          <w:rFonts w:ascii="Times New Roman" w:eastAsia="Calibri" w:hAnsi="Times New Roman" w:cs="Times New Roman"/>
          <w:i/>
        </w:rPr>
        <w:t>Journal of Experimental Criminology, 2</w:t>
      </w:r>
      <w:r w:rsidRPr="00DC1737">
        <w:rPr>
          <w:rFonts w:ascii="Times New Roman" w:eastAsia="Calibri" w:hAnsi="Times New Roman" w:cs="Times New Roman"/>
        </w:rPr>
        <w:t>(3), 375–391. https://doi.org/10.1007/s11292-006-9016-7</w:t>
      </w:r>
    </w:p>
    <w:p w14:paraId="01FB95B2"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Klingele, C. (2018). Measuring change: From rates of recidivism to markers of desistance. </w:t>
      </w:r>
      <w:r w:rsidRPr="00DC1737">
        <w:rPr>
          <w:rFonts w:ascii="Times New Roman" w:eastAsia="Calibri" w:hAnsi="Times New Roman" w:cs="Times New Roman"/>
          <w:i/>
        </w:rPr>
        <w:t>The Journal of Criminal Law and Criminology, 109</w:t>
      </w:r>
      <w:r w:rsidRPr="00DC1737">
        <w:rPr>
          <w:rFonts w:ascii="Times New Roman" w:eastAsia="Calibri" w:hAnsi="Times New Roman" w:cs="Times New Roman"/>
        </w:rPr>
        <w:t>(4), 769-817. https://doi.org/10.2139/ssrn.3142405</w:t>
      </w:r>
    </w:p>
    <w:p w14:paraId="2BAA898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Kmet, L. M., Lee, R. C., &amp; Cook, L. S. (2004). </w:t>
      </w:r>
      <w:r w:rsidRPr="00DC1737">
        <w:rPr>
          <w:rFonts w:ascii="Times New Roman" w:eastAsia="Calibri" w:hAnsi="Times New Roman" w:cs="Times New Roman"/>
          <w:i/>
          <w:iCs/>
        </w:rPr>
        <w:t xml:space="preserve">Standard quality assessment criteria for evaluating primary research papers from a variety of fields. </w:t>
      </w:r>
      <w:r w:rsidRPr="00DC1737">
        <w:rPr>
          <w:rFonts w:ascii="Times New Roman" w:eastAsia="Calibri" w:hAnsi="Times New Roman" w:cs="Times New Roman"/>
        </w:rPr>
        <w:t>Alberta Heritage Foundation for Medical Research.</w:t>
      </w:r>
    </w:p>
    <w:p w14:paraId="486B0545"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Langlands, R. L., Ward, T., &amp; Gilchrist, E. (2009). Applying the Good Lives Model to male perpetrators of domestic violence. </w:t>
      </w:r>
      <w:r w:rsidRPr="00DC1737">
        <w:rPr>
          <w:rFonts w:ascii="Times New Roman" w:eastAsia="Calibri" w:hAnsi="Times New Roman" w:cs="Times New Roman"/>
          <w:i/>
        </w:rPr>
        <w:t>Behaviour Change, 26</w:t>
      </w:r>
      <w:r w:rsidRPr="00DC1737">
        <w:rPr>
          <w:rFonts w:ascii="Times New Roman" w:eastAsia="Calibri" w:hAnsi="Times New Roman" w:cs="Times New Roman"/>
        </w:rPr>
        <w:t>(2), 113–129. https://doi.org/10.1375/bech.26.2.113</w:t>
      </w:r>
    </w:p>
    <w:p w14:paraId="4CB5F0E5"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Leeson, S. &amp; Adshead, M. (2013). The response of adolescents and practitioners to a Good Lives approach. In. B. Print &amp; T. Ward (Eds.), </w:t>
      </w:r>
      <w:r w:rsidR="00DC1737" w:rsidRPr="00DC1737">
        <w:rPr>
          <w:rFonts w:ascii="Times New Roman" w:eastAsia="Calibri" w:hAnsi="Times New Roman" w:cs="Times New Roman"/>
          <w:i/>
        </w:rPr>
        <w:t xml:space="preserve">The Good Lives Model for adolescents who sexually harm </w:t>
      </w:r>
      <w:r w:rsidR="00DC1737" w:rsidRPr="00DC1737">
        <w:rPr>
          <w:rFonts w:ascii="Times New Roman" w:eastAsia="Calibri" w:hAnsi="Times New Roman" w:cs="Times New Roman"/>
        </w:rPr>
        <w:t>(pp. 183-193). Safer Society Press.</w:t>
      </w:r>
    </w:p>
    <w:p w14:paraId="7AE7704F"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Loney, D. M., &amp; Harkins, L. (2017). Examining the good lives model and antisocial behaviour. </w:t>
      </w:r>
      <w:r w:rsidR="00DC1737" w:rsidRPr="00DC1737">
        <w:rPr>
          <w:rFonts w:ascii="Times New Roman" w:eastAsia="Calibri" w:hAnsi="Times New Roman" w:cs="Times New Roman"/>
          <w:i/>
        </w:rPr>
        <w:t>Psychology, Crime &amp; Law, 24</w:t>
      </w:r>
      <w:r w:rsidR="00DC1737" w:rsidRPr="00DC1737">
        <w:rPr>
          <w:rFonts w:ascii="Times New Roman" w:eastAsia="Calibri" w:hAnsi="Times New Roman" w:cs="Times New Roman"/>
        </w:rPr>
        <w:t>(1), 38–51. https://doi.org/10.1080/1068316x.2017.1371304</w:t>
      </w:r>
    </w:p>
    <w:p w14:paraId="1BCC6EDA"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Lundh, A., &amp; Gøtzsche, P. C. (2008). Recommendations by Cochrane Review Groups for assessment of the risk of bias in studies. </w:t>
      </w:r>
      <w:r w:rsidRPr="00DC1737">
        <w:rPr>
          <w:rFonts w:ascii="Times New Roman" w:eastAsia="Calibri" w:hAnsi="Times New Roman" w:cs="Times New Roman"/>
          <w:i/>
        </w:rPr>
        <w:t>BMC Medical Research Methodology, 8</w:t>
      </w:r>
      <w:r w:rsidRPr="00DC1737">
        <w:rPr>
          <w:rFonts w:ascii="Times New Roman" w:eastAsia="Calibri" w:hAnsi="Times New Roman" w:cs="Times New Roman"/>
        </w:rPr>
        <w:t>(1), 1-9. https://doi.org/10.1186/1471-2288-8-22</w:t>
      </w:r>
    </w:p>
    <w:p w14:paraId="0CC56742" w14:textId="77777777" w:rsidR="00DC1737" w:rsidRPr="00DC1737" w:rsidRDefault="00DC1737" w:rsidP="00DC1737">
      <w:pPr>
        <w:spacing w:after="160" w:line="480" w:lineRule="auto"/>
        <w:ind w:left="720" w:hanging="720"/>
        <w:rPr>
          <w:rFonts w:ascii="Times New Roman" w:eastAsia="Calibri" w:hAnsi="Times New Roman" w:cs="Times New Roman"/>
        </w:rPr>
      </w:pPr>
    </w:p>
    <w:p w14:paraId="0C16FC16"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Mallion, J. S., Tyler, N., &amp; Miles, H. L. (2019). What is the evidence for offense-specific group treatment programs for forensic patients? </w:t>
      </w:r>
      <w:r w:rsidRPr="00DC1737">
        <w:rPr>
          <w:rFonts w:ascii="Times New Roman" w:eastAsia="Calibri" w:hAnsi="Times New Roman" w:cs="Times New Roman"/>
          <w:i/>
          <w:iCs/>
        </w:rPr>
        <w:t xml:space="preserve">International Journal of Forensic Mental Health, 1, </w:t>
      </w:r>
      <w:r w:rsidRPr="00DC1737">
        <w:rPr>
          <w:rFonts w:ascii="Times New Roman" w:eastAsia="Calibri" w:hAnsi="Times New Roman" w:cs="Times New Roman"/>
        </w:rPr>
        <w:t>1–13. https://doi.org/10.1080/14999013.2019.1648344</w:t>
      </w:r>
    </w:p>
    <w:p w14:paraId="68D198CE"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Mann, R. E., Webster, S. D., Schofield, C., &amp; Marshall, W. L. (2004). Approach versus avoidance goals in relapse prevention with sexual offenders. </w:t>
      </w:r>
      <w:r w:rsidR="00DC1737" w:rsidRPr="00DC1737">
        <w:rPr>
          <w:rFonts w:ascii="Times New Roman" w:eastAsia="Calibri" w:hAnsi="Times New Roman" w:cs="Times New Roman"/>
          <w:i/>
        </w:rPr>
        <w:t>Sexual Abuse: A Journal of Research and Treatment, 16</w:t>
      </w:r>
      <w:r w:rsidR="00DC1737" w:rsidRPr="00DC1737">
        <w:rPr>
          <w:rFonts w:ascii="Times New Roman" w:eastAsia="Calibri" w:hAnsi="Times New Roman" w:cs="Times New Roman"/>
        </w:rPr>
        <w:t>(1), 65–75. https://doi.org/10.1023/b:sebu.0000006285.73534.57</w:t>
      </w:r>
    </w:p>
    <w:p w14:paraId="4BDFF53F"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McAdams, D. (1993). </w:t>
      </w:r>
      <w:r w:rsidRPr="00DC1737">
        <w:rPr>
          <w:rFonts w:ascii="Times New Roman" w:eastAsia="Calibri" w:hAnsi="Times New Roman" w:cs="Times New Roman"/>
          <w:i/>
        </w:rPr>
        <w:t>The stories we live by: Personal myths and the making of the self.</w:t>
      </w:r>
      <w:r w:rsidRPr="00DC1737">
        <w:rPr>
          <w:rFonts w:ascii="Times New Roman" w:eastAsia="Calibri" w:hAnsi="Times New Roman" w:cs="Times New Roman"/>
        </w:rPr>
        <w:t xml:space="preserve"> Guildford Press.</w:t>
      </w:r>
    </w:p>
    <w:p w14:paraId="69D046A1"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McGrath, R. J., Cumming, G. F., Burchard, B. L., </w:t>
      </w:r>
      <w:proofErr w:type="spellStart"/>
      <w:r w:rsidRPr="00DC1737">
        <w:rPr>
          <w:rFonts w:ascii="Times New Roman" w:eastAsia="Calibri" w:hAnsi="Times New Roman" w:cs="Times New Roman"/>
        </w:rPr>
        <w:t>Zeoli</w:t>
      </w:r>
      <w:proofErr w:type="spellEnd"/>
      <w:r w:rsidRPr="00DC1737">
        <w:rPr>
          <w:rFonts w:ascii="Times New Roman" w:eastAsia="Calibri" w:hAnsi="Times New Roman" w:cs="Times New Roman"/>
        </w:rPr>
        <w:t xml:space="preserve">, S., &amp; </w:t>
      </w:r>
      <w:proofErr w:type="spellStart"/>
      <w:r w:rsidRPr="00DC1737">
        <w:rPr>
          <w:rFonts w:ascii="Times New Roman" w:eastAsia="Calibri" w:hAnsi="Times New Roman" w:cs="Times New Roman"/>
        </w:rPr>
        <w:t>Ellerby</w:t>
      </w:r>
      <w:proofErr w:type="spellEnd"/>
      <w:r w:rsidRPr="00DC1737">
        <w:rPr>
          <w:rFonts w:ascii="Times New Roman" w:eastAsia="Calibri" w:hAnsi="Times New Roman" w:cs="Times New Roman"/>
        </w:rPr>
        <w:t xml:space="preserve">, L. (2009). </w:t>
      </w:r>
      <w:r w:rsidRPr="00DC1737">
        <w:rPr>
          <w:rFonts w:ascii="Times New Roman" w:eastAsia="Calibri" w:hAnsi="Times New Roman" w:cs="Times New Roman"/>
          <w:i/>
        </w:rPr>
        <w:t xml:space="preserve">Current practices and emerging trends in sexual abuser management. </w:t>
      </w:r>
      <w:r w:rsidRPr="00DC1737">
        <w:rPr>
          <w:rFonts w:ascii="Times New Roman" w:eastAsia="Calibri" w:hAnsi="Times New Roman" w:cs="Times New Roman"/>
        </w:rPr>
        <w:t>The Safer Society. http://www.robertmcgrath.us/files/6414/3204/5288/2009_Safer_Society_North_American_Survey.pdf</w:t>
      </w:r>
    </w:p>
    <w:p w14:paraId="7632790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McMurran, M., &amp; Ward, T. (2004). Motivating offenders to change in therapy: An organizing framework. </w:t>
      </w:r>
      <w:r w:rsidRPr="00DC1737">
        <w:rPr>
          <w:rFonts w:ascii="Times New Roman" w:eastAsia="Calibri" w:hAnsi="Times New Roman" w:cs="Times New Roman"/>
          <w:i/>
        </w:rPr>
        <w:t>Legal and Criminological Psychology, 9</w:t>
      </w:r>
      <w:r w:rsidRPr="00DC1737">
        <w:rPr>
          <w:rFonts w:ascii="Times New Roman" w:eastAsia="Calibri" w:hAnsi="Times New Roman" w:cs="Times New Roman"/>
        </w:rPr>
        <w:t>(2), 295–311. https://doi.org/10.1348/1355325041719365</w:t>
      </w:r>
    </w:p>
    <w:p w14:paraId="095A335A"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McNeill, F. (2012). Four forms of “offender” rehabilitation: Towards an interdisciplinary perspective. </w:t>
      </w:r>
      <w:r w:rsidRPr="00DC1737">
        <w:rPr>
          <w:rFonts w:ascii="Times New Roman" w:eastAsia="Calibri" w:hAnsi="Times New Roman" w:cs="Times New Roman"/>
          <w:i/>
        </w:rPr>
        <w:t>Legal and Criminological Psychology, 17</w:t>
      </w:r>
      <w:r w:rsidRPr="00DC1737">
        <w:rPr>
          <w:rFonts w:ascii="Times New Roman" w:eastAsia="Calibri" w:hAnsi="Times New Roman" w:cs="Times New Roman"/>
        </w:rPr>
        <w:t>(1), 18–36. https://doi.org/10.1111/j.2044-8333.2011.02039.x</w:t>
      </w:r>
    </w:p>
    <w:p w14:paraId="6470B885"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Moher, D., </w:t>
      </w:r>
      <w:proofErr w:type="spellStart"/>
      <w:r w:rsidRPr="00DC1737">
        <w:rPr>
          <w:rFonts w:ascii="Times New Roman" w:eastAsia="Calibri" w:hAnsi="Times New Roman" w:cs="Times New Roman"/>
        </w:rPr>
        <w:t>Liberati</w:t>
      </w:r>
      <w:proofErr w:type="spellEnd"/>
      <w:r w:rsidRPr="00DC1737">
        <w:rPr>
          <w:rFonts w:ascii="Times New Roman" w:eastAsia="Calibri" w:hAnsi="Times New Roman" w:cs="Times New Roman"/>
        </w:rPr>
        <w:t xml:space="preserve">, A., </w:t>
      </w:r>
      <w:proofErr w:type="spellStart"/>
      <w:r w:rsidRPr="00DC1737">
        <w:rPr>
          <w:rFonts w:ascii="Times New Roman" w:eastAsia="Calibri" w:hAnsi="Times New Roman" w:cs="Times New Roman"/>
        </w:rPr>
        <w:t>Tetzlaff</w:t>
      </w:r>
      <w:proofErr w:type="spellEnd"/>
      <w:r w:rsidRPr="00DC1737">
        <w:rPr>
          <w:rFonts w:ascii="Times New Roman" w:eastAsia="Calibri" w:hAnsi="Times New Roman" w:cs="Times New Roman"/>
        </w:rPr>
        <w:t xml:space="preserve">, J., Altman, D. G., &amp; PRISMA Group (2009). Preferred reporting items for systematic reviews and meta-analyses: The PRISMA statement. </w:t>
      </w:r>
      <w:r w:rsidRPr="00DC1737">
        <w:rPr>
          <w:rFonts w:ascii="Times New Roman" w:eastAsia="Calibri" w:hAnsi="Times New Roman" w:cs="Times New Roman"/>
          <w:i/>
          <w:iCs/>
        </w:rPr>
        <w:t>Annals of Internal Medicine, 151</w:t>
      </w:r>
      <w:r w:rsidRPr="00DC1737">
        <w:rPr>
          <w:rFonts w:ascii="Times New Roman" w:eastAsia="Calibri" w:hAnsi="Times New Roman" w:cs="Times New Roman"/>
        </w:rPr>
        <w:t>(4), 264-270. https://doi.org/10.7326/0003-4819-151-4-200908180-00135</w:t>
      </w:r>
    </w:p>
    <w:p w14:paraId="5363A25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Netto, N. R., Carter, J. M., &amp; </w:t>
      </w:r>
      <w:proofErr w:type="spellStart"/>
      <w:r w:rsidRPr="00DC1737">
        <w:rPr>
          <w:rFonts w:ascii="Times New Roman" w:eastAsia="Calibri" w:hAnsi="Times New Roman" w:cs="Times New Roman"/>
        </w:rPr>
        <w:t>Bonell</w:t>
      </w:r>
      <w:proofErr w:type="spellEnd"/>
      <w:r w:rsidRPr="00DC1737">
        <w:rPr>
          <w:rFonts w:ascii="Times New Roman" w:eastAsia="Calibri" w:hAnsi="Times New Roman" w:cs="Times New Roman"/>
        </w:rPr>
        <w:t xml:space="preserve">, C. (2014). A Systematic review of interventions that adopt the “Good Lives” approach to offender rehabilitation. </w:t>
      </w:r>
      <w:r w:rsidRPr="00DC1737">
        <w:rPr>
          <w:rFonts w:ascii="Times New Roman" w:eastAsia="Calibri" w:hAnsi="Times New Roman" w:cs="Times New Roman"/>
          <w:i/>
        </w:rPr>
        <w:t>Journal of Offender Rehabilitation, 53</w:t>
      </w:r>
      <w:r w:rsidRPr="00DC1737">
        <w:rPr>
          <w:rFonts w:ascii="Times New Roman" w:eastAsia="Calibri" w:hAnsi="Times New Roman" w:cs="Times New Roman"/>
        </w:rPr>
        <w:t>(6), 403–432. https://doi.org/10.1080/10509674.2014.931746</w:t>
      </w:r>
    </w:p>
    <w:p w14:paraId="30574C7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NHS England. (2015). </w:t>
      </w:r>
      <w:r w:rsidRPr="00DC1737">
        <w:rPr>
          <w:rFonts w:ascii="Times New Roman" w:eastAsia="Calibri" w:hAnsi="Times New Roman" w:cs="Times New Roman"/>
          <w:i/>
        </w:rPr>
        <w:t xml:space="preserve">Service user involvement. </w:t>
      </w:r>
      <w:r w:rsidRPr="00DC1737">
        <w:rPr>
          <w:rFonts w:ascii="Times New Roman" w:eastAsia="Calibri" w:hAnsi="Times New Roman" w:cs="Times New Roman"/>
        </w:rPr>
        <w:t>https://www.england.nhs.uk/commissioning/wp-content/uploads/sites/12/2015/10/ohc-paper-06.pdf</w:t>
      </w:r>
    </w:p>
    <w:p w14:paraId="201CD31D"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Nowicki, S. (1976). </w:t>
      </w:r>
      <w:r w:rsidRPr="00DC1737">
        <w:rPr>
          <w:rFonts w:ascii="Times New Roman" w:eastAsia="Calibri" w:hAnsi="Times New Roman" w:cs="Times New Roman"/>
          <w:i/>
        </w:rPr>
        <w:t xml:space="preserve">Adult Nowicki-Strickland Internal-External Locus of Control Scale. </w:t>
      </w:r>
      <w:r w:rsidRPr="00DC1737">
        <w:rPr>
          <w:rFonts w:ascii="Times New Roman" w:eastAsia="Calibri" w:hAnsi="Times New Roman" w:cs="Times New Roman"/>
        </w:rPr>
        <w:t>Emory University.</w:t>
      </w:r>
    </w:p>
    <w:p w14:paraId="0CDBB24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Ogloff, J. R. P., &amp; Davis, M. R. (2004). Advances in offender assessment and rehabilitation: Contributions of the Risk-Needs-Responsivity approach. </w:t>
      </w:r>
      <w:r w:rsidRPr="00DC1737">
        <w:rPr>
          <w:rFonts w:ascii="Times New Roman" w:eastAsia="Calibri" w:hAnsi="Times New Roman" w:cs="Times New Roman"/>
          <w:i/>
          <w:iCs/>
        </w:rPr>
        <w:t>Psychology, Crime and Law, 10</w:t>
      </w:r>
      <w:r w:rsidRPr="00DC1737">
        <w:rPr>
          <w:rFonts w:ascii="Times New Roman" w:eastAsia="Calibri" w:hAnsi="Times New Roman" w:cs="Times New Roman"/>
        </w:rPr>
        <w:t>(3), 229–242. https://doi.org/10.1080/0683160410001662735</w:t>
      </w:r>
    </w:p>
    <w:p w14:paraId="63528D0E"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Prendergast, M. L. (2011). Issues in defining and applying evidence-based practices criteria for treatment of criminal-justice involved clients. </w:t>
      </w:r>
      <w:r w:rsidRPr="00DC1737">
        <w:rPr>
          <w:rFonts w:ascii="Times New Roman" w:eastAsia="Calibri" w:hAnsi="Times New Roman" w:cs="Times New Roman"/>
          <w:i/>
          <w:iCs/>
        </w:rPr>
        <w:t>Journal of Psychoactive Drugs, 43</w:t>
      </w:r>
      <w:r w:rsidRPr="00DC1737">
        <w:rPr>
          <w:rFonts w:ascii="Times New Roman" w:eastAsia="Calibri" w:hAnsi="Times New Roman" w:cs="Times New Roman"/>
        </w:rPr>
        <w:t>(1), 10–18. https://doi.org/10.1080/02791072.2011.601984</w:t>
      </w:r>
    </w:p>
    <w:p w14:paraId="70FA2E52"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Purvis, M. (2005). </w:t>
      </w:r>
      <w:r w:rsidR="00DC1737" w:rsidRPr="00DC1737">
        <w:rPr>
          <w:rFonts w:ascii="Times New Roman" w:eastAsia="Calibri" w:hAnsi="Times New Roman" w:cs="Times New Roman"/>
          <w:i/>
          <w:iCs/>
        </w:rPr>
        <w:t xml:space="preserve">Seeking a Good Life: Human goods and sexual offending </w:t>
      </w:r>
      <w:r w:rsidR="00DC1737" w:rsidRPr="00DC1737">
        <w:rPr>
          <w:rFonts w:ascii="Times New Roman" w:eastAsia="Calibri" w:hAnsi="Times New Roman" w:cs="Times New Roman"/>
        </w:rPr>
        <w:t>[Unpublished doctoral dissertation]. University of Melbourne.</w:t>
      </w:r>
    </w:p>
    <w:p w14:paraId="48CFF0A2"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Purvis, M., Ward, T., &amp; Shaw, S. (2013). </w:t>
      </w:r>
      <w:r w:rsidRPr="00DC1737">
        <w:rPr>
          <w:rFonts w:ascii="Times New Roman" w:eastAsia="Calibri" w:hAnsi="Times New Roman" w:cs="Times New Roman"/>
          <w:i/>
        </w:rPr>
        <w:t>Applying the Good Lives Model to the case management of sexual offenders: A practical guide for probation officers, parole officers, and case workers.</w:t>
      </w:r>
      <w:r w:rsidRPr="00DC1737">
        <w:rPr>
          <w:rFonts w:ascii="Times New Roman" w:eastAsia="Calibri" w:hAnsi="Times New Roman" w:cs="Times New Roman"/>
        </w:rPr>
        <w:t xml:space="preserve"> Safer Society Press.</w:t>
      </w:r>
    </w:p>
    <w:p w14:paraId="6C4F3F9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Purvis, M., Ward, T., &amp; Willis, G. (2011). The Good Lives Model in practice: Offence pathways and case management. </w:t>
      </w:r>
      <w:r w:rsidRPr="00DC1737">
        <w:rPr>
          <w:rFonts w:ascii="Times New Roman" w:eastAsia="Calibri" w:hAnsi="Times New Roman" w:cs="Times New Roman"/>
          <w:i/>
          <w:iCs/>
        </w:rPr>
        <w:t>European Journal of Probation, 3</w:t>
      </w:r>
      <w:r w:rsidRPr="00DC1737">
        <w:rPr>
          <w:rFonts w:ascii="Times New Roman" w:eastAsia="Calibri" w:hAnsi="Times New Roman" w:cs="Times New Roman"/>
        </w:rPr>
        <w:t>(2), 4–28. https://doi.org/10.1177/206622031100300202</w:t>
      </w:r>
    </w:p>
    <w:p w14:paraId="37480576"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Reeves, B. C., </w:t>
      </w:r>
      <w:proofErr w:type="spellStart"/>
      <w:r w:rsidRPr="00DC1737">
        <w:rPr>
          <w:rFonts w:ascii="Times New Roman" w:eastAsia="Calibri" w:hAnsi="Times New Roman" w:cs="Times New Roman"/>
        </w:rPr>
        <w:t>Deeks</w:t>
      </w:r>
      <w:proofErr w:type="spellEnd"/>
      <w:r w:rsidRPr="00DC1737">
        <w:rPr>
          <w:rFonts w:ascii="Times New Roman" w:eastAsia="Calibri" w:hAnsi="Times New Roman" w:cs="Times New Roman"/>
        </w:rPr>
        <w:t xml:space="preserve">, J. J., Higgins, J. P. T., Shea, B., </w:t>
      </w:r>
      <w:proofErr w:type="spellStart"/>
      <w:r w:rsidRPr="00DC1737">
        <w:rPr>
          <w:rFonts w:ascii="Times New Roman" w:eastAsia="Calibri" w:hAnsi="Times New Roman" w:cs="Times New Roman"/>
        </w:rPr>
        <w:t>Tugwell</w:t>
      </w:r>
      <w:proofErr w:type="spellEnd"/>
      <w:r w:rsidRPr="00DC1737">
        <w:rPr>
          <w:rFonts w:ascii="Times New Roman" w:eastAsia="Calibri" w:hAnsi="Times New Roman" w:cs="Times New Roman"/>
        </w:rPr>
        <w:t xml:space="preserve">, P., &amp; Wells, G. A. (2019). Including non-randomized studies on intervention effects. In J. P. T. Higgins, J. Thomas, J. Chandler, M. </w:t>
      </w:r>
      <w:proofErr w:type="spellStart"/>
      <w:r w:rsidRPr="00DC1737">
        <w:rPr>
          <w:rFonts w:ascii="Times New Roman" w:eastAsia="Calibri" w:hAnsi="Times New Roman" w:cs="Times New Roman"/>
        </w:rPr>
        <w:t>Cumpston</w:t>
      </w:r>
      <w:proofErr w:type="spellEnd"/>
      <w:r w:rsidRPr="00DC1737">
        <w:rPr>
          <w:rFonts w:ascii="Times New Roman" w:eastAsia="Calibri" w:hAnsi="Times New Roman" w:cs="Times New Roman"/>
        </w:rPr>
        <w:t xml:space="preserve">, T. Li, M. J. Page, &amp; V. A. Welch (Eds.), </w:t>
      </w:r>
      <w:r w:rsidRPr="00DC1737">
        <w:rPr>
          <w:rFonts w:ascii="Times New Roman" w:eastAsia="Calibri" w:hAnsi="Times New Roman" w:cs="Times New Roman"/>
          <w:i/>
          <w:iCs/>
        </w:rPr>
        <w:t xml:space="preserve">Cochrane handbook for systematic reviews of interventions, version 6.0. </w:t>
      </w:r>
      <w:r w:rsidRPr="00DC1737">
        <w:rPr>
          <w:rFonts w:ascii="Times New Roman" w:eastAsia="Calibri" w:hAnsi="Times New Roman" w:cs="Times New Roman"/>
        </w:rPr>
        <w:t>Cochrane. https://www.training.cochrane.org/handbook.</w:t>
      </w:r>
    </w:p>
    <w:p w14:paraId="610645EC"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Rosenberg, M. (1965). </w:t>
      </w:r>
      <w:r w:rsidRPr="00DC1737">
        <w:rPr>
          <w:rFonts w:ascii="Times New Roman" w:eastAsia="Calibri" w:hAnsi="Times New Roman" w:cs="Times New Roman"/>
          <w:i/>
        </w:rPr>
        <w:t>Society and the adolescent self-image.</w:t>
      </w:r>
      <w:r w:rsidRPr="00DC1737">
        <w:rPr>
          <w:rFonts w:ascii="Times New Roman" w:eastAsia="Calibri" w:hAnsi="Times New Roman" w:cs="Times New Roman"/>
        </w:rPr>
        <w:t xml:space="preserve"> Princeton University Press.</w:t>
      </w:r>
    </w:p>
    <w:p w14:paraId="48B56891"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Russell, D., </w:t>
      </w:r>
      <w:proofErr w:type="spellStart"/>
      <w:r w:rsidRPr="00DC1737">
        <w:rPr>
          <w:rFonts w:ascii="Times New Roman" w:eastAsia="Calibri" w:hAnsi="Times New Roman" w:cs="Times New Roman"/>
        </w:rPr>
        <w:t>Peplan</w:t>
      </w:r>
      <w:proofErr w:type="spellEnd"/>
      <w:r w:rsidRPr="00DC1737">
        <w:rPr>
          <w:rFonts w:ascii="Times New Roman" w:eastAsia="Calibri" w:hAnsi="Times New Roman" w:cs="Times New Roman"/>
        </w:rPr>
        <w:t xml:space="preserve">, C. A., &amp; Cutrona, C. A. (1980). The revised UCLA Loneliness Scale: Concurrent and discriminant validity evidence. </w:t>
      </w:r>
      <w:r w:rsidRPr="00DC1737">
        <w:rPr>
          <w:rFonts w:ascii="Times New Roman" w:eastAsia="Calibri" w:hAnsi="Times New Roman" w:cs="Times New Roman"/>
          <w:i/>
        </w:rPr>
        <w:t>Journal of Personality and Social Psychology, 39</w:t>
      </w:r>
      <w:r w:rsidRPr="00DC1737">
        <w:rPr>
          <w:rFonts w:ascii="Times New Roman" w:eastAsia="Calibri" w:hAnsi="Times New Roman" w:cs="Times New Roman"/>
        </w:rPr>
        <w:t>(3), 472-480. https://doi.org/10.1037//0022-3514.39.3.472</w:t>
      </w:r>
    </w:p>
    <w:p w14:paraId="727969D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Schardt, C., Adams, M. B., Owens, T., </w:t>
      </w:r>
      <w:proofErr w:type="spellStart"/>
      <w:r w:rsidRPr="00DC1737">
        <w:rPr>
          <w:rFonts w:ascii="Times New Roman" w:eastAsia="Calibri" w:hAnsi="Times New Roman" w:cs="Times New Roman"/>
        </w:rPr>
        <w:t>Keitz</w:t>
      </w:r>
      <w:proofErr w:type="spellEnd"/>
      <w:r w:rsidRPr="00DC1737">
        <w:rPr>
          <w:rFonts w:ascii="Times New Roman" w:eastAsia="Calibri" w:hAnsi="Times New Roman" w:cs="Times New Roman"/>
        </w:rPr>
        <w:t xml:space="preserve">, S., &amp; </w:t>
      </w:r>
      <w:proofErr w:type="spellStart"/>
      <w:r w:rsidRPr="00DC1737">
        <w:rPr>
          <w:rFonts w:ascii="Times New Roman" w:eastAsia="Calibri" w:hAnsi="Times New Roman" w:cs="Times New Roman"/>
        </w:rPr>
        <w:t>Fontelo</w:t>
      </w:r>
      <w:proofErr w:type="spellEnd"/>
      <w:r w:rsidRPr="00DC1737">
        <w:rPr>
          <w:rFonts w:ascii="Times New Roman" w:eastAsia="Calibri" w:hAnsi="Times New Roman" w:cs="Times New Roman"/>
        </w:rPr>
        <w:t xml:space="preserve">, P. (2007). Utilization of the PICO framework to improve searching PubMed for clinical questions. </w:t>
      </w:r>
      <w:r w:rsidRPr="00DC1737">
        <w:rPr>
          <w:rFonts w:ascii="Times New Roman" w:eastAsia="Calibri" w:hAnsi="Times New Roman" w:cs="Times New Roman"/>
          <w:i/>
          <w:iCs/>
        </w:rPr>
        <w:t>BMC Medical Informatics and Decision Making, 7</w:t>
      </w:r>
      <w:r w:rsidRPr="00DC1737">
        <w:rPr>
          <w:rFonts w:ascii="Times New Roman" w:eastAsia="Calibri" w:hAnsi="Times New Roman" w:cs="Times New Roman"/>
        </w:rPr>
        <w:t>(1), 1-6. https://doi.org/10.1186/1472-6947-7-16</w:t>
      </w:r>
    </w:p>
    <w:p w14:paraId="36DEAE9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Simons, D. A., </w:t>
      </w:r>
      <w:proofErr w:type="spellStart"/>
      <w:r w:rsidRPr="00DC1737">
        <w:rPr>
          <w:rFonts w:ascii="Times New Roman" w:eastAsia="Calibri" w:hAnsi="Times New Roman" w:cs="Times New Roman"/>
        </w:rPr>
        <w:t>McCullar</w:t>
      </w:r>
      <w:proofErr w:type="spellEnd"/>
      <w:r w:rsidRPr="00DC1737">
        <w:rPr>
          <w:rFonts w:ascii="Times New Roman" w:eastAsia="Calibri" w:hAnsi="Times New Roman" w:cs="Times New Roman"/>
        </w:rPr>
        <w:t xml:space="preserve">, B., &amp; Tyler, C. (2006, September). </w:t>
      </w:r>
      <w:r w:rsidRPr="00DC1737">
        <w:rPr>
          <w:rFonts w:ascii="Times New Roman" w:eastAsia="Calibri" w:hAnsi="Times New Roman" w:cs="Times New Roman"/>
          <w:i/>
          <w:iCs/>
        </w:rPr>
        <w:t xml:space="preserve">Evaluation of the Good Lives Model approach to treatment planning </w:t>
      </w:r>
      <w:r w:rsidRPr="00DC1737">
        <w:rPr>
          <w:rFonts w:ascii="Times New Roman" w:eastAsia="Calibri" w:hAnsi="Times New Roman" w:cs="Times New Roman"/>
        </w:rPr>
        <w:t>[Conference presentation]. 25</w:t>
      </w:r>
      <w:r w:rsidRPr="00DC1737">
        <w:rPr>
          <w:rFonts w:ascii="Times New Roman" w:eastAsia="Calibri" w:hAnsi="Times New Roman" w:cs="Times New Roman"/>
          <w:vertAlign w:val="superscript"/>
        </w:rPr>
        <w:t>th</w:t>
      </w:r>
      <w:r w:rsidRPr="00DC1737">
        <w:rPr>
          <w:rFonts w:ascii="Times New Roman" w:eastAsia="Calibri" w:hAnsi="Times New Roman" w:cs="Times New Roman"/>
        </w:rPr>
        <w:t xml:space="preserve"> Annual Association for the Treatment of Sexual Abusers, Chicago, IL, United States.</w:t>
      </w:r>
    </w:p>
    <w:p w14:paraId="17DD450E"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Skelton, A., Riley, D., Wales, D., &amp; </w:t>
      </w:r>
      <w:proofErr w:type="spellStart"/>
      <w:r w:rsidRPr="00DC1737">
        <w:rPr>
          <w:rFonts w:ascii="Times New Roman" w:eastAsia="Calibri" w:hAnsi="Times New Roman" w:cs="Times New Roman"/>
        </w:rPr>
        <w:t>Vess</w:t>
      </w:r>
      <w:proofErr w:type="spellEnd"/>
      <w:r w:rsidRPr="00DC1737">
        <w:rPr>
          <w:rFonts w:ascii="Times New Roman" w:eastAsia="Calibri" w:hAnsi="Times New Roman" w:cs="Times New Roman"/>
        </w:rPr>
        <w:t xml:space="preserve">, J. (2006). Assessing risk for sexual offenders in New Zealand: Development and validation of a computer-scored risk measure. </w:t>
      </w:r>
      <w:r w:rsidRPr="00DC1737">
        <w:rPr>
          <w:rFonts w:ascii="Times New Roman" w:eastAsia="Calibri" w:hAnsi="Times New Roman" w:cs="Times New Roman"/>
          <w:i/>
        </w:rPr>
        <w:t>Journal of Sexual Aggression, 12</w:t>
      </w:r>
      <w:r w:rsidRPr="00DC1737">
        <w:rPr>
          <w:rFonts w:ascii="Times New Roman" w:eastAsia="Calibri" w:hAnsi="Times New Roman" w:cs="Times New Roman"/>
        </w:rPr>
        <w:t>(3), 277-286. https://doi.org/10.1080/13552600601100326</w:t>
      </w:r>
    </w:p>
    <w:p w14:paraId="1EAEEE46"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Taylor, E. (2017). “I should have been a security consultant”: The Good Lives Model and residential </w:t>
      </w:r>
      <w:proofErr w:type="spellStart"/>
      <w:r w:rsidR="00DC1737" w:rsidRPr="00DC1737">
        <w:rPr>
          <w:rFonts w:ascii="Times New Roman" w:eastAsia="Calibri" w:hAnsi="Times New Roman" w:cs="Times New Roman"/>
        </w:rPr>
        <w:t>burglars</w:t>
      </w:r>
      <w:proofErr w:type="spellEnd"/>
      <w:r w:rsidR="00DC1737" w:rsidRPr="00DC1737">
        <w:rPr>
          <w:rFonts w:ascii="Times New Roman" w:eastAsia="Calibri" w:hAnsi="Times New Roman" w:cs="Times New Roman"/>
        </w:rPr>
        <w:t xml:space="preserve">. </w:t>
      </w:r>
      <w:r w:rsidR="00DC1737" w:rsidRPr="00DC1737">
        <w:rPr>
          <w:rFonts w:ascii="Times New Roman" w:eastAsia="Calibri" w:hAnsi="Times New Roman" w:cs="Times New Roman"/>
          <w:i/>
        </w:rPr>
        <w:t>European Journal of Criminology, 14</w:t>
      </w:r>
      <w:r w:rsidR="00DC1737" w:rsidRPr="00DC1737">
        <w:rPr>
          <w:rFonts w:ascii="Times New Roman" w:eastAsia="Calibri" w:hAnsi="Times New Roman" w:cs="Times New Roman"/>
        </w:rPr>
        <w:t>(4), 434–450. https://doi.org/10.1177/1477370816661743</w:t>
      </w:r>
    </w:p>
    <w:p w14:paraId="37F7B225"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Thornton, D. (1995). </w:t>
      </w:r>
      <w:r w:rsidRPr="00DC1737">
        <w:rPr>
          <w:rFonts w:ascii="Times New Roman" w:eastAsia="Calibri" w:hAnsi="Times New Roman" w:cs="Times New Roman"/>
          <w:i/>
        </w:rPr>
        <w:t>The Self-Esteem Questionnaire</w:t>
      </w:r>
      <w:r w:rsidRPr="00DC1737">
        <w:rPr>
          <w:rFonts w:ascii="Times New Roman" w:eastAsia="Calibri" w:hAnsi="Times New Roman" w:cs="Times New Roman"/>
        </w:rPr>
        <w:t xml:space="preserve"> [Unpublished manuscript]. HM Prison Service, London, UK.</w:t>
      </w:r>
    </w:p>
    <w:p w14:paraId="347A108E"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Thornton, D., Mann, R., Webster, S., Blud, L., Travers, R., Friendship, C., &amp; Erikson, M. (2006). Distinguishing and combining risks for sexual and violent recidivism. </w:t>
      </w:r>
      <w:r w:rsidRPr="00DC1737">
        <w:rPr>
          <w:rFonts w:ascii="Times New Roman" w:eastAsia="Calibri" w:hAnsi="Times New Roman" w:cs="Times New Roman"/>
          <w:i/>
        </w:rPr>
        <w:t>Annals of the New York Academy of Sciences, 989</w:t>
      </w:r>
      <w:r w:rsidRPr="00DC1737">
        <w:rPr>
          <w:rFonts w:ascii="Times New Roman" w:eastAsia="Calibri" w:hAnsi="Times New Roman" w:cs="Times New Roman"/>
        </w:rPr>
        <w:t>(1), 225–235. https://doi.org/10.1111/j.1749-6632.2003.tb07308.x</w:t>
      </w:r>
    </w:p>
    <w:p w14:paraId="49D9ECA1"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van Dam, C., Janssens, J. M. A. M, </w:t>
      </w:r>
      <w:proofErr w:type="spellStart"/>
      <w:r w:rsidRPr="00DC1737">
        <w:rPr>
          <w:rFonts w:ascii="Times New Roman" w:eastAsia="Calibri" w:hAnsi="Times New Roman" w:cs="Times New Roman"/>
        </w:rPr>
        <w:t>Bruyn</w:t>
      </w:r>
      <w:proofErr w:type="spellEnd"/>
      <w:r w:rsidRPr="00DC1737">
        <w:rPr>
          <w:rFonts w:ascii="Times New Roman" w:eastAsia="Calibri" w:hAnsi="Times New Roman" w:cs="Times New Roman"/>
        </w:rPr>
        <w:t xml:space="preserve">, E .E. J. van, </w:t>
      </w:r>
      <w:proofErr w:type="spellStart"/>
      <w:r w:rsidRPr="00DC1737">
        <w:rPr>
          <w:rFonts w:ascii="Times New Roman" w:eastAsia="Calibri" w:hAnsi="Times New Roman" w:cs="Times New Roman"/>
        </w:rPr>
        <w:t>Koolen</w:t>
      </w:r>
      <w:proofErr w:type="spellEnd"/>
      <w:r w:rsidRPr="00DC1737">
        <w:rPr>
          <w:rFonts w:ascii="Times New Roman" w:eastAsia="Calibri" w:hAnsi="Times New Roman" w:cs="Times New Roman"/>
        </w:rPr>
        <w:t xml:space="preserve">, J. J. C. M., &amp; </w:t>
      </w:r>
      <w:proofErr w:type="spellStart"/>
      <w:r w:rsidRPr="00DC1737">
        <w:rPr>
          <w:rFonts w:ascii="Times New Roman" w:eastAsia="Calibri" w:hAnsi="Times New Roman" w:cs="Times New Roman"/>
        </w:rPr>
        <w:t>Spee</w:t>
      </w:r>
      <w:proofErr w:type="spellEnd"/>
      <w:r w:rsidRPr="00DC1737">
        <w:rPr>
          <w:rFonts w:ascii="Times New Roman" w:eastAsia="Calibri" w:hAnsi="Times New Roman" w:cs="Times New Roman"/>
        </w:rPr>
        <w:t xml:space="preserve">, J. E. J. (1999). </w:t>
      </w:r>
      <w:r w:rsidRPr="00DC1737">
        <w:rPr>
          <w:rFonts w:ascii="Times New Roman" w:eastAsia="Calibri" w:hAnsi="Times New Roman" w:cs="Times New Roman"/>
          <w:i/>
        </w:rPr>
        <w:t xml:space="preserve">Self-report </w:t>
      </w:r>
      <w:proofErr w:type="spellStart"/>
      <w:r w:rsidRPr="00DC1737">
        <w:rPr>
          <w:rFonts w:ascii="Times New Roman" w:eastAsia="Calibri" w:hAnsi="Times New Roman" w:cs="Times New Roman"/>
          <w:i/>
        </w:rPr>
        <w:t>delictlijst</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Bewerking</w:t>
      </w:r>
      <w:proofErr w:type="spellEnd"/>
      <w:r w:rsidRPr="00DC1737">
        <w:rPr>
          <w:rFonts w:ascii="Times New Roman" w:eastAsia="Calibri" w:hAnsi="Times New Roman" w:cs="Times New Roman"/>
          <w:i/>
        </w:rPr>
        <w:t xml:space="preserve"> van de self-report </w:t>
      </w:r>
      <w:proofErr w:type="spellStart"/>
      <w:r w:rsidRPr="00DC1737">
        <w:rPr>
          <w:rFonts w:ascii="Times New Roman" w:eastAsia="Calibri" w:hAnsi="Times New Roman" w:cs="Times New Roman"/>
          <w:i/>
        </w:rPr>
        <w:t>delictlijst</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zoals</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ontwikkeld</w:t>
      </w:r>
      <w:proofErr w:type="spellEnd"/>
      <w:r w:rsidRPr="00DC1737">
        <w:rPr>
          <w:rFonts w:ascii="Times New Roman" w:eastAsia="Calibri" w:hAnsi="Times New Roman" w:cs="Times New Roman"/>
          <w:i/>
        </w:rPr>
        <w:t xml:space="preserve"> door het WODC [Self-report offence list. Adaption of the self-report offence-list developed by WODC].</w:t>
      </w:r>
      <w:r w:rsidRPr="00DC1737">
        <w:rPr>
          <w:rFonts w:ascii="Times New Roman" w:eastAsia="Calibri" w:hAnsi="Times New Roman" w:cs="Times New Roman"/>
        </w:rPr>
        <w:t xml:space="preserve"> De </w:t>
      </w:r>
      <w:proofErr w:type="spellStart"/>
      <w:r w:rsidRPr="00DC1737">
        <w:rPr>
          <w:rFonts w:ascii="Times New Roman" w:eastAsia="Calibri" w:hAnsi="Times New Roman" w:cs="Times New Roman"/>
        </w:rPr>
        <w:t>Hunnerberg</w:t>
      </w:r>
      <w:proofErr w:type="spellEnd"/>
      <w:r w:rsidRPr="00DC1737">
        <w:rPr>
          <w:rFonts w:ascii="Times New Roman" w:eastAsia="Calibri" w:hAnsi="Times New Roman" w:cs="Times New Roman"/>
        </w:rPr>
        <w:t>.</w:t>
      </w:r>
    </w:p>
    <w:p w14:paraId="4857BC8C"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Van Damme, L., </w:t>
      </w:r>
      <w:proofErr w:type="spellStart"/>
      <w:r w:rsidR="00DC1737" w:rsidRPr="00DC1737">
        <w:rPr>
          <w:rFonts w:ascii="Times New Roman" w:eastAsia="Calibri" w:hAnsi="Times New Roman" w:cs="Times New Roman"/>
        </w:rPr>
        <w:t>Hoeve</w:t>
      </w:r>
      <w:proofErr w:type="spellEnd"/>
      <w:r w:rsidR="00DC1737" w:rsidRPr="00DC1737">
        <w:rPr>
          <w:rFonts w:ascii="Times New Roman" w:eastAsia="Calibri" w:hAnsi="Times New Roman" w:cs="Times New Roman"/>
        </w:rPr>
        <w:t xml:space="preserve">, M., </w:t>
      </w:r>
      <w:proofErr w:type="spellStart"/>
      <w:r w:rsidR="00DC1737" w:rsidRPr="00DC1737">
        <w:rPr>
          <w:rFonts w:ascii="Times New Roman" w:eastAsia="Calibri" w:hAnsi="Times New Roman" w:cs="Times New Roman"/>
        </w:rPr>
        <w:t>Vermeiren</w:t>
      </w:r>
      <w:proofErr w:type="spellEnd"/>
      <w:r w:rsidR="00DC1737" w:rsidRPr="00DC1737">
        <w:rPr>
          <w:rFonts w:ascii="Times New Roman" w:eastAsia="Calibri" w:hAnsi="Times New Roman" w:cs="Times New Roman"/>
        </w:rPr>
        <w:t xml:space="preserve">, R., </w:t>
      </w:r>
      <w:proofErr w:type="spellStart"/>
      <w:r w:rsidR="00DC1737" w:rsidRPr="00DC1737">
        <w:rPr>
          <w:rFonts w:ascii="Times New Roman" w:eastAsia="Calibri" w:hAnsi="Times New Roman" w:cs="Times New Roman"/>
        </w:rPr>
        <w:t>Vanderplasschen</w:t>
      </w:r>
      <w:proofErr w:type="spellEnd"/>
      <w:r w:rsidR="00DC1737" w:rsidRPr="00DC1737">
        <w:rPr>
          <w:rFonts w:ascii="Times New Roman" w:eastAsia="Calibri" w:hAnsi="Times New Roman" w:cs="Times New Roman"/>
        </w:rPr>
        <w:t xml:space="preserve">, W., &amp; Colins, O. F. (2016). Quality of life in relation to future mental health problems and offending: Testing the Good Lives Model among detained girls. </w:t>
      </w:r>
      <w:r w:rsidR="00DC1737" w:rsidRPr="00DC1737">
        <w:rPr>
          <w:rFonts w:ascii="Times New Roman" w:eastAsia="Calibri" w:hAnsi="Times New Roman" w:cs="Times New Roman"/>
          <w:i/>
        </w:rPr>
        <w:t xml:space="preserve">Law and Human </w:t>
      </w:r>
      <w:proofErr w:type="spellStart"/>
      <w:r w:rsidR="00DC1737" w:rsidRPr="00DC1737">
        <w:rPr>
          <w:rFonts w:ascii="Times New Roman" w:eastAsia="Calibri" w:hAnsi="Times New Roman" w:cs="Times New Roman"/>
          <w:i/>
        </w:rPr>
        <w:t>Behavior</w:t>
      </w:r>
      <w:proofErr w:type="spellEnd"/>
      <w:r w:rsidR="00DC1737" w:rsidRPr="00DC1737">
        <w:rPr>
          <w:rFonts w:ascii="Times New Roman" w:eastAsia="Calibri" w:hAnsi="Times New Roman" w:cs="Times New Roman"/>
          <w:i/>
        </w:rPr>
        <w:t>, 40</w:t>
      </w:r>
      <w:r w:rsidR="00DC1737" w:rsidRPr="00DC1737">
        <w:rPr>
          <w:rFonts w:ascii="Times New Roman" w:eastAsia="Calibri" w:hAnsi="Times New Roman" w:cs="Times New Roman"/>
        </w:rPr>
        <w:t>(3), 285–294. https://doi.org/10.1037/lhb0000177</w:t>
      </w:r>
    </w:p>
    <w:p w14:paraId="68E91B7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Van der Laan, A. M., &amp; Blom, M. (2005). </w:t>
      </w:r>
      <w:proofErr w:type="spellStart"/>
      <w:r w:rsidRPr="00DC1737">
        <w:rPr>
          <w:rFonts w:ascii="Times New Roman" w:eastAsia="Calibri" w:hAnsi="Times New Roman" w:cs="Times New Roman"/>
          <w:i/>
        </w:rPr>
        <w:t>Jeugddelinquentie</w:t>
      </w:r>
      <w:proofErr w:type="spellEnd"/>
      <w:r w:rsidRPr="00DC1737">
        <w:rPr>
          <w:rFonts w:ascii="Times New Roman" w:eastAsia="Calibri" w:hAnsi="Times New Roman" w:cs="Times New Roman"/>
          <w:i/>
        </w:rPr>
        <w:t xml:space="preserve">: Risico’s </w:t>
      </w:r>
      <w:proofErr w:type="spellStart"/>
      <w:r w:rsidRPr="00DC1737">
        <w:rPr>
          <w:rFonts w:ascii="Times New Roman" w:eastAsia="Calibri" w:hAnsi="Times New Roman" w:cs="Times New Roman"/>
          <w:i/>
        </w:rPr>
        <w:t>en</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bescherming</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Bevindingen</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uit</w:t>
      </w:r>
      <w:proofErr w:type="spellEnd"/>
      <w:r w:rsidRPr="00DC1737">
        <w:rPr>
          <w:rFonts w:ascii="Times New Roman" w:eastAsia="Calibri" w:hAnsi="Times New Roman" w:cs="Times New Roman"/>
          <w:i/>
        </w:rPr>
        <w:t xml:space="preserve"> de WODC monitor </w:t>
      </w:r>
      <w:proofErr w:type="spellStart"/>
      <w:r w:rsidRPr="00DC1737">
        <w:rPr>
          <w:rFonts w:ascii="Times New Roman" w:eastAsia="Calibri" w:hAnsi="Times New Roman" w:cs="Times New Roman"/>
          <w:i/>
        </w:rPr>
        <w:t>zelfgerapporteerde</w:t>
      </w:r>
      <w:proofErr w:type="spellEnd"/>
      <w:r w:rsidRPr="00DC1737">
        <w:rPr>
          <w:rFonts w:ascii="Times New Roman" w:eastAsia="Calibri" w:hAnsi="Times New Roman" w:cs="Times New Roman"/>
          <w:i/>
        </w:rPr>
        <w:t xml:space="preserve"> </w:t>
      </w:r>
      <w:proofErr w:type="spellStart"/>
      <w:r w:rsidRPr="00DC1737">
        <w:rPr>
          <w:rFonts w:ascii="Times New Roman" w:eastAsia="Calibri" w:hAnsi="Times New Roman" w:cs="Times New Roman"/>
          <w:i/>
        </w:rPr>
        <w:t>jeugdcriminaliteit</w:t>
      </w:r>
      <w:proofErr w:type="spellEnd"/>
      <w:r w:rsidRPr="00DC1737">
        <w:rPr>
          <w:rFonts w:ascii="Times New Roman" w:eastAsia="Calibri" w:hAnsi="Times New Roman" w:cs="Times New Roman"/>
          <w:i/>
        </w:rPr>
        <w:t xml:space="preserve"> 2005 [Juvenile delinquency: Risks and protection: Findings from the WODC monitor self-reported juvenile crime 2005]. </w:t>
      </w:r>
      <w:r w:rsidRPr="00DC1737">
        <w:rPr>
          <w:rFonts w:ascii="Times New Roman" w:eastAsia="Calibri" w:hAnsi="Times New Roman" w:cs="Times New Roman"/>
        </w:rPr>
        <w:t>Boom Legal Publishers.</w:t>
      </w:r>
    </w:p>
    <w:p w14:paraId="51CF0DC0"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Van der Laan, A. M., Blom, M., &amp; Kleemans, E. R. (2009). Exploring long-term and short-term risk factors for serious delinquency. </w:t>
      </w:r>
      <w:r w:rsidRPr="00DC1737">
        <w:rPr>
          <w:rFonts w:ascii="Times New Roman" w:eastAsia="Calibri" w:hAnsi="Times New Roman" w:cs="Times New Roman"/>
          <w:i/>
        </w:rPr>
        <w:t>European Journal of Criminology, 6</w:t>
      </w:r>
      <w:r w:rsidRPr="00DC1737">
        <w:rPr>
          <w:rFonts w:ascii="Times New Roman" w:eastAsia="Calibri" w:hAnsi="Times New Roman" w:cs="Times New Roman"/>
        </w:rPr>
        <w:t>(5), 419–438. https://doi.org/10.1177/1477370809337882</w:t>
      </w:r>
    </w:p>
    <w:p w14:paraId="0F4F6C13"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Van Nieuwenhuizen, C., Schene, A., </w:t>
      </w:r>
      <w:proofErr w:type="spellStart"/>
      <w:r w:rsidRPr="00DC1737">
        <w:rPr>
          <w:rFonts w:ascii="Times New Roman" w:eastAsia="Calibri" w:hAnsi="Times New Roman" w:cs="Times New Roman"/>
        </w:rPr>
        <w:t>Boevink</w:t>
      </w:r>
      <w:proofErr w:type="spellEnd"/>
      <w:r w:rsidRPr="00DC1737">
        <w:rPr>
          <w:rFonts w:ascii="Times New Roman" w:eastAsia="Calibri" w:hAnsi="Times New Roman" w:cs="Times New Roman"/>
        </w:rPr>
        <w:t>, W., &amp; Wolf, J. (1998). The Lancashire quality of life profile: first experiences in the Netherlands. </w:t>
      </w:r>
      <w:r w:rsidRPr="00DC1737">
        <w:rPr>
          <w:rFonts w:ascii="Times New Roman" w:eastAsia="Calibri" w:hAnsi="Times New Roman" w:cs="Times New Roman"/>
          <w:i/>
          <w:iCs/>
        </w:rPr>
        <w:t>Community Mental Health Journal</w:t>
      </w:r>
      <w:r w:rsidRPr="00DC1737">
        <w:rPr>
          <w:rFonts w:ascii="Times New Roman" w:eastAsia="Calibri" w:hAnsi="Times New Roman" w:cs="Times New Roman"/>
        </w:rPr>
        <w:t>, </w:t>
      </w:r>
      <w:r w:rsidRPr="00DC1737">
        <w:rPr>
          <w:rFonts w:ascii="Times New Roman" w:eastAsia="Calibri" w:hAnsi="Times New Roman" w:cs="Times New Roman"/>
          <w:i/>
          <w:iCs/>
        </w:rPr>
        <w:t>34</w:t>
      </w:r>
      <w:r w:rsidRPr="00DC1737">
        <w:rPr>
          <w:rFonts w:ascii="Times New Roman" w:eastAsia="Calibri" w:hAnsi="Times New Roman" w:cs="Times New Roman"/>
        </w:rPr>
        <w:t>(5), 513-524.</w:t>
      </w:r>
    </w:p>
    <w:p w14:paraId="74F1C8E6"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Van Nieuwenhuizen, C., Schene, A. H., &amp; Koeter, M. W. J. (2002). Quality of life in forensic psychiatry: An </w:t>
      </w:r>
      <w:proofErr w:type="spellStart"/>
      <w:r w:rsidRPr="00DC1737">
        <w:rPr>
          <w:rFonts w:ascii="Times New Roman" w:eastAsia="Calibri" w:hAnsi="Times New Roman" w:cs="Times New Roman"/>
        </w:rPr>
        <w:t>unreclaimed</w:t>
      </w:r>
      <w:proofErr w:type="spellEnd"/>
      <w:r w:rsidRPr="00DC1737">
        <w:rPr>
          <w:rFonts w:ascii="Times New Roman" w:eastAsia="Calibri" w:hAnsi="Times New Roman" w:cs="Times New Roman"/>
        </w:rPr>
        <w:t xml:space="preserve"> territory? </w:t>
      </w:r>
      <w:r w:rsidRPr="00DC1737">
        <w:rPr>
          <w:rFonts w:ascii="Times New Roman" w:eastAsia="Calibri" w:hAnsi="Times New Roman" w:cs="Times New Roman"/>
          <w:i/>
        </w:rPr>
        <w:t>International Review of Psychiatry, 14</w:t>
      </w:r>
      <w:r w:rsidRPr="00DC1737">
        <w:rPr>
          <w:rFonts w:ascii="Times New Roman" w:eastAsia="Calibri" w:hAnsi="Times New Roman" w:cs="Times New Roman"/>
        </w:rPr>
        <w:t>(3), 198–202. https://doi.org/10.1080/09540260220144993</w:t>
      </w:r>
    </w:p>
    <w:p w14:paraId="7AB52200"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(2002). Good lives and the rehabilitation of offenders: Promises and problems. </w:t>
      </w:r>
      <w:r w:rsidRPr="00DC1737">
        <w:rPr>
          <w:rFonts w:ascii="Times New Roman" w:eastAsia="Calibri" w:hAnsi="Times New Roman" w:cs="Times New Roman"/>
          <w:i/>
        </w:rPr>
        <w:t xml:space="preserve">Aggression and Violent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7</w:t>
      </w:r>
      <w:r w:rsidRPr="00DC1737">
        <w:rPr>
          <w:rFonts w:ascii="Times New Roman" w:eastAsia="Calibri" w:hAnsi="Times New Roman" w:cs="Times New Roman"/>
        </w:rPr>
        <w:t>(5), 513-528. https://doi.org/10.1016/S1359-1789(01)00076-3</w:t>
      </w:r>
    </w:p>
    <w:p w14:paraId="11E66359"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Ward, M., &amp; Attwell, P. (2014). Evaluation of two community outreach forensic psychological services. </w:t>
      </w:r>
      <w:r w:rsidR="00DC1737" w:rsidRPr="00DC1737">
        <w:rPr>
          <w:rFonts w:ascii="Times New Roman" w:eastAsia="Calibri" w:hAnsi="Times New Roman" w:cs="Times New Roman"/>
          <w:i/>
        </w:rPr>
        <w:t>The Journal of Forensic Practice, 16</w:t>
      </w:r>
      <w:r w:rsidR="00DC1737" w:rsidRPr="00DC1737">
        <w:rPr>
          <w:rFonts w:ascii="Times New Roman" w:eastAsia="Calibri" w:hAnsi="Times New Roman" w:cs="Times New Roman"/>
        </w:rPr>
        <w:t>(4), 312–326. https://doi.org/10.1108/jfp-04-2013-0027</w:t>
      </w:r>
    </w:p>
    <w:p w14:paraId="4E7DFEDC"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&amp; Brown, M. (2004). The good lives model and conceptual issues in offender rehabilitation. </w:t>
      </w:r>
      <w:r w:rsidRPr="00DC1737">
        <w:rPr>
          <w:rFonts w:ascii="Times New Roman" w:eastAsia="Calibri" w:hAnsi="Times New Roman" w:cs="Times New Roman"/>
          <w:i/>
        </w:rPr>
        <w:t>Psychology, Crime &amp; Law, 10</w:t>
      </w:r>
      <w:r w:rsidRPr="00DC1737">
        <w:rPr>
          <w:rFonts w:ascii="Times New Roman" w:eastAsia="Calibri" w:hAnsi="Times New Roman" w:cs="Times New Roman"/>
        </w:rPr>
        <w:t>(3), 243–257. https://doi.org/10.1080/10683160410001662744</w:t>
      </w:r>
    </w:p>
    <w:p w14:paraId="52A71A3C"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Ward, T., &amp; Fortune, C. A. (2013). The Good Lives Model: Aligning risk reduction with promoting offenders' personal goals. </w:t>
      </w:r>
      <w:r w:rsidRPr="00DC1737">
        <w:rPr>
          <w:rFonts w:ascii="Times New Roman" w:eastAsia="Calibri" w:hAnsi="Times New Roman" w:cs="Times New Roman"/>
          <w:i/>
          <w:iCs/>
        </w:rPr>
        <w:t>European Journal of Probation</w:t>
      </w:r>
      <w:r w:rsidRPr="00DC1737">
        <w:rPr>
          <w:rFonts w:ascii="Times New Roman" w:eastAsia="Calibri" w:hAnsi="Times New Roman" w:cs="Times New Roman"/>
        </w:rPr>
        <w:t>, </w:t>
      </w:r>
      <w:r w:rsidRPr="00DC1737">
        <w:rPr>
          <w:rFonts w:ascii="Times New Roman" w:eastAsia="Calibri" w:hAnsi="Times New Roman" w:cs="Times New Roman"/>
          <w:i/>
          <w:iCs/>
        </w:rPr>
        <w:t>5</w:t>
      </w:r>
      <w:r w:rsidRPr="00DC1737">
        <w:rPr>
          <w:rFonts w:ascii="Times New Roman" w:eastAsia="Calibri" w:hAnsi="Times New Roman" w:cs="Times New Roman"/>
        </w:rPr>
        <w:t>(2), 29-46. https://doi.org/10.1177/206622031300500203</w:t>
      </w:r>
    </w:p>
    <w:p w14:paraId="6FA6413E"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Ward, T., &amp; Hudson, S. M. (1998). A model of the relapse process in sexual offenders. </w:t>
      </w:r>
      <w:r w:rsidRPr="00DC1737">
        <w:rPr>
          <w:rFonts w:ascii="Times New Roman" w:eastAsia="Calibri" w:hAnsi="Times New Roman" w:cs="Times New Roman"/>
          <w:i/>
          <w:iCs/>
        </w:rPr>
        <w:t>Journal of Interpersonal Violence</w:t>
      </w:r>
      <w:r w:rsidRPr="00DC1737">
        <w:rPr>
          <w:rFonts w:ascii="Times New Roman" w:eastAsia="Calibri" w:hAnsi="Times New Roman" w:cs="Times New Roman"/>
        </w:rPr>
        <w:t>, </w:t>
      </w:r>
      <w:r w:rsidRPr="00DC1737">
        <w:rPr>
          <w:rFonts w:ascii="Times New Roman" w:eastAsia="Calibri" w:hAnsi="Times New Roman" w:cs="Times New Roman"/>
          <w:i/>
          <w:iCs/>
        </w:rPr>
        <w:t>13</w:t>
      </w:r>
      <w:r w:rsidRPr="00DC1737">
        <w:rPr>
          <w:rFonts w:ascii="Times New Roman" w:eastAsia="Calibri" w:hAnsi="Times New Roman" w:cs="Times New Roman"/>
        </w:rPr>
        <w:t>(6), 700-725. https://doi.org/10.1177/088626098013006003</w:t>
      </w:r>
    </w:p>
    <w:p w14:paraId="5821D25F"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&amp; Mann, R. (2004). Good lives and the rehabilitation of sex offenders: A positive approach to treatment. In Linley, A., &amp; Joseph, S. (Eds.), </w:t>
      </w:r>
      <w:r w:rsidRPr="00DC1737">
        <w:rPr>
          <w:rFonts w:ascii="Times New Roman" w:eastAsia="Calibri" w:hAnsi="Times New Roman" w:cs="Times New Roman"/>
          <w:i/>
        </w:rPr>
        <w:t>Positive psychology in practice</w:t>
      </w:r>
      <w:r w:rsidRPr="00DC1737">
        <w:rPr>
          <w:rFonts w:ascii="Times New Roman" w:eastAsia="Calibri" w:hAnsi="Times New Roman" w:cs="Times New Roman"/>
        </w:rPr>
        <w:t xml:space="preserve"> (pp. 598-616). John Wiley &amp; Sons.</w:t>
      </w:r>
    </w:p>
    <w:p w14:paraId="24906140"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Ward, T., &amp; Marshall, B. (2007). Narrative identity and offender rehabilitation. </w:t>
      </w:r>
      <w:r w:rsidRPr="00DC1737">
        <w:rPr>
          <w:rFonts w:ascii="Times New Roman" w:eastAsia="Calibri" w:hAnsi="Times New Roman" w:cs="Times New Roman"/>
          <w:i/>
          <w:iCs/>
        </w:rPr>
        <w:t>International Journal of Offender Therapy and Comparative Criminology, 51</w:t>
      </w:r>
      <w:r w:rsidRPr="00DC1737">
        <w:rPr>
          <w:rFonts w:ascii="Times New Roman" w:eastAsia="Calibri" w:hAnsi="Times New Roman" w:cs="Times New Roman"/>
        </w:rPr>
        <w:t>(3), 279–297. https://doi.org/10.1177/0306624x06291461</w:t>
      </w:r>
    </w:p>
    <w:p w14:paraId="51EFACD1"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&amp; Maruna, S. (2007). </w:t>
      </w:r>
      <w:r w:rsidRPr="00DC1737">
        <w:rPr>
          <w:rFonts w:ascii="Times New Roman" w:eastAsia="Calibri" w:hAnsi="Times New Roman" w:cs="Times New Roman"/>
          <w:i/>
        </w:rPr>
        <w:t>Rehabilitation: Beyond the risk paradigm.</w:t>
      </w:r>
      <w:r w:rsidRPr="00DC1737">
        <w:rPr>
          <w:rFonts w:ascii="Times New Roman" w:eastAsia="Calibri" w:hAnsi="Times New Roman" w:cs="Times New Roman"/>
        </w:rPr>
        <w:t xml:space="preserve"> Routledge.</w:t>
      </w:r>
    </w:p>
    <w:p w14:paraId="72C59C39"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w:t>
      </w:r>
      <w:proofErr w:type="spellStart"/>
      <w:r w:rsidRPr="00DC1737">
        <w:rPr>
          <w:rFonts w:ascii="Times New Roman" w:eastAsia="Calibri" w:hAnsi="Times New Roman" w:cs="Times New Roman"/>
        </w:rPr>
        <w:t>Melser</w:t>
      </w:r>
      <w:proofErr w:type="spellEnd"/>
      <w:r w:rsidRPr="00DC1737">
        <w:rPr>
          <w:rFonts w:ascii="Times New Roman" w:eastAsia="Calibri" w:hAnsi="Times New Roman" w:cs="Times New Roman"/>
        </w:rPr>
        <w:t xml:space="preserve">, J., &amp; Yates, P. M. (2007). Reconstructing the Risk–Need–Responsivity model: A theoretical elaboration and evaluation. </w:t>
      </w:r>
      <w:r w:rsidRPr="00DC1737">
        <w:rPr>
          <w:rFonts w:ascii="Times New Roman" w:eastAsia="Calibri" w:hAnsi="Times New Roman" w:cs="Times New Roman"/>
          <w:i/>
        </w:rPr>
        <w:t xml:space="preserve">Aggression and Violent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12</w:t>
      </w:r>
      <w:r w:rsidRPr="00DC1737">
        <w:rPr>
          <w:rFonts w:ascii="Times New Roman" w:eastAsia="Calibri" w:hAnsi="Times New Roman" w:cs="Times New Roman"/>
        </w:rPr>
        <w:t>(2), 208–228. https://doi.org/10.1016/j.avb.2006.07.001</w:t>
      </w:r>
    </w:p>
    <w:p w14:paraId="22072FC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&amp; Stewart, C. (2003). Criminogenic needs and human needs: A theoretical model. </w:t>
      </w:r>
      <w:r w:rsidRPr="00DC1737">
        <w:rPr>
          <w:rFonts w:ascii="Times New Roman" w:eastAsia="Calibri" w:hAnsi="Times New Roman" w:cs="Times New Roman"/>
          <w:i/>
        </w:rPr>
        <w:t>Psychology, Crime &amp; Law, 9</w:t>
      </w:r>
      <w:r w:rsidRPr="00DC1737">
        <w:rPr>
          <w:rFonts w:ascii="Times New Roman" w:eastAsia="Calibri" w:hAnsi="Times New Roman" w:cs="Times New Roman"/>
        </w:rPr>
        <w:t>(2), 125–143. https://doi.org/10.1080/1068316031000116247</w:t>
      </w:r>
    </w:p>
    <w:p w14:paraId="08C1469B"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Ward, T., Yates, P. M., &amp; Willis, G. M. (2012). The Good Lives Model and the Risk Need Responsivity Model: A response to Andrews, Bonta, and Wormith (2011). </w:t>
      </w:r>
      <w:r w:rsidRPr="00DC1737">
        <w:rPr>
          <w:rFonts w:ascii="Times New Roman" w:eastAsia="Calibri" w:hAnsi="Times New Roman" w:cs="Times New Roman"/>
          <w:i/>
        </w:rPr>
        <w:t xml:space="preserve">Criminal Justice and </w:t>
      </w:r>
      <w:proofErr w:type="spellStart"/>
      <w:r w:rsidRPr="00DC1737">
        <w:rPr>
          <w:rFonts w:ascii="Times New Roman" w:eastAsia="Calibri" w:hAnsi="Times New Roman" w:cs="Times New Roman"/>
          <w:i/>
        </w:rPr>
        <w:t>Behavior</w:t>
      </w:r>
      <w:proofErr w:type="spellEnd"/>
      <w:r w:rsidRPr="00DC1737">
        <w:rPr>
          <w:rFonts w:ascii="Times New Roman" w:eastAsia="Calibri" w:hAnsi="Times New Roman" w:cs="Times New Roman"/>
          <w:i/>
        </w:rPr>
        <w:t>, 39</w:t>
      </w:r>
      <w:r w:rsidRPr="00DC1737">
        <w:rPr>
          <w:rFonts w:ascii="Times New Roman" w:eastAsia="Calibri" w:hAnsi="Times New Roman" w:cs="Times New Roman"/>
        </w:rPr>
        <w:t>(1), 94–110. https://doi.org/10.1177/0093854811426085</w:t>
      </w:r>
    </w:p>
    <w:p w14:paraId="79BE6333"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Webster, S. D., Mann, R. E., Wakeling, H. C., &amp; Thornton, D. (2007). Further validation of the Short Self-Esteem Scale with sexual offenders. </w:t>
      </w:r>
      <w:r w:rsidRPr="00DC1737">
        <w:rPr>
          <w:rFonts w:ascii="Times New Roman" w:eastAsia="Calibri" w:hAnsi="Times New Roman" w:cs="Times New Roman"/>
          <w:i/>
        </w:rPr>
        <w:t>Legal and Criminological Psychology, 12</w:t>
      </w:r>
      <w:r w:rsidRPr="00DC1737">
        <w:rPr>
          <w:rFonts w:ascii="Times New Roman" w:eastAsia="Calibri" w:hAnsi="Times New Roman" w:cs="Times New Roman"/>
        </w:rPr>
        <w:t>(2), 207-216. https://doi.org/10.1348/135532506x114347</w:t>
      </w:r>
    </w:p>
    <w:p w14:paraId="17F092E4"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Whitehead, P. R., Ward, T., &amp; Collie, R. M. (2007). Time for a change: Applying the Good Lives Model of rehabilitation to a high-risk violent offender. </w:t>
      </w:r>
      <w:r w:rsidRPr="00DC1737">
        <w:rPr>
          <w:rFonts w:ascii="Times New Roman" w:eastAsia="Calibri" w:hAnsi="Times New Roman" w:cs="Times New Roman"/>
          <w:i/>
        </w:rPr>
        <w:t>International Journal of Offender Therapy and Comparative Criminology, 51</w:t>
      </w:r>
      <w:r w:rsidRPr="00DC1737">
        <w:rPr>
          <w:rFonts w:ascii="Times New Roman" w:eastAsia="Calibri" w:hAnsi="Times New Roman" w:cs="Times New Roman"/>
        </w:rPr>
        <w:t>(5), 578–598. https://doi.org/10.1177/0306624x06296236</w:t>
      </w:r>
    </w:p>
    <w:p w14:paraId="033FF5F2"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WHOQOL Group. (1998). Development of the World Health Organization WHOQOL-BREF quality of life assessment. </w:t>
      </w:r>
      <w:r w:rsidRPr="00DC1737">
        <w:rPr>
          <w:rFonts w:ascii="Times New Roman" w:eastAsia="Calibri" w:hAnsi="Times New Roman" w:cs="Times New Roman"/>
          <w:i/>
        </w:rPr>
        <w:t>Psychological Medicine, 28</w:t>
      </w:r>
      <w:r w:rsidRPr="00DC1737">
        <w:rPr>
          <w:rFonts w:ascii="Times New Roman" w:eastAsia="Calibri" w:hAnsi="Times New Roman" w:cs="Times New Roman"/>
        </w:rPr>
        <w:t>(1), 551–558. http://dx.doi.org/10.1017/S0033291798006667</w:t>
      </w:r>
    </w:p>
    <w:p w14:paraId="47CAF278"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lastRenderedPageBreak/>
        <w:t>*</w:t>
      </w:r>
      <w:r w:rsidR="00DC1737" w:rsidRPr="00DC1737">
        <w:rPr>
          <w:rFonts w:ascii="Times New Roman" w:eastAsia="Calibri" w:hAnsi="Times New Roman" w:cs="Times New Roman"/>
        </w:rPr>
        <w:t xml:space="preserve">Willis, G. M., &amp; Grace, R. C. (2008). The quality of community reintegration planning for child molesters: Effects on sexual recidivism. </w:t>
      </w:r>
      <w:r w:rsidR="00DC1737" w:rsidRPr="00DC1737">
        <w:rPr>
          <w:rFonts w:ascii="Times New Roman" w:eastAsia="Calibri" w:hAnsi="Times New Roman" w:cs="Times New Roman"/>
          <w:i/>
        </w:rPr>
        <w:t>Sexual Abuse: A Journal of Research and Treatment, 20</w:t>
      </w:r>
      <w:r w:rsidR="00DC1737" w:rsidRPr="00DC1737">
        <w:rPr>
          <w:rFonts w:ascii="Times New Roman" w:eastAsia="Calibri" w:hAnsi="Times New Roman" w:cs="Times New Roman"/>
        </w:rPr>
        <w:t>(2), 218–240. https://doi.org/10.1177/1079063208318005</w:t>
      </w:r>
    </w:p>
    <w:p w14:paraId="4FC4D038"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Willis, G. M., Prescott, D. S., &amp; Yates, P. M. (2013). The Good Lives Model (GLM) in theory and practice. </w:t>
      </w:r>
      <w:r w:rsidRPr="00DC1737">
        <w:rPr>
          <w:rFonts w:ascii="Times New Roman" w:eastAsia="Calibri" w:hAnsi="Times New Roman" w:cs="Times New Roman"/>
          <w:i/>
        </w:rPr>
        <w:t>Sexual abuse in Australia and New Zealand, 5</w:t>
      </w:r>
      <w:r w:rsidRPr="00DC1737">
        <w:rPr>
          <w:rFonts w:ascii="Times New Roman" w:eastAsia="Calibri" w:hAnsi="Times New Roman" w:cs="Times New Roman"/>
        </w:rPr>
        <w:t>(1), 3-9. https://www.gifrinc.com/wp-content/uploads/2017/03/SAANZ-issue-5-1-full.pdf#page=4</w:t>
      </w:r>
    </w:p>
    <w:p w14:paraId="4C74D108" w14:textId="77777777" w:rsidR="00DC1737" w:rsidRPr="00DC1737" w:rsidRDefault="001A7063" w:rsidP="00DC1737">
      <w:pPr>
        <w:spacing w:after="160" w:line="480" w:lineRule="auto"/>
        <w:ind w:left="720" w:hanging="720"/>
        <w:rPr>
          <w:rFonts w:ascii="Times New Roman" w:eastAsia="Calibri" w:hAnsi="Times New Roman" w:cs="Times New Roman"/>
        </w:rPr>
      </w:pPr>
      <w:r>
        <w:rPr>
          <w:rFonts w:ascii="Times New Roman" w:eastAsia="Calibri" w:hAnsi="Times New Roman" w:cs="Times New Roman"/>
        </w:rPr>
        <w:t>*</w:t>
      </w:r>
      <w:r w:rsidR="00DC1737" w:rsidRPr="00DC1737">
        <w:rPr>
          <w:rFonts w:ascii="Times New Roman" w:eastAsia="Calibri" w:hAnsi="Times New Roman" w:cs="Times New Roman"/>
        </w:rPr>
        <w:t xml:space="preserve">Willis, G. M., &amp; Ward, T. (2011). Striving for a good life: The Good Lives Model applied to released child molesters. </w:t>
      </w:r>
      <w:r w:rsidR="00DC1737" w:rsidRPr="00DC1737">
        <w:rPr>
          <w:rFonts w:ascii="Times New Roman" w:eastAsia="Calibri" w:hAnsi="Times New Roman" w:cs="Times New Roman"/>
          <w:i/>
        </w:rPr>
        <w:t>Journal of Sexual Aggression, 17</w:t>
      </w:r>
      <w:r w:rsidR="00DC1737" w:rsidRPr="00DC1737">
        <w:rPr>
          <w:rFonts w:ascii="Times New Roman" w:eastAsia="Calibri" w:hAnsi="Times New Roman" w:cs="Times New Roman"/>
        </w:rPr>
        <w:t>(3), 290–303. https://doi.org/10.1080/13552600.2010.505349</w:t>
      </w:r>
    </w:p>
    <w:p w14:paraId="3883EDD5"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Willis, G. M., &amp; Ward, T. (2013). The Good Lives Model: Does it work? Preliminary evidence. In L. A. Craig, L. Dixon, &amp; T. A. Gannon (Eds.), </w:t>
      </w:r>
      <w:r w:rsidRPr="00DC1737">
        <w:rPr>
          <w:rFonts w:ascii="Times New Roman" w:eastAsia="Calibri" w:hAnsi="Times New Roman" w:cs="Times New Roman"/>
          <w:i/>
          <w:iCs/>
        </w:rPr>
        <w:t xml:space="preserve">What works in offender rehabilitation: An evidence-based approach to assessment and treatment </w:t>
      </w:r>
      <w:r w:rsidRPr="00DC1737">
        <w:rPr>
          <w:rFonts w:ascii="Times New Roman" w:eastAsia="Calibri" w:hAnsi="Times New Roman" w:cs="Times New Roman"/>
        </w:rPr>
        <w:t>(pp. 305-317). John Wiley &amp; Sons. https://doi.org/10.1002/9781118320655.ch17</w:t>
      </w:r>
    </w:p>
    <w:p w14:paraId="3847DA9F"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Willis, G. M., Yates, P. M., Gannon, T. A., &amp; Ward, T. (2012). How to integrate the Good Lives Model into treatment programs for sexual offending. </w:t>
      </w:r>
      <w:r w:rsidRPr="00DC1737">
        <w:rPr>
          <w:rFonts w:ascii="Times New Roman" w:eastAsia="Calibri" w:hAnsi="Times New Roman" w:cs="Times New Roman"/>
          <w:i/>
        </w:rPr>
        <w:t>Sexual Abuse: A Journal of Research and Treatment, 25</w:t>
      </w:r>
      <w:r w:rsidRPr="00DC1737">
        <w:rPr>
          <w:rFonts w:ascii="Times New Roman" w:eastAsia="Calibri" w:hAnsi="Times New Roman" w:cs="Times New Roman"/>
        </w:rPr>
        <w:t>(2), 123–142. https://doi.org/10.1177/1079063212452618</w:t>
      </w:r>
    </w:p>
    <w:p w14:paraId="379AE239" w14:textId="77777777" w:rsidR="00DC1737" w:rsidRPr="00DC1737" w:rsidRDefault="00DC1737" w:rsidP="00DC1737">
      <w:pPr>
        <w:spacing w:after="160" w:line="480" w:lineRule="auto"/>
        <w:ind w:left="720" w:hanging="720"/>
        <w:rPr>
          <w:rFonts w:ascii="Times New Roman" w:eastAsia="Calibri" w:hAnsi="Times New Roman" w:cs="Times New Roman"/>
        </w:rPr>
      </w:pPr>
      <w:proofErr w:type="spellStart"/>
      <w:r w:rsidRPr="00DC1737">
        <w:rPr>
          <w:rFonts w:ascii="Times New Roman" w:eastAsia="Calibri" w:hAnsi="Times New Roman" w:cs="Times New Roman"/>
        </w:rPr>
        <w:t>Worling</w:t>
      </w:r>
      <w:proofErr w:type="spellEnd"/>
      <w:r w:rsidRPr="00DC1737">
        <w:rPr>
          <w:rFonts w:ascii="Times New Roman" w:eastAsia="Calibri" w:hAnsi="Times New Roman" w:cs="Times New Roman"/>
        </w:rPr>
        <w:t xml:space="preserve">, J. R., &amp; Curwen, T. (2001). </w:t>
      </w:r>
      <w:r w:rsidRPr="00DC1737">
        <w:rPr>
          <w:rFonts w:ascii="Times New Roman" w:eastAsia="Calibri" w:hAnsi="Times New Roman" w:cs="Times New Roman"/>
          <w:i/>
        </w:rPr>
        <w:t xml:space="preserve">Estimate of risk of adolescent sexual offense recidivism </w:t>
      </w:r>
      <w:r w:rsidRPr="00DC1737">
        <w:rPr>
          <w:rFonts w:ascii="Times New Roman" w:eastAsia="Calibri" w:hAnsi="Times New Roman" w:cs="Times New Roman"/>
        </w:rPr>
        <w:t>(Version 2.0). Ontario Ministry of Community and Social Services.</w:t>
      </w:r>
    </w:p>
    <w:p w14:paraId="4BE58417"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t xml:space="preserve">Wormith, J. S., </w:t>
      </w:r>
      <w:proofErr w:type="spellStart"/>
      <w:r w:rsidRPr="00DC1737">
        <w:rPr>
          <w:rFonts w:ascii="Times New Roman" w:eastAsia="Calibri" w:hAnsi="Times New Roman" w:cs="Times New Roman"/>
        </w:rPr>
        <w:t>Gendreau</w:t>
      </w:r>
      <w:proofErr w:type="spellEnd"/>
      <w:r w:rsidRPr="00DC1737">
        <w:rPr>
          <w:rFonts w:ascii="Times New Roman" w:eastAsia="Calibri" w:hAnsi="Times New Roman" w:cs="Times New Roman"/>
        </w:rPr>
        <w:t xml:space="preserve">, P., &amp; Bonta, J. (2012). Deferring to clarity, parsimony, and evidence in reply to Ward, Yates, and Willis. </w:t>
      </w:r>
      <w:r w:rsidRPr="00DC1737">
        <w:rPr>
          <w:rFonts w:ascii="Times New Roman" w:eastAsia="Calibri" w:hAnsi="Times New Roman" w:cs="Times New Roman"/>
          <w:i/>
          <w:iCs/>
        </w:rPr>
        <w:t xml:space="preserve">Criminal Justice and </w:t>
      </w:r>
      <w:proofErr w:type="spellStart"/>
      <w:r w:rsidRPr="00DC1737">
        <w:rPr>
          <w:rFonts w:ascii="Times New Roman" w:eastAsia="Calibri" w:hAnsi="Times New Roman" w:cs="Times New Roman"/>
          <w:i/>
          <w:iCs/>
        </w:rPr>
        <w:t>Behavior</w:t>
      </w:r>
      <w:proofErr w:type="spellEnd"/>
      <w:r w:rsidRPr="00DC1737">
        <w:rPr>
          <w:rFonts w:ascii="Times New Roman" w:eastAsia="Calibri" w:hAnsi="Times New Roman" w:cs="Times New Roman"/>
          <w:i/>
          <w:iCs/>
        </w:rPr>
        <w:t>, 39</w:t>
      </w:r>
      <w:r w:rsidRPr="00DC1737">
        <w:rPr>
          <w:rFonts w:ascii="Times New Roman" w:eastAsia="Calibri" w:hAnsi="Times New Roman" w:cs="Times New Roman"/>
        </w:rPr>
        <w:t>(1), 111–120. https://doi.org/10.1177/0093854811426087</w:t>
      </w:r>
    </w:p>
    <w:p w14:paraId="3F0948F6" w14:textId="77777777" w:rsidR="00DC1737" w:rsidRPr="00DC1737" w:rsidRDefault="00DC1737" w:rsidP="00DC1737">
      <w:pPr>
        <w:spacing w:after="160" w:line="480" w:lineRule="auto"/>
        <w:ind w:left="720" w:hanging="720"/>
        <w:rPr>
          <w:rFonts w:ascii="Times New Roman" w:eastAsia="Calibri" w:hAnsi="Times New Roman" w:cs="Times New Roman"/>
        </w:rPr>
      </w:pPr>
      <w:r w:rsidRPr="00DC1737">
        <w:rPr>
          <w:rFonts w:ascii="Times New Roman" w:eastAsia="Calibri" w:hAnsi="Times New Roman" w:cs="Times New Roman"/>
        </w:rPr>
        <w:lastRenderedPageBreak/>
        <w:t xml:space="preserve">Wylie, L. A., &amp; Griffin, H. L. (2013). G-map’s application of the Good Lives Model to adolescent males who sexually harm: A case study. </w:t>
      </w:r>
      <w:r w:rsidRPr="00DC1737">
        <w:rPr>
          <w:rFonts w:ascii="Times New Roman" w:eastAsia="Calibri" w:hAnsi="Times New Roman" w:cs="Times New Roman"/>
          <w:i/>
        </w:rPr>
        <w:t>Journal of Sexual Aggression, 19</w:t>
      </w:r>
      <w:r w:rsidRPr="00DC1737">
        <w:rPr>
          <w:rFonts w:ascii="Times New Roman" w:eastAsia="Calibri" w:hAnsi="Times New Roman" w:cs="Times New Roman"/>
        </w:rPr>
        <w:t>(3), 345-356. https://doi.org/10.1080/13552600.2011.650715 </w:t>
      </w:r>
    </w:p>
    <w:p w14:paraId="6240E0B4" w14:textId="77777777" w:rsidR="00DC1737" w:rsidRDefault="00DC1737" w:rsidP="004269C9">
      <w:pPr>
        <w:spacing w:after="160" w:line="480" w:lineRule="auto"/>
        <w:rPr>
          <w:rFonts w:ascii="Times New Roman" w:eastAsia="Calibri" w:hAnsi="Times New Roman" w:cs="Times New Roman"/>
          <w:szCs w:val="22"/>
        </w:rPr>
      </w:pPr>
    </w:p>
    <w:p w14:paraId="6DF94356" w14:textId="77777777" w:rsidR="004269C9" w:rsidRPr="00DC1737" w:rsidRDefault="00E42784" w:rsidP="004269C9">
      <w:pPr>
        <w:spacing w:after="160" w:line="480" w:lineRule="auto"/>
        <w:rPr>
          <w:rFonts w:ascii="Times New Roman" w:eastAsia="Calibri" w:hAnsi="Times New Roman" w:cs="Times New Roman"/>
          <w:i/>
          <w:szCs w:val="22"/>
        </w:rPr>
      </w:pPr>
      <w:r>
        <w:rPr>
          <w:rFonts w:ascii="Times New Roman" w:eastAsia="Calibri" w:hAnsi="Times New Roman" w:cs="Times New Roman"/>
          <w:i/>
          <w:szCs w:val="22"/>
        </w:rPr>
        <w:t>Note.</w:t>
      </w:r>
      <w:r w:rsidR="004269C9" w:rsidRPr="004269C9">
        <w:rPr>
          <w:rFonts w:ascii="Times New Roman" w:eastAsia="Calibri" w:hAnsi="Times New Roman" w:cs="Times New Roman"/>
          <w:i/>
          <w:szCs w:val="22"/>
        </w:rPr>
        <w:t xml:space="preserve"> </w:t>
      </w:r>
      <w:r w:rsidR="004269C9" w:rsidRPr="00E42784">
        <w:rPr>
          <w:rFonts w:ascii="Times New Roman" w:eastAsia="Calibri" w:hAnsi="Times New Roman" w:cs="Times New Roman"/>
          <w:szCs w:val="22"/>
        </w:rPr>
        <w:t>* refers to studies included in the systematic review</w:t>
      </w:r>
    </w:p>
    <w:p w14:paraId="0E99344E" w14:textId="77777777" w:rsidR="00DC1737" w:rsidRPr="00DC1737" w:rsidRDefault="00DC1737" w:rsidP="00DC1737">
      <w:pPr>
        <w:spacing w:after="160" w:line="480" w:lineRule="auto"/>
        <w:ind w:left="720" w:hanging="720"/>
        <w:rPr>
          <w:rFonts w:ascii="Times New Roman" w:eastAsia="Calibri" w:hAnsi="Times New Roman" w:cs="Times New Roman"/>
          <w:szCs w:val="22"/>
        </w:rPr>
      </w:pPr>
    </w:p>
    <w:p w14:paraId="267843C4" w14:textId="77777777" w:rsidR="00DC1737" w:rsidRDefault="00DC1737">
      <w:pPr>
        <w:rPr>
          <w:rFonts w:ascii="Times New Roman" w:hAnsi="Times New Roman" w:cs="Times New Roman"/>
          <w:lang w:val="en-US"/>
        </w:rPr>
      </w:pPr>
    </w:p>
    <w:p w14:paraId="6ECC8F37" w14:textId="77777777" w:rsidR="00EE014F" w:rsidRPr="002E2AA0" w:rsidRDefault="00EE014F" w:rsidP="00EE014F">
      <w:pPr>
        <w:rPr>
          <w:rFonts w:ascii="Times New Roman" w:hAnsi="Times New Roman" w:cs="Times New Roman"/>
          <w:lang w:val="en-US"/>
        </w:rPr>
        <w:sectPr w:rsidR="00EE014F" w:rsidRPr="002E2AA0" w:rsidSect="00642F04">
          <w:pgSz w:w="11900" w:h="16840"/>
          <w:pgMar w:top="1440" w:right="1440" w:bottom="1440" w:left="1440" w:header="708" w:footer="708" w:gutter="0"/>
          <w:cols w:space="708"/>
          <w:docGrid w:linePitch="360"/>
        </w:sectPr>
      </w:pPr>
    </w:p>
    <w:p w14:paraId="389F2917" w14:textId="77777777" w:rsidR="00DC1737" w:rsidRDefault="00DD6A37" w:rsidP="00DC1737">
      <w:pPr>
        <w:jc w:val="center"/>
        <w:rPr>
          <w:rFonts w:ascii="Times New Roman" w:hAnsi="Times New Roman" w:cs="Times New Roman"/>
          <w:b/>
          <w:bCs/>
          <w:lang w:val="en-US"/>
        </w:rPr>
      </w:pPr>
      <w:r w:rsidRPr="002E2AA0">
        <w:rPr>
          <w:rFonts w:ascii="Times New Roman" w:hAnsi="Times New Roman" w:cs="Times New Roman"/>
          <w:b/>
          <w:bCs/>
          <w:lang w:val="en-US"/>
        </w:rPr>
        <w:lastRenderedPageBreak/>
        <w:t>Appendix A</w:t>
      </w:r>
      <w:r w:rsidR="00EE014F" w:rsidRPr="002E2AA0">
        <w:rPr>
          <w:rFonts w:ascii="Times New Roman" w:hAnsi="Times New Roman" w:cs="Times New Roman"/>
          <w:b/>
          <w:bCs/>
          <w:lang w:val="en-US"/>
        </w:rPr>
        <w:t xml:space="preserve">. </w:t>
      </w:r>
    </w:p>
    <w:p w14:paraId="4CF837CA" w14:textId="77777777" w:rsidR="00EE014F" w:rsidRPr="002E2AA0" w:rsidRDefault="00EE014F" w:rsidP="00DC1737">
      <w:pPr>
        <w:jc w:val="center"/>
        <w:rPr>
          <w:rFonts w:ascii="Times New Roman" w:hAnsi="Times New Roman" w:cs="Times New Roman"/>
          <w:lang w:val="en-US"/>
        </w:rPr>
      </w:pPr>
      <w:r w:rsidRPr="002E2AA0">
        <w:rPr>
          <w:rFonts w:ascii="Times New Roman" w:hAnsi="Times New Roman" w:cs="Times New Roman"/>
          <w:i/>
          <w:lang w:val="en-US"/>
        </w:rPr>
        <w:t>Summary of studies included in the systematic review</w:t>
      </w:r>
      <w:r w:rsidR="006D461A" w:rsidRPr="002E2AA0">
        <w:rPr>
          <w:rFonts w:ascii="Times New Roman" w:hAnsi="Times New Roman" w:cs="Times New Roman"/>
          <w:i/>
          <w:lang w:val="en-US"/>
        </w:rPr>
        <w:t>.</w:t>
      </w:r>
    </w:p>
    <w:tbl>
      <w:tblPr>
        <w:tblStyle w:val="TableGrid"/>
        <w:tblpPr w:leftFromText="180" w:rightFromText="180" w:horzAnchor="margin" w:tblpXSpec="center" w:tblpY="652"/>
        <w:tblW w:w="15685" w:type="dxa"/>
        <w:tblLook w:val="04A0" w:firstRow="1" w:lastRow="0" w:firstColumn="1" w:lastColumn="0" w:noHBand="0" w:noVBand="1"/>
      </w:tblPr>
      <w:tblGrid>
        <w:gridCol w:w="1888"/>
        <w:gridCol w:w="2084"/>
        <w:gridCol w:w="1624"/>
        <w:gridCol w:w="1625"/>
        <w:gridCol w:w="1851"/>
        <w:gridCol w:w="2977"/>
        <w:gridCol w:w="3636"/>
      </w:tblGrid>
      <w:tr w:rsidR="00EE014F" w:rsidRPr="002E2AA0" w14:paraId="47F4E314" w14:textId="77777777" w:rsidTr="00EC638A">
        <w:trPr>
          <w:trHeight w:val="519"/>
        </w:trPr>
        <w:tc>
          <w:tcPr>
            <w:tcW w:w="1888" w:type="dxa"/>
            <w:tcBorders>
              <w:top w:val="single" w:sz="4" w:space="0" w:color="auto"/>
              <w:left w:val="nil"/>
              <w:bottom w:val="single" w:sz="4" w:space="0" w:color="auto"/>
              <w:right w:val="nil"/>
            </w:tcBorders>
          </w:tcPr>
          <w:p w14:paraId="69811174"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Authors and Date</w:t>
            </w:r>
          </w:p>
        </w:tc>
        <w:tc>
          <w:tcPr>
            <w:tcW w:w="2084" w:type="dxa"/>
            <w:tcBorders>
              <w:top w:val="single" w:sz="4" w:space="0" w:color="auto"/>
              <w:left w:val="nil"/>
              <w:bottom w:val="single" w:sz="4" w:space="0" w:color="auto"/>
              <w:right w:val="nil"/>
            </w:tcBorders>
          </w:tcPr>
          <w:p w14:paraId="17877D83"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Sample</w:t>
            </w:r>
          </w:p>
        </w:tc>
        <w:tc>
          <w:tcPr>
            <w:tcW w:w="1624" w:type="dxa"/>
            <w:tcBorders>
              <w:top w:val="single" w:sz="4" w:space="0" w:color="auto"/>
              <w:left w:val="nil"/>
              <w:bottom w:val="single" w:sz="4" w:space="0" w:color="auto"/>
              <w:right w:val="nil"/>
            </w:tcBorders>
          </w:tcPr>
          <w:p w14:paraId="43E6D36C"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Country</w:t>
            </w:r>
          </w:p>
        </w:tc>
        <w:tc>
          <w:tcPr>
            <w:tcW w:w="1625" w:type="dxa"/>
            <w:tcBorders>
              <w:top w:val="single" w:sz="4" w:space="0" w:color="auto"/>
              <w:left w:val="nil"/>
              <w:bottom w:val="single" w:sz="4" w:space="0" w:color="auto"/>
              <w:right w:val="nil"/>
            </w:tcBorders>
          </w:tcPr>
          <w:p w14:paraId="09499EFE"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Design</w:t>
            </w:r>
          </w:p>
        </w:tc>
        <w:tc>
          <w:tcPr>
            <w:tcW w:w="1851" w:type="dxa"/>
            <w:tcBorders>
              <w:top w:val="single" w:sz="4" w:space="0" w:color="auto"/>
              <w:left w:val="nil"/>
              <w:bottom w:val="single" w:sz="4" w:space="0" w:color="auto"/>
              <w:right w:val="nil"/>
            </w:tcBorders>
          </w:tcPr>
          <w:p w14:paraId="6865380F"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Control Group</w:t>
            </w:r>
          </w:p>
        </w:tc>
        <w:tc>
          <w:tcPr>
            <w:tcW w:w="2977" w:type="dxa"/>
            <w:tcBorders>
              <w:top w:val="single" w:sz="4" w:space="0" w:color="auto"/>
              <w:left w:val="nil"/>
              <w:bottom w:val="single" w:sz="4" w:space="0" w:color="auto"/>
              <w:right w:val="nil"/>
            </w:tcBorders>
          </w:tcPr>
          <w:p w14:paraId="0E2483B9"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Measures</w:t>
            </w:r>
          </w:p>
        </w:tc>
        <w:tc>
          <w:tcPr>
            <w:tcW w:w="3636" w:type="dxa"/>
            <w:tcBorders>
              <w:top w:val="single" w:sz="4" w:space="0" w:color="auto"/>
              <w:left w:val="nil"/>
              <w:bottom w:val="single" w:sz="4" w:space="0" w:color="auto"/>
              <w:right w:val="nil"/>
            </w:tcBorders>
          </w:tcPr>
          <w:p w14:paraId="29DE15BE" w14:textId="77777777" w:rsidR="00EE014F" w:rsidRPr="002E2AA0" w:rsidRDefault="00EE014F" w:rsidP="00EC638A">
            <w:pPr>
              <w:jc w:val="center"/>
              <w:rPr>
                <w:rFonts w:ascii="Times New Roman" w:hAnsi="Times New Roman" w:cs="Times New Roman"/>
                <w:b/>
                <w:lang w:val="en-US"/>
              </w:rPr>
            </w:pPr>
            <w:r w:rsidRPr="002E2AA0">
              <w:rPr>
                <w:rFonts w:ascii="Times New Roman" w:hAnsi="Times New Roman" w:cs="Times New Roman"/>
                <w:b/>
                <w:lang w:val="en-US"/>
              </w:rPr>
              <w:t>Results</w:t>
            </w:r>
          </w:p>
        </w:tc>
      </w:tr>
      <w:tr w:rsidR="00EE014F" w:rsidRPr="002E2AA0" w14:paraId="79D86D4C" w14:textId="77777777" w:rsidTr="00EC638A">
        <w:trPr>
          <w:trHeight w:val="519"/>
        </w:trPr>
        <w:tc>
          <w:tcPr>
            <w:tcW w:w="1888" w:type="dxa"/>
            <w:tcBorders>
              <w:top w:val="single" w:sz="4" w:space="0" w:color="auto"/>
              <w:left w:val="nil"/>
              <w:bottom w:val="nil"/>
              <w:right w:val="nil"/>
            </w:tcBorders>
          </w:tcPr>
          <w:p w14:paraId="18B853E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Barendregt (2015)</w:t>
            </w:r>
          </w:p>
        </w:tc>
        <w:tc>
          <w:tcPr>
            <w:tcW w:w="2084" w:type="dxa"/>
            <w:tcBorders>
              <w:top w:val="single" w:sz="4" w:space="0" w:color="auto"/>
              <w:left w:val="nil"/>
              <w:bottom w:val="nil"/>
              <w:right w:val="nil"/>
            </w:tcBorders>
          </w:tcPr>
          <w:p w14:paraId="727886E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Adolescent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172;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16.8) with severe mental health issues in secure residential care.</w:t>
            </w:r>
          </w:p>
        </w:tc>
        <w:tc>
          <w:tcPr>
            <w:tcW w:w="1624" w:type="dxa"/>
            <w:tcBorders>
              <w:top w:val="single" w:sz="4" w:space="0" w:color="auto"/>
              <w:left w:val="nil"/>
              <w:bottom w:val="nil"/>
              <w:right w:val="nil"/>
            </w:tcBorders>
          </w:tcPr>
          <w:p w14:paraId="14DB798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The Netherlands</w:t>
            </w:r>
          </w:p>
        </w:tc>
        <w:tc>
          <w:tcPr>
            <w:tcW w:w="1625" w:type="dxa"/>
            <w:tcBorders>
              <w:top w:val="single" w:sz="4" w:space="0" w:color="auto"/>
              <w:left w:val="nil"/>
              <w:bottom w:val="nil"/>
              <w:right w:val="nil"/>
            </w:tcBorders>
          </w:tcPr>
          <w:p w14:paraId="42D0DE78"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Cross-sectional study</w:t>
            </w:r>
          </w:p>
        </w:tc>
        <w:tc>
          <w:tcPr>
            <w:tcW w:w="1851" w:type="dxa"/>
            <w:tcBorders>
              <w:top w:val="single" w:sz="4" w:space="0" w:color="auto"/>
              <w:left w:val="nil"/>
              <w:bottom w:val="nil"/>
              <w:right w:val="nil"/>
            </w:tcBorders>
          </w:tcPr>
          <w:p w14:paraId="61F3798F"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single" w:sz="4" w:space="0" w:color="auto"/>
              <w:left w:val="nil"/>
              <w:bottom w:val="nil"/>
              <w:right w:val="nil"/>
            </w:tcBorders>
          </w:tcPr>
          <w:p w14:paraId="548B463A"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7E1212C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LQoLP (Van Nieuwenhuizen et al., 2002)</w:t>
            </w:r>
          </w:p>
          <w:p w14:paraId="166687B4" w14:textId="77777777" w:rsidR="00EE014F" w:rsidRPr="002E2AA0" w:rsidRDefault="00EE014F" w:rsidP="00EC638A">
            <w:pPr>
              <w:rPr>
                <w:rFonts w:ascii="Times New Roman" w:hAnsi="Times New Roman" w:cs="Times New Roman"/>
                <w:lang w:val="en-US"/>
              </w:rPr>
            </w:pPr>
          </w:p>
          <w:p w14:paraId="7670B52A"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5CE315F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WODC Youth Delinquency Survey (Van der Laan</w:t>
            </w:r>
            <w:r w:rsidR="001C0CD6">
              <w:rPr>
                <w:rFonts w:ascii="Times New Roman" w:hAnsi="Times New Roman" w:cs="Times New Roman"/>
                <w:bCs/>
                <w:lang w:val="en-US"/>
              </w:rPr>
              <w:t xml:space="preserve"> et al.</w:t>
            </w:r>
            <w:r w:rsidRPr="002E2AA0">
              <w:rPr>
                <w:rFonts w:ascii="Times New Roman" w:hAnsi="Times New Roman" w:cs="Times New Roman"/>
                <w:lang w:val="en-US"/>
              </w:rPr>
              <w:t>, 2009); forensic mental health evaluation conducted by trained clinical experts using the Diagnostic and Statistical Manual Version IV – Text Revision (DSM-IV-TR; American Psychiatric Association, 2000); official reconviction data</w:t>
            </w:r>
          </w:p>
          <w:p w14:paraId="0ECEEC45" w14:textId="77777777" w:rsidR="00EE014F" w:rsidRPr="002E2AA0" w:rsidRDefault="00EE014F" w:rsidP="00EC638A">
            <w:pPr>
              <w:rPr>
                <w:rFonts w:ascii="Times New Roman" w:hAnsi="Times New Roman" w:cs="Times New Roman"/>
                <w:lang w:val="en-US"/>
              </w:rPr>
            </w:pPr>
          </w:p>
          <w:p w14:paraId="334ABB61" w14:textId="77777777" w:rsidR="00EE014F" w:rsidRPr="002E2AA0" w:rsidRDefault="00EE014F" w:rsidP="00EC638A">
            <w:pPr>
              <w:rPr>
                <w:rFonts w:ascii="Times New Roman" w:hAnsi="Times New Roman" w:cs="Times New Roman"/>
                <w:lang w:val="en-US"/>
              </w:rPr>
            </w:pPr>
          </w:p>
        </w:tc>
        <w:tc>
          <w:tcPr>
            <w:tcW w:w="3636" w:type="dxa"/>
            <w:tcBorders>
              <w:top w:val="single" w:sz="4" w:space="0" w:color="auto"/>
              <w:left w:val="nil"/>
              <w:bottom w:val="nil"/>
              <w:right w:val="nil"/>
            </w:tcBorders>
          </w:tcPr>
          <w:p w14:paraId="5503477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Barendregt (2015) found little support for unmet needs (corresponding to primary goods) in predicting general delinquency; with this only accounting for 2.4% of variance in delinquency. However, unmet needs had explanatory value, beyond risk factors, in participants’ psychopathology. Unmet leisure and financial needs positively</w:t>
            </w:r>
            <w:r w:rsidRPr="002E2AA0">
              <w:rPr>
                <w:lang w:val="en-US"/>
              </w:rPr>
              <w:t xml:space="preserve"> </w:t>
            </w:r>
            <w:r w:rsidRPr="002E2AA0">
              <w:rPr>
                <w:rFonts w:ascii="Times New Roman" w:hAnsi="Times New Roman" w:cs="Times New Roman"/>
                <w:lang w:val="en-US"/>
              </w:rPr>
              <w:t xml:space="preserve">related to Disruptive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Disorders; Autism Spectrum disorder was related to unmet health needs, and; having unmet safety and health needs were associated with Attention Deficit Disorder.</w:t>
            </w:r>
          </w:p>
        </w:tc>
      </w:tr>
      <w:tr w:rsidR="00EE014F" w:rsidRPr="002E2AA0" w14:paraId="6E7D13BA" w14:textId="77777777" w:rsidTr="00EC638A">
        <w:trPr>
          <w:trHeight w:val="519"/>
        </w:trPr>
        <w:tc>
          <w:tcPr>
            <w:tcW w:w="1888" w:type="dxa"/>
            <w:tcBorders>
              <w:top w:val="nil"/>
              <w:left w:val="nil"/>
              <w:bottom w:val="nil"/>
              <w:right w:val="nil"/>
            </w:tcBorders>
          </w:tcPr>
          <w:p w14:paraId="7EE6061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Barendregt et al. (2018)</w:t>
            </w:r>
          </w:p>
        </w:tc>
        <w:tc>
          <w:tcPr>
            <w:tcW w:w="2084" w:type="dxa"/>
            <w:tcBorders>
              <w:top w:val="nil"/>
              <w:left w:val="nil"/>
              <w:bottom w:val="nil"/>
              <w:right w:val="nil"/>
            </w:tcBorders>
          </w:tcPr>
          <w:p w14:paraId="5984F946"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Adolescent males (</w:t>
            </w:r>
            <w:r w:rsidRPr="002E2AA0">
              <w:rPr>
                <w:rFonts w:ascii="Times New Roman" w:hAnsi="Times New Roman" w:cs="Times New Roman"/>
                <w:i/>
                <w:lang w:val="en-US"/>
              </w:rPr>
              <w:t>N</w:t>
            </w:r>
            <w:r w:rsidRPr="002E2AA0">
              <w:rPr>
                <w:rFonts w:ascii="Times New Roman" w:hAnsi="Times New Roman" w:cs="Times New Roman"/>
                <w:lang w:val="en-US"/>
              </w:rPr>
              <w:t xml:space="preserve"> = 95), aged 16-18 years. All participants had a history of mental health difficulties and had been in a secure residential facility for at least three months.</w:t>
            </w:r>
          </w:p>
        </w:tc>
        <w:tc>
          <w:tcPr>
            <w:tcW w:w="1624" w:type="dxa"/>
            <w:tcBorders>
              <w:top w:val="nil"/>
              <w:left w:val="nil"/>
              <w:bottom w:val="nil"/>
              <w:right w:val="nil"/>
            </w:tcBorders>
          </w:tcPr>
          <w:p w14:paraId="5D5BC69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The Netherlands</w:t>
            </w:r>
          </w:p>
        </w:tc>
        <w:tc>
          <w:tcPr>
            <w:tcW w:w="1625" w:type="dxa"/>
            <w:tcBorders>
              <w:top w:val="nil"/>
              <w:left w:val="nil"/>
              <w:bottom w:val="nil"/>
              <w:right w:val="nil"/>
            </w:tcBorders>
          </w:tcPr>
          <w:p w14:paraId="24DDCE9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Prospective longitudinal design with four waves.</w:t>
            </w:r>
          </w:p>
        </w:tc>
        <w:tc>
          <w:tcPr>
            <w:tcW w:w="1851" w:type="dxa"/>
            <w:tcBorders>
              <w:top w:val="nil"/>
              <w:left w:val="nil"/>
              <w:bottom w:val="nil"/>
              <w:right w:val="nil"/>
            </w:tcBorders>
          </w:tcPr>
          <w:p w14:paraId="6C4A705B"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7EC55189"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72D5E5FC"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Dutch Youth Version of the Lancashire Quality of Life Profile (LQoLP; Van Nieuwenhuizen</w:t>
            </w:r>
            <w:r w:rsidR="00087554">
              <w:rPr>
                <w:rFonts w:ascii="Times New Roman" w:hAnsi="Times New Roman" w:cs="Times New Roman"/>
                <w:lang w:val="en-US"/>
              </w:rPr>
              <w:t xml:space="preserve"> et al.</w:t>
            </w:r>
            <w:r w:rsidRPr="002E2AA0">
              <w:rPr>
                <w:rFonts w:ascii="Times New Roman" w:hAnsi="Times New Roman" w:cs="Times New Roman"/>
                <w:lang w:val="en-US"/>
              </w:rPr>
              <w:t>, 2002)</w:t>
            </w:r>
          </w:p>
          <w:p w14:paraId="12E4E012" w14:textId="77777777" w:rsidR="00EE014F" w:rsidRPr="002E2AA0" w:rsidRDefault="00EE014F" w:rsidP="00EC638A">
            <w:pPr>
              <w:rPr>
                <w:rFonts w:ascii="Times New Roman" w:hAnsi="Times New Roman" w:cs="Times New Roman"/>
                <w:lang w:val="en-US"/>
              </w:rPr>
            </w:pPr>
          </w:p>
          <w:p w14:paraId="7174DF30"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2BA32DAC"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Self-Esteem Scale (Rosenberg, 1965); Life Regard Index (Debats</w:t>
            </w:r>
            <w:r w:rsidR="001C0CD6">
              <w:rPr>
                <w:rFonts w:ascii="Times New Roman" w:hAnsi="Times New Roman" w:cs="Times New Roman"/>
                <w:bCs/>
                <w:lang w:val="en-US"/>
              </w:rPr>
              <w:t xml:space="preserve"> et al.</w:t>
            </w:r>
            <w:r w:rsidRPr="002E2AA0">
              <w:rPr>
                <w:rFonts w:ascii="Times New Roman" w:hAnsi="Times New Roman" w:cs="Times New Roman"/>
                <w:lang w:val="en-US"/>
              </w:rPr>
              <w:t>, 1993); Utrecht Coping List for Adolescents (Bijstra</w:t>
            </w:r>
            <w:r w:rsidR="001C0CD6">
              <w:rPr>
                <w:rFonts w:ascii="Times New Roman" w:hAnsi="Times New Roman" w:cs="Times New Roman"/>
                <w:bCs/>
                <w:lang w:val="en-US"/>
              </w:rPr>
              <w:t xml:space="preserve"> et al.</w:t>
            </w:r>
            <w:r w:rsidRPr="002E2AA0">
              <w:rPr>
                <w:rFonts w:ascii="Times New Roman" w:hAnsi="Times New Roman" w:cs="Times New Roman"/>
                <w:lang w:val="en-US"/>
              </w:rPr>
              <w:t xml:space="preserve">, 1994); </w:t>
            </w:r>
            <w:r w:rsidRPr="002E2AA0">
              <w:rPr>
                <w:rFonts w:ascii="Times New Roman" w:hAnsi="Times New Roman" w:cs="Times New Roman"/>
                <w:lang w:val="en-US"/>
              </w:rPr>
              <w:lastRenderedPageBreak/>
              <w:t>Structured Assessment of Violence Risk in Youth (SAVRY; Borum</w:t>
            </w:r>
            <w:r w:rsidR="001C0CD6">
              <w:rPr>
                <w:rFonts w:ascii="Times New Roman" w:hAnsi="Times New Roman" w:cs="Times New Roman"/>
                <w:bCs/>
                <w:lang w:val="en-US"/>
              </w:rPr>
              <w:t xml:space="preserve"> et al.</w:t>
            </w:r>
            <w:r w:rsidRPr="002E2AA0">
              <w:rPr>
                <w:rFonts w:ascii="Times New Roman" w:hAnsi="Times New Roman" w:cs="Times New Roman"/>
                <w:lang w:val="en-US"/>
              </w:rPr>
              <w:t>, 2002); Youth Delinquency Survey (Van der Laan</w:t>
            </w:r>
            <w:r w:rsidR="00A430BB">
              <w:rPr>
                <w:rFonts w:ascii="Times New Roman" w:hAnsi="Times New Roman" w:cs="Times New Roman"/>
                <w:lang w:val="en-US"/>
              </w:rPr>
              <w:t xml:space="preserve"> et al.,</w:t>
            </w:r>
            <w:r w:rsidRPr="002E2AA0">
              <w:rPr>
                <w:rFonts w:ascii="Times New Roman" w:hAnsi="Times New Roman" w:cs="Times New Roman"/>
                <w:lang w:val="en-US"/>
              </w:rPr>
              <w:t xml:space="preserve"> 2009); Strengths and Difficulties Questionnaire (Goodman, 1997)</w:t>
            </w:r>
          </w:p>
          <w:p w14:paraId="2E1BF56E" w14:textId="77777777" w:rsidR="00EE014F" w:rsidRPr="002E2AA0" w:rsidRDefault="00EE014F" w:rsidP="00EC638A">
            <w:pPr>
              <w:rPr>
                <w:rFonts w:ascii="Times New Roman" w:hAnsi="Times New Roman" w:cs="Times New Roman"/>
                <w:lang w:val="en-US"/>
              </w:rPr>
            </w:pPr>
          </w:p>
        </w:tc>
        <w:tc>
          <w:tcPr>
            <w:tcW w:w="3636" w:type="dxa"/>
            <w:tcBorders>
              <w:top w:val="nil"/>
              <w:left w:val="nil"/>
              <w:bottom w:val="nil"/>
              <w:right w:val="nil"/>
            </w:tcBorders>
          </w:tcPr>
          <w:p w14:paraId="01A33D8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Poor QoL (low attainment of primary goods) was not found to relate to self-reported recidivism 12 months following discharge from a secure residential facility. Although, low scores on the health domain predicted more psychosocial issues 12 months after discharge.</w:t>
            </w:r>
          </w:p>
        </w:tc>
      </w:tr>
      <w:tr w:rsidR="00EE014F" w:rsidRPr="002E2AA0" w14:paraId="3CC9AC21" w14:textId="77777777" w:rsidTr="00EC638A">
        <w:trPr>
          <w:trHeight w:val="519"/>
        </w:trPr>
        <w:tc>
          <w:tcPr>
            <w:tcW w:w="1888" w:type="dxa"/>
            <w:tcBorders>
              <w:top w:val="nil"/>
              <w:left w:val="nil"/>
              <w:bottom w:val="nil"/>
              <w:right w:val="nil"/>
            </w:tcBorders>
          </w:tcPr>
          <w:p w14:paraId="4F6AA7A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Barnett et al. (2014)</w:t>
            </w:r>
          </w:p>
        </w:tc>
        <w:tc>
          <w:tcPr>
            <w:tcW w:w="2084" w:type="dxa"/>
            <w:tcBorders>
              <w:top w:val="nil"/>
              <w:left w:val="nil"/>
              <w:bottom w:val="nil"/>
              <w:right w:val="nil"/>
            </w:tcBorders>
          </w:tcPr>
          <w:p w14:paraId="49AF8CCF"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not specified;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42.25) who had sexually offended and received a GLM-consistent intervention. GLM-consistent interventions were undertaken with one of two community groupwork programs: either the Community Sex Offender Groupwork (CSOG) program or the Thames Valley Sex Offender Groupwork (TVSOG) program.</w:t>
            </w:r>
          </w:p>
        </w:tc>
        <w:tc>
          <w:tcPr>
            <w:tcW w:w="1624" w:type="dxa"/>
            <w:tcBorders>
              <w:top w:val="nil"/>
              <w:left w:val="nil"/>
              <w:bottom w:val="nil"/>
              <w:right w:val="nil"/>
            </w:tcBorders>
          </w:tcPr>
          <w:p w14:paraId="6EB9CFC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69657C7B"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Quasi-experimental design</w:t>
            </w:r>
          </w:p>
        </w:tc>
        <w:tc>
          <w:tcPr>
            <w:tcW w:w="1851" w:type="dxa"/>
            <w:tcBorders>
              <w:top w:val="nil"/>
              <w:left w:val="nil"/>
              <w:bottom w:val="nil"/>
              <w:right w:val="nil"/>
            </w:tcBorders>
          </w:tcPr>
          <w:p w14:paraId="75655D8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not specified;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41.65) who had sexually offended and received a Relapse Prevention intervention. Relapse Prevention interventions were also delivered within the CSOG or TVSOG community programs. </w:t>
            </w:r>
          </w:p>
        </w:tc>
        <w:tc>
          <w:tcPr>
            <w:tcW w:w="2977" w:type="dxa"/>
            <w:tcBorders>
              <w:top w:val="nil"/>
              <w:left w:val="nil"/>
              <w:bottom w:val="nil"/>
              <w:right w:val="nil"/>
            </w:tcBorders>
          </w:tcPr>
          <w:p w14:paraId="4CC15AD5"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30C67B1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N/A – treatment group assigned</w:t>
            </w:r>
          </w:p>
          <w:p w14:paraId="496DEA4A" w14:textId="77777777" w:rsidR="00EE014F" w:rsidRPr="002E2AA0" w:rsidRDefault="00EE014F" w:rsidP="00EC638A">
            <w:pPr>
              <w:rPr>
                <w:rFonts w:ascii="Times New Roman" w:hAnsi="Times New Roman" w:cs="Times New Roman"/>
                <w:b/>
                <w:lang w:val="en-US"/>
              </w:rPr>
            </w:pPr>
          </w:p>
          <w:p w14:paraId="18C20229"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65D99A3C"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Risk Matrix 2000 (Thornton et al., 2003); Interpersonal Reactivity Index (IRI; Davis, 1980); Relapse Prevention Questionnaire (Beckett</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1997); Short Self-Esteem scale (Webster</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xml:space="preserve">, 2007); </w:t>
            </w:r>
            <w:r w:rsidR="001C0CD6">
              <w:rPr>
                <w:rFonts w:ascii="Times New Roman" w:hAnsi="Times New Roman" w:cs="Times New Roman"/>
                <w:bCs/>
                <w:lang w:val="en-US"/>
              </w:rPr>
              <w:t>UCLA loneliness scale (Russell et al.</w:t>
            </w:r>
            <w:r w:rsidRPr="002E2AA0">
              <w:rPr>
                <w:rFonts w:ascii="Times New Roman" w:hAnsi="Times New Roman" w:cs="Times New Roman"/>
                <w:bCs/>
                <w:lang w:val="en-US"/>
              </w:rPr>
              <w:t>, 1980); Beliefs About Children Scale (Beckett, 1987); Victim Empathy Distortions (Beckett &amp; Fisher, 1994); Underassertiveness scale from Social Response Inventory (Keltner</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1981); Nowicki-Strickland Locus of Control Scale (Nowicki, 1976)</w:t>
            </w:r>
          </w:p>
          <w:p w14:paraId="67FEEA9A" w14:textId="77777777" w:rsidR="00EE014F" w:rsidRDefault="00EE014F" w:rsidP="00EC638A">
            <w:pPr>
              <w:rPr>
                <w:rFonts w:ascii="Times New Roman" w:hAnsi="Times New Roman" w:cs="Times New Roman"/>
                <w:bCs/>
                <w:lang w:val="en-US"/>
              </w:rPr>
            </w:pPr>
          </w:p>
          <w:p w14:paraId="397B0AFC" w14:textId="77777777" w:rsidR="00CF4327" w:rsidRDefault="00CF4327" w:rsidP="00EC638A">
            <w:pPr>
              <w:rPr>
                <w:rFonts w:ascii="Times New Roman" w:hAnsi="Times New Roman" w:cs="Times New Roman"/>
                <w:bCs/>
                <w:lang w:val="en-US"/>
              </w:rPr>
            </w:pPr>
          </w:p>
          <w:p w14:paraId="406134BF" w14:textId="77777777" w:rsidR="00CF4327" w:rsidRPr="002E2AA0" w:rsidRDefault="00CF4327" w:rsidP="00EC638A">
            <w:pPr>
              <w:rPr>
                <w:rFonts w:ascii="Times New Roman" w:hAnsi="Times New Roman" w:cs="Times New Roman"/>
                <w:bCs/>
                <w:lang w:val="en-US"/>
              </w:rPr>
            </w:pPr>
          </w:p>
        </w:tc>
        <w:tc>
          <w:tcPr>
            <w:tcW w:w="3636" w:type="dxa"/>
            <w:tcBorders>
              <w:top w:val="nil"/>
              <w:left w:val="nil"/>
              <w:bottom w:val="nil"/>
              <w:right w:val="nil"/>
            </w:tcBorders>
          </w:tcPr>
          <w:p w14:paraId="6C315D0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difference was found between GLM and RP groups in overall psychometric change and attrition rates. Although, a higher proportion of the GLM-consistent intervention completers achieved a treated profile than RP completers.</w:t>
            </w:r>
          </w:p>
        </w:tc>
      </w:tr>
      <w:tr w:rsidR="00EE014F" w:rsidRPr="002E2AA0" w14:paraId="36E8489F" w14:textId="77777777" w:rsidTr="00EC638A">
        <w:trPr>
          <w:trHeight w:val="519"/>
        </w:trPr>
        <w:tc>
          <w:tcPr>
            <w:tcW w:w="1888" w:type="dxa"/>
            <w:tcBorders>
              <w:top w:val="nil"/>
              <w:left w:val="nil"/>
              <w:bottom w:val="nil"/>
              <w:right w:val="nil"/>
            </w:tcBorders>
          </w:tcPr>
          <w:p w14:paraId="1FDD53D1"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Barnett and Wood (2008)</w:t>
            </w:r>
          </w:p>
        </w:tc>
        <w:tc>
          <w:tcPr>
            <w:tcW w:w="2084" w:type="dxa"/>
            <w:tcBorders>
              <w:top w:val="nil"/>
              <w:left w:val="nil"/>
              <w:bottom w:val="nil"/>
              <w:right w:val="nil"/>
            </w:tcBorders>
          </w:tcPr>
          <w:p w14:paraId="08E54D0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N</w:t>
            </w:r>
            <w:r w:rsidRPr="002E2AA0">
              <w:rPr>
                <w:rFonts w:ascii="Times New Roman" w:hAnsi="Times New Roman" w:cs="Times New Roman"/>
                <w:lang w:val="en-US"/>
              </w:rPr>
              <w:t xml:space="preserve"> = 42;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43.18), who were incarcerated in a UK prison for a sexual offence and had not received any treatment.</w:t>
            </w:r>
          </w:p>
        </w:tc>
        <w:tc>
          <w:tcPr>
            <w:tcW w:w="1624" w:type="dxa"/>
            <w:tcBorders>
              <w:top w:val="nil"/>
              <w:left w:val="nil"/>
              <w:bottom w:val="nil"/>
              <w:right w:val="nil"/>
            </w:tcBorders>
          </w:tcPr>
          <w:p w14:paraId="5FC7A4D5"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090B633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Mixed methods (quantitative and qualitative component) </w:t>
            </w:r>
          </w:p>
        </w:tc>
        <w:tc>
          <w:tcPr>
            <w:tcW w:w="1851" w:type="dxa"/>
            <w:tcBorders>
              <w:top w:val="nil"/>
              <w:left w:val="nil"/>
              <w:bottom w:val="nil"/>
              <w:right w:val="nil"/>
            </w:tcBorders>
          </w:tcPr>
          <w:p w14:paraId="14E8D9D1"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43F8F54D"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40E764A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Good Lives Questionnaire examining the primary goods of Agency, Inner Peace and Relatedness, designed by study authors</w:t>
            </w:r>
          </w:p>
          <w:p w14:paraId="080D917F" w14:textId="77777777" w:rsidR="00EE014F" w:rsidRPr="002E2AA0" w:rsidRDefault="00EE014F" w:rsidP="00EC638A">
            <w:pPr>
              <w:rPr>
                <w:rFonts w:ascii="Times New Roman" w:hAnsi="Times New Roman" w:cs="Times New Roman"/>
                <w:lang w:val="en-US"/>
              </w:rPr>
            </w:pPr>
          </w:p>
          <w:p w14:paraId="0B937069"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324C134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Social Problem Solving Inventory – Revised (D’Zurilla</w:t>
            </w:r>
            <w:r w:rsidR="001C0CD6">
              <w:rPr>
                <w:rFonts w:ascii="Times New Roman" w:hAnsi="Times New Roman" w:cs="Times New Roman"/>
                <w:bCs/>
                <w:lang w:val="en-US"/>
              </w:rPr>
              <w:t xml:space="preserve"> et al.</w:t>
            </w:r>
            <w:r w:rsidRPr="002E2AA0">
              <w:rPr>
                <w:rFonts w:ascii="Times New Roman" w:hAnsi="Times New Roman" w:cs="Times New Roman"/>
                <w:lang w:val="en-US"/>
              </w:rPr>
              <w:t>, 2002)</w:t>
            </w:r>
          </w:p>
          <w:p w14:paraId="2B8B9DC6" w14:textId="77777777" w:rsidR="00EE014F" w:rsidRPr="002E2AA0" w:rsidRDefault="00EE014F" w:rsidP="00EC638A">
            <w:pPr>
              <w:rPr>
                <w:rFonts w:ascii="Times New Roman" w:hAnsi="Times New Roman" w:cs="Times New Roman"/>
                <w:lang w:val="en-US"/>
              </w:rPr>
            </w:pPr>
          </w:p>
        </w:tc>
        <w:tc>
          <w:tcPr>
            <w:tcW w:w="3636" w:type="dxa"/>
            <w:tcBorders>
              <w:top w:val="nil"/>
              <w:left w:val="nil"/>
              <w:bottom w:val="nil"/>
              <w:right w:val="nil"/>
            </w:tcBorders>
          </w:tcPr>
          <w:p w14:paraId="263083C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Participants assigned highest priority to Relatedness, then Agency. Priority scores assigned to Inner Peace were significantly lower than the other primary goods examined. Slightly over half (52.4%) of participants were </w:t>
            </w:r>
            <w:r w:rsidR="00EC638A" w:rsidRPr="002E2AA0">
              <w:rPr>
                <w:rFonts w:ascii="Times New Roman" w:hAnsi="Times New Roman" w:cs="Times New Roman"/>
                <w:lang w:val="en-US"/>
              </w:rPr>
              <w:t>categorized</w:t>
            </w:r>
            <w:r w:rsidRPr="002E2AA0">
              <w:rPr>
                <w:rFonts w:ascii="Times New Roman" w:hAnsi="Times New Roman" w:cs="Times New Roman"/>
                <w:lang w:val="en-US"/>
              </w:rPr>
              <w:t xml:space="preserve"> as having a balanced Good Lives plan (all primary goods examined were assigned a high priority). All four obstacles were experienced by participants (scope, coherence, means, capacity). Regarding the obstacle of capacity, participants who had a balanced Good Lives plan had higher overall </w:t>
            </w:r>
            <w:r w:rsidR="00EC638A" w:rsidRPr="002E2AA0">
              <w:rPr>
                <w:rFonts w:ascii="Times New Roman" w:hAnsi="Times New Roman" w:cs="Times New Roman"/>
                <w:lang w:val="en-US"/>
              </w:rPr>
              <w:t>problem-solving</w:t>
            </w:r>
            <w:r w:rsidRPr="002E2AA0">
              <w:rPr>
                <w:rFonts w:ascii="Times New Roman" w:hAnsi="Times New Roman" w:cs="Times New Roman"/>
                <w:lang w:val="en-US"/>
              </w:rPr>
              <w:t xml:space="preserve"> ability, whilst greater dysfunctional problem solving was related to an unbalanced Good Lives plan. </w:t>
            </w:r>
          </w:p>
          <w:p w14:paraId="2E3B6040" w14:textId="77777777" w:rsidR="00EE014F" w:rsidRPr="002E2AA0" w:rsidRDefault="00EE014F" w:rsidP="00EC638A">
            <w:pPr>
              <w:rPr>
                <w:rFonts w:ascii="Times New Roman" w:hAnsi="Times New Roman" w:cs="Times New Roman"/>
                <w:lang w:val="en-US"/>
              </w:rPr>
            </w:pPr>
          </w:p>
        </w:tc>
      </w:tr>
      <w:tr w:rsidR="00EE014F" w:rsidRPr="002E2AA0" w14:paraId="5056A66C" w14:textId="77777777" w:rsidTr="00EC638A">
        <w:trPr>
          <w:trHeight w:val="519"/>
        </w:trPr>
        <w:tc>
          <w:tcPr>
            <w:tcW w:w="1888" w:type="dxa"/>
            <w:tcBorders>
              <w:top w:val="nil"/>
              <w:left w:val="nil"/>
              <w:bottom w:val="nil"/>
              <w:right w:val="nil"/>
            </w:tcBorders>
          </w:tcPr>
          <w:p w14:paraId="0836DFA5"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Bouman et al. (2009)</w:t>
            </w:r>
          </w:p>
        </w:tc>
        <w:tc>
          <w:tcPr>
            <w:tcW w:w="2084" w:type="dxa"/>
            <w:tcBorders>
              <w:top w:val="nil"/>
              <w:left w:val="nil"/>
              <w:bottom w:val="nil"/>
              <w:right w:val="nil"/>
            </w:tcBorders>
          </w:tcPr>
          <w:p w14:paraId="3C2E754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135;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 xml:space="preserve">age </w:t>
            </w:r>
            <w:r w:rsidRPr="002E2AA0">
              <w:rPr>
                <w:rFonts w:ascii="Times New Roman" w:hAnsi="Times New Roman" w:cs="Times New Roman"/>
                <w:lang w:val="en-US"/>
              </w:rPr>
              <w:t xml:space="preserve">= 37.5) forensic outpatients with personality-disorders, of mixed offending typologies (including sexual, violent and non-violent offences). </w:t>
            </w:r>
          </w:p>
          <w:p w14:paraId="5D566223"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nil"/>
              <w:right w:val="nil"/>
            </w:tcBorders>
          </w:tcPr>
          <w:p w14:paraId="55FFB2C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The Netherlands</w:t>
            </w:r>
          </w:p>
        </w:tc>
        <w:tc>
          <w:tcPr>
            <w:tcW w:w="1625" w:type="dxa"/>
            <w:tcBorders>
              <w:top w:val="nil"/>
              <w:left w:val="nil"/>
              <w:bottom w:val="nil"/>
              <w:right w:val="nil"/>
            </w:tcBorders>
          </w:tcPr>
          <w:p w14:paraId="4D7A62DF"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Longitudinal study</w:t>
            </w:r>
          </w:p>
        </w:tc>
        <w:tc>
          <w:tcPr>
            <w:tcW w:w="1851" w:type="dxa"/>
            <w:tcBorders>
              <w:top w:val="nil"/>
              <w:left w:val="nil"/>
              <w:bottom w:val="nil"/>
              <w:right w:val="nil"/>
            </w:tcBorders>
          </w:tcPr>
          <w:p w14:paraId="6B2FD20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249998FC"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338EBCCF"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LQoLP (Van Nieuwenhuizen et al., 2002)</w:t>
            </w:r>
          </w:p>
          <w:p w14:paraId="05EE330F" w14:textId="77777777" w:rsidR="00EE014F" w:rsidRPr="002E2AA0" w:rsidRDefault="00EE014F" w:rsidP="00EC638A">
            <w:pPr>
              <w:rPr>
                <w:rFonts w:ascii="Times New Roman" w:hAnsi="Times New Roman" w:cs="Times New Roman"/>
                <w:b/>
                <w:lang w:val="en-US"/>
              </w:rPr>
            </w:pPr>
          </w:p>
          <w:p w14:paraId="1E298278"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397EFC07" w14:textId="77777777" w:rsidR="00EE014F" w:rsidRPr="002E2AA0" w:rsidRDefault="00EE014F" w:rsidP="00EC638A">
            <w:pPr>
              <w:rPr>
                <w:rFonts w:ascii="Times New Roman" w:hAnsi="Times New Roman" w:cs="Times New Roman"/>
                <w:bCs/>
                <w:lang w:val="en-US"/>
              </w:rPr>
            </w:pPr>
            <w:proofErr w:type="spellStart"/>
            <w:r w:rsidRPr="002E2AA0">
              <w:rPr>
                <w:rFonts w:ascii="Times New Roman" w:hAnsi="Times New Roman" w:cs="Times New Roman"/>
                <w:bCs/>
                <w:lang w:val="en-US"/>
              </w:rPr>
              <w:t>Cantril’s</w:t>
            </w:r>
            <w:proofErr w:type="spellEnd"/>
            <w:r w:rsidRPr="002E2AA0">
              <w:rPr>
                <w:rFonts w:ascii="Times New Roman" w:hAnsi="Times New Roman" w:cs="Times New Roman"/>
                <w:bCs/>
                <w:lang w:val="en-US"/>
              </w:rPr>
              <w:t xml:space="preserve"> Ladder (</w:t>
            </w:r>
            <w:proofErr w:type="spellStart"/>
            <w:r w:rsidRPr="002E2AA0">
              <w:rPr>
                <w:rFonts w:ascii="Times New Roman" w:hAnsi="Times New Roman" w:cs="Times New Roman"/>
                <w:bCs/>
                <w:lang w:val="en-US"/>
              </w:rPr>
              <w:t>Cantril</w:t>
            </w:r>
            <w:proofErr w:type="spellEnd"/>
            <w:r w:rsidRPr="002E2AA0">
              <w:rPr>
                <w:rFonts w:ascii="Times New Roman" w:hAnsi="Times New Roman" w:cs="Times New Roman"/>
                <w:bCs/>
                <w:lang w:val="en-US"/>
              </w:rPr>
              <w:t>, 1965</w:t>
            </w:r>
            <w:r w:rsidR="005F1C88">
              <w:rPr>
                <w:rFonts w:ascii="Times New Roman" w:hAnsi="Times New Roman" w:cs="Times New Roman"/>
                <w:bCs/>
                <w:lang w:val="en-US"/>
              </w:rPr>
              <w:t xml:space="preserve"> in Van Nieuwenhuizen et al., 1998</w:t>
            </w:r>
            <w:r w:rsidRPr="002E2AA0">
              <w:rPr>
                <w:rFonts w:ascii="Times New Roman" w:hAnsi="Times New Roman" w:cs="Times New Roman"/>
                <w:bCs/>
                <w:lang w:val="en-US"/>
              </w:rPr>
              <w:t>); Self-Reported Delinquent Behavior Inventory (van Dam et al., 1999); official recidivism data; LSI-R (Andrews &amp; Bonta, 1995)</w:t>
            </w:r>
          </w:p>
          <w:p w14:paraId="5797687E" w14:textId="77777777" w:rsidR="00EE014F" w:rsidRPr="002E2AA0" w:rsidRDefault="00EE014F" w:rsidP="00EC638A">
            <w:pPr>
              <w:rPr>
                <w:rFonts w:ascii="Times New Roman" w:hAnsi="Times New Roman" w:cs="Times New Roman"/>
                <w:bCs/>
                <w:lang w:val="en-US"/>
              </w:rPr>
            </w:pPr>
          </w:p>
          <w:p w14:paraId="66907C58" w14:textId="77777777" w:rsidR="00EE014F" w:rsidRPr="002E2AA0" w:rsidRDefault="00EE014F" w:rsidP="00EC638A">
            <w:pPr>
              <w:rPr>
                <w:rFonts w:ascii="Times New Roman" w:hAnsi="Times New Roman" w:cs="Times New Roman"/>
                <w:bCs/>
                <w:lang w:val="en-US"/>
              </w:rPr>
            </w:pPr>
          </w:p>
          <w:p w14:paraId="4FFF1C40" w14:textId="77777777" w:rsidR="00EE014F" w:rsidRPr="002E2AA0" w:rsidRDefault="00EE014F" w:rsidP="00EC638A">
            <w:pPr>
              <w:rPr>
                <w:rFonts w:ascii="Times New Roman" w:hAnsi="Times New Roman" w:cs="Times New Roman"/>
                <w:bCs/>
                <w:lang w:val="en-US"/>
              </w:rPr>
            </w:pPr>
          </w:p>
          <w:p w14:paraId="08EBACC1" w14:textId="77777777" w:rsidR="00EE014F" w:rsidRPr="002E2AA0" w:rsidRDefault="00EE014F" w:rsidP="00EC638A">
            <w:pPr>
              <w:rPr>
                <w:rFonts w:ascii="Times New Roman" w:hAnsi="Times New Roman" w:cs="Times New Roman"/>
                <w:bCs/>
                <w:lang w:val="en-US"/>
              </w:rPr>
            </w:pPr>
          </w:p>
          <w:p w14:paraId="544F11FF" w14:textId="77777777" w:rsidR="00EE014F" w:rsidRPr="002E2AA0" w:rsidRDefault="00EE014F" w:rsidP="00EC638A">
            <w:pPr>
              <w:rPr>
                <w:rFonts w:ascii="Times New Roman" w:hAnsi="Times New Roman" w:cs="Times New Roman"/>
                <w:bCs/>
                <w:lang w:val="en-US"/>
              </w:rPr>
            </w:pPr>
          </w:p>
          <w:p w14:paraId="78725214"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nil"/>
              <w:right w:val="nil"/>
            </w:tcBorders>
          </w:tcPr>
          <w:p w14:paraId="54C3BF6D"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 xml:space="preserve">No difference was found in self-reported recidivism at a three-month follow-up between forensic </w:t>
            </w:r>
            <w:r w:rsidR="00EC638A" w:rsidRPr="002E2AA0">
              <w:rPr>
                <w:rFonts w:ascii="Times New Roman" w:hAnsi="Times New Roman" w:cs="Times New Roman"/>
                <w:lang w:val="en-US"/>
              </w:rPr>
              <w:t>outpatients</w:t>
            </w:r>
            <w:r w:rsidRPr="002E2AA0">
              <w:rPr>
                <w:rFonts w:ascii="Times New Roman" w:hAnsi="Times New Roman" w:cs="Times New Roman"/>
                <w:lang w:val="en-US"/>
              </w:rPr>
              <w:t xml:space="preserve"> with unmet needs (corresponding to primary goods) and those who reported having a fulfilling life. However, the domains of health and life fulfilment were negatively associated with violent and general recidivism at three-month follow-up. Specifically, high risk outpatients were three times more likely to commit a general offence at three-month follow-up if they were unsatisfied with their health.</w:t>
            </w:r>
          </w:p>
          <w:p w14:paraId="7493A3AB" w14:textId="77777777" w:rsidR="00EE014F" w:rsidRPr="002E2AA0" w:rsidRDefault="00EE014F" w:rsidP="00EC638A">
            <w:pPr>
              <w:rPr>
                <w:rFonts w:ascii="Times New Roman" w:hAnsi="Times New Roman" w:cs="Times New Roman"/>
                <w:lang w:val="en-US"/>
              </w:rPr>
            </w:pPr>
          </w:p>
          <w:p w14:paraId="5EFAC69D"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At a three-year follow-up, violent reconvictions were moderately related to </w:t>
            </w:r>
            <w:r w:rsidR="00EC638A" w:rsidRPr="002E2AA0">
              <w:rPr>
                <w:rFonts w:ascii="Times New Roman" w:hAnsi="Times New Roman" w:cs="Times New Roman"/>
                <w:lang w:val="en-US"/>
              </w:rPr>
              <w:t>having general</w:t>
            </w:r>
            <w:r w:rsidRPr="002E2AA0">
              <w:rPr>
                <w:rFonts w:ascii="Times New Roman" w:hAnsi="Times New Roman" w:cs="Times New Roman"/>
                <w:lang w:val="en-US"/>
              </w:rPr>
              <w:t xml:space="preserve"> unmet needs, and significantly related to poor satisfaction with health. Property crimes related to poor satisfaction with finances, and general crimes related to poor satisfaction with health. However, when accounting for risk level, none of these relationships remained significant. Despite this, high risk patients were six times less likely to commit a violent crime if satisfied with their health, and three times less likely if satisfied with their life in general.</w:t>
            </w:r>
          </w:p>
          <w:p w14:paraId="55A259AA" w14:textId="77777777" w:rsidR="00EE014F" w:rsidRPr="002E2AA0" w:rsidRDefault="00EE014F" w:rsidP="00EC638A">
            <w:pPr>
              <w:rPr>
                <w:rFonts w:ascii="Times New Roman" w:hAnsi="Times New Roman" w:cs="Times New Roman"/>
                <w:lang w:val="en-US"/>
              </w:rPr>
            </w:pPr>
          </w:p>
        </w:tc>
      </w:tr>
      <w:tr w:rsidR="00EE014F" w:rsidRPr="002E2AA0" w14:paraId="18A7322A" w14:textId="77777777" w:rsidTr="00EC638A">
        <w:trPr>
          <w:trHeight w:val="519"/>
        </w:trPr>
        <w:tc>
          <w:tcPr>
            <w:tcW w:w="1888" w:type="dxa"/>
            <w:tcBorders>
              <w:top w:val="nil"/>
              <w:left w:val="nil"/>
              <w:bottom w:val="nil"/>
              <w:right w:val="nil"/>
            </w:tcBorders>
          </w:tcPr>
          <w:p w14:paraId="273B6B0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Chu et al. (2015)</w:t>
            </w:r>
          </w:p>
        </w:tc>
        <w:tc>
          <w:tcPr>
            <w:tcW w:w="2084" w:type="dxa"/>
            <w:tcBorders>
              <w:top w:val="nil"/>
              <w:left w:val="nil"/>
              <w:bottom w:val="nil"/>
              <w:right w:val="nil"/>
            </w:tcBorders>
          </w:tcPr>
          <w:p w14:paraId="2D84E32D"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All adolescent males (</w:t>
            </w:r>
            <w:r w:rsidRPr="002E2AA0">
              <w:rPr>
                <w:rFonts w:ascii="Times New Roman" w:hAnsi="Times New Roman" w:cs="Times New Roman"/>
                <w:i/>
                <w:iCs/>
                <w:lang w:val="en-US"/>
              </w:rPr>
              <w:t>N</w:t>
            </w:r>
            <w:r w:rsidRPr="002E2AA0">
              <w:rPr>
                <w:rFonts w:ascii="Times New Roman" w:hAnsi="Times New Roman" w:cs="Times New Roman"/>
                <w:lang w:val="en-US"/>
              </w:rPr>
              <w:t xml:space="preserve"> = 168), aged 12-18 years, who had been referred to the Clinical and Forensic Psychology Branch (CFBP) of the Ministry of Social and Family Development in Singapore for a sexual offence, between October 2002 and March 2012. </w:t>
            </w:r>
          </w:p>
          <w:p w14:paraId="5E0BF8B5"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nil"/>
              <w:right w:val="nil"/>
            </w:tcBorders>
          </w:tcPr>
          <w:p w14:paraId="0C511CE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Singapore</w:t>
            </w:r>
          </w:p>
        </w:tc>
        <w:tc>
          <w:tcPr>
            <w:tcW w:w="1625" w:type="dxa"/>
            <w:tcBorders>
              <w:top w:val="nil"/>
              <w:left w:val="nil"/>
              <w:bottom w:val="nil"/>
              <w:right w:val="nil"/>
            </w:tcBorders>
          </w:tcPr>
          <w:p w14:paraId="1ECED25D"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Retrospective, clinical file review</w:t>
            </w:r>
          </w:p>
        </w:tc>
        <w:tc>
          <w:tcPr>
            <w:tcW w:w="1851" w:type="dxa"/>
            <w:tcBorders>
              <w:top w:val="nil"/>
              <w:left w:val="nil"/>
              <w:bottom w:val="nil"/>
              <w:right w:val="nil"/>
            </w:tcBorders>
          </w:tcPr>
          <w:p w14:paraId="7F690AB4"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7BCCA22F"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7476DC95"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Clinical file reviews by two CFBP psychologists for primary goods</w:t>
            </w:r>
          </w:p>
          <w:p w14:paraId="0EF9358B" w14:textId="77777777" w:rsidR="00EE014F" w:rsidRPr="002E2AA0" w:rsidRDefault="00EE014F" w:rsidP="00EC638A">
            <w:pPr>
              <w:rPr>
                <w:rFonts w:ascii="Times New Roman" w:hAnsi="Times New Roman" w:cs="Times New Roman"/>
                <w:bCs/>
                <w:lang w:val="en-US"/>
              </w:rPr>
            </w:pPr>
          </w:p>
          <w:p w14:paraId="0987E141"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3CD9203A"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ERASOR (</w:t>
            </w:r>
            <w:proofErr w:type="spellStart"/>
            <w:r w:rsidRPr="002E2AA0">
              <w:rPr>
                <w:rFonts w:ascii="Times New Roman" w:hAnsi="Times New Roman" w:cs="Times New Roman"/>
                <w:bCs/>
                <w:lang w:val="en-US"/>
              </w:rPr>
              <w:t>Worling</w:t>
            </w:r>
            <w:proofErr w:type="spellEnd"/>
            <w:r w:rsidRPr="002E2AA0">
              <w:rPr>
                <w:rFonts w:ascii="Times New Roman" w:hAnsi="Times New Roman" w:cs="Times New Roman"/>
                <w:bCs/>
                <w:lang w:val="en-US"/>
              </w:rPr>
              <w:t xml:space="preserve"> &amp; Curwen, 2001); Offense Pathway Checklist (Ward &amp; Hudson, 1998)</w:t>
            </w:r>
          </w:p>
        </w:tc>
        <w:tc>
          <w:tcPr>
            <w:tcW w:w="3636" w:type="dxa"/>
            <w:tcBorders>
              <w:top w:val="nil"/>
              <w:left w:val="nil"/>
              <w:bottom w:val="nil"/>
              <w:right w:val="nil"/>
            </w:tcBorders>
          </w:tcPr>
          <w:p w14:paraId="70B631F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The primary goods of Pleasure (91.1% of total sample), Relatedness (35.7%) and Inner Peace (17.3%) were mentioned most in the clinical files of adolescents who had sexually offended. Creativity, Spirituality and Life were not present in any of the clinical files, with the remaining primary goods mentioned in less than 10% of clinical files. No differences were found according to victim age (child vs. non-child) or nature of offence (penetrative vs. non-penetrative).</w:t>
            </w:r>
          </w:p>
        </w:tc>
      </w:tr>
      <w:tr w:rsidR="00EE014F" w:rsidRPr="002E2AA0" w14:paraId="63AC888C" w14:textId="77777777" w:rsidTr="00EC638A">
        <w:trPr>
          <w:trHeight w:val="519"/>
        </w:trPr>
        <w:tc>
          <w:tcPr>
            <w:tcW w:w="1888" w:type="dxa"/>
            <w:tcBorders>
              <w:top w:val="nil"/>
              <w:left w:val="nil"/>
              <w:bottom w:val="nil"/>
              <w:right w:val="nil"/>
            </w:tcBorders>
          </w:tcPr>
          <w:p w14:paraId="613C248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Harkins et al. (2012)</w:t>
            </w:r>
          </w:p>
        </w:tc>
        <w:tc>
          <w:tcPr>
            <w:tcW w:w="2084" w:type="dxa"/>
            <w:tcBorders>
              <w:top w:val="nil"/>
              <w:left w:val="nil"/>
              <w:bottom w:val="nil"/>
              <w:right w:val="nil"/>
            </w:tcBorders>
          </w:tcPr>
          <w:p w14:paraId="5B528D36"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76;</w:t>
            </w:r>
            <w:r w:rsidRPr="002E2AA0">
              <w:rPr>
                <w:rFonts w:ascii="Times New Roman" w:hAnsi="Times New Roman" w:cs="Times New Roman"/>
                <w:i/>
                <w:iCs/>
                <w:lang w:val="en-US"/>
              </w:rPr>
              <w:t xml:space="preserve"> 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not reported) who had sexually offended and received a GLM-consistent module, called the Better Lives, as part of their community-based treatment.</w:t>
            </w:r>
          </w:p>
          <w:p w14:paraId="09002A9C"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nil"/>
              <w:right w:val="nil"/>
            </w:tcBorders>
          </w:tcPr>
          <w:p w14:paraId="666F5BE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59261784" w14:textId="77777777" w:rsidR="00EE014F" w:rsidRPr="002E2AA0" w:rsidRDefault="00EB5474" w:rsidP="00EC638A">
            <w:pPr>
              <w:rPr>
                <w:rFonts w:ascii="Times New Roman" w:hAnsi="Times New Roman" w:cs="Times New Roman"/>
                <w:lang w:val="en-US"/>
              </w:rPr>
            </w:pPr>
            <w:r w:rsidRPr="002E2AA0">
              <w:rPr>
                <w:rFonts w:ascii="Times New Roman" w:hAnsi="Times New Roman" w:cs="Times New Roman"/>
                <w:lang w:val="en-US"/>
              </w:rPr>
              <w:t>Mixed methods (quantitative and qualitative component)</w:t>
            </w:r>
          </w:p>
        </w:tc>
        <w:tc>
          <w:tcPr>
            <w:tcW w:w="1851" w:type="dxa"/>
            <w:tcBorders>
              <w:top w:val="nil"/>
              <w:left w:val="nil"/>
              <w:bottom w:val="nil"/>
              <w:right w:val="nil"/>
            </w:tcBorders>
          </w:tcPr>
          <w:p w14:paraId="2561184B"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701;</w:t>
            </w:r>
            <w:r w:rsidRPr="002E2AA0">
              <w:rPr>
                <w:rFonts w:ascii="Times New Roman" w:hAnsi="Times New Roman" w:cs="Times New Roman"/>
                <w:i/>
                <w:iCs/>
                <w:lang w:val="en-US"/>
              </w:rPr>
              <w:t xml:space="preserve"> 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not reported) who had sexually offended and received a Relapse Prevention module as part of their community-based treatment.</w:t>
            </w:r>
          </w:p>
          <w:p w14:paraId="18EDB9F5" w14:textId="77777777" w:rsidR="00EE014F" w:rsidRPr="002E2AA0" w:rsidRDefault="00EE014F" w:rsidP="00EC638A">
            <w:pPr>
              <w:rPr>
                <w:rFonts w:ascii="Times New Roman" w:hAnsi="Times New Roman" w:cs="Times New Roman"/>
                <w:lang w:val="en-US"/>
              </w:rPr>
            </w:pPr>
          </w:p>
        </w:tc>
        <w:tc>
          <w:tcPr>
            <w:tcW w:w="2977" w:type="dxa"/>
            <w:tcBorders>
              <w:top w:val="nil"/>
              <w:left w:val="nil"/>
              <w:bottom w:val="nil"/>
              <w:right w:val="nil"/>
            </w:tcBorders>
          </w:tcPr>
          <w:p w14:paraId="7303B522"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7048BDF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N/A – treatment group assigned</w:t>
            </w:r>
          </w:p>
          <w:p w14:paraId="31AD1DED" w14:textId="77777777" w:rsidR="00EE014F" w:rsidRPr="002E2AA0" w:rsidRDefault="00EE014F" w:rsidP="00EC638A">
            <w:pPr>
              <w:rPr>
                <w:rFonts w:ascii="Times New Roman" w:hAnsi="Times New Roman" w:cs="Times New Roman"/>
                <w:b/>
                <w:lang w:val="en-US"/>
              </w:rPr>
            </w:pPr>
          </w:p>
          <w:p w14:paraId="5961DB8C"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1A306A85"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 xml:space="preserve">IRI (Davis, 1980); Relapse Prevention Questionnaire (Beckett et al., 1997); Self-Esteem scale (Webster et al., 2007); UCLA loneliness scale (Russell et al., 1980); Beliefs About Children scale (Beckett, 1987);  Nowicki-Strickland Locus of Control Scale (Nowicki, 1976); Social Response </w:t>
            </w:r>
            <w:r w:rsidR="00EC638A" w:rsidRPr="002E2AA0">
              <w:rPr>
                <w:rFonts w:ascii="Times New Roman" w:hAnsi="Times New Roman" w:cs="Times New Roman"/>
                <w:bCs/>
                <w:lang w:val="en-US"/>
              </w:rPr>
              <w:t>Inventory</w:t>
            </w:r>
            <w:r w:rsidRPr="002E2AA0">
              <w:rPr>
                <w:rFonts w:ascii="Times New Roman" w:hAnsi="Times New Roman" w:cs="Times New Roman"/>
                <w:bCs/>
                <w:lang w:val="en-US"/>
              </w:rPr>
              <w:t xml:space="preserve"> (Keltner et al., 1981; Victim Empathy Distortions (Beckett &amp; Fisher, 1994)</w:t>
            </w:r>
          </w:p>
          <w:p w14:paraId="4E732FEE"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nil"/>
              <w:right w:val="nil"/>
            </w:tcBorders>
          </w:tcPr>
          <w:p w14:paraId="34029F78"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No difference was found between GLM and RP groups in overall psychometric change and attrition rates. In addition, no difference was found between groups on achieving a treated profile. </w:t>
            </w:r>
          </w:p>
        </w:tc>
      </w:tr>
      <w:tr w:rsidR="00EE014F" w:rsidRPr="002E2AA0" w14:paraId="77C23989" w14:textId="77777777" w:rsidTr="00EC638A">
        <w:trPr>
          <w:trHeight w:val="519"/>
        </w:trPr>
        <w:tc>
          <w:tcPr>
            <w:tcW w:w="1888" w:type="dxa"/>
            <w:tcBorders>
              <w:top w:val="nil"/>
              <w:left w:val="nil"/>
              <w:bottom w:val="nil"/>
              <w:right w:val="nil"/>
            </w:tcBorders>
          </w:tcPr>
          <w:p w14:paraId="6CFF476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Harris et al. (2019)</w:t>
            </w:r>
          </w:p>
        </w:tc>
        <w:tc>
          <w:tcPr>
            <w:tcW w:w="2084" w:type="dxa"/>
            <w:tcBorders>
              <w:top w:val="nil"/>
              <w:left w:val="nil"/>
              <w:bottom w:val="nil"/>
              <w:right w:val="nil"/>
            </w:tcBorders>
          </w:tcPr>
          <w:p w14:paraId="18637E35"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42;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49.5) who had been released from prison and were undertaking community-based therapy for sexual offending. </w:t>
            </w:r>
          </w:p>
          <w:p w14:paraId="3BED82DB"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nil"/>
              <w:right w:val="nil"/>
            </w:tcBorders>
          </w:tcPr>
          <w:p w14:paraId="21C1EFF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States</w:t>
            </w:r>
          </w:p>
        </w:tc>
        <w:tc>
          <w:tcPr>
            <w:tcW w:w="1625" w:type="dxa"/>
            <w:tcBorders>
              <w:top w:val="nil"/>
              <w:left w:val="nil"/>
              <w:bottom w:val="nil"/>
              <w:right w:val="nil"/>
            </w:tcBorders>
          </w:tcPr>
          <w:p w14:paraId="281F997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Qualitative, thematic approach</w:t>
            </w:r>
          </w:p>
        </w:tc>
        <w:tc>
          <w:tcPr>
            <w:tcW w:w="1851" w:type="dxa"/>
            <w:tcBorders>
              <w:top w:val="nil"/>
              <w:left w:val="nil"/>
              <w:bottom w:val="nil"/>
              <w:right w:val="nil"/>
            </w:tcBorders>
          </w:tcPr>
          <w:p w14:paraId="5F504A8B"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2648932F"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
                <w:lang w:val="en-US"/>
              </w:rPr>
              <w:t xml:space="preserve">GLM Measure: </w:t>
            </w:r>
          </w:p>
          <w:p w14:paraId="49434000"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Semi-structured interview adapted from McAdams’ (1993) Life History Interview Protocol</w:t>
            </w:r>
          </w:p>
          <w:p w14:paraId="33FB163E" w14:textId="77777777" w:rsidR="00EE014F" w:rsidRPr="002E2AA0" w:rsidRDefault="00EE014F" w:rsidP="00EC638A">
            <w:pPr>
              <w:rPr>
                <w:rFonts w:ascii="Times New Roman" w:hAnsi="Times New Roman" w:cs="Times New Roman"/>
                <w:bCs/>
                <w:lang w:val="en-US"/>
              </w:rPr>
            </w:pPr>
          </w:p>
          <w:p w14:paraId="429124FC"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5544B6EE"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N/A</w:t>
            </w:r>
          </w:p>
        </w:tc>
        <w:tc>
          <w:tcPr>
            <w:tcW w:w="3636" w:type="dxa"/>
            <w:tcBorders>
              <w:top w:val="nil"/>
              <w:left w:val="nil"/>
              <w:bottom w:val="nil"/>
              <w:right w:val="nil"/>
            </w:tcBorders>
          </w:tcPr>
          <w:p w14:paraId="482AAB11"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The following primary goods were reported to be well achieved by a large proportion of participants: Knowledge (73.8%), Relatedness (66.7%), Spirituality (45.2%), and Community (38.1%). The remaining primary goods were achieved in less than 10% of participants. Both Knowledge and Community were attained through engagement in sexual offender treatment groups, due to rejection from mainstream clubs. External capacity issues reported </w:t>
            </w:r>
            <w:r w:rsidR="00EC638A" w:rsidRPr="002E2AA0">
              <w:rPr>
                <w:rFonts w:ascii="Times New Roman" w:hAnsi="Times New Roman" w:cs="Times New Roman"/>
                <w:lang w:val="en-US"/>
              </w:rPr>
              <w:t>include</w:t>
            </w:r>
            <w:r w:rsidRPr="002E2AA0">
              <w:rPr>
                <w:rFonts w:ascii="Times New Roman" w:hAnsi="Times New Roman" w:cs="Times New Roman"/>
                <w:lang w:val="en-US"/>
              </w:rPr>
              <w:t xml:space="preserve"> rejection from others, difficulty </w:t>
            </w:r>
            <w:r w:rsidRPr="002E2AA0">
              <w:rPr>
                <w:rFonts w:ascii="Times New Roman" w:hAnsi="Times New Roman" w:cs="Times New Roman"/>
                <w:lang w:val="en-US"/>
              </w:rPr>
              <w:lastRenderedPageBreak/>
              <w:t xml:space="preserve">securing housing and employment, and financial strain.  </w:t>
            </w:r>
          </w:p>
          <w:p w14:paraId="27F18684" w14:textId="77777777" w:rsidR="00EE014F" w:rsidRPr="002E2AA0" w:rsidRDefault="00EE014F" w:rsidP="00EC638A">
            <w:pPr>
              <w:rPr>
                <w:rFonts w:ascii="Times New Roman" w:hAnsi="Times New Roman" w:cs="Times New Roman"/>
                <w:lang w:val="en-US"/>
              </w:rPr>
            </w:pPr>
          </w:p>
        </w:tc>
      </w:tr>
      <w:tr w:rsidR="00EE014F" w:rsidRPr="002E2AA0" w14:paraId="0590E1E1" w14:textId="77777777" w:rsidTr="00EC638A">
        <w:trPr>
          <w:trHeight w:val="519"/>
        </w:trPr>
        <w:tc>
          <w:tcPr>
            <w:tcW w:w="1888" w:type="dxa"/>
            <w:tcBorders>
              <w:top w:val="nil"/>
              <w:left w:val="nil"/>
              <w:bottom w:val="nil"/>
              <w:right w:val="nil"/>
            </w:tcBorders>
          </w:tcPr>
          <w:p w14:paraId="712636D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Leeson &amp; Adshead (2013)</w:t>
            </w:r>
          </w:p>
        </w:tc>
        <w:tc>
          <w:tcPr>
            <w:tcW w:w="2084" w:type="dxa"/>
            <w:tcBorders>
              <w:top w:val="nil"/>
              <w:left w:val="nil"/>
              <w:bottom w:val="nil"/>
              <w:right w:val="nil"/>
            </w:tcBorders>
          </w:tcPr>
          <w:p w14:paraId="621238CF"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Participants include both therapist providers (</w:t>
            </w:r>
            <w:r w:rsidRPr="002E2AA0">
              <w:rPr>
                <w:rFonts w:ascii="Times New Roman" w:hAnsi="Times New Roman" w:cs="Times New Roman"/>
                <w:i/>
                <w:iCs/>
                <w:lang w:val="en-US"/>
              </w:rPr>
              <w:t xml:space="preserve">n </w:t>
            </w:r>
            <w:r w:rsidRPr="002E2AA0">
              <w:rPr>
                <w:rFonts w:ascii="Times New Roman" w:hAnsi="Times New Roman" w:cs="Times New Roman"/>
                <w:lang w:val="en-US"/>
              </w:rPr>
              <w:t>= 7) and adolescents (</w:t>
            </w:r>
            <w:r w:rsidRPr="002E2AA0">
              <w:rPr>
                <w:rFonts w:ascii="Times New Roman" w:hAnsi="Times New Roman" w:cs="Times New Roman"/>
                <w:i/>
                <w:iCs/>
                <w:lang w:val="en-US"/>
              </w:rPr>
              <w:t xml:space="preserve">n </w:t>
            </w:r>
            <w:r w:rsidR="00EB5474">
              <w:rPr>
                <w:rFonts w:ascii="Times New Roman" w:hAnsi="Times New Roman" w:cs="Times New Roman"/>
                <w:lang w:val="en-US"/>
              </w:rPr>
              <w:t>= 4;</w:t>
            </w:r>
            <w:r w:rsidRPr="002E2AA0">
              <w:rPr>
                <w:rFonts w:ascii="Times New Roman" w:hAnsi="Times New Roman" w:cs="Times New Roman"/>
                <w:i/>
                <w:iCs/>
                <w:lang w:val="en-US"/>
              </w:rPr>
              <w:t xml:space="preserve"> 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not reported) who were receiving the GLM-Adolescent (GLM-A) treatment at G-map for sexual offending. Service users include three males and one female.</w:t>
            </w:r>
          </w:p>
          <w:p w14:paraId="701A3649"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nil"/>
              <w:right w:val="nil"/>
            </w:tcBorders>
          </w:tcPr>
          <w:p w14:paraId="38A18D9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28C202D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Qualitative, thematic approach </w:t>
            </w:r>
          </w:p>
        </w:tc>
        <w:tc>
          <w:tcPr>
            <w:tcW w:w="1851" w:type="dxa"/>
            <w:tcBorders>
              <w:top w:val="nil"/>
              <w:left w:val="nil"/>
              <w:bottom w:val="nil"/>
              <w:right w:val="nil"/>
            </w:tcBorders>
          </w:tcPr>
          <w:p w14:paraId="35F2FCC5"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45D7DA2C"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04D9A434"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N/A – treatment provided</w:t>
            </w:r>
          </w:p>
          <w:p w14:paraId="2C7D06AE" w14:textId="77777777" w:rsidR="00EE014F" w:rsidRPr="002E2AA0" w:rsidRDefault="00EE014F" w:rsidP="00EC638A">
            <w:pPr>
              <w:rPr>
                <w:rFonts w:ascii="Times New Roman" w:hAnsi="Times New Roman" w:cs="Times New Roman"/>
                <w:b/>
                <w:lang w:val="en-US"/>
              </w:rPr>
            </w:pPr>
          </w:p>
          <w:p w14:paraId="537605FF"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71D0D7BB"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Semi-structured interviews with service providers and users examining their understanding of the GLM, engagement with treatment, usefulness of GLM and areas of possible improvement</w:t>
            </w:r>
          </w:p>
        </w:tc>
        <w:tc>
          <w:tcPr>
            <w:tcW w:w="3636" w:type="dxa"/>
            <w:tcBorders>
              <w:top w:val="nil"/>
              <w:left w:val="nil"/>
              <w:bottom w:val="nil"/>
              <w:right w:val="nil"/>
            </w:tcBorders>
          </w:tcPr>
          <w:p w14:paraId="73F127CD"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Practitioners were supportive of the GLM-A program for adolescents who had sexually offended, due to enhanced motivation to change and improved engagement with the treatment. Service users reported reduced feelings of shame, hopelessness and defensiveness. They experience optimism for the future, more confidence and development of support networks.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of service users was also found to improve over the course of the intervention.</w:t>
            </w:r>
          </w:p>
        </w:tc>
      </w:tr>
      <w:tr w:rsidR="00EE014F" w:rsidRPr="002E2AA0" w14:paraId="094F3103" w14:textId="77777777" w:rsidTr="00EC638A">
        <w:trPr>
          <w:trHeight w:val="519"/>
        </w:trPr>
        <w:tc>
          <w:tcPr>
            <w:tcW w:w="1888" w:type="dxa"/>
            <w:tcBorders>
              <w:top w:val="nil"/>
              <w:left w:val="nil"/>
              <w:bottom w:val="nil"/>
              <w:right w:val="nil"/>
            </w:tcBorders>
          </w:tcPr>
          <w:p w14:paraId="223638B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Loney &amp; Harkins (2018)</w:t>
            </w:r>
          </w:p>
        </w:tc>
        <w:tc>
          <w:tcPr>
            <w:tcW w:w="2084" w:type="dxa"/>
            <w:tcBorders>
              <w:top w:val="nil"/>
              <w:left w:val="nil"/>
              <w:bottom w:val="nil"/>
              <w:right w:val="nil"/>
            </w:tcBorders>
          </w:tcPr>
          <w:p w14:paraId="1529FB34"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University students (</w:t>
            </w:r>
            <w:r w:rsidRPr="002E2AA0">
              <w:rPr>
                <w:rFonts w:ascii="Times New Roman" w:hAnsi="Times New Roman" w:cs="Times New Roman"/>
                <w:i/>
                <w:iCs/>
                <w:lang w:val="en-US"/>
              </w:rPr>
              <w:t>N</w:t>
            </w:r>
            <w:r w:rsidRPr="002E2AA0">
              <w:rPr>
                <w:rFonts w:ascii="Times New Roman" w:hAnsi="Times New Roman" w:cs="Times New Roman"/>
                <w:lang w:val="en-US"/>
              </w:rPr>
              <w:t xml:space="preserve"> = 340;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20.03). Sample included both male (</w:t>
            </w:r>
            <w:r w:rsidRPr="002E2AA0">
              <w:rPr>
                <w:rFonts w:ascii="Times New Roman" w:hAnsi="Times New Roman" w:cs="Times New Roman"/>
                <w:i/>
                <w:iCs/>
                <w:lang w:val="en-US"/>
              </w:rPr>
              <w:t xml:space="preserve">n </w:t>
            </w:r>
            <w:r w:rsidRPr="002E2AA0">
              <w:rPr>
                <w:rFonts w:ascii="Times New Roman" w:hAnsi="Times New Roman" w:cs="Times New Roman"/>
                <w:lang w:val="en-US"/>
              </w:rPr>
              <w:t>= 149) and female (</w:t>
            </w:r>
            <w:r w:rsidRPr="002E2AA0">
              <w:rPr>
                <w:rFonts w:ascii="Times New Roman" w:hAnsi="Times New Roman" w:cs="Times New Roman"/>
                <w:i/>
                <w:iCs/>
                <w:lang w:val="en-US"/>
              </w:rPr>
              <w:t xml:space="preserve">n </w:t>
            </w:r>
            <w:r w:rsidRPr="002E2AA0">
              <w:rPr>
                <w:rFonts w:ascii="Times New Roman" w:hAnsi="Times New Roman" w:cs="Times New Roman"/>
                <w:lang w:val="en-US"/>
              </w:rPr>
              <w:t>= 187) participants (four did not specify gender).</w:t>
            </w:r>
          </w:p>
          <w:p w14:paraId="0696BB02" w14:textId="77777777" w:rsidR="00EE014F" w:rsidRPr="002E2AA0" w:rsidRDefault="00EE014F" w:rsidP="00EC638A">
            <w:pPr>
              <w:rPr>
                <w:rFonts w:ascii="Times New Roman" w:hAnsi="Times New Roman" w:cs="Times New Roman"/>
                <w:i/>
                <w:iCs/>
                <w:lang w:val="en-US"/>
              </w:rPr>
            </w:pPr>
          </w:p>
        </w:tc>
        <w:tc>
          <w:tcPr>
            <w:tcW w:w="1624" w:type="dxa"/>
            <w:tcBorders>
              <w:top w:val="nil"/>
              <w:left w:val="nil"/>
              <w:bottom w:val="nil"/>
              <w:right w:val="nil"/>
            </w:tcBorders>
          </w:tcPr>
          <w:p w14:paraId="5F90E948"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555259C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Cross-sectional study</w:t>
            </w:r>
          </w:p>
        </w:tc>
        <w:tc>
          <w:tcPr>
            <w:tcW w:w="1851" w:type="dxa"/>
            <w:tcBorders>
              <w:top w:val="nil"/>
              <w:left w:val="nil"/>
              <w:bottom w:val="nil"/>
              <w:right w:val="nil"/>
            </w:tcBorders>
          </w:tcPr>
          <w:p w14:paraId="534B135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0231C79A"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4AC30E00"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Measure of Life Priorities, devised by study authors</w:t>
            </w:r>
          </w:p>
          <w:p w14:paraId="37FCF28A" w14:textId="77777777" w:rsidR="00EE014F" w:rsidRPr="002E2AA0" w:rsidRDefault="00EE014F" w:rsidP="00EC638A">
            <w:pPr>
              <w:rPr>
                <w:rFonts w:ascii="Times New Roman" w:hAnsi="Times New Roman" w:cs="Times New Roman"/>
                <w:bCs/>
                <w:lang w:val="en-US"/>
              </w:rPr>
            </w:pPr>
          </w:p>
          <w:p w14:paraId="7DF16F1F"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3240F40B"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Self-report of offending scale, modified by study authors</w:t>
            </w:r>
          </w:p>
        </w:tc>
        <w:tc>
          <w:tcPr>
            <w:tcW w:w="3636" w:type="dxa"/>
            <w:tcBorders>
              <w:top w:val="nil"/>
              <w:left w:val="nil"/>
              <w:bottom w:val="nil"/>
              <w:right w:val="nil"/>
            </w:tcBorders>
          </w:tcPr>
          <w:p w14:paraId="00DF2689" w14:textId="77777777" w:rsidR="00EE014F" w:rsidRDefault="00EE014F" w:rsidP="00EC638A">
            <w:pPr>
              <w:rPr>
                <w:rFonts w:ascii="Times New Roman" w:hAnsi="Times New Roman" w:cs="Times New Roman"/>
                <w:lang w:val="en-US"/>
              </w:rPr>
            </w:pPr>
            <w:r w:rsidRPr="002E2AA0">
              <w:rPr>
                <w:rFonts w:ascii="Times New Roman" w:hAnsi="Times New Roman" w:cs="Times New Roman"/>
                <w:lang w:val="en-US"/>
              </w:rPr>
              <w:t xml:space="preserve">Self-reported violent offending was predicted by the use of maladaptive means to achieve Agency and Inner Peace. Self-reported acquisitive offending was predicted by using maladaptive means to achieve </w:t>
            </w:r>
            <w:r w:rsidR="00EC638A" w:rsidRPr="002E2AA0">
              <w:rPr>
                <w:rFonts w:ascii="Times New Roman" w:hAnsi="Times New Roman" w:cs="Times New Roman"/>
                <w:lang w:val="en-US"/>
              </w:rPr>
              <w:t>Agency and</w:t>
            </w:r>
            <w:r w:rsidRPr="002E2AA0">
              <w:rPr>
                <w:rFonts w:ascii="Times New Roman" w:hAnsi="Times New Roman" w:cs="Times New Roman"/>
                <w:lang w:val="en-US"/>
              </w:rPr>
              <w:t xml:space="preserve"> use of maladaptive means to achieve Pleasure and Inner Peace predicted self-reported drug offending. No relationship was found between the use of ineffective strategies and self-reported offending.</w:t>
            </w:r>
          </w:p>
          <w:p w14:paraId="0BD615C3" w14:textId="77777777" w:rsidR="00CF4327" w:rsidRDefault="00CF4327" w:rsidP="00EC638A">
            <w:pPr>
              <w:rPr>
                <w:rFonts w:ascii="Times New Roman" w:hAnsi="Times New Roman" w:cs="Times New Roman"/>
                <w:lang w:val="en-US"/>
              </w:rPr>
            </w:pPr>
          </w:p>
          <w:p w14:paraId="2F0D91F7" w14:textId="77777777" w:rsidR="00CF4327" w:rsidRDefault="00CF4327" w:rsidP="00EC638A">
            <w:pPr>
              <w:rPr>
                <w:rFonts w:ascii="Times New Roman" w:hAnsi="Times New Roman" w:cs="Times New Roman"/>
                <w:lang w:val="en-US"/>
              </w:rPr>
            </w:pPr>
          </w:p>
          <w:p w14:paraId="36A57195" w14:textId="77777777" w:rsidR="004269C9" w:rsidRPr="002E2AA0" w:rsidRDefault="004269C9" w:rsidP="00EC638A">
            <w:pPr>
              <w:rPr>
                <w:rFonts w:ascii="Times New Roman" w:hAnsi="Times New Roman" w:cs="Times New Roman"/>
                <w:lang w:val="en-US"/>
              </w:rPr>
            </w:pPr>
          </w:p>
          <w:p w14:paraId="04032FD8" w14:textId="77777777" w:rsidR="00EE014F" w:rsidRPr="002E2AA0" w:rsidRDefault="00EE014F" w:rsidP="00EC638A">
            <w:pPr>
              <w:rPr>
                <w:rFonts w:ascii="Times New Roman" w:hAnsi="Times New Roman" w:cs="Times New Roman"/>
                <w:lang w:val="en-US"/>
              </w:rPr>
            </w:pPr>
          </w:p>
        </w:tc>
      </w:tr>
      <w:tr w:rsidR="00EE014F" w:rsidRPr="002E2AA0" w14:paraId="588B9BE9" w14:textId="77777777" w:rsidTr="00EC638A">
        <w:trPr>
          <w:trHeight w:val="519"/>
        </w:trPr>
        <w:tc>
          <w:tcPr>
            <w:tcW w:w="1888" w:type="dxa"/>
            <w:tcBorders>
              <w:top w:val="nil"/>
              <w:left w:val="nil"/>
              <w:bottom w:val="nil"/>
              <w:right w:val="nil"/>
            </w:tcBorders>
          </w:tcPr>
          <w:p w14:paraId="3E17F4C4"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Mann et al. (2004)</w:t>
            </w:r>
          </w:p>
        </w:tc>
        <w:tc>
          <w:tcPr>
            <w:tcW w:w="2084" w:type="dxa"/>
            <w:tcBorders>
              <w:top w:val="nil"/>
              <w:left w:val="nil"/>
              <w:bottom w:val="nil"/>
              <w:right w:val="nil"/>
            </w:tcBorders>
          </w:tcPr>
          <w:p w14:paraId="3815D14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00EB5474">
              <w:rPr>
                <w:rFonts w:ascii="Times New Roman" w:hAnsi="Times New Roman" w:cs="Times New Roman"/>
                <w:lang w:val="en-US"/>
              </w:rPr>
              <w:t>= 24;</w:t>
            </w:r>
            <w:r w:rsidRPr="002E2AA0">
              <w:rPr>
                <w:rFonts w:ascii="Times New Roman" w:hAnsi="Times New Roman" w:cs="Times New Roman"/>
                <w:i/>
                <w:iCs/>
                <w:lang w:val="en-US"/>
              </w:rPr>
              <w:t xml:space="preserve"> 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not reported) who were incarcerated for a sexual offence. Participants were randomly assigned to receive an approach-focused, GLM-consistent intervention.</w:t>
            </w:r>
          </w:p>
        </w:tc>
        <w:tc>
          <w:tcPr>
            <w:tcW w:w="1624" w:type="dxa"/>
            <w:tcBorders>
              <w:top w:val="nil"/>
              <w:left w:val="nil"/>
              <w:bottom w:val="nil"/>
              <w:right w:val="nil"/>
            </w:tcBorders>
          </w:tcPr>
          <w:p w14:paraId="380A74F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043648AE" w14:textId="77777777" w:rsidR="00EE014F" w:rsidRPr="002E2AA0" w:rsidRDefault="00EE014F" w:rsidP="004269C9">
            <w:pPr>
              <w:rPr>
                <w:rFonts w:ascii="Times New Roman" w:hAnsi="Times New Roman" w:cs="Times New Roman"/>
                <w:lang w:val="en-US"/>
              </w:rPr>
            </w:pPr>
            <w:r w:rsidRPr="002E2AA0">
              <w:rPr>
                <w:rFonts w:ascii="Times New Roman" w:hAnsi="Times New Roman" w:cs="Times New Roman"/>
                <w:lang w:val="en-US"/>
              </w:rPr>
              <w:t xml:space="preserve">Randomized </w:t>
            </w:r>
            <w:r w:rsidR="004269C9">
              <w:rPr>
                <w:rFonts w:ascii="Times New Roman" w:hAnsi="Times New Roman" w:cs="Times New Roman"/>
                <w:lang w:val="en-US"/>
              </w:rPr>
              <w:t>control trial</w:t>
            </w:r>
          </w:p>
        </w:tc>
        <w:tc>
          <w:tcPr>
            <w:tcW w:w="1851" w:type="dxa"/>
            <w:tcBorders>
              <w:top w:val="nil"/>
              <w:left w:val="nil"/>
              <w:bottom w:val="nil"/>
              <w:right w:val="nil"/>
            </w:tcBorders>
          </w:tcPr>
          <w:p w14:paraId="318EF4FB"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23;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not reported) who were incarcerated for a sexual offence. Participants were randomly assigned to receive an avoidance-focused, RP intervention.</w:t>
            </w:r>
          </w:p>
        </w:tc>
        <w:tc>
          <w:tcPr>
            <w:tcW w:w="2977" w:type="dxa"/>
            <w:tcBorders>
              <w:top w:val="nil"/>
              <w:left w:val="nil"/>
              <w:bottom w:val="nil"/>
              <w:right w:val="nil"/>
            </w:tcBorders>
          </w:tcPr>
          <w:p w14:paraId="54591CBF"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79B0A3E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N/A – treatment group assigned</w:t>
            </w:r>
          </w:p>
          <w:p w14:paraId="088BB613" w14:textId="77777777" w:rsidR="00EE014F" w:rsidRPr="002E2AA0" w:rsidRDefault="00EE014F" w:rsidP="00EC638A">
            <w:pPr>
              <w:rPr>
                <w:rFonts w:ascii="Times New Roman" w:hAnsi="Times New Roman" w:cs="Times New Roman"/>
                <w:b/>
                <w:lang w:val="en-US"/>
              </w:rPr>
            </w:pPr>
          </w:p>
          <w:p w14:paraId="72D4A761"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63262215"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Relapse Prevention Interview (Beckett</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1998); risk diary where risk factors (avoidance group) or achieved goals (approach group) were noted (used to calculate lapses); therapist ratings of motivations to change; Self-Esteem Questionnaire (Thornton, 1995); semi-structured interviews with therapists, examining their perceptions of approach and avoidance-focused interventions</w:t>
            </w:r>
          </w:p>
          <w:p w14:paraId="48F6648F"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nil"/>
              <w:right w:val="nil"/>
            </w:tcBorders>
          </w:tcPr>
          <w:p w14:paraId="2F7C8F2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Participants who received the GLM-consistent treatment demonstrated greater motivation to desist from offending (as rated by therapists), improved engagement in treatment and willingness to disclose lapses, than those in the RP group. Pre-post measures of self-esteem, recognition of risk and coping strategies improved in both the GLM-consistent and RP groups, with no difference between them.</w:t>
            </w:r>
          </w:p>
        </w:tc>
      </w:tr>
      <w:tr w:rsidR="00EE014F" w:rsidRPr="002E2AA0" w14:paraId="579499FD" w14:textId="77777777" w:rsidTr="00EC638A">
        <w:trPr>
          <w:trHeight w:val="519"/>
        </w:trPr>
        <w:tc>
          <w:tcPr>
            <w:tcW w:w="1888" w:type="dxa"/>
            <w:tcBorders>
              <w:top w:val="nil"/>
              <w:left w:val="nil"/>
              <w:bottom w:val="nil"/>
              <w:right w:val="nil"/>
            </w:tcBorders>
          </w:tcPr>
          <w:p w14:paraId="7EE918F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Purvis (2005)</w:t>
            </w:r>
          </w:p>
        </w:tc>
        <w:tc>
          <w:tcPr>
            <w:tcW w:w="2084" w:type="dxa"/>
            <w:tcBorders>
              <w:top w:val="nil"/>
              <w:left w:val="nil"/>
              <w:bottom w:val="nil"/>
              <w:right w:val="nil"/>
            </w:tcBorders>
          </w:tcPr>
          <w:p w14:paraId="4F6F244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26;</w:t>
            </w:r>
            <w:r w:rsidRPr="002E2AA0">
              <w:rPr>
                <w:rFonts w:ascii="Times New Roman" w:hAnsi="Times New Roman" w:cs="Times New Roman"/>
                <w:i/>
                <w:iCs/>
                <w:lang w:val="en-US"/>
              </w:rPr>
              <w:t xml:space="preserve"> 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48.3) incarcerated for engaging in sexual abuse of a child. </w:t>
            </w:r>
          </w:p>
        </w:tc>
        <w:tc>
          <w:tcPr>
            <w:tcW w:w="1624" w:type="dxa"/>
            <w:tcBorders>
              <w:top w:val="nil"/>
              <w:left w:val="nil"/>
              <w:bottom w:val="nil"/>
              <w:right w:val="nil"/>
            </w:tcBorders>
          </w:tcPr>
          <w:p w14:paraId="75CF975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Australia</w:t>
            </w:r>
          </w:p>
        </w:tc>
        <w:tc>
          <w:tcPr>
            <w:tcW w:w="1625" w:type="dxa"/>
            <w:tcBorders>
              <w:top w:val="nil"/>
              <w:left w:val="nil"/>
              <w:bottom w:val="nil"/>
              <w:right w:val="nil"/>
            </w:tcBorders>
          </w:tcPr>
          <w:p w14:paraId="37ED3BB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Qualitative, grounded theory approach</w:t>
            </w:r>
          </w:p>
        </w:tc>
        <w:tc>
          <w:tcPr>
            <w:tcW w:w="1851" w:type="dxa"/>
            <w:tcBorders>
              <w:top w:val="nil"/>
              <w:left w:val="nil"/>
              <w:bottom w:val="nil"/>
              <w:right w:val="nil"/>
            </w:tcBorders>
          </w:tcPr>
          <w:p w14:paraId="2317EEE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683532EA"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5BEF25C7"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Semi-structured interview, devised by study author, assessing the primary goods sought at the time of offending and the four flaws in the Good Lives plan.</w:t>
            </w:r>
          </w:p>
          <w:p w14:paraId="00893D48" w14:textId="77777777" w:rsidR="00EE014F" w:rsidRPr="002E2AA0" w:rsidRDefault="00EE014F" w:rsidP="00EC638A">
            <w:pPr>
              <w:rPr>
                <w:rFonts w:ascii="Times New Roman" w:hAnsi="Times New Roman" w:cs="Times New Roman"/>
                <w:bCs/>
                <w:lang w:val="en-US"/>
              </w:rPr>
            </w:pPr>
          </w:p>
          <w:p w14:paraId="2C009B8B"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2E5BF9AB"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N/A</w:t>
            </w:r>
          </w:p>
          <w:p w14:paraId="1985CFC1"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nil"/>
              <w:right w:val="nil"/>
            </w:tcBorders>
          </w:tcPr>
          <w:p w14:paraId="3D7FEAE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The primary goods of Pleasure, Relatedness, Inner Peace, Excellence in Play, Life and Agency were found to be explicitly pursued through engagement in sexual offending amongst participants. Purvis also identified 20 internal obstacles (including, lack of interpersonal skills, emotional difficulties and substance abuse) and 18 external obstacles (including, lack of social support, poverty and lack of employment opportunities). The type of obstacles experienced differed for each </w:t>
            </w:r>
            <w:r w:rsidRPr="002E2AA0">
              <w:rPr>
                <w:rFonts w:ascii="Times New Roman" w:hAnsi="Times New Roman" w:cs="Times New Roman"/>
                <w:lang w:val="en-US"/>
              </w:rPr>
              <w:lastRenderedPageBreak/>
              <w:t>participant, but directly influenced the means used to secure the primary goods. Purvis found that there were both direct and indirect pathways to offending, with the majority of participants experiencing both pathways.</w:t>
            </w:r>
          </w:p>
          <w:p w14:paraId="6F63828F" w14:textId="77777777" w:rsidR="00EE014F" w:rsidRPr="002E2AA0" w:rsidRDefault="00EE014F" w:rsidP="00EC638A">
            <w:pPr>
              <w:rPr>
                <w:rFonts w:ascii="Times New Roman" w:hAnsi="Times New Roman" w:cs="Times New Roman"/>
                <w:lang w:val="en-US"/>
              </w:rPr>
            </w:pPr>
          </w:p>
        </w:tc>
      </w:tr>
      <w:tr w:rsidR="00EE014F" w:rsidRPr="002E2AA0" w14:paraId="08FF76EE" w14:textId="77777777" w:rsidTr="00EC638A">
        <w:trPr>
          <w:trHeight w:val="519"/>
        </w:trPr>
        <w:tc>
          <w:tcPr>
            <w:tcW w:w="1888" w:type="dxa"/>
            <w:tcBorders>
              <w:top w:val="nil"/>
              <w:left w:val="nil"/>
              <w:bottom w:val="nil"/>
              <w:right w:val="nil"/>
            </w:tcBorders>
          </w:tcPr>
          <w:p w14:paraId="7AE46A6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Taylor (2017)</w:t>
            </w:r>
          </w:p>
        </w:tc>
        <w:tc>
          <w:tcPr>
            <w:tcW w:w="2084" w:type="dxa"/>
            <w:tcBorders>
              <w:top w:val="nil"/>
              <w:left w:val="nil"/>
              <w:bottom w:val="nil"/>
              <w:right w:val="nil"/>
            </w:tcBorders>
          </w:tcPr>
          <w:p w14:paraId="27D3F0E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30; age not specified) who had engaged in burglary. Recruited from both prisons (</w:t>
            </w:r>
            <w:r w:rsidRPr="002E2AA0">
              <w:rPr>
                <w:rFonts w:ascii="Times New Roman" w:hAnsi="Times New Roman" w:cs="Times New Roman"/>
                <w:i/>
                <w:iCs/>
                <w:lang w:val="en-US"/>
              </w:rPr>
              <w:t xml:space="preserve">n </w:t>
            </w:r>
            <w:r w:rsidRPr="002E2AA0">
              <w:rPr>
                <w:rFonts w:ascii="Times New Roman" w:hAnsi="Times New Roman" w:cs="Times New Roman"/>
                <w:lang w:val="en-US"/>
              </w:rPr>
              <w:t>= 15) and the community (</w:t>
            </w:r>
            <w:r w:rsidRPr="002E2AA0">
              <w:rPr>
                <w:rFonts w:ascii="Times New Roman" w:hAnsi="Times New Roman" w:cs="Times New Roman"/>
                <w:i/>
                <w:iCs/>
                <w:lang w:val="en-US"/>
              </w:rPr>
              <w:t>n</w:t>
            </w:r>
            <w:r w:rsidRPr="002E2AA0">
              <w:rPr>
                <w:rFonts w:ascii="Times New Roman" w:hAnsi="Times New Roman" w:cs="Times New Roman"/>
                <w:lang w:val="en-US"/>
              </w:rPr>
              <w:t xml:space="preserve"> = 15). </w:t>
            </w:r>
          </w:p>
        </w:tc>
        <w:tc>
          <w:tcPr>
            <w:tcW w:w="1624" w:type="dxa"/>
            <w:tcBorders>
              <w:top w:val="nil"/>
              <w:left w:val="nil"/>
              <w:bottom w:val="nil"/>
              <w:right w:val="nil"/>
            </w:tcBorders>
          </w:tcPr>
          <w:p w14:paraId="08CD99F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Australia</w:t>
            </w:r>
          </w:p>
        </w:tc>
        <w:tc>
          <w:tcPr>
            <w:tcW w:w="1625" w:type="dxa"/>
            <w:tcBorders>
              <w:top w:val="nil"/>
              <w:left w:val="nil"/>
              <w:bottom w:val="nil"/>
              <w:right w:val="nil"/>
            </w:tcBorders>
          </w:tcPr>
          <w:p w14:paraId="5298A6F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Qualitative, thematic approach</w:t>
            </w:r>
          </w:p>
        </w:tc>
        <w:tc>
          <w:tcPr>
            <w:tcW w:w="1851" w:type="dxa"/>
            <w:tcBorders>
              <w:top w:val="nil"/>
              <w:left w:val="nil"/>
              <w:bottom w:val="nil"/>
              <w:right w:val="nil"/>
            </w:tcBorders>
          </w:tcPr>
          <w:p w14:paraId="4549625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2B4D6D15"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545E862F"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 xml:space="preserve">Semi-structured interviews designed by study author, exploring a variety of topics (e.g., items stolen, reasons for offending </w:t>
            </w:r>
            <w:r w:rsidR="00EC638A" w:rsidRPr="002E2AA0">
              <w:rPr>
                <w:rFonts w:ascii="Times New Roman" w:hAnsi="Times New Roman" w:cs="Times New Roman"/>
                <w:bCs/>
                <w:lang w:val="en-US"/>
              </w:rPr>
              <w:t>behavior</w:t>
            </w:r>
            <w:r w:rsidRPr="002E2AA0">
              <w:rPr>
                <w:rFonts w:ascii="Times New Roman" w:hAnsi="Times New Roman" w:cs="Times New Roman"/>
                <w:bCs/>
                <w:lang w:val="en-US"/>
              </w:rPr>
              <w:t>, etc.), interpreted via the GLM framework.</w:t>
            </w:r>
          </w:p>
          <w:p w14:paraId="494EA4D2" w14:textId="77777777" w:rsidR="00EE014F" w:rsidRPr="002E2AA0" w:rsidRDefault="00EE014F" w:rsidP="00EC638A">
            <w:pPr>
              <w:rPr>
                <w:rFonts w:ascii="Times New Roman" w:hAnsi="Times New Roman" w:cs="Times New Roman"/>
                <w:bCs/>
                <w:lang w:val="en-US"/>
              </w:rPr>
            </w:pPr>
          </w:p>
          <w:p w14:paraId="6915EDC5" w14:textId="77777777" w:rsidR="00EE014F" w:rsidRPr="002E2AA0" w:rsidRDefault="00EE014F" w:rsidP="00EC638A">
            <w:pPr>
              <w:rPr>
                <w:rFonts w:ascii="Times New Roman" w:hAnsi="Times New Roman" w:cs="Times New Roman"/>
                <w:bCs/>
                <w:lang w:val="en-US"/>
              </w:rPr>
            </w:pPr>
          </w:p>
          <w:p w14:paraId="094F8479"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nil"/>
              <w:right w:val="nil"/>
            </w:tcBorders>
          </w:tcPr>
          <w:p w14:paraId="4A99CAA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Participants reported trying to directly fulfil their primary goods through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(e.g., the ‘buzz’ gained through offending enabled attainment of Pleasure). Each of the primary goods were found to be relevant to burglary, although Creativity, Spirituality and Community were not explicitly pursued through offending.</w:t>
            </w:r>
          </w:p>
        </w:tc>
      </w:tr>
      <w:tr w:rsidR="00EE014F" w:rsidRPr="002E2AA0" w14:paraId="3DEFE1E5" w14:textId="77777777" w:rsidTr="00EC638A">
        <w:trPr>
          <w:trHeight w:val="519"/>
        </w:trPr>
        <w:tc>
          <w:tcPr>
            <w:tcW w:w="1888" w:type="dxa"/>
            <w:tcBorders>
              <w:top w:val="nil"/>
              <w:left w:val="nil"/>
              <w:bottom w:val="nil"/>
              <w:right w:val="nil"/>
            </w:tcBorders>
          </w:tcPr>
          <w:p w14:paraId="4B82464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Van Damme et al. (2016)</w:t>
            </w:r>
          </w:p>
        </w:tc>
        <w:tc>
          <w:tcPr>
            <w:tcW w:w="2084" w:type="dxa"/>
            <w:tcBorders>
              <w:top w:val="nil"/>
              <w:left w:val="nil"/>
              <w:bottom w:val="nil"/>
              <w:right w:val="nil"/>
            </w:tcBorders>
          </w:tcPr>
          <w:p w14:paraId="5FCEE60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Adolescent females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95; </w:t>
            </w:r>
            <w:r w:rsidRPr="002E2AA0">
              <w:rPr>
                <w:rFonts w:ascii="Times New Roman" w:hAnsi="Times New Roman" w:cs="Times New Roman"/>
                <w:i/>
                <w:iCs/>
                <w:lang w:val="en-US"/>
              </w:rPr>
              <w:t>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16.25) incarcerated at a Youth Detention Centre, for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or an ‘urgent problematic educational situation’ (i.e., truancy, prostitution). </w:t>
            </w:r>
          </w:p>
        </w:tc>
        <w:tc>
          <w:tcPr>
            <w:tcW w:w="1624" w:type="dxa"/>
            <w:tcBorders>
              <w:top w:val="nil"/>
              <w:left w:val="nil"/>
              <w:bottom w:val="nil"/>
              <w:right w:val="nil"/>
            </w:tcBorders>
          </w:tcPr>
          <w:p w14:paraId="1F5AE13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Belgium</w:t>
            </w:r>
          </w:p>
        </w:tc>
        <w:tc>
          <w:tcPr>
            <w:tcW w:w="1625" w:type="dxa"/>
            <w:tcBorders>
              <w:top w:val="nil"/>
              <w:left w:val="nil"/>
              <w:bottom w:val="nil"/>
              <w:right w:val="nil"/>
            </w:tcBorders>
          </w:tcPr>
          <w:p w14:paraId="7C7F2344"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Longitudinal design</w:t>
            </w:r>
          </w:p>
        </w:tc>
        <w:tc>
          <w:tcPr>
            <w:tcW w:w="1851" w:type="dxa"/>
            <w:tcBorders>
              <w:top w:val="nil"/>
              <w:left w:val="nil"/>
              <w:bottom w:val="nil"/>
              <w:right w:val="nil"/>
            </w:tcBorders>
          </w:tcPr>
          <w:p w14:paraId="3478E68F"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1D31C35C"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192057DF"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Examined using the QoL measure, WHOQOL-BREF (WHOQOL GROUP, 1998)</w:t>
            </w:r>
          </w:p>
          <w:p w14:paraId="08D7C960" w14:textId="77777777" w:rsidR="00EE014F" w:rsidRPr="002E2AA0" w:rsidRDefault="00EE014F" w:rsidP="00EC638A">
            <w:pPr>
              <w:rPr>
                <w:rFonts w:ascii="Times New Roman" w:hAnsi="Times New Roman" w:cs="Times New Roman"/>
                <w:bCs/>
                <w:lang w:val="en-US"/>
              </w:rPr>
            </w:pPr>
          </w:p>
          <w:p w14:paraId="595526AA"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 xml:space="preserve">Outcome Measures: </w:t>
            </w:r>
          </w:p>
          <w:p w14:paraId="32B929D7"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Official reincarceration data; Dutch translation of the Massachusetts Youth Screening Instrument Second Version (</w:t>
            </w:r>
            <w:proofErr w:type="spellStart"/>
            <w:r w:rsidRPr="002E2AA0">
              <w:rPr>
                <w:rFonts w:ascii="Times New Roman" w:hAnsi="Times New Roman" w:cs="Times New Roman"/>
                <w:bCs/>
                <w:lang w:val="en-US"/>
              </w:rPr>
              <w:t>Grisso</w:t>
            </w:r>
            <w:proofErr w:type="spellEnd"/>
            <w:r w:rsidR="001C0CD6">
              <w:rPr>
                <w:rFonts w:ascii="Times New Roman" w:hAnsi="Times New Roman" w:cs="Times New Roman"/>
                <w:bCs/>
                <w:lang w:val="en-US"/>
              </w:rPr>
              <w:t xml:space="preserve"> et al.</w:t>
            </w:r>
            <w:r w:rsidRPr="002E2AA0">
              <w:rPr>
                <w:rFonts w:ascii="Times New Roman" w:hAnsi="Times New Roman" w:cs="Times New Roman"/>
                <w:bCs/>
                <w:lang w:val="en-US"/>
              </w:rPr>
              <w:t>, 2001); Self-Report of Offending Questionnaire (van der Laan &amp; Blom, 2005)</w:t>
            </w:r>
          </w:p>
          <w:p w14:paraId="0486EE08"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nil"/>
              <w:right w:val="nil"/>
            </w:tcBorders>
          </w:tcPr>
          <w:p w14:paraId="476662F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No direct pathway was found between overall QoL and offending </w:t>
            </w:r>
            <w:r w:rsidR="00EC638A" w:rsidRPr="002E2AA0">
              <w:rPr>
                <w:rFonts w:ascii="Times New Roman" w:hAnsi="Times New Roman" w:cs="Times New Roman"/>
                <w:lang w:val="en-US"/>
              </w:rPr>
              <w:t>behavior</w:t>
            </w:r>
            <w:r w:rsidRPr="002E2AA0">
              <w:rPr>
                <w:rFonts w:ascii="Times New Roman" w:hAnsi="Times New Roman" w:cs="Times New Roman"/>
                <w:lang w:val="en-US"/>
              </w:rPr>
              <w:t xml:space="preserve"> six months following release from a youth detention </w:t>
            </w:r>
            <w:r w:rsidR="00EC638A" w:rsidRPr="002E2AA0">
              <w:rPr>
                <w:rFonts w:ascii="Times New Roman" w:hAnsi="Times New Roman" w:cs="Times New Roman"/>
                <w:lang w:val="en-US"/>
              </w:rPr>
              <w:t>center</w:t>
            </w:r>
            <w:r w:rsidRPr="002E2AA0">
              <w:rPr>
                <w:rFonts w:ascii="Times New Roman" w:hAnsi="Times New Roman" w:cs="Times New Roman"/>
                <w:lang w:val="en-US"/>
              </w:rPr>
              <w:t>. However, low QoL was associated with increased risk of mental health issues, which then increased participants’ risk of recidivism; supporting the indirect pathway to offending.</w:t>
            </w:r>
          </w:p>
        </w:tc>
      </w:tr>
      <w:tr w:rsidR="00EE014F" w:rsidRPr="002E2AA0" w14:paraId="15AA0ED3" w14:textId="77777777" w:rsidTr="00EC638A">
        <w:trPr>
          <w:trHeight w:val="519"/>
        </w:trPr>
        <w:tc>
          <w:tcPr>
            <w:tcW w:w="1888" w:type="dxa"/>
            <w:tcBorders>
              <w:top w:val="nil"/>
              <w:left w:val="nil"/>
              <w:bottom w:val="nil"/>
              <w:right w:val="nil"/>
            </w:tcBorders>
          </w:tcPr>
          <w:p w14:paraId="36B9D633"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Ward &amp; Attwell (2014)</w:t>
            </w:r>
          </w:p>
        </w:tc>
        <w:tc>
          <w:tcPr>
            <w:tcW w:w="2084" w:type="dxa"/>
            <w:tcBorders>
              <w:top w:val="nil"/>
              <w:left w:val="nil"/>
              <w:bottom w:val="nil"/>
              <w:right w:val="nil"/>
            </w:tcBorders>
          </w:tcPr>
          <w:p w14:paraId="125B2B5C"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10; </w:t>
            </w:r>
            <w:r w:rsidRPr="002E2AA0">
              <w:rPr>
                <w:rFonts w:ascii="Times New Roman" w:hAnsi="Times New Roman" w:cs="Times New Roman"/>
                <w:i/>
                <w:iCs/>
                <w:lang w:val="en-US"/>
              </w:rPr>
              <w:t xml:space="preserve"> M</w:t>
            </w:r>
            <w:r w:rsidRPr="002E2AA0">
              <w:rPr>
                <w:rFonts w:ascii="Times New Roman" w:hAnsi="Times New Roman" w:cs="Times New Roman"/>
                <w:vertAlign w:val="subscript"/>
                <w:lang w:val="en-US"/>
              </w:rPr>
              <w:t>age</w:t>
            </w:r>
            <w:r w:rsidRPr="002E2AA0">
              <w:rPr>
                <w:rFonts w:ascii="Times New Roman" w:hAnsi="Times New Roman" w:cs="Times New Roman"/>
                <w:lang w:val="en-US"/>
              </w:rPr>
              <w:t xml:space="preserve"> = 53) who had a diagnosed personality disorder or serious mental health issue and had a history of violent and/or sexual offending. Participants were receiving one of two community-based, GLM-consistent interventions (Sova Support Link or CCS).</w:t>
            </w:r>
          </w:p>
          <w:p w14:paraId="4E9B312D"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nil"/>
              <w:right w:val="nil"/>
            </w:tcBorders>
          </w:tcPr>
          <w:p w14:paraId="32BA738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United Kingdom</w:t>
            </w:r>
          </w:p>
        </w:tc>
        <w:tc>
          <w:tcPr>
            <w:tcW w:w="1625" w:type="dxa"/>
            <w:tcBorders>
              <w:top w:val="nil"/>
              <w:left w:val="nil"/>
              <w:bottom w:val="nil"/>
              <w:right w:val="nil"/>
            </w:tcBorders>
          </w:tcPr>
          <w:p w14:paraId="35EDBB69"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Qualitative, thematic approach</w:t>
            </w:r>
          </w:p>
        </w:tc>
        <w:tc>
          <w:tcPr>
            <w:tcW w:w="1851" w:type="dxa"/>
            <w:tcBorders>
              <w:top w:val="nil"/>
              <w:left w:val="nil"/>
              <w:bottom w:val="nil"/>
              <w:right w:val="nil"/>
            </w:tcBorders>
          </w:tcPr>
          <w:p w14:paraId="7C3B70AD"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nil"/>
              <w:right w:val="nil"/>
            </w:tcBorders>
          </w:tcPr>
          <w:p w14:paraId="0F5E8C45"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3937EA7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N/A – treatment received</w:t>
            </w:r>
          </w:p>
          <w:p w14:paraId="3129AD72" w14:textId="77777777" w:rsidR="00EE014F" w:rsidRPr="002E2AA0" w:rsidRDefault="00EE014F" w:rsidP="00EC638A">
            <w:pPr>
              <w:rPr>
                <w:rFonts w:ascii="Times New Roman" w:hAnsi="Times New Roman" w:cs="Times New Roman"/>
                <w:b/>
                <w:lang w:val="en-US"/>
              </w:rPr>
            </w:pPr>
          </w:p>
          <w:p w14:paraId="26EFB154" w14:textId="77777777" w:rsidR="00EE014F" w:rsidRPr="002E2AA0" w:rsidRDefault="00EE014F" w:rsidP="00EC638A">
            <w:pPr>
              <w:rPr>
                <w:rFonts w:ascii="Times New Roman" w:hAnsi="Times New Roman" w:cs="Times New Roman"/>
                <w:b/>
                <w:bCs/>
                <w:lang w:val="en-US"/>
              </w:rPr>
            </w:pPr>
            <w:r w:rsidRPr="002E2AA0">
              <w:rPr>
                <w:rFonts w:ascii="Times New Roman" w:hAnsi="Times New Roman" w:cs="Times New Roman"/>
                <w:b/>
                <w:bCs/>
                <w:lang w:val="en-US"/>
              </w:rPr>
              <w:t>Outcome Measures:</w:t>
            </w:r>
          </w:p>
          <w:p w14:paraId="54729EDC"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Semi-structured interviews to assess service user perspectives</w:t>
            </w:r>
          </w:p>
        </w:tc>
        <w:tc>
          <w:tcPr>
            <w:tcW w:w="3636" w:type="dxa"/>
            <w:tcBorders>
              <w:top w:val="nil"/>
              <w:left w:val="nil"/>
              <w:bottom w:val="nil"/>
              <w:right w:val="nil"/>
            </w:tcBorders>
          </w:tcPr>
          <w:p w14:paraId="4C45325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Service users reported an improvement in problem solving skills, perspective-taking ability, trust of others and self-awareness over the course of the intervention.</w:t>
            </w:r>
          </w:p>
        </w:tc>
      </w:tr>
      <w:tr w:rsidR="00EE014F" w:rsidRPr="002E2AA0" w14:paraId="36DB1097" w14:textId="77777777" w:rsidTr="00EC638A">
        <w:trPr>
          <w:trHeight w:val="519"/>
        </w:trPr>
        <w:tc>
          <w:tcPr>
            <w:tcW w:w="1888" w:type="dxa"/>
            <w:tcBorders>
              <w:top w:val="nil"/>
              <w:left w:val="nil"/>
              <w:bottom w:val="nil"/>
              <w:right w:val="nil"/>
            </w:tcBorders>
          </w:tcPr>
          <w:p w14:paraId="380783DA"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Willis &amp; Grace (2008)</w:t>
            </w:r>
          </w:p>
        </w:tc>
        <w:tc>
          <w:tcPr>
            <w:tcW w:w="2084" w:type="dxa"/>
            <w:tcBorders>
              <w:top w:val="nil"/>
              <w:left w:val="nil"/>
              <w:bottom w:val="nil"/>
              <w:right w:val="nil"/>
            </w:tcBorders>
          </w:tcPr>
          <w:p w14:paraId="135A1BD0"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49</w:t>
            </w:r>
            <w:r w:rsidRPr="002E2AA0">
              <w:rPr>
                <w:rFonts w:ascii="Times New Roman" w:hAnsi="Times New Roman" w:cs="Times New Roman"/>
                <w:i/>
                <w:iCs/>
                <w:lang w:val="en-US"/>
              </w:rPr>
              <w:t xml:space="preserve">; M </w:t>
            </w:r>
            <w:r w:rsidRPr="002E2AA0">
              <w:rPr>
                <w:rFonts w:ascii="Times New Roman" w:hAnsi="Times New Roman" w:cs="Times New Roman"/>
                <w:lang w:val="en-US"/>
              </w:rPr>
              <w:t xml:space="preserve">= 36.05) who had completed the Kia </w:t>
            </w:r>
            <w:proofErr w:type="spellStart"/>
            <w:r w:rsidRPr="002E2AA0">
              <w:rPr>
                <w:rFonts w:ascii="Times New Roman" w:hAnsi="Times New Roman" w:cs="Times New Roman"/>
                <w:lang w:val="en-US"/>
              </w:rPr>
              <w:t>Marama</w:t>
            </w:r>
            <w:proofErr w:type="spellEnd"/>
            <w:r w:rsidRPr="002E2AA0">
              <w:rPr>
                <w:rFonts w:ascii="Times New Roman" w:hAnsi="Times New Roman" w:cs="Times New Roman"/>
                <w:lang w:val="en-US"/>
              </w:rPr>
              <w:t xml:space="preserve"> treatment program for sexual </w:t>
            </w:r>
            <w:r w:rsidR="00EC638A" w:rsidRPr="002E2AA0">
              <w:rPr>
                <w:rFonts w:ascii="Times New Roman" w:hAnsi="Times New Roman" w:cs="Times New Roman"/>
                <w:lang w:val="en-US"/>
              </w:rPr>
              <w:t>offending and</w:t>
            </w:r>
            <w:r w:rsidRPr="002E2AA0">
              <w:rPr>
                <w:rFonts w:ascii="Times New Roman" w:hAnsi="Times New Roman" w:cs="Times New Roman"/>
                <w:lang w:val="en-US"/>
              </w:rPr>
              <w:t xml:space="preserve"> had reoffended following release to the community.</w:t>
            </w:r>
          </w:p>
        </w:tc>
        <w:tc>
          <w:tcPr>
            <w:tcW w:w="1624" w:type="dxa"/>
            <w:tcBorders>
              <w:top w:val="nil"/>
              <w:left w:val="nil"/>
              <w:bottom w:val="nil"/>
              <w:right w:val="nil"/>
            </w:tcBorders>
          </w:tcPr>
          <w:p w14:paraId="02E9B755"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New Zealand</w:t>
            </w:r>
          </w:p>
        </w:tc>
        <w:tc>
          <w:tcPr>
            <w:tcW w:w="1625" w:type="dxa"/>
            <w:tcBorders>
              <w:top w:val="nil"/>
              <w:left w:val="nil"/>
              <w:bottom w:val="nil"/>
              <w:right w:val="nil"/>
            </w:tcBorders>
          </w:tcPr>
          <w:p w14:paraId="5B2AF744"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Retrospective, clinical file review</w:t>
            </w:r>
          </w:p>
        </w:tc>
        <w:tc>
          <w:tcPr>
            <w:tcW w:w="1851" w:type="dxa"/>
            <w:tcBorders>
              <w:top w:val="nil"/>
              <w:left w:val="nil"/>
              <w:bottom w:val="nil"/>
              <w:right w:val="nil"/>
            </w:tcBorders>
          </w:tcPr>
          <w:p w14:paraId="1A5CDF2C" w14:textId="77777777" w:rsidR="00EE014F" w:rsidRPr="002E2AA0" w:rsidRDefault="00EC638A"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49</w:t>
            </w:r>
            <w:r w:rsidRPr="002E2AA0">
              <w:rPr>
                <w:rFonts w:ascii="Times New Roman" w:hAnsi="Times New Roman" w:cs="Times New Roman"/>
                <w:i/>
                <w:iCs/>
                <w:lang w:val="en-US"/>
              </w:rPr>
              <w:t xml:space="preserve">; M </w:t>
            </w:r>
            <w:r w:rsidRPr="002E2AA0">
              <w:rPr>
                <w:rFonts w:ascii="Times New Roman" w:hAnsi="Times New Roman" w:cs="Times New Roman"/>
                <w:lang w:val="en-US"/>
              </w:rPr>
              <w:t xml:space="preserve">= 39.12) who had completed the Kia </w:t>
            </w:r>
            <w:proofErr w:type="spellStart"/>
            <w:r w:rsidRPr="002E2AA0">
              <w:rPr>
                <w:rFonts w:ascii="Times New Roman" w:hAnsi="Times New Roman" w:cs="Times New Roman"/>
                <w:lang w:val="en-US"/>
              </w:rPr>
              <w:t>Marama</w:t>
            </w:r>
            <w:proofErr w:type="spellEnd"/>
            <w:r w:rsidRPr="002E2AA0">
              <w:rPr>
                <w:rFonts w:ascii="Times New Roman" w:hAnsi="Times New Roman" w:cs="Times New Roman"/>
                <w:lang w:val="en-US"/>
              </w:rPr>
              <w:t xml:space="preserve"> treatment program for sexual offending and had </w:t>
            </w:r>
            <w:r w:rsidRPr="002E2AA0">
              <w:rPr>
                <w:rFonts w:ascii="Times New Roman" w:hAnsi="Times New Roman" w:cs="Times New Roman"/>
                <w:b/>
                <w:bCs/>
                <w:lang w:val="en-US"/>
              </w:rPr>
              <w:t xml:space="preserve">not </w:t>
            </w:r>
            <w:r w:rsidRPr="002E2AA0">
              <w:rPr>
                <w:rFonts w:ascii="Times New Roman" w:hAnsi="Times New Roman" w:cs="Times New Roman"/>
                <w:lang w:val="en-US"/>
              </w:rPr>
              <w:t xml:space="preserve">reoffended following release to the community. </w:t>
            </w:r>
            <w:r w:rsidR="00EE014F" w:rsidRPr="002E2AA0">
              <w:rPr>
                <w:rFonts w:ascii="Times New Roman" w:hAnsi="Times New Roman" w:cs="Times New Roman"/>
                <w:lang w:val="en-US"/>
              </w:rPr>
              <w:t>Matched according to static risk level and follow-up time.</w:t>
            </w:r>
          </w:p>
          <w:p w14:paraId="77EA61F0" w14:textId="77777777" w:rsidR="00EE014F" w:rsidRPr="002E2AA0" w:rsidRDefault="00EE014F" w:rsidP="00EC638A">
            <w:pPr>
              <w:rPr>
                <w:rFonts w:ascii="Times New Roman" w:hAnsi="Times New Roman" w:cs="Times New Roman"/>
                <w:lang w:val="en-US"/>
              </w:rPr>
            </w:pPr>
          </w:p>
        </w:tc>
        <w:tc>
          <w:tcPr>
            <w:tcW w:w="2977" w:type="dxa"/>
            <w:tcBorders>
              <w:top w:val="nil"/>
              <w:left w:val="nil"/>
              <w:bottom w:val="nil"/>
              <w:right w:val="nil"/>
            </w:tcBorders>
          </w:tcPr>
          <w:p w14:paraId="75BC34E9"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5046D13E"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Clinical file review by authors for presence of primary goods in release plans</w:t>
            </w:r>
          </w:p>
          <w:p w14:paraId="47D62871" w14:textId="77777777" w:rsidR="00EE014F" w:rsidRPr="002E2AA0" w:rsidRDefault="00EE014F" w:rsidP="00EC638A">
            <w:pPr>
              <w:rPr>
                <w:rFonts w:ascii="Times New Roman" w:hAnsi="Times New Roman" w:cs="Times New Roman"/>
                <w:bCs/>
                <w:lang w:val="en-US"/>
              </w:rPr>
            </w:pPr>
          </w:p>
          <w:p w14:paraId="7DDA469F"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39D43E38"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Coding protocol designed by study authors to assess quality of release planning, includes factors such as accommodation, social support, idiosyncratic risk factors, employment and motivation; official reconviction data; Automated Sexual Recidivism Scale (ASRS; Skelton</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2006).</w:t>
            </w:r>
          </w:p>
          <w:p w14:paraId="1E63B8F2" w14:textId="77777777" w:rsidR="00EE014F" w:rsidRPr="002E2AA0" w:rsidRDefault="00EE014F" w:rsidP="00EC638A">
            <w:pPr>
              <w:rPr>
                <w:rFonts w:ascii="Times New Roman" w:hAnsi="Times New Roman" w:cs="Times New Roman"/>
                <w:bCs/>
                <w:lang w:val="en-US"/>
              </w:rPr>
            </w:pPr>
          </w:p>
          <w:p w14:paraId="72BAE424" w14:textId="77777777" w:rsidR="00EE014F" w:rsidRPr="002E2AA0" w:rsidRDefault="00EE014F" w:rsidP="00EC638A">
            <w:pPr>
              <w:rPr>
                <w:rFonts w:ascii="Times New Roman" w:hAnsi="Times New Roman" w:cs="Times New Roman"/>
                <w:b/>
                <w:lang w:val="en-US"/>
              </w:rPr>
            </w:pPr>
          </w:p>
        </w:tc>
        <w:tc>
          <w:tcPr>
            <w:tcW w:w="3636" w:type="dxa"/>
            <w:tcBorders>
              <w:top w:val="nil"/>
              <w:left w:val="nil"/>
              <w:bottom w:val="nil"/>
              <w:right w:val="nil"/>
            </w:tcBorders>
          </w:tcPr>
          <w:p w14:paraId="06CF3D2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 xml:space="preserve">Reintegration plans of recidivists were of poorer quality than </w:t>
            </w:r>
            <w:r w:rsidR="00EC638A" w:rsidRPr="002E2AA0">
              <w:rPr>
                <w:rFonts w:ascii="Times New Roman" w:hAnsi="Times New Roman" w:cs="Times New Roman"/>
                <w:lang w:val="en-US"/>
              </w:rPr>
              <w:t>non-recidivists and</w:t>
            </w:r>
            <w:r w:rsidRPr="002E2AA0">
              <w:rPr>
                <w:rFonts w:ascii="Times New Roman" w:hAnsi="Times New Roman" w:cs="Times New Roman"/>
                <w:lang w:val="en-US"/>
              </w:rPr>
              <w:t xml:space="preserve"> were less likely to include GLM secondary goods. In particular, sexual recidivists were less likely to have reintegration plans with GLM secondary goods included than non-sexual recidivists. This remained significant when controlling for IQ, and near significance for overall deviance, although lost significance when controlling for these simultaneously. Although for ‘any’ recidivism, recidivists were less likely to have GLM secondary goods in their reintegration plans than </w:t>
            </w:r>
            <w:r w:rsidR="00EC638A" w:rsidRPr="002E2AA0">
              <w:rPr>
                <w:rFonts w:ascii="Times New Roman" w:hAnsi="Times New Roman" w:cs="Times New Roman"/>
                <w:lang w:val="en-US"/>
              </w:rPr>
              <w:t>non-recidivists</w:t>
            </w:r>
            <w:r w:rsidRPr="002E2AA0">
              <w:rPr>
                <w:rFonts w:ascii="Times New Roman" w:hAnsi="Times New Roman" w:cs="Times New Roman"/>
                <w:lang w:val="en-US"/>
              </w:rPr>
              <w:t xml:space="preserve">, even when controlling for IQ and overall deviance </w:t>
            </w:r>
            <w:r w:rsidRPr="002E2AA0">
              <w:rPr>
                <w:rFonts w:ascii="Times New Roman" w:hAnsi="Times New Roman" w:cs="Times New Roman"/>
                <w:lang w:val="en-US"/>
              </w:rPr>
              <w:lastRenderedPageBreak/>
              <w:t xml:space="preserve">simultaneously. Yet, no difference in presence of GLM secondary goods in reintegration plans was found between violent recidivists and </w:t>
            </w:r>
            <w:r w:rsidR="00EC638A" w:rsidRPr="002E2AA0">
              <w:rPr>
                <w:rFonts w:ascii="Times New Roman" w:hAnsi="Times New Roman" w:cs="Times New Roman"/>
                <w:lang w:val="en-US"/>
              </w:rPr>
              <w:t>non-recidivists</w:t>
            </w:r>
            <w:r w:rsidRPr="002E2AA0">
              <w:rPr>
                <w:rFonts w:ascii="Times New Roman" w:hAnsi="Times New Roman" w:cs="Times New Roman"/>
                <w:lang w:val="en-US"/>
              </w:rPr>
              <w:t xml:space="preserve">. For general recidivism, recidivists were moderately less likely to </w:t>
            </w:r>
            <w:r w:rsidR="00EC638A" w:rsidRPr="002E2AA0">
              <w:rPr>
                <w:rFonts w:ascii="Times New Roman" w:hAnsi="Times New Roman" w:cs="Times New Roman"/>
                <w:lang w:val="en-US"/>
              </w:rPr>
              <w:t>have GLM</w:t>
            </w:r>
            <w:r w:rsidRPr="002E2AA0">
              <w:rPr>
                <w:rFonts w:ascii="Times New Roman" w:hAnsi="Times New Roman" w:cs="Times New Roman"/>
                <w:lang w:val="en-US"/>
              </w:rPr>
              <w:t xml:space="preserve"> secondary goods in their reintegration plans. </w:t>
            </w:r>
          </w:p>
          <w:p w14:paraId="576ACA2D" w14:textId="77777777" w:rsidR="00EE014F" w:rsidRPr="002E2AA0" w:rsidRDefault="00EE014F" w:rsidP="00EC638A">
            <w:pPr>
              <w:rPr>
                <w:rFonts w:ascii="Times New Roman" w:hAnsi="Times New Roman" w:cs="Times New Roman"/>
                <w:lang w:val="en-US"/>
              </w:rPr>
            </w:pPr>
          </w:p>
        </w:tc>
      </w:tr>
      <w:tr w:rsidR="00EE014F" w:rsidRPr="002E2AA0" w14:paraId="2F62236B" w14:textId="77777777" w:rsidTr="00EC638A">
        <w:trPr>
          <w:trHeight w:val="519"/>
        </w:trPr>
        <w:tc>
          <w:tcPr>
            <w:tcW w:w="1888" w:type="dxa"/>
            <w:tcBorders>
              <w:top w:val="nil"/>
              <w:left w:val="nil"/>
              <w:bottom w:val="single" w:sz="4" w:space="0" w:color="auto"/>
              <w:right w:val="nil"/>
            </w:tcBorders>
          </w:tcPr>
          <w:p w14:paraId="0D184E72"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lastRenderedPageBreak/>
              <w:t>Willis &amp; Ward (2011)</w:t>
            </w:r>
          </w:p>
        </w:tc>
        <w:tc>
          <w:tcPr>
            <w:tcW w:w="2084" w:type="dxa"/>
            <w:tcBorders>
              <w:top w:val="nil"/>
              <w:left w:val="nil"/>
              <w:bottom w:val="single" w:sz="4" w:space="0" w:color="auto"/>
              <w:right w:val="nil"/>
            </w:tcBorders>
          </w:tcPr>
          <w:p w14:paraId="788619D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Adult males (</w:t>
            </w:r>
            <w:r w:rsidRPr="002E2AA0">
              <w:rPr>
                <w:rFonts w:ascii="Times New Roman" w:hAnsi="Times New Roman" w:cs="Times New Roman"/>
                <w:i/>
                <w:iCs/>
                <w:lang w:val="en-US"/>
              </w:rPr>
              <w:t xml:space="preserve">N </w:t>
            </w:r>
            <w:r w:rsidRPr="002E2AA0">
              <w:rPr>
                <w:rFonts w:ascii="Times New Roman" w:hAnsi="Times New Roman" w:cs="Times New Roman"/>
                <w:lang w:val="en-US"/>
              </w:rPr>
              <w:t xml:space="preserve">= 16; </w:t>
            </w:r>
            <w:r w:rsidRPr="002E2AA0">
              <w:rPr>
                <w:rFonts w:ascii="Times New Roman" w:hAnsi="Times New Roman" w:cs="Times New Roman"/>
                <w:i/>
                <w:iCs/>
                <w:lang w:val="en-US"/>
              </w:rPr>
              <w:t xml:space="preserve">M </w:t>
            </w:r>
            <w:r w:rsidRPr="002E2AA0">
              <w:rPr>
                <w:rFonts w:ascii="Times New Roman" w:hAnsi="Times New Roman" w:cs="Times New Roman"/>
                <w:lang w:val="en-US"/>
              </w:rPr>
              <w:t xml:space="preserve">= 45.19) who have completed prison-based treatment (either Kia </w:t>
            </w:r>
            <w:proofErr w:type="spellStart"/>
            <w:r w:rsidRPr="002E2AA0">
              <w:rPr>
                <w:rFonts w:ascii="Times New Roman" w:hAnsi="Times New Roman" w:cs="Times New Roman"/>
                <w:lang w:val="en-US"/>
              </w:rPr>
              <w:t>Marama</w:t>
            </w:r>
            <w:proofErr w:type="spellEnd"/>
            <w:r w:rsidRPr="002E2AA0">
              <w:rPr>
                <w:rFonts w:ascii="Times New Roman" w:hAnsi="Times New Roman" w:cs="Times New Roman"/>
                <w:lang w:val="en-US"/>
              </w:rPr>
              <w:t xml:space="preserve"> or </w:t>
            </w:r>
            <w:proofErr w:type="spellStart"/>
            <w:r w:rsidRPr="002E2AA0">
              <w:rPr>
                <w:rFonts w:ascii="Times New Roman" w:hAnsi="Times New Roman" w:cs="Times New Roman"/>
                <w:lang w:val="en-US"/>
              </w:rPr>
              <w:t>Te</w:t>
            </w:r>
            <w:proofErr w:type="spellEnd"/>
            <w:r w:rsidRPr="002E2AA0">
              <w:rPr>
                <w:rFonts w:ascii="Times New Roman" w:hAnsi="Times New Roman" w:cs="Times New Roman"/>
                <w:lang w:val="en-US"/>
              </w:rPr>
              <w:t xml:space="preserve"> </w:t>
            </w:r>
            <w:proofErr w:type="spellStart"/>
            <w:r w:rsidRPr="002E2AA0">
              <w:rPr>
                <w:rFonts w:ascii="Times New Roman" w:hAnsi="Times New Roman" w:cs="Times New Roman"/>
                <w:lang w:val="en-US"/>
              </w:rPr>
              <w:t>Piriti</w:t>
            </w:r>
            <w:proofErr w:type="spellEnd"/>
            <w:r w:rsidRPr="002E2AA0">
              <w:rPr>
                <w:rFonts w:ascii="Times New Roman" w:hAnsi="Times New Roman" w:cs="Times New Roman"/>
                <w:lang w:val="en-US"/>
              </w:rPr>
              <w:t xml:space="preserve"> programs) for sexual offences against children and been released into the community. </w:t>
            </w:r>
          </w:p>
          <w:p w14:paraId="4B9B4B2A" w14:textId="77777777" w:rsidR="00EE014F" w:rsidRPr="002E2AA0" w:rsidRDefault="00EE014F" w:rsidP="00EC638A">
            <w:pPr>
              <w:rPr>
                <w:rFonts w:ascii="Times New Roman" w:hAnsi="Times New Roman" w:cs="Times New Roman"/>
                <w:lang w:val="en-US"/>
              </w:rPr>
            </w:pPr>
          </w:p>
        </w:tc>
        <w:tc>
          <w:tcPr>
            <w:tcW w:w="1624" w:type="dxa"/>
            <w:tcBorders>
              <w:top w:val="nil"/>
              <w:left w:val="nil"/>
              <w:bottom w:val="single" w:sz="4" w:space="0" w:color="auto"/>
              <w:right w:val="nil"/>
            </w:tcBorders>
          </w:tcPr>
          <w:p w14:paraId="1F9F6B4B"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New Zealand</w:t>
            </w:r>
          </w:p>
        </w:tc>
        <w:tc>
          <w:tcPr>
            <w:tcW w:w="1625" w:type="dxa"/>
            <w:tcBorders>
              <w:top w:val="nil"/>
              <w:left w:val="nil"/>
              <w:bottom w:val="single" w:sz="4" w:space="0" w:color="auto"/>
              <w:right w:val="nil"/>
            </w:tcBorders>
          </w:tcPr>
          <w:p w14:paraId="41E3D857"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Longitudinal design</w:t>
            </w:r>
          </w:p>
        </w:tc>
        <w:tc>
          <w:tcPr>
            <w:tcW w:w="1851" w:type="dxa"/>
            <w:tcBorders>
              <w:top w:val="nil"/>
              <w:left w:val="nil"/>
              <w:bottom w:val="single" w:sz="4" w:space="0" w:color="auto"/>
              <w:right w:val="nil"/>
            </w:tcBorders>
          </w:tcPr>
          <w:p w14:paraId="5CEF4F01"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No control group</w:t>
            </w:r>
          </w:p>
        </w:tc>
        <w:tc>
          <w:tcPr>
            <w:tcW w:w="2977" w:type="dxa"/>
            <w:tcBorders>
              <w:top w:val="nil"/>
              <w:left w:val="nil"/>
              <w:bottom w:val="single" w:sz="4" w:space="0" w:color="auto"/>
              <w:right w:val="nil"/>
            </w:tcBorders>
          </w:tcPr>
          <w:p w14:paraId="63B6CB8D"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GLM Measure:</w:t>
            </w:r>
          </w:p>
          <w:p w14:paraId="76ABD987"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Semi-structured interview, devised by study authors, to assess Good Lives conceptualizations</w:t>
            </w:r>
          </w:p>
          <w:p w14:paraId="39C5132B" w14:textId="77777777" w:rsidR="00EE014F" w:rsidRPr="002E2AA0" w:rsidRDefault="00EE014F" w:rsidP="00EC638A">
            <w:pPr>
              <w:rPr>
                <w:rFonts w:ascii="Times New Roman" w:hAnsi="Times New Roman" w:cs="Times New Roman"/>
                <w:bCs/>
                <w:lang w:val="en-US"/>
              </w:rPr>
            </w:pPr>
          </w:p>
          <w:p w14:paraId="587D2DAA" w14:textId="77777777" w:rsidR="00EE014F" w:rsidRPr="002E2AA0" w:rsidRDefault="00EE014F" w:rsidP="00EC638A">
            <w:pPr>
              <w:rPr>
                <w:rFonts w:ascii="Times New Roman" w:hAnsi="Times New Roman" w:cs="Times New Roman"/>
                <w:b/>
                <w:lang w:val="en-US"/>
              </w:rPr>
            </w:pPr>
            <w:r w:rsidRPr="002E2AA0">
              <w:rPr>
                <w:rFonts w:ascii="Times New Roman" w:hAnsi="Times New Roman" w:cs="Times New Roman"/>
                <w:b/>
                <w:lang w:val="en-US"/>
              </w:rPr>
              <w:t>Outcome Measures:</w:t>
            </w:r>
          </w:p>
          <w:p w14:paraId="554DB2D1" w14:textId="77777777" w:rsidR="00EE014F" w:rsidRPr="002E2AA0" w:rsidRDefault="00EE014F" w:rsidP="00EC638A">
            <w:pPr>
              <w:rPr>
                <w:rFonts w:ascii="Times New Roman" w:hAnsi="Times New Roman" w:cs="Times New Roman"/>
                <w:bCs/>
                <w:lang w:val="en-US"/>
              </w:rPr>
            </w:pPr>
            <w:r w:rsidRPr="002E2AA0">
              <w:rPr>
                <w:rFonts w:ascii="Times New Roman" w:hAnsi="Times New Roman" w:cs="Times New Roman"/>
                <w:bCs/>
                <w:lang w:val="en-US"/>
              </w:rPr>
              <w:t>ASRS (Skelton et al., 2006); Stable-2007 (Hanson</w:t>
            </w:r>
            <w:r w:rsidR="001C0CD6">
              <w:rPr>
                <w:rFonts w:ascii="Times New Roman" w:hAnsi="Times New Roman" w:cs="Times New Roman"/>
                <w:bCs/>
                <w:lang w:val="en-US"/>
              </w:rPr>
              <w:t xml:space="preserve"> et al.</w:t>
            </w:r>
            <w:r w:rsidRPr="002E2AA0">
              <w:rPr>
                <w:rFonts w:ascii="Times New Roman" w:hAnsi="Times New Roman" w:cs="Times New Roman"/>
                <w:bCs/>
                <w:lang w:val="en-US"/>
              </w:rPr>
              <w:t>, 2007); semi-structured interview examining participants overall re-entry experiences</w:t>
            </w:r>
          </w:p>
          <w:p w14:paraId="20D1D086" w14:textId="77777777" w:rsidR="00EE014F" w:rsidRPr="002E2AA0" w:rsidRDefault="00EE014F" w:rsidP="00EC638A">
            <w:pPr>
              <w:rPr>
                <w:rFonts w:ascii="Times New Roman" w:hAnsi="Times New Roman" w:cs="Times New Roman"/>
                <w:bCs/>
                <w:lang w:val="en-US"/>
              </w:rPr>
            </w:pPr>
          </w:p>
        </w:tc>
        <w:tc>
          <w:tcPr>
            <w:tcW w:w="3636" w:type="dxa"/>
            <w:tcBorders>
              <w:top w:val="nil"/>
              <w:left w:val="nil"/>
              <w:bottom w:val="single" w:sz="4" w:space="0" w:color="auto"/>
              <w:right w:val="nil"/>
            </w:tcBorders>
          </w:tcPr>
          <w:p w14:paraId="2C395AEE" w14:textId="77777777" w:rsidR="00EE014F" w:rsidRPr="002E2AA0" w:rsidRDefault="00EE014F" w:rsidP="00EC638A">
            <w:pPr>
              <w:rPr>
                <w:rFonts w:ascii="Times New Roman" w:hAnsi="Times New Roman" w:cs="Times New Roman"/>
                <w:lang w:val="en-US"/>
              </w:rPr>
            </w:pPr>
            <w:r w:rsidRPr="002E2AA0">
              <w:rPr>
                <w:rFonts w:ascii="Times New Roman" w:hAnsi="Times New Roman" w:cs="Times New Roman"/>
                <w:lang w:val="en-US"/>
              </w:rPr>
              <w:t xml:space="preserve">High importance was assigned to the majority of the primary goods by participants. Increased attainment of primary goods was related to positive re-entry to the community.  </w:t>
            </w:r>
          </w:p>
        </w:tc>
      </w:tr>
    </w:tbl>
    <w:p w14:paraId="62F59A3C" w14:textId="77777777" w:rsidR="00EE014F" w:rsidRPr="002E2AA0" w:rsidRDefault="00EE014F" w:rsidP="003C65EA">
      <w:pPr>
        <w:spacing w:line="480" w:lineRule="auto"/>
        <w:rPr>
          <w:rFonts w:ascii="Times New Roman" w:hAnsi="Times New Roman" w:cs="Times New Roman"/>
          <w:lang w:val="en-US"/>
        </w:rPr>
        <w:sectPr w:rsidR="00EE014F" w:rsidRPr="002E2AA0" w:rsidSect="00EE014F">
          <w:pgSz w:w="16840" w:h="11900" w:orient="landscape"/>
          <w:pgMar w:top="1440" w:right="1440" w:bottom="1440" w:left="1440" w:header="708" w:footer="708" w:gutter="0"/>
          <w:cols w:space="708"/>
          <w:docGrid w:linePitch="360"/>
        </w:sectPr>
      </w:pPr>
    </w:p>
    <w:p w14:paraId="032ACBE3" w14:textId="77777777" w:rsidR="00F94F31" w:rsidRPr="002E2AA0" w:rsidRDefault="00F94F31" w:rsidP="00A0758C">
      <w:pPr>
        <w:spacing w:line="480" w:lineRule="auto"/>
        <w:rPr>
          <w:rFonts w:ascii="Times New Roman" w:hAnsi="Times New Roman" w:cs="Times New Roman"/>
          <w:lang w:val="en-US"/>
        </w:rPr>
      </w:pPr>
    </w:p>
    <w:sectPr w:rsidR="00F94F31" w:rsidRPr="002E2AA0" w:rsidSect="00EE014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A641" w14:textId="77777777" w:rsidR="002127BB" w:rsidRDefault="002127BB" w:rsidP="00082F33">
      <w:r>
        <w:separator/>
      </w:r>
    </w:p>
  </w:endnote>
  <w:endnote w:type="continuationSeparator" w:id="0">
    <w:p w14:paraId="4EB3FE1A" w14:textId="77777777" w:rsidR="002127BB" w:rsidRDefault="002127BB" w:rsidP="0008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UR">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1355" w14:textId="77777777" w:rsidR="002127BB" w:rsidRDefault="002127BB" w:rsidP="00082F33">
      <w:r>
        <w:separator/>
      </w:r>
    </w:p>
  </w:footnote>
  <w:footnote w:type="continuationSeparator" w:id="0">
    <w:p w14:paraId="0CF845D6" w14:textId="77777777" w:rsidR="002127BB" w:rsidRDefault="002127BB" w:rsidP="0008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8346385"/>
      <w:docPartObj>
        <w:docPartGallery w:val="Page Numbers (Top of Page)"/>
        <w:docPartUnique/>
      </w:docPartObj>
    </w:sdtPr>
    <w:sdtEndPr>
      <w:rPr>
        <w:rStyle w:val="PageNumber"/>
      </w:rPr>
    </w:sdtEndPr>
    <w:sdtContent>
      <w:p w14:paraId="785E8513" w14:textId="77777777" w:rsidR="003463FC" w:rsidRDefault="003463FC" w:rsidP="00D238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42AB4" w14:textId="77777777" w:rsidR="003463FC" w:rsidRDefault="003463FC" w:rsidP="00094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969467909"/>
      <w:docPartObj>
        <w:docPartGallery w:val="Page Numbers (Top of Page)"/>
        <w:docPartUnique/>
      </w:docPartObj>
    </w:sdtPr>
    <w:sdtEndPr>
      <w:rPr>
        <w:rStyle w:val="PageNumber"/>
      </w:rPr>
    </w:sdtEndPr>
    <w:sdtContent>
      <w:p w14:paraId="0DAABA13" w14:textId="502E0CDB" w:rsidR="003463FC" w:rsidRPr="00094C69" w:rsidRDefault="003463FC" w:rsidP="00D238C3">
        <w:pPr>
          <w:pStyle w:val="Header"/>
          <w:framePr w:wrap="none" w:vAnchor="text" w:hAnchor="margin" w:xAlign="right" w:y="1"/>
          <w:rPr>
            <w:rStyle w:val="PageNumber"/>
            <w:rFonts w:ascii="Times New Roman" w:hAnsi="Times New Roman" w:cs="Times New Roman"/>
            <w:sz w:val="24"/>
            <w:szCs w:val="24"/>
          </w:rPr>
        </w:pPr>
        <w:r w:rsidRPr="00094C69">
          <w:rPr>
            <w:rStyle w:val="PageNumber"/>
            <w:rFonts w:ascii="Times New Roman" w:hAnsi="Times New Roman" w:cs="Times New Roman"/>
            <w:sz w:val="24"/>
            <w:szCs w:val="24"/>
          </w:rPr>
          <w:fldChar w:fldCharType="begin"/>
        </w:r>
        <w:r w:rsidRPr="00094C69">
          <w:rPr>
            <w:rStyle w:val="PageNumber"/>
            <w:rFonts w:ascii="Times New Roman" w:hAnsi="Times New Roman" w:cs="Times New Roman"/>
            <w:sz w:val="24"/>
            <w:szCs w:val="24"/>
          </w:rPr>
          <w:instrText xml:space="preserve"> PAGE </w:instrText>
        </w:r>
        <w:r w:rsidRPr="00094C69">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20</w:t>
        </w:r>
        <w:r w:rsidRPr="00094C69">
          <w:rPr>
            <w:rStyle w:val="PageNumber"/>
            <w:rFonts w:ascii="Times New Roman" w:hAnsi="Times New Roman" w:cs="Times New Roman"/>
            <w:sz w:val="24"/>
            <w:szCs w:val="24"/>
          </w:rPr>
          <w:fldChar w:fldCharType="end"/>
        </w:r>
      </w:p>
    </w:sdtContent>
  </w:sdt>
  <w:p w14:paraId="69B111A3" w14:textId="77777777" w:rsidR="003463FC" w:rsidRPr="00094C69" w:rsidRDefault="003463FC" w:rsidP="00094C69">
    <w:pPr>
      <w:pStyle w:val="Header"/>
      <w:ind w:right="360"/>
      <w:rPr>
        <w:rFonts w:ascii="Times New Roman" w:hAnsi="Times New Roman" w:cs="Times New Roman"/>
        <w:sz w:val="24"/>
        <w:szCs w:val="24"/>
      </w:rPr>
    </w:pPr>
    <w:r w:rsidRPr="00094C69">
      <w:rPr>
        <w:rFonts w:ascii="Times New Roman" w:hAnsi="Times New Roman" w:cs="Times New Roman"/>
        <w:sz w:val="24"/>
        <w:szCs w:val="24"/>
      </w:rPr>
      <w:t>SYSTEMATIC REVIEW OF GLM ASSUMPTIONS &amp; INTERVENTIONS</w:t>
    </w:r>
    <w:r w:rsidRPr="00094C69">
      <w:rPr>
        <w:rFonts w:ascii="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B29E" w14:textId="4EC8D3DB" w:rsidR="003463FC" w:rsidRPr="00B62C22" w:rsidRDefault="003463FC" w:rsidP="00477291">
    <w:pPr>
      <w:pStyle w:val="Header"/>
      <w:rPr>
        <w:rFonts w:ascii="Times New Roman" w:hAnsi="Times New Roman" w:cs="Times New Roman"/>
        <w:sz w:val="24"/>
        <w:szCs w:val="24"/>
      </w:rPr>
    </w:pPr>
    <w:r>
      <w:rPr>
        <w:rFonts w:ascii="Times New Roman" w:hAnsi="Times New Roman" w:cs="Times New Roman"/>
        <w:sz w:val="24"/>
        <w:szCs w:val="24"/>
      </w:rPr>
      <w:t>SYSTEMATIC REVIEW OF GLM ASSUMPTIONS &amp; INTERVENTIONS</w:t>
    </w:r>
    <w:r>
      <w:rPr>
        <w:rFonts w:ascii="Times New Roman" w:hAnsi="Times New Roman" w:cs="Times New Roman"/>
        <w:sz w:val="24"/>
      </w:rPr>
      <w:tab/>
    </w:r>
    <w:r w:rsidRPr="1C54CEF7">
      <w:rPr>
        <w:rFonts w:ascii="Times New Roman" w:hAnsi="Times New Roman" w:cs="Times New Roman"/>
        <w:noProof/>
        <w:sz w:val="24"/>
        <w:szCs w:val="24"/>
      </w:rPr>
      <w:fldChar w:fldCharType="begin"/>
    </w:r>
    <w:r w:rsidRPr="00BF4F0B">
      <w:rPr>
        <w:rFonts w:ascii="Times New Roman" w:hAnsi="Times New Roman" w:cs="Times New Roman"/>
        <w:sz w:val="24"/>
      </w:rPr>
      <w:instrText xml:space="preserve"> PAGE   \* MERGEFORMAT </w:instrText>
    </w:r>
    <w:r w:rsidRPr="1C54CEF7">
      <w:rPr>
        <w:rFonts w:ascii="Times New Roman" w:hAnsi="Times New Roman" w:cs="Times New Roman"/>
        <w:sz w:val="24"/>
      </w:rPr>
      <w:fldChar w:fldCharType="separate"/>
    </w:r>
    <w:r w:rsidRPr="0014491E">
      <w:rPr>
        <w:rFonts w:ascii="Times New Roman" w:hAnsi="Times New Roman" w:cs="Times New Roman"/>
        <w:noProof/>
        <w:sz w:val="24"/>
        <w:szCs w:val="24"/>
      </w:rPr>
      <w:t>1</w:t>
    </w:r>
    <w:r w:rsidRPr="1C54CEF7">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A3B"/>
    <w:multiLevelType w:val="hybridMultilevel"/>
    <w:tmpl w:val="FE768C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2311030"/>
    <w:multiLevelType w:val="multilevel"/>
    <w:tmpl w:val="5E12333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851EA"/>
    <w:multiLevelType w:val="hybridMultilevel"/>
    <w:tmpl w:val="6448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42CAF"/>
    <w:multiLevelType w:val="hybridMultilevel"/>
    <w:tmpl w:val="7DE40F44"/>
    <w:lvl w:ilvl="0" w:tplc="9B6279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C253D"/>
    <w:multiLevelType w:val="hybridMultilevel"/>
    <w:tmpl w:val="B88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663A6"/>
    <w:multiLevelType w:val="hybridMultilevel"/>
    <w:tmpl w:val="CDDAD726"/>
    <w:lvl w:ilvl="0" w:tplc="9752CE3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AD2F96"/>
    <w:multiLevelType w:val="hybridMultilevel"/>
    <w:tmpl w:val="7954F43E"/>
    <w:lvl w:ilvl="0" w:tplc="8F320C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501CD"/>
    <w:multiLevelType w:val="hybridMultilevel"/>
    <w:tmpl w:val="83B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35420"/>
    <w:multiLevelType w:val="hybridMultilevel"/>
    <w:tmpl w:val="1478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F1BE4"/>
    <w:multiLevelType w:val="hybridMultilevel"/>
    <w:tmpl w:val="CBD430CC"/>
    <w:lvl w:ilvl="0" w:tplc="4A18F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52127"/>
    <w:multiLevelType w:val="hybridMultilevel"/>
    <w:tmpl w:val="AB60F42C"/>
    <w:lvl w:ilvl="0" w:tplc="EB2EDB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02262"/>
    <w:multiLevelType w:val="hybridMultilevel"/>
    <w:tmpl w:val="F01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D722E"/>
    <w:multiLevelType w:val="hybridMultilevel"/>
    <w:tmpl w:val="6448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11D2E"/>
    <w:multiLevelType w:val="hybridMultilevel"/>
    <w:tmpl w:val="4C10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23341"/>
    <w:multiLevelType w:val="hybridMultilevel"/>
    <w:tmpl w:val="3376B056"/>
    <w:lvl w:ilvl="0" w:tplc="0409000F">
      <w:start w:val="1"/>
      <w:numFmt w:val="decimal"/>
      <w:lvlText w:val="%1."/>
      <w:lvlJc w:val="left"/>
      <w:pPr>
        <w:ind w:left="720" w:hanging="360"/>
      </w:pPr>
      <w:rPr>
        <w:rFonts w:hint="default"/>
      </w:rPr>
    </w:lvl>
    <w:lvl w:ilvl="1" w:tplc="856A9A76">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F10A5"/>
    <w:multiLevelType w:val="hybridMultilevel"/>
    <w:tmpl w:val="B2782106"/>
    <w:lvl w:ilvl="0" w:tplc="A3603B5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1"/>
  </w:num>
  <w:num w:numId="5">
    <w:abstractNumId w:val="9"/>
  </w:num>
  <w:num w:numId="6">
    <w:abstractNumId w:val="7"/>
  </w:num>
  <w:num w:numId="7">
    <w:abstractNumId w:val="2"/>
  </w:num>
  <w:num w:numId="8">
    <w:abstractNumId w:val="5"/>
  </w:num>
  <w:num w:numId="9">
    <w:abstractNumId w:val="3"/>
  </w:num>
  <w:num w:numId="10">
    <w:abstractNumId w:val="6"/>
  </w:num>
  <w:num w:numId="11">
    <w:abstractNumId w:val="10"/>
  </w:num>
  <w:num w:numId="12">
    <w:abstractNumId w:val="8"/>
  </w:num>
  <w:num w:numId="13">
    <w:abstractNumId w:val="0"/>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BD"/>
    <w:rsid w:val="00007468"/>
    <w:rsid w:val="000117FE"/>
    <w:rsid w:val="0002459E"/>
    <w:rsid w:val="00037932"/>
    <w:rsid w:val="00043F58"/>
    <w:rsid w:val="000446AB"/>
    <w:rsid w:val="00051146"/>
    <w:rsid w:val="00054671"/>
    <w:rsid w:val="00082F33"/>
    <w:rsid w:val="00087554"/>
    <w:rsid w:val="000875B0"/>
    <w:rsid w:val="00094365"/>
    <w:rsid w:val="00094C69"/>
    <w:rsid w:val="0009514C"/>
    <w:rsid w:val="000974ED"/>
    <w:rsid w:val="000A057D"/>
    <w:rsid w:val="000A68D2"/>
    <w:rsid w:val="000B7FEC"/>
    <w:rsid w:val="000C582A"/>
    <w:rsid w:val="000D1BB0"/>
    <w:rsid w:val="000D3343"/>
    <w:rsid w:val="000D338F"/>
    <w:rsid w:val="000E2B5B"/>
    <w:rsid w:val="000E6FCC"/>
    <w:rsid w:val="000E736D"/>
    <w:rsid w:val="000F17DC"/>
    <w:rsid w:val="000F6BEF"/>
    <w:rsid w:val="000F6F9F"/>
    <w:rsid w:val="0010697E"/>
    <w:rsid w:val="001245FF"/>
    <w:rsid w:val="0014491E"/>
    <w:rsid w:val="001515DC"/>
    <w:rsid w:val="00160F6F"/>
    <w:rsid w:val="001770FD"/>
    <w:rsid w:val="0018340A"/>
    <w:rsid w:val="00185671"/>
    <w:rsid w:val="001A26AD"/>
    <w:rsid w:val="001A6076"/>
    <w:rsid w:val="001A7063"/>
    <w:rsid w:val="001C0CD6"/>
    <w:rsid w:val="001C34D9"/>
    <w:rsid w:val="001C69F7"/>
    <w:rsid w:val="001D3BE5"/>
    <w:rsid w:val="001E43B7"/>
    <w:rsid w:val="001E5772"/>
    <w:rsid w:val="001F06C9"/>
    <w:rsid w:val="001F348F"/>
    <w:rsid w:val="002002D5"/>
    <w:rsid w:val="00210C1E"/>
    <w:rsid w:val="002127BB"/>
    <w:rsid w:val="00216C9E"/>
    <w:rsid w:val="00216D9E"/>
    <w:rsid w:val="00227422"/>
    <w:rsid w:val="00227FEF"/>
    <w:rsid w:val="00240785"/>
    <w:rsid w:val="002578BE"/>
    <w:rsid w:val="00261EFB"/>
    <w:rsid w:val="002654C1"/>
    <w:rsid w:val="002657C0"/>
    <w:rsid w:val="00267110"/>
    <w:rsid w:val="002764F0"/>
    <w:rsid w:val="00283AE2"/>
    <w:rsid w:val="00284AFC"/>
    <w:rsid w:val="002937C9"/>
    <w:rsid w:val="00294B24"/>
    <w:rsid w:val="002A3ED3"/>
    <w:rsid w:val="002A714C"/>
    <w:rsid w:val="002B14A6"/>
    <w:rsid w:val="002C2C5F"/>
    <w:rsid w:val="002D3B03"/>
    <w:rsid w:val="002D435A"/>
    <w:rsid w:val="002D4B26"/>
    <w:rsid w:val="002E2AA0"/>
    <w:rsid w:val="002F61A5"/>
    <w:rsid w:val="00304D2B"/>
    <w:rsid w:val="00304DF8"/>
    <w:rsid w:val="00306402"/>
    <w:rsid w:val="00310128"/>
    <w:rsid w:val="00310FC2"/>
    <w:rsid w:val="00311079"/>
    <w:rsid w:val="003203B7"/>
    <w:rsid w:val="00327131"/>
    <w:rsid w:val="00335919"/>
    <w:rsid w:val="00336CAE"/>
    <w:rsid w:val="00342EA5"/>
    <w:rsid w:val="003463FC"/>
    <w:rsid w:val="00351DBC"/>
    <w:rsid w:val="00370AFB"/>
    <w:rsid w:val="00383A9E"/>
    <w:rsid w:val="00383AC3"/>
    <w:rsid w:val="00385D30"/>
    <w:rsid w:val="0039139A"/>
    <w:rsid w:val="00395891"/>
    <w:rsid w:val="003A0147"/>
    <w:rsid w:val="003A05CA"/>
    <w:rsid w:val="003A2322"/>
    <w:rsid w:val="003B588B"/>
    <w:rsid w:val="003C22CD"/>
    <w:rsid w:val="003C595C"/>
    <w:rsid w:val="003C65EA"/>
    <w:rsid w:val="003D28DF"/>
    <w:rsid w:val="003D4035"/>
    <w:rsid w:val="003D4380"/>
    <w:rsid w:val="003E7E7F"/>
    <w:rsid w:val="003F3E60"/>
    <w:rsid w:val="0040347C"/>
    <w:rsid w:val="004144FB"/>
    <w:rsid w:val="004217B4"/>
    <w:rsid w:val="00421CC4"/>
    <w:rsid w:val="00422710"/>
    <w:rsid w:val="004245AE"/>
    <w:rsid w:val="004269C9"/>
    <w:rsid w:val="00430FA2"/>
    <w:rsid w:val="00431D87"/>
    <w:rsid w:val="00432C7C"/>
    <w:rsid w:val="004371F3"/>
    <w:rsid w:val="00443605"/>
    <w:rsid w:val="00443AA3"/>
    <w:rsid w:val="00447F38"/>
    <w:rsid w:val="00463F7E"/>
    <w:rsid w:val="004642A4"/>
    <w:rsid w:val="00477291"/>
    <w:rsid w:val="004844EA"/>
    <w:rsid w:val="00485CCA"/>
    <w:rsid w:val="0048711C"/>
    <w:rsid w:val="004A09C8"/>
    <w:rsid w:val="004A68F5"/>
    <w:rsid w:val="004A764E"/>
    <w:rsid w:val="004B2AA0"/>
    <w:rsid w:val="004C5CEF"/>
    <w:rsid w:val="004D0730"/>
    <w:rsid w:val="004D6AB9"/>
    <w:rsid w:val="004D739D"/>
    <w:rsid w:val="004E49E8"/>
    <w:rsid w:val="00500AB9"/>
    <w:rsid w:val="00507485"/>
    <w:rsid w:val="005077FA"/>
    <w:rsid w:val="00512248"/>
    <w:rsid w:val="00517289"/>
    <w:rsid w:val="00523E2A"/>
    <w:rsid w:val="00546BDD"/>
    <w:rsid w:val="005477BF"/>
    <w:rsid w:val="00561847"/>
    <w:rsid w:val="00564361"/>
    <w:rsid w:val="005706FF"/>
    <w:rsid w:val="005755D3"/>
    <w:rsid w:val="00582AB5"/>
    <w:rsid w:val="005872B3"/>
    <w:rsid w:val="005934A8"/>
    <w:rsid w:val="005977B8"/>
    <w:rsid w:val="005A35F7"/>
    <w:rsid w:val="005A427A"/>
    <w:rsid w:val="005B27AA"/>
    <w:rsid w:val="005C6E07"/>
    <w:rsid w:val="005C6F91"/>
    <w:rsid w:val="005C7157"/>
    <w:rsid w:val="005D13D0"/>
    <w:rsid w:val="005D1976"/>
    <w:rsid w:val="005F1C88"/>
    <w:rsid w:val="005F26A1"/>
    <w:rsid w:val="005F26F8"/>
    <w:rsid w:val="005F5ED1"/>
    <w:rsid w:val="006004DC"/>
    <w:rsid w:val="00607D70"/>
    <w:rsid w:val="006142F4"/>
    <w:rsid w:val="00617B6B"/>
    <w:rsid w:val="006326FF"/>
    <w:rsid w:val="00640A1C"/>
    <w:rsid w:val="00642F04"/>
    <w:rsid w:val="0066748B"/>
    <w:rsid w:val="00670A7E"/>
    <w:rsid w:val="006807FC"/>
    <w:rsid w:val="00685E15"/>
    <w:rsid w:val="006923DC"/>
    <w:rsid w:val="00697160"/>
    <w:rsid w:val="00697666"/>
    <w:rsid w:val="006A1EC4"/>
    <w:rsid w:val="006A32B1"/>
    <w:rsid w:val="006A6B76"/>
    <w:rsid w:val="006B0014"/>
    <w:rsid w:val="006B68E5"/>
    <w:rsid w:val="006D3DDA"/>
    <w:rsid w:val="006D461A"/>
    <w:rsid w:val="006E5830"/>
    <w:rsid w:val="006F6D34"/>
    <w:rsid w:val="006F7965"/>
    <w:rsid w:val="00707645"/>
    <w:rsid w:val="0071497A"/>
    <w:rsid w:val="007204AA"/>
    <w:rsid w:val="00720E19"/>
    <w:rsid w:val="00725463"/>
    <w:rsid w:val="00725EB0"/>
    <w:rsid w:val="00735243"/>
    <w:rsid w:val="00741426"/>
    <w:rsid w:val="007728C7"/>
    <w:rsid w:val="00773CD1"/>
    <w:rsid w:val="0078765F"/>
    <w:rsid w:val="00794E1D"/>
    <w:rsid w:val="00795DA1"/>
    <w:rsid w:val="007A27CD"/>
    <w:rsid w:val="007A5650"/>
    <w:rsid w:val="007B5EAD"/>
    <w:rsid w:val="007C781A"/>
    <w:rsid w:val="007E1F36"/>
    <w:rsid w:val="007F0D25"/>
    <w:rsid w:val="007F2FAF"/>
    <w:rsid w:val="0081750A"/>
    <w:rsid w:val="0082164B"/>
    <w:rsid w:val="00835FB8"/>
    <w:rsid w:val="00843C22"/>
    <w:rsid w:val="00843C96"/>
    <w:rsid w:val="00843D8D"/>
    <w:rsid w:val="0085405E"/>
    <w:rsid w:val="00862999"/>
    <w:rsid w:val="00877D17"/>
    <w:rsid w:val="008826C0"/>
    <w:rsid w:val="008834B1"/>
    <w:rsid w:val="00894BF3"/>
    <w:rsid w:val="00897256"/>
    <w:rsid w:val="008B03CD"/>
    <w:rsid w:val="008B17D9"/>
    <w:rsid w:val="008B37E4"/>
    <w:rsid w:val="008B3973"/>
    <w:rsid w:val="008D07D7"/>
    <w:rsid w:val="008D3512"/>
    <w:rsid w:val="008E0AAB"/>
    <w:rsid w:val="008E2066"/>
    <w:rsid w:val="008E590B"/>
    <w:rsid w:val="008F229F"/>
    <w:rsid w:val="008F5AD4"/>
    <w:rsid w:val="008F5D99"/>
    <w:rsid w:val="008F6B9D"/>
    <w:rsid w:val="00900ACF"/>
    <w:rsid w:val="00901164"/>
    <w:rsid w:val="0090255F"/>
    <w:rsid w:val="00906DA2"/>
    <w:rsid w:val="009109E9"/>
    <w:rsid w:val="009427FB"/>
    <w:rsid w:val="00944D43"/>
    <w:rsid w:val="00947B0F"/>
    <w:rsid w:val="00951254"/>
    <w:rsid w:val="009537F7"/>
    <w:rsid w:val="00960E8D"/>
    <w:rsid w:val="00973AE9"/>
    <w:rsid w:val="00977C19"/>
    <w:rsid w:val="009822B1"/>
    <w:rsid w:val="009847D6"/>
    <w:rsid w:val="00987700"/>
    <w:rsid w:val="009932DA"/>
    <w:rsid w:val="0099527D"/>
    <w:rsid w:val="009A6715"/>
    <w:rsid w:val="009B53AD"/>
    <w:rsid w:val="009C1168"/>
    <w:rsid w:val="009C125E"/>
    <w:rsid w:val="009C7B33"/>
    <w:rsid w:val="009D62D7"/>
    <w:rsid w:val="009E1D3A"/>
    <w:rsid w:val="009E3902"/>
    <w:rsid w:val="009E768F"/>
    <w:rsid w:val="009F354D"/>
    <w:rsid w:val="009F44F7"/>
    <w:rsid w:val="009F71ED"/>
    <w:rsid w:val="00A0758C"/>
    <w:rsid w:val="00A10720"/>
    <w:rsid w:val="00A1291B"/>
    <w:rsid w:val="00A27D4A"/>
    <w:rsid w:val="00A32B4E"/>
    <w:rsid w:val="00A40D62"/>
    <w:rsid w:val="00A430BB"/>
    <w:rsid w:val="00A610C0"/>
    <w:rsid w:val="00A6267B"/>
    <w:rsid w:val="00A62E16"/>
    <w:rsid w:val="00A73354"/>
    <w:rsid w:val="00A7452D"/>
    <w:rsid w:val="00A8392F"/>
    <w:rsid w:val="00A970DE"/>
    <w:rsid w:val="00AA0F49"/>
    <w:rsid w:val="00AA72E4"/>
    <w:rsid w:val="00AC10D7"/>
    <w:rsid w:val="00AC27FF"/>
    <w:rsid w:val="00AC3C3E"/>
    <w:rsid w:val="00AC4DD4"/>
    <w:rsid w:val="00AD7E5A"/>
    <w:rsid w:val="00AE3327"/>
    <w:rsid w:val="00AF0FBA"/>
    <w:rsid w:val="00AF62E5"/>
    <w:rsid w:val="00B143EF"/>
    <w:rsid w:val="00B17604"/>
    <w:rsid w:val="00B225BA"/>
    <w:rsid w:val="00B33355"/>
    <w:rsid w:val="00B3526E"/>
    <w:rsid w:val="00B406EE"/>
    <w:rsid w:val="00B43069"/>
    <w:rsid w:val="00B47371"/>
    <w:rsid w:val="00B4763F"/>
    <w:rsid w:val="00B531FE"/>
    <w:rsid w:val="00B54F81"/>
    <w:rsid w:val="00B57B9D"/>
    <w:rsid w:val="00B92E85"/>
    <w:rsid w:val="00B93DBF"/>
    <w:rsid w:val="00B94C73"/>
    <w:rsid w:val="00B95B4E"/>
    <w:rsid w:val="00B963E7"/>
    <w:rsid w:val="00B9640D"/>
    <w:rsid w:val="00BA13A4"/>
    <w:rsid w:val="00BA48F4"/>
    <w:rsid w:val="00BA4F1D"/>
    <w:rsid w:val="00BA67E5"/>
    <w:rsid w:val="00BB400D"/>
    <w:rsid w:val="00BB74EA"/>
    <w:rsid w:val="00BE0186"/>
    <w:rsid w:val="00BE0486"/>
    <w:rsid w:val="00BE1189"/>
    <w:rsid w:val="00BF4A65"/>
    <w:rsid w:val="00BF6F5D"/>
    <w:rsid w:val="00C00A92"/>
    <w:rsid w:val="00C02C25"/>
    <w:rsid w:val="00C03278"/>
    <w:rsid w:val="00C05877"/>
    <w:rsid w:val="00C10FCA"/>
    <w:rsid w:val="00C1151C"/>
    <w:rsid w:val="00C117C6"/>
    <w:rsid w:val="00C21905"/>
    <w:rsid w:val="00C425BB"/>
    <w:rsid w:val="00C47ED0"/>
    <w:rsid w:val="00C53A57"/>
    <w:rsid w:val="00C55CBC"/>
    <w:rsid w:val="00C61F6B"/>
    <w:rsid w:val="00C7619D"/>
    <w:rsid w:val="00C82C8A"/>
    <w:rsid w:val="00C83260"/>
    <w:rsid w:val="00C84C76"/>
    <w:rsid w:val="00C862AC"/>
    <w:rsid w:val="00C86724"/>
    <w:rsid w:val="00C87B8D"/>
    <w:rsid w:val="00C93F81"/>
    <w:rsid w:val="00C95A59"/>
    <w:rsid w:val="00CA603A"/>
    <w:rsid w:val="00CB4E83"/>
    <w:rsid w:val="00CC40F0"/>
    <w:rsid w:val="00CC56CF"/>
    <w:rsid w:val="00CD20F4"/>
    <w:rsid w:val="00CD32B0"/>
    <w:rsid w:val="00CE16EF"/>
    <w:rsid w:val="00CF4327"/>
    <w:rsid w:val="00CF559F"/>
    <w:rsid w:val="00D00CC6"/>
    <w:rsid w:val="00D11AC1"/>
    <w:rsid w:val="00D12A79"/>
    <w:rsid w:val="00D15096"/>
    <w:rsid w:val="00D238C3"/>
    <w:rsid w:val="00D251E3"/>
    <w:rsid w:val="00D252F6"/>
    <w:rsid w:val="00D2533D"/>
    <w:rsid w:val="00D30C8D"/>
    <w:rsid w:val="00D37A2C"/>
    <w:rsid w:val="00D37C9B"/>
    <w:rsid w:val="00D4351C"/>
    <w:rsid w:val="00D464F7"/>
    <w:rsid w:val="00D47A40"/>
    <w:rsid w:val="00D50128"/>
    <w:rsid w:val="00D50E33"/>
    <w:rsid w:val="00D551EF"/>
    <w:rsid w:val="00D552D8"/>
    <w:rsid w:val="00D73978"/>
    <w:rsid w:val="00D76277"/>
    <w:rsid w:val="00DA1B4F"/>
    <w:rsid w:val="00DA6C29"/>
    <w:rsid w:val="00DA72F2"/>
    <w:rsid w:val="00DB48E9"/>
    <w:rsid w:val="00DC1737"/>
    <w:rsid w:val="00DC3610"/>
    <w:rsid w:val="00DD54BD"/>
    <w:rsid w:val="00DD6A37"/>
    <w:rsid w:val="00DE27CA"/>
    <w:rsid w:val="00DE5544"/>
    <w:rsid w:val="00E037CA"/>
    <w:rsid w:val="00E21122"/>
    <w:rsid w:val="00E21348"/>
    <w:rsid w:val="00E249BB"/>
    <w:rsid w:val="00E25885"/>
    <w:rsid w:val="00E262D4"/>
    <w:rsid w:val="00E32281"/>
    <w:rsid w:val="00E42784"/>
    <w:rsid w:val="00E441A0"/>
    <w:rsid w:val="00E4600B"/>
    <w:rsid w:val="00E52F4C"/>
    <w:rsid w:val="00E71C28"/>
    <w:rsid w:val="00E8039C"/>
    <w:rsid w:val="00E84639"/>
    <w:rsid w:val="00E90F1B"/>
    <w:rsid w:val="00E978FB"/>
    <w:rsid w:val="00EB276C"/>
    <w:rsid w:val="00EB5474"/>
    <w:rsid w:val="00EB56CB"/>
    <w:rsid w:val="00EC28BE"/>
    <w:rsid w:val="00EC37E8"/>
    <w:rsid w:val="00EC638A"/>
    <w:rsid w:val="00EE014F"/>
    <w:rsid w:val="00EE3A17"/>
    <w:rsid w:val="00EE6A7A"/>
    <w:rsid w:val="00EE7A01"/>
    <w:rsid w:val="00F137A3"/>
    <w:rsid w:val="00F13870"/>
    <w:rsid w:val="00F366B3"/>
    <w:rsid w:val="00F417E4"/>
    <w:rsid w:val="00F422FE"/>
    <w:rsid w:val="00F5044F"/>
    <w:rsid w:val="00F5053D"/>
    <w:rsid w:val="00F51A87"/>
    <w:rsid w:val="00F77351"/>
    <w:rsid w:val="00F80416"/>
    <w:rsid w:val="00F807C7"/>
    <w:rsid w:val="00F816D4"/>
    <w:rsid w:val="00F94F31"/>
    <w:rsid w:val="00FB2DBD"/>
    <w:rsid w:val="00FB34FF"/>
    <w:rsid w:val="00FC30F8"/>
    <w:rsid w:val="00FD03F7"/>
    <w:rsid w:val="00FD647C"/>
    <w:rsid w:val="00FF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C663"/>
  <w15:chartTrackingRefBased/>
  <w15:docId w15:val="{83EC562B-7A26-F74F-9962-756E1FD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BD"/>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DD54BD"/>
    <w:rPr>
      <w:sz w:val="16"/>
      <w:szCs w:val="16"/>
    </w:rPr>
  </w:style>
  <w:style w:type="paragraph" w:styleId="CommentText">
    <w:name w:val="annotation text"/>
    <w:basedOn w:val="Normal"/>
    <w:link w:val="CommentTextChar"/>
    <w:uiPriority w:val="99"/>
    <w:semiHidden/>
    <w:unhideWhenUsed/>
    <w:rsid w:val="00DD54BD"/>
    <w:pPr>
      <w:spacing w:after="160"/>
    </w:pPr>
    <w:rPr>
      <w:sz w:val="20"/>
      <w:szCs w:val="20"/>
    </w:rPr>
  </w:style>
  <w:style w:type="character" w:customStyle="1" w:styleId="CommentTextChar">
    <w:name w:val="Comment Text Char"/>
    <w:basedOn w:val="DefaultParagraphFont"/>
    <w:link w:val="CommentText"/>
    <w:uiPriority w:val="99"/>
    <w:semiHidden/>
    <w:rsid w:val="00DD54BD"/>
    <w:rPr>
      <w:sz w:val="20"/>
      <w:szCs w:val="20"/>
    </w:rPr>
  </w:style>
  <w:style w:type="paragraph" w:styleId="BalloonText">
    <w:name w:val="Balloon Text"/>
    <w:basedOn w:val="Normal"/>
    <w:link w:val="BalloonTextChar"/>
    <w:uiPriority w:val="99"/>
    <w:semiHidden/>
    <w:unhideWhenUsed/>
    <w:rsid w:val="00DD54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4BD"/>
    <w:rPr>
      <w:rFonts w:ascii="Times New Roman" w:hAnsi="Times New Roman" w:cs="Times New Roman"/>
      <w:sz w:val="18"/>
      <w:szCs w:val="18"/>
    </w:rPr>
  </w:style>
  <w:style w:type="character" w:styleId="Hyperlink">
    <w:name w:val="Hyperlink"/>
    <w:basedOn w:val="DefaultParagraphFont"/>
    <w:uiPriority w:val="99"/>
    <w:unhideWhenUsed/>
    <w:rsid w:val="005477BF"/>
    <w:rPr>
      <w:color w:val="0000FF"/>
      <w:u w:val="single"/>
    </w:rPr>
  </w:style>
  <w:style w:type="paragraph" w:styleId="Header">
    <w:name w:val="header"/>
    <w:basedOn w:val="Normal"/>
    <w:link w:val="HeaderChar"/>
    <w:uiPriority w:val="99"/>
    <w:unhideWhenUsed/>
    <w:rsid w:val="00082F33"/>
    <w:pPr>
      <w:tabs>
        <w:tab w:val="center" w:pos="4513"/>
        <w:tab w:val="right" w:pos="9026"/>
      </w:tabs>
    </w:pPr>
    <w:rPr>
      <w:sz w:val="22"/>
      <w:szCs w:val="22"/>
    </w:rPr>
  </w:style>
  <w:style w:type="character" w:customStyle="1" w:styleId="HeaderChar">
    <w:name w:val="Header Char"/>
    <w:basedOn w:val="DefaultParagraphFont"/>
    <w:link w:val="Header"/>
    <w:uiPriority w:val="99"/>
    <w:rsid w:val="00082F33"/>
    <w:rPr>
      <w:sz w:val="22"/>
      <w:szCs w:val="22"/>
    </w:rPr>
  </w:style>
  <w:style w:type="table" w:styleId="TableGrid">
    <w:name w:val="Table Grid"/>
    <w:basedOn w:val="TableNormal"/>
    <w:uiPriority w:val="59"/>
    <w:rsid w:val="00082F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2F33"/>
    <w:pPr>
      <w:tabs>
        <w:tab w:val="center" w:pos="4680"/>
        <w:tab w:val="right" w:pos="9360"/>
      </w:tabs>
    </w:pPr>
  </w:style>
  <w:style w:type="character" w:customStyle="1" w:styleId="FooterChar">
    <w:name w:val="Footer Char"/>
    <w:basedOn w:val="DefaultParagraphFont"/>
    <w:link w:val="Footer"/>
    <w:uiPriority w:val="99"/>
    <w:rsid w:val="00082F33"/>
  </w:style>
  <w:style w:type="table" w:customStyle="1" w:styleId="TableGrid1">
    <w:name w:val="Table Grid1"/>
    <w:basedOn w:val="TableNormal"/>
    <w:next w:val="TableGrid"/>
    <w:uiPriority w:val="39"/>
    <w:rsid w:val="00477291"/>
    <w:rPr>
      <w:rFonts w:ascii="Times New Roman" w:hAnsi="Times New Roman" w:cs="Times New Roman TU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7291"/>
    <w:rPr>
      <w:rFonts w:ascii="Times New Roman" w:hAnsi="Times New Roman" w:cs="Times New Roman TU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4C69"/>
    <w:rPr>
      <w:color w:val="605E5C"/>
      <w:shd w:val="clear" w:color="auto" w:fill="E1DFDD"/>
    </w:rPr>
  </w:style>
  <w:style w:type="character" w:styleId="PageNumber">
    <w:name w:val="page number"/>
    <w:basedOn w:val="DefaultParagraphFont"/>
    <w:uiPriority w:val="99"/>
    <w:semiHidden/>
    <w:unhideWhenUsed/>
    <w:rsid w:val="00094C69"/>
  </w:style>
  <w:style w:type="paragraph" w:styleId="NormalWeb">
    <w:name w:val="Normal (Web)"/>
    <w:basedOn w:val="Normal"/>
    <w:uiPriority w:val="99"/>
    <w:semiHidden/>
    <w:unhideWhenUsed/>
    <w:rsid w:val="009B53AD"/>
    <w:pPr>
      <w:spacing w:before="100" w:beforeAutospacing="1" w:after="100" w:afterAutospacing="1"/>
    </w:pPr>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216D9E"/>
    <w:rPr>
      <w:color w:val="605E5C"/>
      <w:shd w:val="clear" w:color="auto" w:fill="E1DFDD"/>
    </w:rPr>
  </w:style>
  <w:style w:type="character" w:customStyle="1" w:styleId="UnresolvedMention3">
    <w:name w:val="Unresolved Mention3"/>
    <w:basedOn w:val="DefaultParagraphFont"/>
    <w:uiPriority w:val="99"/>
    <w:semiHidden/>
    <w:unhideWhenUsed/>
    <w:rsid w:val="00D12A79"/>
    <w:rPr>
      <w:color w:val="605E5C"/>
      <w:shd w:val="clear" w:color="auto" w:fill="E1DFDD"/>
    </w:rPr>
  </w:style>
  <w:style w:type="character" w:styleId="FollowedHyperlink">
    <w:name w:val="FollowedHyperlink"/>
    <w:basedOn w:val="DefaultParagraphFont"/>
    <w:uiPriority w:val="99"/>
    <w:semiHidden/>
    <w:unhideWhenUsed/>
    <w:rsid w:val="0085405E"/>
    <w:rPr>
      <w:color w:val="954F72" w:themeColor="followedHyperlink"/>
      <w:u w:val="single"/>
    </w:rPr>
  </w:style>
  <w:style w:type="paragraph" w:styleId="FootnoteText">
    <w:name w:val="footnote text"/>
    <w:basedOn w:val="Normal"/>
    <w:link w:val="FootnoteTextChar"/>
    <w:uiPriority w:val="99"/>
    <w:semiHidden/>
    <w:unhideWhenUsed/>
    <w:rsid w:val="001A7063"/>
    <w:rPr>
      <w:sz w:val="20"/>
      <w:szCs w:val="20"/>
    </w:rPr>
  </w:style>
  <w:style w:type="character" w:customStyle="1" w:styleId="FootnoteTextChar">
    <w:name w:val="Footnote Text Char"/>
    <w:basedOn w:val="DefaultParagraphFont"/>
    <w:link w:val="FootnoteText"/>
    <w:uiPriority w:val="99"/>
    <w:semiHidden/>
    <w:rsid w:val="001A7063"/>
    <w:rPr>
      <w:sz w:val="20"/>
      <w:szCs w:val="20"/>
    </w:rPr>
  </w:style>
  <w:style w:type="character" w:styleId="FootnoteReference">
    <w:name w:val="footnote reference"/>
    <w:basedOn w:val="DefaultParagraphFont"/>
    <w:uiPriority w:val="99"/>
    <w:semiHidden/>
    <w:unhideWhenUsed/>
    <w:rsid w:val="001A7063"/>
    <w:rPr>
      <w:vertAlign w:val="superscript"/>
    </w:rPr>
  </w:style>
  <w:style w:type="paragraph" w:styleId="EndnoteText">
    <w:name w:val="endnote text"/>
    <w:basedOn w:val="Normal"/>
    <w:link w:val="EndnoteTextChar"/>
    <w:uiPriority w:val="99"/>
    <w:semiHidden/>
    <w:unhideWhenUsed/>
    <w:rsid w:val="001A7063"/>
    <w:rPr>
      <w:sz w:val="20"/>
      <w:szCs w:val="20"/>
    </w:rPr>
  </w:style>
  <w:style w:type="character" w:customStyle="1" w:styleId="EndnoteTextChar">
    <w:name w:val="Endnote Text Char"/>
    <w:basedOn w:val="DefaultParagraphFont"/>
    <w:link w:val="EndnoteText"/>
    <w:uiPriority w:val="99"/>
    <w:semiHidden/>
    <w:rsid w:val="001A7063"/>
    <w:rPr>
      <w:sz w:val="20"/>
      <w:szCs w:val="20"/>
    </w:rPr>
  </w:style>
  <w:style w:type="character" w:styleId="EndnoteReference">
    <w:name w:val="endnote reference"/>
    <w:basedOn w:val="DefaultParagraphFont"/>
    <w:uiPriority w:val="99"/>
    <w:semiHidden/>
    <w:unhideWhenUsed/>
    <w:rsid w:val="001A7063"/>
    <w:rPr>
      <w:vertAlign w:val="superscript"/>
    </w:rPr>
  </w:style>
  <w:style w:type="paragraph" w:styleId="CommentSubject">
    <w:name w:val="annotation subject"/>
    <w:basedOn w:val="CommentText"/>
    <w:next w:val="CommentText"/>
    <w:link w:val="CommentSubjectChar"/>
    <w:uiPriority w:val="99"/>
    <w:semiHidden/>
    <w:unhideWhenUsed/>
    <w:rsid w:val="00CC56CF"/>
    <w:pPr>
      <w:spacing w:after="0"/>
    </w:pPr>
    <w:rPr>
      <w:b/>
      <w:bCs/>
    </w:rPr>
  </w:style>
  <w:style w:type="character" w:customStyle="1" w:styleId="CommentSubjectChar">
    <w:name w:val="Comment Subject Char"/>
    <w:basedOn w:val="CommentTextChar"/>
    <w:link w:val="CommentSubject"/>
    <w:uiPriority w:val="99"/>
    <w:semiHidden/>
    <w:rsid w:val="00CC5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57318">
      <w:bodyDiv w:val="1"/>
      <w:marLeft w:val="0"/>
      <w:marRight w:val="0"/>
      <w:marTop w:val="0"/>
      <w:marBottom w:val="0"/>
      <w:divBdr>
        <w:top w:val="none" w:sz="0" w:space="0" w:color="auto"/>
        <w:left w:val="none" w:sz="0" w:space="0" w:color="auto"/>
        <w:bottom w:val="none" w:sz="0" w:space="0" w:color="auto"/>
        <w:right w:val="none" w:sz="0" w:space="0" w:color="auto"/>
      </w:divBdr>
      <w:divsChild>
        <w:div w:id="1236234499">
          <w:marLeft w:val="0"/>
          <w:marRight w:val="0"/>
          <w:marTop w:val="0"/>
          <w:marBottom w:val="0"/>
          <w:divBdr>
            <w:top w:val="none" w:sz="0" w:space="0" w:color="auto"/>
            <w:left w:val="none" w:sz="0" w:space="0" w:color="auto"/>
            <w:bottom w:val="none" w:sz="0" w:space="0" w:color="auto"/>
            <w:right w:val="none" w:sz="0" w:space="0" w:color="auto"/>
          </w:divBdr>
          <w:divsChild>
            <w:div w:id="96218347">
              <w:marLeft w:val="0"/>
              <w:marRight w:val="0"/>
              <w:marTop w:val="0"/>
              <w:marBottom w:val="0"/>
              <w:divBdr>
                <w:top w:val="none" w:sz="0" w:space="0" w:color="auto"/>
                <w:left w:val="none" w:sz="0" w:space="0" w:color="auto"/>
                <w:bottom w:val="none" w:sz="0" w:space="0" w:color="auto"/>
                <w:right w:val="none" w:sz="0" w:space="0" w:color="auto"/>
              </w:divBdr>
              <w:divsChild>
                <w:div w:id="3229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9669">
      <w:bodyDiv w:val="1"/>
      <w:marLeft w:val="0"/>
      <w:marRight w:val="0"/>
      <w:marTop w:val="0"/>
      <w:marBottom w:val="0"/>
      <w:divBdr>
        <w:top w:val="none" w:sz="0" w:space="0" w:color="auto"/>
        <w:left w:val="none" w:sz="0" w:space="0" w:color="auto"/>
        <w:bottom w:val="none" w:sz="0" w:space="0" w:color="auto"/>
        <w:right w:val="none" w:sz="0" w:space="0" w:color="auto"/>
      </w:divBdr>
    </w:div>
    <w:div w:id="1283653730">
      <w:bodyDiv w:val="1"/>
      <w:marLeft w:val="0"/>
      <w:marRight w:val="0"/>
      <w:marTop w:val="0"/>
      <w:marBottom w:val="0"/>
      <w:divBdr>
        <w:top w:val="none" w:sz="0" w:space="0" w:color="auto"/>
        <w:left w:val="none" w:sz="0" w:space="0" w:color="auto"/>
        <w:bottom w:val="none" w:sz="0" w:space="0" w:color="auto"/>
        <w:right w:val="none" w:sz="0" w:space="0" w:color="auto"/>
      </w:divBdr>
    </w:div>
    <w:div w:id="1576890645">
      <w:bodyDiv w:val="1"/>
      <w:marLeft w:val="0"/>
      <w:marRight w:val="0"/>
      <w:marTop w:val="0"/>
      <w:marBottom w:val="0"/>
      <w:divBdr>
        <w:top w:val="none" w:sz="0" w:space="0" w:color="auto"/>
        <w:left w:val="none" w:sz="0" w:space="0" w:color="auto"/>
        <w:bottom w:val="none" w:sz="0" w:space="0" w:color="auto"/>
        <w:right w:val="none" w:sz="0" w:space="0" w:color="auto"/>
      </w:divBdr>
    </w:div>
    <w:div w:id="1700622429">
      <w:bodyDiv w:val="1"/>
      <w:marLeft w:val="0"/>
      <w:marRight w:val="0"/>
      <w:marTop w:val="0"/>
      <w:marBottom w:val="0"/>
      <w:divBdr>
        <w:top w:val="none" w:sz="0" w:space="0" w:color="auto"/>
        <w:left w:val="none" w:sz="0" w:space="0" w:color="auto"/>
        <w:bottom w:val="none" w:sz="0" w:space="0" w:color="auto"/>
        <w:right w:val="none" w:sz="0" w:space="0" w:color="auto"/>
      </w:divBdr>
    </w:div>
    <w:div w:id="17701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39@ken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0547-FE8A-5D4E-8471-EC7BE045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16139</Words>
  <Characters>91996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Jaimee Mallion</cp:lastModifiedBy>
  <cp:revision>3</cp:revision>
  <cp:lastPrinted>2019-11-13T15:10:00Z</cp:lastPrinted>
  <dcterms:created xsi:type="dcterms:W3CDTF">2020-10-20T10:02:00Z</dcterms:created>
  <dcterms:modified xsi:type="dcterms:W3CDTF">2020-10-20T10:04:00Z</dcterms:modified>
</cp:coreProperties>
</file>