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6F52" w14:textId="049096AC" w:rsidR="002D3D2E" w:rsidRPr="00E915AA" w:rsidRDefault="002C6719" w:rsidP="002C6719">
      <w:pPr>
        <w:spacing w:after="0" w:line="360" w:lineRule="auto"/>
        <w:jc w:val="center"/>
        <w:rPr>
          <w:rFonts w:ascii="Times New Roman" w:eastAsia="Times New Roman" w:hAnsi="Times New Roman" w:cs="Times New Roman"/>
          <w:b/>
          <w:bCs/>
          <w:sz w:val="28"/>
          <w:szCs w:val="28"/>
          <w:lang w:val="en-GB" w:eastAsia="en-GB"/>
        </w:rPr>
      </w:pPr>
      <w:bookmarkStart w:id="0" w:name="_Hlk112328241"/>
      <w:r w:rsidRPr="00E915AA">
        <w:rPr>
          <w:rFonts w:ascii="Times New Roman" w:eastAsia="Times New Roman" w:hAnsi="Times New Roman" w:cs="Times New Roman"/>
          <w:b/>
          <w:bCs/>
          <w:sz w:val="28"/>
          <w:szCs w:val="28"/>
          <w:lang w:val="en-GB" w:eastAsia="en-GB"/>
        </w:rPr>
        <w:t xml:space="preserve">Do SEC reviews </w:t>
      </w:r>
    </w:p>
    <w:p w14:paraId="603F8FDC" w14:textId="39F0E7C7" w:rsidR="002C6719" w:rsidRPr="00E915AA" w:rsidRDefault="002C6719" w:rsidP="002C6719">
      <w:pPr>
        <w:spacing w:after="0" w:line="360" w:lineRule="auto"/>
        <w:jc w:val="center"/>
        <w:rPr>
          <w:rFonts w:ascii="Times New Roman" w:eastAsia="Calibri" w:hAnsi="Times New Roman" w:cs="Times New Roman"/>
          <w:sz w:val="24"/>
          <w:szCs w:val="24"/>
          <w:lang w:val="en-GB" w:eastAsia="en-GB"/>
        </w:rPr>
      </w:pPr>
      <w:r w:rsidRPr="00E915AA">
        <w:rPr>
          <w:rFonts w:ascii="Times New Roman" w:eastAsia="Times New Roman" w:hAnsi="Times New Roman" w:cs="Times New Roman"/>
          <w:b/>
          <w:bCs/>
          <w:sz w:val="28"/>
          <w:szCs w:val="28"/>
          <w:lang w:val="en-GB" w:eastAsia="en-GB"/>
        </w:rPr>
        <w:t>address earnings quality</w:t>
      </w:r>
      <w:r w:rsidR="009605B2" w:rsidRPr="00E915AA">
        <w:rPr>
          <w:rFonts w:ascii="Times New Roman" w:eastAsia="Times New Roman" w:hAnsi="Times New Roman" w:cs="Times New Roman"/>
          <w:b/>
          <w:bCs/>
          <w:sz w:val="28"/>
          <w:szCs w:val="28"/>
          <w:lang w:val="en-GB" w:eastAsia="en-GB"/>
        </w:rPr>
        <w:t xml:space="preserve"> at IPO</w:t>
      </w:r>
      <w:r w:rsidRPr="00E915AA">
        <w:rPr>
          <w:rFonts w:ascii="Times New Roman" w:eastAsia="Times New Roman" w:hAnsi="Times New Roman" w:cs="Times New Roman"/>
          <w:b/>
          <w:bCs/>
          <w:sz w:val="28"/>
          <w:szCs w:val="28"/>
          <w:lang w:val="en-GB" w:eastAsia="en-GB"/>
        </w:rPr>
        <w:t>?</w:t>
      </w:r>
    </w:p>
    <w:p w14:paraId="017EDE77" w14:textId="77777777" w:rsidR="002C6719" w:rsidRPr="00E915AA" w:rsidRDefault="002C6719" w:rsidP="002C6719">
      <w:pPr>
        <w:spacing w:after="0" w:line="200" w:lineRule="exact"/>
        <w:rPr>
          <w:rFonts w:ascii="Times New Roman" w:eastAsia="Calibri" w:hAnsi="Times New Roman" w:cs="Times New Roman"/>
          <w:sz w:val="24"/>
          <w:szCs w:val="24"/>
          <w:lang w:val="en-GB" w:eastAsia="en-GB"/>
        </w:rPr>
      </w:pPr>
    </w:p>
    <w:p w14:paraId="7B293226" w14:textId="77777777" w:rsidR="002C6719" w:rsidRPr="00E915AA" w:rsidRDefault="002C6719" w:rsidP="002C6719">
      <w:pPr>
        <w:spacing w:after="0" w:line="255" w:lineRule="exact"/>
        <w:rPr>
          <w:rFonts w:ascii="Times New Roman" w:eastAsia="Calibri" w:hAnsi="Times New Roman" w:cs="Times New Roman"/>
          <w:sz w:val="24"/>
          <w:szCs w:val="24"/>
          <w:lang w:val="en-GB" w:eastAsia="en-GB"/>
        </w:rPr>
      </w:pPr>
    </w:p>
    <w:p w14:paraId="7675E17A" w14:textId="77777777" w:rsidR="002C6719" w:rsidRPr="00E915AA" w:rsidRDefault="002C6719" w:rsidP="002C6719">
      <w:pPr>
        <w:spacing w:after="0" w:line="255" w:lineRule="exact"/>
        <w:rPr>
          <w:rFonts w:ascii="Times New Roman" w:eastAsia="Calibri" w:hAnsi="Times New Roman" w:cs="Times New Roman"/>
          <w:sz w:val="24"/>
          <w:szCs w:val="24"/>
          <w:lang w:val="en-GB" w:eastAsia="en-GB"/>
        </w:rPr>
      </w:pPr>
    </w:p>
    <w:p w14:paraId="2357EC80" w14:textId="77777777" w:rsidR="002C6719" w:rsidRPr="00E915AA" w:rsidRDefault="002C6719" w:rsidP="002C6719">
      <w:pPr>
        <w:spacing w:after="0" w:line="240" w:lineRule="auto"/>
        <w:jc w:val="center"/>
        <w:rPr>
          <w:rFonts w:ascii="Times New Roman" w:eastAsia="Calibri" w:hAnsi="Times New Roman" w:cs="Times New Roman"/>
          <w:sz w:val="24"/>
          <w:szCs w:val="24"/>
          <w:lang w:val="en-GB" w:eastAsia="en-GB"/>
        </w:rPr>
      </w:pPr>
      <w:r w:rsidRPr="00E915AA">
        <w:rPr>
          <w:rFonts w:ascii="Times New Roman" w:eastAsia="Times New Roman" w:hAnsi="Times New Roman" w:cs="Times New Roman"/>
          <w:b/>
          <w:bCs/>
          <w:sz w:val="24"/>
          <w:szCs w:val="24"/>
          <w:lang w:val="en-GB" w:eastAsia="en-GB"/>
        </w:rPr>
        <w:t>Abstract</w:t>
      </w:r>
    </w:p>
    <w:p w14:paraId="7F18A29E" w14:textId="77777777" w:rsidR="002C6719" w:rsidRPr="00E915AA" w:rsidRDefault="002C6719" w:rsidP="00C93AF0">
      <w:pPr>
        <w:spacing w:after="0" w:line="264" w:lineRule="exact"/>
        <w:rPr>
          <w:rFonts w:ascii="Times New Roman" w:eastAsia="Calibri" w:hAnsi="Times New Roman" w:cs="Times New Roman"/>
          <w:sz w:val="24"/>
          <w:szCs w:val="24"/>
          <w:lang w:val="en-GB" w:eastAsia="en-GB"/>
        </w:rPr>
      </w:pPr>
    </w:p>
    <w:p w14:paraId="6F238979" w14:textId="6FCBCB67" w:rsidR="002C6719" w:rsidRPr="00E915AA" w:rsidRDefault="002E3755" w:rsidP="00C93AF0">
      <w:pPr>
        <w:spacing w:after="0" w:line="288" w:lineRule="auto"/>
        <w:jc w:val="both"/>
        <w:rPr>
          <w:rFonts w:ascii="Times New Roman" w:eastAsia="Calibri"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We</w:t>
      </w:r>
      <w:r w:rsidR="002C6719" w:rsidRPr="00E915AA">
        <w:rPr>
          <w:rFonts w:ascii="Times New Roman" w:eastAsia="Times New Roman" w:hAnsi="Times New Roman" w:cs="Times New Roman"/>
          <w:sz w:val="24"/>
          <w:szCs w:val="24"/>
          <w:lang w:val="en-GB" w:eastAsia="en-GB"/>
        </w:rPr>
        <w:t xml:space="preserve"> examine </w:t>
      </w:r>
      <w:r w:rsidR="006672EE" w:rsidRPr="00E915AA">
        <w:rPr>
          <w:rFonts w:ascii="Times New Roman" w:eastAsia="Times New Roman" w:hAnsi="Times New Roman" w:cs="Times New Roman"/>
          <w:sz w:val="24"/>
          <w:szCs w:val="24"/>
          <w:lang w:val="en-GB" w:eastAsia="en-GB"/>
        </w:rPr>
        <w:t xml:space="preserve">how </w:t>
      </w:r>
      <w:r w:rsidR="002C6719" w:rsidRPr="00E915AA">
        <w:rPr>
          <w:rFonts w:ascii="Times New Roman" w:eastAsia="Times New Roman" w:hAnsi="Times New Roman" w:cs="Times New Roman"/>
          <w:sz w:val="24"/>
          <w:szCs w:val="24"/>
          <w:lang w:val="en-GB" w:eastAsia="en-GB"/>
        </w:rPr>
        <w:t xml:space="preserve">effective </w:t>
      </w:r>
      <w:r w:rsidR="00707FE5" w:rsidRPr="00E915AA">
        <w:rPr>
          <w:rFonts w:ascii="Times New Roman" w:eastAsia="Times New Roman" w:hAnsi="Times New Roman" w:cs="Times New Roman"/>
          <w:sz w:val="24"/>
          <w:szCs w:val="24"/>
          <w:lang w:val="en-GB" w:eastAsia="en-GB"/>
        </w:rPr>
        <w:t xml:space="preserve">are </w:t>
      </w:r>
      <w:r w:rsidR="002C6719" w:rsidRPr="00E915AA">
        <w:rPr>
          <w:rFonts w:ascii="Times New Roman" w:eastAsia="Times New Roman" w:hAnsi="Times New Roman" w:cs="Times New Roman"/>
          <w:sz w:val="24"/>
          <w:szCs w:val="24"/>
          <w:lang w:val="en-GB" w:eastAsia="en-GB"/>
        </w:rPr>
        <w:t xml:space="preserve">SEC reviews of </w:t>
      </w:r>
      <w:r w:rsidR="007D0B29" w:rsidRPr="00E915AA">
        <w:rPr>
          <w:rFonts w:ascii="Times New Roman" w:eastAsia="Times New Roman" w:hAnsi="Times New Roman" w:cs="Times New Roman"/>
          <w:sz w:val="24"/>
          <w:szCs w:val="24"/>
          <w:lang w:val="en-GB" w:eastAsia="en-GB"/>
        </w:rPr>
        <w:t>S-1 filings (</w:t>
      </w:r>
      <w:r w:rsidR="002C6719" w:rsidRPr="00E915AA">
        <w:rPr>
          <w:rFonts w:ascii="Times New Roman" w:eastAsia="Times New Roman" w:hAnsi="Times New Roman" w:cs="Times New Roman"/>
          <w:sz w:val="24"/>
          <w:szCs w:val="24"/>
          <w:lang w:val="en-GB" w:eastAsia="en-GB"/>
        </w:rPr>
        <w:t>registration statements</w:t>
      </w:r>
      <w:r w:rsidR="007D0B29" w:rsidRPr="00E915AA">
        <w:rPr>
          <w:rFonts w:ascii="Times New Roman" w:eastAsia="Times New Roman" w:hAnsi="Times New Roman" w:cs="Times New Roman"/>
          <w:sz w:val="24"/>
          <w:szCs w:val="24"/>
          <w:lang w:val="en-GB" w:eastAsia="en-GB"/>
        </w:rPr>
        <w:t>)</w:t>
      </w:r>
      <w:r w:rsidR="002C6719" w:rsidRPr="00E915AA">
        <w:rPr>
          <w:rFonts w:ascii="Times New Roman" w:eastAsia="Times New Roman" w:hAnsi="Times New Roman" w:cs="Times New Roman"/>
          <w:sz w:val="24"/>
          <w:szCs w:val="24"/>
          <w:lang w:val="en-GB" w:eastAsia="en-GB"/>
        </w:rPr>
        <w:t xml:space="preserve"> </w:t>
      </w:r>
      <w:r w:rsidR="002938F1" w:rsidRPr="00E915AA">
        <w:rPr>
          <w:rFonts w:ascii="Times New Roman" w:eastAsia="Times New Roman" w:hAnsi="Times New Roman" w:cs="Times New Roman"/>
          <w:sz w:val="24"/>
          <w:szCs w:val="24"/>
          <w:lang w:val="en-GB" w:eastAsia="en-GB"/>
        </w:rPr>
        <w:t>by</w:t>
      </w:r>
      <w:r w:rsidR="002C6719" w:rsidRPr="00E915AA">
        <w:rPr>
          <w:rFonts w:ascii="Times New Roman" w:eastAsia="Times New Roman" w:hAnsi="Times New Roman" w:cs="Times New Roman"/>
          <w:sz w:val="24"/>
          <w:szCs w:val="24"/>
          <w:lang w:val="en-GB" w:eastAsia="en-GB"/>
        </w:rPr>
        <w:t xml:space="preserve"> firms </w:t>
      </w:r>
      <w:r w:rsidR="00EC06A8" w:rsidRPr="00E915AA">
        <w:rPr>
          <w:rFonts w:ascii="Times New Roman" w:eastAsia="Times New Roman" w:hAnsi="Times New Roman" w:cs="Times New Roman"/>
          <w:sz w:val="24"/>
          <w:szCs w:val="24"/>
          <w:lang w:val="en-GB" w:eastAsia="en-GB"/>
        </w:rPr>
        <w:t>conducting IPOs</w:t>
      </w:r>
      <w:r w:rsidR="002C6719" w:rsidRPr="00E915AA">
        <w:rPr>
          <w:rFonts w:ascii="Times New Roman" w:eastAsia="Times New Roman" w:hAnsi="Times New Roman" w:cs="Times New Roman"/>
          <w:sz w:val="24"/>
          <w:szCs w:val="24"/>
          <w:lang w:val="en-GB" w:eastAsia="en-GB"/>
        </w:rPr>
        <w:t xml:space="preserve"> </w:t>
      </w:r>
      <w:r w:rsidR="00DC044F" w:rsidRPr="00E915AA">
        <w:rPr>
          <w:rFonts w:ascii="Times New Roman" w:eastAsia="Times New Roman" w:hAnsi="Times New Roman" w:cs="Times New Roman"/>
          <w:sz w:val="24"/>
          <w:szCs w:val="24"/>
          <w:lang w:val="en-GB" w:eastAsia="en-GB"/>
        </w:rPr>
        <w:t>i</w:t>
      </w:r>
      <w:r w:rsidR="002C6719" w:rsidRPr="00E915AA">
        <w:rPr>
          <w:rFonts w:ascii="Times New Roman" w:eastAsia="Times New Roman" w:hAnsi="Times New Roman" w:cs="Times New Roman"/>
          <w:sz w:val="24"/>
          <w:szCs w:val="24"/>
          <w:lang w:val="en-GB" w:eastAsia="en-GB"/>
        </w:rPr>
        <w:t xml:space="preserve">n </w:t>
      </w:r>
      <w:r w:rsidR="00F15E90" w:rsidRPr="00E915AA">
        <w:rPr>
          <w:rFonts w:ascii="Times New Roman" w:eastAsia="Times New Roman" w:hAnsi="Times New Roman" w:cs="Times New Roman"/>
          <w:sz w:val="24"/>
          <w:szCs w:val="24"/>
          <w:lang w:val="en-GB" w:eastAsia="en-GB"/>
        </w:rPr>
        <w:t xml:space="preserve">the </w:t>
      </w:r>
      <w:r w:rsidR="002C6719" w:rsidRPr="00E915AA">
        <w:rPr>
          <w:rFonts w:ascii="Times New Roman" w:eastAsia="Times New Roman" w:hAnsi="Times New Roman" w:cs="Times New Roman"/>
          <w:sz w:val="24"/>
          <w:szCs w:val="24"/>
          <w:lang w:val="en-GB" w:eastAsia="en-GB"/>
        </w:rPr>
        <w:t xml:space="preserve">US. This investigation is important </w:t>
      </w:r>
      <w:r w:rsidR="002938F1" w:rsidRPr="00E915AA">
        <w:rPr>
          <w:rFonts w:ascii="Times New Roman" w:eastAsia="Times New Roman" w:hAnsi="Times New Roman" w:cs="Times New Roman"/>
          <w:sz w:val="24"/>
          <w:szCs w:val="24"/>
          <w:lang w:val="en-GB" w:eastAsia="en-GB"/>
        </w:rPr>
        <w:t xml:space="preserve">as </w:t>
      </w:r>
      <w:r w:rsidR="002C6719" w:rsidRPr="00E915AA">
        <w:rPr>
          <w:rFonts w:ascii="Times New Roman" w:eastAsia="Times New Roman" w:hAnsi="Times New Roman" w:cs="Times New Roman"/>
          <w:sz w:val="24"/>
          <w:szCs w:val="24"/>
          <w:lang w:val="en-GB" w:eastAsia="en-GB"/>
        </w:rPr>
        <w:t xml:space="preserve">market participants rely </w:t>
      </w:r>
      <w:r w:rsidR="008E3335" w:rsidRPr="00E915AA">
        <w:rPr>
          <w:rFonts w:ascii="Times New Roman" w:eastAsia="Times New Roman" w:hAnsi="Times New Roman" w:cs="Times New Roman"/>
          <w:sz w:val="24"/>
          <w:szCs w:val="24"/>
          <w:lang w:val="en-GB" w:eastAsia="en-GB"/>
        </w:rPr>
        <w:t xml:space="preserve">heavily </w:t>
      </w:r>
      <w:r w:rsidR="002C6719" w:rsidRPr="00E915AA">
        <w:rPr>
          <w:rFonts w:ascii="Times New Roman" w:eastAsia="Times New Roman" w:hAnsi="Times New Roman" w:cs="Times New Roman"/>
          <w:sz w:val="24"/>
          <w:szCs w:val="24"/>
          <w:lang w:val="en-GB" w:eastAsia="en-GB"/>
        </w:rPr>
        <w:t xml:space="preserve">on </w:t>
      </w:r>
      <w:r w:rsidR="00600437" w:rsidRPr="00E915AA">
        <w:rPr>
          <w:rFonts w:ascii="Times New Roman" w:eastAsia="Times New Roman" w:hAnsi="Times New Roman" w:cs="Times New Roman"/>
          <w:sz w:val="24"/>
          <w:szCs w:val="24"/>
          <w:lang w:val="en-GB" w:eastAsia="en-GB"/>
        </w:rPr>
        <w:t xml:space="preserve">this </w:t>
      </w:r>
      <w:r w:rsidR="002C6719" w:rsidRPr="00E915AA">
        <w:rPr>
          <w:rFonts w:ascii="Times New Roman" w:eastAsia="Times New Roman" w:hAnsi="Times New Roman" w:cs="Times New Roman"/>
          <w:sz w:val="24"/>
          <w:szCs w:val="24"/>
          <w:lang w:val="en-GB" w:eastAsia="en-GB"/>
        </w:rPr>
        <w:t xml:space="preserve">information </w:t>
      </w:r>
      <w:r w:rsidR="00600437" w:rsidRPr="00E915AA">
        <w:rPr>
          <w:rFonts w:ascii="Times New Roman" w:eastAsia="Times New Roman" w:hAnsi="Times New Roman" w:cs="Times New Roman"/>
          <w:sz w:val="24"/>
          <w:szCs w:val="24"/>
          <w:lang w:val="en-GB" w:eastAsia="en-GB"/>
        </w:rPr>
        <w:t xml:space="preserve">to </w:t>
      </w:r>
      <w:r w:rsidR="002C6719" w:rsidRPr="00E915AA">
        <w:rPr>
          <w:rFonts w:ascii="Times New Roman" w:eastAsia="Times New Roman" w:hAnsi="Times New Roman" w:cs="Times New Roman"/>
          <w:sz w:val="24"/>
          <w:szCs w:val="24"/>
          <w:lang w:val="en-GB" w:eastAsia="en-GB"/>
        </w:rPr>
        <w:t>mak</w:t>
      </w:r>
      <w:r w:rsidR="00600437" w:rsidRPr="00E915AA">
        <w:rPr>
          <w:rFonts w:ascii="Times New Roman" w:eastAsia="Times New Roman" w:hAnsi="Times New Roman" w:cs="Times New Roman"/>
          <w:sz w:val="24"/>
          <w:szCs w:val="24"/>
          <w:lang w:val="en-GB" w:eastAsia="en-GB"/>
        </w:rPr>
        <w:t>e</w:t>
      </w:r>
      <w:r w:rsidR="002C6719" w:rsidRPr="00E915AA">
        <w:rPr>
          <w:rFonts w:ascii="Times New Roman" w:eastAsia="Times New Roman" w:hAnsi="Times New Roman" w:cs="Times New Roman"/>
          <w:sz w:val="24"/>
          <w:szCs w:val="24"/>
          <w:lang w:val="en-GB" w:eastAsia="en-GB"/>
        </w:rPr>
        <w:t xml:space="preserve"> formative investment decisions</w:t>
      </w:r>
      <w:r w:rsidR="00600437" w:rsidRPr="00E915AA">
        <w:rPr>
          <w:rFonts w:ascii="Times New Roman" w:eastAsia="Times New Roman" w:hAnsi="Times New Roman" w:cs="Times New Roman"/>
          <w:sz w:val="24"/>
          <w:szCs w:val="24"/>
          <w:lang w:val="en-GB" w:eastAsia="en-GB"/>
        </w:rPr>
        <w:t>, while</w:t>
      </w:r>
      <w:r w:rsidR="002C6719" w:rsidRPr="00E915AA">
        <w:rPr>
          <w:rFonts w:ascii="Times New Roman" w:eastAsia="Times New Roman" w:hAnsi="Times New Roman" w:cs="Times New Roman"/>
          <w:sz w:val="24"/>
          <w:szCs w:val="24"/>
          <w:lang w:val="en-GB" w:eastAsia="en-GB"/>
        </w:rPr>
        <w:t xml:space="preserve"> </w:t>
      </w:r>
      <w:r w:rsidR="00E21AB4" w:rsidRPr="00E915AA">
        <w:rPr>
          <w:rFonts w:ascii="Times New Roman" w:eastAsia="Times New Roman" w:hAnsi="Times New Roman" w:cs="Times New Roman"/>
          <w:sz w:val="24"/>
          <w:szCs w:val="24"/>
          <w:lang w:val="en-GB" w:eastAsia="en-GB"/>
        </w:rPr>
        <w:t>there are well-known incentives</w:t>
      </w:r>
      <w:r w:rsidR="002C6719" w:rsidRPr="00E915AA">
        <w:rPr>
          <w:rFonts w:ascii="Times New Roman" w:eastAsia="Times New Roman" w:hAnsi="Times New Roman" w:cs="Times New Roman"/>
          <w:sz w:val="24"/>
          <w:szCs w:val="24"/>
          <w:lang w:val="en-GB" w:eastAsia="en-GB"/>
        </w:rPr>
        <w:t xml:space="preserve"> </w:t>
      </w:r>
      <w:r w:rsidR="000E7E07" w:rsidRPr="00E915AA">
        <w:rPr>
          <w:rFonts w:ascii="Times New Roman" w:eastAsia="Times New Roman" w:hAnsi="Times New Roman" w:cs="Times New Roman"/>
          <w:sz w:val="24"/>
          <w:szCs w:val="24"/>
          <w:lang w:val="en-GB" w:eastAsia="en-GB"/>
        </w:rPr>
        <w:t>for opportunistic</w:t>
      </w:r>
      <w:r w:rsidR="002C6719" w:rsidRPr="00E915AA">
        <w:rPr>
          <w:rFonts w:ascii="Times New Roman" w:eastAsia="Times New Roman" w:hAnsi="Times New Roman" w:cs="Times New Roman"/>
          <w:sz w:val="24"/>
          <w:szCs w:val="24"/>
          <w:lang w:val="en-GB" w:eastAsia="en-GB"/>
        </w:rPr>
        <w:t xml:space="preserve"> </w:t>
      </w:r>
      <w:r w:rsidR="00DC044F" w:rsidRPr="00E915AA">
        <w:rPr>
          <w:rFonts w:ascii="Times New Roman" w:eastAsia="Times New Roman" w:hAnsi="Times New Roman" w:cs="Times New Roman"/>
          <w:sz w:val="24"/>
          <w:szCs w:val="24"/>
          <w:lang w:val="en-GB" w:eastAsia="en-GB"/>
        </w:rPr>
        <w:t>disclos</w:t>
      </w:r>
      <w:r w:rsidR="000E7E07" w:rsidRPr="00E915AA">
        <w:rPr>
          <w:rFonts w:ascii="Times New Roman" w:eastAsia="Times New Roman" w:hAnsi="Times New Roman" w:cs="Times New Roman"/>
          <w:sz w:val="24"/>
          <w:szCs w:val="24"/>
          <w:lang w:val="en-GB" w:eastAsia="en-GB"/>
        </w:rPr>
        <w:t>ure</w:t>
      </w:r>
      <w:r w:rsidR="00E21AB4" w:rsidRPr="00E915AA">
        <w:rPr>
          <w:rFonts w:ascii="Times New Roman" w:eastAsia="Times New Roman" w:hAnsi="Times New Roman" w:cs="Times New Roman"/>
          <w:sz w:val="24"/>
          <w:szCs w:val="24"/>
          <w:lang w:val="en-GB" w:eastAsia="en-GB"/>
        </w:rPr>
        <w:t xml:space="preserve"> at IPO</w:t>
      </w:r>
      <w:r w:rsidR="00DC044F" w:rsidRPr="00E915AA">
        <w:rPr>
          <w:rFonts w:ascii="Times New Roman" w:eastAsia="Times New Roman" w:hAnsi="Times New Roman" w:cs="Times New Roman"/>
          <w:sz w:val="24"/>
          <w:szCs w:val="24"/>
          <w:lang w:val="en-GB" w:eastAsia="en-GB"/>
        </w:rPr>
        <w:t xml:space="preserve">. </w:t>
      </w:r>
      <w:r w:rsidR="00E05734" w:rsidRPr="00E915AA">
        <w:rPr>
          <w:rFonts w:ascii="Times New Roman" w:eastAsia="Times New Roman" w:hAnsi="Times New Roman" w:cs="Times New Roman"/>
          <w:sz w:val="24"/>
          <w:szCs w:val="24"/>
          <w:lang w:val="en-GB" w:eastAsia="en-GB"/>
        </w:rPr>
        <w:t>A</w:t>
      </w:r>
      <w:r w:rsidR="002C6719" w:rsidRPr="00E915AA">
        <w:rPr>
          <w:rFonts w:ascii="Times New Roman" w:eastAsia="Times New Roman" w:hAnsi="Times New Roman" w:cs="Times New Roman"/>
          <w:sz w:val="24"/>
          <w:szCs w:val="24"/>
          <w:lang w:val="en-GB" w:eastAsia="en-GB"/>
        </w:rPr>
        <w:t xml:space="preserve">ssessing the effectiveness of SEC reviews in monitoring the quality of IPO disclosures is </w:t>
      </w:r>
      <w:r w:rsidR="00E05734" w:rsidRPr="00E915AA">
        <w:rPr>
          <w:rFonts w:ascii="Times New Roman" w:eastAsia="Times New Roman" w:hAnsi="Times New Roman" w:cs="Times New Roman"/>
          <w:sz w:val="24"/>
          <w:szCs w:val="24"/>
          <w:lang w:val="en-GB" w:eastAsia="en-GB"/>
        </w:rPr>
        <w:t xml:space="preserve">therefore </w:t>
      </w:r>
      <w:r w:rsidR="002C6719" w:rsidRPr="00E915AA">
        <w:rPr>
          <w:rFonts w:ascii="Times New Roman" w:eastAsia="Times New Roman" w:hAnsi="Times New Roman" w:cs="Times New Roman"/>
          <w:sz w:val="24"/>
          <w:szCs w:val="24"/>
          <w:lang w:val="en-GB" w:eastAsia="en-GB"/>
        </w:rPr>
        <w:t>of utmost importance.</w:t>
      </w:r>
      <w:r w:rsidR="009420EF" w:rsidRPr="00E915AA">
        <w:rPr>
          <w:rFonts w:ascii="Times New Roman" w:eastAsia="Times New Roman" w:hAnsi="Times New Roman" w:cs="Times New Roman"/>
          <w:sz w:val="24"/>
          <w:szCs w:val="24"/>
          <w:lang w:val="en-GB" w:eastAsia="en-GB"/>
        </w:rPr>
        <w:t xml:space="preserve"> Using a Naïve Bayesian machine learning algorithm, we </w:t>
      </w:r>
      <w:r w:rsidR="002C6719" w:rsidRPr="00E915AA">
        <w:rPr>
          <w:rFonts w:ascii="Times New Roman" w:eastAsia="Times New Roman" w:hAnsi="Times New Roman" w:cs="Times New Roman"/>
          <w:sz w:val="24"/>
          <w:szCs w:val="24"/>
          <w:lang w:val="en-GB" w:eastAsia="en-GB"/>
        </w:rPr>
        <w:t xml:space="preserve">show that IPO firms with greater accruals-based earnings management (AEM) </w:t>
      </w:r>
      <w:r w:rsidR="002E03A2" w:rsidRPr="00E915AA">
        <w:rPr>
          <w:rFonts w:ascii="Times New Roman" w:eastAsia="Times New Roman" w:hAnsi="Times New Roman" w:cs="Times New Roman"/>
          <w:sz w:val="24"/>
          <w:szCs w:val="24"/>
          <w:lang w:val="en-GB" w:eastAsia="en-GB"/>
        </w:rPr>
        <w:t xml:space="preserve">tend </w:t>
      </w:r>
      <w:r w:rsidR="002C6719" w:rsidRPr="00E915AA">
        <w:rPr>
          <w:rFonts w:ascii="Times New Roman" w:eastAsia="Times New Roman" w:hAnsi="Times New Roman" w:cs="Times New Roman"/>
          <w:sz w:val="24"/>
          <w:szCs w:val="24"/>
          <w:lang w:val="en-GB" w:eastAsia="en-GB"/>
        </w:rPr>
        <w:t xml:space="preserve">to experience more extensive SEC reviews, suggesting they are effective </w:t>
      </w:r>
      <w:r w:rsidR="00EF5FDB" w:rsidRPr="00E915AA">
        <w:rPr>
          <w:rFonts w:ascii="Times New Roman" w:eastAsia="Times New Roman" w:hAnsi="Times New Roman" w:cs="Times New Roman"/>
          <w:sz w:val="24"/>
          <w:szCs w:val="24"/>
          <w:lang w:val="en-GB" w:eastAsia="en-GB"/>
        </w:rPr>
        <w:t xml:space="preserve">in </w:t>
      </w:r>
      <w:r w:rsidR="002C6719" w:rsidRPr="00E915AA">
        <w:rPr>
          <w:rFonts w:ascii="Times New Roman" w:eastAsia="Times New Roman" w:hAnsi="Times New Roman" w:cs="Times New Roman"/>
          <w:sz w:val="24"/>
          <w:szCs w:val="24"/>
          <w:lang w:val="en-GB" w:eastAsia="en-GB"/>
        </w:rPr>
        <w:t xml:space="preserve">addressing poor </w:t>
      </w:r>
      <w:r w:rsidR="00FD2E65" w:rsidRPr="00E915AA">
        <w:rPr>
          <w:rFonts w:ascii="Times New Roman" w:eastAsia="Times New Roman" w:hAnsi="Times New Roman" w:cs="Times New Roman"/>
          <w:sz w:val="24"/>
          <w:szCs w:val="24"/>
          <w:lang w:val="en-GB" w:eastAsia="en-GB"/>
        </w:rPr>
        <w:t xml:space="preserve">accrual </w:t>
      </w:r>
      <w:r w:rsidR="002C6719" w:rsidRPr="00E915AA">
        <w:rPr>
          <w:rFonts w:ascii="Times New Roman" w:eastAsia="Times New Roman" w:hAnsi="Times New Roman" w:cs="Times New Roman"/>
          <w:sz w:val="24"/>
          <w:szCs w:val="24"/>
          <w:lang w:val="en-GB" w:eastAsia="en-GB"/>
        </w:rPr>
        <w:t xml:space="preserve">quality. </w:t>
      </w:r>
      <w:r w:rsidR="00193965" w:rsidRPr="00E915AA">
        <w:rPr>
          <w:rFonts w:ascii="Times New Roman" w:eastAsia="Times New Roman" w:hAnsi="Times New Roman" w:cs="Times New Roman"/>
          <w:sz w:val="24"/>
          <w:szCs w:val="24"/>
          <w:lang w:val="en-GB" w:eastAsia="en-GB"/>
        </w:rPr>
        <w:t>Weak evidence on the effectiv</w:t>
      </w:r>
      <w:r w:rsidR="0015524C" w:rsidRPr="00E915AA">
        <w:rPr>
          <w:rFonts w:ascii="Times New Roman" w:eastAsia="Times New Roman" w:hAnsi="Times New Roman" w:cs="Times New Roman"/>
          <w:sz w:val="24"/>
          <w:szCs w:val="24"/>
          <w:lang w:val="en-GB" w:eastAsia="en-GB"/>
        </w:rPr>
        <w:t xml:space="preserve">eness of the SEC review in </w:t>
      </w:r>
      <w:r w:rsidR="005E5774" w:rsidRPr="00E915AA">
        <w:rPr>
          <w:rFonts w:ascii="Times New Roman" w:eastAsia="Times New Roman" w:hAnsi="Times New Roman" w:cs="Times New Roman"/>
          <w:sz w:val="24"/>
          <w:szCs w:val="24"/>
          <w:lang w:val="en-GB" w:eastAsia="en-GB"/>
        </w:rPr>
        <w:t>addressing</w:t>
      </w:r>
      <w:r w:rsidR="0015524C" w:rsidRPr="00E915AA">
        <w:rPr>
          <w:rFonts w:ascii="Times New Roman" w:eastAsia="Times New Roman" w:hAnsi="Times New Roman" w:cs="Times New Roman"/>
          <w:sz w:val="24"/>
          <w:szCs w:val="24"/>
          <w:lang w:val="en-GB" w:eastAsia="en-GB"/>
        </w:rPr>
        <w:t xml:space="preserve"> discretionary-expense-based </w:t>
      </w:r>
      <w:r w:rsidR="00A81D2B" w:rsidRPr="00E915AA">
        <w:rPr>
          <w:rFonts w:ascii="Times New Roman" w:eastAsia="Times New Roman" w:hAnsi="Times New Roman" w:cs="Times New Roman"/>
          <w:sz w:val="24"/>
          <w:szCs w:val="24"/>
          <w:lang w:val="en-GB" w:eastAsia="en-GB"/>
        </w:rPr>
        <w:t>real earnings management (</w:t>
      </w:r>
      <w:r w:rsidR="0015524C" w:rsidRPr="00E915AA">
        <w:rPr>
          <w:rFonts w:ascii="Times New Roman" w:eastAsia="Times New Roman" w:hAnsi="Times New Roman" w:cs="Times New Roman"/>
          <w:sz w:val="24"/>
          <w:szCs w:val="24"/>
          <w:lang w:val="en-GB" w:eastAsia="en-GB"/>
        </w:rPr>
        <w:t>REM</w:t>
      </w:r>
      <w:r w:rsidR="00A81D2B" w:rsidRPr="00E915AA">
        <w:rPr>
          <w:rFonts w:ascii="Times New Roman" w:eastAsia="Times New Roman" w:hAnsi="Times New Roman" w:cs="Times New Roman"/>
          <w:sz w:val="24"/>
          <w:szCs w:val="24"/>
          <w:lang w:val="en-GB" w:eastAsia="en-GB"/>
        </w:rPr>
        <w:t>)</w:t>
      </w:r>
      <w:r w:rsidR="005E5774" w:rsidRPr="00E915AA">
        <w:rPr>
          <w:rFonts w:ascii="Times New Roman" w:eastAsia="Times New Roman" w:hAnsi="Times New Roman" w:cs="Times New Roman"/>
          <w:sz w:val="24"/>
          <w:szCs w:val="24"/>
          <w:lang w:val="en-GB" w:eastAsia="en-GB"/>
        </w:rPr>
        <w:t xml:space="preserve"> is also identified. </w:t>
      </w:r>
      <w:r w:rsidR="00A63D59" w:rsidRPr="00E915AA">
        <w:rPr>
          <w:rFonts w:ascii="Times New Roman" w:eastAsia="Times New Roman" w:hAnsi="Times New Roman" w:cs="Times New Roman"/>
          <w:sz w:val="24"/>
          <w:szCs w:val="24"/>
          <w:lang w:val="en-GB" w:eastAsia="en-GB"/>
        </w:rPr>
        <w:t>These associations have strengthened under the JOBS Act.</w:t>
      </w:r>
      <w:r w:rsidR="002C6719" w:rsidRPr="00E915AA">
        <w:rPr>
          <w:rFonts w:ascii="Times New Roman" w:eastAsia="Times New Roman" w:hAnsi="Times New Roman" w:cs="Times New Roman"/>
          <w:sz w:val="24"/>
          <w:szCs w:val="24"/>
          <w:lang w:val="en-GB" w:eastAsia="en-GB"/>
        </w:rPr>
        <w:t xml:space="preserve"> </w:t>
      </w:r>
      <w:r w:rsidR="00794E82" w:rsidRPr="00E915AA">
        <w:rPr>
          <w:rFonts w:ascii="Times New Roman" w:eastAsia="Times New Roman" w:hAnsi="Times New Roman" w:cs="Times New Roman"/>
          <w:sz w:val="24"/>
          <w:szCs w:val="24"/>
          <w:lang w:val="en-GB" w:eastAsia="en-GB"/>
        </w:rPr>
        <w:t>On the contrary,</w:t>
      </w:r>
      <w:r w:rsidR="002C6719" w:rsidRPr="00E915AA">
        <w:rPr>
          <w:rFonts w:ascii="Times New Roman" w:eastAsia="Times New Roman" w:hAnsi="Times New Roman" w:cs="Times New Roman"/>
          <w:sz w:val="24"/>
          <w:szCs w:val="24"/>
          <w:lang w:val="en-GB" w:eastAsia="en-GB"/>
        </w:rPr>
        <w:t xml:space="preserve"> SEC review</w:t>
      </w:r>
      <w:r w:rsidR="00794E82" w:rsidRPr="00E915AA">
        <w:rPr>
          <w:rFonts w:ascii="Times New Roman" w:eastAsia="Times New Roman" w:hAnsi="Times New Roman" w:cs="Times New Roman"/>
          <w:sz w:val="24"/>
          <w:szCs w:val="24"/>
          <w:lang w:val="en-GB" w:eastAsia="en-GB"/>
        </w:rPr>
        <w:t>er</w:t>
      </w:r>
      <w:r w:rsidR="002C6719" w:rsidRPr="00E915AA">
        <w:rPr>
          <w:rFonts w:ascii="Times New Roman" w:eastAsia="Times New Roman" w:hAnsi="Times New Roman" w:cs="Times New Roman"/>
          <w:sz w:val="24"/>
          <w:szCs w:val="24"/>
          <w:lang w:val="en-GB" w:eastAsia="en-GB"/>
        </w:rPr>
        <w:t xml:space="preserve">s </w:t>
      </w:r>
      <w:r w:rsidR="00715826" w:rsidRPr="00E915AA">
        <w:rPr>
          <w:rFonts w:ascii="Times New Roman" w:eastAsia="Times New Roman" w:hAnsi="Times New Roman" w:cs="Times New Roman"/>
          <w:sz w:val="24"/>
          <w:szCs w:val="24"/>
          <w:lang w:val="en-GB" w:eastAsia="en-GB"/>
        </w:rPr>
        <w:t>do not appear to be</w:t>
      </w:r>
      <w:r w:rsidR="00794E82" w:rsidRPr="00E915AA">
        <w:rPr>
          <w:rFonts w:ascii="Times New Roman" w:eastAsia="Times New Roman" w:hAnsi="Times New Roman" w:cs="Times New Roman"/>
          <w:sz w:val="24"/>
          <w:szCs w:val="24"/>
          <w:lang w:val="en-GB" w:eastAsia="en-GB"/>
        </w:rPr>
        <w:t xml:space="preserve"> effective </w:t>
      </w:r>
      <w:r w:rsidR="002C6719" w:rsidRPr="00E915AA">
        <w:rPr>
          <w:rFonts w:ascii="Times New Roman" w:eastAsia="Times New Roman" w:hAnsi="Times New Roman" w:cs="Times New Roman"/>
          <w:sz w:val="24"/>
          <w:szCs w:val="24"/>
          <w:lang w:val="en-GB" w:eastAsia="en-GB"/>
        </w:rPr>
        <w:t xml:space="preserve">in detecting sales-based REM, </w:t>
      </w:r>
      <w:r w:rsidR="00CA7E4B" w:rsidRPr="00E915AA">
        <w:rPr>
          <w:rFonts w:ascii="Times New Roman" w:eastAsia="Times New Roman" w:hAnsi="Times New Roman" w:cs="Times New Roman"/>
          <w:sz w:val="24"/>
          <w:szCs w:val="24"/>
          <w:lang w:val="en-GB" w:eastAsia="en-GB"/>
        </w:rPr>
        <w:t>particularly under</w:t>
      </w:r>
      <w:r w:rsidR="002C6719" w:rsidRPr="00E915AA">
        <w:rPr>
          <w:rFonts w:ascii="Times New Roman" w:eastAsia="Times New Roman" w:hAnsi="Times New Roman" w:cs="Times New Roman"/>
          <w:sz w:val="24"/>
          <w:szCs w:val="24"/>
          <w:lang w:val="en-GB" w:eastAsia="en-GB"/>
        </w:rPr>
        <w:t xml:space="preserve"> the JOBS Act</w:t>
      </w:r>
      <w:r w:rsidR="00DC56E8" w:rsidRPr="00E915AA">
        <w:rPr>
          <w:rFonts w:ascii="Times New Roman" w:eastAsia="Times New Roman" w:hAnsi="Times New Roman" w:cs="Times New Roman"/>
          <w:sz w:val="24"/>
          <w:szCs w:val="24"/>
          <w:lang w:val="en-GB" w:eastAsia="en-GB"/>
        </w:rPr>
        <w:t>.</w:t>
      </w:r>
      <w:r w:rsidR="00DE2BDA" w:rsidRPr="00E915AA">
        <w:rPr>
          <w:rFonts w:ascii="Times New Roman" w:eastAsia="Times New Roman" w:hAnsi="Times New Roman" w:cs="Times New Roman"/>
          <w:sz w:val="24"/>
          <w:szCs w:val="24"/>
          <w:lang w:val="en-GB" w:eastAsia="en-GB"/>
        </w:rPr>
        <w:t xml:space="preserve"> Overall, our study </w:t>
      </w:r>
      <w:r w:rsidR="002247E9" w:rsidRPr="00E915AA">
        <w:rPr>
          <w:rFonts w:ascii="Times New Roman" w:eastAsia="Times New Roman" w:hAnsi="Times New Roman" w:cs="Times New Roman"/>
          <w:sz w:val="24"/>
          <w:szCs w:val="24"/>
          <w:lang w:val="en-GB" w:eastAsia="en-GB"/>
        </w:rPr>
        <w:t xml:space="preserve">sheds new light on </w:t>
      </w:r>
      <w:r w:rsidR="006744E4" w:rsidRPr="00E915AA">
        <w:rPr>
          <w:rFonts w:ascii="Times New Roman" w:eastAsia="Times New Roman" w:hAnsi="Times New Roman" w:cs="Times New Roman"/>
          <w:sz w:val="24"/>
          <w:szCs w:val="24"/>
          <w:lang w:val="en-GB" w:eastAsia="en-GB"/>
        </w:rPr>
        <w:t xml:space="preserve">sensitivity of SEC reviews to earnings management concern, </w:t>
      </w:r>
      <w:r w:rsidR="00F91646" w:rsidRPr="00E915AA">
        <w:rPr>
          <w:rFonts w:ascii="Times New Roman" w:eastAsia="Times New Roman" w:hAnsi="Times New Roman" w:cs="Times New Roman"/>
          <w:sz w:val="24"/>
          <w:szCs w:val="24"/>
          <w:lang w:val="en-GB" w:eastAsia="en-GB"/>
        </w:rPr>
        <w:t>identifying some areas for further scrutiny.</w:t>
      </w:r>
    </w:p>
    <w:p w14:paraId="415DCD62" w14:textId="77777777" w:rsidR="002C6719" w:rsidRPr="00E915AA" w:rsidRDefault="002C6719" w:rsidP="00C93AF0">
      <w:pPr>
        <w:spacing w:after="0" w:line="240" w:lineRule="auto"/>
        <w:jc w:val="both"/>
        <w:rPr>
          <w:rFonts w:ascii="Times New Roman" w:eastAsia="Times New Roman" w:hAnsi="Times New Roman" w:cs="Times New Roman"/>
          <w:i/>
          <w:iCs/>
          <w:sz w:val="24"/>
          <w:szCs w:val="24"/>
          <w:lang w:val="en-GB" w:eastAsia="en-GB"/>
        </w:rPr>
      </w:pPr>
    </w:p>
    <w:p w14:paraId="469D0E21" w14:textId="77777777" w:rsidR="002C6719" w:rsidRPr="00E915AA" w:rsidRDefault="002C6719" w:rsidP="00C93AF0">
      <w:pPr>
        <w:spacing w:after="0" w:line="240" w:lineRule="auto"/>
        <w:jc w:val="both"/>
        <w:rPr>
          <w:rFonts w:ascii="Times New Roman" w:eastAsia="Calibri" w:hAnsi="Times New Roman" w:cs="Times New Roman"/>
          <w:sz w:val="24"/>
          <w:szCs w:val="24"/>
          <w:lang w:val="en-GB" w:eastAsia="en-GB"/>
        </w:rPr>
      </w:pPr>
      <w:r w:rsidRPr="00E915AA">
        <w:rPr>
          <w:rFonts w:ascii="Times New Roman" w:eastAsia="Times New Roman" w:hAnsi="Times New Roman" w:cs="Times New Roman"/>
          <w:i/>
          <w:iCs/>
          <w:sz w:val="24"/>
          <w:szCs w:val="24"/>
          <w:lang w:val="en-GB" w:eastAsia="en-GB"/>
        </w:rPr>
        <w:t xml:space="preserve">JEL classification: </w:t>
      </w:r>
      <w:r w:rsidRPr="00E915AA">
        <w:rPr>
          <w:rFonts w:ascii="Times New Roman" w:eastAsia="Times New Roman" w:hAnsi="Times New Roman" w:cs="Times New Roman"/>
          <w:sz w:val="24"/>
          <w:szCs w:val="24"/>
          <w:lang w:val="en-GB" w:eastAsia="en-GB"/>
        </w:rPr>
        <w:t>G24, G38, K22, M40, M41</w:t>
      </w:r>
    </w:p>
    <w:p w14:paraId="1233E68D" w14:textId="77777777" w:rsidR="002C6719" w:rsidRPr="00E915AA" w:rsidRDefault="002C6719" w:rsidP="00C93AF0">
      <w:pPr>
        <w:spacing w:after="0" w:line="281" w:lineRule="exact"/>
        <w:jc w:val="both"/>
        <w:rPr>
          <w:rFonts w:ascii="Times New Roman" w:eastAsia="Calibri" w:hAnsi="Times New Roman" w:cs="Times New Roman"/>
          <w:sz w:val="24"/>
          <w:szCs w:val="24"/>
          <w:lang w:val="en-GB" w:eastAsia="en-GB"/>
        </w:rPr>
      </w:pPr>
    </w:p>
    <w:p w14:paraId="6C206B8A" w14:textId="77777777" w:rsidR="002C6719" w:rsidRPr="00E915AA" w:rsidRDefault="002C6719" w:rsidP="00C93AF0">
      <w:pPr>
        <w:spacing w:after="0" w:line="240" w:lineRule="auto"/>
        <w:jc w:val="both"/>
        <w:rPr>
          <w:rFonts w:ascii="Times New Roman" w:eastAsia="Times New Roman" w:hAnsi="Times New Roman" w:cs="Times New Roman"/>
          <w:sz w:val="24"/>
          <w:szCs w:val="24"/>
          <w:lang w:val="en-GB" w:eastAsia="en-GB"/>
        </w:rPr>
        <w:sectPr w:rsidR="002C6719" w:rsidRPr="00E915AA" w:rsidSect="0073176B">
          <w:footerReference w:type="default" r:id="rId11"/>
          <w:pgSz w:w="11906" w:h="16838"/>
          <w:pgMar w:top="1440" w:right="1440" w:bottom="1440" w:left="1440" w:header="708" w:footer="708" w:gutter="0"/>
          <w:cols w:space="708"/>
          <w:docGrid w:linePitch="360"/>
        </w:sectPr>
      </w:pPr>
      <w:r w:rsidRPr="00E915AA">
        <w:rPr>
          <w:rFonts w:ascii="Times New Roman" w:eastAsia="Times New Roman" w:hAnsi="Times New Roman" w:cs="Times New Roman"/>
          <w:i/>
          <w:iCs/>
          <w:sz w:val="24"/>
          <w:szCs w:val="24"/>
          <w:lang w:val="en-GB" w:eastAsia="en-GB"/>
        </w:rPr>
        <w:t xml:space="preserve">Keywords: </w:t>
      </w:r>
      <w:r w:rsidRPr="00E915AA">
        <w:rPr>
          <w:rFonts w:ascii="Times New Roman" w:eastAsia="Times New Roman" w:hAnsi="Times New Roman" w:cs="Times New Roman"/>
          <w:sz w:val="24"/>
          <w:szCs w:val="24"/>
          <w:lang w:val="en-GB" w:eastAsia="en-GB"/>
        </w:rPr>
        <w:t>Initial Public Offerings; SEC reviews; Earnings management; S-1 filings</w:t>
      </w:r>
    </w:p>
    <w:p w14:paraId="32CA6F71" w14:textId="77777777" w:rsidR="002C6719" w:rsidRPr="00E915AA" w:rsidRDefault="002C6719" w:rsidP="006F305B">
      <w:pPr>
        <w:pStyle w:val="ListParagraph"/>
        <w:numPr>
          <w:ilvl w:val="0"/>
          <w:numId w:val="41"/>
        </w:numPr>
        <w:spacing w:before="240" w:after="240" w:line="360" w:lineRule="auto"/>
        <w:ind w:left="360"/>
        <w:jc w:val="both"/>
        <w:outlineLvl w:val="0"/>
        <w:rPr>
          <w:rFonts w:ascii="Times New Roman" w:eastAsia="Calibri" w:hAnsi="Times New Roman" w:cs="Times New Roman"/>
          <w:b/>
          <w:sz w:val="24"/>
          <w:szCs w:val="24"/>
          <w:lang w:val="en-GB" w:eastAsia="en-GB"/>
        </w:rPr>
      </w:pPr>
      <w:bookmarkStart w:id="1" w:name="_Toc43219810"/>
      <w:bookmarkStart w:id="2" w:name="_Ref43239962"/>
      <w:bookmarkStart w:id="3" w:name="_Toc69749291"/>
      <w:bookmarkEnd w:id="0"/>
      <w:r w:rsidRPr="00E915AA">
        <w:rPr>
          <w:rFonts w:ascii="Times New Roman" w:eastAsia="Calibri" w:hAnsi="Times New Roman" w:cs="Times New Roman"/>
          <w:b/>
          <w:sz w:val="24"/>
          <w:szCs w:val="24"/>
          <w:lang w:val="en-GB" w:eastAsia="en-GB"/>
        </w:rPr>
        <w:lastRenderedPageBreak/>
        <w:t>Introduction</w:t>
      </w:r>
      <w:bookmarkEnd w:id="1"/>
      <w:bookmarkEnd w:id="2"/>
      <w:bookmarkEnd w:id="3"/>
    </w:p>
    <w:p w14:paraId="1B220185" w14:textId="787F37F1" w:rsidR="002C6719" w:rsidRPr="00E915AA" w:rsidRDefault="002C6719" w:rsidP="002C6719">
      <w:pPr>
        <w:spacing w:before="240" w:after="240" w:line="360" w:lineRule="auto"/>
        <w:jc w:val="both"/>
        <w:rPr>
          <w:rFonts w:ascii="Times New Roman" w:eastAsia="Calibri" w:hAnsi="Times New Roman" w:cs="Times New Roman"/>
          <w:bCs/>
          <w:sz w:val="24"/>
          <w:szCs w:val="24"/>
          <w:lang w:val="en-GB" w:eastAsia="en-GB"/>
        </w:rPr>
      </w:pPr>
      <w:r w:rsidRPr="00E915AA">
        <w:rPr>
          <w:rFonts w:ascii="Times New Roman" w:eastAsia="Calibri" w:hAnsi="Times New Roman" w:cs="Times New Roman"/>
          <w:bCs/>
          <w:sz w:val="24"/>
          <w:szCs w:val="24"/>
          <w:lang w:val="en-GB" w:eastAsia="en-GB"/>
        </w:rPr>
        <w:t xml:space="preserve">Earnings are one of the key </w:t>
      </w:r>
      <w:r w:rsidR="004449D0" w:rsidRPr="00E915AA">
        <w:rPr>
          <w:rFonts w:ascii="Times New Roman" w:eastAsia="Calibri" w:hAnsi="Times New Roman" w:cs="Times New Roman"/>
          <w:bCs/>
          <w:sz w:val="24"/>
          <w:szCs w:val="24"/>
          <w:lang w:val="en-GB" w:eastAsia="en-GB"/>
        </w:rPr>
        <w:t>pieces of information</w:t>
      </w:r>
      <w:r w:rsidRPr="00E915AA">
        <w:rPr>
          <w:rFonts w:ascii="Times New Roman" w:eastAsia="Calibri" w:hAnsi="Times New Roman" w:cs="Times New Roman"/>
          <w:bCs/>
          <w:sz w:val="24"/>
          <w:szCs w:val="24"/>
          <w:lang w:val="en-GB" w:eastAsia="en-GB"/>
        </w:rPr>
        <w:t xml:space="preserve"> on which investors base their evaluations of the performance </w:t>
      </w:r>
      <w:r w:rsidR="00C705FC" w:rsidRPr="00E915AA">
        <w:rPr>
          <w:rFonts w:ascii="Times New Roman" w:eastAsia="Calibri" w:hAnsi="Times New Roman" w:cs="Times New Roman"/>
          <w:bCs/>
          <w:sz w:val="24"/>
          <w:szCs w:val="24"/>
          <w:lang w:val="en-GB" w:eastAsia="en-GB"/>
        </w:rPr>
        <w:t xml:space="preserve">and prospects </w:t>
      </w:r>
      <w:r w:rsidRPr="00E915AA">
        <w:rPr>
          <w:rFonts w:ascii="Times New Roman" w:eastAsia="Calibri" w:hAnsi="Times New Roman" w:cs="Times New Roman"/>
          <w:bCs/>
          <w:sz w:val="24"/>
          <w:szCs w:val="24"/>
          <w:lang w:val="en-GB" w:eastAsia="en-GB"/>
        </w:rPr>
        <w:t>of firms going</w:t>
      </w:r>
      <w:r w:rsidR="00DC044F" w:rsidRPr="00E915AA">
        <w:rPr>
          <w:rFonts w:ascii="Times New Roman" w:eastAsia="Calibri" w:hAnsi="Times New Roman" w:cs="Times New Roman"/>
          <w:bCs/>
          <w:sz w:val="24"/>
          <w:szCs w:val="24"/>
          <w:lang w:val="en-GB" w:eastAsia="en-GB"/>
        </w:rPr>
        <w:t xml:space="preserve"> </w:t>
      </w:r>
      <w:r w:rsidRPr="00E915AA">
        <w:rPr>
          <w:rFonts w:ascii="Times New Roman" w:eastAsia="Calibri" w:hAnsi="Times New Roman" w:cs="Times New Roman"/>
          <w:bCs/>
          <w:sz w:val="24"/>
          <w:szCs w:val="24"/>
          <w:lang w:val="en-GB" w:eastAsia="en-GB"/>
        </w:rPr>
        <w:t>public. Consequently, corporate managers are incentivised to manage earnings to obtain a high offering price. Around an IPO, managers commonly have strong incentives to undertake earnings management because (1) IPO markets are characterised by high information asymmetry between the IPO firms and market participants (e.g.</w:t>
      </w:r>
      <w:r w:rsidR="00DC044F"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sz w:val="24"/>
          <w:szCs w:val="24"/>
          <w:lang w:val="en-GB" w:eastAsia="en-GB"/>
        </w:rPr>
        <w:t xml:space="preserve"> investors, regulators), and (2) reporting favourable earnings numbers would increase the probability of </w:t>
      </w:r>
      <w:r w:rsidR="00C705FC" w:rsidRPr="00E915AA">
        <w:rPr>
          <w:rFonts w:ascii="Times New Roman" w:eastAsia="Calibri" w:hAnsi="Times New Roman" w:cs="Times New Roman"/>
          <w:bCs/>
          <w:sz w:val="24"/>
          <w:szCs w:val="24"/>
          <w:lang w:val="en-GB" w:eastAsia="en-GB"/>
        </w:rPr>
        <w:t xml:space="preserve">successful IPO </w:t>
      </w:r>
      <w:r w:rsidRPr="00E915AA">
        <w:rPr>
          <w:rFonts w:ascii="Times New Roman" w:eastAsia="Calibri" w:hAnsi="Times New Roman" w:cs="Times New Roman"/>
          <w:bCs/>
          <w:sz w:val="24"/>
          <w:szCs w:val="24"/>
          <w:lang w:val="en-GB" w:eastAsia="en-GB"/>
        </w:rPr>
        <w:t>completi</w:t>
      </w:r>
      <w:r w:rsidR="00C705FC" w:rsidRPr="00E915AA">
        <w:rPr>
          <w:rFonts w:ascii="Times New Roman" w:eastAsia="Calibri" w:hAnsi="Times New Roman" w:cs="Times New Roman"/>
          <w:bCs/>
          <w:sz w:val="24"/>
          <w:szCs w:val="24"/>
          <w:lang w:val="en-GB" w:eastAsia="en-GB"/>
        </w:rPr>
        <w:t>on.</w:t>
      </w:r>
      <w:r w:rsidRPr="00E915AA">
        <w:rPr>
          <w:rFonts w:ascii="Times New Roman" w:eastAsia="Calibri" w:hAnsi="Times New Roman" w:cs="Times New Roman"/>
          <w:bCs/>
          <w:sz w:val="24"/>
          <w:szCs w:val="24"/>
          <w:lang w:val="en-GB" w:eastAsia="en-GB"/>
        </w:rPr>
        <w:t xml:space="preserve"> </w:t>
      </w:r>
      <w:r w:rsidR="00C705FC" w:rsidRPr="00E915AA">
        <w:rPr>
          <w:rFonts w:ascii="Times New Roman" w:eastAsia="Calibri" w:hAnsi="Times New Roman" w:cs="Times New Roman"/>
          <w:bCs/>
          <w:sz w:val="24"/>
          <w:szCs w:val="24"/>
          <w:lang w:val="en-GB" w:eastAsia="en-GB"/>
        </w:rPr>
        <w:t>A</w:t>
      </w:r>
      <w:r w:rsidRPr="00E915AA">
        <w:rPr>
          <w:rFonts w:ascii="Times New Roman" w:eastAsia="Calibri" w:hAnsi="Times New Roman" w:cs="Times New Roman"/>
          <w:bCs/>
          <w:sz w:val="24"/>
          <w:szCs w:val="24"/>
          <w:lang w:val="en-GB" w:eastAsia="en-GB"/>
        </w:rPr>
        <w:t xml:space="preserve"> successful IPO creates</w:t>
      </w:r>
      <w:r w:rsidRPr="00E915AA">
        <w:rPr>
          <w:rFonts w:ascii="Times New Roman" w:eastAsia="Calibri" w:hAnsi="Times New Roman" w:cs="Times New Roman"/>
          <w:sz w:val="24"/>
          <w:szCs w:val="24"/>
          <w:lang w:val="en-GB" w:eastAsia="en-GB"/>
        </w:rPr>
        <w:t xml:space="preserve"> valuable capital resources for business expansion as well as repayment of outstanding debt (</w:t>
      </w:r>
      <w:proofErr w:type="spellStart"/>
      <w:r w:rsidRPr="00E915AA">
        <w:rPr>
          <w:rFonts w:ascii="Times New Roman" w:eastAsia="Calibri" w:hAnsi="Times New Roman" w:cs="Times New Roman"/>
          <w:sz w:val="24"/>
          <w:szCs w:val="24"/>
          <w:lang w:val="en-GB" w:eastAsia="en-GB"/>
        </w:rPr>
        <w:t>Alhadab</w:t>
      </w:r>
      <w:proofErr w:type="spellEnd"/>
      <w:r w:rsidRPr="00E915AA">
        <w:rPr>
          <w:rFonts w:ascii="Times New Roman" w:eastAsia="Calibri" w:hAnsi="Times New Roman" w:cs="Times New Roman"/>
          <w:sz w:val="24"/>
          <w:szCs w:val="24"/>
          <w:lang w:val="en-GB" w:eastAsia="en-GB"/>
        </w:rPr>
        <w:t xml:space="preserve"> et al., 2015; Ducharme et al., 2001; </w:t>
      </w:r>
      <w:proofErr w:type="spellStart"/>
      <w:r w:rsidRPr="00E915AA">
        <w:rPr>
          <w:rFonts w:ascii="Times New Roman" w:eastAsia="Calibri" w:hAnsi="Times New Roman" w:cs="Times New Roman"/>
          <w:sz w:val="24"/>
          <w:szCs w:val="24"/>
          <w:lang w:val="en-GB" w:eastAsia="en-GB"/>
        </w:rPr>
        <w:t>Gounopoulos</w:t>
      </w:r>
      <w:proofErr w:type="spellEnd"/>
      <w:r w:rsidRPr="00E915AA">
        <w:rPr>
          <w:rFonts w:ascii="Times New Roman" w:eastAsia="Calibri" w:hAnsi="Times New Roman" w:cs="Times New Roman"/>
          <w:sz w:val="24"/>
          <w:szCs w:val="24"/>
          <w:lang w:val="en-GB" w:eastAsia="en-GB"/>
        </w:rPr>
        <w:t xml:space="preserve"> and Pham, 2018;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{"citationItems":[{"id":"ITEM-1","itemData":{"ISBN":"1540-6261","ISSN":"00221082","PMID":"1311802","abstract":"Issuers of initial public offerings (IPOs) can report earnings in excess of cash flows by taking positive accruals. This paper provides evidence that issuers with unusu- ally high accruals in the IPO year experience poor stock return performance in the three years thereafter. IPO issuers in the most “aggressive” quartile of earnings managers have a three-year aftermarket stock return of approximately 20 percent less than IPO issuers in the most “conservative” quartile. They also issue about 20 percent fewer seasoned equity offerings. These differences are statistically and economically significant in a variety of specifications.","author":[{"dropping-particle":"","family":"Teoh","given":"Siew Hong","non-dropping-particle":"","parse-names":false,"suffix":""},{"dropping-particle":"","family":"Welch","given":"Ivo","non-dropping-particle":"","parse-names":false,"suffix":""},{"dropping-particle":"","family":"Wong","given":"T.J.","non-dropping-particle":"","parse-names":false,"suffix":""}],"container-title":"The Journal of Finance","id":"ITEM-1","issue":"6","issued":{"date-parts":[["1998"]]},"note":"4*","page":"1935-1974","title":"Earnings management and the long-run market performance of Initial Public Offerings","type":"article-journal","volume":"53"},"uris":["http://www.mendeley.com/documents/?uuid=df119c60-80fa-4e3c-9236-cb84a3060fd4"]}],"mendeley":{"formattedCitation":"(Siew Hong Teoh et al., 1998b)","manualFormatting":"Teoh et al.,1998b, Teoh and Wong, 2002)","plainTextFormattedCitation":"(Siew Hong Teoh et al., 1998b)","previouslyFormattedCitation":"(Siew Hong Teoh et al., 1998b)"},"properties":{"noteIndex":0},"schema":"https://github.com/citation-style-language/schema/raw/master/csl-citation.json"}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Teoh et al.,1998b, Teoh and Wong, 2002)</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bCs/>
          <w:sz w:val="24"/>
          <w:szCs w:val="24"/>
          <w:lang w:val="en-GB" w:eastAsia="en-GB"/>
        </w:rPr>
        <w:t xml:space="preserve"> </w:t>
      </w:r>
      <w:r w:rsidR="007D10DC" w:rsidRPr="00E915AA">
        <w:rPr>
          <w:rFonts w:ascii="Times New Roman" w:eastAsia="Calibri" w:hAnsi="Times New Roman" w:cs="Times New Roman"/>
          <w:bCs/>
          <w:sz w:val="24"/>
          <w:szCs w:val="24"/>
          <w:lang w:val="en-GB" w:eastAsia="en-GB"/>
        </w:rPr>
        <w:t>Our</w:t>
      </w:r>
      <w:r w:rsidRPr="00E915AA">
        <w:rPr>
          <w:rFonts w:ascii="Times New Roman" w:eastAsia="Calibri" w:hAnsi="Times New Roman" w:cs="Times New Roman"/>
          <w:bCs/>
          <w:sz w:val="24"/>
          <w:szCs w:val="24"/>
          <w:lang w:val="en-GB" w:eastAsia="en-GB"/>
        </w:rPr>
        <w:t xml:space="preserve"> study aims to investigate association</w:t>
      </w:r>
      <w:r w:rsidR="00444073" w:rsidRPr="00E915AA">
        <w:rPr>
          <w:rFonts w:ascii="Times New Roman" w:eastAsia="Calibri" w:hAnsi="Times New Roman" w:cs="Times New Roman"/>
          <w:bCs/>
          <w:sz w:val="24"/>
          <w:szCs w:val="24"/>
          <w:lang w:val="en-GB" w:eastAsia="en-GB"/>
        </w:rPr>
        <w:t>s</w:t>
      </w:r>
      <w:r w:rsidRPr="00E915AA">
        <w:rPr>
          <w:rFonts w:ascii="Times New Roman" w:eastAsia="Calibri" w:hAnsi="Times New Roman" w:cs="Times New Roman"/>
          <w:bCs/>
          <w:sz w:val="24"/>
          <w:szCs w:val="24"/>
          <w:lang w:val="en-GB" w:eastAsia="en-GB"/>
        </w:rPr>
        <w:t xml:space="preserve"> between the </w:t>
      </w:r>
      <w:r w:rsidR="00444073" w:rsidRPr="00E915AA">
        <w:rPr>
          <w:rFonts w:ascii="Times New Roman" w:eastAsia="Calibri" w:hAnsi="Times New Roman" w:cs="Times New Roman"/>
          <w:bCs/>
          <w:sz w:val="24"/>
          <w:szCs w:val="24"/>
          <w:lang w:val="en-GB" w:eastAsia="en-GB"/>
        </w:rPr>
        <w:t xml:space="preserve">degree of earnings management exhibited in IPO registration statements and </w:t>
      </w:r>
      <w:r w:rsidR="00DC044F" w:rsidRPr="00E915AA">
        <w:rPr>
          <w:rFonts w:ascii="Times New Roman" w:eastAsia="Calibri" w:hAnsi="Times New Roman" w:cs="Times New Roman"/>
          <w:bCs/>
          <w:sz w:val="24"/>
          <w:szCs w:val="24"/>
          <w:lang w:val="en-GB" w:eastAsia="en-GB"/>
        </w:rPr>
        <w:t xml:space="preserve">the </w:t>
      </w:r>
      <w:r w:rsidRPr="00E915AA">
        <w:rPr>
          <w:rFonts w:ascii="Times New Roman" w:eastAsia="Calibri" w:hAnsi="Times New Roman" w:cs="Times New Roman"/>
          <w:bCs/>
          <w:sz w:val="24"/>
          <w:szCs w:val="24"/>
          <w:lang w:val="en-GB" w:eastAsia="en-GB"/>
        </w:rPr>
        <w:t>extensiveness of SEC reviews</w:t>
      </w:r>
      <w:r w:rsidRPr="00E915AA">
        <w:rPr>
          <w:rFonts w:ascii="Times New Roman" w:eastAsia="Calibri" w:hAnsi="Times New Roman" w:cs="Times New Roman"/>
          <w:sz w:val="16"/>
          <w:szCs w:val="16"/>
          <w:lang w:val="en-GB" w:eastAsia="en-GB"/>
        </w:rPr>
        <w:t xml:space="preserve">. </w:t>
      </w:r>
      <w:r w:rsidRPr="00E915AA">
        <w:rPr>
          <w:rFonts w:ascii="Times New Roman" w:eastAsia="Calibri" w:hAnsi="Times New Roman" w:cs="Times New Roman"/>
          <w:sz w:val="24"/>
          <w:szCs w:val="24"/>
          <w:lang w:val="en-GB" w:eastAsia="en-GB"/>
        </w:rPr>
        <w:t xml:space="preserve">As consistency is one of the main principles of regulatory effectiveness, this association </w:t>
      </w:r>
      <w:r w:rsidR="00444073" w:rsidRPr="00E915AA">
        <w:rPr>
          <w:rFonts w:ascii="Times New Roman" w:eastAsia="Calibri" w:hAnsi="Times New Roman" w:cs="Times New Roman"/>
          <w:sz w:val="24"/>
          <w:szCs w:val="24"/>
          <w:lang w:val="en-GB" w:eastAsia="en-GB"/>
        </w:rPr>
        <w:t>should</w:t>
      </w:r>
      <w:r w:rsidRPr="00E915AA">
        <w:rPr>
          <w:rFonts w:ascii="Times New Roman" w:eastAsia="Calibri" w:hAnsi="Times New Roman" w:cs="Times New Roman"/>
          <w:sz w:val="24"/>
          <w:szCs w:val="24"/>
          <w:lang w:val="en-GB" w:eastAsia="en-GB"/>
        </w:rPr>
        <w:t xml:space="preserve"> reflect the effectiveness of SEC reviews in addressing </w:t>
      </w:r>
      <w:r w:rsidR="00444073" w:rsidRPr="00E915AA">
        <w:rPr>
          <w:rFonts w:ascii="Times New Roman" w:eastAsia="Calibri" w:hAnsi="Times New Roman" w:cs="Times New Roman"/>
          <w:sz w:val="24"/>
          <w:szCs w:val="24"/>
          <w:lang w:val="en-GB" w:eastAsia="en-GB"/>
        </w:rPr>
        <w:t>opportunistic reporting by IPO issuers</w:t>
      </w:r>
      <w:r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vertAlign w:val="superscript"/>
          <w:lang w:val="en-GB" w:eastAsia="en-GB"/>
        </w:rPr>
        <w:footnoteReference w:id="1"/>
      </w:r>
    </w:p>
    <w:p w14:paraId="02A0F907" w14:textId="1CBCF7A9" w:rsidR="002C6719" w:rsidRPr="00E915AA" w:rsidRDefault="002C6719" w:rsidP="002C6719">
      <w:pPr>
        <w:spacing w:before="240" w:after="240" w:line="360" w:lineRule="auto"/>
        <w:jc w:val="both"/>
        <w:rPr>
          <w:rFonts w:ascii="Times New Roman" w:eastAsia="Calibri" w:hAnsi="Times New Roman" w:cs="Times New Roman"/>
          <w:bCs/>
          <w:sz w:val="24"/>
          <w:szCs w:val="24"/>
          <w:lang w:val="en-GB" w:eastAsia="en-GB"/>
        </w:rPr>
      </w:pPr>
      <w:r w:rsidRPr="00E915AA">
        <w:rPr>
          <w:rFonts w:ascii="Times New Roman" w:eastAsia="Calibri" w:hAnsi="Times New Roman" w:cs="Times New Roman"/>
          <w:bCs/>
          <w:sz w:val="24"/>
          <w:szCs w:val="24"/>
          <w:lang w:val="en-GB" w:eastAsia="en-GB"/>
        </w:rPr>
        <w:t>The Securities and Exchange Commission (SEC) have long raised concern that erosion in the quality of financial reporting as a result of aggressive earnings management practices may have harmful impact</w:t>
      </w:r>
      <w:r w:rsidR="004860BD" w:rsidRPr="00E915AA">
        <w:rPr>
          <w:rFonts w:ascii="Times New Roman" w:eastAsia="Calibri" w:hAnsi="Times New Roman" w:cs="Times New Roman"/>
          <w:bCs/>
          <w:sz w:val="24"/>
          <w:szCs w:val="24"/>
          <w:lang w:val="en-GB" w:eastAsia="en-GB"/>
        </w:rPr>
        <w:t>s</w:t>
      </w:r>
      <w:r w:rsidRPr="00E915AA">
        <w:rPr>
          <w:rFonts w:ascii="Times New Roman" w:eastAsia="Calibri" w:hAnsi="Times New Roman" w:cs="Times New Roman"/>
          <w:bCs/>
          <w:sz w:val="24"/>
          <w:szCs w:val="24"/>
          <w:lang w:val="en-GB" w:eastAsia="en-GB"/>
        </w:rPr>
        <w:t xml:space="preserve"> on investors’ decisions, such as obscuring “the true consequences of management's decisions” </w:t>
      </w:r>
      <w:r w:rsidRPr="00E915AA">
        <w:rPr>
          <w:rFonts w:ascii="Times New Roman" w:eastAsia="Calibri" w:hAnsi="Times New Roman" w:cs="Times New Roman"/>
          <w:bCs/>
          <w:sz w:val="24"/>
          <w:szCs w:val="24"/>
          <w:lang w:val="en-GB" w:eastAsia="en-GB"/>
        </w:rPr>
        <w:fldChar w:fldCharType="begin" w:fldLock="1"/>
      </w:r>
      <w:r w:rsidRPr="00E915AA">
        <w:rPr>
          <w:rFonts w:ascii="Times New Roman" w:eastAsia="Calibri" w:hAnsi="Times New Roman" w:cs="Times New Roman"/>
          <w:bCs/>
          <w:sz w:val="24"/>
          <w:szCs w:val="24"/>
          <w:lang w:val="en-GB" w:eastAsia="en-GB"/>
        </w:rPr>
        <w:instrText>ADDIN CSL_CITATION {"citationItems":[{"id":"ITEM-1","itemData":{"URL":"http://www.sec.gov/news/speech/speecharchive/1998/spch220.txt.","accessed":{"date-parts":[["2020","3","1"]]},"author":[{"dropping-particle":"","family":"Levitt","given":"A.","non-dropping-particle":"","parse-names":false,"suffix":""}],"container-title":"Speech delivered at the NYU Center for Law and Business, New York, NY, September 28, 1998","id":"ITEM-1","issued":{"date-parts":[["1998"]]},"title":"The numbers game","type":"webpage"},"uris":["http://www.mendeley.com/documents/?uuid=725ed307-c98c-443e-bf31-ead99624c7a2"]}],"mendeley":{"formattedCitation":"(Levitt, 1998)","plainTextFormattedCitation":"(Levitt, 1998)","previouslyFormattedCitation":"(Levitt, 1998)"},"properties":{"noteIndex":0},"schema":"https://github.com/citation-style-language/schema/raw/master/csl-citation.json"}</w:instrText>
      </w:r>
      <w:r w:rsidRPr="00E915AA">
        <w:rPr>
          <w:rFonts w:ascii="Times New Roman" w:eastAsia="Calibri" w:hAnsi="Times New Roman" w:cs="Times New Roman"/>
          <w:bCs/>
          <w:sz w:val="24"/>
          <w:szCs w:val="24"/>
          <w:lang w:val="en-GB" w:eastAsia="en-GB"/>
        </w:rPr>
        <w:fldChar w:fldCharType="separate"/>
      </w:r>
      <w:r w:rsidRPr="00E915AA">
        <w:rPr>
          <w:rFonts w:ascii="Times New Roman" w:eastAsia="Calibri" w:hAnsi="Times New Roman" w:cs="Times New Roman"/>
          <w:bCs/>
          <w:noProof/>
          <w:sz w:val="24"/>
          <w:szCs w:val="24"/>
          <w:lang w:val="en-GB" w:eastAsia="en-GB"/>
        </w:rPr>
        <w:t>(Levitt, 1998)</w:t>
      </w:r>
      <w:r w:rsidRPr="00E915AA">
        <w:rPr>
          <w:rFonts w:ascii="Times New Roman" w:eastAsia="Calibri" w:hAnsi="Times New Roman" w:cs="Times New Roman"/>
          <w:bCs/>
          <w:sz w:val="24"/>
          <w:szCs w:val="24"/>
          <w:lang w:val="en-GB" w:eastAsia="en-GB"/>
        </w:rPr>
        <w:fldChar w:fldCharType="end"/>
      </w:r>
      <w:r w:rsidRPr="00E915AA">
        <w:rPr>
          <w:rFonts w:ascii="Times New Roman" w:eastAsia="Calibri" w:hAnsi="Times New Roman" w:cs="Times New Roman"/>
          <w:bCs/>
          <w:sz w:val="24"/>
          <w:szCs w:val="24"/>
          <w:lang w:val="en-GB" w:eastAsia="en-GB"/>
        </w:rPr>
        <w:t xml:space="preserve">. For this reason, the Division of Risk, Strategy, and Financial Innovation </w:t>
      </w:r>
      <w:r w:rsidR="004860BD" w:rsidRPr="00E915AA">
        <w:rPr>
          <w:rFonts w:ascii="Times New Roman" w:eastAsia="Calibri" w:hAnsi="Times New Roman" w:cs="Times New Roman"/>
          <w:bCs/>
          <w:sz w:val="24"/>
          <w:szCs w:val="24"/>
          <w:lang w:val="en-GB" w:eastAsia="en-GB"/>
        </w:rPr>
        <w:t>adopted</w:t>
      </w:r>
      <w:r w:rsidRPr="00E915AA">
        <w:rPr>
          <w:rFonts w:ascii="Times New Roman" w:eastAsia="Calibri" w:hAnsi="Times New Roman" w:cs="Times New Roman"/>
          <w:bCs/>
          <w:sz w:val="24"/>
          <w:szCs w:val="24"/>
          <w:lang w:val="en-GB" w:eastAsia="en-GB"/>
        </w:rPr>
        <w:t xml:space="preserve"> a set of quantitative analytics to identify poor accounting quality, consisting of direct indicators of earnings management and factors that predict engagement in earnings management </w:t>
      </w:r>
      <w:r w:rsidRPr="00E915AA">
        <w:rPr>
          <w:rFonts w:ascii="Times New Roman" w:eastAsia="Calibri" w:hAnsi="Times New Roman" w:cs="Times New Roman"/>
          <w:bCs/>
          <w:sz w:val="24"/>
          <w:szCs w:val="24"/>
          <w:lang w:val="en-GB" w:eastAsia="en-GB"/>
        </w:rPr>
        <w:fldChar w:fldCharType="begin" w:fldLock="1"/>
      </w:r>
      <w:r w:rsidRPr="00E915AA">
        <w:rPr>
          <w:rFonts w:ascii="Times New Roman" w:eastAsia="Calibri" w:hAnsi="Times New Roman" w:cs="Times New Roman"/>
          <w:bCs/>
          <w:sz w:val="24"/>
          <w:szCs w:val="24"/>
          <w:lang w:val="en-GB" w:eastAsia="en-GB"/>
        </w:rPr>
        <w:instrText>ADDIN CSL_CITATION {"citationItems":[{"id":"ITEM-1","itemData":{"URL":"https://www.sec.gov/news/speech/2012-spch121312cmlhtm","author":[{"dropping-particle":"","family":"Lewis","given":"C.","non-dropping-particle":"","parse-names":false,"suffix":""}],"container-title":"Speech delivered at the Financial Executives International Committee on Finance and Information Technology","id":"ITEM-1","issued":{"date-parts":[["2012"]]},"title":"Risk modeling at the SEC: The accounting quality model","type":"webpage"},"uris":["http://www.mendeley.com/documents/?uuid=6414b132-3444-4ed1-b169-22eb60f05140"]}],"mendeley":{"formattedCitation":"(Lewis, 2012)","plainTextFormattedCitation":"(Lewis, 2012)","previouslyFormattedCitation":"(Lewis, 2012)"},"properties":{"noteIndex":0},"schema":"https://github.com/citation-style-language/schema/raw/master/csl-citation.json"}</w:instrText>
      </w:r>
      <w:r w:rsidRPr="00E915AA">
        <w:rPr>
          <w:rFonts w:ascii="Times New Roman" w:eastAsia="Calibri" w:hAnsi="Times New Roman" w:cs="Times New Roman"/>
          <w:bCs/>
          <w:sz w:val="24"/>
          <w:szCs w:val="24"/>
          <w:lang w:val="en-GB" w:eastAsia="en-GB"/>
        </w:rPr>
        <w:fldChar w:fldCharType="separate"/>
      </w:r>
      <w:r w:rsidRPr="00E915AA">
        <w:rPr>
          <w:rFonts w:ascii="Times New Roman" w:eastAsia="Calibri" w:hAnsi="Times New Roman" w:cs="Times New Roman"/>
          <w:bCs/>
          <w:noProof/>
          <w:sz w:val="24"/>
          <w:szCs w:val="24"/>
          <w:lang w:val="en-GB" w:eastAsia="en-GB"/>
        </w:rPr>
        <w:t>(Lewis, 2012)</w:t>
      </w:r>
      <w:r w:rsidRPr="00E915AA">
        <w:rPr>
          <w:rFonts w:ascii="Times New Roman" w:eastAsia="Calibri" w:hAnsi="Times New Roman" w:cs="Times New Roman"/>
          <w:bCs/>
          <w:sz w:val="24"/>
          <w:szCs w:val="24"/>
          <w:lang w:val="en-GB" w:eastAsia="en-GB"/>
        </w:rPr>
        <w:fldChar w:fldCharType="end"/>
      </w:r>
      <w:r w:rsidRPr="00E915AA">
        <w:rPr>
          <w:rFonts w:ascii="Times New Roman" w:eastAsia="Calibri" w:hAnsi="Times New Roman" w:cs="Times New Roman"/>
          <w:bCs/>
          <w:sz w:val="24"/>
          <w:szCs w:val="24"/>
          <w:lang w:val="en-GB" w:eastAsia="en-GB"/>
        </w:rPr>
        <w:t xml:space="preserve">. </w:t>
      </w:r>
    </w:p>
    <w:p w14:paraId="747E2D60" w14:textId="423C2528" w:rsidR="002C6719" w:rsidRPr="00E915AA" w:rsidRDefault="002C6719" w:rsidP="002C6719">
      <w:pPr>
        <w:spacing w:before="240" w:after="240" w:line="360" w:lineRule="auto"/>
        <w:jc w:val="both"/>
        <w:rPr>
          <w:rFonts w:ascii="Times New Roman" w:eastAsia="Calibri" w:hAnsi="Times New Roman" w:cs="Times New Roman"/>
          <w:bCs/>
          <w:sz w:val="24"/>
          <w:szCs w:val="24"/>
          <w:lang w:val="en-GB" w:eastAsia="en-GB"/>
        </w:rPr>
      </w:pPr>
      <w:r w:rsidRPr="00E915AA">
        <w:rPr>
          <w:rFonts w:ascii="Times New Roman" w:eastAsia="Calibri" w:hAnsi="Times New Roman" w:cs="Times New Roman"/>
          <w:bCs/>
          <w:sz w:val="24"/>
          <w:szCs w:val="24"/>
          <w:lang w:val="en-GB" w:eastAsia="en-GB"/>
        </w:rPr>
        <w:t xml:space="preserve">The Division of Corporate Finance is responsible for conducting the SEC’s monitoring roles in reviewing </w:t>
      </w:r>
      <w:r w:rsidR="00DC044F" w:rsidRPr="00E915AA">
        <w:rPr>
          <w:rFonts w:ascii="Times New Roman" w:eastAsia="Calibri" w:hAnsi="Times New Roman" w:cs="Times New Roman"/>
          <w:bCs/>
          <w:sz w:val="24"/>
          <w:szCs w:val="24"/>
          <w:lang w:val="en-GB" w:eastAsia="en-GB"/>
        </w:rPr>
        <w:t xml:space="preserve">the </w:t>
      </w:r>
      <w:r w:rsidRPr="00E915AA">
        <w:rPr>
          <w:rFonts w:ascii="Times New Roman" w:eastAsia="Calibri" w:hAnsi="Times New Roman" w:cs="Times New Roman"/>
          <w:bCs/>
          <w:sz w:val="24"/>
          <w:szCs w:val="24"/>
          <w:lang w:val="en-GB" w:eastAsia="en-GB"/>
        </w:rPr>
        <w:t>information quality of all IPO firms’ registration statements (i.e.</w:t>
      </w:r>
      <w:r w:rsidR="00DC044F"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sz w:val="24"/>
          <w:szCs w:val="24"/>
          <w:lang w:val="en-GB" w:eastAsia="en-GB"/>
        </w:rPr>
        <w:t xml:space="preserve"> S-1 filings) to guarantee that investors are “…provided with material information and to prevent fraud and misrepresentation in the public offering ...”</w:t>
      </w:r>
      <w:r w:rsidR="004860BD" w:rsidRPr="00E915AA">
        <w:rPr>
          <w:rFonts w:ascii="Times New Roman" w:eastAsia="Calibri" w:hAnsi="Times New Roman" w:cs="Times New Roman"/>
          <w:bCs/>
          <w:sz w:val="24"/>
          <w:szCs w:val="24"/>
          <w:lang w:val="en-GB" w:eastAsia="en-GB"/>
        </w:rPr>
        <w:t xml:space="preserve"> </w:t>
      </w:r>
      <w:r w:rsidRPr="00E915AA">
        <w:rPr>
          <w:rFonts w:ascii="Times New Roman" w:eastAsia="Calibri" w:hAnsi="Times New Roman" w:cs="Times New Roman"/>
          <w:bCs/>
          <w:sz w:val="24"/>
          <w:szCs w:val="24"/>
          <w:lang w:val="en-GB" w:eastAsia="en-GB"/>
        </w:rPr>
        <w:fldChar w:fldCharType="begin" w:fldLock="1"/>
      </w:r>
      <w:r w:rsidRPr="00E915AA">
        <w:rPr>
          <w:rFonts w:ascii="Times New Roman" w:eastAsia="Calibri" w:hAnsi="Times New Roman" w:cs="Times New Roman"/>
          <w:bCs/>
          <w:sz w:val="24"/>
          <w:szCs w:val="24"/>
          <w:lang w:val="en-GB" w:eastAsia="en-GB"/>
        </w:rPr>
        <w:instrText>ADDIN CSL_CITATION {"citationItems":[{"id":"ITEM-1","itemData":{"URL":"www.sec.gov/about/oig/audit/326fin.pdf","accessed":{"date-parts":[["2018","5","12"]]},"author":[{"dropping-particle":"","family":"SEC","given":"","non-dropping-particle":"","parse-names":false,"suffix":""}],"container-title":"U.S. Securities and Exchange Commission","id":"ITEM-1","issued":{"date-parts":[["2001"]]},"title":"Comment Letter Follow-Up (Audit 326)","type":"webpage"},"uris":["http://www.mendeley.com/documents/?uuid=c5be640f-0cca-47d9-aa50-e8d456707e3b"]}],"mendeley":{"formattedCitation":"(SEC, 2001)","manualFormatting":"(SEC, 2001, p.1)","plainTextFormattedCitation":"(SEC, 2001)","previouslyFormattedCitation":"(SEC, 2001)"},"properties":{"noteIndex":0},"schema":"https://github.com/citation-style-language/schema/raw/master/csl-citation.json"}</w:instrText>
      </w:r>
      <w:r w:rsidRPr="00E915AA">
        <w:rPr>
          <w:rFonts w:ascii="Times New Roman" w:eastAsia="Calibri" w:hAnsi="Times New Roman" w:cs="Times New Roman"/>
          <w:bCs/>
          <w:sz w:val="24"/>
          <w:szCs w:val="24"/>
          <w:lang w:val="en-GB" w:eastAsia="en-GB"/>
        </w:rPr>
        <w:fldChar w:fldCharType="separate"/>
      </w:r>
      <w:r w:rsidRPr="00E915AA">
        <w:rPr>
          <w:rFonts w:ascii="Times New Roman" w:eastAsia="Calibri" w:hAnsi="Times New Roman" w:cs="Times New Roman"/>
          <w:bCs/>
          <w:noProof/>
          <w:sz w:val="24"/>
          <w:szCs w:val="24"/>
          <w:lang w:val="en-GB" w:eastAsia="en-GB"/>
        </w:rPr>
        <w:t>(SEC, 2001, p.1)</w:t>
      </w:r>
      <w:r w:rsidRPr="00E915AA">
        <w:rPr>
          <w:rFonts w:ascii="Times New Roman" w:eastAsia="Calibri" w:hAnsi="Times New Roman" w:cs="Times New Roman"/>
          <w:bCs/>
          <w:sz w:val="24"/>
          <w:szCs w:val="24"/>
          <w:lang w:val="en-GB" w:eastAsia="en-GB"/>
        </w:rPr>
        <w:fldChar w:fldCharType="end"/>
      </w:r>
      <w:r w:rsidRPr="00E915AA">
        <w:rPr>
          <w:rFonts w:ascii="Times New Roman" w:eastAsia="Calibri" w:hAnsi="Times New Roman" w:cs="Times New Roman"/>
          <w:bCs/>
          <w:sz w:val="24"/>
          <w:szCs w:val="24"/>
          <w:lang w:val="en-GB" w:eastAsia="en-GB"/>
        </w:rPr>
        <w:t>. If any deficiency in an IPO firm’s registration statements is identified (e.g.</w:t>
      </w:r>
      <w:r w:rsidR="00DC044F"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sz w:val="24"/>
          <w:szCs w:val="24"/>
          <w:lang w:val="en-GB" w:eastAsia="en-GB"/>
        </w:rPr>
        <w:t xml:space="preserve"> poor accounting quality), the Division issues a comment letter bringing the deficiency up with the IPO firm. Ascertaining the effectiveness of SEC reviews of IPO registration statements is important since there is typically limited information publicly available about IPO firms at the </w:t>
      </w:r>
      <w:proofErr w:type="gramStart"/>
      <w:r w:rsidRPr="00E915AA">
        <w:rPr>
          <w:rFonts w:ascii="Times New Roman" w:eastAsia="Calibri" w:hAnsi="Times New Roman" w:cs="Times New Roman"/>
          <w:bCs/>
          <w:sz w:val="24"/>
          <w:szCs w:val="24"/>
          <w:lang w:val="en-GB" w:eastAsia="en-GB"/>
        </w:rPr>
        <w:t>time</w:t>
      </w:r>
      <w:proofErr w:type="gramEnd"/>
      <w:r w:rsidRPr="00E915AA">
        <w:rPr>
          <w:rFonts w:ascii="Times New Roman" w:eastAsia="Calibri" w:hAnsi="Times New Roman" w:cs="Times New Roman"/>
          <w:bCs/>
          <w:sz w:val="24"/>
          <w:szCs w:val="24"/>
          <w:lang w:val="en-GB" w:eastAsia="en-GB"/>
        </w:rPr>
        <w:t xml:space="preserve"> </w:t>
      </w:r>
      <w:r w:rsidR="004860BD" w:rsidRPr="00E915AA">
        <w:rPr>
          <w:rFonts w:ascii="Times New Roman" w:eastAsia="Calibri" w:hAnsi="Times New Roman" w:cs="Times New Roman"/>
          <w:bCs/>
          <w:sz w:val="24"/>
          <w:szCs w:val="24"/>
          <w:lang w:val="en-GB" w:eastAsia="en-GB"/>
        </w:rPr>
        <w:t xml:space="preserve">they </w:t>
      </w:r>
      <w:r w:rsidRPr="00E915AA">
        <w:rPr>
          <w:rFonts w:ascii="Times New Roman" w:eastAsia="Calibri" w:hAnsi="Times New Roman" w:cs="Times New Roman"/>
          <w:bCs/>
          <w:sz w:val="24"/>
          <w:szCs w:val="24"/>
          <w:lang w:val="en-GB" w:eastAsia="en-GB"/>
        </w:rPr>
        <w:t>go</w:t>
      </w:r>
      <w:r w:rsidR="004860BD" w:rsidRPr="00E915AA">
        <w:rPr>
          <w:rFonts w:ascii="Times New Roman" w:eastAsia="Calibri" w:hAnsi="Times New Roman" w:cs="Times New Roman"/>
          <w:bCs/>
          <w:sz w:val="24"/>
          <w:szCs w:val="24"/>
          <w:lang w:val="en-GB" w:eastAsia="en-GB"/>
        </w:rPr>
        <w:t xml:space="preserve"> </w:t>
      </w:r>
      <w:r w:rsidRPr="00E915AA">
        <w:rPr>
          <w:rFonts w:ascii="Times New Roman" w:eastAsia="Calibri" w:hAnsi="Times New Roman" w:cs="Times New Roman"/>
          <w:bCs/>
          <w:sz w:val="24"/>
          <w:szCs w:val="24"/>
          <w:lang w:val="en-GB" w:eastAsia="en-GB"/>
        </w:rPr>
        <w:t>public. Investors</w:t>
      </w:r>
      <w:r w:rsidR="004860BD"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sz w:val="24"/>
          <w:szCs w:val="24"/>
          <w:lang w:val="en-GB" w:eastAsia="en-GB"/>
        </w:rPr>
        <w:t xml:space="preserve"> therefore</w:t>
      </w:r>
      <w:r w:rsidR="004860BD"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sz w:val="24"/>
          <w:szCs w:val="24"/>
          <w:lang w:val="en-GB" w:eastAsia="en-GB"/>
        </w:rPr>
        <w:t xml:space="preserve"> </w:t>
      </w:r>
      <w:r w:rsidRPr="00E915AA">
        <w:rPr>
          <w:rFonts w:ascii="Times New Roman" w:eastAsia="Calibri" w:hAnsi="Times New Roman" w:cs="Times New Roman"/>
          <w:bCs/>
          <w:sz w:val="24"/>
          <w:szCs w:val="24"/>
          <w:lang w:val="en-GB" w:eastAsia="en-GB"/>
        </w:rPr>
        <w:lastRenderedPageBreak/>
        <w:t xml:space="preserve">commonly rely on SEC comment letters </w:t>
      </w:r>
      <w:r w:rsidR="00DC044F" w:rsidRPr="00E915AA">
        <w:rPr>
          <w:rFonts w:ascii="Times New Roman" w:eastAsia="Calibri" w:hAnsi="Times New Roman" w:cs="Times New Roman"/>
          <w:bCs/>
          <w:sz w:val="24"/>
          <w:szCs w:val="24"/>
          <w:lang w:val="en-GB" w:eastAsia="en-GB"/>
        </w:rPr>
        <w:t>to evaluate</w:t>
      </w:r>
      <w:r w:rsidRPr="00E915AA">
        <w:rPr>
          <w:rFonts w:ascii="Times New Roman" w:eastAsia="Calibri" w:hAnsi="Times New Roman" w:cs="Times New Roman"/>
          <w:bCs/>
          <w:sz w:val="24"/>
          <w:szCs w:val="24"/>
          <w:lang w:val="en-GB" w:eastAsia="en-GB"/>
        </w:rPr>
        <w:t xml:space="preserve"> the firm’s earnings quality and the credibility of the firm’s preliminary financial reports </w:t>
      </w:r>
      <w:r w:rsidRPr="00E915AA">
        <w:rPr>
          <w:rFonts w:ascii="Times New Roman" w:eastAsia="Calibri" w:hAnsi="Times New Roman" w:cs="Times New Roman"/>
          <w:bCs/>
          <w:sz w:val="24"/>
          <w:szCs w:val="24"/>
          <w:lang w:val="en-GB" w:eastAsia="en-GB"/>
        </w:rPr>
        <w:fldChar w:fldCharType="begin" w:fldLock="1"/>
      </w:r>
      <w:r w:rsidRPr="00E915AA">
        <w:rPr>
          <w:rFonts w:ascii="Times New Roman" w:eastAsia="Calibri" w:hAnsi="Times New Roman" w:cs="Times New Roman"/>
          <w:bCs/>
          <w:sz w:val="24"/>
          <w:szCs w:val="24"/>
          <w:lang w:val="en-GB" w:eastAsia="en-GB"/>
        </w:rPr>
        <w:instrText>ADDIN CSL_CITATION {"citationItems":[{"id":"ITEM-1","itemData":{"ISBN":"7133486296","ISSN":"19113846","PMID":"25246403","abstract":"The Securities and Exchange Commission (SEC) reviews company filings (10Q, 10K, S1, etc.) submitted to them. If a review identifies potential deficiencies, the SEC staff sends the company a comment letter seeking clarification, additional information, and ultimately perhaps, revision of the filing or future filings. We explore the content and resolution of SEC comment letters and then examine the informational consequences of letter resolution. The content analysis shows that nearly half of all comments involve accounting application, financial reporting, and disclosure issues. More than 17% of our sample immediately amend filings to resolve comment letters, and financial statements and/or footnotes are frequently revised. Following comment letter resolution, absolute abnormal returns and trading volume around earning announcements decline and analyst forecast accuracy improves. We conclude the SEC’s oversight has beneficial informational effects.","author":[{"dropping-particle":"","family":"Johnston","given":"Rick","non-dropping-particle":"","parse-names":false,"suffix":""},{"dropping-particle":"","family":"Petacchi","given":"Reining","non-dropping-particle":"","parse-names":false,"suffix":""}],"container-title":"Contemporary Accounting Research","id":"ITEM-1","issue":"2","issued":{"date-parts":[["2017"]]},"page":"1128-1155","title":"The effect of regulator oversight on firms' information environment: Securities and exchange commission comment letters","type":"article-journal","volume":"34"},"uris":["http://www.mendeley.com/documents/?uuid=6f0a5987-96ef-4573-9c9a-4445f9fb6ad8"]}],"mendeley":{"formattedCitation":"(Johnston &amp; Petacchi, 2017)","plainTextFormattedCitation":"(Johnston &amp; Petacchi, 2017)","previouslyFormattedCitation":"(Johnston &amp; Petacchi, 2017)"},"properties":{"noteIndex":0},"schema":"https://github.com/citation-style-language/schema/raw/master/csl-citation.json"}</w:instrText>
      </w:r>
      <w:r w:rsidRPr="00E915AA">
        <w:rPr>
          <w:rFonts w:ascii="Times New Roman" w:eastAsia="Calibri" w:hAnsi="Times New Roman" w:cs="Times New Roman"/>
          <w:bCs/>
          <w:sz w:val="24"/>
          <w:szCs w:val="24"/>
          <w:lang w:val="en-GB" w:eastAsia="en-GB"/>
        </w:rPr>
        <w:fldChar w:fldCharType="separate"/>
      </w:r>
      <w:r w:rsidRPr="00E915AA">
        <w:rPr>
          <w:rFonts w:ascii="Times New Roman" w:eastAsia="Calibri" w:hAnsi="Times New Roman" w:cs="Times New Roman"/>
          <w:bCs/>
          <w:noProof/>
          <w:sz w:val="24"/>
          <w:szCs w:val="24"/>
          <w:lang w:val="en-GB" w:eastAsia="en-GB"/>
        </w:rPr>
        <w:t>(Johnston &amp; Petacchi, 2017)</w:t>
      </w:r>
      <w:r w:rsidRPr="00E915AA">
        <w:rPr>
          <w:rFonts w:ascii="Times New Roman" w:eastAsia="Calibri" w:hAnsi="Times New Roman" w:cs="Times New Roman"/>
          <w:bCs/>
          <w:sz w:val="24"/>
          <w:szCs w:val="24"/>
          <w:lang w:val="en-GB" w:eastAsia="en-GB"/>
        </w:rPr>
        <w:fldChar w:fldCharType="end"/>
      </w:r>
      <w:r w:rsidRPr="00E915AA">
        <w:rPr>
          <w:rFonts w:ascii="Times New Roman" w:eastAsia="Calibri" w:hAnsi="Times New Roman" w:cs="Times New Roman"/>
          <w:bCs/>
          <w:sz w:val="24"/>
          <w:szCs w:val="24"/>
          <w:lang w:val="en-GB" w:eastAsia="en-GB"/>
        </w:rPr>
        <w:t xml:space="preserve">. </w:t>
      </w:r>
    </w:p>
    <w:p w14:paraId="279F9FAF" w14:textId="3A08CA83"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bCs/>
          <w:sz w:val="24"/>
          <w:szCs w:val="24"/>
          <w:lang w:val="en-GB" w:eastAsia="en-GB"/>
        </w:rPr>
        <w:t xml:space="preserve">There have been extensive arguments about the effectiveness of SEC reviews of IPO registration statements. On the one hand, </w:t>
      </w:r>
      <w:r w:rsidRPr="00E915AA">
        <w:rPr>
          <w:rFonts w:ascii="Times New Roman" w:eastAsia="Calibri" w:hAnsi="Times New Roman" w:cs="Times New Roman"/>
          <w:sz w:val="24"/>
          <w:szCs w:val="24"/>
          <w:lang w:val="en-GB" w:eastAsia="en-GB"/>
        </w:rPr>
        <w:t>Bayless (20</w:t>
      </w:r>
      <w:r w:rsidR="005E1195" w:rsidRPr="00E915AA">
        <w:rPr>
          <w:rFonts w:ascii="Times New Roman" w:eastAsia="Calibri" w:hAnsi="Times New Roman" w:cs="Times New Roman"/>
          <w:sz w:val="24"/>
          <w:szCs w:val="24"/>
          <w:lang w:val="en-GB" w:eastAsia="en-GB"/>
        </w:rPr>
        <w:t>00</w:t>
      </w:r>
      <w:r w:rsidRPr="00E915AA">
        <w:rPr>
          <w:rFonts w:ascii="Times New Roman" w:eastAsia="Calibri" w:hAnsi="Times New Roman" w:cs="Times New Roman"/>
          <w:sz w:val="24"/>
          <w:szCs w:val="24"/>
          <w:lang w:val="en-GB" w:eastAsia="en-GB"/>
        </w:rPr>
        <w:t xml:space="preserve">), SEC Chief Accountant - Division of Corporation Finance, reported many considerable accomplishments </w:t>
      </w:r>
      <w:r w:rsidR="00DC044F" w:rsidRPr="00E915AA">
        <w:rPr>
          <w:rFonts w:ascii="Times New Roman" w:eastAsia="Calibri" w:hAnsi="Times New Roman" w:cs="Times New Roman"/>
          <w:sz w:val="24"/>
          <w:szCs w:val="24"/>
          <w:lang w:val="en-GB" w:eastAsia="en-GB"/>
        </w:rPr>
        <w:t>in</w:t>
      </w:r>
      <w:r w:rsidRPr="00E915AA">
        <w:rPr>
          <w:rFonts w:ascii="Times New Roman" w:eastAsia="Calibri" w:hAnsi="Times New Roman" w:cs="Times New Roman"/>
          <w:sz w:val="24"/>
          <w:szCs w:val="24"/>
          <w:lang w:val="en-GB" w:eastAsia="en-GB"/>
        </w:rPr>
        <w:t xml:space="preserve"> their reviews (e.g., the detection of various deficiencies in IPOs’ financial statements). Previous research also provides evidence that SEC reviews can be effective in detecting informational problems around IPOs and in improving the IPO information environment. Specifically, previous studies find that the SEC increase the extensiveness of their reviews in response to potentially material deficiencies in the information environment around IPOs, such as weak corporation governance (</w:t>
      </w:r>
      <w:proofErr w:type="spellStart"/>
      <w:r w:rsidRPr="00E915AA">
        <w:rPr>
          <w:rFonts w:ascii="Times New Roman" w:eastAsia="Calibri" w:hAnsi="Times New Roman" w:cs="Times New Roman"/>
          <w:sz w:val="24"/>
          <w:szCs w:val="24"/>
          <w:lang w:val="en-GB" w:eastAsia="en-GB"/>
        </w:rPr>
        <w:t>Ertimur</w:t>
      </w:r>
      <w:proofErr w:type="spellEnd"/>
      <w:r w:rsidRPr="00E915AA">
        <w:rPr>
          <w:rFonts w:ascii="Times New Roman" w:eastAsia="Calibri" w:hAnsi="Times New Roman" w:cs="Times New Roman"/>
          <w:sz w:val="24"/>
          <w:szCs w:val="24"/>
          <w:lang w:val="en-GB" w:eastAsia="en-GB"/>
        </w:rPr>
        <w:t xml:space="preserve"> &amp; </w:t>
      </w:r>
      <w:proofErr w:type="spellStart"/>
      <w:r w:rsidRPr="00E915AA">
        <w:rPr>
          <w:rFonts w:ascii="Times New Roman" w:eastAsia="Calibri" w:hAnsi="Times New Roman" w:cs="Times New Roman"/>
          <w:sz w:val="24"/>
          <w:szCs w:val="24"/>
          <w:lang w:val="en-GB" w:eastAsia="en-GB"/>
        </w:rPr>
        <w:t>Nondorf</w:t>
      </w:r>
      <w:proofErr w:type="spellEnd"/>
      <w:r w:rsidRPr="00E915AA">
        <w:rPr>
          <w:rFonts w:ascii="Times New Roman" w:eastAsia="Calibri" w:hAnsi="Times New Roman" w:cs="Times New Roman"/>
          <w:sz w:val="24"/>
          <w:szCs w:val="24"/>
          <w:lang w:val="en-GB" w:eastAsia="en-GB"/>
        </w:rPr>
        <w:t>, 2006), ex-ante information uncertainty (</w:t>
      </w:r>
      <w:proofErr w:type="spellStart"/>
      <w:r w:rsidRPr="00E915AA">
        <w:rPr>
          <w:rFonts w:ascii="Times New Roman" w:eastAsia="Calibri" w:hAnsi="Times New Roman" w:cs="Times New Roman"/>
          <w:sz w:val="24"/>
          <w:szCs w:val="24"/>
          <w:lang w:val="en-GB" w:eastAsia="en-GB"/>
        </w:rPr>
        <w:t>Colaco</w:t>
      </w:r>
      <w:proofErr w:type="spellEnd"/>
      <w:r w:rsidRPr="00E915AA">
        <w:rPr>
          <w:rFonts w:ascii="Times New Roman" w:eastAsia="Calibri" w:hAnsi="Times New Roman" w:cs="Times New Roman"/>
          <w:sz w:val="24"/>
          <w:szCs w:val="24"/>
          <w:lang w:val="en-GB" w:eastAsia="en-GB"/>
        </w:rPr>
        <w:t xml:space="preserve"> et al., 2018) and engagement in earnings management (Schuldt &amp; Vega, 2018). The extensiveness of SEC reviews of IPO registration statements is also observed to be a good predictor of ex-post uncertainty and performance (</w:t>
      </w:r>
      <w:proofErr w:type="spellStart"/>
      <w:r w:rsidRPr="00E915AA">
        <w:rPr>
          <w:rFonts w:ascii="Times New Roman" w:eastAsia="Calibri" w:hAnsi="Times New Roman" w:cs="Times New Roman"/>
          <w:sz w:val="24"/>
          <w:szCs w:val="24"/>
          <w:lang w:val="en-GB" w:eastAsia="en-GB"/>
        </w:rPr>
        <w:t>Colaco</w:t>
      </w:r>
      <w:proofErr w:type="spellEnd"/>
      <w:r w:rsidRPr="00E915AA">
        <w:rPr>
          <w:rFonts w:ascii="Times New Roman" w:eastAsia="Calibri" w:hAnsi="Times New Roman" w:cs="Times New Roman"/>
          <w:sz w:val="24"/>
          <w:szCs w:val="24"/>
          <w:lang w:val="en-GB" w:eastAsia="en-GB"/>
        </w:rPr>
        <w:t xml:space="preserve"> et al., 2018, Lowry</w:t>
      </w:r>
      <w:r w:rsidR="00DC044F" w:rsidRPr="00E915AA">
        <w:rPr>
          <w:rFonts w:ascii="Times New Roman" w:eastAsia="Calibri" w:hAnsi="Times New Roman" w:cs="Times New Roman"/>
          <w:sz w:val="24"/>
          <w:szCs w:val="24"/>
          <w:lang w:val="en-GB" w:eastAsia="en-GB"/>
        </w:rPr>
        <w:t xml:space="preserve"> et al.</w:t>
      </w:r>
      <w:r w:rsidRPr="00E915AA">
        <w:rPr>
          <w:rFonts w:ascii="Times New Roman" w:eastAsia="Calibri" w:hAnsi="Times New Roman" w:cs="Times New Roman"/>
          <w:sz w:val="24"/>
          <w:szCs w:val="24"/>
          <w:lang w:val="en-GB" w:eastAsia="en-GB"/>
        </w:rPr>
        <w:t xml:space="preserve">, 2020). </w:t>
      </w:r>
    </w:p>
    <w:p w14:paraId="31BDC508" w14:textId="246AD446"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Furthermore, previous research also provides evidence that SEC reviews are effective in improving the quality of the information environment around IPOs, in particular, resulting in decreased post-IPO information asymmetry (</w:t>
      </w:r>
      <w:proofErr w:type="spellStart"/>
      <w:r w:rsidRPr="00E915AA">
        <w:rPr>
          <w:rFonts w:ascii="Times New Roman" w:eastAsia="Calibri" w:hAnsi="Times New Roman" w:cs="Times New Roman"/>
          <w:sz w:val="24"/>
          <w:szCs w:val="24"/>
          <w:lang w:val="en-GB" w:eastAsia="en-GB"/>
        </w:rPr>
        <w:t>Ertimur</w:t>
      </w:r>
      <w:proofErr w:type="spellEnd"/>
      <w:r w:rsidRPr="00E915AA">
        <w:rPr>
          <w:rFonts w:ascii="Times New Roman" w:eastAsia="Calibri" w:hAnsi="Times New Roman" w:cs="Times New Roman"/>
          <w:sz w:val="24"/>
          <w:szCs w:val="24"/>
          <w:lang w:val="en-GB" w:eastAsia="en-GB"/>
        </w:rPr>
        <w:t xml:space="preserve"> &amp; </w:t>
      </w:r>
      <w:proofErr w:type="spellStart"/>
      <w:r w:rsidRPr="00E915AA">
        <w:rPr>
          <w:rFonts w:ascii="Times New Roman" w:eastAsia="Calibri" w:hAnsi="Times New Roman" w:cs="Times New Roman"/>
          <w:sz w:val="24"/>
          <w:szCs w:val="24"/>
          <w:lang w:val="en-GB" w:eastAsia="en-GB"/>
        </w:rPr>
        <w:t>Nondorf</w:t>
      </w:r>
      <w:proofErr w:type="spellEnd"/>
      <w:r w:rsidRPr="00E915AA">
        <w:rPr>
          <w:rFonts w:ascii="Times New Roman" w:eastAsia="Calibri" w:hAnsi="Times New Roman" w:cs="Times New Roman"/>
          <w:sz w:val="24"/>
          <w:szCs w:val="24"/>
          <w:lang w:val="en-GB" w:eastAsia="en-GB"/>
        </w:rPr>
        <w:t>, 2006) and information uncertainty (</w:t>
      </w:r>
      <w:r w:rsidR="004F7CDF" w:rsidRPr="00E915AA">
        <w:rPr>
          <w:rFonts w:ascii="Times New Roman" w:eastAsia="Calibri" w:hAnsi="Times New Roman" w:cs="Times New Roman"/>
          <w:sz w:val="24"/>
          <w:szCs w:val="24"/>
          <w:lang w:val="en-GB" w:eastAsia="en-GB"/>
        </w:rPr>
        <w:t>Aga</w:t>
      </w:r>
      <w:r w:rsidR="00A46A29" w:rsidRPr="00E915AA">
        <w:rPr>
          <w:rFonts w:ascii="Times New Roman" w:eastAsia="Calibri" w:hAnsi="Times New Roman" w:cs="Times New Roman"/>
          <w:sz w:val="24"/>
          <w:szCs w:val="24"/>
          <w:lang w:val="en-GB" w:eastAsia="en-GB"/>
        </w:rPr>
        <w:t>r</w:t>
      </w:r>
      <w:r w:rsidR="004F7CDF" w:rsidRPr="00E915AA">
        <w:rPr>
          <w:rFonts w:ascii="Times New Roman" w:eastAsia="Calibri" w:hAnsi="Times New Roman" w:cs="Times New Roman"/>
          <w:sz w:val="24"/>
          <w:szCs w:val="24"/>
          <w:lang w:val="en-GB" w:eastAsia="en-GB"/>
        </w:rPr>
        <w:t>wal et al., 2017</w:t>
      </w:r>
      <w:r w:rsidRPr="00E915AA">
        <w:rPr>
          <w:rFonts w:ascii="Times New Roman" w:eastAsia="Calibri" w:hAnsi="Times New Roman" w:cs="Times New Roman"/>
          <w:sz w:val="24"/>
          <w:szCs w:val="24"/>
          <w:lang w:val="en-GB" w:eastAsia="en-GB"/>
        </w:rPr>
        <w:t>), more IPO disclosures (Li &amp; Liu, 2017; Lowry</w:t>
      </w:r>
      <w:r w:rsidR="00DC044F" w:rsidRPr="00E915AA">
        <w:rPr>
          <w:rFonts w:ascii="Times New Roman" w:eastAsia="Calibri" w:hAnsi="Times New Roman" w:cs="Times New Roman"/>
          <w:sz w:val="24"/>
          <w:szCs w:val="24"/>
          <w:lang w:val="en-GB" w:eastAsia="en-GB"/>
        </w:rPr>
        <w:t xml:space="preserve"> et al.</w:t>
      </w:r>
      <w:r w:rsidRPr="00E915AA">
        <w:rPr>
          <w:rFonts w:ascii="Times New Roman" w:eastAsia="Calibri" w:hAnsi="Times New Roman" w:cs="Times New Roman"/>
          <w:sz w:val="24"/>
          <w:szCs w:val="24"/>
          <w:lang w:val="en-GB" w:eastAsia="en-GB"/>
        </w:rPr>
        <w:t>, 2020), reduced offer prices, amendments to IPOs’ registration statements, better long-run performance (Li &amp; Liu, 2017), fewer price revisions, fewer revisions in offering volume and amount (Lowry</w:t>
      </w:r>
      <w:r w:rsidR="00DC044F" w:rsidRPr="00E915AA">
        <w:rPr>
          <w:rFonts w:ascii="Times New Roman" w:eastAsia="Calibri" w:hAnsi="Times New Roman" w:cs="Times New Roman"/>
          <w:sz w:val="24"/>
          <w:szCs w:val="24"/>
          <w:lang w:val="en-GB" w:eastAsia="en-GB"/>
        </w:rPr>
        <w:t xml:space="preserve"> et al.</w:t>
      </w:r>
      <w:r w:rsidRPr="00E915AA">
        <w:rPr>
          <w:rFonts w:ascii="Times New Roman" w:eastAsia="Calibri" w:hAnsi="Times New Roman" w:cs="Times New Roman"/>
          <w:sz w:val="24"/>
          <w:szCs w:val="24"/>
          <w:lang w:val="en-GB" w:eastAsia="en-GB"/>
        </w:rPr>
        <w:t xml:space="preserve">, 2020) and a lower degree of earnings management (Schuldt &amp; Vega, 2018). </w:t>
      </w:r>
    </w:p>
    <w:p w14:paraId="583C902F" w14:textId="19E5AD62"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On the other hand, in July 2014, Robert P. Casey, United States Senator</w:t>
      </w:r>
      <w:r w:rsidR="00DC044F"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raised his concerns about the </w:t>
      </w:r>
      <w:r w:rsidR="004966E3" w:rsidRPr="00E915AA">
        <w:rPr>
          <w:rFonts w:ascii="Times New Roman" w:eastAsia="Calibri" w:hAnsi="Times New Roman" w:cs="Times New Roman"/>
          <w:sz w:val="24"/>
          <w:szCs w:val="24"/>
          <w:lang w:val="en-GB" w:eastAsia="en-GB"/>
        </w:rPr>
        <w:t>SEC</w:t>
      </w:r>
      <w:r w:rsidRPr="00E915AA">
        <w:rPr>
          <w:rFonts w:ascii="Times New Roman" w:eastAsia="Calibri" w:hAnsi="Times New Roman" w:cs="Times New Roman"/>
          <w:sz w:val="24"/>
          <w:szCs w:val="24"/>
          <w:lang w:val="en-GB" w:eastAsia="en-GB"/>
        </w:rPr>
        <w:t xml:space="preserve"> reviews of IPO disclosures by Chinese firms listing in the US.</w:t>
      </w:r>
      <w:r w:rsidRPr="00E915AA">
        <w:rPr>
          <w:rFonts w:ascii="Times New Roman" w:eastAsia="Calibri" w:hAnsi="Times New Roman" w:cs="Times New Roman"/>
          <w:sz w:val="24"/>
          <w:szCs w:val="24"/>
          <w:vertAlign w:val="superscript"/>
          <w:lang w:val="en-GB" w:eastAsia="en-GB"/>
        </w:rPr>
        <w:footnoteReference w:id="2"/>
      </w:r>
      <w:r w:rsidRPr="00E915AA">
        <w:rPr>
          <w:rFonts w:ascii="Times New Roman" w:eastAsia="Calibri" w:hAnsi="Times New Roman" w:cs="Times New Roman"/>
          <w:sz w:val="24"/>
          <w:szCs w:val="24"/>
          <w:lang w:val="en-GB" w:eastAsia="en-GB"/>
        </w:rPr>
        <w:t xml:space="preserve"> Johnston &amp; </w:t>
      </w:r>
      <w:proofErr w:type="spellStart"/>
      <w:r w:rsidRPr="00E915AA">
        <w:rPr>
          <w:rFonts w:ascii="Times New Roman" w:eastAsia="Calibri" w:hAnsi="Times New Roman" w:cs="Times New Roman"/>
          <w:sz w:val="24"/>
          <w:szCs w:val="24"/>
          <w:lang w:val="en-GB" w:eastAsia="en-GB"/>
        </w:rPr>
        <w:t>Petacchi</w:t>
      </w:r>
      <w:proofErr w:type="spellEnd"/>
      <w:r w:rsidRPr="00E915AA">
        <w:rPr>
          <w:rFonts w:ascii="Times New Roman" w:eastAsia="Calibri" w:hAnsi="Times New Roman" w:cs="Times New Roman"/>
          <w:sz w:val="24"/>
          <w:szCs w:val="24"/>
          <w:lang w:val="en-GB" w:eastAsia="en-GB"/>
        </w:rPr>
        <w:t xml:space="preserve"> (2017) also suggest that the effectiveness of SEC reviews is lower when there exist political connections with reporting firms. Furthermore, the passing of the JOBS Act in 2012 is also suggested to constrain and reduce regulators’ ability to mitigate deficiencies in IPO disclosures </w:t>
      </w:r>
      <w:r w:rsidR="00C501D3" w:rsidRPr="00E915AA">
        <w:rPr>
          <w:rFonts w:ascii="Times New Roman" w:eastAsia="Calibri" w:hAnsi="Times New Roman" w:cs="Times New Roman"/>
          <w:sz w:val="24"/>
          <w:szCs w:val="24"/>
          <w:lang w:val="en-GB" w:eastAsia="en-GB"/>
        </w:rPr>
        <w:t xml:space="preserve">of Emerging Growth Companies (EGCs) </w:t>
      </w:r>
      <w:r w:rsidRPr="00E915AA">
        <w:rPr>
          <w:rFonts w:ascii="Times New Roman" w:eastAsia="Calibri" w:hAnsi="Times New Roman" w:cs="Times New Roman"/>
          <w:sz w:val="24"/>
          <w:szCs w:val="24"/>
          <w:lang w:val="en-GB" w:eastAsia="en-GB"/>
        </w:rPr>
        <w:t>(Chaplinsky et al., 2017; New York Times, 2012).</w:t>
      </w:r>
      <w:r w:rsidR="00E6589B" w:rsidRPr="00E915AA">
        <w:rPr>
          <w:rFonts w:ascii="Times New Roman" w:eastAsia="Calibri" w:hAnsi="Times New Roman" w:cs="Times New Roman"/>
          <w:sz w:val="24"/>
          <w:szCs w:val="24"/>
          <w:vertAlign w:val="superscript"/>
          <w:lang w:val="en-GB" w:eastAsia="en-GB"/>
        </w:rPr>
        <w:footnoteReference w:id="3"/>
      </w:r>
    </w:p>
    <w:p w14:paraId="26743178" w14:textId="6EAB2D71"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 xml:space="preserve">Thus far, Schuldt &amp; Vega (2018) is the only paper examining the effectiveness of SEC reviews in addressing </w:t>
      </w:r>
      <w:r w:rsidR="00DC044F" w:rsidRPr="00E915AA">
        <w:rPr>
          <w:rFonts w:ascii="Times New Roman" w:eastAsia="Calibri" w:hAnsi="Times New Roman" w:cs="Times New Roman"/>
          <w:sz w:val="24"/>
          <w:szCs w:val="24"/>
          <w:lang w:val="en-GB" w:eastAsia="en-GB"/>
        </w:rPr>
        <w:t xml:space="preserve">the </w:t>
      </w:r>
      <w:r w:rsidRPr="00E915AA">
        <w:rPr>
          <w:rFonts w:ascii="Times New Roman" w:eastAsia="Calibri" w:hAnsi="Times New Roman" w:cs="Times New Roman"/>
          <w:sz w:val="24"/>
          <w:szCs w:val="24"/>
          <w:lang w:val="en-GB" w:eastAsia="en-GB"/>
        </w:rPr>
        <w:t xml:space="preserve">earnings quality of IPO registration statements. Employing a sample of 290 IPO filings from 2004 to 2009 and using discretionary revenues as a proxy of earnings management, the authors identify that more revenue recognition comments are received by IPO firms with a higher level of earnings management in years prior to the IPO and that this results in a lower level of earnings management after the IPO. As Schuldt &amp; Vega (2018) focus on the period before the enactment of the Dodd-Frank in 2010 and the JOBS Act in 2012, it is important to ascertain whether and to what extent the effectiveness of SEC reviews has been affected by these substantive regulatory changes. </w:t>
      </w:r>
    </w:p>
    <w:p w14:paraId="529A8CA1" w14:textId="278C0ECD"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addition, </w:t>
      </w:r>
      <w:r w:rsidR="00DC044F" w:rsidRPr="00E915AA">
        <w:rPr>
          <w:rFonts w:ascii="Times New Roman" w:eastAsia="Calibri" w:hAnsi="Times New Roman" w:cs="Times New Roman"/>
          <w:sz w:val="24"/>
          <w:szCs w:val="24"/>
          <w:lang w:val="en-GB" w:eastAsia="en-GB"/>
        </w:rPr>
        <w:t xml:space="preserve">the </w:t>
      </w:r>
      <w:r w:rsidRPr="00E915AA">
        <w:rPr>
          <w:rFonts w:ascii="Times New Roman" w:eastAsia="Calibri" w:hAnsi="Times New Roman" w:cs="Times New Roman"/>
          <w:sz w:val="24"/>
          <w:szCs w:val="24"/>
          <w:lang w:val="en-GB" w:eastAsia="en-GB"/>
        </w:rPr>
        <w:t>examination of a broader range of earnings management</w:t>
      </w:r>
      <w:r w:rsidR="00A81D2B" w:rsidRPr="00E915AA">
        <w:rPr>
          <w:rFonts w:ascii="Times New Roman" w:eastAsia="Calibri" w:hAnsi="Times New Roman" w:cs="Times New Roman"/>
          <w:sz w:val="24"/>
          <w:szCs w:val="24"/>
          <w:lang w:val="en-GB" w:eastAsia="en-GB"/>
        </w:rPr>
        <w:t xml:space="preserve"> (EM)</w:t>
      </w:r>
      <w:r w:rsidRPr="00E915AA">
        <w:rPr>
          <w:rFonts w:ascii="Times New Roman" w:eastAsia="Calibri" w:hAnsi="Times New Roman" w:cs="Times New Roman"/>
          <w:sz w:val="24"/>
          <w:szCs w:val="24"/>
          <w:lang w:val="en-GB" w:eastAsia="en-GB"/>
        </w:rPr>
        <w:t xml:space="preserve"> proxies is required to establish a more comprehensive view of the extent to which SEC reviews are sensitive to earnings management around IPOs. For example, it is still unclear whether SEC reviews are effective in addressing accruals-based earnings management (AEM) and real earnings management (REM), which have been shown to be pervasive among IPO firms (</w:t>
      </w:r>
      <w:r w:rsidRPr="00E915AA">
        <w:rPr>
          <w:rFonts w:ascii="Times New Roman" w:eastAsia="Calibri" w:hAnsi="Times New Roman" w:cs="Times New Roman"/>
          <w:noProof/>
          <w:sz w:val="24"/>
          <w:szCs w:val="24"/>
          <w:lang w:val="en-GB" w:eastAsia="en-GB"/>
        </w:rPr>
        <w:t>Ahmad-</w:t>
      </w:r>
      <w:proofErr w:type="spellStart"/>
      <w:r w:rsidRPr="00E915AA">
        <w:rPr>
          <w:rFonts w:ascii="Times New Roman" w:eastAsia="Calibri" w:hAnsi="Times New Roman" w:cs="Times New Roman"/>
          <w:noProof/>
          <w:sz w:val="24"/>
          <w:szCs w:val="24"/>
          <w:lang w:val="en-GB" w:eastAsia="en-GB"/>
        </w:rPr>
        <w:t>Zaluki</w:t>
      </w:r>
      <w:proofErr w:type="spellEnd"/>
      <w:r w:rsidRPr="00E915AA">
        <w:rPr>
          <w:rFonts w:ascii="Times New Roman" w:eastAsia="Calibri" w:hAnsi="Times New Roman" w:cs="Times New Roman"/>
          <w:noProof/>
          <w:sz w:val="24"/>
          <w:szCs w:val="24"/>
          <w:lang w:val="en-GB" w:eastAsia="en-GB"/>
        </w:rPr>
        <w:t xml:space="preserve"> et al., 2011; Alhadab &amp; Clacher, 2018; Alhadab et al., 2015, 2016; Chahine et al., 2012; Gao et al., 2017; Gounopoulos &amp; Pham, 2017, 2018; Kouwenberg &amp; Thontirawong, 2016; </w:t>
      </w:r>
      <w:r w:rsidRPr="00E915AA">
        <w:rPr>
          <w:rFonts w:ascii="Times New Roman" w:eastAsia="Calibri" w:hAnsi="Times New Roman" w:cs="Times New Roman"/>
          <w:sz w:val="24"/>
          <w:szCs w:val="24"/>
          <w:lang w:val="en-GB" w:eastAsia="en-GB"/>
        </w:rPr>
        <w:t>Teoh et al., 1998a, b).</w:t>
      </w:r>
      <w:r w:rsidR="00EE67FE" w:rsidRPr="00E915AA">
        <w:rPr>
          <w:rFonts w:ascii="Times New Roman" w:eastAsia="Calibri" w:hAnsi="Times New Roman" w:cs="Times New Roman"/>
          <w:sz w:val="24"/>
          <w:szCs w:val="24"/>
          <w:lang w:val="en-GB" w:eastAsia="en-GB"/>
        </w:rPr>
        <w:t xml:space="preserve"> </w:t>
      </w:r>
      <w:r w:rsidR="00172970" w:rsidRPr="00E915AA">
        <w:rPr>
          <w:rFonts w:ascii="Times New Roman" w:eastAsia="Calibri" w:hAnsi="Times New Roman" w:cs="Times New Roman"/>
          <w:sz w:val="24"/>
          <w:szCs w:val="24"/>
          <w:lang w:val="en-GB" w:eastAsia="en-GB"/>
        </w:rPr>
        <w:t>Cu</w:t>
      </w:r>
      <w:r w:rsidR="00985A72" w:rsidRPr="00E915AA">
        <w:rPr>
          <w:rFonts w:ascii="Times New Roman" w:eastAsia="Calibri" w:hAnsi="Times New Roman" w:cs="Times New Roman"/>
          <w:sz w:val="24"/>
          <w:szCs w:val="24"/>
          <w:lang w:val="en-GB" w:eastAsia="en-GB"/>
        </w:rPr>
        <w:t>nningham et al. (2020)</w:t>
      </w:r>
      <w:r w:rsidR="00FC1C50" w:rsidRPr="00E915AA">
        <w:rPr>
          <w:rFonts w:ascii="Times New Roman" w:eastAsia="Calibri" w:hAnsi="Times New Roman" w:cs="Times New Roman"/>
          <w:sz w:val="24"/>
          <w:szCs w:val="24"/>
          <w:lang w:val="en-GB" w:eastAsia="en-GB"/>
        </w:rPr>
        <w:t xml:space="preserve"> </w:t>
      </w:r>
      <w:r w:rsidR="000D19C9" w:rsidRPr="00E915AA">
        <w:rPr>
          <w:rFonts w:ascii="Times New Roman" w:eastAsia="Calibri" w:hAnsi="Times New Roman" w:cs="Times New Roman"/>
          <w:sz w:val="24"/>
          <w:szCs w:val="24"/>
          <w:lang w:val="en-GB" w:eastAsia="en-GB"/>
        </w:rPr>
        <w:t xml:space="preserve">examine the impact of SEC scrutiny </w:t>
      </w:r>
      <w:r w:rsidR="00C1239D" w:rsidRPr="00E915AA">
        <w:rPr>
          <w:rFonts w:ascii="Times New Roman" w:eastAsia="Calibri" w:hAnsi="Times New Roman" w:cs="Times New Roman"/>
          <w:sz w:val="24"/>
          <w:szCs w:val="24"/>
          <w:lang w:val="en-GB" w:eastAsia="en-GB"/>
        </w:rPr>
        <w:t xml:space="preserve">on IPO firms’ earnings management </w:t>
      </w:r>
      <w:r w:rsidR="009652A6" w:rsidRPr="00E915AA">
        <w:rPr>
          <w:rFonts w:ascii="Times New Roman" w:eastAsia="Calibri" w:hAnsi="Times New Roman" w:cs="Times New Roman"/>
          <w:sz w:val="24"/>
          <w:szCs w:val="24"/>
          <w:lang w:val="en-GB" w:eastAsia="en-GB"/>
        </w:rPr>
        <w:t xml:space="preserve">in terms of AEM and </w:t>
      </w:r>
      <w:r w:rsidR="00AE46CB" w:rsidRPr="00E915AA">
        <w:rPr>
          <w:rFonts w:ascii="Times New Roman" w:eastAsia="Calibri" w:hAnsi="Times New Roman" w:cs="Times New Roman"/>
          <w:sz w:val="24"/>
          <w:szCs w:val="24"/>
          <w:lang w:val="en-GB" w:eastAsia="en-GB"/>
        </w:rPr>
        <w:t>REM</w:t>
      </w:r>
      <w:r w:rsidR="00703C97" w:rsidRPr="00E915AA">
        <w:rPr>
          <w:rFonts w:ascii="Times New Roman" w:eastAsia="Calibri" w:hAnsi="Times New Roman" w:cs="Times New Roman"/>
          <w:sz w:val="24"/>
          <w:szCs w:val="24"/>
          <w:lang w:val="en-GB" w:eastAsia="en-GB"/>
        </w:rPr>
        <w:t xml:space="preserve"> and identify that </w:t>
      </w:r>
      <w:r w:rsidR="006D32CE" w:rsidRPr="00E915AA">
        <w:rPr>
          <w:rFonts w:ascii="Times New Roman" w:eastAsia="Calibri" w:hAnsi="Times New Roman" w:cs="Times New Roman"/>
          <w:sz w:val="24"/>
          <w:szCs w:val="24"/>
          <w:lang w:val="en-GB" w:eastAsia="en-GB"/>
        </w:rPr>
        <w:t xml:space="preserve">the SEC comment letters might lead IPO firms </w:t>
      </w:r>
      <w:r w:rsidR="00082F6F" w:rsidRPr="00E915AA">
        <w:rPr>
          <w:rFonts w:ascii="Times New Roman" w:eastAsia="Calibri" w:hAnsi="Times New Roman" w:cs="Times New Roman"/>
          <w:sz w:val="24"/>
          <w:szCs w:val="24"/>
          <w:lang w:val="en-GB" w:eastAsia="en-GB"/>
        </w:rPr>
        <w:t xml:space="preserve">switch </w:t>
      </w:r>
      <w:r w:rsidR="006D32CE" w:rsidRPr="00E915AA">
        <w:rPr>
          <w:rFonts w:ascii="Times New Roman" w:eastAsia="Calibri" w:hAnsi="Times New Roman" w:cs="Times New Roman"/>
          <w:sz w:val="24"/>
          <w:szCs w:val="24"/>
          <w:lang w:val="en-GB" w:eastAsia="en-GB"/>
        </w:rPr>
        <w:t xml:space="preserve">from </w:t>
      </w:r>
      <w:r w:rsidR="00814287" w:rsidRPr="00E915AA">
        <w:rPr>
          <w:rFonts w:ascii="Times New Roman" w:eastAsia="Calibri" w:hAnsi="Times New Roman" w:cs="Times New Roman"/>
          <w:sz w:val="24"/>
          <w:szCs w:val="24"/>
          <w:lang w:val="en-GB" w:eastAsia="en-GB"/>
        </w:rPr>
        <w:t>AEM to REM</w:t>
      </w:r>
      <w:r w:rsidR="00734C5E" w:rsidRPr="00E915AA">
        <w:rPr>
          <w:rFonts w:ascii="Times New Roman" w:eastAsia="Calibri" w:hAnsi="Times New Roman" w:cs="Times New Roman"/>
          <w:sz w:val="24"/>
          <w:szCs w:val="24"/>
          <w:lang w:val="en-GB" w:eastAsia="en-GB"/>
        </w:rPr>
        <w:t xml:space="preserve">, </w:t>
      </w:r>
      <w:r w:rsidR="00EC401F" w:rsidRPr="00E915AA">
        <w:rPr>
          <w:rFonts w:ascii="Times New Roman" w:eastAsia="Calibri" w:hAnsi="Times New Roman" w:cs="Times New Roman"/>
          <w:sz w:val="24"/>
          <w:szCs w:val="24"/>
          <w:lang w:val="en-GB" w:eastAsia="en-GB"/>
        </w:rPr>
        <w:t xml:space="preserve">collectively </w:t>
      </w:r>
      <w:r w:rsidR="00734C5E" w:rsidRPr="00E915AA">
        <w:rPr>
          <w:rFonts w:ascii="Times New Roman" w:eastAsia="Calibri" w:hAnsi="Times New Roman" w:cs="Times New Roman"/>
          <w:sz w:val="24"/>
          <w:szCs w:val="24"/>
          <w:lang w:val="en-GB" w:eastAsia="en-GB"/>
        </w:rPr>
        <w:t>impl</w:t>
      </w:r>
      <w:r w:rsidR="00CB2209" w:rsidRPr="00E915AA">
        <w:rPr>
          <w:rFonts w:ascii="Times New Roman" w:eastAsia="Calibri" w:hAnsi="Times New Roman" w:cs="Times New Roman"/>
          <w:sz w:val="24"/>
          <w:szCs w:val="24"/>
          <w:lang w:val="en-GB" w:eastAsia="en-GB"/>
        </w:rPr>
        <w:t xml:space="preserve">ying that AEM is likely to </w:t>
      </w:r>
      <w:r w:rsidR="00082F6F" w:rsidRPr="00E915AA">
        <w:rPr>
          <w:rFonts w:ascii="Times New Roman" w:eastAsia="Calibri" w:hAnsi="Times New Roman" w:cs="Times New Roman"/>
          <w:sz w:val="24"/>
          <w:szCs w:val="24"/>
          <w:lang w:val="en-GB" w:eastAsia="en-GB"/>
        </w:rPr>
        <w:t xml:space="preserve">be </w:t>
      </w:r>
      <w:r w:rsidR="00533C34" w:rsidRPr="00E915AA">
        <w:rPr>
          <w:rFonts w:ascii="Times New Roman" w:eastAsia="Calibri" w:hAnsi="Times New Roman" w:cs="Times New Roman"/>
          <w:sz w:val="24"/>
          <w:szCs w:val="24"/>
          <w:lang w:val="en-GB" w:eastAsia="en-GB"/>
        </w:rPr>
        <w:t xml:space="preserve">more </w:t>
      </w:r>
      <w:r w:rsidR="00082F6F" w:rsidRPr="00E915AA">
        <w:rPr>
          <w:rFonts w:ascii="Times New Roman" w:eastAsia="Calibri" w:hAnsi="Times New Roman" w:cs="Times New Roman"/>
          <w:sz w:val="24"/>
          <w:szCs w:val="24"/>
          <w:lang w:val="en-GB" w:eastAsia="en-GB"/>
        </w:rPr>
        <w:t xml:space="preserve">targeted </w:t>
      </w:r>
      <w:r w:rsidR="00A56E24" w:rsidRPr="00E915AA">
        <w:rPr>
          <w:rFonts w:ascii="Times New Roman" w:eastAsia="Calibri" w:hAnsi="Times New Roman" w:cs="Times New Roman"/>
          <w:sz w:val="24"/>
          <w:szCs w:val="24"/>
          <w:lang w:val="en-GB" w:eastAsia="en-GB"/>
        </w:rPr>
        <w:t>with</w:t>
      </w:r>
      <w:r w:rsidR="00082F6F" w:rsidRPr="00E915AA">
        <w:rPr>
          <w:rFonts w:ascii="Times New Roman" w:eastAsia="Calibri" w:hAnsi="Times New Roman" w:cs="Times New Roman"/>
          <w:sz w:val="24"/>
          <w:szCs w:val="24"/>
          <w:lang w:val="en-GB" w:eastAsia="en-GB"/>
        </w:rPr>
        <w:t xml:space="preserve">in </w:t>
      </w:r>
      <w:r w:rsidR="00CB2209" w:rsidRPr="00E915AA">
        <w:rPr>
          <w:rFonts w:ascii="Times New Roman" w:eastAsia="Calibri" w:hAnsi="Times New Roman" w:cs="Times New Roman"/>
          <w:sz w:val="24"/>
          <w:szCs w:val="24"/>
          <w:lang w:val="en-GB" w:eastAsia="en-GB"/>
        </w:rPr>
        <w:t>SEC review</w:t>
      </w:r>
      <w:r w:rsidR="00082F6F" w:rsidRPr="00E915AA">
        <w:rPr>
          <w:rFonts w:ascii="Times New Roman" w:eastAsia="Calibri" w:hAnsi="Times New Roman" w:cs="Times New Roman"/>
          <w:sz w:val="24"/>
          <w:szCs w:val="24"/>
          <w:lang w:val="en-GB" w:eastAsia="en-GB"/>
        </w:rPr>
        <w:t>s</w:t>
      </w:r>
      <w:r w:rsidR="00265CC8" w:rsidRPr="00E915AA">
        <w:rPr>
          <w:rFonts w:ascii="Times New Roman" w:eastAsia="Calibri" w:hAnsi="Times New Roman" w:cs="Times New Roman"/>
          <w:sz w:val="24"/>
          <w:szCs w:val="24"/>
          <w:lang w:val="en-GB" w:eastAsia="en-GB"/>
        </w:rPr>
        <w:t xml:space="preserve">. Therefore, it would be useful to investigate </w:t>
      </w:r>
      <w:r w:rsidR="0011055A" w:rsidRPr="00E915AA">
        <w:rPr>
          <w:rFonts w:ascii="Times New Roman" w:eastAsia="Calibri" w:hAnsi="Times New Roman" w:cs="Times New Roman"/>
          <w:sz w:val="24"/>
          <w:szCs w:val="24"/>
          <w:lang w:val="en-GB" w:eastAsia="en-GB"/>
        </w:rPr>
        <w:t xml:space="preserve">the scope of the SEC review on </w:t>
      </w:r>
      <w:r w:rsidR="00EE67FE" w:rsidRPr="00E915AA">
        <w:rPr>
          <w:rFonts w:ascii="Times New Roman" w:eastAsia="Calibri" w:hAnsi="Times New Roman" w:cs="Times New Roman"/>
          <w:sz w:val="24"/>
          <w:szCs w:val="24"/>
          <w:lang w:val="en-GB" w:eastAsia="en-GB"/>
        </w:rPr>
        <w:t>IPO registration statements when addressing IPO firms’ earnings management.</w:t>
      </w:r>
    </w:p>
    <w:p w14:paraId="5CF0AAD7" w14:textId="14B81918"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Using a sample of 799 IPOs filing on </w:t>
      </w:r>
      <w:r w:rsidR="00855EC5" w:rsidRPr="00E915AA">
        <w:rPr>
          <w:rFonts w:ascii="Times New Roman" w:eastAsia="Calibri" w:hAnsi="Times New Roman" w:cs="Times New Roman"/>
          <w:sz w:val="24"/>
          <w:szCs w:val="24"/>
          <w:lang w:val="en-GB" w:eastAsia="en-GB"/>
        </w:rPr>
        <w:t>US</w:t>
      </w:r>
      <w:r w:rsidRPr="00E915AA">
        <w:rPr>
          <w:rFonts w:ascii="Times New Roman" w:eastAsia="Calibri" w:hAnsi="Times New Roman" w:cs="Times New Roman"/>
          <w:sz w:val="24"/>
          <w:szCs w:val="24"/>
          <w:lang w:val="en-GB" w:eastAsia="en-GB"/>
        </w:rPr>
        <w:t xml:space="preserve"> exchanges between May 2005 and December 2017, </w:t>
      </w:r>
      <w:r w:rsidR="007D10DC" w:rsidRPr="00E915AA">
        <w:rPr>
          <w:rFonts w:ascii="Times New Roman" w:eastAsia="Calibri" w:hAnsi="Times New Roman" w:cs="Times New Roman"/>
          <w:sz w:val="24"/>
          <w:szCs w:val="24"/>
          <w:lang w:val="en-GB" w:eastAsia="en-GB"/>
        </w:rPr>
        <w:t>we</w:t>
      </w:r>
      <w:r w:rsidRPr="00E915AA">
        <w:rPr>
          <w:rFonts w:ascii="Times New Roman" w:eastAsia="Calibri" w:hAnsi="Times New Roman" w:cs="Times New Roman"/>
          <w:sz w:val="24"/>
          <w:szCs w:val="24"/>
          <w:lang w:val="en-GB" w:eastAsia="en-GB"/>
        </w:rPr>
        <w:t xml:space="preserve"> examine the sensitivity of SEC reviews to</w:t>
      </w:r>
      <w:r w:rsidR="00DC044F"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(1) accruals-based earnings management, which involves the exercise of discretionary accounting choices in </w:t>
      </w:r>
      <w:r w:rsidR="00E97704" w:rsidRPr="00E915AA">
        <w:rPr>
          <w:rFonts w:ascii="Times New Roman" w:eastAsia="Calibri" w:hAnsi="Times New Roman" w:cs="Times New Roman"/>
          <w:sz w:val="24"/>
          <w:szCs w:val="24"/>
          <w:lang w:val="en-GB" w:eastAsia="en-GB"/>
        </w:rPr>
        <w:t xml:space="preserve">recognising </w:t>
      </w:r>
      <w:r w:rsidRPr="00E915AA">
        <w:rPr>
          <w:rFonts w:ascii="Times New Roman" w:eastAsia="Calibri" w:hAnsi="Times New Roman" w:cs="Times New Roman"/>
          <w:sz w:val="24"/>
          <w:szCs w:val="24"/>
          <w:lang w:val="en-GB" w:eastAsia="en-GB"/>
        </w:rPr>
        <w:t>accruals, and (2) real earnings management, which involves the modification of the timing or nature of real activities such as sales and discretionary expenses. The extensiveness of SEC regulatory scrutiny is measured as</w:t>
      </w:r>
      <w:r w:rsidR="00DC044F"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(a) the duration of the IPO approval process; (b) the number of comment letters issued by the SEC; (c) the range of themes addressed by SEC comments; (d) the number of core-accounting-related comments; and (e) the number of non-core-accounting-related comments in initial SEC comment letters. </w:t>
      </w:r>
    </w:p>
    <w:p w14:paraId="2C78C3F1" w14:textId="45CE8716"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 xml:space="preserve">Consistent with SEC reviews being effective in addressing the information quality of IPO registration statements, </w:t>
      </w:r>
      <w:r w:rsidR="0015097E" w:rsidRPr="00E915AA">
        <w:rPr>
          <w:rFonts w:ascii="Times New Roman" w:eastAsia="Calibri" w:hAnsi="Times New Roman" w:cs="Times New Roman"/>
          <w:sz w:val="24"/>
          <w:szCs w:val="24"/>
          <w:lang w:val="en-GB" w:eastAsia="en-GB"/>
        </w:rPr>
        <w:t>our</w:t>
      </w:r>
      <w:r w:rsidRPr="00E915AA">
        <w:rPr>
          <w:rFonts w:ascii="Times New Roman" w:eastAsia="Calibri" w:hAnsi="Times New Roman" w:cs="Times New Roman"/>
          <w:sz w:val="24"/>
          <w:szCs w:val="24"/>
          <w:lang w:val="en-GB" w:eastAsia="en-GB"/>
        </w:rPr>
        <w:t xml:space="preserve"> findings reveal that IPO firms with higher levels of AEM are likely to: experience longer SEC reviews; receive more comment letters and on a wider range of themes; and receive more core-accounting-related comments</w:t>
      </w:r>
      <w:r w:rsidR="00D826CA" w:rsidRPr="00E915AA">
        <w:rPr>
          <w:rFonts w:ascii="Times New Roman" w:eastAsia="Calibri" w:hAnsi="Times New Roman" w:cs="Times New Roman"/>
          <w:sz w:val="24"/>
          <w:szCs w:val="24"/>
          <w:lang w:val="en-GB" w:eastAsia="en-GB"/>
        </w:rPr>
        <w:t>, indicating the effectiveness of the SEC in addressing AEM within IPO registration statements</w:t>
      </w:r>
      <w:r w:rsidRPr="00E915AA">
        <w:rPr>
          <w:rFonts w:ascii="Times New Roman" w:eastAsia="Calibri" w:hAnsi="Times New Roman" w:cs="Times New Roman"/>
          <w:sz w:val="24"/>
          <w:szCs w:val="24"/>
          <w:lang w:val="en-GB" w:eastAsia="en-GB"/>
        </w:rPr>
        <w:t>. On the other hand</w:t>
      </w:r>
      <w:r w:rsidR="003D18D8" w:rsidRPr="00E915AA">
        <w:rPr>
          <w:rFonts w:ascii="Times New Roman" w:eastAsia="Calibri" w:hAnsi="Times New Roman" w:cs="Times New Roman"/>
          <w:sz w:val="24"/>
          <w:szCs w:val="24"/>
          <w:lang w:val="en-GB" w:eastAsia="en-GB"/>
        </w:rPr>
        <w:t xml:space="preserve">, </w:t>
      </w:r>
      <w:r w:rsidR="002573B2" w:rsidRPr="00E915AA">
        <w:rPr>
          <w:rFonts w:ascii="Times New Roman" w:eastAsia="Calibri" w:hAnsi="Times New Roman" w:cs="Times New Roman"/>
          <w:sz w:val="24"/>
          <w:szCs w:val="24"/>
          <w:lang w:val="en-GB" w:eastAsia="en-GB"/>
        </w:rPr>
        <w:t xml:space="preserve">the findings show </w:t>
      </w:r>
      <w:r w:rsidR="00320CEF" w:rsidRPr="00E915AA">
        <w:rPr>
          <w:rFonts w:ascii="Times New Roman" w:eastAsia="Calibri" w:hAnsi="Times New Roman" w:cs="Times New Roman"/>
          <w:sz w:val="24"/>
          <w:szCs w:val="24"/>
          <w:lang w:val="en-GB" w:eastAsia="en-GB"/>
        </w:rPr>
        <w:t xml:space="preserve">weak evidence </w:t>
      </w:r>
      <w:r w:rsidR="00527731" w:rsidRPr="00E915AA">
        <w:rPr>
          <w:rFonts w:ascii="Times New Roman" w:eastAsia="Calibri" w:hAnsi="Times New Roman" w:cs="Times New Roman"/>
          <w:sz w:val="24"/>
          <w:szCs w:val="24"/>
          <w:lang w:val="en-GB" w:eastAsia="en-GB"/>
        </w:rPr>
        <w:t>on the effectiveness of SEC review</w:t>
      </w:r>
      <w:r w:rsidR="007C6FA7" w:rsidRPr="00E915AA">
        <w:rPr>
          <w:rFonts w:ascii="Times New Roman" w:eastAsia="Calibri" w:hAnsi="Times New Roman" w:cs="Times New Roman"/>
          <w:sz w:val="24"/>
          <w:szCs w:val="24"/>
          <w:lang w:val="en-GB" w:eastAsia="en-GB"/>
        </w:rPr>
        <w:t>s</w:t>
      </w:r>
      <w:r w:rsidR="00527731" w:rsidRPr="00E915AA">
        <w:rPr>
          <w:rFonts w:ascii="Times New Roman" w:eastAsia="Calibri" w:hAnsi="Times New Roman" w:cs="Times New Roman"/>
          <w:sz w:val="24"/>
          <w:szCs w:val="24"/>
          <w:lang w:val="en-GB" w:eastAsia="en-GB"/>
        </w:rPr>
        <w:t xml:space="preserve"> in addressing </w:t>
      </w:r>
      <w:r w:rsidR="00F70755" w:rsidRPr="00E915AA">
        <w:rPr>
          <w:rFonts w:ascii="Times New Roman" w:eastAsia="Calibri" w:hAnsi="Times New Roman" w:cs="Times New Roman"/>
          <w:sz w:val="24"/>
          <w:szCs w:val="24"/>
          <w:lang w:val="en-GB" w:eastAsia="en-GB"/>
        </w:rPr>
        <w:t xml:space="preserve">REM. Specifically, the </w:t>
      </w:r>
      <w:r w:rsidR="002573B2" w:rsidRPr="00E915AA">
        <w:rPr>
          <w:rFonts w:ascii="Times New Roman" w:eastAsia="Calibri" w:hAnsi="Times New Roman" w:cs="Times New Roman"/>
          <w:sz w:val="24"/>
          <w:szCs w:val="24"/>
          <w:lang w:val="en-GB" w:eastAsia="en-GB"/>
        </w:rPr>
        <w:t xml:space="preserve">SEC are </w:t>
      </w:r>
      <w:r w:rsidR="00F70755" w:rsidRPr="00E915AA">
        <w:rPr>
          <w:rFonts w:ascii="Times New Roman" w:eastAsia="Calibri" w:hAnsi="Times New Roman" w:cs="Times New Roman"/>
          <w:sz w:val="24"/>
          <w:szCs w:val="24"/>
          <w:lang w:val="en-GB" w:eastAsia="en-GB"/>
        </w:rPr>
        <w:t>identified</w:t>
      </w:r>
      <w:r w:rsidR="002573B2" w:rsidRPr="00E915AA">
        <w:rPr>
          <w:rFonts w:ascii="Times New Roman" w:eastAsia="Calibri" w:hAnsi="Times New Roman" w:cs="Times New Roman"/>
          <w:sz w:val="24"/>
          <w:szCs w:val="24"/>
          <w:lang w:val="en-GB" w:eastAsia="en-GB"/>
        </w:rPr>
        <w:t xml:space="preserve"> to spend more time reviewing disclosures of IPO firms with higher discretionary-expense-based real earnings management. </w:t>
      </w:r>
      <w:r w:rsidR="003D18D8" w:rsidRPr="00E915AA">
        <w:rPr>
          <w:rFonts w:ascii="Times New Roman" w:eastAsia="Calibri" w:hAnsi="Times New Roman" w:cs="Times New Roman"/>
          <w:sz w:val="24"/>
          <w:szCs w:val="24"/>
          <w:lang w:val="en-GB" w:eastAsia="en-GB"/>
        </w:rPr>
        <w:t xml:space="preserve">Also, </w:t>
      </w:r>
      <w:r w:rsidR="007D10DC" w:rsidRPr="00E915AA">
        <w:rPr>
          <w:rFonts w:ascii="Times New Roman" w:eastAsia="Calibri" w:hAnsi="Times New Roman" w:cs="Times New Roman"/>
          <w:sz w:val="24"/>
          <w:szCs w:val="24"/>
          <w:lang w:val="en-GB" w:eastAsia="en-GB"/>
        </w:rPr>
        <w:t>we</w:t>
      </w:r>
      <w:r w:rsidRPr="00E915AA">
        <w:rPr>
          <w:rFonts w:ascii="Times New Roman" w:eastAsia="Calibri" w:hAnsi="Times New Roman" w:cs="Times New Roman"/>
          <w:sz w:val="24"/>
          <w:szCs w:val="24"/>
          <w:lang w:val="en-GB" w:eastAsia="en-GB"/>
        </w:rPr>
        <w:t xml:space="preserve"> identif</w:t>
      </w:r>
      <w:r w:rsidR="007D10DC" w:rsidRPr="00E915AA">
        <w:rPr>
          <w:rFonts w:ascii="Times New Roman" w:eastAsia="Calibri" w:hAnsi="Times New Roman" w:cs="Times New Roman"/>
          <w:sz w:val="24"/>
          <w:szCs w:val="24"/>
          <w:lang w:val="en-GB" w:eastAsia="en-GB"/>
        </w:rPr>
        <w:t>y</w:t>
      </w:r>
      <w:r w:rsidRPr="00E915AA">
        <w:rPr>
          <w:rFonts w:ascii="Times New Roman" w:eastAsia="Calibri" w:hAnsi="Times New Roman" w:cs="Times New Roman"/>
          <w:sz w:val="24"/>
          <w:szCs w:val="24"/>
          <w:lang w:val="en-GB" w:eastAsia="en-GB"/>
        </w:rPr>
        <w:t xml:space="preserve"> that IPO firms exhibiting higher sales-based real earning management typically have shorter, rather than longer, SEC reviews and receive </w:t>
      </w:r>
      <w:r w:rsidR="00DC044F" w:rsidRPr="00E915AA">
        <w:rPr>
          <w:rFonts w:ascii="Times New Roman" w:eastAsia="Calibri" w:hAnsi="Times New Roman" w:cs="Times New Roman"/>
          <w:sz w:val="24"/>
          <w:szCs w:val="24"/>
          <w:lang w:val="en-GB" w:eastAsia="en-GB"/>
        </w:rPr>
        <w:t>fewer</w:t>
      </w:r>
      <w:r w:rsidRPr="00E915AA">
        <w:rPr>
          <w:rFonts w:ascii="Times New Roman" w:eastAsia="Calibri" w:hAnsi="Times New Roman" w:cs="Times New Roman"/>
          <w:sz w:val="24"/>
          <w:szCs w:val="24"/>
          <w:lang w:val="en-GB" w:eastAsia="en-GB"/>
        </w:rPr>
        <w:t xml:space="preserve"> non-core-accounting-related comments, suggesting that SEC reviews are not similarly sensitive to all forms of earnings management</w:t>
      </w:r>
      <w:r w:rsidR="00970C3B" w:rsidRPr="00E915AA">
        <w:rPr>
          <w:rFonts w:ascii="Times New Roman" w:eastAsia="Calibri" w:hAnsi="Times New Roman" w:cs="Times New Roman"/>
          <w:sz w:val="24"/>
          <w:szCs w:val="24"/>
          <w:lang w:val="en-GB" w:eastAsia="en-GB"/>
        </w:rPr>
        <w:t xml:space="preserve"> and </w:t>
      </w:r>
      <w:r w:rsidR="007C6FA7" w:rsidRPr="00E915AA">
        <w:rPr>
          <w:rFonts w:ascii="Times New Roman" w:eastAsia="Calibri" w:hAnsi="Times New Roman" w:cs="Times New Roman"/>
          <w:sz w:val="24"/>
          <w:szCs w:val="24"/>
          <w:lang w:val="en-GB" w:eastAsia="en-GB"/>
        </w:rPr>
        <w:t xml:space="preserve">may </w:t>
      </w:r>
      <w:r w:rsidR="00970C3B" w:rsidRPr="00E915AA">
        <w:rPr>
          <w:rFonts w:ascii="Times New Roman" w:eastAsia="Calibri" w:hAnsi="Times New Roman" w:cs="Times New Roman"/>
          <w:sz w:val="24"/>
          <w:szCs w:val="24"/>
          <w:lang w:val="en-GB" w:eastAsia="en-GB"/>
        </w:rPr>
        <w:t xml:space="preserve">even </w:t>
      </w:r>
      <w:r w:rsidR="007C6FA7" w:rsidRPr="00E915AA">
        <w:rPr>
          <w:rFonts w:ascii="Times New Roman" w:eastAsia="Calibri" w:hAnsi="Times New Roman" w:cs="Times New Roman"/>
          <w:sz w:val="24"/>
          <w:szCs w:val="24"/>
          <w:lang w:val="en-GB" w:eastAsia="en-GB"/>
        </w:rPr>
        <w:t xml:space="preserve">be </w:t>
      </w:r>
      <w:r w:rsidR="00970C3B" w:rsidRPr="00E915AA">
        <w:rPr>
          <w:rFonts w:ascii="Times New Roman" w:eastAsia="Calibri" w:hAnsi="Times New Roman" w:cs="Times New Roman"/>
          <w:sz w:val="24"/>
          <w:szCs w:val="24"/>
          <w:lang w:val="en-GB" w:eastAsia="en-GB"/>
        </w:rPr>
        <w:t>ineffective in addressing sales-based manipulation with</w:t>
      </w:r>
      <w:r w:rsidR="00D826CA" w:rsidRPr="00E915AA">
        <w:rPr>
          <w:rFonts w:ascii="Times New Roman" w:eastAsia="Calibri" w:hAnsi="Times New Roman" w:cs="Times New Roman"/>
          <w:sz w:val="24"/>
          <w:szCs w:val="24"/>
          <w:lang w:val="en-GB" w:eastAsia="en-GB"/>
        </w:rPr>
        <w:t>in IPO registration statements</w:t>
      </w:r>
      <w:r w:rsidRPr="00E915AA">
        <w:rPr>
          <w:rFonts w:ascii="Times New Roman" w:eastAsia="Calibri" w:hAnsi="Times New Roman" w:cs="Times New Roman"/>
          <w:sz w:val="24"/>
          <w:szCs w:val="24"/>
          <w:lang w:val="en-GB" w:eastAsia="en-GB"/>
        </w:rPr>
        <w:t>.</w:t>
      </w:r>
      <w:r w:rsidR="00015A74" w:rsidRPr="00E915AA">
        <w:rPr>
          <w:rStyle w:val="FootnoteReference"/>
          <w:rFonts w:ascii="Times New Roman" w:eastAsia="Calibri" w:hAnsi="Times New Roman" w:cs="Times New Roman"/>
          <w:sz w:val="24"/>
          <w:szCs w:val="24"/>
          <w:lang w:val="en-GB" w:eastAsia="en-GB"/>
        </w:rPr>
        <w:footnoteReference w:id="4"/>
      </w:r>
      <w:r w:rsidRPr="00E915AA">
        <w:rPr>
          <w:rFonts w:ascii="Times New Roman" w:eastAsia="Calibri" w:hAnsi="Times New Roman" w:cs="Times New Roman"/>
          <w:sz w:val="24"/>
          <w:szCs w:val="24"/>
          <w:lang w:val="en-GB" w:eastAsia="en-GB"/>
        </w:rPr>
        <w:t xml:space="preserve"> </w:t>
      </w:r>
      <w:bookmarkStart w:id="4" w:name="_Hlk115536674"/>
    </w:p>
    <w:bookmarkEnd w:id="4"/>
    <w:p w14:paraId="3F9796B8" w14:textId="43BCC18B" w:rsidR="00072CCE" w:rsidRPr="00E915AA" w:rsidRDefault="00CA339F"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terms of the </w:t>
      </w:r>
      <w:r w:rsidR="00F94312" w:rsidRPr="00E915AA">
        <w:rPr>
          <w:rFonts w:ascii="Times New Roman" w:eastAsia="Calibri" w:hAnsi="Times New Roman" w:cs="Times New Roman"/>
          <w:sz w:val="24"/>
          <w:szCs w:val="24"/>
          <w:lang w:val="en-GB" w:eastAsia="en-GB"/>
        </w:rPr>
        <w:t xml:space="preserve">changes in earnings management under the JOBS Act, we observe that, </w:t>
      </w:r>
      <w:proofErr w:type="gramStart"/>
      <w:r w:rsidR="00F94312" w:rsidRPr="00E915AA">
        <w:rPr>
          <w:rFonts w:ascii="Times New Roman" w:eastAsia="Calibri" w:hAnsi="Times New Roman" w:cs="Times New Roman"/>
          <w:sz w:val="24"/>
          <w:szCs w:val="24"/>
          <w:lang w:val="en-GB" w:eastAsia="en-GB"/>
        </w:rPr>
        <w:t>as a consequence of</w:t>
      </w:r>
      <w:proofErr w:type="gramEnd"/>
      <w:r w:rsidR="00F94312" w:rsidRPr="00E915AA">
        <w:rPr>
          <w:rFonts w:ascii="Times New Roman" w:eastAsia="Calibri" w:hAnsi="Times New Roman" w:cs="Times New Roman"/>
          <w:sz w:val="24"/>
          <w:szCs w:val="24"/>
          <w:lang w:val="en-GB" w:eastAsia="en-GB"/>
        </w:rPr>
        <w:t xml:space="preserve"> the JOBS Act's reporting exemptions, IPO issuers are more likely to manage earnings while filing their IPO registration statements </w:t>
      </w:r>
      <w:r w:rsidR="00FB08DE" w:rsidRPr="00E915AA">
        <w:rPr>
          <w:rFonts w:ascii="Times New Roman" w:eastAsia="Calibri" w:hAnsi="Times New Roman" w:cs="Times New Roman"/>
          <w:sz w:val="24"/>
          <w:szCs w:val="24"/>
          <w:lang w:val="en-GB" w:eastAsia="en-GB"/>
        </w:rPr>
        <w:t>under the Act</w:t>
      </w:r>
      <w:r w:rsidR="00F94312" w:rsidRPr="00E915AA">
        <w:rPr>
          <w:rFonts w:ascii="Times New Roman" w:eastAsia="Calibri" w:hAnsi="Times New Roman" w:cs="Times New Roman"/>
          <w:sz w:val="24"/>
          <w:szCs w:val="24"/>
          <w:lang w:val="en-GB" w:eastAsia="en-GB"/>
        </w:rPr>
        <w:t xml:space="preserve">. </w:t>
      </w:r>
      <w:r w:rsidR="00FB08DE" w:rsidRPr="00E915AA">
        <w:rPr>
          <w:rFonts w:ascii="Times New Roman" w:eastAsia="Calibri" w:hAnsi="Times New Roman" w:cs="Times New Roman"/>
          <w:sz w:val="24"/>
          <w:szCs w:val="24"/>
          <w:lang w:val="en-GB" w:eastAsia="en-GB"/>
        </w:rPr>
        <w:t>Specifically, t</w:t>
      </w:r>
      <w:r w:rsidR="00F94312" w:rsidRPr="00E915AA">
        <w:rPr>
          <w:rFonts w:ascii="Times New Roman" w:eastAsia="Calibri" w:hAnsi="Times New Roman" w:cs="Times New Roman"/>
          <w:sz w:val="24"/>
          <w:szCs w:val="24"/>
          <w:lang w:val="en-GB" w:eastAsia="en-GB"/>
        </w:rPr>
        <w:t xml:space="preserve">he degree of accruals-based EM, EM through abnormal cash flow from operations, and EM through discretionary expenses </w:t>
      </w:r>
      <w:r w:rsidR="00FB08DE" w:rsidRPr="00E915AA">
        <w:rPr>
          <w:rFonts w:ascii="Times New Roman" w:eastAsia="Calibri" w:hAnsi="Times New Roman" w:cs="Times New Roman"/>
          <w:sz w:val="24"/>
          <w:szCs w:val="24"/>
          <w:lang w:val="en-GB" w:eastAsia="en-GB"/>
        </w:rPr>
        <w:t xml:space="preserve">within </w:t>
      </w:r>
      <w:r w:rsidR="00925F6C" w:rsidRPr="00E915AA">
        <w:rPr>
          <w:rFonts w:ascii="Times New Roman" w:eastAsia="Calibri" w:hAnsi="Times New Roman" w:cs="Times New Roman"/>
          <w:sz w:val="24"/>
          <w:szCs w:val="24"/>
          <w:lang w:val="en-GB" w:eastAsia="en-GB"/>
        </w:rPr>
        <w:t xml:space="preserve">IPO registration statements </w:t>
      </w:r>
      <w:r w:rsidR="00F94312" w:rsidRPr="00E915AA">
        <w:rPr>
          <w:rFonts w:ascii="Times New Roman" w:eastAsia="Calibri" w:hAnsi="Times New Roman" w:cs="Times New Roman"/>
          <w:sz w:val="24"/>
          <w:szCs w:val="24"/>
          <w:lang w:val="en-GB" w:eastAsia="en-GB"/>
        </w:rPr>
        <w:t>all increase after the JOBS Act</w:t>
      </w:r>
      <w:r w:rsidR="001947AE" w:rsidRPr="00E915AA">
        <w:rPr>
          <w:rFonts w:ascii="Times New Roman" w:eastAsia="Calibri" w:hAnsi="Times New Roman" w:cs="Times New Roman"/>
          <w:sz w:val="24"/>
          <w:szCs w:val="24"/>
          <w:lang w:val="en-GB" w:eastAsia="en-GB"/>
        </w:rPr>
        <w:t>’s</w:t>
      </w:r>
      <w:r w:rsidR="00925F6C" w:rsidRPr="00E915AA">
        <w:rPr>
          <w:rFonts w:ascii="Times New Roman" w:eastAsia="Calibri" w:hAnsi="Times New Roman" w:cs="Times New Roman"/>
          <w:sz w:val="24"/>
          <w:szCs w:val="24"/>
          <w:lang w:val="en-GB" w:eastAsia="en-GB"/>
        </w:rPr>
        <w:t xml:space="preserve"> enactment</w:t>
      </w:r>
      <w:r w:rsidR="00F94312" w:rsidRPr="00E915AA">
        <w:rPr>
          <w:rFonts w:ascii="Times New Roman" w:eastAsia="Calibri" w:hAnsi="Times New Roman" w:cs="Times New Roman"/>
          <w:sz w:val="24"/>
          <w:szCs w:val="24"/>
          <w:lang w:val="en-GB" w:eastAsia="en-GB"/>
        </w:rPr>
        <w:t xml:space="preserve">. These results are consistent with indications that the JOBS Act's passage might reduce the information quality </w:t>
      </w:r>
      <w:r w:rsidR="00A60423" w:rsidRPr="00E915AA">
        <w:rPr>
          <w:rFonts w:ascii="Times New Roman" w:eastAsia="Calibri" w:hAnsi="Times New Roman" w:cs="Times New Roman"/>
          <w:sz w:val="24"/>
          <w:szCs w:val="24"/>
          <w:lang w:val="en-GB" w:eastAsia="en-GB"/>
        </w:rPr>
        <w:t>in</w:t>
      </w:r>
      <w:r w:rsidR="00F94312" w:rsidRPr="00E915AA">
        <w:rPr>
          <w:rFonts w:ascii="Times New Roman" w:eastAsia="Calibri" w:hAnsi="Times New Roman" w:cs="Times New Roman"/>
          <w:sz w:val="24"/>
          <w:szCs w:val="24"/>
          <w:lang w:val="en-GB" w:eastAsia="en-GB"/>
        </w:rPr>
        <w:t xml:space="preserve"> </w:t>
      </w:r>
      <w:r w:rsidR="00855EC5" w:rsidRPr="00E915AA">
        <w:rPr>
          <w:rFonts w:ascii="Times New Roman" w:eastAsia="Calibri" w:hAnsi="Times New Roman" w:cs="Times New Roman"/>
          <w:sz w:val="24"/>
          <w:szCs w:val="24"/>
          <w:lang w:val="en-GB" w:eastAsia="en-GB"/>
        </w:rPr>
        <w:t>US</w:t>
      </w:r>
      <w:r w:rsidR="00F94312" w:rsidRPr="00E915AA">
        <w:rPr>
          <w:rFonts w:ascii="Times New Roman" w:eastAsia="Calibri" w:hAnsi="Times New Roman" w:cs="Times New Roman"/>
          <w:sz w:val="24"/>
          <w:szCs w:val="24"/>
          <w:lang w:val="en-GB" w:eastAsia="en-GB"/>
        </w:rPr>
        <w:t xml:space="preserve"> capital markets (Agarwal et al., 2017; Barth et al., 2017; Chaplinsky et al., 2017)</w:t>
      </w:r>
      <w:r w:rsidR="00A825B0" w:rsidRPr="00E915AA">
        <w:rPr>
          <w:rFonts w:ascii="Times New Roman" w:eastAsia="Calibri" w:hAnsi="Times New Roman" w:cs="Times New Roman"/>
          <w:sz w:val="24"/>
          <w:szCs w:val="24"/>
          <w:lang w:val="en-GB" w:eastAsia="en-GB"/>
        </w:rPr>
        <w:t>.</w:t>
      </w:r>
    </w:p>
    <w:p w14:paraId="3001CBFE" w14:textId="3DF2A0E0"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Regarding the effects of the JOBS Act on the sensitivity of SEC reviews to income-increasing earnings management, </w:t>
      </w:r>
      <w:r w:rsidR="007D10DC" w:rsidRPr="00E915AA">
        <w:rPr>
          <w:rFonts w:ascii="Times New Roman" w:eastAsia="Calibri" w:hAnsi="Times New Roman" w:cs="Times New Roman"/>
          <w:sz w:val="24"/>
          <w:szCs w:val="24"/>
          <w:lang w:val="en-GB" w:eastAsia="en-GB"/>
        </w:rPr>
        <w:t xml:space="preserve">our </w:t>
      </w:r>
      <w:r w:rsidRPr="00E915AA">
        <w:rPr>
          <w:rFonts w:ascii="Times New Roman" w:eastAsia="Calibri" w:hAnsi="Times New Roman" w:cs="Times New Roman"/>
          <w:sz w:val="24"/>
          <w:szCs w:val="24"/>
          <w:lang w:val="en-GB" w:eastAsia="en-GB"/>
        </w:rPr>
        <w:t>study shows that</w:t>
      </w:r>
      <w:r w:rsidR="00D24079" w:rsidRPr="00E915AA">
        <w:rPr>
          <w:rFonts w:ascii="Times New Roman" w:eastAsia="Calibri" w:hAnsi="Times New Roman" w:cs="Times New Roman"/>
          <w:sz w:val="24"/>
          <w:szCs w:val="24"/>
          <w:lang w:val="en-GB" w:eastAsia="en-GB"/>
        </w:rPr>
        <w:t xml:space="preserve"> in </w:t>
      </w:r>
      <w:r w:rsidR="00A016E8" w:rsidRPr="00E915AA">
        <w:rPr>
          <w:rFonts w:ascii="Times New Roman" w:eastAsia="Calibri" w:hAnsi="Times New Roman" w:cs="Times New Roman"/>
          <w:sz w:val="24"/>
          <w:szCs w:val="24"/>
          <w:lang w:val="en-GB" w:eastAsia="en-GB"/>
        </w:rPr>
        <w:t xml:space="preserve">both </w:t>
      </w:r>
      <w:r w:rsidR="00A825B0" w:rsidRPr="00E915AA">
        <w:rPr>
          <w:rFonts w:ascii="Times New Roman" w:eastAsia="Calibri" w:hAnsi="Times New Roman" w:cs="Times New Roman"/>
          <w:sz w:val="24"/>
          <w:szCs w:val="24"/>
          <w:lang w:val="en-GB" w:eastAsia="en-GB"/>
        </w:rPr>
        <w:t xml:space="preserve">the </w:t>
      </w:r>
      <w:r w:rsidR="00A016E8" w:rsidRPr="00E915AA">
        <w:rPr>
          <w:rFonts w:ascii="Times New Roman" w:eastAsia="Calibri" w:hAnsi="Times New Roman" w:cs="Times New Roman"/>
          <w:sz w:val="24"/>
          <w:szCs w:val="24"/>
          <w:lang w:val="en-GB" w:eastAsia="en-GB"/>
        </w:rPr>
        <w:t>pre- and post-JOBS Act period</w:t>
      </w:r>
      <w:r w:rsidR="00A825B0" w:rsidRPr="00E915AA">
        <w:rPr>
          <w:rFonts w:ascii="Times New Roman" w:eastAsia="Calibri" w:hAnsi="Times New Roman" w:cs="Times New Roman"/>
          <w:sz w:val="24"/>
          <w:szCs w:val="24"/>
          <w:lang w:val="en-GB" w:eastAsia="en-GB"/>
        </w:rPr>
        <w:t>s</w:t>
      </w:r>
      <w:r w:rsidR="00A016E8" w:rsidRPr="00E915AA">
        <w:rPr>
          <w:rFonts w:ascii="Times New Roman" w:eastAsia="Calibri" w:hAnsi="Times New Roman" w:cs="Times New Roman"/>
          <w:sz w:val="24"/>
          <w:szCs w:val="24"/>
          <w:lang w:val="en-GB" w:eastAsia="en-GB"/>
        </w:rPr>
        <w:t>, IPOs having higher degree of AEM experience longer SEC re</w:t>
      </w:r>
      <w:r w:rsidR="004015DF" w:rsidRPr="00E915AA">
        <w:rPr>
          <w:rFonts w:ascii="Times New Roman" w:eastAsia="Calibri" w:hAnsi="Times New Roman" w:cs="Times New Roman"/>
          <w:sz w:val="24"/>
          <w:szCs w:val="24"/>
          <w:lang w:val="en-GB" w:eastAsia="en-GB"/>
        </w:rPr>
        <w:t>view and receive more core</w:t>
      </w:r>
      <w:r w:rsidR="0002069E" w:rsidRPr="00E915AA">
        <w:rPr>
          <w:rFonts w:ascii="Times New Roman" w:eastAsia="Calibri" w:hAnsi="Times New Roman" w:cs="Times New Roman"/>
          <w:sz w:val="24"/>
          <w:szCs w:val="24"/>
          <w:lang w:val="en-GB" w:eastAsia="en-GB"/>
        </w:rPr>
        <w:t>-</w:t>
      </w:r>
      <w:r w:rsidR="004015DF" w:rsidRPr="00E915AA">
        <w:rPr>
          <w:rFonts w:ascii="Times New Roman" w:eastAsia="Calibri" w:hAnsi="Times New Roman" w:cs="Times New Roman"/>
          <w:sz w:val="24"/>
          <w:szCs w:val="24"/>
          <w:lang w:val="en-GB" w:eastAsia="en-GB"/>
        </w:rPr>
        <w:t>accounting</w:t>
      </w:r>
      <w:r w:rsidR="0011014A" w:rsidRPr="00E915AA">
        <w:rPr>
          <w:rFonts w:ascii="Times New Roman" w:eastAsia="Calibri" w:hAnsi="Times New Roman" w:cs="Times New Roman"/>
          <w:sz w:val="24"/>
          <w:szCs w:val="24"/>
          <w:lang w:val="en-GB" w:eastAsia="en-GB"/>
        </w:rPr>
        <w:t>-related comments. A</w:t>
      </w:r>
      <w:r w:rsidRPr="00E915AA">
        <w:rPr>
          <w:rFonts w:ascii="Times New Roman" w:eastAsia="Calibri" w:hAnsi="Times New Roman" w:cs="Times New Roman"/>
          <w:sz w:val="24"/>
          <w:szCs w:val="24"/>
          <w:lang w:val="en-GB" w:eastAsia="en-GB"/>
        </w:rPr>
        <w:t xml:space="preserve">fter the passing of the JOBS Act in 2012, </w:t>
      </w:r>
      <w:r w:rsidR="0011014A" w:rsidRPr="00E915AA">
        <w:rPr>
          <w:rFonts w:ascii="Times New Roman" w:eastAsia="Calibri" w:hAnsi="Times New Roman" w:cs="Times New Roman"/>
          <w:sz w:val="24"/>
          <w:szCs w:val="24"/>
          <w:lang w:val="en-GB" w:eastAsia="en-GB"/>
        </w:rPr>
        <w:t>the effectiveness of SEC review</w:t>
      </w:r>
      <w:r w:rsidR="00A825B0" w:rsidRPr="00E915AA">
        <w:rPr>
          <w:rFonts w:ascii="Times New Roman" w:eastAsia="Calibri" w:hAnsi="Times New Roman" w:cs="Times New Roman"/>
          <w:sz w:val="24"/>
          <w:szCs w:val="24"/>
          <w:lang w:val="en-GB" w:eastAsia="en-GB"/>
        </w:rPr>
        <w:t>s</w:t>
      </w:r>
      <w:r w:rsidR="0011014A" w:rsidRPr="00E915AA">
        <w:rPr>
          <w:rFonts w:ascii="Times New Roman" w:eastAsia="Calibri" w:hAnsi="Times New Roman" w:cs="Times New Roman"/>
          <w:sz w:val="24"/>
          <w:szCs w:val="24"/>
          <w:lang w:val="en-GB" w:eastAsia="en-GB"/>
        </w:rPr>
        <w:t xml:space="preserve"> is demonstrated more clearly as </w:t>
      </w:r>
      <w:r w:rsidR="00DB7C94" w:rsidRPr="00E915AA">
        <w:rPr>
          <w:rFonts w:ascii="Times New Roman" w:eastAsia="Calibri" w:hAnsi="Times New Roman" w:cs="Times New Roman"/>
          <w:sz w:val="24"/>
          <w:szCs w:val="24"/>
          <w:lang w:val="en-GB" w:eastAsia="en-GB"/>
        </w:rPr>
        <w:t xml:space="preserve">more </w:t>
      </w:r>
      <w:r w:rsidR="0002069E" w:rsidRPr="00E915AA">
        <w:rPr>
          <w:rFonts w:ascii="Times New Roman" w:eastAsia="Calibri" w:hAnsi="Times New Roman" w:cs="Times New Roman"/>
          <w:sz w:val="24"/>
          <w:szCs w:val="24"/>
          <w:lang w:val="en-GB" w:eastAsia="en-GB"/>
        </w:rPr>
        <w:t xml:space="preserve">issue types, more </w:t>
      </w:r>
      <w:r w:rsidRPr="00E915AA">
        <w:rPr>
          <w:rFonts w:ascii="Times New Roman" w:eastAsia="Calibri" w:hAnsi="Times New Roman" w:cs="Times New Roman"/>
          <w:sz w:val="24"/>
          <w:szCs w:val="24"/>
          <w:lang w:val="en-GB" w:eastAsia="en-GB"/>
        </w:rPr>
        <w:t xml:space="preserve">comments on </w:t>
      </w:r>
      <w:r w:rsidR="0002069E" w:rsidRPr="00E915AA">
        <w:rPr>
          <w:rFonts w:ascii="Times New Roman" w:eastAsia="Calibri" w:hAnsi="Times New Roman" w:cs="Times New Roman"/>
          <w:sz w:val="24"/>
          <w:szCs w:val="24"/>
          <w:lang w:val="en-GB" w:eastAsia="en-GB"/>
        </w:rPr>
        <w:t xml:space="preserve">core- and </w:t>
      </w:r>
      <w:r w:rsidR="00E47D1F" w:rsidRPr="00E915AA">
        <w:rPr>
          <w:rFonts w:ascii="Times New Roman" w:eastAsia="Calibri" w:hAnsi="Times New Roman" w:cs="Times New Roman"/>
          <w:sz w:val="24"/>
          <w:szCs w:val="24"/>
          <w:lang w:val="en-GB" w:eastAsia="en-GB"/>
        </w:rPr>
        <w:t>non-core accounting issues</w:t>
      </w:r>
      <w:r w:rsidRPr="00E915AA">
        <w:rPr>
          <w:rFonts w:ascii="Times New Roman" w:eastAsia="Calibri" w:hAnsi="Times New Roman" w:cs="Times New Roman"/>
          <w:sz w:val="24"/>
          <w:szCs w:val="24"/>
          <w:lang w:val="en-GB" w:eastAsia="en-GB"/>
        </w:rPr>
        <w:t xml:space="preserve"> are provided by the SEC </w:t>
      </w:r>
      <w:r w:rsidR="00310438" w:rsidRPr="00E915AA">
        <w:rPr>
          <w:rFonts w:ascii="Times New Roman" w:eastAsia="Calibri" w:hAnsi="Times New Roman" w:cs="Times New Roman"/>
          <w:sz w:val="24"/>
          <w:szCs w:val="24"/>
          <w:lang w:val="en-GB" w:eastAsia="en-GB"/>
        </w:rPr>
        <w:t xml:space="preserve">associate with </w:t>
      </w:r>
      <w:r w:rsidRPr="00E915AA">
        <w:rPr>
          <w:rFonts w:ascii="Times New Roman" w:eastAsia="Calibri" w:hAnsi="Times New Roman" w:cs="Times New Roman"/>
          <w:sz w:val="24"/>
          <w:szCs w:val="24"/>
          <w:lang w:val="en-GB" w:eastAsia="en-GB"/>
        </w:rPr>
        <w:t>higher degree</w:t>
      </w:r>
      <w:r w:rsidR="00310438"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of AEM</w:t>
      </w:r>
      <w:r w:rsidR="003614D0" w:rsidRPr="00E915AA">
        <w:rPr>
          <w:rFonts w:ascii="Times New Roman" w:eastAsia="Calibri" w:hAnsi="Times New Roman" w:cs="Times New Roman"/>
          <w:sz w:val="24"/>
          <w:szCs w:val="24"/>
          <w:lang w:val="en-GB" w:eastAsia="en-GB"/>
        </w:rPr>
        <w:t xml:space="preserve"> within IPOs’ registration statements</w:t>
      </w:r>
      <w:r w:rsidRPr="00E915AA">
        <w:rPr>
          <w:rFonts w:ascii="Times New Roman" w:eastAsia="Calibri" w:hAnsi="Times New Roman" w:cs="Times New Roman"/>
          <w:sz w:val="24"/>
          <w:szCs w:val="24"/>
          <w:lang w:val="en-GB" w:eastAsia="en-GB"/>
        </w:rPr>
        <w:t xml:space="preserve">. IPOs </w:t>
      </w:r>
      <w:r w:rsidR="001735D1" w:rsidRPr="00E915AA">
        <w:rPr>
          <w:rFonts w:ascii="Times New Roman" w:eastAsia="Calibri" w:hAnsi="Times New Roman" w:cs="Times New Roman"/>
          <w:sz w:val="24"/>
          <w:szCs w:val="24"/>
          <w:lang w:val="en-GB" w:eastAsia="en-GB"/>
        </w:rPr>
        <w:t>exhibiting higher</w:t>
      </w:r>
      <w:r w:rsidRPr="00E915AA">
        <w:rPr>
          <w:rFonts w:ascii="Times New Roman" w:eastAsia="Calibri" w:hAnsi="Times New Roman" w:cs="Times New Roman"/>
          <w:sz w:val="24"/>
          <w:szCs w:val="24"/>
          <w:lang w:val="en-GB" w:eastAsia="en-GB"/>
        </w:rPr>
        <w:t xml:space="preserve"> discretionary-expense-based </w:t>
      </w:r>
      <w:r w:rsidR="00654BC3" w:rsidRPr="00E915AA">
        <w:rPr>
          <w:rFonts w:ascii="Times New Roman" w:eastAsia="Calibri" w:hAnsi="Times New Roman" w:cs="Times New Roman"/>
          <w:sz w:val="24"/>
          <w:szCs w:val="24"/>
          <w:lang w:val="en-GB" w:eastAsia="en-GB"/>
        </w:rPr>
        <w:t>REM</w:t>
      </w:r>
      <w:r w:rsidRPr="00E915AA">
        <w:rPr>
          <w:rFonts w:ascii="Times New Roman" w:eastAsia="Calibri" w:hAnsi="Times New Roman" w:cs="Times New Roman"/>
          <w:sz w:val="24"/>
          <w:szCs w:val="24"/>
          <w:lang w:val="en-GB" w:eastAsia="en-GB"/>
        </w:rPr>
        <w:t xml:space="preserve"> also</w:t>
      </w:r>
      <w:r w:rsidR="0073176B"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t xml:space="preserve">receive </w:t>
      </w:r>
      <w:r w:rsidR="00DC044F" w:rsidRPr="00E915AA">
        <w:rPr>
          <w:rFonts w:ascii="Times New Roman" w:eastAsia="Calibri" w:hAnsi="Times New Roman" w:cs="Times New Roman"/>
          <w:sz w:val="24"/>
          <w:szCs w:val="24"/>
          <w:lang w:val="en-GB" w:eastAsia="en-GB"/>
        </w:rPr>
        <w:t xml:space="preserve">a </w:t>
      </w:r>
      <w:r w:rsidRPr="00E915AA">
        <w:rPr>
          <w:rFonts w:ascii="Times New Roman" w:eastAsia="Calibri" w:hAnsi="Times New Roman" w:cs="Times New Roman"/>
          <w:sz w:val="24"/>
          <w:szCs w:val="24"/>
          <w:lang w:val="en-GB" w:eastAsia="en-GB"/>
        </w:rPr>
        <w:t xml:space="preserve">wider range of </w:t>
      </w:r>
      <w:r w:rsidR="00655258" w:rsidRPr="00E915AA">
        <w:rPr>
          <w:rFonts w:ascii="Times New Roman" w:eastAsia="Calibri" w:hAnsi="Times New Roman" w:cs="Times New Roman"/>
          <w:sz w:val="24"/>
          <w:szCs w:val="24"/>
          <w:lang w:val="en-GB" w:eastAsia="en-GB"/>
        </w:rPr>
        <w:t xml:space="preserve">comment </w:t>
      </w:r>
      <w:r w:rsidRPr="00E915AA">
        <w:rPr>
          <w:rFonts w:ascii="Times New Roman" w:eastAsia="Calibri" w:hAnsi="Times New Roman" w:cs="Times New Roman"/>
          <w:sz w:val="24"/>
          <w:szCs w:val="24"/>
          <w:lang w:val="en-GB" w:eastAsia="en-GB"/>
        </w:rPr>
        <w:t>themes</w:t>
      </w:r>
      <w:r w:rsidR="00A07F3E" w:rsidRPr="00E915AA">
        <w:rPr>
          <w:rFonts w:ascii="Times New Roman" w:eastAsia="Calibri" w:hAnsi="Times New Roman" w:cs="Times New Roman"/>
          <w:sz w:val="24"/>
          <w:szCs w:val="24"/>
          <w:lang w:val="en-GB" w:eastAsia="en-GB"/>
        </w:rPr>
        <w:t>, more core- and</w:t>
      </w:r>
      <w:r w:rsidRPr="00E915AA">
        <w:rPr>
          <w:rFonts w:ascii="Times New Roman" w:eastAsia="Calibri" w:hAnsi="Times New Roman" w:cs="Times New Roman"/>
          <w:sz w:val="24"/>
          <w:szCs w:val="24"/>
          <w:lang w:val="en-GB" w:eastAsia="en-GB"/>
        </w:rPr>
        <w:t xml:space="preserve"> </w:t>
      </w:r>
      <w:r w:rsidR="0073176B" w:rsidRPr="00E915AA">
        <w:rPr>
          <w:rFonts w:ascii="Times New Roman" w:eastAsia="Calibri" w:hAnsi="Times New Roman" w:cs="Times New Roman"/>
          <w:sz w:val="24"/>
          <w:szCs w:val="24"/>
          <w:lang w:val="en-GB" w:eastAsia="en-GB"/>
        </w:rPr>
        <w:t>non-</w:t>
      </w:r>
      <w:r w:rsidRPr="00E915AA">
        <w:rPr>
          <w:rFonts w:ascii="Times New Roman" w:eastAsia="Calibri" w:hAnsi="Times New Roman" w:cs="Times New Roman"/>
          <w:sz w:val="24"/>
          <w:szCs w:val="24"/>
          <w:lang w:val="en-GB" w:eastAsia="en-GB"/>
        </w:rPr>
        <w:t xml:space="preserve">core-accounting-related </w:t>
      </w:r>
      <w:r w:rsidRPr="00E915AA">
        <w:rPr>
          <w:rFonts w:ascii="Times New Roman" w:eastAsia="Calibri" w:hAnsi="Times New Roman" w:cs="Times New Roman"/>
          <w:sz w:val="24"/>
          <w:szCs w:val="24"/>
          <w:lang w:val="en-GB" w:eastAsia="en-GB"/>
        </w:rPr>
        <w:lastRenderedPageBreak/>
        <w:t xml:space="preserve">comments in the post-JOBS Act era. </w:t>
      </w:r>
      <w:r w:rsidR="00A07F3E" w:rsidRPr="00E915AA">
        <w:rPr>
          <w:rFonts w:ascii="Times New Roman" w:eastAsia="Calibri" w:hAnsi="Times New Roman" w:cs="Times New Roman"/>
          <w:sz w:val="24"/>
          <w:szCs w:val="24"/>
          <w:lang w:val="en-GB" w:eastAsia="en-GB"/>
        </w:rPr>
        <w:t xml:space="preserve">However, the ineffectiveness of the SEC review in addressing sale-based manipulation is identified in the post-JOBS Act era </w:t>
      </w:r>
      <w:r w:rsidR="00F95D9D" w:rsidRPr="00E915AA">
        <w:rPr>
          <w:rFonts w:ascii="Times New Roman" w:eastAsia="Calibri" w:hAnsi="Times New Roman" w:cs="Times New Roman"/>
          <w:sz w:val="24"/>
          <w:szCs w:val="24"/>
          <w:lang w:val="en-GB" w:eastAsia="en-GB"/>
        </w:rPr>
        <w:t xml:space="preserve">as indicated </w:t>
      </w:r>
      <w:r w:rsidR="00655258" w:rsidRPr="00E915AA">
        <w:rPr>
          <w:rFonts w:ascii="Times New Roman" w:eastAsia="Calibri" w:hAnsi="Times New Roman" w:cs="Times New Roman"/>
          <w:sz w:val="24"/>
          <w:szCs w:val="24"/>
          <w:lang w:val="en-GB" w:eastAsia="en-GB"/>
        </w:rPr>
        <w:t xml:space="preserve">by </w:t>
      </w:r>
      <w:r w:rsidR="0073176B" w:rsidRPr="00E915AA">
        <w:rPr>
          <w:rFonts w:ascii="Times New Roman" w:eastAsia="Calibri" w:hAnsi="Times New Roman" w:cs="Times New Roman"/>
          <w:sz w:val="24"/>
          <w:szCs w:val="24"/>
          <w:lang w:val="en-GB" w:eastAsia="en-GB"/>
        </w:rPr>
        <w:t xml:space="preserve">more </w:t>
      </w:r>
      <w:proofErr w:type="gramStart"/>
      <w:r w:rsidR="00A07F3E" w:rsidRPr="00E915AA">
        <w:rPr>
          <w:rFonts w:ascii="Times New Roman" w:eastAsia="Calibri" w:hAnsi="Times New Roman" w:cs="Times New Roman"/>
          <w:sz w:val="24"/>
          <w:szCs w:val="24"/>
          <w:lang w:val="en-GB" w:eastAsia="en-GB"/>
        </w:rPr>
        <w:t>issues</w:t>
      </w:r>
      <w:proofErr w:type="gramEnd"/>
      <w:r w:rsidR="00A07F3E" w:rsidRPr="00E915AA">
        <w:rPr>
          <w:rFonts w:ascii="Times New Roman" w:eastAsia="Calibri" w:hAnsi="Times New Roman" w:cs="Times New Roman"/>
          <w:sz w:val="24"/>
          <w:szCs w:val="24"/>
          <w:lang w:val="en-GB" w:eastAsia="en-GB"/>
        </w:rPr>
        <w:t xml:space="preserve"> types, more core- and non-core-accounting-related comments</w:t>
      </w:r>
      <w:r w:rsidR="0073176B" w:rsidRPr="00E915AA">
        <w:rPr>
          <w:rFonts w:ascii="Times New Roman" w:eastAsia="Calibri" w:hAnsi="Times New Roman" w:cs="Times New Roman"/>
          <w:sz w:val="24"/>
          <w:szCs w:val="24"/>
          <w:lang w:val="en-GB" w:eastAsia="en-GB"/>
        </w:rPr>
        <w:t xml:space="preserve"> </w:t>
      </w:r>
      <w:r w:rsidR="00A07F3E" w:rsidRPr="00E915AA">
        <w:rPr>
          <w:rFonts w:ascii="Times New Roman" w:eastAsia="Calibri" w:hAnsi="Times New Roman" w:cs="Times New Roman"/>
          <w:sz w:val="24"/>
          <w:szCs w:val="24"/>
          <w:lang w:val="en-GB" w:eastAsia="en-GB"/>
        </w:rPr>
        <w:t>received by</w:t>
      </w:r>
      <w:r w:rsidR="00F95D9D" w:rsidRPr="00E915AA">
        <w:rPr>
          <w:rFonts w:ascii="Times New Roman" w:eastAsia="Calibri" w:hAnsi="Times New Roman" w:cs="Times New Roman"/>
          <w:sz w:val="24"/>
          <w:szCs w:val="24"/>
          <w:lang w:val="en-GB" w:eastAsia="en-GB"/>
        </w:rPr>
        <w:t xml:space="preserve"> IPOs having </w:t>
      </w:r>
      <w:r w:rsidR="009A289D" w:rsidRPr="00E915AA">
        <w:rPr>
          <w:rFonts w:ascii="Times New Roman" w:eastAsia="Calibri" w:hAnsi="Times New Roman" w:cs="Times New Roman"/>
          <w:sz w:val="24"/>
          <w:szCs w:val="24"/>
          <w:lang w:val="en-GB" w:eastAsia="en-GB"/>
        </w:rPr>
        <w:t>lower levels of sale- based REM</w:t>
      </w:r>
      <w:r w:rsidR="00F95D9D" w:rsidRPr="00E915AA">
        <w:rPr>
          <w:rFonts w:ascii="Times New Roman" w:eastAsia="Calibri" w:hAnsi="Times New Roman" w:cs="Times New Roman"/>
          <w:sz w:val="24"/>
          <w:szCs w:val="24"/>
          <w:lang w:val="en-GB" w:eastAsia="en-GB"/>
        </w:rPr>
        <w:t xml:space="preserve">, </w:t>
      </w:r>
      <w:r w:rsidR="00655258" w:rsidRPr="00E915AA">
        <w:rPr>
          <w:rFonts w:ascii="Times New Roman" w:eastAsia="Calibri" w:hAnsi="Times New Roman" w:cs="Times New Roman"/>
          <w:sz w:val="24"/>
          <w:szCs w:val="24"/>
          <w:lang w:val="en-GB" w:eastAsia="en-GB"/>
        </w:rPr>
        <w:t>al</w:t>
      </w:r>
      <w:r w:rsidR="00F95D9D" w:rsidRPr="00E915AA">
        <w:rPr>
          <w:rFonts w:ascii="Times New Roman" w:eastAsia="Calibri" w:hAnsi="Times New Roman" w:cs="Times New Roman"/>
          <w:sz w:val="24"/>
          <w:szCs w:val="24"/>
          <w:lang w:val="en-GB" w:eastAsia="en-GB"/>
        </w:rPr>
        <w:t xml:space="preserve">though the duration of the SEC review process of these IPOs </w:t>
      </w:r>
      <w:r w:rsidR="00655258" w:rsidRPr="00E915AA">
        <w:rPr>
          <w:rFonts w:ascii="Times New Roman" w:eastAsia="Calibri" w:hAnsi="Times New Roman" w:cs="Times New Roman"/>
          <w:sz w:val="24"/>
          <w:szCs w:val="24"/>
          <w:lang w:val="en-GB" w:eastAsia="en-GB"/>
        </w:rPr>
        <w:t xml:space="preserve">reduced </w:t>
      </w:r>
      <w:r w:rsidR="00F95D9D" w:rsidRPr="00E915AA">
        <w:rPr>
          <w:rFonts w:ascii="Times New Roman" w:eastAsia="Calibri" w:hAnsi="Times New Roman" w:cs="Times New Roman"/>
          <w:sz w:val="24"/>
          <w:szCs w:val="24"/>
          <w:lang w:val="en-GB" w:eastAsia="en-GB"/>
        </w:rPr>
        <w:t xml:space="preserve">in the post-JOBS Act period. </w:t>
      </w:r>
      <w:r w:rsidR="005029D3" w:rsidRPr="00E915AA">
        <w:rPr>
          <w:rFonts w:ascii="Times New Roman" w:eastAsia="Calibri" w:hAnsi="Times New Roman" w:cs="Times New Roman"/>
          <w:sz w:val="24"/>
          <w:szCs w:val="24"/>
          <w:lang w:val="en-GB" w:eastAsia="en-GB"/>
        </w:rPr>
        <w:t xml:space="preserve">In general, </w:t>
      </w:r>
      <w:r w:rsidR="004749F8" w:rsidRPr="00E915AA">
        <w:rPr>
          <w:rFonts w:ascii="Times New Roman" w:eastAsia="Calibri" w:hAnsi="Times New Roman" w:cs="Times New Roman"/>
          <w:sz w:val="24"/>
          <w:szCs w:val="24"/>
          <w:lang w:val="en-GB" w:eastAsia="en-GB"/>
        </w:rPr>
        <w:t>the effectiveness of SEC review in addressing AEM and REM within IPO registration statements is enhanced under the JOBS Act</w:t>
      </w:r>
      <w:r w:rsidR="001F5D12" w:rsidRPr="00E915AA">
        <w:rPr>
          <w:rFonts w:ascii="Times New Roman" w:eastAsia="Calibri" w:hAnsi="Times New Roman" w:cs="Times New Roman"/>
          <w:sz w:val="24"/>
          <w:szCs w:val="24"/>
          <w:lang w:val="en-GB" w:eastAsia="en-GB"/>
        </w:rPr>
        <w:t>,</w:t>
      </w:r>
      <w:r w:rsidR="009B4B9C" w:rsidRPr="00E915AA">
        <w:rPr>
          <w:rFonts w:ascii="Times New Roman" w:eastAsia="Calibri" w:hAnsi="Times New Roman" w:cs="Times New Roman"/>
          <w:sz w:val="24"/>
          <w:szCs w:val="24"/>
          <w:lang w:val="en-GB" w:eastAsia="en-GB"/>
        </w:rPr>
        <w:t xml:space="preserve"> perhaps due to the SEC’s concern about a lower quality IPO information environment under the Act (</w:t>
      </w:r>
      <w:r w:rsidR="009B4B9C" w:rsidRPr="00E915AA">
        <w:rPr>
          <w:rFonts w:ascii="Times New Roman" w:eastAsia="Yu Mincho" w:hAnsi="Times New Roman" w:cs="Times New Roman"/>
          <w:noProof/>
          <w:sz w:val="24"/>
          <w:szCs w:val="24"/>
          <w:lang w:val="en-GB" w:eastAsia="en-GB"/>
        </w:rPr>
        <w:t>Agarwal et al., 2017; Chaplinsky et al., 2017; Barth et al., 2017)</w:t>
      </w:r>
      <w:r w:rsidR="0053675D" w:rsidRPr="00E915AA">
        <w:rPr>
          <w:rFonts w:ascii="Times New Roman" w:eastAsia="Calibri" w:hAnsi="Times New Roman" w:cs="Times New Roman"/>
          <w:sz w:val="24"/>
          <w:szCs w:val="24"/>
          <w:lang w:val="en-GB" w:eastAsia="en-GB"/>
        </w:rPr>
        <w:t xml:space="preserve">; </w:t>
      </w:r>
      <w:proofErr w:type="gramStart"/>
      <w:r w:rsidR="001F5D12" w:rsidRPr="00E915AA">
        <w:rPr>
          <w:rFonts w:ascii="Times New Roman" w:eastAsia="Calibri" w:hAnsi="Times New Roman" w:cs="Times New Roman"/>
          <w:sz w:val="24"/>
          <w:szCs w:val="24"/>
          <w:lang w:val="en-GB" w:eastAsia="en-GB"/>
        </w:rPr>
        <w:t>despite the fact that</w:t>
      </w:r>
      <w:proofErr w:type="gramEnd"/>
      <w:r w:rsidR="001F5D12" w:rsidRPr="00E915AA">
        <w:rPr>
          <w:rFonts w:ascii="Times New Roman" w:eastAsia="Calibri" w:hAnsi="Times New Roman" w:cs="Times New Roman"/>
          <w:sz w:val="24"/>
          <w:szCs w:val="24"/>
          <w:lang w:val="en-GB" w:eastAsia="en-GB"/>
        </w:rPr>
        <w:t xml:space="preserve"> ineffectiveness in addressing sales-based earnings management </w:t>
      </w:r>
      <w:r w:rsidR="00EE7080" w:rsidRPr="00E915AA">
        <w:rPr>
          <w:rFonts w:ascii="Times New Roman" w:eastAsia="Calibri" w:hAnsi="Times New Roman" w:cs="Times New Roman"/>
          <w:sz w:val="24"/>
          <w:szCs w:val="24"/>
          <w:lang w:val="en-GB" w:eastAsia="en-GB"/>
        </w:rPr>
        <w:t>exist</w:t>
      </w:r>
      <w:r w:rsidR="009C4734" w:rsidRPr="00E915AA">
        <w:rPr>
          <w:rFonts w:ascii="Times New Roman" w:eastAsia="Calibri" w:hAnsi="Times New Roman" w:cs="Times New Roman"/>
          <w:sz w:val="24"/>
          <w:szCs w:val="24"/>
          <w:lang w:val="en-GB" w:eastAsia="en-GB"/>
        </w:rPr>
        <w:t>s</w:t>
      </w:r>
      <w:r w:rsidR="001F5D12"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t xml:space="preserve">The findings </w:t>
      </w:r>
      <w:r w:rsidR="001F5D12" w:rsidRPr="00E915AA">
        <w:rPr>
          <w:rFonts w:ascii="Times New Roman" w:eastAsia="Calibri" w:hAnsi="Times New Roman" w:cs="Times New Roman"/>
          <w:sz w:val="24"/>
          <w:szCs w:val="24"/>
          <w:lang w:val="en-GB" w:eastAsia="en-GB"/>
        </w:rPr>
        <w:t xml:space="preserve">also </w:t>
      </w:r>
      <w:r w:rsidRPr="00E915AA">
        <w:rPr>
          <w:rFonts w:ascii="Times New Roman" w:eastAsia="Calibri" w:hAnsi="Times New Roman" w:cs="Times New Roman"/>
          <w:sz w:val="24"/>
          <w:szCs w:val="24"/>
          <w:lang w:val="en-GB" w:eastAsia="en-GB"/>
        </w:rPr>
        <w:t xml:space="preserve">suggest that </w:t>
      </w:r>
      <w:r w:rsidRPr="00E915AA">
        <w:rPr>
          <w:rFonts w:ascii="Times New Roman" w:eastAsia="Yu Mincho" w:hAnsi="Times New Roman" w:cs="Times New Roman"/>
          <w:noProof/>
          <w:sz w:val="24"/>
          <w:szCs w:val="24"/>
          <w:lang w:val="en-GB" w:eastAsia="en-GB"/>
        </w:rPr>
        <w:t xml:space="preserve">the SEC focus more on </w:t>
      </w:r>
      <w:r w:rsidRPr="00E915AA">
        <w:rPr>
          <w:rFonts w:ascii="Times New Roman" w:eastAsia="Calibri" w:hAnsi="Times New Roman" w:cs="Times New Roman"/>
          <w:sz w:val="24"/>
          <w:szCs w:val="24"/>
          <w:lang w:val="en-GB" w:eastAsia="en-GB"/>
        </w:rPr>
        <w:t>specific content within EGC IPOs’ registration statements to constrain misstatement in IPO disclosures</w:t>
      </w:r>
      <w:r w:rsidR="009B4B9C" w:rsidRPr="00E915AA">
        <w:rPr>
          <w:rFonts w:ascii="Times New Roman" w:eastAsia="Calibri" w:hAnsi="Times New Roman" w:cs="Times New Roman"/>
          <w:sz w:val="24"/>
          <w:szCs w:val="24"/>
          <w:lang w:val="en-GB" w:eastAsia="en-GB"/>
        </w:rPr>
        <w:t xml:space="preserve"> to</w:t>
      </w:r>
      <w:r w:rsidRPr="00E915AA">
        <w:rPr>
          <w:rFonts w:ascii="Times New Roman" w:eastAsia="Calibri" w:hAnsi="Times New Roman" w:cs="Times New Roman"/>
          <w:sz w:val="24"/>
          <w:szCs w:val="24"/>
          <w:lang w:val="en-GB" w:eastAsia="en-GB"/>
        </w:rPr>
        <w:t xml:space="preserve"> ensure investor protection</w:t>
      </w:r>
      <w:r w:rsidR="009B4B9C" w:rsidRPr="00E915AA">
        <w:rPr>
          <w:rFonts w:ascii="Times New Roman" w:eastAsia="Calibri" w:hAnsi="Times New Roman" w:cs="Times New Roman"/>
          <w:sz w:val="24"/>
          <w:szCs w:val="24"/>
          <w:lang w:val="en-GB" w:eastAsia="en-GB"/>
        </w:rPr>
        <w:t>.</w:t>
      </w:r>
    </w:p>
    <w:p w14:paraId="046E30E4" w14:textId="3E332968" w:rsidR="002C6719" w:rsidRPr="00E915AA" w:rsidRDefault="007D10DC"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Our</w:t>
      </w:r>
      <w:r w:rsidR="002C6719" w:rsidRPr="00E915AA">
        <w:rPr>
          <w:rFonts w:ascii="Times New Roman" w:eastAsia="Calibri" w:hAnsi="Times New Roman" w:cs="Times New Roman"/>
          <w:sz w:val="24"/>
          <w:szCs w:val="24"/>
          <w:lang w:val="en-GB" w:eastAsia="en-GB"/>
        </w:rPr>
        <w:t xml:space="preserve"> study offers </w:t>
      </w:r>
      <w:r w:rsidR="00283987" w:rsidRPr="00E915AA">
        <w:rPr>
          <w:rFonts w:ascii="Times New Roman" w:eastAsia="Calibri" w:hAnsi="Times New Roman" w:cs="Times New Roman"/>
          <w:sz w:val="24"/>
          <w:szCs w:val="24"/>
          <w:lang w:val="en-GB" w:eastAsia="en-GB"/>
        </w:rPr>
        <w:t>four</w:t>
      </w:r>
      <w:r w:rsidR="002C6719" w:rsidRPr="00E915AA">
        <w:rPr>
          <w:rFonts w:ascii="Times New Roman" w:eastAsia="Calibri" w:hAnsi="Times New Roman" w:cs="Times New Roman"/>
          <w:sz w:val="24"/>
          <w:szCs w:val="24"/>
          <w:lang w:val="en-GB" w:eastAsia="en-GB"/>
        </w:rPr>
        <w:t xml:space="preserve"> main contributions to the literature examining the effectiveness of the SEC’s oversight of information quality within corporate disclosures. First, to the authors</w:t>
      </w:r>
      <w:r w:rsidR="00F323D6"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knowledge, </w:t>
      </w:r>
      <w:r w:rsidRPr="00E915AA">
        <w:rPr>
          <w:rFonts w:ascii="Times New Roman" w:eastAsia="Calibri" w:hAnsi="Times New Roman" w:cs="Times New Roman"/>
          <w:sz w:val="24"/>
          <w:szCs w:val="24"/>
          <w:lang w:val="en-GB" w:eastAsia="en-GB"/>
        </w:rPr>
        <w:t>our</w:t>
      </w:r>
      <w:r w:rsidR="002C6719" w:rsidRPr="00E915AA">
        <w:rPr>
          <w:rFonts w:ascii="Times New Roman" w:eastAsia="Calibri" w:hAnsi="Times New Roman" w:cs="Times New Roman"/>
          <w:sz w:val="24"/>
          <w:szCs w:val="24"/>
          <w:lang w:val="en-GB" w:eastAsia="en-GB"/>
        </w:rPr>
        <w:t xml:space="preserve"> study is the first to demonstrate that the SEC are effective in detecting income-increasing earning management through accruals-based and</w:t>
      </w:r>
      <w:r w:rsidR="00126880" w:rsidRPr="00E915AA">
        <w:rPr>
          <w:rFonts w:ascii="Times New Roman" w:eastAsia="Calibri" w:hAnsi="Times New Roman" w:cs="Times New Roman"/>
          <w:sz w:val="24"/>
          <w:szCs w:val="24"/>
          <w:lang w:val="en-GB" w:eastAsia="en-GB"/>
        </w:rPr>
        <w:t>, to some extent,</w:t>
      </w:r>
      <w:r w:rsidR="002C6719" w:rsidRPr="00E915AA">
        <w:rPr>
          <w:rFonts w:ascii="Times New Roman" w:eastAsia="Calibri" w:hAnsi="Times New Roman" w:cs="Times New Roman"/>
          <w:sz w:val="24"/>
          <w:szCs w:val="24"/>
          <w:lang w:val="en-GB" w:eastAsia="en-GB"/>
        </w:rPr>
        <w:t xml:space="preserve"> discretionary-expenses-based manipulations by IPO firms when preparing their registration statements. </w:t>
      </w:r>
      <w:r w:rsidR="002C6719" w:rsidRPr="00E915AA">
        <w:rPr>
          <w:rFonts w:ascii="Times New Roman" w:eastAsia="Calibri" w:hAnsi="Times New Roman" w:cs="Times New Roman"/>
          <w:bCs/>
          <w:sz w:val="24"/>
          <w:szCs w:val="24"/>
          <w:lang w:val="en-GB" w:eastAsia="en-GB"/>
        </w:rPr>
        <w:t xml:space="preserve">These findings are of importance to investors and other market participants who rely on SEC comment letters to </w:t>
      </w:r>
      <w:r w:rsidR="00F323D6" w:rsidRPr="00E915AA">
        <w:rPr>
          <w:rFonts w:ascii="Times New Roman" w:eastAsia="Calibri" w:hAnsi="Times New Roman" w:cs="Times New Roman"/>
          <w:bCs/>
          <w:sz w:val="24"/>
          <w:szCs w:val="24"/>
          <w:lang w:val="en-GB" w:eastAsia="en-GB"/>
        </w:rPr>
        <w:t xml:space="preserve">obtain additional </w:t>
      </w:r>
      <w:r w:rsidR="002C6719" w:rsidRPr="00E915AA">
        <w:rPr>
          <w:rFonts w:ascii="Times New Roman" w:eastAsia="Calibri" w:hAnsi="Times New Roman" w:cs="Times New Roman"/>
          <w:bCs/>
          <w:sz w:val="24"/>
          <w:szCs w:val="24"/>
          <w:lang w:val="en-GB" w:eastAsia="en-GB"/>
        </w:rPr>
        <w:t xml:space="preserve">information </w:t>
      </w:r>
      <w:r w:rsidR="00F323D6" w:rsidRPr="00E915AA">
        <w:rPr>
          <w:rFonts w:ascii="Times New Roman" w:eastAsia="Calibri" w:hAnsi="Times New Roman" w:cs="Times New Roman"/>
          <w:bCs/>
          <w:sz w:val="24"/>
          <w:szCs w:val="24"/>
          <w:lang w:val="en-GB" w:eastAsia="en-GB"/>
        </w:rPr>
        <w:t>on</w:t>
      </w:r>
      <w:r w:rsidR="002C6719" w:rsidRPr="00E915AA">
        <w:rPr>
          <w:rFonts w:ascii="Times New Roman" w:eastAsia="Calibri" w:hAnsi="Times New Roman" w:cs="Times New Roman"/>
          <w:bCs/>
          <w:sz w:val="24"/>
          <w:szCs w:val="24"/>
          <w:lang w:val="en-GB" w:eastAsia="en-GB"/>
        </w:rPr>
        <w:t xml:space="preserve"> the IPO firm</w:t>
      </w:r>
      <w:r w:rsidR="00031B48" w:rsidRPr="00E915AA">
        <w:rPr>
          <w:rFonts w:ascii="Times New Roman" w:eastAsia="Calibri" w:hAnsi="Times New Roman" w:cs="Times New Roman"/>
          <w:bCs/>
          <w:sz w:val="24"/>
          <w:szCs w:val="24"/>
          <w:lang w:val="en-GB" w:eastAsia="en-GB"/>
        </w:rPr>
        <w:t>’</w:t>
      </w:r>
      <w:r w:rsidR="002C6719" w:rsidRPr="00E915AA">
        <w:rPr>
          <w:rFonts w:ascii="Times New Roman" w:eastAsia="Calibri" w:hAnsi="Times New Roman" w:cs="Times New Roman"/>
          <w:bCs/>
          <w:sz w:val="24"/>
          <w:szCs w:val="24"/>
          <w:lang w:val="en-GB" w:eastAsia="en-GB"/>
        </w:rPr>
        <w:t>s performance</w:t>
      </w:r>
      <w:r w:rsidR="00031B48" w:rsidRPr="00E915AA">
        <w:rPr>
          <w:rFonts w:ascii="Times New Roman" w:eastAsia="Calibri" w:hAnsi="Times New Roman" w:cs="Times New Roman"/>
          <w:bCs/>
          <w:sz w:val="24"/>
          <w:szCs w:val="24"/>
          <w:lang w:val="en-GB" w:eastAsia="en-GB"/>
        </w:rPr>
        <w:t xml:space="preserve"> and prospects</w:t>
      </w:r>
      <w:r w:rsidR="002C6719" w:rsidRPr="00E915AA">
        <w:rPr>
          <w:rFonts w:ascii="Times New Roman" w:eastAsia="Calibri" w:hAnsi="Times New Roman" w:cs="Times New Roman"/>
          <w:bCs/>
          <w:sz w:val="24"/>
          <w:szCs w:val="24"/>
          <w:lang w:val="en-GB" w:eastAsia="en-GB"/>
        </w:rPr>
        <w:t xml:space="preserve">. Specifically, the results suggest that greater SEC regulatory oversight may effectively signal lower quality of the earnings numbers </w:t>
      </w:r>
      <w:r w:rsidR="002C6719" w:rsidRPr="00E915AA">
        <w:rPr>
          <w:rFonts w:ascii="Times New Roman" w:eastAsia="Calibri" w:hAnsi="Times New Roman" w:cs="Times New Roman"/>
          <w:sz w:val="24"/>
          <w:szCs w:val="24"/>
          <w:lang w:val="en-GB" w:eastAsia="en-GB"/>
        </w:rPr>
        <w:t xml:space="preserve">disclosed by IPO firms in their registration statements. </w:t>
      </w:r>
    </w:p>
    <w:p w14:paraId="5E35B73F" w14:textId="09B7A393" w:rsidR="00283987"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Second, </w:t>
      </w:r>
      <w:r w:rsidR="007D10DC" w:rsidRPr="00E915AA">
        <w:rPr>
          <w:rFonts w:ascii="Times New Roman" w:eastAsia="Calibri" w:hAnsi="Times New Roman" w:cs="Times New Roman"/>
          <w:sz w:val="24"/>
          <w:szCs w:val="24"/>
          <w:lang w:val="en-GB" w:eastAsia="en-GB"/>
        </w:rPr>
        <w:t>our</w:t>
      </w:r>
      <w:r w:rsidRPr="00E915AA">
        <w:rPr>
          <w:rFonts w:ascii="Times New Roman" w:eastAsia="Calibri" w:hAnsi="Times New Roman" w:cs="Times New Roman"/>
          <w:sz w:val="24"/>
          <w:szCs w:val="24"/>
          <w:lang w:val="en-GB" w:eastAsia="en-GB"/>
        </w:rPr>
        <w:t xml:space="preserve"> study is the first to identify that SEC reviews do not appear to effectively identify sales manipulation by IPO firms. The finding should be of interest to investors and other stakeholders as it implies that SEC reviews are not sufficient to address all forms of earnings management within IPO registration statements. Specifically, the findings suggest that investors and other stakeholders should </w:t>
      </w:r>
      <w:r w:rsidR="00A45174" w:rsidRPr="00E915AA">
        <w:rPr>
          <w:rFonts w:ascii="Times New Roman" w:eastAsia="Calibri" w:hAnsi="Times New Roman" w:cs="Times New Roman"/>
          <w:sz w:val="24"/>
          <w:szCs w:val="24"/>
          <w:lang w:val="en-GB" w:eastAsia="en-GB"/>
        </w:rPr>
        <w:t>remain cautious of sales-based earnings manipulations</w:t>
      </w:r>
      <w:r w:rsidR="004155FE" w:rsidRPr="00E915AA">
        <w:rPr>
          <w:rFonts w:ascii="Times New Roman" w:eastAsia="Calibri" w:hAnsi="Times New Roman" w:cs="Times New Roman"/>
          <w:sz w:val="24"/>
          <w:szCs w:val="24"/>
          <w:lang w:val="en-GB" w:eastAsia="en-GB"/>
        </w:rPr>
        <w:t xml:space="preserve"> within registration statement information</w:t>
      </w:r>
      <w:r w:rsidR="00A45174" w:rsidRPr="00E915AA">
        <w:rPr>
          <w:rFonts w:ascii="Times New Roman" w:eastAsia="Calibri" w:hAnsi="Times New Roman" w:cs="Times New Roman"/>
          <w:sz w:val="24"/>
          <w:szCs w:val="24"/>
          <w:lang w:val="en-GB" w:eastAsia="en-GB"/>
        </w:rPr>
        <w:t xml:space="preserve">, despite </w:t>
      </w:r>
      <w:r w:rsidR="004155FE" w:rsidRPr="00E915AA">
        <w:rPr>
          <w:rFonts w:ascii="Times New Roman" w:eastAsia="Calibri" w:hAnsi="Times New Roman" w:cs="Times New Roman"/>
          <w:sz w:val="24"/>
          <w:szCs w:val="24"/>
          <w:lang w:val="en-GB" w:eastAsia="en-GB"/>
        </w:rPr>
        <w:t>reviews by the</w:t>
      </w:r>
      <w:r w:rsidRPr="00E915AA">
        <w:rPr>
          <w:rFonts w:ascii="Times New Roman" w:eastAsia="Calibri" w:hAnsi="Times New Roman" w:cs="Times New Roman"/>
          <w:sz w:val="24"/>
          <w:szCs w:val="24"/>
          <w:lang w:val="en-GB" w:eastAsia="en-GB"/>
        </w:rPr>
        <w:t xml:space="preserve"> SEC. </w:t>
      </w:r>
      <w:r w:rsidR="004155FE" w:rsidRPr="00E915AA">
        <w:rPr>
          <w:rFonts w:ascii="Times New Roman" w:eastAsia="Calibri" w:hAnsi="Times New Roman" w:cs="Times New Roman"/>
          <w:sz w:val="24"/>
          <w:szCs w:val="24"/>
          <w:lang w:val="en-GB" w:eastAsia="en-GB"/>
        </w:rPr>
        <w:t>A further implication of the findings is they suggest that refinement of the</w:t>
      </w:r>
      <w:r w:rsidRPr="00E915AA">
        <w:rPr>
          <w:rFonts w:ascii="Times New Roman" w:eastAsia="Calibri" w:hAnsi="Times New Roman" w:cs="Times New Roman"/>
          <w:sz w:val="24"/>
          <w:szCs w:val="24"/>
          <w:lang w:val="en-GB" w:eastAsia="en-GB"/>
        </w:rPr>
        <w:t xml:space="preserve"> SEC</w:t>
      </w:r>
      <w:r w:rsidR="004155FE"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review</w:t>
      </w:r>
      <w:r w:rsidR="004155FE" w:rsidRPr="00E915AA">
        <w:rPr>
          <w:rFonts w:ascii="Times New Roman" w:eastAsia="Calibri" w:hAnsi="Times New Roman" w:cs="Times New Roman"/>
          <w:sz w:val="24"/>
          <w:szCs w:val="24"/>
          <w:lang w:val="en-GB" w:eastAsia="en-GB"/>
        </w:rPr>
        <w:t xml:space="preserve"> protocols to better detect sales</w:t>
      </w:r>
      <w:r w:rsidR="00AE1542" w:rsidRPr="00E915AA">
        <w:rPr>
          <w:rFonts w:ascii="Times New Roman" w:eastAsia="Calibri" w:hAnsi="Times New Roman" w:cs="Times New Roman"/>
          <w:sz w:val="24"/>
          <w:szCs w:val="24"/>
          <w:lang w:val="en-GB" w:eastAsia="en-GB"/>
        </w:rPr>
        <w:t>-based earnings management</w:t>
      </w:r>
      <w:r w:rsidR="004155FE" w:rsidRPr="00E915AA">
        <w:rPr>
          <w:rFonts w:ascii="Times New Roman" w:eastAsia="Calibri" w:hAnsi="Times New Roman" w:cs="Times New Roman"/>
          <w:sz w:val="24"/>
          <w:szCs w:val="24"/>
          <w:lang w:val="en-GB" w:eastAsia="en-GB"/>
        </w:rPr>
        <w:t xml:space="preserve"> may be necessary </w:t>
      </w:r>
      <w:r w:rsidRPr="00E915AA">
        <w:rPr>
          <w:rFonts w:ascii="Times New Roman" w:eastAsia="Calibri" w:hAnsi="Times New Roman" w:cs="Times New Roman"/>
          <w:sz w:val="24"/>
          <w:szCs w:val="24"/>
          <w:lang w:val="en-GB" w:eastAsia="en-GB"/>
        </w:rPr>
        <w:t xml:space="preserve">to adequately protect investors from </w:t>
      </w:r>
      <w:r w:rsidR="00912EC3" w:rsidRPr="00E915AA">
        <w:rPr>
          <w:rFonts w:ascii="Times New Roman" w:eastAsia="Calibri" w:hAnsi="Times New Roman" w:cs="Times New Roman"/>
          <w:sz w:val="24"/>
          <w:szCs w:val="24"/>
          <w:lang w:val="en-GB" w:eastAsia="en-GB"/>
        </w:rPr>
        <w:t xml:space="preserve">this form of </w:t>
      </w:r>
      <w:r w:rsidRPr="00E915AA">
        <w:rPr>
          <w:rFonts w:ascii="Times New Roman" w:eastAsia="Calibri" w:hAnsi="Times New Roman" w:cs="Times New Roman"/>
          <w:sz w:val="24"/>
          <w:szCs w:val="24"/>
          <w:lang w:val="en-GB" w:eastAsia="en-GB"/>
        </w:rPr>
        <w:t xml:space="preserve">manipulation. </w:t>
      </w:r>
    </w:p>
    <w:p w14:paraId="6DC9BC9B" w14:textId="7E9AD14E" w:rsidR="00283987" w:rsidRPr="00E915AA" w:rsidRDefault="00171841"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Third, </w:t>
      </w:r>
      <w:r w:rsidR="007D10DC" w:rsidRPr="00E915AA">
        <w:rPr>
          <w:rFonts w:ascii="Times New Roman" w:eastAsia="Calibri" w:hAnsi="Times New Roman" w:cs="Times New Roman"/>
          <w:sz w:val="24"/>
          <w:szCs w:val="24"/>
          <w:lang w:val="en-GB" w:eastAsia="en-GB"/>
        </w:rPr>
        <w:t>our</w:t>
      </w:r>
      <w:r w:rsidRPr="00E915AA">
        <w:rPr>
          <w:rFonts w:ascii="Times New Roman" w:eastAsia="Calibri" w:hAnsi="Times New Roman" w:cs="Times New Roman"/>
          <w:sz w:val="24"/>
          <w:szCs w:val="24"/>
          <w:lang w:val="en-GB" w:eastAsia="en-GB"/>
        </w:rPr>
        <w:t xml:space="preserve"> study broadens the</w:t>
      </w:r>
      <w:r w:rsidR="00696BE9" w:rsidRPr="00E915AA">
        <w:rPr>
          <w:rFonts w:ascii="Times New Roman" w:eastAsia="Calibri" w:hAnsi="Times New Roman" w:cs="Times New Roman"/>
          <w:sz w:val="24"/>
          <w:szCs w:val="24"/>
          <w:lang w:val="en-GB" w:eastAsia="en-GB"/>
        </w:rPr>
        <w:t xml:space="preserve"> stream of literature on </w:t>
      </w:r>
      <w:r w:rsidR="005F7DC0" w:rsidRPr="00E915AA">
        <w:rPr>
          <w:rFonts w:ascii="Times New Roman" w:eastAsia="Calibri" w:hAnsi="Times New Roman" w:cs="Times New Roman"/>
          <w:sz w:val="24"/>
          <w:szCs w:val="24"/>
          <w:lang w:val="en-GB" w:eastAsia="en-GB"/>
        </w:rPr>
        <w:t xml:space="preserve">potential </w:t>
      </w:r>
      <w:r w:rsidR="00696BE9" w:rsidRPr="00E915AA">
        <w:rPr>
          <w:rFonts w:ascii="Times New Roman" w:eastAsia="Calibri" w:hAnsi="Times New Roman" w:cs="Times New Roman"/>
          <w:sz w:val="24"/>
          <w:szCs w:val="24"/>
          <w:lang w:val="en-GB" w:eastAsia="en-GB"/>
        </w:rPr>
        <w:t xml:space="preserve">informational deficiencies </w:t>
      </w:r>
      <w:r w:rsidR="005F7DC0" w:rsidRPr="00E915AA">
        <w:rPr>
          <w:rFonts w:ascii="Times New Roman" w:eastAsia="Calibri" w:hAnsi="Times New Roman" w:cs="Times New Roman"/>
          <w:sz w:val="24"/>
          <w:szCs w:val="24"/>
          <w:lang w:val="en-GB" w:eastAsia="en-GB"/>
        </w:rPr>
        <w:t xml:space="preserve">arising </w:t>
      </w:r>
      <w:r w:rsidR="00776758" w:rsidRPr="00E915AA">
        <w:rPr>
          <w:rFonts w:ascii="Times New Roman" w:eastAsia="Calibri" w:hAnsi="Times New Roman" w:cs="Times New Roman"/>
          <w:sz w:val="24"/>
          <w:szCs w:val="24"/>
          <w:lang w:val="en-GB" w:eastAsia="en-GB"/>
        </w:rPr>
        <w:t>under</w:t>
      </w:r>
      <w:r w:rsidR="00696BE9" w:rsidRPr="00E915AA">
        <w:rPr>
          <w:rFonts w:ascii="Times New Roman" w:eastAsia="Calibri" w:hAnsi="Times New Roman" w:cs="Times New Roman"/>
          <w:sz w:val="24"/>
          <w:szCs w:val="24"/>
          <w:lang w:val="en-GB" w:eastAsia="en-GB"/>
        </w:rPr>
        <w:t xml:space="preserve"> the JOBS Act. </w:t>
      </w:r>
      <w:r w:rsidR="00A97402" w:rsidRPr="00E915AA">
        <w:rPr>
          <w:rFonts w:ascii="Times New Roman" w:eastAsia="Calibri" w:hAnsi="Times New Roman" w:cs="Times New Roman"/>
          <w:sz w:val="24"/>
          <w:szCs w:val="24"/>
          <w:lang w:val="en-GB" w:eastAsia="en-GB"/>
        </w:rPr>
        <w:t xml:space="preserve">Specifically, </w:t>
      </w:r>
      <w:r w:rsidR="00A56037" w:rsidRPr="00E915AA">
        <w:rPr>
          <w:rFonts w:ascii="Times New Roman" w:eastAsia="Calibri" w:hAnsi="Times New Roman" w:cs="Times New Roman"/>
          <w:sz w:val="24"/>
          <w:szCs w:val="24"/>
          <w:lang w:val="en-GB" w:eastAsia="en-GB"/>
        </w:rPr>
        <w:t xml:space="preserve">engagement by IPO issuers in </w:t>
      </w:r>
      <w:r w:rsidR="006928A6" w:rsidRPr="00E915AA">
        <w:rPr>
          <w:rFonts w:ascii="Times New Roman" w:eastAsia="Calibri" w:hAnsi="Times New Roman" w:cs="Times New Roman"/>
          <w:sz w:val="24"/>
          <w:szCs w:val="24"/>
          <w:lang w:val="en-GB" w:eastAsia="en-GB"/>
        </w:rPr>
        <w:t xml:space="preserve">all forms of earnings management </w:t>
      </w:r>
      <w:r w:rsidR="00A56037" w:rsidRPr="00E915AA">
        <w:rPr>
          <w:rFonts w:ascii="Times New Roman" w:eastAsia="Calibri" w:hAnsi="Times New Roman" w:cs="Times New Roman"/>
          <w:sz w:val="24"/>
          <w:szCs w:val="24"/>
          <w:lang w:val="en-GB" w:eastAsia="en-GB"/>
        </w:rPr>
        <w:t xml:space="preserve">examined </w:t>
      </w:r>
      <w:r w:rsidR="006928A6" w:rsidRPr="00E915AA">
        <w:rPr>
          <w:rFonts w:ascii="Times New Roman" w:eastAsia="Calibri" w:hAnsi="Times New Roman" w:cs="Times New Roman"/>
          <w:sz w:val="24"/>
          <w:szCs w:val="24"/>
          <w:lang w:val="en-GB" w:eastAsia="en-GB"/>
        </w:rPr>
        <w:t xml:space="preserve">(i.e., accruals-based earnings management, sales-based real earnings </w:t>
      </w:r>
      <w:proofErr w:type="gramStart"/>
      <w:r w:rsidR="006928A6" w:rsidRPr="00E915AA">
        <w:rPr>
          <w:rFonts w:ascii="Times New Roman" w:eastAsia="Calibri" w:hAnsi="Times New Roman" w:cs="Times New Roman"/>
          <w:sz w:val="24"/>
          <w:szCs w:val="24"/>
          <w:lang w:val="en-GB" w:eastAsia="en-GB"/>
        </w:rPr>
        <w:lastRenderedPageBreak/>
        <w:t>management</w:t>
      </w:r>
      <w:proofErr w:type="gramEnd"/>
      <w:r w:rsidR="006928A6" w:rsidRPr="00E915AA">
        <w:rPr>
          <w:rFonts w:ascii="Times New Roman" w:eastAsia="Calibri" w:hAnsi="Times New Roman" w:cs="Times New Roman"/>
          <w:sz w:val="24"/>
          <w:szCs w:val="24"/>
          <w:lang w:val="en-GB" w:eastAsia="en-GB"/>
        </w:rPr>
        <w:t xml:space="preserve"> and discretionary-expenses-based real earnings </w:t>
      </w:r>
      <w:r w:rsidR="00E020AA" w:rsidRPr="00E915AA">
        <w:rPr>
          <w:rFonts w:ascii="Times New Roman" w:eastAsia="Calibri" w:hAnsi="Times New Roman" w:cs="Times New Roman"/>
          <w:sz w:val="24"/>
          <w:szCs w:val="24"/>
          <w:lang w:val="en-GB" w:eastAsia="en-GB"/>
        </w:rPr>
        <w:t xml:space="preserve">management) </w:t>
      </w:r>
      <w:r w:rsidR="00A56037" w:rsidRPr="00E915AA">
        <w:rPr>
          <w:rFonts w:ascii="Times New Roman" w:eastAsia="Calibri" w:hAnsi="Times New Roman" w:cs="Times New Roman"/>
          <w:sz w:val="24"/>
          <w:szCs w:val="24"/>
          <w:lang w:val="en-GB" w:eastAsia="en-GB"/>
        </w:rPr>
        <w:t xml:space="preserve">appears to increase </w:t>
      </w:r>
      <w:r w:rsidR="00AE283D" w:rsidRPr="00E915AA">
        <w:rPr>
          <w:rFonts w:ascii="Times New Roman" w:eastAsia="Calibri" w:hAnsi="Times New Roman" w:cs="Times New Roman"/>
          <w:sz w:val="24"/>
          <w:szCs w:val="24"/>
          <w:lang w:val="en-GB" w:eastAsia="en-GB"/>
        </w:rPr>
        <w:t xml:space="preserve">under the JOBS Act. </w:t>
      </w:r>
      <w:r w:rsidR="000E6412" w:rsidRPr="00E915AA">
        <w:rPr>
          <w:rFonts w:ascii="Times New Roman" w:eastAsia="Calibri" w:hAnsi="Times New Roman" w:cs="Times New Roman"/>
          <w:sz w:val="24"/>
          <w:szCs w:val="24"/>
          <w:lang w:val="en-GB" w:eastAsia="en-GB"/>
        </w:rPr>
        <w:t>Th</w:t>
      </w:r>
      <w:r w:rsidR="00DC044F" w:rsidRPr="00E915AA">
        <w:rPr>
          <w:rFonts w:ascii="Times New Roman" w:eastAsia="Calibri" w:hAnsi="Times New Roman" w:cs="Times New Roman"/>
          <w:sz w:val="24"/>
          <w:szCs w:val="24"/>
          <w:lang w:val="en-GB" w:eastAsia="en-GB"/>
        </w:rPr>
        <w:t>ese</w:t>
      </w:r>
      <w:r w:rsidR="000E6412" w:rsidRPr="00E915AA">
        <w:rPr>
          <w:rFonts w:ascii="Times New Roman" w:eastAsia="Calibri" w:hAnsi="Times New Roman" w:cs="Times New Roman"/>
          <w:sz w:val="24"/>
          <w:szCs w:val="24"/>
          <w:lang w:val="en-GB" w:eastAsia="en-GB"/>
        </w:rPr>
        <w:t xml:space="preserve"> </w:t>
      </w:r>
      <w:r w:rsidR="00AE283D" w:rsidRPr="00E915AA">
        <w:rPr>
          <w:rFonts w:ascii="Times New Roman" w:eastAsia="Calibri" w:hAnsi="Times New Roman" w:cs="Times New Roman"/>
          <w:sz w:val="24"/>
          <w:szCs w:val="24"/>
          <w:lang w:val="en-GB" w:eastAsia="en-GB"/>
        </w:rPr>
        <w:t xml:space="preserve">findings should be of interest to investors </w:t>
      </w:r>
      <w:r w:rsidR="00F073CF" w:rsidRPr="00E915AA">
        <w:rPr>
          <w:rFonts w:ascii="Times New Roman" w:eastAsia="Calibri" w:hAnsi="Times New Roman" w:cs="Times New Roman"/>
          <w:sz w:val="24"/>
          <w:szCs w:val="24"/>
          <w:lang w:val="en-GB" w:eastAsia="en-GB"/>
        </w:rPr>
        <w:t xml:space="preserve">and policymakers </w:t>
      </w:r>
      <w:r w:rsidR="00AE283D" w:rsidRPr="00E915AA">
        <w:rPr>
          <w:rFonts w:ascii="Times New Roman" w:eastAsia="Calibri" w:hAnsi="Times New Roman" w:cs="Times New Roman"/>
          <w:sz w:val="24"/>
          <w:szCs w:val="24"/>
          <w:lang w:val="en-GB" w:eastAsia="en-GB"/>
        </w:rPr>
        <w:t>as th</w:t>
      </w:r>
      <w:r w:rsidR="00084076" w:rsidRPr="00E915AA">
        <w:rPr>
          <w:rFonts w:ascii="Times New Roman" w:eastAsia="Calibri" w:hAnsi="Times New Roman" w:cs="Times New Roman"/>
          <w:sz w:val="24"/>
          <w:szCs w:val="24"/>
          <w:lang w:val="en-GB" w:eastAsia="en-GB"/>
        </w:rPr>
        <w:t xml:space="preserve">ey imply that the </w:t>
      </w:r>
      <w:r w:rsidR="00931204" w:rsidRPr="00E915AA">
        <w:rPr>
          <w:rFonts w:ascii="Times New Roman" w:eastAsia="Calibri" w:hAnsi="Times New Roman" w:cs="Times New Roman"/>
          <w:sz w:val="24"/>
          <w:szCs w:val="24"/>
          <w:lang w:val="en-GB" w:eastAsia="en-GB"/>
        </w:rPr>
        <w:t xml:space="preserve">quality of </w:t>
      </w:r>
      <w:r w:rsidR="00BC3DFB" w:rsidRPr="00E915AA">
        <w:rPr>
          <w:rFonts w:ascii="Times New Roman" w:eastAsia="Calibri" w:hAnsi="Times New Roman" w:cs="Times New Roman"/>
          <w:sz w:val="24"/>
          <w:szCs w:val="24"/>
          <w:lang w:val="en-GB" w:eastAsia="en-GB"/>
        </w:rPr>
        <w:t xml:space="preserve">earnings </w:t>
      </w:r>
      <w:r w:rsidR="00084076" w:rsidRPr="00E915AA">
        <w:rPr>
          <w:rFonts w:ascii="Times New Roman" w:eastAsia="Calibri" w:hAnsi="Times New Roman" w:cs="Times New Roman"/>
          <w:sz w:val="24"/>
          <w:szCs w:val="24"/>
          <w:lang w:val="en-GB" w:eastAsia="en-GB"/>
        </w:rPr>
        <w:t xml:space="preserve">information </w:t>
      </w:r>
      <w:r w:rsidR="00910901" w:rsidRPr="00E915AA">
        <w:rPr>
          <w:rFonts w:ascii="Times New Roman" w:eastAsia="Calibri" w:hAnsi="Times New Roman" w:cs="Times New Roman"/>
          <w:sz w:val="24"/>
          <w:szCs w:val="24"/>
          <w:lang w:val="en-GB" w:eastAsia="en-GB"/>
        </w:rPr>
        <w:t xml:space="preserve">disclosed in IPO registration statements </w:t>
      </w:r>
      <w:r w:rsidR="00905143" w:rsidRPr="00E915AA">
        <w:rPr>
          <w:rFonts w:ascii="Times New Roman" w:eastAsia="Calibri" w:hAnsi="Times New Roman" w:cs="Times New Roman"/>
          <w:sz w:val="24"/>
          <w:szCs w:val="24"/>
          <w:lang w:val="en-GB" w:eastAsia="en-GB"/>
        </w:rPr>
        <w:t>appears to have deteriorated</w:t>
      </w:r>
      <w:r w:rsidR="00910901" w:rsidRPr="00E915AA">
        <w:rPr>
          <w:rFonts w:ascii="Times New Roman" w:eastAsia="Calibri" w:hAnsi="Times New Roman" w:cs="Times New Roman"/>
          <w:sz w:val="24"/>
          <w:szCs w:val="24"/>
          <w:lang w:val="en-GB" w:eastAsia="en-GB"/>
        </w:rPr>
        <w:t xml:space="preserve"> under the JOBS Act.</w:t>
      </w:r>
    </w:p>
    <w:p w14:paraId="163D1E89" w14:textId="0784F73E" w:rsidR="002C6719" w:rsidRPr="00E915AA" w:rsidRDefault="00283987"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Fourth</w:t>
      </w:r>
      <w:r w:rsidR="002C6719" w:rsidRPr="00E915AA">
        <w:rPr>
          <w:rFonts w:ascii="Times New Roman" w:eastAsia="Calibri" w:hAnsi="Times New Roman" w:cs="Times New Roman"/>
          <w:sz w:val="24"/>
          <w:szCs w:val="24"/>
          <w:lang w:val="en-GB" w:eastAsia="en-GB"/>
        </w:rPr>
        <w:t xml:space="preserve">, </w:t>
      </w:r>
      <w:r w:rsidR="007D10DC" w:rsidRPr="00E915AA">
        <w:rPr>
          <w:rFonts w:ascii="Times New Roman" w:eastAsia="Calibri" w:hAnsi="Times New Roman" w:cs="Times New Roman"/>
          <w:sz w:val="24"/>
          <w:szCs w:val="24"/>
          <w:lang w:val="en-GB" w:eastAsia="en-GB"/>
        </w:rPr>
        <w:t>our</w:t>
      </w:r>
      <w:r w:rsidR="002C6719" w:rsidRPr="00E915AA">
        <w:rPr>
          <w:rFonts w:ascii="Times New Roman" w:eastAsia="Calibri" w:hAnsi="Times New Roman" w:cs="Times New Roman"/>
          <w:sz w:val="24"/>
          <w:szCs w:val="24"/>
          <w:lang w:val="en-GB" w:eastAsia="en-GB"/>
        </w:rPr>
        <w:t xml:space="preserve"> study also contributes to the extant literature on the effects of the JOBS Act on SEC regulatory oversight of IPO registration statements. Specifically, </w:t>
      </w:r>
      <w:r w:rsidR="007D10DC" w:rsidRPr="00E915AA">
        <w:rPr>
          <w:rFonts w:ascii="Times New Roman" w:eastAsia="Calibri" w:hAnsi="Times New Roman" w:cs="Times New Roman"/>
          <w:sz w:val="24"/>
          <w:szCs w:val="24"/>
          <w:lang w:val="en-GB" w:eastAsia="en-GB"/>
        </w:rPr>
        <w:t>our</w:t>
      </w:r>
      <w:r w:rsidR="002C6719" w:rsidRPr="00E915AA">
        <w:rPr>
          <w:rFonts w:ascii="Times New Roman" w:eastAsia="Calibri" w:hAnsi="Times New Roman" w:cs="Times New Roman"/>
          <w:sz w:val="24"/>
          <w:szCs w:val="24"/>
          <w:lang w:val="en-GB" w:eastAsia="en-GB"/>
        </w:rPr>
        <w:t xml:space="preserve"> study is the first to provide evidence that</w:t>
      </w:r>
      <w:r w:rsidR="00AF1480"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despite concerns to the contrary, </w:t>
      </w:r>
      <w:r w:rsidR="00AF1480" w:rsidRPr="00E915AA">
        <w:rPr>
          <w:rFonts w:ascii="Times New Roman" w:eastAsia="Calibri" w:hAnsi="Times New Roman" w:cs="Times New Roman"/>
          <w:sz w:val="24"/>
          <w:szCs w:val="24"/>
          <w:lang w:val="en-GB" w:eastAsia="en-GB"/>
        </w:rPr>
        <w:t xml:space="preserve">the </w:t>
      </w:r>
      <w:r w:rsidR="006870E3" w:rsidRPr="00E915AA">
        <w:rPr>
          <w:rFonts w:ascii="Times New Roman" w:eastAsia="Calibri" w:hAnsi="Times New Roman" w:cs="Times New Roman"/>
          <w:sz w:val="24"/>
          <w:szCs w:val="24"/>
          <w:lang w:val="en-GB" w:eastAsia="en-GB"/>
        </w:rPr>
        <w:t xml:space="preserve">extensiveness of </w:t>
      </w:r>
      <w:r w:rsidR="002C6719" w:rsidRPr="00E915AA">
        <w:rPr>
          <w:rFonts w:ascii="Times New Roman" w:eastAsia="Calibri" w:hAnsi="Times New Roman" w:cs="Times New Roman"/>
          <w:sz w:val="24"/>
          <w:szCs w:val="24"/>
          <w:lang w:val="en-GB" w:eastAsia="en-GB"/>
        </w:rPr>
        <w:t xml:space="preserve">SEC reviews </w:t>
      </w:r>
      <w:r w:rsidR="006870E3" w:rsidRPr="00E915AA">
        <w:rPr>
          <w:rFonts w:ascii="Times New Roman" w:eastAsia="Calibri" w:hAnsi="Times New Roman" w:cs="Times New Roman"/>
          <w:sz w:val="24"/>
          <w:szCs w:val="24"/>
          <w:lang w:val="en-GB" w:eastAsia="en-GB"/>
        </w:rPr>
        <w:t>of</w:t>
      </w:r>
      <w:r w:rsidR="002C6719" w:rsidRPr="00E915AA">
        <w:rPr>
          <w:rFonts w:ascii="Times New Roman" w:eastAsia="Calibri" w:hAnsi="Times New Roman" w:cs="Times New Roman"/>
          <w:sz w:val="24"/>
          <w:szCs w:val="24"/>
          <w:lang w:val="en-GB" w:eastAsia="en-GB"/>
        </w:rPr>
        <w:t xml:space="preserve"> IPO firms</w:t>
      </w:r>
      <w:r w:rsidR="006870E3" w:rsidRPr="00E915AA">
        <w:rPr>
          <w:rFonts w:ascii="Times New Roman" w:eastAsia="Calibri" w:hAnsi="Times New Roman" w:cs="Times New Roman"/>
          <w:sz w:val="24"/>
          <w:szCs w:val="24"/>
          <w:lang w:val="en-GB" w:eastAsia="en-GB"/>
        </w:rPr>
        <w:t xml:space="preserve"> continues to be sensitive to the level of </w:t>
      </w:r>
      <w:r w:rsidR="002C6719" w:rsidRPr="00E915AA">
        <w:rPr>
          <w:rFonts w:ascii="Times New Roman" w:eastAsia="Calibri" w:hAnsi="Times New Roman" w:cs="Times New Roman"/>
          <w:sz w:val="24"/>
          <w:szCs w:val="24"/>
          <w:lang w:val="en-GB" w:eastAsia="en-GB"/>
        </w:rPr>
        <w:t xml:space="preserve">AEM and REM </w:t>
      </w:r>
      <w:r w:rsidR="006870E3" w:rsidRPr="00E915AA">
        <w:rPr>
          <w:rFonts w:ascii="Times New Roman" w:eastAsia="Calibri" w:hAnsi="Times New Roman" w:cs="Times New Roman"/>
          <w:sz w:val="24"/>
          <w:szCs w:val="24"/>
          <w:lang w:val="en-GB" w:eastAsia="en-GB"/>
        </w:rPr>
        <w:t xml:space="preserve">exhibited, </w:t>
      </w:r>
      <w:r w:rsidR="002C6719" w:rsidRPr="00E915AA">
        <w:rPr>
          <w:rFonts w:ascii="Times New Roman" w:eastAsia="Calibri" w:hAnsi="Times New Roman" w:cs="Times New Roman"/>
          <w:sz w:val="24"/>
          <w:szCs w:val="24"/>
          <w:lang w:val="en-GB" w:eastAsia="en-GB"/>
        </w:rPr>
        <w:t>after the passing of the JOBS Act in 2012. These findings are informative to investors in that they suggest that although the JOBS Act limit</w:t>
      </w:r>
      <w:r w:rsidR="0033691A" w:rsidRPr="00E915AA">
        <w:rPr>
          <w:rFonts w:ascii="Times New Roman" w:eastAsia="Calibri" w:hAnsi="Times New Roman" w:cs="Times New Roman"/>
          <w:sz w:val="24"/>
          <w:szCs w:val="24"/>
          <w:lang w:val="en-GB" w:eastAsia="en-GB"/>
        </w:rPr>
        <w:t>s</w:t>
      </w:r>
      <w:r w:rsidR="002C6719" w:rsidRPr="00E915AA">
        <w:rPr>
          <w:rFonts w:ascii="Times New Roman" w:eastAsia="Calibri" w:hAnsi="Times New Roman" w:cs="Times New Roman"/>
          <w:sz w:val="24"/>
          <w:szCs w:val="24"/>
          <w:lang w:val="en-GB" w:eastAsia="en-GB"/>
        </w:rPr>
        <w:t xml:space="preserve"> the scope of SEC reviews in some respects, </w:t>
      </w:r>
      <w:proofErr w:type="gramStart"/>
      <w:r w:rsidR="007F6F6A" w:rsidRPr="00E915AA">
        <w:rPr>
          <w:rFonts w:ascii="Times New Roman" w:eastAsia="Calibri" w:hAnsi="Times New Roman" w:cs="Times New Roman"/>
          <w:sz w:val="24"/>
          <w:szCs w:val="24"/>
          <w:lang w:val="en-GB" w:eastAsia="en-GB"/>
        </w:rPr>
        <w:t>with the exception of</w:t>
      </w:r>
      <w:proofErr w:type="gramEnd"/>
      <w:r w:rsidR="007F6F6A" w:rsidRPr="00E915AA">
        <w:rPr>
          <w:rFonts w:ascii="Times New Roman" w:eastAsia="Calibri" w:hAnsi="Times New Roman" w:cs="Times New Roman"/>
          <w:sz w:val="24"/>
          <w:szCs w:val="24"/>
          <w:lang w:val="en-GB" w:eastAsia="en-GB"/>
        </w:rPr>
        <w:t xml:space="preserve"> sales-based REM, </w:t>
      </w:r>
      <w:r w:rsidR="002C6719" w:rsidRPr="00E915AA">
        <w:rPr>
          <w:rFonts w:ascii="Times New Roman" w:eastAsia="Calibri" w:hAnsi="Times New Roman" w:cs="Times New Roman"/>
          <w:sz w:val="24"/>
          <w:szCs w:val="24"/>
          <w:lang w:val="en-GB" w:eastAsia="en-GB"/>
        </w:rPr>
        <w:t xml:space="preserve">SEC comments letters remain a </w:t>
      </w:r>
      <w:r w:rsidR="00812915" w:rsidRPr="00E915AA">
        <w:rPr>
          <w:rFonts w:ascii="Times New Roman" w:eastAsia="Calibri" w:hAnsi="Times New Roman" w:cs="Times New Roman"/>
          <w:sz w:val="24"/>
          <w:szCs w:val="24"/>
          <w:lang w:val="en-GB" w:eastAsia="en-GB"/>
        </w:rPr>
        <w:t>reasonable indicator</w:t>
      </w:r>
      <w:r w:rsidR="002C6719" w:rsidRPr="00E915AA">
        <w:rPr>
          <w:rFonts w:ascii="Times New Roman" w:eastAsia="Calibri" w:hAnsi="Times New Roman" w:cs="Times New Roman"/>
          <w:sz w:val="24"/>
          <w:szCs w:val="24"/>
          <w:lang w:val="en-GB" w:eastAsia="en-GB"/>
        </w:rPr>
        <w:t xml:space="preserve"> of the quality of earnings information provided by IPO firms. </w:t>
      </w:r>
    </w:p>
    <w:p w14:paraId="41C91A94" w14:textId="560415A2"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The remainder of the </w:t>
      </w:r>
      <w:r w:rsidR="00537D8E" w:rsidRPr="00E915AA">
        <w:rPr>
          <w:rFonts w:ascii="Times New Roman" w:eastAsia="Calibri" w:hAnsi="Times New Roman" w:cs="Times New Roman"/>
          <w:sz w:val="24"/>
          <w:szCs w:val="24"/>
          <w:lang w:val="en-GB" w:eastAsia="en-GB"/>
        </w:rPr>
        <w:t xml:space="preserve">paper </w:t>
      </w:r>
      <w:r w:rsidRPr="00E915AA">
        <w:rPr>
          <w:rFonts w:ascii="Times New Roman" w:eastAsia="Calibri" w:hAnsi="Times New Roman" w:cs="Times New Roman"/>
          <w:sz w:val="24"/>
          <w:szCs w:val="24"/>
          <w:lang w:val="en-GB" w:eastAsia="en-GB"/>
        </w:rPr>
        <w:t xml:space="preserve">is organised as follows. Section 2 reviews the relevant literature and develops the </w:t>
      </w:r>
      <w:r w:rsidR="00424A78" w:rsidRPr="00E915AA">
        <w:rPr>
          <w:rFonts w:ascii="Times New Roman" w:eastAsia="Calibri" w:hAnsi="Times New Roman" w:cs="Times New Roman"/>
          <w:sz w:val="24"/>
          <w:szCs w:val="24"/>
          <w:lang w:val="en-GB" w:eastAsia="en-GB"/>
        </w:rPr>
        <w:t xml:space="preserve">study’s </w:t>
      </w:r>
      <w:r w:rsidRPr="00E915AA">
        <w:rPr>
          <w:rFonts w:ascii="Times New Roman" w:eastAsia="Calibri" w:hAnsi="Times New Roman" w:cs="Times New Roman"/>
          <w:sz w:val="24"/>
          <w:szCs w:val="24"/>
          <w:lang w:val="en-GB" w:eastAsia="en-GB"/>
        </w:rPr>
        <w:t xml:space="preserve">hypotheses. The sampling procedure, </w:t>
      </w:r>
      <w:r w:rsidR="0069634C" w:rsidRPr="00E915AA">
        <w:rPr>
          <w:rFonts w:ascii="Times New Roman" w:eastAsia="Calibri" w:hAnsi="Times New Roman" w:cs="Times New Roman"/>
          <w:sz w:val="24"/>
          <w:szCs w:val="24"/>
          <w:lang w:val="en-GB" w:eastAsia="en-GB"/>
        </w:rPr>
        <w:t xml:space="preserve">the </w:t>
      </w:r>
      <w:r w:rsidRPr="00E915AA">
        <w:rPr>
          <w:rFonts w:ascii="Times New Roman" w:eastAsia="Calibri" w:hAnsi="Times New Roman" w:cs="Times New Roman"/>
          <w:sz w:val="24"/>
          <w:szCs w:val="24"/>
          <w:lang w:val="en-GB" w:eastAsia="en-GB"/>
        </w:rPr>
        <w:t>description of variables</w:t>
      </w:r>
      <w:r w:rsidR="0069634C"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t>the design of empirical tests</w:t>
      </w:r>
      <w:r w:rsidR="0069634C" w:rsidRPr="00E915AA">
        <w:rPr>
          <w:rFonts w:ascii="Times New Roman" w:eastAsia="Calibri" w:hAnsi="Times New Roman" w:cs="Times New Roman"/>
          <w:sz w:val="24"/>
          <w:szCs w:val="24"/>
          <w:lang w:val="en-GB" w:eastAsia="en-GB"/>
        </w:rPr>
        <w:t xml:space="preserve"> </w:t>
      </w:r>
      <w:r w:rsidR="00D955E0" w:rsidRPr="00E915AA">
        <w:rPr>
          <w:rFonts w:ascii="Times New Roman" w:eastAsia="Calibri" w:hAnsi="Times New Roman" w:cs="Times New Roman"/>
          <w:sz w:val="24"/>
          <w:szCs w:val="24"/>
          <w:lang w:val="en-GB" w:eastAsia="en-GB"/>
        </w:rPr>
        <w:t xml:space="preserve">and the descriptive statistics </w:t>
      </w:r>
      <w:r w:rsidRPr="00E915AA">
        <w:rPr>
          <w:rFonts w:ascii="Times New Roman" w:eastAsia="Calibri" w:hAnsi="Times New Roman" w:cs="Times New Roman"/>
          <w:sz w:val="24"/>
          <w:szCs w:val="24"/>
          <w:lang w:val="en-GB" w:eastAsia="en-GB"/>
        </w:rPr>
        <w:t xml:space="preserve">are discussed in Section 3. The empirical results are presented and discussed in Section 5, while Section 6 concludes the </w:t>
      </w:r>
      <w:r w:rsidR="004449D0" w:rsidRPr="00E915AA">
        <w:rPr>
          <w:rFonts w:ascii="Times New Roman" w:eastAsia="Calibri" w:hAnsi="Times New Roman" w:cs="Times New Roman"/>
          <w:sz w:val="24"/>
          <w:szCs w:val="24"/>
          <w:lang w:val="en-GB" w:eastAsia="en-GB"/>
        </w:rPr>
        <w:t>paper</w:t>
      </w:r>
      <w:r w:rsidRPr="00E915AA">
        <w:rPr>
          <w:rFonts w:ascii="Times New Roman" w:eastAsia="Calibri" w:hAnsi="Times New Roman" w:cs="Times New Roman"/>
          <w:sz w:val="24"/>
          <w:szCs w:val="24"/>
          <w:lang w:val="en-GB" w:eastAsia="en-GB"/>
        </w:rPr>
        <w:t xml:space="preserve">.  </w:t>
      </w:r>
    </w:p>
    <w:p w14:paraId="5B0D6B11" w14:textId="77777777" w:rsidR="002C6719" w:rsidRPr="00E915AA" w:rsidRDefault="002C6719" w:rsidP="006F305B">
      <w:pPr>
        <w:pStyle w:val="ListParagraph"/>
        <w:numPr>
          <w:ilvl w:val="0"/>
          <w:numId w:val="41"/>
        </w:numPr>
        <w:spacing w:before="240" w:after="240" w:line="360" w:lineRule="auto"/>
        <w:ind w:left="450"/>
        <w:contextualSpacing w:val="0"/>
        <w:jc w:val="both"/>
        <w:outlineLvl w:val="0"/>
        <w:rPr>
          <w:rFonts w:ascii="Times New Roman" w:eastAsia="Calibri" w:hAnsi="Times New Roman" w:cs="Times New Roman"/>
          <w:b/>
          <w:sz w:val="24"/>
          <w:szCs w:val="24"/>
          <w:lang w:val="en-GB" w:eastAsia="en-GB"/>
        </w:rPr>
      </w:pPr>
      <w:bookmarkStart w:id="5" w:name="_Toc43219814"/>
      <w:bookmarkStart w:id="6" w:name="_Toc69749292"/>
      <w:r w:rsidRPr="00E915AA">
        <w:rPr>
          <w:rFonts w:ascii="Times New Roman" w:eastAsia="Calibri" w:hAnsi="Times New Roman" w:cs="Times New Roman"/>
          <w:b/>
          <w:sz w:val="24"/>
          <w:szCs w:val="24"/>
          <w:lang w:val="en-GB" w:eastAsia="en-GB"/>
        </w:rPr>
        <w:t>Literature review</w:t>
      </w:r>
      <w:bookmarkEnd w:id="5"/>
      <w:bookmarkEnd w:id="6"/>
    </w:p>
    <w:p w14:paraId="2CD15A12" w14:textId="77777777" w:rsidR="002C6719" w:rsidRPr="00E915AA" w:rsidRDefault="002C6719" w:rsidP="006F305B">
      <w:pPr>
        <w:pStyle w:val="ListParagraph"/>
        <w:numPr>
          <w:ilvl w:val="1"/>
          <w:numId w:val="42"/>
        </w:numPr>
        <w:spacing w:before="240" w:after="240" w:line="360" w:lineRule="auto"/>
        <w:ind w:left="810"/>
        <w:contextualSpacing w:val="0"/>
        <w:jc w:val="both"/>
        <w:outlineLvl w:val="1"/>
        <w:rPr>
          <w:rFonts w:ascii="Times New Roman" w:eastAsia="Calibri" w:hAnsi="Times New Roman" w:cs="Times New Roman"/>
          <w:b/>
          <w:sz w:val="24"/>
          <w:szCs w:val="24"/>
          <w:lang w:val="en-GB" w:eastAsia="en-GB"/>
        </w:rPr>
      </w:pPr>
      <w:bookmarkStart w:id="7" w:name="_Toc43219815"/>
      <w:bookmarkStart w:id="8" w:name="_Toc69749293"/>
      <w:r w:rsidRPr="00E915AA">
        <w:rPr>
          <w:rFonts w:ascii="Times New Roman" w:eastAsia="Calibri" w:hAnsi="Times New Roman" w:cs="Times New Roman"/>
          <w:b/>
          <w:sz w:val="24"/>
          <w:szCs w:val="24"/>
          <w:lang w:val="en-GB" w:eastAsia="en-GB"/>
        </w:rPr>
        <w:t>Earnings management around IPOs</w:t>
      </w:r>
      <w:bookmarkEnd w:id="7"/>
      <w:bookmarkEnd w:id="8"/>
    </w:p>
    <w:p w14:paraId="235DEC4B" w14:textId="0BAF9A84" w:rsidR="002C6719" w:rsidRPr="00E915AA" w:rsidRDefault="00987F02"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A</w:t>
      </w:r>
      <w:r w:rsidR="002C6719" w:rsidRPr="00E915AA">
        <w:rPr>
          <w:rFonts w:ascii="Times New Roman" w:eastAsia="Calibri" w:hAnsi="Times New Roman" w:cs="Times New Roman"/>
          <w:sz w:val="24"/>
          <w:szCs w:val="24"/>
          <w:lang w:val="en-GB" w:eastAsia="en-GB"/>
        </w:rPr>
        <w:t xml:space="preserve"> growing number of studies provide evidence of opportunistic earnings management around IPOs.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uthor":[{"dropping-particle":"","family":"Aharony","given":"J.","non-dropping-particle":"","parse-names":false,"suffix":""},{"dropping-particle":"","family":"Lin","given":"C","non-dropping-particle":"","parse-names":false,"suffix":""},{"dropping-particle":"","family":"Loeb","given":"M.P.","non-dropping-particle":"","parse-names":false,"suffix":""}],"container-title":"Contemporary Accounting Research","id":"ITEM-1","issue":"1","issued":{"date-parts":[["1993"]]},"page":"61-81","title":"Initial Public Offerings, Accounting Choices and Earnings Management","type":"article-journal","volume":"10"},"uris":["http://www.mendeley.com/documents/?uuid=60bd1811-3e57-45df-92de-c0a307d825ac"]},{"id":"ITEM-2","itemData":{"author":[{"dropping-particle":"","family":"Friedlan","given":"J.M.","non-dropping-particle":"","parse-names":false,"suffix":""}],"container-title":"Contemporary Accounting Research","id":"ITEM-2","issue":"1","issued":{"date-parts":[["1994"]]},"page":"1-31","title":"Accounting choices of issuers of initial public offerings","type":"article-journal","volume":"11"},"uris":["http://www.mendeley.com/documents/?uuid=4c9c16b3-08f5-49e6-91fd-bef235f06eed"]}],"mendeley":{"formattedCitation":"(Aharony, Lin, &amp; Loeb, 1993; Friedlan, 1994)","manualFormatting":"Aharony et al. (1993) and Friedlan (1994)","plainTextFormattedCitation":"(Aharony, Lin, &amp; Loeb, 1993; Friedlan, 1994)","previouslyFormattedCitation":"(Aharony, Lin, &amp; Loeb, 1993; Friedlan, 1994)"},"properties":{"noteIndex":0},"schema":"https://github.com/citation-style-language/schema/raw/master/csl-citation.json"}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Aharony et al. (1993) and Friedlan (1994)</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observe that issuers have compelling incentives to boost earnings numbers by engaging in accruals earnings management before IPOs.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{"citationItems":[{"id":"ITEM-1","itemData":{"ISBN":"1540-6261","ISSN":"00221082","PMID":"1311802","abstract":"Issuers of initial public offerings ~IPOs! can report earnings in excess of cash f lows by taking positive accruals. This paper provides evidence that issuers with unusu-ally high accruals in the IPO year experience poor stock return performance in the three years thereafter. IPO issuers in the most \" aggressive \" quartile of earnings managers have a three-year aftermarket stock return of approximately 20 percent less than IPO issuers in the most \" conservative \" quartile. They also issue about 20 percent fewer seasoned equity offerings. These differences are statistically and economically significant in a variety of specifications. SEVERAL STUDIES F IND THAT INITIAL public offerings ~IPOs! underperform after the issue. 1 Over a three-year holding period after the offering, Ritter ~1991! reports substantially lower stock returns ~mean of Ϫ27 percent and median of Ϫ55 percent! for a sample of 1,526 IPOs going public between 1975 and","author":[{"dropping-particle":"","family":"Teoh","given":"Siew Hong","non-dropping-particle":"","parse-names":false,"suffix":""},{"dropping-particle":"","family":"Welch","given":"Ivo","non-dropping-particle":"","parse-names":false,"suffix":""},{"dropping-particle":"","family":"Wong","given":"T.J.","non-dropping-particle":"","parse-names":false,"suffix":""}],"container-title":"Journal of Finance","id":"ITEM-1","issue":"6","issued":{"date-parts":[["1998"]]},"page":"1935-1974","title":"Earnings management and the long-run market performance of initial public offerings","type":"article-journal","volume":"53"},"uris":["http://www.mendeley.com/documents/?uuid=91fb9062-f784-4409-8e9a-3d059f7ef5e2"]}],"mendeley":{"formattedCitation":"(Siew Hong Teoh et al., 1998a)","manualFormatting":"Teoh et al. (1998a)","plainTextFormattedCitation":"(Siew Hong Teoh et al., 1998a)","previouslyFormattedCitation":"(Siew Hong Teoh et al., 1998a)"},"properties":{"noteIndex":0},"schema":"https://github.com/citation-style-language/schema/raw/master/csl-citation.json"}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Teoh et al. (1998a)</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identify income-increasing earnings management conducted by self-interested managers in the IPO year, as indicated by systematically positive values of abnormal accruals. Various later studies also support the presence of aggressive earnings management to exaggerate earnings numbers around IPOs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{"citationItems":[{"id":"ITEM-1","itemData":{"abstract":"This article comments on an article published in the fall 2001 issue of the \"Journal of Accounting, Auditing and Finance\" regarding initial public offering valuation, its subsequent performance and profit management. The research examines the role of earnings management by issuers prior to making initial public offerings. It was found out that pre-initial public offering abnormal accruals are positively related to initial firm value. This article asks what is the appropriate way of measuring performance for hypothesis testing. It is also critical of the different findings resulting from the tests. Discretionary accrual models are considered weak in value relevance testing.","author":[{"dropping-particle":"","family":"Ducharme","given":"L. L.","non-dropping-particle":"","parse-names":false,"suffix":""},{"dropping-particle":"","family":"Malatesta","given":"P.H.","non-dropping-particle":"","parse-names":false,"suffix":""},{"dropping-particle":"","family":"Sefcik","given":"S. E.","non-dropping-particle":"","parse-names":false,"suffix":""}],"container-title":"Journal of Accounting, Auditing &amp; Finance","id":"ITEM-1","issue":"4","issued":{"date-parts":[["2001"]]},"note":"3","page":"369-396","title":"Earnings Management: IPO Valuation and Subsequent Performance","type":"article-journal","volume":"16"},"uris":["http://www.mendeley.com/documents/?uuid=d0165153-21a5-42ed-b380-00ed144b7594"]},{"id":"ITEM-2","itemData":{"abstract":"This paper presents one of the first studies of earnings management by initial public offering (IPO) firms in a European country. Using a sample of 64 Dutch IPOs, we investigate the pattern of discretionary current accruals (DCA) over time. We find that managers manage their company's earnings in the first year as a public company but not in the years before the IPO. We also examine the impact of earnings management on the long-run stock price performance of IPOs. We find a negative relation between the size of the DCA in the first year as a public company and long-run stock price performance over the next 3 years. A number of additional tests support these findings. © 2003 University of Illinois. All rights reserved.","author":[{"dropping-particle":"","family":"Roosenboom","given":"P.","non-dropping-particle":"","parse-names":false,"suffix":""},{"dropping-particle":"","family":"Goot","given":"T.","non-dropping-particle":"van der","parse-names":false,"suffix":""},{"dropping-particle":"","family":"Mertens","given":"G.","non-dropping-particle":"","parse-names":false,"suffix":""}],"container-title":"International Journal of Accounting","id":"ITEM-2","issue":"3","issued":{"date-parts":[["2003"]]},"note":"3","page":"243-266","title":"Earnings management and initial public offerings: Evidence from the Netherlands","type":"article-journal","volume":"38"},"uris":["http://www.mendeley.com/documents/?uuid=c44709c8-17de-4d3c-98f7-8c3aa538dd75"]},{"id":"ITEM-3","itemData":{"abstract":"Abnormal accounting accruals are unusually high around stock offers, especially high for firms whose offers subsequently attract lawsuits. Accruals tend to reverse after stock offers and are negatively related to post-offer stock returns. Reversals are more pronounced and stock returns are lower for sued firms than for those that are not sued. The incidence of lawsuits involving stock offers and settlement amounts are significantly positively related to abnormal accruals around the offer and significantly negatively related to post-offer stock returns. Our results support the view that some firms opportunistically manipulate earnings upward before stock issues rendering themselves vulnerable to litigation. © 2003 Elsevier B.V. All rights reserved.","author":[{"dropping-particle":"","family":"DuCharme","given":"L.L.","non-dropping-particle":"","parse-names":false,"suffix":""},{"dropping-particle":"","family":"Malatesta","given":"P.H.","non-dropping-particle":"","parse-names":false,"suffix":""},{"dropping-particle":"","family":"Sefcik","given":"S. E.","non-dropping-particle":"","parse-names":false,"suffix":""}],"container-title":"Journal of Financial Economics","id":"ITEM-3","issue":"1","issued":{"date-parts":[["2004"]]},"page":"27-49","title":"Earnings management, stock issues, and shareholder lawsuits","type":"article-journal","volume":"71"},"uris":["http://www.mendeley.com/documents/?uuid=97ac2526-7151-4399-b0d2-ed5420ce1617"]},{"id":"ITEM-4","itemData":{"abstract":"This paper explores the use of specific accruals in managing earnings. We argue that the costs of managing earnings through different income statement items vary and that the benefits of earnings management through each of these items are context-dependent. We thus make differential predictions regarding which specific accrual will be used to manage earnings in each of three contexts. To measure earnings management using specific accruals, we develop six performance-matched measures. Consistent with our predictions, we find that firms issuing equity appear to prefer to manage earnings upward by accelerating revenue recognition, while the opposite is true for firms in the management buyout context. For firms trying to avoid reporting an earnings decrease, we find that special items are significantly more positive. This paper improves our understanding of how the incentives behind earnings management affect the method used to achieve earnings goals and also illustrates the usefulness of examining specific accruals in different contexts.","author":[{"dropping-particle":"","family":"Marquardt","given":"C.A.","non-dropping-particle":"","parse-names":false,"suffix":""},{"dropping-particle":"","family":"Wiedman","given":"C. I.","non-dropping-particle":"","parse-names":false,"suffix":""}],"container-title":"Contemporary Accounting Research","id":"ITEM-4","issue":"2","issued":{"date-parts":[["2005"]]},"page":"461-491","title":"How are Earnings Managed? An Examination of Specific Accruals","type":"article-journal","volume":"21"},"uris":["http://www.mendeley.com/documents/?uuid=b9fae959-ce03-4042-acd0-91150a8b3551"]},{"id":"ITEM-5","itemData":{"ISBN":"00014826","ISSN":"00014826","PMID":"22799461","abstract":"Prior studies suggest that venture capitalists (VCs) play a monitoring role. We predict and find that IPO-year abnormal accruals are lower in the presence of VCs for a sample of 2,630 IPO firms during 1983–2001. Our findings are robust to controls for the endogenous choice of VC financing. We consistently find that the VC effect holds even when controlling for IPO lock-up provisions, VC partial cashing out sub-sequent to the IPO, and alternative proxies for earnings management. In addition, our findings do not support the claims of critics that VCs inflated earnings during the In-ternet IPO bubble. Finally, we provide some evidence that the lower earnings manage-ment associated with VC monitoring partially explains the superior post-IPO returns of VC-backed firms. Data Availability: Data are publicly available from sources cited in the study.","author":[{"dropping-particle":"","family":"Morsfield","given":"S.G.","non-dropping-particle":"","parse-names":false,"suffix":""},{"dropping-particle":"","family":"Tan","given":"C.E.L.","non-dropping-particle":"","parse-names":false,"suffix":""}],"container-title":"Accounting Review","id":"ITEM-5","issue":"5","issued":{"date-parts":[["2006"]]},"page":"1119-1150","title":"Do venture capitalists influence the decision to manage earnings in initial public offerings?","type":"article-journal","volume":"81"},"uris":["http://www.mendeley.com/documents/?uuid=e29c8fa5-31b5-4c6a-9e21-2b9f1ac5d1e5"]},{"id":"ITEM-6","itemData":{"ISBN":"0304-405X","ISSN":"0304405X","PMID":"231725555","abstract":"Flotation costs represent a significant loss of capital to firms and are positively related to information asymmetry between managers and outside investors. We measure a firm's information asymmetry by its accounting information quality based on two extensions of the Dechow and Dichev [2002. The quality of accruals and earnings: the role of accrual estimation errors. Accounting Review 77, 35-59] earnings accruals model, which is a more direct approach to assessing the information available to outside investors than the more commonly used proxies. Our main hypothesis is that poor accounting information quality raises uncertainty about a firm's financial condition for outside investors, though not necessarily for insiders. This accounting effect lowers demand for a firm's new equity, thereby raising underwriting costs and risk. Using a large sample of seasoned equity offerings (SEOs), we show that poor accounting information quality is associated with higher flotation costs in terms of larger underwriting fees, larger negative SEO announcement effects, and a higher probability of SEO withdrawals. These results are robust to joint determination of offer size and flotation cost components and to adjustments for sample selection bias. © 2009.","author":[{"dropping-particle":"","family":"Lee","given":"Gemma","non-dropping-particle":"","parse-names":false,"suffix":""},{"dropping-particle":"","family":"Masulis","given":"Ronald W.","non-dropping-particle":"","parse-names":false,"suffix":""}],"container-title":"Journal of Financial Economics","id":"ITEM-6","issue":"3","issued":{"date-parts":[["2009"]]},"page":"443-469","publisher":"Elsevier","title":"Seasoned equity offerings: Quality of accounting information and expected flotation costs","type":"article-journal","volume":"92"},"uris":["http://www.mendeley.com/documents/?uuid=f771f0b7-5f40-431d-9b0f-f2c046852de9"]},{"id":"ITEM-7","itemData":{"abstract":"This paper analyses the relationship between real and accrual earnings management activities and IPO failure risk. While the association between accrual earnings management and IPO failure has been researched in a limited setting, to date, there has been no work that analyses the impact of real activities-based manipulation on the probability of IPO failure. Based on a sample of 570 UK IPO firms that went public over the period 1998-2008, we find evidence that IPO firms manipulate earnings upward utilising real and accrual earnings management during the IPO year. We also find that IPO firms with high levels of real and/or accrual earnings management during the IPO year have a higher probability of IPO failure and lower survival rates in subsequent periods. In addition, we find that IPO firms experience a higher probability of IPO failure and lower survival rates in the post-IPO period when greater real earnings management takes place during the IPO as compared to accrual earnings management. While our work contributes to the growing literature on real and accrual earnings management around IPOs, the majority of our failed IPO events are from the Alternative Investment Market and occur during the financial crisis. Future research, therefore, should consider whether these results are generalisable to more developed firms and less turbulent economic environments.","author":[{"dropping-particle":"","family":"Alhadab","given":"M.","non-dropping-particle":"","parse-names":false,"suffix":""},{"dropping-particle":"","family":"Clacher","given":"I.","non-dropping-particle":"","parse-names":false,"suffix":""},{"dropping-particle":"","family":"Keasey","given":"K.","non-dropping-particle":"","parse-names":false,"suffix":""}],"container-title":"Accounting and Business Research","id":"ITEM-7","issue":"1","issued":{"date-parts":[["2015"]]},"note":"3","page":"55-92","publisher":"Taylor &amp; Francis","title":"Real and accrual earnings management and IPO failure risk","type":"article-journal","volume":"45"},"uris":["http://www.mendeley.com/documents/?uuid=48e6a725-f4b4-46ad-b4c3-6bf849bf8da1"]},{"id":"ITEM-8","itemData":{"abstract":"While earnings management around IPOs has been researched in a number of settings, there has been a relative absence of work that analyses the impact of the regulatory environment on such activities. We find that the regulatory environment does impact the real and accrual earnings management activities of IPO firms. Our results show that IPO firms listing on the lightly regulated UK Alternative InvestmentThis article is protected by copyright. All rights reserved. 2 Market (AIM) have higher (lower) levels of accrual based and sales based (discretionary expenses based ) earnings management around the IPO than firms listing on the more heavily regulated Main market in the UK.","author":[{"dropping-particle":"","family":"Alhadab","given":"M.","non-dropping-particle":"","parse-names":false,"suffix":""},{"dropping-particle":"","family":"Clacher","given":"I.","non-dropping-particle":"","parse-names":false,"suffix":""},{"dropping-particle":"","family":"Keasey","given":"K.","non-dropping-particle":"","parse-names":false,"suffix":""}],"container-title":"Journal of Business Finance and Accounting","id":"ITEM-8","issue":"7-8","issued":{"date-parts":[["2016"]]},"note":"3","page":"849-871","title":"A Comparative Analysis of Real and Accrual Earnings Management around Initial Public Offerings under Different Regulatory Environments","type":"article-journal","volume":"43"},"uris":["http://www.mendeley.com/documents/?uuid=3ac65348-c63e-4ece-b34a-583f0d0e631a"]},{"id":"ITEM-9","itemData":{"DOI":"10.1016/j.intacc.2011.04.001","ISBN":"doi:10.1016/j.intacc.2011.04.001","ISSN":"00207063","abstract":"We find evidence of income-increasing earnings management in Malaysian IPOs, which occurs primarily for IPOs during a period of severe economic stress (the East Asian crisis). Within the high-ownership-concentration Malaysian market, post-IPO control concerns also appear to constrain IPO earnings management: owners seem willing to accept reduced IPO proceeds and signaling opportunities to increase the likelihood of retaining control of the company post-IPO. The requirement to provide a profit guarantee does not seem to greatly affect earnings management. IPO companies engaging in aggressive income-increasing earnings management have significantly worse market-based performance than their more conservative counterparts, but again only for IPOs issued during the economic crisis period. Overall, the results suggest that personal liquidity concerns are an important factor in IPO decisions during the economic crisis. © 2011 University of Illinois.","author":[{"dropping-particle":"","family":"Ahmad-Zaluki","given":"N.A.","non-dropping-particle":"","parse-names":false,"suffix":""},{"dropping-particle":"","family":"Campbell","given":"K.","non-dropping-particle":"","parse-names":false,"suffix":""},{"dropping-particle":"","family":"Goodacre","given":"A.","non-dropping-particle":"","parse-names":false,"suffix":""}],"container-title":"International Journal of Accounting","id":"ITEM-9","issue":"2","issued":{"date-parts":[["2011"]]},"note":"3","page":"111-137","publisher":"University of Illinois","title":"Earnings management in Malaysian IPOs: The East Asian crisis, ownership control, and post-IPO performance","type":"article-journal","volume":"46"},"uris":["http://www.mendeley.com/documents/?uuid=57f25e90-fcca-485b-bbb8-3abb335278eb"]},{"id":"ITEM-10","itemData":{"DOI":"10.1007/s11156-015-0524-2","ISSN":"15737179","abstract":"We study how group affiliation, a firm being a member of a business group, affects earnings management around initial public offerings (IPOs) in nine Asian countries. Our empirical evidence shows that Asian IPO issuers tend to manage earnings more aggressively than matching non-IPO firms from the same industry: discretionary accruals are higher by 3 % of total assets. Earnings management is especially pronounced among the quartile of IPO firms with the highest dependence on external capital. However, group-affiliated issuers have substantially lower levels of earnings management compared to non-group issuers (discretionary accruals are lower by 6.8 % of total assets), even when their dependence on external capital is high. Our results suggest that group-affiliated IPO issuers in Asia can raise funds more easily than non-group issuers, and as a result they have a lower need to manipulate earnings. We also find a negative relation between underwriter reputation and earnings management, which suggests that reputable underwriters help certify the validity of information disclosure for IPOs.","author":[{"dropping-particle":"","family":"Kouwenberg","given":"R.","non-dropping-particle":"","parse-names":false,"suffix":""},{"dropping-particle":"","family":"Thontirawong","given":"P.","non-dropping-particle":"","parse-names":false,"suffix":""}],"container-title":"Review of Quantitative Finance and Accounting","id":"ITEM-10","issue":"4","issued":{"date-parts":[["2016"]]},"page":"897-917","publisher":"Springer US","title":"Group affiliation and earnings management of Asian IPO issuers","type":"article-journal","volume":"47"},"uris":["http://www.mendeley.com/documents/?uuid=e7275100-c5ce-450d-a9ee-d1b164944fae"]},{"id":"ITEM-11","itemData":{"DOI":"10.1111/j.1475-679x.2004.00161.x","ISSN":"00218456","abstract":"In this article we examine whether insider share selling in an initial public offering (IPO) influences R&amp;D expenditures. Insiders (managers and venture capitalists) who sell their pre-offering shareholdings might try to increase the IPO offer price (1) by overinvesting in R&amp;D to signal the firm's prospects (the signaling hypothesis) or (2) by underinvesting in R&amp;D to increase current reported earnings (the earnings fixation hypothesis). We find that, for a sample of 243 IPOs from 1986 to 1990, change in R&amp;D spending in the year of the IPO is negatively related to managerial selling. Because reductions in R&amp;D spending increase current earnings at the expense of future earnings, our evidence suggests that managers believe that investors place more emphasis on current earnings and less emphasis on R&amp;D and therefore spend less on R&amp;D. We also document a positive association between discretionary current accruals in the offering year and managerial selling, suggesting that selling managers manipulate accruals as well.","author":[{"dropping-particle":"","family":"Darrough","given":"M.","non-dropping-particle":"","parse-names":false,"suffix":""},{"dropping-particle":"","family":"Rangan","given":"S.","non-dropping-particle":"","parse-names":false,"suffix":""}],"container-title":"Journal of Accounting Research","id":"ITEM-11","issue":"1","issued":{"date-parts":[["2005"]]},"page":"1-33","title":"Do insiders manipulate earnings when they sell their shares in an initial public offering?","type":"article-journal","volume":"43"},"uris":["http://www.mendeley.com/documents/?uuid=eb13eb59-5aea-4f24-b177-5be8a2daed15"]},{"id":"ITEM-12","itemData":{"abstract":"This study examines the extent to which principal-principal agency conflicts within venture capital (VC) syndicates lead to additional principal-agent conflicts in IPO firms in two institutional contexts. Using a matched sample of 274 VC-backed IPOs in the US and the UK, it shows that the diversity of a VC syndicate increases pre-IPO discretionary current accruals, used as a proxy for earnings management, but the impact of such diversity is higher in the US. There is also evidence of higher underpricing and lower aftermarket performance in firms with higher earnings management and VC diversity, and these negative performance effects are also higher in the US. Our findings indicate that local and informal institutions have a significant effect on multiple agency conflicts in IPO firms and performance outcomes. © 2011 Elsevier B.V.","author":[{"dropping-particle":"","family":"Chahine","given":"S.","non-dropping-particle":"","parse-names":false,"suffix":""},{"dropping-particle":"","family":"Arthurs","given":"J. D.","non-dropping-particle":"","parse-names":false,"suffix":""},{"dropping-particle":"","family":"Filatotchev","given":"I.","non-dropping-particle":"","parse-names":false,"suffix":""},{"dropping-particle":"","family":"Hoskisson","given":"R.E.","non-dropping-particle":"","parse-names":false,"suffix":""}],"container-title":"Journal of Corporate Finance","id":"ITEM-12","issue":"1","issued":{"date-parts":[["2012"]]},"page":"179-192","publisher":"Elsevier B.V.","title":"The effects of venture capital syndicate diversity on earnings management and performance of IPOs in the US and UK: An institutional perspective","type":"article-journal","volume":"18"},"uris":["http://www.mendeley.com/documents/?uuid=bd1d68ec-bc2d-4b8b-9a8d-09dfbb3355db"]},{"id":"ITEM-13","itemData":{"abstract":"We examine the relation between audit quality and the earnings management activities of IPO firms. The impact of high quality auditors on real earnings management has been researched in a number of settings e.g. SEOs. However, to date, there has been no work on the effect of high quality auditors on real activities-based manipulation around IPOs. We examine UK IPOs between 1998 and 2008 and find evidence that high quality auditors constrain the use of real activities manipulation that occurs via the management of discretionary expenses. We also find evidence, consistent with prior research, that high quality auditors constrain the manipulation of discretionary accruals. Crucially, we find IPO firms audited by high quality auditors undertake sales-based manipulation in order to manage earnings upward at the end of the IPO year. The presence of high quality auditors is not, therefore, sufficient to constrain all forms of earnings management.","author":[{"dropping-particle":"","family":"Alhadab","given":"M.","non-dropping-particle":"","parse-names":false,"suffix":""},{"dropping-particle":"","family":"Clacher","given":"I.","non-dropping-particle":"","parse-names":false,"suffix":""}],"container-title":"British Accounting Review","id":"ITEM-13","issue":"4","issued":{"date-parts":[["2018"]]},"note":"3","page":"442-461","publisher":"Elsevier","title":"The impact of audit quality on real and accrual earnings management around IPOs","type":"article-journal","volume":"50"},"uris":["http://www.mendeley.com/documents/?uuid=0828aec0-76a8-4a5d-833a-65cf5ae333e5"]},{"id":"ITEM-14","itemData":{"abstract":"This study examines the association between financial expert CEOs and earnings management (EM) around initial public offerings. We identify financial expert CEOs as those having past experience in either banking or investment firms, large auditing firms, or finance-related roles. We find strong evidence that newly listed firms with financial expert CEOs are less likely to engage in either accrual-based or real EM in the offering year than those with non-financial expert CEOs. In particular, our results are robust after controlling for the potential selection issue that occurs due to non-random matching of CEOs to firms. In addition, we employ alternative measures of financial expertise, including past experience in a CFO position, financial experience variety, and professional qualifications. We document that CEOs who used to work as CFOs and those who gained varied financial experience are less likely to manage earnings through both accruals and real activities. Moreover, CEOs who have a professional qualification in finance and/or accounting are also associated with lower accrual-based EM.","author":[{"dropping-particle":"","family":"Gounopoulos","given":"D.","non-dropping-particle":"","parse-names":false,"suffix":""},{"dropping-particle":"","family":"Pham","given":"H.","non-dropping-particle":"","parse-names":false,"suffix":""}],"container-title":"International Journal of Accounting","id":"ITEM-14","issued":{"date-parts":[["2018"]]},"note":"3","page":"1-45","title":"Financial Expert CEOs and Earnings Management Around Initial Public Offerings","type":"article-journal"},"uris":["http://www.mendeley.com/documents/?uuid=121b5e7e-5536-477c-b47c-8d666c47085e"]},{"id":"ITEM-15","itemData":{"abstract":"This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Accounting","id":"ITEM-15","issue":"1-2","issued":{"date-parts":[["2017"]]},"note":"3","page":"154-195","title":"Credit Ratings and Earnings Management around IPOs","type":"article-journal","volume":"44"},"uris":["http://www.mendeley.com/documents/?uuid=1acea3cc-a27d-47fe-ad6b-11463a303827"]},{"id":"ITEM-16","itemData":{"ISSN":"09275398","abstract":"Leveraging the unique detailed bid data of institutional investors during the IPO process in China, we investigate how investors, especially institutional investors, react to the issuing firm's pre-IPO earnings management (EM). Our findings suggest that institutional investors’ bid prices are negatively correlated with pre-IPO EM. The results are more pronounced for accrual-based EM than real EM. The findings are robust to a battery of different bid prices. We also document that retail investor oversubscription ratio is negatively or not associated with pre-IPO accrual-based EM. However, such oversubscription ratio is positively correlated with pre-IPO real EM. Additional results show that IPO offer prices (relative to the proposed IPO price range) are negatively correlated with pre-IPO EM, suggesting that institutional investors’ ability to recognize EM pressures IPO issuing firms into setting a lower offer price. Lastly, we find that, the long-run IPO performance is mostly unrelated to EM, which is different from what the literature depicts.","author":[{"dropping-particle":"","family":"Gao","given":"S.","non-dropping-particle":"","parse-names":false,"suffix":""},{"dropping-particle":"","family":"Meng","given":"Q.","non-dropping-particle":"","parse-names":false,"suffix":""},{"dropping-particle":"","family":"Chan","given":"K.C.","non-dropping-particle":"","parse-names":false,"suffix":""},{"dropping-particle":"","family":"Wu","given":"W.","non-dropping-particle":"","parse-names":false,"suffix":""}],"container-title":"Journal of Empirical Finance","id":"ITEM-16","issue":"February","issued":{"date-parts":[["2017"]]},"note":"3","page":"90-108","publisher":"Elsevier","title":"Earnings management before IPOs: Are institutional investors misled?","type":"article-journal","volume":"42"},"uris":["http://www.mendeley.com/documents/?uuid=627b1910-5710-4948-96ae-9d31353265e0"]}],"mendeley":{"formattedCitation":"(Ahmad-Zaluki et al., 2011; Alhadab &amp; Clacher, 2018; Alhadab et al., 2015, 2016; Chahine et al., 2012; Darrough &amp; Rangan, 2005; Ducharme et al., 2001; DuCharme et al., 2004; S. Gao et al., 2017; Gounopoulos &amp; Pham, 2018, 2017; Kouwenberg &amp; Thontirawong, 2016; Gemma Lee &amp; Masulis, 2009; Marquardt &amp; Wiedman, 2005; Morsfield &amp; Tan, 2006; Roosenboom et al., 2003)","manualFormatting":"(Ahmad-Zaluki et al., 2011; Alhadab &amp; Clacher, 2018; Alhadab et al., 2015, 2016; Chahine et al., 2012; Gao et al., 2017; Gounopoulos &amp; Pham, 2017, 2018; Kouwenberg &amp; Thontirawong, 2016; Gemma et al., 2009)","plainTextFormattedCitation":"(Ahmad-Zaluki et al., 2011; Alhadab &amp; Clacher, 2018; Alhadab et al., 2015, 2016; Chahine et al., 2012; Darrough &amp; Rangan, 2005; Ducharme et al., 2001; DuCharme et al., 2004; S. Gao et al., 2017; Gounopoulos &amp; Pham, 2018, 2017; Kouwenberg &amp; Thontirawong, 2016; Gemma Lee &amp; Masulis, 2009; Marquardt &amp; Wiedman, 2005; Morsfield &amp; Tan, 2006; Roosenboom et al., 2003)","previouslyFormattedCitation":"(Ahmad-Zaluki et al., 2011; Alhadab &amp; Clacher, 2018; Alhadab et al., 2015, 2016; Chahine et al., 2012; Darrough &amp; Rangan, 2005; Ducharme et al., 2001; DuCharme et al., 2004; S. Gao et al., 2017; Gounopoulos &amp; Pham, 2018, 2017; Kouwenberg &amp; Thontirawong, 2016; Gemma Lee &amp; Masulis, 2009; Marquardt &amp; Wiedman, 2005; Morsfield &amp; Tan, 2006; Roosenboom et al., 2003)"},"properties":{"noteIndex":0},"schema":"https://github.com/citation-style-language/schema/raw/master/csl-citation.json"}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(Ahmad-Zaluki et al., 2011; Alhadab &amp; Clacher, 2018; Alhadab et al., 2015, 2016; Chahine et al., 2012; Gao et al., 2017; Gounopoulos &amp; Pham, 2017, 2018; Kouwenberg &amp; Thontirawong, 2016)</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w:t>
      </w:r>
    </w:p>
    <w:p w14:paraId="4B4C0E33" w14:textId="31723131"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Studies on earnings management in the IPO context mostly focus on the presence of accrual manipulation around IPOs and show a tendency by IPO managers toward income-increasing earnings management (</w:t>
      </w:r>
      <w:proofErr w:type="spellStart"/>
      <w:r w:rsidRPr="00E915AA">
        <w:rPr>
          <w:rFonts w:ascii="Times New Roman" w:eastAsia="Calibri" w:hAnsi="Times New Roman" w:cs="Times New Roman"/>
          <w:noProof/>
          <w:sz w:val="24"/>
          <w:szCs w:val="24"/>
          <w:lang w:val="en-GB" w:eastAsia="en-GB"/>
        </w:rPr>
        <w:t>Alhadab</w:t>
      </w:r>
      <w:proofErr w:type="spellEnd"/>
      <w:r w:rsidRPr="00E915AA">
        <w:rPr>
          <w:rFonts w:ascii="Times New Roman" w:eastAsia="Calibri" w:hAnsi="Times New Roman" w:cs="Times New Roman"/>
          <w:noProof/>
          <w:sz w:val="24"/>
          <w:szCs w:val="24"/>
          <w:lang w:val="en-GB" w:eastAsia="en-GB"/>
        </w:rPr>
        <w:t xml:space="preserve"> &amp; Clacher, 2018; </w:t>
      </w:r>
      <w:proofErr w:type="spellStart"/>
      <w:r w:rsidRPr="00E915AA">
        <w:rPr>
          <w:rFonts w:ascii="Times New Roman" w:eastAsia="Calibri" w:hAnsi="Times New Roman" w:cs="Times New Roman"/>
          <w:sz w:val="24"/>
          <w:szCs w:val="24"/>
          <w:lang w:val="en-GB" w:eastAsia="en-GB"/>
        </w:rPr>
        <w:t>Aharony</w:t>
      </w:r>
      <w:proofErr w:type="spellEnd"/>
      <w:r w:rsidRPr="00E915AA">
        <w:rPr>
          <w:rFonts w:ascii="Times New Roman" w:eastAsia="Calibri" w:hAnsi="Times New Roman" w:cs="Times New Roman"/>
          <w:sz w:val="24"/>
          <w:szCs w:val="24"/>
          <w:lang w:val="en-GB" w:eastAsia="en-GB"/>
        </w:rPr>
        <w:t xml:space="preserve"> et al., 1993; </w:t>
      </w:r>
      <w:proofErr w:type="spellStart"/>
      <w:r w:rsidRPr="00E915AA">
        <w:rPr>
          <w:rFonts w:ascii="Times New Roman" w:eastAsia="Calibri" w:hAnsi="Times New Roman" w:cs="Times New Roman"/>
          <w:sz w:val="24"/>
          <w:szCs w:val="24"/>
          <w:lang w:val="en-GB" w:eastAsia="en-GB"/>
        </w:rPr>
        <w:t>DuCharme</w:t>
      </w:r>
      <w:proofErr w:type="spellEnd"/>
      <w:r w:rsidRPr="00E915AA">
        <w:rPr>
          <w:rFonts w:ascii="Times New Roman" w:eastAsia="Calibri" w:hAnsi="Times New Roman" w:cs="Times New Roman"/>
          <w:sz w:val="24"/>
          <w:szCs w:val="24"/>
          <w:lang w:val="en-GB" w:eastAsia="en-GB"/>
        </w:rPr>
        <w:t xml:space="preserve">, 2001, </w:t>
      </w:r>
      <w:r w:rsidRPr="00E915AA">
        <w:rPr>
          <w:rFonts w:ascii="Times New Roman" w:eastAsia="Calibri" w:hAnsi="Times New Roman" w:cs="Times New Roman"/>
          <w:sz w:val="24"/>
          <w:szCs w:val="24"/>
          <w:lang w:val="en-GB" w:eastAsia="en-GB"/>
        </w:rPr>
        <w:lastRenderedPageBreak/>
        <w:t xml:space="preserve">2004; </w:t>
      </w:r>
      <w:proofErr w:type="spellStart"/>
      <w:r w:rsidRPr="00E915AA">
        <w:rPr>
          <w:rFonts w:ascii="Times New Roman" w:eastAsia="Calibri" w:hAnsi="Times New Roman" w:cs="Times New Roman"/>
          <w:sz w:val="24"/>
          <w:szCs w:val="24"/>
          <w:lang w:val="en-GB" w:eastAsia="en-GB"/>
        </w:rPr>
        <w:t>Gounopoulos</w:t>
      </w:r>
      <w:proofErr w:type="spellEnd"/>
      <w:r w:rsidRPr="00E915AA">
        <w:rPr>
          <w:rFonts w:ascii="Times New Roman" w:eastAsia="Calibri" w:hAnsi="Times New Roman" w:cs="Times New Roman"/>
          <w:sz w:val="24"/>
          <w:szCs w:val="24"/>
          <w:lang w:val="en-GB" w:eastAsia="en-GB"/>
        </w:rPr>
        <w:t xml:space="preserve"> &amp; Pham, 2017; </w:t>
      </w:r>
      <w:proofErr w:type="spellStart"/>
      <w:r w:rsidRPr="00E915AA">
        <w:rPr>
          <w:rFonts w:ascii="Times New Roman" w:eastAsia="Calibri" w:hAnsi="Times New Roman" w:cs="Times New Roman"/>
          <w:sz w:val="24"/>
          <w:szCs w:val="24"/>
          <w:lang w:val="en-GB" w:eastAsia="en-GB"/>
        </w:rPr>
        <w:t>Friedlan</w:t>
      </w:r>
      <w:proofErr w:type="spellEnd"/>
      <w:r w:rsidRPr="00E915AA">
        <w:rPr>
          <w:rFonts w:ascii="Times New Roman" w:eastAsia="Calibri" w:hAnsi="Times New Roman" w:cs="Times New Roman"/>
          <w:sz w:val="24"/>
          <w:szCs w:val="24"/>
          <w:lang w:val="en-GB" w:eastAsia="en-GB"/>
        </w:rPr>
        <w:t xml:space="preserve">, 1994; Lee and </w:t>
      </w:r>
      <w:proofErr w:type="spellStart"/>
      <w:r w:rsidRPr="00E915AA">
        <w:rPr>
          <w:rFonts w:ascii="Times New Roman" w:eastAsia="Calibri" w:hAnsi="Times New Roman" w:cs="Times New Roman"/>
          <w:sz w:val="24"/>
          <w:szCs w:val="24"/>
          <w:lang w:val="en-GB" w:eastAsia="en-GB"/>
        </w:rPr>
        <w:t>Masulis</w:t>
      </w:r>
      <w:proofErr w:type="spellEnd"/>
      <w:r w:rsidRPr="00E915AA">
        <w:rPr>
          <w:rFonts w:ascii="Times New Roman" w:eastAsia="Calibri" w:hAnsi="Times New Roman" w:cs="Times New Roman"/>
          <w:sz w:val="24"/>
          <w:szCs w:val="24"/>
          <w:lang w:val="en-GB" w:eastAsia="en-GB"/>
        </w:rPr>
        <w:t xml:space="preserve">, 2011; Marquardt and </w:t>
      </w:r>
      <w:proofErr w:type="spellStart"/>
      <w:r w:rsidRPr="00E915AA">
        <w:rPr>
          <w:rFonts w:ascii="Times New Roman" w:eastAsia="Calibri" w:hAnsi="Times New Roman" w:cs="Times New Roman"/>
          <w:sz w:val="24"/>
          <w:szCs w:val="24"/>
          <w:lang w:val="en-GB" w:eastAsia="en-GB"/>
        </w:rPr>
        <w:t>Wiedman</w:t>
      </w:r>
      <w:proofErr w:type="spellEnd"/>
      <w:r w:rsidRPr="00E915AA">
        <w:rPr>
          <w:rFonts w:ascii="Times New Roman" w:eastAsia="Calibri" w:hAnsi="Times New Roman" w:cs="Times New Roman"/>
          <w:sz w:val="24"/>
          <w:szCs w:val="24"/>
          <w:lang w:val="en-GB" w:eastAsia="en-GB"/>
        </w:rPr>
        <w:t xml:space="preserve">, 2004; </w:t>
      </w:r>
      <w:proofErr w:type="spellStart"/>
      <w:r w:rsidRPr="00E915AA">
        <w:rPr>
          <w:rFonts w:ascii="Times New Roman" w:eastAsia="Calibri" w:hAnsi="Times New Roman" w:cs="Times New Roman"/>
          <w:sz w:val="24"/>
          <w:szCs w:val="24"/>
          <w:lang w:val="en-GB" w:eastAsia="en-GB"/>
        </w:rPr>
        <w:t>Morsfield</w:t>
      </w:r>
      <w:proofErr w:type="spellEnd"/>
      <w:r w:rsidRPr="00E915AA">
        <w:rPr>
          <w:rFonts w:ascii="Times New Roman" w:eastAsia="Calibri" w:hAnsi="Times New Roman" w:cs="Times New Roman"/>
          <w:sz w:val="24"/>
          <w:szCs w:val="24"/>
          <w:lang w:val="en-GB" w:eastAsia="en-GB"/>
        </w:rPr>
        <w:t xml:space="preserve"> and Tan, 2006; Teoh et al., 1998b). Recently, a growing number of studies on REM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{"citationItems":[{"id":"ITEM-1","itemData":{"ISSN":"00014826","abstract":"We document that accrual-based earnings management increased steadily from 1987 until the passage of the Sarbanes-Oxley Act (SOX) in 2002, followed by a significant decline after the passage of SOX. Conversely, the level of real earnings management activities declined prior to SOX and increased significantly after the passage of SOX, suggesting that firms switched from accrual-based to real earnings management methods after the passage of SOX. We also document that the accrual-based earnings management activities were particularly high in the period immediately preceding SOX. Consistent with these results, we find that firms that just achieved important earnings benchmarks used less accruals and more real earnings management after SOX when compared to similar firms before SOX. In addition, our analysis provides evidence that the increases in accrual-based earnings management in the period preceding SOX were concurrent with increases in equity-based compensation. Our results suggest that stock-option components provide a differential set of incentives with regard to accrual-based earnings management. We document that while new options granted during the current period are negatively associated with income-increasing accrual-based earnings management, unexercised options are positively associated with income-increasing accrual-based earnings management.","author":[{"dropping-particle":"","family":"Cohen","given":"D. A.","non-dropping-particle":"","parse-names":false,"suffix":""},{"dropping-particle":"","family":"Dey","given":"A.","non-dropping-particle":"","parse-names":false,"suffix":""},{"dropping-particle":"","family":"Lys","given":"T. Z.","non-dropping-particle":"","parse-names":false,"suffix":""}],"container-title":"Accounting Review","id":"ITEM-1","issue":"3","issued":{"date-parts":[["2008"]]},"page":"757-787","title":"Real and accrual-based earnings management in the pre- and post-sarbanes-oxley periods","type":"article-journal","volume":"83"},"uris":["http://www.mendeley.com/documents/?uuid=346283e1-f09f-45fa-964a-dbab6e249247"]},{"id":"ITEM-2","itemData":{"ISBN":"0165-4101","ISSN":"01654101","abstract":"I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reserved.","author":[{"dropping-particle":"","family":"Roychowdhury","given":"S.","non-dropping-particle":"","parse-names":false,"suffix":""}],"container-title":"Journal of Accounting and Economics","id":"ITEM-2","issue":"3","issued":{"date-parts":[["2006"]]},"page":"335-370","title":"Earnings management through real activities manipulation","type":"article-journal","volume":"42"},"uris":["http://www.mendeley.com/documents/?uuid=4ab7e38d-7b68-44ca-a2d2-d046c565fdbd"]},{"id":"ITEM-3","itemData":{"ISSN":"08239150","abstract":"This paper examines the consequences of real activities manipulation (RM). Using financial statement data, I identify firms that appear to engage in any of the following RM: reducing research and development (R&amp;D) to increase income; reducing selling, general, and administrative (SG&amp;A) expenses to increase income; timing of income recognition from the disposal of long-lived assets and investments; and cutting prices to boost sales in the current period and/or overproducing to decrease cost of goods sold expense. I then examine whether RM is associated with firms just meeting two earnings benchmarks (zero and last years earnings). The results indicate that RM of R&amp;D, SG&amp;A, and production are positively associated with firms just meeting these earnings benchmarks. Next, I examine the extent to which RM affects subsequent performance. A negative association between just meeting earnings benchmarks by using RM and subsequent performance supports prior research suggesting managers opportunistically use earnings management to the detriment of shareholders (i.e., managerial opportunism). A positive association is consistent with managers using operational discretion to attain benefits that allow better future performance or to signal future firm value. I find that firm-years reflecting RM to just meet earnings benchmarks have higher subsequent firm performance (compared to firm-years that do not engage in RM and miss or just meet the earnings benchmarks). In this setting, using RM to influence the output of the accounting system is not opportunistic, but consistent with managers attaining benefits that allow better future performance or signaling. © 2010 The Canadian Academic Accounting Association.","author":[{"dropping-particle":"","family":"Gunny","given":"K. A.","non-dropping-particle":"","parse-names":false,"suffix":""}],"container-title":"Contemporary Accounting Research","id":"ITEM-3","issue":"3","issued":{"date-parts":[["2010"]]},"page":"855-888","title":"The relation between earnings management using real activities manipulation and future performance: Evidence from meeting earnings benchmarks","type":"article-journal","volume":"27"},"uris":["http://www.mendeley.com/documents/?uuid=b27d5b43-7f5e-46f8-9bb2-1821e1a9fbce"]},{"id":"ITEM-4","itemData":{"abstract":"I study whether managers use real activities manipulation and accrualbased earnings management as substitutes in managing earnings. I find that managers trade off the two earnings management methods based on their relative costs and that managers adjust the level of accrual-based earnings management according to the level of real activities manipulation realized. Using an empirical model that incorporates the costs associated with the two earnings management methods and captures managers' sequential decisions, I document large-sample evidence consistent with managers using real activities manipulation and accrual-based earnings management as substitutes.","author":[{"dropping-particle":"","family":"Zang","given":"A. Y.","non-dropping-particle":"","parse-names":false,"suffix":""}],"container-title":"Accounting Review","id":"ITEM-4","issue":"2","issued":{"date-parts":[["2012"]]},"page":"675-703","title":"Evidence on the trade-off between real activities manipulation and accrual-based earnings management","type":"article-journal","volume":"87"},"uris":["http://www.mendeley.com/documents/?uuid=390a4b5a-844f-412a-a13d-5c645faaeb73"]}],"mendeley":{"formattedCitation":"(Cohen, Dey, &amp; Lys, 2008; Gunny, 2010; Roychowdhury, 2006; Zang, 2012)","plainTextFormattedCitation":"(Cohen, Dey, &amp; Lys, 2008; Gunny, 2010; Roychowdhury, 2006; Zang, 2012)","previouslyFormattedCitation":"(Cohen, Dey, &amp; Lys, 2008; Gunny, 2010; Roychowdhury, 2006; Zang, 2012)"},"properties":{"noteIndex":0},"schema":"https://github.com/citation-style-language/schema/raw/master/csl-citation.json"}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(Cohen, Dey, &amp; Lys, 2008; Gunny, 2010; Roychowdhury, 2006; Zang, 2012)</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have stimulated additional interest in investigating whether such activities are undertaken in the IPO context.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{"citationItems":[{"id":"ITEM-1","itemData":{"abstract":"This paper analyses the relationship between real and accrual earnings management activities and IPO failure risk. While the association between accrual earnings management and IPO failure has been researched in a limited setting, to date, there has been no work that analyses the impact of real activities-based manipulation on the probability of IPO failure. Based on a sample of 570 UK IPO firms that went public over the period 1998-2008, we find evidence that IPO firms manipulate earnings upward utilising real and accrual earnings management during the IPO year. We also find that IPO firms with high levels of real and/or accrual earnings management during the IPO year have a higher probability of IPO failure and lower survival rates in subsequent periods. In addition, we find that IPO firms experience a higher probability of IPO failure and lower survival rates in the post-IPO period when greater real earnings management takes place during the IPO as compared to accrual earnings management. While our work contributes to the growing literature on real and accrual earnings management around IPOs, the majority of our failed IPO events are from the Alternative Investment Market and occur during the financial crisis. Future research, therefore, should consider whether these results are generalisable to more developed firms and less turbulent economic environments.","author":[{"dropping-particle":"","family":"Alhadab","given":"M.","non-dropping-particle":"","parse-names":false,"suffix":""},{"dropping-particle":"","family":"Clacher","given":"I.","non-dropping-particle":"","parse-names":false,"suffix":""},{"dropping-particle":"","family":"Keasey","given":"K.","non-dropping-particle":"","parse-names":false,"suffix":""}],"container-title":"Accounting and Business Research","id":"ITEM-1","issue":"1","issued":{"date-parts":[["2015"]]},"note":"3","page":"55-92","publisher":"Taylor &amp; Francis","title":"Real and accrual earnings management and IPO failure risk","type":"article-journal","volume":"45"},"uris":["http://www.mendeley.com/documents/?uuid=48e6a725-f4b4-46ad-b4c3-6bf849bf8da1"]},{"id":"ITEM-2","itemData":{"ISSN":"08239150","abstract":"This paper investigates the effect of venture capitalist (VC) quality on earnings management in firms conducting initial public offerings of their equity stock, focusing on manipulation of both accruals and real activities. I develop a measure of VC quality based on a principal components factor analysis using data that are obtainable for virtually all VC firms. This metric is highly correlated with VC funds' financial returns, and with the likelihood of successful exits through initial public offerings or trade sales. After going public, companies backed by higher quality VCs have lower abnormal accruals, lower earnings management through real activities manipulation, and a lower likelihood of financial restatement. Companies backed by top-quartile VCs do not appear to engage in real activities manipulation as a substitute for accruals manipulation. Companies backed by lower-tier VCs exhibit earnings management behaviors which are indistinguishable from those of non-VC-backed companies. The results continue to hold when controlling for endogeneity. Overall, the results suggest that higher quality VCs are better able to constrain opportunistic financial reporting by their portfolio companies going public. © 2012 The Canadian Academic Accounting Association.","author":[{"dropping-particle":"","family":"Wongsunwai","given":"W.","non-dropping-particle":"","parse-names":false,"suffix":""}],"container-title":"Contemporary Accounting Research","id":"ITEM-2","issue":"1","issued":{"date-parts":[["2013"]]},"page":"296-324","title":"The effect of external monitoring on accrual-based and real earnings management: Evidence from venture-backed initial public offerings","type":"article-journal","volume":"30"},"uris":["http://www.mendeley.com/documents/?uuid=23ff956c-a57d-44c6-8b40-1c4a903e7e1b"]},{"id":"ITEM-3","itemData":{"abstract":"This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Accounting","id":"ITEM-3","issue":"1-2","issued":{"date-parts":[["2017"]]},"note":"3","page":"154-195","title":"Credit Ratings and Earnings Management around IPOs","type":"article-journal","volume":"44"},"uris":["http://www.mendeley.com/documents/?uuid=1acea3cc-a27d-47fe-ad6b-11463a303827"]},{"id":"ITEM-4","itemData":{"abstract":"We examine the relation between audit quality and the earnings management activities of IPO firms. The impact of high quality auditors on real earnings management has been researched in a number of settings e.g. SEOs. However, to date, there has been no work on the effect of high quality auditors on real activities-based manipulation around IPOs. We examine UK IPOs between 1998 and 2008 and find evidence that high quality auditors constrain the use of real activities manipulation that occurs via the management of discretionary expenses. We also find evidence, consistent with prior research, that high quality auditors constrain the manipulation of discretionary accruals. Crucially, we find IPO firms audited by high quality auditors undertake sales-based manipulation in order to manage earnings upward at the end of the IPO year. The presence of high quality auditors is not, therefore, sufficient to constrain all forms of earnings management.","author":[{"dropping-particle":"","family":"Alhadab","given":"M.","non-dropping-particle":"","parse-names":false,"suffix":""},{"dropping-particle":"","family":"Clacher","given":"I.","non-dropping-particle":"","parse-names":false,"suffix":""}],"container-title":"British Accounting Review","id":"ITEM-4","issue":"4","issued":{"date-parts":[["2018"]]},"note":"3","page":"442-461","publisher":"Elsevier","title":"The impact of audit quality on real and accrual earnings management around IPOs","type":"article-journal","volume":"50"},"uris":["http://www.mendeley.com/documents/?uuid=0828aec0-76a8-4a5d-833a-65cf5ae333e5"]}],"mendeley":{"formattedCitation":"(Alhadab &amp; Clacher, 2018; Alhadab et al., 2015; Gounopoulos &amp; Pham, 2017; Wongsunwai, 2013)","manualFormatting":"Alhadab &amp; Clacher (2018), Alhadab et al. (2015), Gounopoulos &amp; Pham (2017), and Wongsunwai (2013)","plainTextFormattedCitation":"(Alhadab &amp; Clacher, 2018; Alhadab et al., 2015; Gounopoulos &amp; Pham, 2017; Wongsunwai, 2013)","previouslyFormattedCitation":"(Alhadab &amp; Clacher, 2018; Alhadab et al., 2015; Gounopoulos &amp; Pham, 2017; Wongsunwai, 2013)"},"properties":{"noteIndex":0},"schema":"https://github.com/citation-style-language/schema/raw/master/csl-citation.json"}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Alhadab &amp; Clacher (2018), Alhadab et al. (2015), Gounopoulos &amp; Pham (2017), and Wongsunwai (2013)</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report that IPO firms engage in both AEM and REM during the IPO year </w:t>
      </w:r>
      <w:proofErr w:type="gramStart"/>
      <w:r w:rsidRPr="00E915AA">
        <w:rPr>
          <w:rFonts w:ascii="Times New Roman" w:eastAsia="Calibri" w:hAnsi="Times New Roman" w:cs="Times New Roman"/>
          <w:sz w:val="24"/>
          <w:szCs w:val="24"/>
          <w:lang w:val="en-GB" w:eastAsia="en-GB"/>
        </w:rPr>
        <w:t>in order to</w:t>
      </w:r>
      <w:proofErr w:type="gramEnd"/>
      <w:r w:rsidRPr="00E915AA">
        <w:rPr>
          <w:rFonts w:ascii="Times New Roman" w:eastAsia="Calibri" w:hAnsi="Times New Roman" w:cs="Times New Roman"/>
          <w:sz w:val="24"/>
          <w:szCs w:val="24"/>
          <w:lang w:val="en-GB" w:eastAsia="en-GB"/>
        </w:rPr>
        <w:t xml:space="preserve"> inflate reported earnings. </w:t>
      </w:r>
    </w:p>
    <w:p w14:paraId="3FC99172" w14:textId="77777777" w:rsidR="002C6719" w:rsidRPr="00E915AA" w:rsidRDefault="002C6719" w:rsidP="006F305B">
      <w:pPr>
        <w:pStyle w:val="ListParagraph"/>
        <w:numPr>
          <w:ilvl w:val="1"/>
          <w:numId w:val="42"/>
        </w:numPr>
        <w:spacing w:before="240" w:after="240" w:line="360" w:lineRule="auto"/>
        <w:ind w:left="1170" w:hanging="540"/>
        <w:jc w:val="both"/>
        <w:outlineLvl w:val="1"/>
        <w:rPr>
          <w:rFonts w:ascii="Times New Roman" w:eastAsia="Calibri" w:hAnsi="Times New Roman" w:cs="Times New Roman"/>
          <w:b/>
          <w:sz w:val="24"/>
          <w:szCs w:val="24"/>
          <w:lang w:val="en-GB" w:eastAsia="en-GB"/>
        </w:rPr>
      </w:pPr>
      <w:bookmarkStart w:id="9" w:name="_Toc43219816"/>
      <w:bookmarkStart w:id="10" w:name="_Toc69749294"/>
      <w:r w:rsidRPr="00E915AA">
        <w:rPr>
          <w:rFonts w:ascii="Times New Roman" w:eastAsia="Calibri" w:hAnsi="Times New Roman" w:cs="Times New Roman"/>
          <w:b/>
          <w:sz w:val="24"/>
          <w:szCs w:val="24"/>
          <w:lang w:val="en-GB" w:eastAsia="en-GB"/>
        </w:rPr>
        <w:t>SEC reviews and the IPO information environment</w:t>
      </w:r>
      <w:bookmarkEnd w:id="9"/>
      <w:bookmarkEnd w:id="10"/>
    </w:p>
    <w:p w14:paraId="790B4EF1" w14:textId="145C89E9"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Public interest theory assumes that regulators </w:t>
      </w:r>
      <w:r w:rsidR="00DC3999" w:rsidRPr="00E915AA">
        <w:rPr>
          <w:rFonts w:ascii="Times New Roman" w:eastAsia="Calibri" w:hAnsi="Times New Roman" w:cs="Times New Roman"/>
          <w:sz w:val="24"/>
          <w:szCs w:val="24"/>
          <w:lang w:val="en-GB" w:eastAsia="en-GB"/>
        </w:rPr>
        <w:t>effectively correct</w:t>
      </w:r>
      <w:r w:rsidRPr="00E915AA">
        <w:rPr>
          <w:rFonts w:ascii="Times New Roman" w:eastAsia="Calibri" w:hAnsi="Times New Roman" w:cs="Times New Roman"/>
          <w:sz w:val="24"/>
          <w:szCs w:val="24"/>
          <w:lang w:val="en-GB" w:eastAsia="en-GB"/>
        </w:rPr>
        <w:t xml:space="preserve"> failures in the information environment </w:t>
      </w:r>
      <w:r w:rsidR="00DC3999" w:rsidRPr="00E915AA">
        <w:rPr>
          <w:rFonts w:ascii="Times New Roman" w:eastAsia="Calibri" w:hAnsi="Times New Roman" w:cs="Times New Roman"/>
          <w:sz w:val="24"/>
          <w:szCs w:val="24"/>
          <w:lang w:val="en-GB" w:eastAsia="en-GB"/>
        </w:rPr>
        <w:t>by evaluating</w:t>
      </w:r>
      <w:r w:rsidRPr="00E915AA">
        <w:rPr>
          <w:rFonts w:ascii="Times New Roman" w:eastAsia="Calibri" w:hAnsi="Times New Roman" w:cs="Times New Roman"/>
          <w:sz w:val="24"/>
          <w:szCs w:val="24"/>
          <w:lang w:val="en-GB" w:eastAsia="en-GB"/>
        </w:rPr>
        <w:t xml:space="preserve"> information </w:t>
      </w:r>
      <w:r w:rsidR="00DC3999" w:rsidRPr="00E915AA">
        <w:rPr>
          <w:rFonts w:ascii="Times New Roman" w:eastAsia="Calibri" w:hAnsi="Times New Roman" w:cs="Times New Roman"/>
          <w:sz w:val="24"/>
          <w:szCs w:val="24"/>
          <w:lang w:val="en-GB" w:eastAsia="en-GB"/>
        </w:rPr>
        <w:t>on</w:t>
      </w:r>
      <w:r w:rsidRPr="00E915AA">
        <w:rPr>
          <w:rFonts w:ascii="Times New Roman" w:eastAsia="Calibri" w:hAnsi="Times New Roman" w:cs="Times New Roman"/>
          <w:sz w:val="24"/>
          <w:szCs w:val="24"/>
          <w:lang w:val="en-GB" w:eastAsia="en-GB"/>
        </w:rPr>
        <w:t xml:space="preserve"> and correct</w:t>
      </w:r>
      <w:r w:rsidR="00DC3999" w:rsidRPr="00E915AA">
        <w:rPr>
          <w:rFonts w:ascii="Times New Roman" w:eastAsia="Calibri" w:hAnsi="Times New Roman" w:cs="Times New Roman"/>
          <w:sz w:val="24"/>
          <w:szCs w:val="24"/>
          <w:lang w:val="en-GB" w:eastAsia="en-GB"/>
        </w:rPr>
        <w:t>ing</w:t>
      </w:r>
      <w:r w:rsidRPr="00E915AA">
        <w:rPr>
          <w:rFonts w:ascii="Times New Roman" w:eastAsia="Calibri" w:hAnsi="Times New Roman" w:cs="Times New Roman"/>
          <w:sz w:val="24"/>
          <w:szCs w:val="24"/>
          <w:lang w:val="en-GB" w:eastAsia="en-GB"/>
        </w:rPr>
        <w:t xml:space="preserve"> wrongdoing</w:t>
      </w:r>
      <w:r w:rsidR="00DC3999"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Opportunistic earnings management is argued to be constrained by extensive oversight of financial information provided in prospectuses</w:t>
      </w:r>
      <w:r w:rsidR="00B3029A"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{"citationItems":[{"id":"ITEM-1","itemData":{"ISBN":"0165-4101","ISSN":"01654101","abstract":"We show that, contrary to popular belief, initial public offering (IPO) firms report more conservatively. We attribute this to the higher quality reporting demanded of public firms by financial statement users and consequentially higher monitoring by auditors, boards, analysts, rating agencies, press, and litigants, and to greater regulatory scrutiny [Ball, R., Shivakumar, L., 2005. Earnings quality in UK private firms: comparative loss recognition timeliness. Journal of Accounting and Economics 39, 83-128]. We also question the evidence of Teoh et al. [1998b. Earnings management and the subsequent market performance of initial public offerings. Journal of Finance 53, 1935-1974] supporting the alternative hypothesis that managers opportunistically inflate earnings to influence IPO pricing. We conjecture that upward-biased estimates of \"discretionary\" accruals occur in a broad genre of studies on earnings management around similar large transactions and events. © 2008 Elsevier B.V. All rights reserved.","author":[{"dropping-particle":"","family":"Ball","given":"R.","non-dropping-particle":"","parse-names":false,"suffix":""},{"dropping-particle":"","family":"Shivakumar","given":"L.","non-dropping-particle":"","parse-names":false,"suffix":""}],"container-title":"Journal of Accounting and Economics","id":"ITEM-1","issue":"2-3","issued":{"date-parts":[["2008"]]},"note":"4*","page":"324-349","title":"Earnings quality at initial public offerings","type":"article-journal","volume":"45"},"uris":["http://www.mendeley.com/documents/?uuid=58d200ff-d8c3-4469-b74e-446df74096e8"]},{"id":"ITEM-2","itemData":{"DOI":"10.2308/accr.2008.83.5.1315","ISSN":"00014826","abstract":"We use the IPO setting to examine the relation between auditor exposure to legal liability and audit quality and audit fees. With regard to audit quality, we report robust evidence that pre-IPO audited accruals are negative and less than post-IPO audited accruals. In contrast to extant literature, our findings provide scant support for the inference that auditors acquiesce to opportunistic earnings management by issuers in an attempt to increase the offering price. With regard to audit fees, we find auditors earn higher fees for IPO engagements than post-IPO engagements. While inherent differences in auditor responsibilities between IPO audits and post-IPO audits should lead to higher fees for IPOs, a substantial portion of IPO audit fees (in levels and changes) is associated with our proxy for the auditor's 1933 Act exposure. Overall, our results suggest that both audit quality and audit fees are higher in a higher-litigation regime, consistent with the effects an increase in litigation exposure should have on auditor incentives.","author":[{"dropping-particle":"","family":"Venkataraman","given":"R.","non-dropping-particle":"","parse-names":false,"suffix":""},{"dropping-particle":"","family":"Weber","given":"J. P.","non-dropping-particle":"","parse-names":false,"suffix":""},{"dropping-particle":"","family":"Willenborg","given":"M.","non-dropping-particle":"","parse-names":false,"suffix":""}],"container-title":"Accounting Review","id":"ITEM-2","issue":"5","issued":{"date-parts":[["2008"]]},"page":"1315-1345","title":"Litigation risk, audit quality, and audit fees: Evidence from initial public offerings","type":"article-journal","volume":"83"},"uris":["http://www.mendeley.com/documents/?uuid=04d8bb68-b7cb-4b7e-a205-345189171196"]}],"mendeley":{"formattedCitation":"(Ball &amp; Shivakumar, 2008; Venkataraman, Weber, &amp; Willenborg, 2008)","manualFormatting":"(Ball &amp; Shivakumar, 2008; Venkataraman et al., 2008)","plainTextFormattedCitation":"(Ball &amp; Shivakumar, 2008; Venkataraman, Weber, &amp; Willenborg, 2008)","previouslyFormattedCitation":"(Ball &amp; Shivakumar, 2008; Venkataraman, Weber, &amp; Willenborg, 2008)"},"properties":{"noteIndex":0},"schema":"https://github.com/citation-style-language/schema/raw/master/csl-citation.json"}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(Ball &amp; Shivakumar, 2008; Venkataraman et al., 2008)</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{"citationItems":[{"id":"ITEM-1","itemData":{"DOI":"10.1080/09638180.2019.1620113","ISSN":"14684497","abstract":"Using a large sample of domestic and foreign IPOs in the US, we investigate how threats of enforcement by the Securities and Exchange Commission (SEC) and private litigation influence earnings management in IPO prospectuses. We propose that perceptions of foreign institutions may influence SEC enforcement action and private litigation. We provide evidence that enforcement and litigation threats are negatively related to the strength of legal institutions in the foreign IPO’s country of origin. We find earnings management is more pronounced in foreign IPOs from countries with strong legal institutions. We further explore whether earnings management is priced in the IPO market and find no relation between IPO proceeds and earnings management. Our results are consistent with upward earnings management as in Stein (1989), the magnitude of which is reduced when the anticipated cost of enforcement and litigation is higher. Collectively, our results cast doubt on the validity of the bonding hypothesis.","author":[{"dropping-particle":"","family":"Filatotchev","given":"I.","non-dropping-particle":"","parse-names":false,"suffix":""},{"dropping-particle":"","family":"Jona","given":"J.","non-dropping-particle":"","parse-names":false,"suffix":""},{"dropping-particle":"","family":"Livne","given":"G.","non-dropping-particle":"","parse-names":false,"suffix":""}],"container-title":"European Accounting Review","id":"ITEM-1","issue":"0","issued":{"date-parts":[["2019"]]},"page":"1-29","publisher":"Taylor &amp; Francis","title":"Earnings Management in Domestic and Foreign IPOs in the United States: Do Home Country Institutions Matter?","type":"article-journal","volume":"0"},"uris":["http://www.mendeley.com/documents/?uuid=be4862ee-c0d0-4b8c-8e52-44df21e26ff9"]}],"mendeley":{"formattedCitation":"(Filatotchev et al., 2019)","manualFormatting":"Filatotchev et al. (2019)","plainTextFormattedCitation":"(Filatotchev et al., 2019)","previouslyFormattedCitation":"(Filatotchev et al., 2019)"},"properties":{"noteIndex":0},"schema":"https://github.com/citation-style-language/schema/raw/master/csl-citation.json"}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Filatotchev et al. (2019)</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also suggest that regulatory pressures (e.g.</w:t>
      </w:r>
      <w:r w:rsidR="00DC044F"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investor protection and private litigation) are important factors affecting the probability and degree of earnings management and provide evidence that greater SEC enforcement and private litigation lead to reductions in the degree of earnings management. Similar evidence is provided by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{"citationItems":[{"id":"ITEM-1","itemData":{"ISSN":"01654101","abstract":"This paper explores financial reporting incentives created by an economy's institutional structure. The underlying premise of our analysis is that a country's legal/judicial system, securities laws, and political economy create incentives that influence the behavior of corporate executives, investors, regulators and other market participants. Further, such incentives ultimately shape the properties of reported accounting numbers. We empirically analyze relations between key characteristics of country-level institutions and the asymmetric recognition of economic gains and losses into earnings (i.e., conditional conservatism). We also provide evidence on channels through which specific institutions manifest their influence on observed conservatism. © 2006 Elsevier B.V. All rights reserved.","author":[{"dropping-particle":"","family":"Bushman","given":"R.M.","non-dropping-particle":"","parse-names":false,"suffix":""},{"dropping-particle":"","family":"Piotroski","given":"J.D.","non-dropping-particle":"","parse-names":false,"suffix":""}],"container-title":"Journal of Accounting and Economics","id":"ITEM-1","issue":"1-2","issued":{"date-parts":[["2006"]]},"page":"107-148","title":"Financial reporting incentives for conservative accounting: The influence of legal and political institutions","type":"article-journal","volume":"42"},"uris":["http://www.mendeley.com/documents/?uuid=4e0b0c48-d3ac-4d54-b485-16d14675b326"]},{"id":"ITEM-2","itemData":{"DOI":"10.2139/ssrn.428601","abstract":"We investigate corporate transparency, defined as the availability of firm-specific information to those outside publicly traded firms. We conceptualize corporate transparency within a country as output from a multi-faceted system whose components collectively produce, gather, validate and disseminate information. We factor analyze a range of measures capturing countries’ firm-specific information environments, isolating two distinct factors. The first factor, interpreted as financial transparency, captures the intensity and timeliness of financial disclosures, and their interpretation and dissemination by analysts and the media. The second factor, interpreted as governance transparency, captures the intensity of governance disclosures used by outside investors to hold officers and directors accountable. We investigate whether these factors vary with countries’ legal/judicial regimes and political economies. Our main multivariate result is that the governance transparency factor is primarily related to a country’s legal/judicial regime, while the financial transparency factor is primarily related to political economy.","author":[{"dropping-particle":"","family":"Bushman","given":"R.M.","non-dropping-particle":"","parse-names":false,"suffix":""},{"dropping-particle":"","family":"Piotroski","given":"J. D.","non-dropping-particle":"","parse-names":false,"suffix":""},{"dropping-particle":"","family":"Smith","given":"A. J.","non-dropping-particle":"","parse-names":false,"suffix":""}],"container-title":"SSRN Electronic Journal","id":"ITEM-2","issued":{"date-parts":[["2005"]]},"title":"What Determines Corporate Transparency?","type":"article-journal"},"uris":["http://www.mendeley.com/documents/?uuid=f5e7c6fb-a0b6-4214-9dff-d0807596948f"]},{"id":"ITEM-3","itemData":{"abstract":"This paper examines systematic differences in earnings management across 31 countries. We propose an explanation for these differences based on the notion that insiders, in an attempt to protect their private control benefits, use earnings management to conceal firm performance from outsiders. Thus, earnings management is expected to decrease in investor protection because strong protection limits insiders' ability to acquire private control benefits, which reduces their incentives to mask firm performance. Our findings are consistent with this prediction and suggest an endogenous link between corporate governance and the quality of reported earnings. © 2003 Elsevier B.V. All rights reserved.","author":[{"dropping-particle":"","family":"Leuz","given":"C.","non-dropping-particle":"","parse-names":false,"suffix":""},{"dropping-particle":"","family":"Nanda","given":"D.","non-dropping-particle":"","parse-names":false,"suffix":""},{"dropping-particle":"","family":"Wysocki","given":"P.D.","non-dropping-particle":"","parse-names":false,"suffix":""}],"container-title":"Journal of Financial Economics","id":"ITEM-3","issue":"3","issued":{"date-parts":[["2003"]]},"page":"505-527","title":"Earnings management and investor protection: An international comparison","type":"article-journal","volume":"69"},"uris":["http://www.mendeley.com/documents/?uuid=200f27b3-86a1-4d1b-b4b0-463654f85a0b"]}],"mendeley":{"formattedCitation":"(Bushman &amp; Piotroski, 2006; Bushman, Piotroski, &amp; Smith, 2005; C. Leuz, Nanda, &amp; Wysocki, 2003)","manualFormatting":"Bushman &amp; Piotroski (2006), Bushman et al. (2005) and Leuz et al. (2003)","plainTextFormattedCitation":"(Bushman &amp; Piotroski, 2006; Bushman, Piotroski, &amp; Smith, 2005; C. Leuz, Nanda, &amp; Wysocki, 2003)","previouslyFormattedCitation":"(Bushman &amp; Piotroski, 2006; Bushman, Piotroski, &amp; Smith, 2005; C. Leuz, Nanda, &amp; Wysocki, 2003)"},"properties":{"noteIndex":0},"schema":"https://github.com/citation-style-language/schema/raw/master/csl-citation.json"}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Bushman &amp; Piotroski (2006), Bushman et al. (2005) and Leuz et al. (2003)</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who identify that the degree of earnings management is greater in countries with less extensive investor protection.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{"citationItems":[{"id":"ITEM-1","itemData":{"abstract":"We provide new evidence on the timing and motives behind earnings management by IPO firms. The period around IPOs is characterized by two distinct events: the IPO itself and the lockup expiration. Both the raising of capital at the time of the IPO and the large-scale exit by pre-IPO shareholders at lockup expiration approximately 180 days later create incentives for firms to engage in earnings management. To disentangle the effect of these two events, we examine quarterly, rather than annual, abnormal accruals. We find no evidence of income- increasing earnings management in anticipation of the IPO. However, IPO firms exhibit positive abnormal accruals in the quarter before and the quarter of the lockup expiration. We demonstrate that positive abnormal accruals are concentrated in firms for which we predict intense selling by pre-IPO shareholders at lockup expiration. We also confirm the findings of Teoh, Welch and Wong (1998) that positive abnormal accruals are associated with long-run IPO underperformance.","author":[{"dropping-particle":"","family":"Sletten","given":"E.","non-dropping-particle":"","parse-names":false,"suffix":""},{"dropping-particle":"","family":"Ertimur","given":"Y.","non-dropping-particle":"","parse-names":false,"suffix":""},{"dropping-particle":"","family":"Sunder","given":"J.","non-dropping-particle":"","parse-names":false,"suffix":""},{"dropping-particle":"","family":"Weber","given":"J.","non-dropping-particle":"","parse-names":false,"suffix":""}],"container-title":"Review of Accounting Studies","id":"ITEM-1","issued":{"date-parts":[["2018"]]},"page":"1-35","title":"When and why do IPO firms manage earnings?","type":"article-journal"},"uris":["http://www.mendeley.com/documents/?uuid=e2a6e6a6-4694-48c4-8feb-da03fc2e2e8c"]}],"mendeley":{"formattedCitation":"(Sletten, Ertimur, Sunder, &amp; Weber, 2018)","manualFormatting":"Sletten et al. (2018)","plainTextFormattedCitation":"(Sletten, Ertimur, Sunder, &amp; Weber, 2018)","previouslyFormattedCitation":"(Sletten, Ertimur, Sunder, &amp; Weber, 2018)"},"properties":{"noteIndex":0},"schema":"https://github.com/citation-style-language/schema/raw/master/csl-citation.json"}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Sletten et al. (2018)</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observe that abnormal accruals around lockup expiration are </w:t>
      </w:r>
      <w:r w:rsidR="0053630E" w:rsidRPr="00E915AA">
        <w:rPr>
          <w:rFonts w:ascii="Times New Roman" w:eastAsia="Calibri" w:hAnsi="Times New Roman" w:cs="Times New Roman"/>
          <w:sz w:val="24"/>
          <w:szCs w:val="24"/>
          <w:lang w:val="en-GB" w:eastAsia="en-GB"/>
        </w:rPr>
        <w:t xml:space="preserve">more </w:t>
      </w:r>
      <w:r w:rsidRPr="00E915AA">
        <w:rPr>
          <w:rFonts w:ascii="Times New Roman" w:eastAsia="Calibri" w:hAnsi="Times New Roman" w:cs="Times New Roman"/>
          <w:sz w:val="24"/>
          <w:szCs w:val="24"/>
          <w:lang w:val="en-GB" w:eastAsia="en-GB"/>
        </w:rPr>
        <w:t xml:space="preserve">positive for less-scrutinised firms. </w:t>
      </w:r>
    </w:p>
    <w:p w14:paraId="1B2B5352" w14:textId="1DE95D79" w:rsidR="002C6719" w:rsidRPr="00E915AA" w:rsidRDefault="002F5A18"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There exists a general consensus in the prior literature that the extensiveness of SEC reviews of IPO registration statements is a good indicator of IPO firms’ information quality</w:t>
      </w:r>
      <w:r w:rsidR="005442E6" w:rsidRPr="00E915AA">
        <w:rPr>
          <w:rFonts w:ascii="Times New Roman" w:eastAsia="Calibri" w:hAnsi="Times New Roman" w:cs="Times New Roman"/>
          <w:sz w:val="24"/>
          <w:szCs w:val="24"/>
          <w:lang w:val="en-GB" w:eastAsia="en-GB"/>
        </w:rPr>
        <w:t xml:space="preserve">, suggesting they </w:t>
      </w:r>
      <w:r w:rsidRPr="00E915AA">
        <w:rPr>
          <w:rFonts w:ascii="Times New Roman" w:eastAsia="Calibri" w:hAnsi="Times New Roman" w:cs="Times New Roman"/>
          <w:sz w:val="24"/>
          <w:szCs w:val="24"/>
          <w:lang w:val="en-GB" w:eastAsia="en-GB"/>
        </w:rPr>
        <w:t>effectively address deficiencies in the information environment around IPOs</w:t>
      </w:r>
      <w:r w:rsidR="002C6719" w:rsidRPr="00E915AA">
        <w:rPr>
          <w:rFonts w:ascii="Times New Roman" w:eastAsia="Calibri" w:hAnsi="Times New Roman" w:cs="Times New Roman"/>
          <w:sz w:val="24"/>
          <w:szCs w:val="24"/>
          <w:lang w:val="en-GB" w:eastAsia="en-GB"/>
        </w:rPr>
        <w:t xml:space="preserve">.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{"citationItems":[{"id":"ITEM-1","itemData":{"abstract":"We examine the comment letters issued by the Securities and Exchange Commission to public company filers for a sample of firms completing an initial public offering. First we describe the comment letter process for our sample firms, focusing on the duration of the process, the number of iterations the filing goes through, and the number and types of issues that are raised by the SEC. Next, we study the determinants of the comment letter process, with particular emphasis on managerial expertise and corporate governance, and its potential implications for the firms’ information environment. Our results show that higher managerial expertise is associated with fewer issues. We also find weak evidence that the attributes of the comment letter process are associated with the firm’s information environment. We contribute to the literature by providing insights to the SEC’s review process, firm’s disclosure systems, and the IPO process.","author":[{"dropping-particle":"","family":"Ertimur","given":"Yonca","non-dropping-particle":"","parse-names":false,"suffix":""},{"dropping-particle":"","family":"Nondorf","given":"Maria E.","non-dropping-particle":"","parse-names":false,"suffix":""}],"container-title":"Working paper","id":"ITEM-1","issued":{"date-parts":[["2006"]]},"title":"IPO Firms and the SEC Comment Letter Process","type":"report"},"uris":["http://www.mendeley.com/documents/?uuid=df49ed71-71c0-4396-9eae-a351e94a1dce"]}],"mendeley":{"formattedCitation":"(Ertimur &amp; Nondorf, 2006b)","manualFormatting":"Ertimur &amp; Nondorf (2006)","plainTextFormattedCitation":"(Ertimur &amp; Nondorf, 2006b)","previouslyFormattedCitation":"(Ertimur &amp; Nondorf, 2006b)"},"properties":{"noteIndex":0},"schema":"https://github.com/citation-style-language/schema/raw/master/csl-citation.json"}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Ertimur &amp; Nondorf (2006)</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observe </w:t>
      </w:r>
      <w:r w:rsidR="0053630E" w:rsidRPr="00E915AA">
        <w:rPr>
          <w:rFonts w:ascii="Times New Roman" w:eastAsia="Calibri" w:hAnsi="Times New Roman" w:cs="Times New Roman"/>
          <w:sz w:val="24"/>
          <w:szCs w:val="24"/>
          <w:lang w:val="en-GB" w:eastAsia="en-GB"/>
        </w:rPr>
        <w:t xml:space="preserve">that </w:t>
      </w:r>
      <w:r w:rsidR="002C6719" w:rsidRPr="00E915AA">
        <w:rPr>
          <w:rFonts w:ascii="Times New Roman" w:eastAsia="Calibri" w:hAnsi="Times New Roman" w:cs="Times New Roman"/>
          <w:sz w:val="24"/>
          <w:szCs w:val="24"/>
          <w:lang w:val="en-GB" w:eastAsia="en-GB"/>
        </w:rPr>
        <w:t xml:space="preserve">more SEC comments are issued for IPO firms with weaker corporate governance mechanisms, who have outside, independent </w:t>
      </w:r>
      <w:proofErr w:type="spellStart"/>
      <w:r w:rsidR="002C6719" w:rsidRPr="00E915AA">
        <w:rPr>
          <w:rFonts w:ascii="Times New Roman" w:eastAsia="Calibri" w:hAnsi="Times New Roman" w:cs="Times New Roman"/>
          <w:sz w:val="24"/>
          <w:szCs w:val="24"/>
          <w:lang w:val="en-GB" w:eastAsia="en-GB"/>
        </w:rPr>
        <w:t>blockholders</w:t>
      </w:r>
      <w:proofErr w:type="spellEnd"/>
      <w:r w:rsidR="002C6719" w:rsidRPr="00E915AA">
        <w:rPr>
          <w:rFonts w:ascii="Times New Roman" w:eastAsia="Calibri" w:hAnsi="Times New Roman" w:cs="Times New Roman"/>
          <w:sz w:val="24"/>
          <w:szCs w:val="24"/>
          <w:lang w:val="en-GB" w:eastAsia="en-GB"/>
        </w:rPr>
        <w:t xml:space="preserve">, </w:t>
      </w:r>
      <w:r w:rsidR="003D0F62" w:rsidRPr="00E915AA">
        <w:rPr>
          <w:rFonts w:ascii="Times New Roman" w:eastAsia="Calibri" w:hAnsi="Times New Roman" w:cs="Times New Roman"/>
          <w:sz w:val="24"/>
          <w:szCs w:val="24"/>
          <w:lang w:val="en-GB" w:eastAsia="en-GB"/>
        </w:rPr>
        <w:t>or higher</w:t>
      </w:r>
      <w:r w:rsidR="002C6719" w:rsidRPr="00E915AA">
        <w:rPr>
          <w:rFonts w:ascii="Times New Roman" w:eastAsia="Calibri" w:hAnsi="Times New Roman" w:cs="Times New Roman"/>
          <w:sz w:val="24"/>
          <w:szCs w:val="24"/>
          <w:lang w:val="en-GB" w:eastAsia="en-GB"/>
        </w:rPr>
        <w:t xml:space="preserve"> percentage of shares held by the CEO, resulting in </w:t>
      </w:r>
      <w:r w:rsidR="000F661C" w:rsidRPr="00E915AA">
        <w:rPr>
          <w:rFonts w:ascii="Times New Roman" w:eastAsia="Calibri" w:hAnsi="Times New Roman" w:cs="Times New Roman"/>
          <w:sz w:val="24"/>
          <w:szCs w:val="24"/>
          <w:lang w:val="en-GB" w:eastAsia="en-GB"/>
        </w:rPr>
        <w:t xml:space="preserve">good </w:t>
      </w:r>
      <w:r w:rsidR="002C6719" w:rsidRPr="00E915AA">
        <w:rPr>
          <w:rFonts w:ascii="Times New Roman" w:eastAsia="Calibri" w:hAnsi="Times New Roman" w:cs="Times New Roman"/>
          <w:sz w:val="24"/>
          <w:szCs w:val="24"/>
          <w:lang w:val="en-GB" w:eastAsia="en-GB"/>
        </w:rPr>
        <w:t xml:space="preserve">accounting quality in the form of earnings management.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{"citationItems":[{"id":"ITEM-1","itemData":{"ISSN":"14664364","abstract":"The length of time it takes an IPO firm to go public (called “waiting period”) reflects multiple layers of scrutiny from underwriters, auditors, venture capitalists, institutional investors, and regulators. Accordingly, we show that the waiting period is a good barometer of ex ante uncertainty about future cash flows and that it has predictive power after the firm goes public. We find that firms marked by short waiting periods experience lower underpricing and less uncertainty and superior stock/operating performance in the aftermarket. We also report that smaller firms are taking longer to go public after Sarbanes-Oxley, thus providing justification for the 2012 JOBS Act.","author":[{"dropping-particle":"","family":"Colaco","given":"Hugh M.J.","non-dropping-particle":"","parse-names":false,"suffix":""},{"dropping-particle":"","family":"Cesari","given":"Amedeo","non-dropping-particle":"De","parse-names":false,"suffix":""},{"dropping-particle":"","family":"Hegde","given":"Shantaram P.","non-dropping-particle":"","parse-names":false,"suffix":""}],"container-title":"European Journal of Finance","id":"ITEM-1","issued":{"date-parts":[["2018"]]},"page":"1-34","publisher":"Taylor &amp; Francis","title":"The waiting period of initial public offerings","type":"article-journal","volume":"24"},"uris":["http://www.mendeley.com/documents/?uuid=95155c78-8a06-4b69-8eac-ece6fab1af7b"]}],"mendeley":{"formattedCitation":"(Colaco et al., 2018)","manualFormatting":"Colaco et al. (2018)","plainTextFormattedCitation":"(Colaco et al., 2018)","previouslyFormattedCitation":"(Colaco et al., 2018)"},"properties":{"noteIndex":0},"schema":"https://github.com/citation-style-language/schema/raw/master/csl-citation.json"}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Colaco et al. (2018)</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document </w:t>
      </w:r>
      <w:r w:rsidR="00DC044F" w:rsidRPr="00E915AA">
        <w:rPr>
          <w:rFonts w:ascii="Times New Roman" w:eastAsia="Calibri" w:hAnsi="Times New Roman" w:cs="Times New Roman"/>
          <w:sz w:val="24"/>
          <w:szCs w:val="24"/>
          <w:lang w:val="en-GB" w:eastAsia="en-GB"/>
        </w:rPr>
        <w:t xml:space="preserve">that </w:t>
      </w:r>
      <w:r w:rsidR="002C6719" w:rsidRPr="00E915AA">
        <w:rPr>
          <w:rFonts w:ascii="Times New Roman" w:eastAsia="Calibri" w:hAnsi="Times New Roman" w:cs="Times New Roman"/>
          <w:sz w:val="24"/>
          <w:szCs w:val="24"/>
          <w:lang w:val="en-GB" w:eastAsia="en-GB"/>
        </w:rPr>
        <w:t>the length of the IPO process, which covers the process of regulatory oversight, is a good indicator of IPO firms’ information quality</w:t>
      </w:r>
      <w:r w:rsidR="004E4CE3" w:rsidRPr="00E915AA">
        <w:rPr>
          <w:rFonts w:ascii="Times New Roman" w:eastAsia="Calibri" w:hAnsi="Times New Roman" w:cs="Times New Roman"/>
          <w:sz w:val="24"/>
          <w:szCs w:val="24"/>
          <w:lang w:val="en-GB" w:eastAsia="en-GB"/>
        </w:rPr>
        <w:t xml:space="preserve"> (e.g., </w:t>
      </w:r>
      <w:r w:rsidR="00D779F6" w:rsidRPr="00E915AA">
        <w:rPr>
          <w:rFonts w:ascii="Times New Roman" w:eastAsia="Calibri" w:hAnsi="Times New Roman" w:cs="Times New Roman"/>
          <w:sz w:val="24"/>
          <w:szCs w:val="24"/>
          <w:lang w:val="en-GB" w:eastAsia="en-GB"/>
        </w:rPr>
        <w:t xml:space="preserve">ex-ante uncertainty, </w:t>
      </w:r>
      <w:proofErr w:type="spellStart"/>
      <w:r w:rsidR="00D779F6" w:rsidRPr="00E915AA">
        <w:rPr>
          <w:rFonts w:ascii="Times New Roman" w:eastAsia="Calibri" w:hAnsi="Times New Roman" w:cs="Times New Roman"/>
          <w:sz w:val="24"/>
          <w:szCs w:val="24"/>
          <w:lang w:val="en-GB" w:eastAsia="en-GB"/>
        </w:rPr>
        <w:t>underpricing</w:t>
      </w:r>
      <w:proofErr w:type="spellEnd"/>
      <w:r w:rsidR="00D779F6" w:rsidRPr="00E915AA">
        <w:rPr>
          <w:rFonts w:ascii="Times New Roman" w:eastAsia="Calibri" w:hAnsi="Times New Roman" w:cs="Times New Roman"/>
          <w:sz w:val="24"/>
          <w:szCs w:val="24"/>
          <w:lang w:val="en-GB" w:eastAsia="en-GB"/>
        </w:rPr>
        <w:t>, post-IPO volatility)</w:t>
      </w:r>
      <w:r w:rsidR="002C6719" w:rsidRPr="00E915AA">
        <w:rPr>
          <w:rFonts w:ascii="Times New Roman" w:eastAsia="Calibri" w:hAnsi="Times New Roman" w:cs="Times New Roman"/>
          <w:sz w:val="24"/>
          <w:szCs w:val="24"/>
          <w:lang w:val="en-GB" w:eastAsia="en-GB"/>
        </w:rPr>
        <w:t xml:space="preserve">. </w:t>
      </w:r>
      <w:r w:rsidR="009D3217" w:rsidRPr="00E915AA">
        <w:rPr>
          <w:rFonts w:ascii="Times New Roman" w:eastAsia="Calibri" w:hAnsi="Times New Roman" w:cs="Times New Roman"/>
          <w:sz w:val="24"/>
          <w:szCs w:val="24"/>
          <w:lang w:val="en-GB" w:eastAsia="en-GB"/>
        </w:rPr>
        <w:t xml:space="preserve">Similarly,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uthor":[{"dropping-particle":"","family":"Lowry","given":"M.","non-dropping-particle":"","parse-names":false,"suffix":""},{"dropping-particle":"","family":"Michaely","given":"R.","non-dropping-particle":"","parse-names":false,"suffix":""},{"dropping-particle":"","family":"Volkova","given":"E.","non-dropping-particle":"","parse-names":false,"suffix":""}],"container-title":"The Review of Financial Studies","id":"ITEM-1","issued":{"date-parts":[["2020"]]},"title":"Information Revealed through the Regulatory Process : Interactions between the SEC and Companies ahead of Their IPO","type":"article-journal"},"uris":["http://www.mendeley.com/documents/?uuid=1073cdb4-96a8-4857-815c-5661b6266526"]}],"mendeley":{"formattedCitation":"(Lowry et al., 2020)","manualFormatting":"Lowry (2020)","plainTextFormattedCitation":"(Lowry et al., 2020)","previouslyFormattedCitation":"(Lowry et al., 2020)"},"properties":{"noteIndex":0},"schema":"https://github.com/citation-style-language/schema/raw/master/csl-citation.json"}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DC044F" w:rsidRPr="00E915AA">
        <w:rPr>
          <w:rFonts w:ascii="Times New Roman" w:eastAsia="Calibri" w:hAnsi="Times New Roman" w:cs="Times New Roman"/>
          <w:noProof/>
          <w:sz w:val="24"/>
          <w:szCs w:val="24"/>
          <w:lang w:val="en-GB" w:eastAsia="en-GB"/>
        </w:rPr>
        <w:t>Lowry et al. (2020)</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identif</w:t>
      </w:r>
      <w:r w:rsidR="00DC044F" w:rsidRPr="00E915AA">
        <w:rPr>
          <w:rFonts w:ascii="Times New Roman" w:eastAsia="Calibri" w:hAnsi="Times New Roman" w:cs="Times New Roman"/>
          <w:sz w:val="24"/>
          <w:szCs w:val="24"/>
          <w:lang w:val="en-GB" w:eastAsia="en-GB"/>
        </w:rPr>
        <w:t>y</w:t>
      </w:r>
      <w:r w:rsidR="002C6719" w:rsidRPr="00E915AA">
        <w:rPr>
          <w:rFonts w:ascii="Times New Roman" w:eastAsia="Calibri" w:hAnsi="Times New Roman" w:cs="Times New Roman"/>
          <w:sz w:val="24"/>
          <w:szCs w:val="24"/>
          <w:lang w:val="en-GB" w:eastAsia="en-GB"/>
        </w:rPr>
        <w:t xml:space="preserve"> that IPO firms receiving more SEC comments about revenue recognition matters are likely to have a greater degree of uncertainty</w:t>
      </w:r>
      <w:r w:rsidR="00DC044F"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as indicated by the level of post-IPO volatility, illiquidity, and the presence of insider sales. In addition,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uthor":[{"dropping-particle":"","family":"Lowry","given":"M.","non-dropping-particle":"","parse-names":false,"suffix":""},{"dropping-particle":"","family":"Michaely","given":"R.","non-dropping-particle":"","parse-names":false,"suffix":""},{"dropping-particle":"","family":"Volkova","given":"E.","non-dropping-particle":"","parse-names":false,"suffix":""}],"container-title":"The Review of Financial Studies","id":"ITEM-1","issued":{"date-parts":[["2020"]]},"title":"Information Revealed through the Regulatory Process : Interactions between the SEC and Companies ahead of Their IPO","type":"article-journal"},"uris":["http://www.mendeley.com/documents/?uuid=1073cdb4-96a8-4857-815c-5661b6266526"]}],"mendeley":{"formattedCitation":"(Lowry et al., 2020)","manualFormatting":"Lowry's (2020)","plainTextFormattedCitation":"(Lowry et al., 2020)","previouslyFormattedCitation":"(Lowry et al., 2020)"},"properties":{"noteIndex":0},"schema":"https://github.com/citation-style-language/schema/raw/master/csl-citation.json"}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DC044F" w:rsidRPr="00E915AA">
        <w:rPr>
          <w:rFonts w:ascii="Times New Roman" w:eastAsia="Calibri" w:hAnsi="Times New Roman" w:cs="Times New Roman"/>
          <w:noProof/>
          <w:sz w:val="24"/>
          <w:szCs w:val="24"/>
          <w:lang w:val="en-GB" w:eastAsia="en-GB"/>
        </w:rPr>
        <w:t>Lowry et al. (2020)</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w:t>
      </w:r>
      <w:r w:rsidR="00E901B2" w:rsidRPr="00E915AA">
        <w:rPr>
          <w:rFonts w:ascii="Times New Roman" w:eastAsia="Calibri" w:hAnsi="Times New Roman" w:cs="Times New Roman"/>
          <w:sz w:val="24"/>
          <w:szCs w:val="24"/>
          <w:lang w:val="en-GB" w:eastAsia="en-GB"/>
        </w:rPr>
        <w:t>identify</w:t>
      </w:r>
      <w:r w:rsidR="002C6719" w:rsidRPr="00E915AA">
        <w:rPr>
          <w:rFonts w:ascii="Times New Roman" w:eastAsia="Calibri" w:hAnsi="Times New Roman" w:cs="Times New Roman"/>
          <w:sz w:val="24"/>
          <w:szCs w:val="24"/>
          <w:lang w:val="en-GB" w:eastAsia="en-GB"/>
        </w:rPr>
        <w:t xml:space="preserve"> that IPO </w:t>
      </w:r>
      <w:r w:rsidR="002C6719" w:rsidRPr="00E915AA">
        <w:rPr>
          <w:rFonts w:ascii="Times New Roman" w:eastAsia="Calibri" w:hAnsi="Times New Roman" w:cs="Times New Roman"/>
          <w:sz w:val="24"/>
          <w:szCs w:val="24"/>
          <w:lang w:val="en-GB" w:eastAsia="en-GB"/>
        </w:rPr>
        <w:lastRenderedPageBreak/>
        <w:t>firms experiencing more SEC concerns on issues related to revenue recognition</w:t>
      </w:r>
      <w:r w:rsidR="00A51D25" w:rsidRPr="00E915AA">
        <w:rPr>
          <w:rFonts w:ascii="Times New Roman" w:eastAsia="Calibri" w:hAnsi="Times New Roman" w:cs="Times New Roman"/>
          <w:sz w:val="24"/>
          <w:szCs w:val="24"/>
          <w:lang w:val="en-GB" w:eastAsia="en-GB"/>
        </w:rPr>
        <w:t xml:space="preserve"> </w:t>
      </w:r>
      <w:r w:rsidR="002C6719" w:rsidRPr="00E915AA">
        <w:rPr>
          <w:rFonts w:ascii="Times New Roman" w:eastAsia="Calibri" w:hAnsi="Times New Roman" w:cs="Times New Roman"/>
          <w:sz w:val="24"/>
          <w:szCs w:val="24"/>
          <w:lang w:val="en-GB" w:eastAsia="en-GB"/>
        </w:rPr>
        <w:t xml:space="preserve">are likely to have more obscure disclosures and poorer future prospects. </w:t>
      </w:r>
      <w:bookmarkStart w:id="11" w:name="SchuldtVega2018"/>
      <w:r w:rsidR="00A51D25" w:rsidRPr="00E915AA">
        <w:rPr>
          <w:rFonts w:ascii="Times New Roman" w:eastAsia="Calibri" w:hAnsi="Times New Roman" w:cs="Times New Roman"/>
          <w:sz w:val="24"/>
          <w:szCs w:val="24"/>
          <w:lang w:val="en-GB"/>
        </w:rPr>
        <w:t xml:space="preserve">Schuldt and Vega (2018) </w:t>
      </w:r>
      <w:r w:rsidR="002C6719" w:rsidRPr="00E915AA">
        <w:rPr>
          <w:rFonts w:ascii="Times New Roman" w:eastAsia="Calibri" w:hAnsi="Times New Roman" w:cs="Times New Roman"/>
          <w:sz w:val="24"/>
          <w:szCs w:val="24"/>
          <w:lang w:val="en-GB" w:eastAsia="en-GB"/>
        </w:rPr>
        <w:t>report that IPO firms displaying higher degrees of earnings management, as indicated by income-decreasing discretionary revenues</w:t>
      </w:r>
      <w:r w:rsidR="00721A73" w:rsidRPr="00E915AA">
        <w:rPr>
          <w:rFonts w:ascii="Times New Roman" w:eastAsia="Calibri" w:hAnsi="Times New Roman" w:cs="Times New Roman"/>
          <w:sz w:val="24"/>
          <w:szCs w:val="24"/>
          <w:lang w:val="en-GB" w:eastAsia="en-GB"/>
        </w:rPr>
        <w:t xml:space="preserve"> pre-IPO</w:t>
      </w:r>
      <w:r w:rsidR="002C6719" w:rsidRPr="00E915AA">
        <w:rPr>
          <w:rFonts w:ascii="Times New Roman" w:eastAsia="Calibri" w:hAnsi="Times New Roman" w:cs="Times New Roman"/>
          <w:sz w:val="24"/>
          <w:szCs w:val="24"/>
          <w:lang w:val="en-GB" w:eastAsia="en-GB"/>
        </w:rPr>
        <w:t xml:space="preserve">, are likely to receive more SEC comments on revenue recognition issues, suggesting that the SEC effectively address income-decreasing earnings management activity. </w:t>
      </w:r>
    </w:p>
    <w:bookmarkEnd w:id="11"/>
    <w:p w14:paraId="5704E87C" w14:textId="1092350C"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addition, a broad body of literature shows that SEC reviews enhance the quality of the information environment around IPOs.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{"citationItems":[{"id":"ITEM-1","itemData":{"abstract":"We examine the comment letters issued by the Securities and Exchange Commission to public company filers for a sample of firms completing an initial public offering. First we describe the comment letter process for our sample firms, focusing on the duration of the process, the number of iterations the filing goes through, and the number and types of issues that are raised by the SEC. Next, we study the determinants of the comment letter process, with particular emphasis on managerial expertise and corporate governance, and its potential implications for the firms’ information environment. Our results show that higher managerial expertise is associated with fewer issues. We also find weak evidence that the attributes of the comment letter process are associated with the firm’s information environment. We contribute to the literature by providing insights to the SEC’s review process, firm’s disclosure systems, and the IPO process.","author":[{"dropping-particle":"","family":"Ertimur","given":"Yonca","non-dropping-particle":"","parse-names":false,"suffix":""},{"dropping-particle":"","family":"Nondorf","given":"Maria E.","non-dropping-particle":"","parse-names":false,"suffix":""}],"container-title":"Working paper","id":"ITEM-1","issued":{"date-parts":[["2006"]]},"title":"IPO Firms and the SEC Comment Letter Process","type":"report"},"uris":["http://www.mendeley.com/documents/?uuid=df49ed71-71c0-4396-9eae-a351e94a1dce"]}],"mendeley":{"formattedCitation":"(Ertimur &amp; Nondorf, 2006b)","manualFormatting":"Ertimur &amp; Nondorf (2006)","plainTextFormattedCitation":"(Ertimur &amp; Nondorf, 2006b)","previouslyFormattedCitation":"(Ertimur &amp; Nondorf, 2006b)"},"properties":{"noteIndex":0},"schema":"https://github.com/citation-style-language/schema/raw/master/csl-citation.json"}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Ertimur &amp; Nondorf (2006)</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identify that more SEC comments and more issues addressed in SEC letters are likely to </w:t>
      </w:r>
      <w:r w:rsidR="008E4704" w:rsidRPr="00E915AA">
        <w:rPr>
          <w:rFonts w:ascii="Times New Roman" w:eastAsia="Calibri" w:hAnsi="Times New Roman" w:cs="Times New Roman"/>
          <w:sz w:val="24"/>
          <w:szCs w:val="24"/>
          <w:lang w:val="en-GB" w:eastAsia="en-GB"/>
        </w:rPr>
        <w:t>reduce</w:t>
      </w:r>
      <w:r w:rsidRPr="00E915AA">
        <w:rPr>
          <w:rFonts w:ascii="Times New Roman" w:eastAsia="Calibri" w:hAnsi="Times New Roman" w:cs="Times New Roman"/>
          <w:sz w:val="24"/>
          <w:szCs w:val="24"/>
          <w:lang w:val="en-GB" w:eastAsia="en-GB"/>
        </w:rPr>
        <w:t xml:space="preserve"> post-IPO information asymmetry</w:t>
      </w:r>
      <w:r w:rsidR="00664785" w:rsidRPr="00E915AA">
        <w:rPr>
          <w:rFonts w:ascii="Times New Roman" w:eastAsia="Calibri" w:hAnsi="Times New Roman" w:cs="Times New Roman"/>
          <w:sz w:val="24"/>
          <w:szCs w:val="24"/>
          <w:lang w:val="en-GB" w:eastAsia="en-GB"/>
        </w:rPr>
        <w:t xml:space="preserve">. </w:t>
      </w:r>
      <w:r w:rsidR="004F7CDF" w:rsidRPr="00E915AA">
        <w:rPr>
          <w:rFonts w:ascii="Times New Roman" w:eastAsia="Calibri" w:hAnsi="Times New Roman" w:cs="Times New Roman"/>
          <w:sz w:val="24"/>
          <w:szCs w:val="24"/>
          <w:lang w:val="en-GB" w:eastAsia="en-GB"/>
        </w:rPr>
        <w:t>Aga</w:t>
      </w:r>
      <w:r w:rsidR="00A46A29" w:rsidRPr="00E915AA">
        <w:rPr>
          <w:rFonts w:ascii="Times New Roman" w:eastAsia="Calibri" w:hAnsi="Times New Roman" w:cs="Times New Roman"/>
          <w:sz w:val="24"/>
          <w:szCs w:val="24"/>
          <w:lang w:val="en-GB" w:eastAsia="en-GB"/>
        </w:rPr>
        <w:t>r</w:t>
      </w:r>
      <w:r w:rsidR="004F7CDF" w:rsidRPr="00E915AA">
        <w:rPr>
          <w:rFonts w:ascii="Times New Roman" w:eastAsia="Calibri" w:hAnsi="Times New Roman" w:cs="Times New Roman"/>
          <w:sz w:val="24"/>
          <w:szCs w:val="24"/>
          <w:lang w:val="en-GB" w:eastAsia="en-GB"/>
        </w:rPr>
        <w:t>wal et al. (2017)</w:t>
      </w:r>
      <w:r w:rsidRPr="00E915AA">
        <w:rPr>
          <w:rFonts w:ascii="Times New Roman" w:eastAsia="Calibri" w:hAnsi="Times New Roman" w:cs="Times New Roman"/>
          <w:sz w:val="24"/>
          <w:szCs w:val="24"/>
          <w:lang w:val="en-GB" w:eastAsia="en-GB"/>
        </w:rPr>
        <w:t xml:space="preserve"> observe that when SEC comment letters issued to IPO firms contain more pages and more comments, information uncertainty following IPOs is lower</w:t>
      </w:r>
      <w:r w:rsidR="00EA02EB"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13806653","author":[{"dropping-particle":"","family":"Li","given":"Bing","non-dropping-particle":"","parse-names":false,"suffix":""},{"dropping-particle":"","family":"Liu","given":"Zhenbin","non-dropping-particle":"","parse-names":false,"suffix":""}],"container-title":"Review of Accounting Studies","id":"ITEM-1","issue":"3","issued":{"date-parts":[["2017"]]},"page":"1229-1260","publisher":"Review of Accounting Studies","title":"The oversight role of regulators: evidence from SEC comment letters in the IPO process","type":"article-journal","volume":"22"},"uris":["http://www.mendeley.com/documents/?uuid=efcd684f-bf42-48a7-9e9b-bc3ae01b1e13"]}],"mendeley":{"formattedCitation":"(B. Li &amp; Liu, 2017)","manualFormatting":"Li &amp; Liu (2017)","plainTextFormattedCitation":"(B. Li &amp; Liu, 2017)","previouslyFormattedCitation":"(B. Li &amp; Liu, 2017)"},"properties":{"noteIndex":0},"schema":"https://github.com/citation-style-language/schema/raw/master/csl-citation.json"}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Li &amp; Liu (2017)</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observe that IPO firms receiving more SEC comment letters are likely to revise their offer prices downwards to a larger extent, disclose more on the commented topics, spend more time in their IPO waiting periods, provide more amendments and have better long-run performance.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13806653","author":[{"dropping-particle":"","family":"Li","given":"Bing","non-dropping-particle":"","parse-names":false,"suffix":""},{"dropping-particle":"","family":"Liu","given":"Zhenbin","non-dropping-particle":"","parse-names":false,"suffix":""}],"container-title":"Review of Accounting Studies","id":"ITEM-1","issue":"3","issued":{"date-parts":[["2017"]]},"page":"1229-1260","publisher":"Review of Accounting Studies","title":"The oversight role of regulators: evidence from SEC comment letters in the IPO process","type":"article-journal","volume":"22"},"uris":["http://www.mendeley.com/documents/?uuid=efcd684f-bf42-48a7-9e9b-bc3ae01b1e13"]}],"mendeley":{"formattedCitation":"(B. Li &amp; Liu, 2017)","manualFormatting":"Li &amp; Liu (2017)","plainTextFormattedCitation":"(B. Li &amp; Liu, 2017)","previouslyFormattedCitation":"(B. Li &amp; Liu, 2017)"},"properties":{"noteIndex":0},"schema":"https://github.com/citation-style-language/schema/raw/master/csl-citation.json"}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Li &amp; Liu (2017)</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w:t>
      </w:r>
      <w:r w:rsidR="00EA02EB" w:rsidRPr="00E915AA">
        <w:rPr>
          <w:rFonts w:ascii="Times New Roman" w:eastAsia="Calibri" w:hAnsi="Times New Roman" w:cs="Times New Roman"/>
          <w:sz w:val="24"/>
          <w:szCs w:val="24"/>
          <w:lang w:val="en-GB" w:eastAsia="en-GB"/>
        </w:rPr>
        <w:t xml:space="preserve">also </w:t>
      </w:r>
      <w:r w:rsidRPr="00E915AA">
        <w:rPr>
          <w:rFonts w:ascii="Times New Roman" w:eastAsia="Calibri" w:hAnsi="Times New Roman" w:cs="Times New Roman"/>
          <w:sz w:val="24"/>
          <w:szCs w:val="24"/>
          <w:lang w:val="en-GB" w:eastAsia="en-GB"/>
        </w:rPr>
        <w:t xml:space="preserve">suggest that SEC letters may restrain going-public firms from hyping their stock to entice investors into becoming overly optimistic about the firm’s future prospects.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uthor":[{"dropping-particle":"","family":"Lowry","given":"M.","non-dropping-particle":"","parse-names":false,"suffix":""},{"dropping-particle":"","family":"Michaely","given":"R.","non-dropping-particle":"","parse-names":false,"suffix":""},{"dropping-particle":"","family":"Volkova","given":"E.","non-dropping-particle":"","parse-names":false,"suffix":""}],"container-title":"The Review of Financial Studies","id":"ITEM-1","issued":{"date-parts":[["2020"]]},"title":"Information Revealed through the Regulatory Process : Interactions between the SEC and Companies ahead of Their IPO","type":"article-journal"},"uris":["http://www.mendeley.com/documents/?uuid=1073cdb4-96a8-4857-815c-5661b6266526"]}],"mendeley":{"formattedCitation":"(Lowry et al., 2020)","manualFormatting":"Lowry (2020)","plainTextFormattedCitation":"(Lowry et al., 2020)","previouslyFormattedCitation":"(Lowry et al., 2020)"},"properties":{"noteIndex":0},"schema":"https://github.com/citation-style-language/schema/raw/master/csl-citation.json"}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00DC044F" w:rsidRPr="00E915AA">
        <w:rPr>
          <w:rFonts w:ascii="Times New Roman" w:eastAsia="Calibri" w:hAnsi="Times New Roman" w:cs="Times New Roman"/>
          <w:noProof/>
          <w:sz w:val="24"/>
          <w:szCs w:val="24"/>
          <w:lang w:val="en-GB" w:eastAsia="en-GB"/>
        </w:rPr>
        <w:t>Lowry et al. (2020)</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provide evidence that IPO firms receiving more SEC comment letters and letters with more wording on the topics of revenue recognition, capitalization, and liquidity are likely to have fewer price revisions, and fewer revisions to offering volumes and amounts, suggesting that SEC intervention constrains IPO firms from </w:t>
      </w:r>
      <w:r w:rsidR="008E4704" w:rsidRPr="00E915AA">
        <w:rPr>
          <w:rFonts w:ascii="Times New Roman" w:eastAsia="Calibri" w:hAnsi="Times New Roman" w:cs="Times New Roman"/>
          <w:sz w:val="24"/>
          <w:szCs w:val="24"/>
          <w:lang w:val="en-GB" w:eastAsia="en-GB"/>
        </w:rPr>
        <w:t xml:space="preserve">portraying </w:t>
      </w:r>
      <w:r w:rsidRPr="00E915AA">
        <w:rPr>
          <w:rFonts w:ascii="Times New Roman" w:eastAsia="Calibri" w:hAnsi="Times New Roman" w:cs="Times New Roman"/>
          <w:sz w:val="24"/>
          <w:szCs w:val="24"/>
          <w:lang w:val="en-GB" w:eastAsia="en-GB"/>
        </w:rPr>
        <w:t>an upwardly distorted picture</w:t>
      </w:r>
      <w:r w:rsidR="008E4704" w:rsidRPr="00E915AA">
        <w:rPr>
          <w:rFonts w:ascii="Times New Roman" w:eastAsia="Calibri" w:hAnsi="Times New Roman" w:cs="Times New Roman"/>
          <w:sz w:val="24"/>
          <w:szCs w:val="24"/>
          <w:lang w:val="en-GB" w:eastAsia="en-GB"/>
        </w:rPr>
        <w:t xml:space="preserve"> of the firm’s financial </w:t>
      </w:r>
      <w:r w:rsidR="00E550E9" w:rsidRPr="00E915AA">
        <w:rPr>
          <w:rFonts w:ascii="Times New Roman" w:eastAsia="Calibri" w:hAnsi="Times New Roman" w:cs="Times New Roman"/>
          <w:sz w:val="24"/>
          <w:szCs w:val="24"/>
          <w:lang w:val="en-GB" w:eastAsia="en-GB"/>
        </w:rPr>
        <w:t>performance</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uthor":[{"dropping-particle":"","family":"Schuldt","given":"M.","non-dropping-particle":"","parse-names":false,"suffix":""},{"dropping-particle":"","family":"Vega","given":"J.","non-dropping-particle":"","parse-names":false,"suffix":""}],"container-title":"Accounting Research Journal","id":"ITEM-1","issue":"1","issued":{"date-parts":[["2018"]]},"page":"90-101","title":"An examination of SEC revenue recognition comments and IPO earnings management","type":"article-journal","volume":"31"},"uris":["http://www.mendeley.com/documents/?uuid=024004f1-c419-45bf-b013-3eab73cff2fc"]}],"mendeley":{"formattedCitation":"(Schuldt &amp; Vega, 2018)","manualFormatting":"Schuldt &amp; Vega (2018)","plainTextFormattedCitation":"(Schuldt &amp; Vega, 2018)","previouslyFormattedCitation":"(Schuldt &amp; Vega, 2018)"},"properties":{"noteIndex":0},"schema":"https://github.com/citation-style-language/schema/raw/master/csl-citation.json"}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Schuldt &amp; Vega (2018)</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provide evidence that IPO firms receiving more SEC comments on revenue recognition issues are likely to have a lower degree of income-decreasing earnings management in the post-IPO period, suggesting the SEC is effective in constraining earnings management practices. </w:t>
      </w:r>
    </w:p>
    <w:p w14:paraId="7257C951" w14:textId="5409D1FE"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Taken together, </w:t>
      </w:r>
      <w:r w:rsidR="007D10DC" w:rsidRPr="00E915AA">
        <w:rPr>
          <w:rFonts w:ascii="Times New Roman" w:eastAsia="Calibri" w:hAnsi="Times New Roman" w:cs="Times New Roman"/>
          <w:sz w:val="24"/>
          <w:szCs w:val="24"/>
          <w:lang w:val="en-GB" w:eastAsia="en-GB"/>
        </w:rPr>
        <w:t>we</w:t>
      </w:r>
      <w:r w:rsidRPr="00E915AA">
        <w:rPr>
          <w:rFonts w:ascii="Times New Roman" w:eastAsia="Calibri" w:hAnsi="Times New Roman" w:cs="Times New Roman"/>
          <w:sz w:val="24"/>
          <w:szCs w:val="24"/>
          <w:lang w:val="en-GB" w:eastAsia="en-GB"/>
        </w:rPr>
        <w:t xml:space="preserve"> posit the first hypothesis, in </w:t>
      </w:r>
      <w:r w:rsidR="00DC044F" w:rsidRPr="00E915AA">
        <w:rPr>
          <w:rFonts w:ascii="Times New Roman" w:eastAsia="Calibri" w:hAnsi="Times New Roman" w:cs="Times New Roman"/>
          <w:sz w:val="24"/>
          <w:szCs w:val="24"/>
          <w:lang w:val="en-GB" w:eastAsia="en-GB"/>
        </w:rPr>
        <w:t xml:space="preserve">an </w:t>
      </w:r>
      <w:r w:rsidRPr="00E915AA">
        <w:rPr>
          <w:rFonts w:ascii="Times New Roman" w:eastAsia="Calibri" w:hAnsi="Times New Roman" w:cs="Times New Roman"/>
          <w:sz w:val="24"/>
          <w:szCs w:val="24"/>
          <w:lang w:val="en-GB" w:eastAsia="en-GB"/>
        </w:rPr>
        <w:t>alternative form, as follows.</w:t>
      </w:r>
    </w:p>
    <w:p w14:paraId="73990D7F" w14:textId="7FF19938" w:rsidR="00636FDD" w:rsidRPr="00E915AA" w:rsidRDefault="002C6719" w:rsidP="002C6719">
      <w:pPr>
        <w:spacing w:before="240" w:after="240" w:line="360" w:lineRule="auto"/>
        <w:jc w:val="both"/>
        <w:rPr>
          <w:rFonts w:ascii="Times New Roman" w:eastAsia="Calibri" w:hAnsi="Times New Roman" w:cs="Times New Roman"/>
          <w:i/>
          <w:sz w:val="24"/>
          <w:szCs w:val="24"/>
          <w:lang w:val="en-GB" w:eastAsia="en-GB"/>
        </w:rPr>
      </w:pPr>
      <w:r w:rsidRPr="00E915AA">
        <w:rPr>
          <w:rFonts w:ascii="Times New Roman" w:eastAsia="Calibri" w:hAnsi="Times New Roman" w:cs="Times New Roman"/>
          <w:b/>
          <w:i/>
          <w:sz w:val="24"/>
          <w:szCs w:val="24"/>
          <w:lang w:val="en-GB" w:eastAsia="en-GB"/>
        </w:rPr>
        <w:t>H1</w:t>
      </w:r>
      <w:r w:rsidRPr="00E915AA">
        <w:rPr>
          <w:rFonts w:ascii="Times New Roman" w:eastAsia="Calibri" w:hAnsi="Times New Roman" w:cs="Times New Roman"/>
          <w:b/>
          <w:i/>
          <w:sz w:val="24"/>
          <w:szCs w:val="24"/>
          <w:vertAlign w:val="subscript"/>
          <w:lang w:val="en-GB" w:eastAsia="en-GB"/>
        </w:rPr>
        <w:t>alternative</w:t>
      </w:r>
      <w:r w:rsidRPr="00E915AA">
        <w:rPr>
          <w:rFonts w:ascii="Times New Roman" w:eastAsia="Calibri" w:hAnsi="Times New Roman" w:cs="Times New Roman"/>
          <w:b/>
          <w:i/>
          <w:sz w:val="24"/>
          <w:szCs w:val="24"/>
          <w:lang w:val="en-GB" w:eastAsia="en-GB"/>
        </w:rPr>
        <w:t xml:space="preserve">: </w:t>
      </w:r>
      <w:r w:rsidRPr="00E915AA">
        <w:rPr>
          <w:rFonts w:ascii="Times New Roman" w:eastAsia="Calibri" w:hAnsi="Times New Roman" w:cs="Times New Roman"/>
          <w:i/>
          <w:sz w:val="24"/>
          <w:szCs w:val="24"/>
          <w:lang w:val="en-GB" w:eastAsia="en-GB"/>
        </w:rPr>
        <w:t>IPO firms engaging in greater income-increasing earnings management when preparing S-1 filings are likely to experience more extensive SEC reviews.</w:t>
      </w:r>
    </w:p>
    <w:p w14:paraId="253337EB" w14:textId="23E53CFC" w:rsidR="002C6719" w:rsidRPr="00E915AA" w:rsidRDefault="000A6310" w:rsidP="006F305B">
      <w:pPr>
        <w:pStyle w:val="ListParagraph"/>
        <w:numPr>
          <w:ilvl w:val="1"/>
          <w:numId w:val="42"/>
        </w:numPr>
        <w:spacing w:before="240" w:after="240" w:line="360" w:lineRule="auto"/>
        <w:ind w:left="1080" w:hanging="630"/>
        <w:jc w:val="both"/>
        <w:outlineLvl w:val="1"/>
        <w:rPr>
          <w:rFonts w:ascii="Times New Roman" w:eastAsia="Calibri" w:hAnsi="Times New Roman" w:cs="Times New Roman"/>
          <w:b/>
          <w:sz w:val="24"/>
          <w:szCs w:val="24"/>
          <w:lang w:val="en-GB" w:eastAsia="en-GB"/>
        </w:rPr>
      </w:pPr>
      <w:bookmarkStart w:id="12" w:name="_Toc43219817"/>
      <w:bookmarkStart w:id="13" w:name="_Toc69749295"/>
      <w:r w:rsidRPr="00E915AA">
        <w:rPr>
          <w:rFonts w:ascii="Times New Roman" w:eastAsia="Calibri" w:hAnsi="Times New Roman" w:cs="Times New Roman"/>
          <w:b/>
          <w:sz w:val="24"/>
          <w:szCs w:val="24"/>
          <w:lang w:val="en-GB" w:eastAsia="en-GB"/>
        </w:rPr>
        <w:t>Information quality</w:t>
      </w:r>
      <w:r w:rsidR="00FC6658" w:rsidRPr="00E915AA">
        <w:rPr>
          <w:rFonts w:ascii="Times New Roman" w:eastAsia="Calibri" w:hAnsi="Times New Roman" w:cs="Times New Roman"/>
          <w:b/>
          <w:sz w:val="24"/>
          <w:szCs w:val="24"/>
          <w:lang w:val="en-GB" w:eastAsia="en-GB"/>
        </w:rPr>
        <w:t xml:space="preserve"> </w:t>
      </w:r>
      <w:r w:rsidR="002C6719" w:rsidRPr="00E915AA">
        <w:rPr>
          <w:rFonts w:ascii="Times New Roman" w:eastAsia="Calibri" w:hAnsi="Times New Roman" w:cs="Times New Roman"/>
          <w:b/>
          <w:sz w:val="24"/>
          <w:szCs w:val="24"/>
          <w:lang w:val="en-GB" w:eastAsia="en-GB"/>
        </w:rPr>
        <w:t>under the JOBS Act</w:t>
      </w:r>
      <w:bookmarkEnd w:id="12"/>
      <w:bookmarkEnd w:id="13"/>
    </w:p>
    <w:p w14:paraId="38F4E7CC" w14:textId="0FC2B090" w:rsidR="002C6719" w:rsidRPr="00E915AA" w:rsidRDefault="002C6719"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sz w:val="24"/>
          <w:szCs w:val="24"/>
          <w:lang w:val="en-GB" w:eastAsia="en-GB"/>
        </w:rPr>
        <w:t xml:space="preserve">The Jumpstart Our Business </w:t>
      </w:r>
      <w:proofErr w:type="spellStart"/>
      <w:r w:rsidRPr="00E915AA">
        <w:rPr>
          <w:rFonts w:ascii="Times New Roman" w:eastAsia="Yu Mincho" w:hAnsi="Times New Roman" w:cs="Times New Roman"/>
          <w:sz w:val="24"/>
          <w:szCs w:val="24"/>
          <w:lang w:val="en-GB" w:eastAsia="en-GB"/>
        </w:rPr>
        <w:t>Startups</w:t>
      </w:r>
      <w:proofErr w:type="spellEnd"/>
      <w:r w:rsidRPr="00E915AA">
        <w:rPr>
          <w:rFonts w:ascii="Times New Roman" w:eastAsia="Yu Mincho" w:hAnsi="Times New Roman" w:cs="Times New Roman"/>
          <w:sz w:val="24"/>
          <w:szCs w:val="24"/>
          <w:lang w:val="en-GB" w:eastAsia="en-GB"/>
        </w:rPr>
        <w:t xml:space="preserve"> (JOBS) Act, enacted on 5th April 2012, aimed to revitalise IPO activities by Emerging Growth Companies (EGCs) in the </w:t>
      </w:r>
      <w:r w:rsidR="00855EC5" w:rsidRPr="00E915AA">
        <w:rPr>
          <w:rFonts w:ascii="Times New Roman" w:eastAsia="Yu Mincho" w:hAnsi="Times New Roman" w:cs="Times New Roman"/>
          <w:sz w:val="24"/>
          <w:szCs w:val="24"/>
          <w:lang w:val="en-GB" w:eastAsia="en-GB"/>
        </w:rPr>
        <w:t>US</w:t>
      </w:r>
      <w:r w:rsidRPr="00E915AA">
        <w:rPr>
          <w:rFonts w:ascii="Times New Roman" w:eastAsia="Yu Mincho" w:hAnsi="Times New Roman" w:cs="Times New Roman"/>
          <w:sz w:val="24"/>
          <w:szCs w:val="24"/>
          <w:lang w:val="en-GB" w:eastAsia="en-GB"/>
        </w:rPr>
        <w:t xml:space="preserve"> through reducing certain accounting and disclosure requirements, e.g., within IPO registration statements. On </w:t>
      </w:r>
      <w:r w:rsidRPr="00E915AA">
        <w:rPr>
          <w:rFonts w:ascii="Times New Roman" w:eastAsia="Yu Mincho" w:hAnsi="Times New Roman" w:cs="Times New Roman"/>
          <w:sz w:val="24"/>
          <w:szCs w:val="24"/>
          <w:lang w:val="en-GB" w:eastAsia="en-GB"/>
        </w:rPr>
        <w:lastRenderedPageBreak/>
        <w:t xml:space="preserve">the other hand, the JOBS Act, in attempting to reduce the reporting burden on EGC IPOs, resulted in decreased transparency in the IPO information environment </w:t>
      </w:r>
      <w:r w:rsidRPr="00E915AA">
        <w:rPr>
          <w:rFonts w:ascii="Times New Roman" w:eastAsia="Yu Mincho" w:hAnsi="Times New Roman" w:cs="Times New Roman"/>
          <w:sz w:val="24"/>
          <w:szCs w:val="24"/>
          <w:lang w:val="en-GB" w:eastAsia="en-GB"/>
        </w:rPr>
        <w:fldChar w:fldCharType="begin" w:fldLock="1"/>
      </w:r>
      <w:r w:rsidR="00E774C1" w:rsidRPr="00E915AA">
        <w:rPr>
          <w:rFonts w:ascii="Times New Roman" w:eastAsia="Yu Mincho" w:hAnsi="Times New Roman" w:cs="Times New Roman"/>
          <w:sz w:val="24"/>
          <w:szCs w:val="24"/>
          <w:lang w:val="en-GB" w:eastAsia="en-GB"/>
        </w:rPr>
        <w:instrText>ADDIN CSL_CITATION {"citationItems":[{"id":"ITEM-1","itemData":{"author":[{"dropping-particle":"","family":"Agarwal","given":"S.","non-dropping-particle":"","parse-names":false,"suffix":""},{"dropping-particle":"","family":"Gupta","given":"S.","non-dropping-particle":"","parse-names":false,"suffix":""},{"dropping-particle":"","family":"Israelsen","given":"R. D.","non-dropping-particle":"","parse-names":false,"suffix":""}],"container-title":"Kelley School of Business Research Paper No. 17-4","id":"ITEM-1","issued":{"date-parts":[["2017"]]},"title":"Public and private information: Firm disclosure, SEC letters, and the JOBS Act","type":"article-journal"},"uris":["http://www.mendeley.com/documents/?uuid=3e33ca0d-33d1-4254-82ac-0ff3e8a888b2"]},{"id":"ITEM-2","itemData":{"author":[{"dropping-particle":"","family":"Barth","given":"M. E.","non-dropping-particle":"","parse-names":false,"suffix":""},{"dropping-particle":"","family":"Landsman","given":"W. R.","non-dropping-particle":"","parse-names":false,"suffix":""},{"dropping-particle":"","family":"Taylor","given":"D.J.","non-dropping-particle":"","parse-names":false,"suffix":""}],"container-title":"The Accounting Review","id":"ITEM-2","issue":"6","issued":{"date-parts":[["2017"]]},"page":"25-47","title":"The JOBS Act and information uncertainty in IPO firms","type":"article-journal","volume":"92"},"uris":["http://www.mendeley.com/documents/?uuid=6e1b582f-a318-44b3-9c2a-52274233fd46"]},{"id":"ITEM-3","itemData":{"ISSN":"1475679X","abstract":"We examine the effects of Title I of the Jumpstart Our Business Startups Act (JOBS) for a sample of 213 EGC IPOs issued between April 5, 2012 and April 30, 2014. We show no reduction in the direct costs of issuance, accounting, legal, or underwriting fees, for EGC IPOs. Further, the indirect cost of issuance, underpricing, is significantly higher for EGCs than other IPOs. More importantly, greater underpricing is present only for larger firms that were not previously eligible for scaled disclosure under Regulation S-K. EGCs that are more definitive about their intentions to use the provisions of the Act have lower underpricing than those that are ambiguous. Finally, we find no increase in IPO volume after the Act. Overall, we find little evidence that the Act has initially been effective in achieving its main objectives and conclude that there are significant consequences to extending scaled disclosure to larger issuers.","author":[{"dropping-particle":"","family":"Chaplinsky","given":"Susan","non-dropping-particle":"","parse-names":false,"suffix":""},{"dropping-particle":"","family":"Hanley","given":"Kathleen Weiss","non-dropping-particle":"","parse-names":false,"suffix":""},{"dropping-particle":"","family":"Moon","given":"S. Katie","non-dropping-particle":"","parse-names":false,"suffix":""}],"container-title":"Journal of Accounting Research","id":"ITEM-3","issue":"4","issued":{"date-parts":[["2017"]]},"page":"795-836","title":"The JOBS Act and the costs of going public","type":"article-journal","volume":"55"},"uris":["http://www.mendeley.com/documents/?uuid=3695e7dd-d3b0-4cad-9f96-85adfdfb0789"]},{"id":"ITEM-4","itemData":{"abstract":"This paper evaluates the impact of the recently passed JOBS Act on IPO outcomes. A significant number of IPO firms use provisions of this act. Using the JOBS Act as a natural experiment on firms’ choices of the optimal mix of hard and soft information, we find that relative to a peer group of firms, (1) IPO firms choose a different mix of hard and soft information, (2) the non-disclosure of certain hard information does not lead to increased cost of capital, and (3) the choice of soft information reduces underpricing by about 2.7% and bid-ask spreads by about 1 cent. We also find that (4) the SEC changes its behavior post-JOBS Act in responding to firms’ draft registration statements and (5) investors react differently to changes in firms’ hard and soft information and SEC comments in terms of the probability of informed trading (PIN). A one standard deviation increase in a proxy for the winner’s curse from the SEC’s signal increases underpricing by about 5.3%. Overall, the results document an optimal mix of hard and soft information","author":[{"dropping-particle":"","family":"Gupta","given":"S.","non-dropping-particle":"","parse-names":false,"suffix":""},{"dropping-particle":"","family":"Israelsen","given":"R. D.","non-dropping-particle":"","parse-names":false,"suffix":""}],"container-title":"Working paper","id":"ITEM-4","issued":{"date-parts":[["2015"]]},"title":"Hard and Soft Information : Firm Disclosure , SEC Letters , and the JOBS Act","type":"article-journal"},"uris":["http://www.mendeley.com/documents/?uuid=6baba050-b3e8-44c4-8786-0000c5d0353a"]}],"mendeley":{"formattedCitation":"(Agarwal et al., 2017; Barth et al., 2017; Chaplinsky et al., 2017; Gupta &amp; Israelsen, 2015)","manualFormatting":"(Agarwal et al., 2017; Barth et al., 2017; Chaplinsky et al., 2017)","plainTextFormattedCitation":"(Agarwal et al., 2017; Barth et al., 2017; Chaplinsky et al., 2017; Gupta &amp; Israelsen, 2015)","previouslyFormattedCitation":"(Agarwal et al., 2017; Barth et al., 2017; Chaplinsky et al., 2017; Gupta &amp; Israelsen, 2015)"},"properties":{"noteIndex":0},"schema":"https://github.com/citation-style-language/schema/raw/master/csl-citation.json"}</w:instrText>
      </w:r>
      <w:r w:rsidRPr="00E915AA">
        <w:rPr>
          <w:rFonts w:ascii="Times New Roman" w:eastAsia="Yu Mincho" w:hAnsi="Times New Roman" w:cs="Times New Roman"/>
          <w:sz w:val="24"/>
          <w:szCs w:val="24"/>
          <w:lang w:val="en-GB" w:eastAsia="en-GB"/>
        </w:rPr>
        <w:fldChar w:fldCharType="separate"/>
      </w:r>
      <w:r w:rsidRPr="00E915AA">
        <w:rPr>
          <w:rFonts w:ascii="Times New Roman" w:eastAsia="Yu Mincho" w:hAnsi="Times New Roman" w:cs="Times New Roman"/>
          <w:noProof/>
          <w:sz w:val="24"/>
          <w:szCs w:val="24"/>
          <w:lang w:val="en-GB" w:eastAsia="en-GB"/>
        </w:rPr>
        <w:t>(Agarwal et al., 2017; Barth et al., 2017; Chaplinsky et al., 2017)</w:t>
      </w:r>
      <w:r w:rsidRPr="00E915AA">
        <w:rPr>
          <w:rFonts w:ascii="Times New Roman" w:eastAsia="Yu Mincho" w:hAnsi="Times New Roman" w:cs="Times New Roman"/>
          <w:sz w:val="24"/>
          <w:szCs w:val="24"/>
          <w:lang w:val="en-GB" w:eastAsia="en-GB"/>
        </w:rPr>
        <w:fldChar w:fldCharType="end"/>
      </w:r>
      <w:r w:rsidRPr="00E915AA">
        <w:rPr>
          <w:rFonts w:ascii="Times New Roman" w:eastAsia="Yu Mincho" w:hAnsi="Times New Roman" w:cs="Times New Roman"/>
          <w:sz w:val="24"/>
          <w:szCs w:val="24"/>
          <w:lang w:val="en-GB" w:eastAsia="en-GB"/>
        </w:rPr>
        <w:t xml:space="preserve">. </w:t>
      </w:r>
    </w:p>
    <w:p w14:paraId="4DA14A2B" w14:textId="3781ABDC" w:rsidR="00AE3646" w:rsidRPr="00E915AA" w:rsidRDefault="00E774C1"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noProof/>
          <w:sz w:val="24"/>
          <w:szCs w:val="24"/>
          <w:lang w:val="en-GB" w:eastAsia="en-GB"/>
        </w:rPr>
        <w:t xml:space="preserve">Agarwal et al. (2017) </w:t>
      </w:r>
      <w:r w:rsidR="002C6719" w:rsidRPr="00E915AA">
        <w:rPr>
          <w:rFonts w:ascii="Times New Roman" w:eastAsia="Yu Mincho" w:hAnsi="Times New Roman" w:cs="Times New Roman"/>
          <w:noProof/>
          <w:sz w:val="24"/>
          <w:szCs w:val="24"/>
          <w:lang w:val="en-GB" w:eastAsia="en-GB"/>
        </w:rPr>
        <w:t xml:space="preserve">provide evidence that after the enactment of the JOBS Act, EGC IPO firms disclose less </w:t>
      </w:r>
      <w:r w:rsidR="004774ED" w:rsidRPr="00E915AA">
        <w:rPr>
          <w:rFonts w:ascii="Times New Roman" w:eastAsia="Yu Mincho" w:hAnsi="Times New Roman" w:cs="Times New Roman"/>
          <w:noProof/>
          <w:sz w:val="24"/>
          <w:szCs w:val="24"/>
          <w:lang w:val="en-GB" w:eastAsia="en-GB"/>
        </w:rPr>
        <w:t>accounting</w:t>
      </w:r>
      <w:r w:rsidR="002C6719" w:rsidRPr="00E915AA">
        <w:rPr>
          <w:rFonts w:ascii="Times New Roman" w:eastAsia="Yu Mincho" w:hAnsi="Times New Roman" w:cs="Times New Roman"/>
          <w:noProof/>
          <w:sz w:val="24"/>
          <w:szCs w:val="24"/>
          <w:lang w:val="en-GB" w:eastAsia="en-GB"/>
        </w:rPr>
        <w:t xml:space="preserve"> information, </w:t>
      </w:r>
      <w:r w:rsidR="00C31DBA" w:rsidRPr="00E915AA">
        <w:rPr>
          <w:rFonts w:ascii="Times New Roman" w:eastAsia="Yu Mincho" w:hAnsi="Times New Roman" w:cs="Times New Roman"/>
          <w:noProof/>
          <w:sz w:val="24"/>
          <w:szCs w:val="24"/>
          <w:lang w:val="en-GB" w:eastAsia="en-GB"/>
        </w:rPr>
        <w:t xml:space="preserve">resulting in </w:t>
      </w:r>
      <w:r w:rsidR="006634A9" w:rsidRPr="00E915AA">
        <w:rPr>
          <w:rFonts w:ascii="Times New Roman" w:eastAsia="Yu Mincho" w:hAnsi="Times New Roman" w:cs="Times New Roman"/>
          <w:noProof/>
          <w:sz w:val="24"/>
          <w:szCs w:val="24"/>
          <w:lang w:val="en-GB" w:eastAsia="en-GB"/>
        </w:rPr>
        <w:t>higher underpricing under the JOBS Act</w:t>
      </w:r>
      <w:r w:rsidR="00853679" w:rsidRPr="00E915AA">
        <w:rPr>
          <w:rFonts w:ascii="Times New Roman" w:eastAsia="Yu Mincho" w:hAnsi="Times New Roman" w:cs="Times New Roman"/>
          <w:noProof/>
          <w:sz w:val="24"/>
          <w:szCs w:val="24"/>
          <w:lang w:val="en-GB" w:eastAsia="en-GB"/>
        </w:rPr>
        <w:t xml:space="preserve">. </w:t>
      </w:r>
      <w:r w:rsidR="002C6719" w:rsidRPr="00E915AA">
        <w:rPr>
          <w:rFonts w:ascii="Times New Roman" w:eastAsia="Yu Mincho" w:hAnsi="Times New Roman" w:cs="Times New Roman"/>
          <w:sz w:val="24"/>
          <w:szCs w:val="24"/>
          <w:lang w:val="en-GB" w:eastAsia="en-GB"/>
        </w:rPr>
        <w:t xml:space="preserve">Likewise, </w:t>
      </w:r>
      <w:r w:rsidR="002C6719" w:rsidRPr="00E915AA">
        <w:rPr>
          <w:rFonts w:ascii="Times New Roman" w:eastAsia="Yu Mincho" w:hAnsi="Times New Roman" w:cs="Times New Roman"/>
          <w:noProof/>
          <w:sz w:val="24"/>
          <w:szCs w:val="24"/>
          <w:lang w:val="en-GB" w:eastAsia="en-GB"/>
        </w:rPr>
        <w:t xml:space="preserve">Chaplinsky et al. (2017) observe that EGC IPOs experience greater underpricing during the first day of trading as compared with non-EGC IPOs. Barth et al. (2017) also identify that EGC IPOs have greater underpricing and post-IPO volatility than non-EGC IPOs, and that information uncertainty is positively related </w:t>
      </w:r>
      <w:r w:rsidR="00DC044F" w:rsidRPr="00E915AA">
        <w:rPr>
          <w:rFonts w:ascii="Times New Roman" w:eastAsia="Yu Mincho" w:hAnsi="Times New Roman" w:cs="Times New Roman"/>
          <w:noProof/>
          <w:sz w:val="24"/>
          <w:szCs w:val="24"/>
          <w:lang w:val="en-GB" w:eastAsia="en-GB"/>
        </w:rPr>
        <w:t>to</w:t>
      </w:r>
      <w:r w:rsidR="002C6719" w:rsidRPr="00E915AA">
        <w:rPr>
          <w:rFonts w:ascii="Times New Roman" w:eastAsia="Yu Mincho" w:hAnsi="Times New Roman" w:cs="Times New Roman"/>
          <w:noProof/>
          <w:sz w:val="24"/>
          <w:szCs w:val="24"/>
          <w:lang w:val="en-GB" w:eastAsia="en-GB"/>
        </w:rPr>
        <w:t xml:space="preserve"> the implementation of exemptions under the JOBS Act provisions. </w:t>
      </w:r>
    </w:p>
    <w:p w14:paraId="266D4425" w14:textId="43413CE5" w:rsidR="002C6719" w:rsidRPr="00E915AA" w:rsidRDefault="00C85DAC" w:rsidP="00F0498F">
      <w:pPr>
        <w:spacing w:before="240" w:after="240" w:line="360" w:lineRule="auto"/>
        <w:jc w:val="both"/>
        <w:rPr>
          <w:rFonts w:ascii="Times New Roman" w:eastAsia="Yu Mincho" w:hAnsi="Times New Roman" w:cs="Times New Roman"/>
          <w:noProof/>
          <w:sz w:val="24"/>
          <w:szCs w:val="24"/>
          <w:lang w:val="en-GB" w:eastAsia="en-GB"/>
        </w:rPr>
      </w:pPr>
      <w:r w:rsidRPr="00E915AA">
        <w:rPr>
          <w:rFonts w:ascii="Times New Roman" w:eastAsia="Yu Mincho" w:hAnsi="Times New Roman" w:cs="Times New Roman"/>
          <w:noProof/>
          <w:sz w:val="24"/>
          <w:szCs w:val="24"/>
          <w:lang w:val="en-GB" w:eastAsia="en-GB"/>
        </w:rPr>
        <w:t xml:space="preserve">Previous studies </w:t>
      </w:r>
      <w:r w:rsidR="00311232" w:rsidRPr="00E915AA">
        <w:rPr>
          <w:rFonts w:ascii="Times New Roman" w:eastAsia="Yu Mincho" w:hAnsi="Times New Roman" w:cs="Times New Roman"/>
          <w:noProof/>
          <w:sz w:val="24"/>
          <w:szCs w:val="24"/>
          <w:lang w:val="en-GB" w:eastAsia="en-GB"/>
        </w:rPr>
        <w:t xml:space="preserve">consider information uncertainty </w:t>
      </w:r>
      <w:r w:rsidR="0079011E" w:rsidRPr="00E915AA">
        <w:rPr>
          <w:rFonts w:ascii="Times New Roman" w:eastAsia="Yu Mincho" w:hAnsi="Times New Roman" w:cs="Times New Roman"/>
          <w:noProof/>
          <w:sz w:val="24"/>
          <w:szCs w:val="24"/>
          <w:lang w:val="en-GB" w:eastAsia="en-GB"/>
        </w:rPr>
        <w:t xml:space="preserve">in relation to </w:t>
      </w:r>
      <w:r w:rsidR="008E4E8C" w:rsidRPr="00E915AA">
        <w:rPr>
          <w:rFonts w:ascii="Times New Roman" w:eastAsia="Yu Mincho" w:hAnsi="Times New Roman" w:cs="Times New Roman"/>
          <w:noProof/>
          <w:sz w:val="24"/>
          <w:szCs w:val="24"/>
          <w:lang w:val="en-GB" w:eastAsia="en-GB"/>
        </w:rPr>
        <w:t>value ambiguity</w:t>
      </w:r>
      <w:r w:rsidR="0079011E" w:rsidRPr="00E915AA">
        <w:rPr>
          <w:rFonts w:ascii="Times New Roman" w:eastAsia="Yu Mincho" w:hAnsi="Times New Roman" w:cs="Times New Roman"/>
          <w:noProof/>
          <w:sz w:val="24"/>
          <w:szCs w:val="24"/>
          <w:lang w:val="en-GB" w:eastAsia="en-GB"/>
        </w:rPr>
        <w:t>, i.e.,</w:t>
      </w:r>
      <w:r w:rsidR="000F4CA8" w:rsidRPr="00E915AA">
        <w:rPr>
          <w:rFonts w:ascii="Times New Roman" w:eastAsia="Yu Mincho" w:hAnsi="Times New Roman" w:cs="Times New Roman"/>
          <w:noProof/>
          <w:sz w:val="24"/>
          <w:szCs w:val="24"/>
          <w:lang w:val="en-GB" w:eastAsia="en-GB"/>
        </w:rPr>
        <w:t xml:space="preserve"> </w:t>
      </w:r>
      <w:r w:rsidR="00B22F0A" w:rsidRPr="00E915AA">
        <w:rPr>
          <w:rFonts w:ascii="Times New Roman" w:eastAsia="Yu Mincho" w:hAnsi="Times New Roman" w:cs="Times New Roman"/>
          <w:noProof/>
          <w:sz w:val="24"/>
          <w:szCs w:val="24"/>
          <w:lang w:val="en-GB" w:eastAsia="en-GB"/>
        </w:rPr>
        <w:t>the level of difficult</w:t>
      </w:r>
      <w:r w:rsidR="009D1F37" w:rsidRPr="00E915AA">
        <w:rPr>
          <w:rFonts w:ascii="Times New Roman" w:eastAsia="Yu Mincho" w:hAnsi="Times New Roman" w:cs="Times New Roman"/>
          <w:noProof/>
          <w:sz w:val="24"/>
          <w:szCs w:val="24"/>
          <w:lang w:val="en-GB" w:eastAsia="en-GB"/>
        </w:rPr>
        <w:t>y</w:t>
      </w:r>
      <w:r w:rsidR="00B22F0A" w:rsidRPr="00E915AA">
        <w:rPr>
          <w:rFonts w:ascii="Times New Roman" w:eastAsia="Yu Mincho" w:hAnsi="Times New Roman" w:cs="Times New Roman"/>
          <w:noProof/>
          <w:sz w:val="24"/>
          <w:szCs w:val="24"/>
          <w:lang w:val="en-GB" w:eastAsia="en-GB"/>
        </w:rPr>
        <w:t xml:space="preserve"> in</w:t>
      </w:r>
      <w:r w:rsidR="008E4E8C" w:rsidRPr="00E915AA">
        <w:rPr>
          <w:rFonts w:ascii="Times New Roman" w:eastAsia="Yu Mincho" w:hAnsi="Times New Roman" w:cs="Times New Roman"/>
          <w:noProof/>
          <w:sz w:val="24"/>
          <w:szCs w:val="24"/>
          <w:lang w:val="en-GB" w:eastAsia="en-GB"/>
        </w:rPr>
        <w:t xml:space="preserve"> </w:t>
      </w:r>
      <w:r w:rsidR="00B22F0A" w:rsidRPr="00E915AA">
        <w:rPr>
          <w:rFonts w:ascii="Times New Roman" w:eastAsia="Yu Mincho" w:hAnsi="Times New Roman" w:cs="Times New Roman"/>
          <w:noProof/>
          <w:sz w:val="24"/>
          <w:szCs w:val="24"/>
          <w:lang w:val="en-GB" w:eastAsia="en-GB"/>
        </w:rPr>
        <w:t>estimating</w:t>
      </w:r>
      <w:r w:rsidR="000F4CA8" w:rsidRPr="00E915AA">
        <w:rPr>
          <w:rFonts w:ascii="Times New Roman" w:eastAsia="Yu Mincho" w:hAnsi="Times New Roman" w:cs="Times New Roman"/>
          <w:noProof/>
          <w:sz w:val="24"/>
          <w:szCs w:val="24"/>
          <w:lang w:val="en-GB" w:eastAsia="en-GB"/>
        </w:rPr>
        <w:t xml:space="preserve"> firm value at </w:t>
      </w:r>
      <w:r w:rsidR="00DC044F" w:rsidRPr="00E915AA">
        <w:rPr>
          <w:rFonts w:ascii="Times New Roman" w:eastAsia="Yu Mincho" w:hAnsi="Times New Roman" w:cs="Times New Roman"/>
          <w:noProof/>
          <w:sz w:val="24"/>
          <w:szCs w:val="24"/>
          <w:lang w:val="en-GB" w:eastAsia="en-GB"/>
        </w:rPr>
        <w:t xml:space="preserve">a </w:t>
      </w:r>
      <w:r w:rsidR="000F4CA8" w:rsidRPr="00E915AA">
        <w:rPr>
          <w:rFonts w:ascii="Times New Roman" w:eastAsia="Yu Mincho" w:hAnsi="Times New Roman" w:cs="Times New Roman"/>
          <w:noProof/>
          <w:sz w:val="24"/>
          <w:szCs w:val="24"/>
          <w:lang w:val="en-GB" w:eastAsia="en-GB"/>
        </w:rPr>
        <w:t>reasonable cost</w:t>
      </w:r>
      <w:r w:rsidR="002C2ACB" w:rsidRPr="00E915AA">
        <w:t xml:space="preserve"> (</w:t>
      </w:r>
      <w:r w:rsidR="002C2ACB" w:rsidRPr="00E915AA">
        <w:rPr>
          <w:rFonts w:ascii="Times New Roman" w:eastAsia="Yu Mincho" w:hAnsi="Times New Roman" w:cs="Times New Roman"/>
          <w:noProof/>
          <w:sz w:val="24"/>
          <w:szCs w:val="24"/>
          <w:lang w:val="en-GB" w:eastAsia="en-GB"/>
        </w:rPr>
        <w:t>Epstein and Schneider, 2008; Kim, 2006; Zhang, 2006)</w:t>
      </w:r>
      <w:r w:rsidR="00B22F0A" w:rsidRPr="00E915AA">
        <w:rPr>
          <w:rFonts w:ascii="Times New Roman" w:eastAsia="Yu Mincho" w:hAnsi="Times New Roman" w:cs="Times New Roman"/>
          <w:noProof/>
          <w:sz w:val="24"/>
          <w:szCs w:val="24"/>
          <w:lang w:val="en-GB" w:eastAsia="en-GB"/>
        </w:rPr>
        <w:t>.</w:t>
      </w:r>
      <w:r w:rsidR="002C2ACB" w:rsidRPr="00E915AA">
        <w:rPr>
          <w:rFonts w:ascii="Times New Roman" w:eastAsia="Yu Mincho" w:hAnsi="Times New Roman" w:cs="Times New Roman"/>
          <w:noProof/>
          <w:sz w:val="24"/>
          <w:szCs w:val="24"/>
          <w:lang w:val="en-GB" w:eastAsia="en-GB"/>
        </w:rPr>
        <w:t xml:space="preserve"> </w:t>
      </w:r>
      <w:r w:rsidR="00AB6DD9" w:rsidRPr="00E915AA">
        <w:rPr>
          <w:rFonts w:ascii="Times New Roman" w:eastAsia="Yu Mincho" w:hAnsi="Times New Roman" w:cs="Times New Roman"/>
          <w:noProof/>
          <w:sz w:val="24"/>
          <w:szCs w:val="24"/>
          <w:lang w:val="en-GB" w:eastAsia="en-GB"/>
        </w:rPr>
        <w:t>V</w:t>
      </w:r>
      <w:r w:rsidR="00E75567" w:rsidRPr="00E915AA">
        <w:rPr>
          <w:rFonts w:ascii="Times New Roman" w:eastAsia="Yu Mincho" w:hAnsi="Times New Roman" w:cs="Times New Roman"/>
          <w:noProof/>
          <w:sz w:val="24"/>
          <w:szCs w:val="24"/>
          <w:lang w:val="en-GB" w:eastAsia="en-GB"/>
        </w:rPr>
        <w:t>alue ambiguity</w:t>
      </w:r>
      <w:r w:rsidR="00F0498F" w:rsidRPr="00E915AA">
        <w:rPr>
          <w:rFonts w:ascii="Times New Roman" w:eastAsia="Yu Mincho" w:hAnsi="Times New Roman" w:cs="Times New Roman"/>
          <w:noProof/>
          <w:sz w:val="24"/>
          <w:szCs w:val="24"/>
          <w:lang w:val="en-GB" w:eastAsia="en-GB"/>
        </w:rPr>
        <w:t xml:space="preserve"> is </w:t>
      </w:r>
      <w:r w:rsidR="00A01E40" w:rsidRPr="00E915AA">
        <w:rPr>
          <w:rFonts w:ascii="Times New Roman" w:eastAsia="Yu Mincho" w:hAnsi="Times New Roman" w:cs="Times New Roman"/>
          <w:noProof/>
          <w:sz w:val="24"/>
          <w:szCs w:val="24"/>
          <w:lang w:val="en-GB" w:eastAsia="en-GB"/>
        </w:rPr>
        <w:t xml:space="preserve">a crucial prerequisite for opportunistic earnings management </w:t>
      </w:r>
      <w:r w:rsidR="00F0498F" w:rsidRPr="00E915AA">
        <w:rPr>
          <w:rFonts w:ascii="Times New Roman" w:eastAsia="Yu Mincho" w:hAnsi="Times New Roman" w:cs="Times New Roman"/>
          <w:noProof/>
          <w:sz w:val="24"/>
          <w:szCs w:val="24"/>
          <w:lang w:val="en-GB" w:eastAsia="en-GB"/>
        </w:rPr>
        <w:t>(Healy and Wahlen, 1999; Lo, 2008)</w:t>
      </w:r>
      <w:r w:rsidR="00226DC5" w:rsidRPr="00E915AA">
        <w:rPr>
          <w:rFonts w:ascii="Times New Roman" w:eastAsia="Yu Mincho" w:hAnsi="Times New Roman" w:cs="Times New Roman"/>
          <w:noProof/>
          <w:sz w:val="24"/>
          <w:szCs w:val="24"/>
          <w:lang w:val="en-GB" w:eastAsia="en-GB"/>
        </w:rPr>
        <w:t xml:space="preserve">, </w:t>
      </w:r>
      <w:r w:rsidR="00710B4D" w:rsidRPr="00E915AA">
        <w:rPr>
          <w:rFonts w:ascii="Times New Roman" w:eastAsia="Yu Mincho" w:hAnsi="Times New Roman" w:cs="Times New Roman"/>
          <w:noProof/>
          <w:sz w:val="24"/>
          <w:szCs w:val="24"/>
          <w:lang w:val="en-GB" w:eastAsia="en-GB"/>
        </w:rPr>
        <w:t xml:space="preserve">because </w:t>
      </w:r>
      <w:r w:rsidR="00067A09" w:rsidRPr="00E915AA">
        <w:rPr>
          <w:rFonts w:ascii="Times New Roman" w:eastAsia="Yu Mincho" w:hAnsi="Times New Roman" w:cs="Times New Roman"/>
          <w:noProof/>
          <w:sz w:val="24"/>
          <w:szCs w:val="24"/>
          <w:lang w:val="en-GB" w:eastAsia="en-GB"/>
        </w:rPr>
        <w:t>in the absence of ambi</w:t>
      </w:r>
      <w:r w:rsidR="00DC044F" w:rsidRPr="00E915AA">
        <w:rPr>
          <w:rFonts w:ascii="Times New Roman" w:eastAsia="Yu Mincho" w:hAnsi="Times New Roman" w:cs="Times New Roman"/>
          <w:noProof/>
          <w:sz w:val="24"/>
          <w:szCs w:val="24"/>
          <w:lang w:val="en-GB" w:eastAsia="en-GB"/>
        </w:rPr>
        <w:t>g</w:t>
      </w:r>
      <w:r w:rsidR="00067A09" w:rsidRPr="00E915AA">
        <w:rPr>
          <w:rFonts w:ascii="Times New Roman" w:eastAsia="Yu Mincho" w:hAnsi="Times New Roman" w:cs="Times New Roman"/>
          <w:noProof/>
          <w:sz w:val="24"/>
          <w:szCs w:val="24"/>
          <w:lang w:val="en-GB" w:eastAsia="en-GB"/>
        </w:rPr>
        <w:t xml:space="preserve">uity, </w:t>
      </w:r>
      <w:r w:rsidR="007823F6" w:rsidRPr="00E915AA">
        <w:rPr>
          <w:rFonts w:ascii="Times New Roman" w:eastAsia="Yu Mincho" w:hAnsi="Times New Roman" w:cs="Times New Roman"/>
          <w:noProof/>
          <w:sz w:val="24"/>
          <w:szCs w:val="24"/>
          <w:lang w:val="en-GB" w:eastAsia="en-GB"/>
        </w:rPr>
        <w:t xml:space="preserve">investors’ decisions are less impacted by </w:t>
      </w:r>
      <w:r w:rsidR="00855B4E" w:rsidRPr="00E915AA">
        <w:rPr>
          <w:rFonts w:ascii="Times New Roman" w:eastAsia="Yu Mincho" w:hAnsi="Times New Roman" w:cs="Times New Roman"/>
          <w:noProof/>
          <w:sz w:val="24"/>
          <w:szCs w:val="24"/>
          <w:lang w:val="en-GB" w:eastAsia="en-GB"/>
        </w:rPr>
        <w:t>discretionary accoun</w:t>
      </w:r>
      <w:r w:rsidR="00DC044F" w:rsidRPr="00E915AA">
        <w:rPr>
          <w:rFonts w:ascii="Times New Roman" w:eastAsia="Yu Mincho" w:hAnsi="Times New Roman" w:cs="Times New Roman"/>
          <w:noProof/>
          <w:sz w:val="24"/>
          <w:szCs w:val="24"/>
          <w:lang w:val="en-GB" w:eastAsia="en-GB"/>
        </w:rPr>
        <w:t>ti</w:t>
      </w:r>
      <w:r w:rsidR="00855B4E" w:rsidRPr="00E915AA">
        <w:rPr>
          <w:rFonts w:ascii="Times New Roman" w:eastAsia="Yu Mincho" w:hAnsi="Times New Roman" w:cs="Times New Roman"/>
          <w:noProof/>
          <w:sz w:val="24"/>
          <w:szCs w:val="24"/>
          <w:lang w:val="en-GB" w:eastAsia="en-GB"/>
        </w:rPr>
        <w:t xml:space="preserve">ng </w:t>
      </w:r>
      <w:r w:rsidR="00D061F5" w:rsidRPr="00E915AA">
        <w:rPr>
          <w:rFonts w:ascii="Times New Roman" w:eastAsia="Yu Mincho" w:hAnsi="Times New Roman" w:cs="Times New Roman"/>
          <w:noProof/>
          <w:sz w:val="24"/>
          <w:szCs w:val="24"/>
          <w:lang w:val="en-GB" w:eastAsia="en-GB"/>
        </w:rPr>
        <w:t>treatment</w:t>
      </w:r>
      <w:r w:rsidR="00F0498F" w:rsidRPr="00E915AA">
        <w:rPr>
          <w:rFonts w:ascii="Times New Roman" w:eastAsia="Yu Mincho" w:hAnsi="Times New Roman" w:cs="Times New Roman"/>
          <w:noProof/>
          <w:sz w:val="24"/>
          <w:szCs w:val="24"/>
          <w:lang w:val="en-GB" w:eastAsia="en-GB"/>
        </w:rPr>
        <w:t xml:space="preserve">. </w:t>
      </w:r>
      <w:r w:rsidR="00AE3646" w:rsidRPr="00E915AA">
        <w:rPr>
          <w:rFonts w:ascii="Times New Roman" w:eastAsia="Yu Mincho" w:hAnsi="Times New Roman" w:cs="Times New Roman"/>
          <w:noProof/>
          <w:sz w:val="24"/>
          <w:szCs w:val="24"/>
          <w:lang w:val="en-GB" w:eastAsia="en-GB"/>
        </w:rPr>
        <w:t>Chen et al. (</w:t>
      </w:r>
      <w:r w:rsidR="00A22A8F" w:rsidRPr="00E915AA">
        <w:rPr>
          <w:rFonts w:ascii="Times New Roman" w:eastAsia="Yu Mincho" w:hAnsi="Times New Roman" w:cs="Times New Roman"/>
          <w:noProof/>
          <w:sz w:val="24"/>
          <w:szCs w:val="24"/>
          <w:lang w:val="en-GB" w:eastAsia="en-GB"/>
        </w:rPr>
        <w:t xml:space="preserve">2013) </w:t>
      </w:r>
      <w:r w:rsidR="00646A9C" w:rsidRPr="00E915AA">
        <w:rPr>
          <w:rFonts w:ascii="Times New Roman" w:eastAsia="Yu Mincho" w:hAnsi="Times New Roman" w:cs="Times New Roman"/>
          <w:noProof/>
          <w:sz w:val="24"/>
          <w:szCs w:val="24"/>
          <w:lang w:val="en-GB" w:eastAsia="en-GB"/>
        </w:rPr>
        <w:t xml:space="preserve">identify that firms </w:t>
      </w:r>
      <w:r w:rsidR="005D77AE" w:rsidRPr="00E915AA">
        <w:rPr>
          <w:rFonts w:ascii="Times New Roman" w:eastAsia="Yu Mincho" w:hAnsi="Times New Roman" w:cs="Times New Roman"/>
          <w:noProof/>
          <w:sz w:val="24"/>
          <w:szCs w:val="24"/>
          <w:lang w:val="en-GB" w:eastAsia="en-GB"/>
        </w:rPr>
        <w:t xml:space="preserve">operating under </w:t>
      </w:r>
      <w:r w:rsidR="00161729" w:rsidRPr="00E915AA">
        <w:rPr>
          <w:rFonts w:ascii="Times New Roman" w:eastAsia="Yu Mincho" w:hAnsi="Times New Roman" w:cs="Times New Roman"/>
          <w:noProof/>
          <w:sz w:val="24"/>
          <w:szCs w:val="24"/>
          <w:lang w:val="en-GB" w:eastAsia="en-GB"/>
        </w:rPr>
        <w:t>high</w:t>
      </w:r>
      <w:r w:rsidR="00646A9C" w:rsidRPr="00E915AA">
        <w:rPr>
          <w:rFonts w:ascii="Times New Roman" w:eastAsia="Yu Mincho" w:hAnsi="Times New Roman" w:cs="Times New Roman"/>
          <w:noProof/>
          <w:sz w:val="24"/>
          <w:szCs w:val="24"/>
          <w:lang w:val="en-GB" w:eastAsia="en-GB"/>
        </w:rPr>
        <w:t xml:space="preserve"> information uncertainty tend to </w:t>
      </w:r>
      <w:r w:rsidR="00074B97" w:rsidRPr="00E915AA">
        <w:rPr>
          <w:rFonts w:ascii="Times New Roman" w:eastAsia="Yu Mincho" w:hAnsi="Times New Roman" w:cs="Times New Roman"/>
          <w:noProof/>
          <w:sz w:val="24"/>
          <w:szCs w:val="24"/>
          <w:lang w:val="en-GB" w:eastAsia="en-GB"/>
        </w:rPr>
        <w:t>ma</w:t>
      </w:r>
      <w:r w:rsidR="00DC044F" w:rsidRPr="00E915AA">
        <w:rPr>
          <w:rFonts w:ascii="Times New Roman" w:eastAsia="Yu Mincho" w:hAnsi="Times New Roman" w:cs="Times New Roman"/>
          <w:noProof/>
          <w:sz w:val="24"/>
          <w:szCs w:val="24"/>
          <w:lang w:val="en-GB" w:eastAsia="en-GB"/>
        </w:rPr>
        <w:t>n</w:t>
      </w:r>
      <w:r w:rsidR="00074B97" w:rsidRPr="00E915AA">
        <w:rPr>
          <w:rFonts w:ascii="Times New Roman" w:eastAsia="Yu Mincho" w:hAnsi="Times New Roman" w:cs="Times New Roman"/>
          <w:noProof/>
          <w:sz w:val="24"/>
          <w:szCs w:val="24"/>
          <w:lang w:val="en-GB" w:eastAsia="en-GB"/>
        </w:rPr>
        <w:t xml:space="preserve">age earnings </w:t>
      </w:r>
      <w:r w:rsidR="00DA2CE4" w:rsidRPr="00E915AA">
        <w:rPr>
          <w:rFonts w:ascii="Times New Roman" w:eastAsia="Yu Mincho" w:hAnsi="Times New Roman" w:cs="Times New Roman"/>
          <w:noProof/>
          <w:sz w:val="24"/>
          <w:szCs w:val="24"/>
          <w:lang w:val="en-GB" w:eastAsia="en-GB"/>
        </w:rPr>
        <w:t>upward</w:t>
      </w:r>
      <w:r w:rsidR="00B56295" w:rsidRPr="00E915AA">
        <w:rPr>
          <w:rFonts w:ascii="Times New Roman" w:eastAsia="Yu Mincho" w:hAnsi="Times New Roman" w:cs="Times New Roman"/>
          <w:noProof/>
          <w:sz w:val="24"/>
          <w:szCs w:val="24"/>
          <w:lang w:val="en-GB" w:eastAsia="en-GB"/>
        </w:rPr>
        <w:t>s</w:t>
      </w:r>
      <w:r w:rsidR="00DA2CE4" w:rsidRPr="00E915AA">
        <w:rPr>
          <w:rFonts w:ascii="Times New Roman" w:eastAsia="Yu Mincho" w:hAnsi="Times New Roman" w:cs="Times New Roman"/>
          <w:noProof/>
          <w:sz w:val="24"/>
          <w:szCs w:val="24"/>
          <w:lang w:val="en-GB" w:eastAsia="en-GB"/>
        </w:rPr>
        <w:t xml:space="preserve"> </w:t>
      </w:r>
      <w:r w:rsidR="00074B97" w:rsidRPr="00E915AA">
        <w:rPr>
          <w:rFonts w:ascii="Times New Roman" w:eastAsia="Yu Mincho" w:hAnsi="Times New Roman" w:cs="Times New Roman"/>
          <w:noProof/>
          <w:sz w:val="24"/>
          <w:szCs w:val="24"/>
          <w:lang w:val="en-GB" w:eastAsia="en-GB"/>
        </w:rPr>
        <w:t>for opportunistic purposes (e.g.</w:t>
      </w:r>
      <w:r w:rsidR="00E25007" w:rsidRPr="00E915AA">
        <w:rPr>
          <w:rFonts w:ascii="Times New Roman" w:eastAsia="Yu Mincho" w:hAnsi="Times New Roman" w:cs="Times New Roman"/>
          <w:noProof/>
          <w:sz w:val="24"/>
          <w:szCs w:val="24"/>
          <w:lang w:val="en-GB" w:eastAsia="en-GB"/>
        </w:rPr>
        <w:t>,</w:t>
      </w:r>
      <w:r w:rsidR="00DA2CE4" w:rsidRPr="00E915AA">
        <w:rPr>
          <w:rFonts w:ascii="Times New Roman" w:eastAsia="Yu Mincho" w:hAnsi="Times New Roman" w:cs="Times New Roman"/>
          <w:noProof/>
          <w:sz w:val="24"/>
          <w:szCs w:val="24"/>
          <w:lang w:val="en-GB" w:eastAsia="en-GB"/>
        </w:rPr>
        <w:t xml:space="preserve"> </w:t>
      </w:r>
      <w:r w:rsidR="00B56295" w:rsidRPr="00E915AA">
        <w:rPr>
          <w:rFonts w:ascii="Times New Roman" w:eastAsia="Yu Mincho" w:hAnsi="Times New Roman" w:cs="Times New Roman"/>
          <w:noProof/>
          <w:sz w:val="24"/>
          <w:szCs w:val="24"/>
          <w:lang w:val="en-GB" w:eastAsia="en-GB"/>
        </w:rPr>
        <w:t xml:space="preserve">to </w:t>
      </w:r>
      <w:r w:rsidR="00DA2CE4" w:rsidRPr="00E915AA">
        <w:rPr>
          <w:rFonts w:ascii="Times New Roman" w:eastAsia="Yu Mincho" w:hAnsi="Times New Roman" w:cs="Times New Roman"/>
          <w:noProof/>
          <w:sz w:val="24"/>
          <w:szCs w:val="24"/>
          <w:lang w:val="en-GB" w:eastAsia="en-GB"/>
        </w:rPr>
        <w:t>issu</w:t>
      </w:r>
      <w:r w:rsidR="00B56295" w:rsidRPr="00E915AA">
        <w:rPr>
          <w:rFonts w:ascii="Times New Roman" w:eastAsia="Yu Mincho" w:hAnsi="Times New Roman" w:cs="Times New Roman"/>
          <w:noProof/>
          <w:sz w:val="24"/>
          <w:szCs w:val="24"/>
          <w:lang w:val="en-GB" w:eastAsia="en-GB"/>
        </w:rPr>
        <w:t>e</w:t>
      </w:r>
      <w:r w:rsidR="00DA2CE4" w:rsidRPr="00E915AA">
        <w:rPr>
          <w:rFonts w:ascii="Times New Roman" w:eastAsia="Yu Mincho" w:hAnsi="Times New Roman" w:cs="Times New Roman"/>
          <w:noProof/>
          <w:sz w:val="24"/>
          <w:szCs w:val="24"/>
          <w:lang w:val="en-GB" w:eastAsia="en-GB"/>
        </w:rPr>
        <w:t xml:space="preserve"> shares </w:t>
      </w:r>
      <w:r w:rsidR="00A85D68" w:rsidRPr="00E915AA">
        <w:rPr>
          <w:rFonts w:ascii="Times New Roman" w:eastAsia="Yu Mincho" w:hAnsi="Times New Roman" w:cs="Times New Roman"/>
          <w:noProof/>
          <w:sz w:val="24"/>
          <w:szCs w:val="24"/>
          <w:lang w:val="en-GB" w:eastAsia="en-GB"/>
        </w:rPr>
        <w:t>at inflated price</w:t>
      </w:r>
      <w:r w:rsidR="00B56295" w:rsidRPr="00E915AA">
        <w:rPr>
          <w:rFonts w:ascii="Times New Roman" w:eastAsia="Yu Mincho" w:hAnsi="Times New Roman" w:cs="Times New Roman"/>
          <w:noProof/>
          <w:sz w:val="24"/>
          <w:szCs w:val="24"/>
          <w:lang w:val="en-GB" w:eastAsia="en-GB"/>
        </w:rPr>
        <w:t>s</w:t>
      </w:r>
      <w:r w:rsidR="00A85D68" w:rsidRPr="00E915AA">
        <w:rPr>
          <w:rFonts w:ascii="Times New Roman" w:eastAsia="Yu Mincho" w:hAnsi="Times New Roman" w:cs="Times New Roman"/>
          <w:noProof/>
          <w:sz w:val="24"/>
          <w:szCs w:val="24"/>
          <w:lang w:val="en-GB" w:eastAsia="en-GB"/>
        </w:rPr>
        <w:t>).</w:t>
      </w:r>
      <w:r w:rsidR="009E773A" w:rsidRPr="00E915AA">
        <w:rPr>
          <w:rFonts w:ascii="Times New Roman" w:eastAsia="Yu Mincho" w:hAnsi="Times New Roman" w:cs="Times New Roman"/>
          <w:noProof/>
          <w:sz w:val="24"/>
          <w:szCs w:val="24"/>
          <w:lang w:val="en-GB" w:eastAsia="en-GB"/>
        </w:rPr>
        <w:t xml:space="preserve"> </w:t>
      </w:r>
      <w:r w:rsidR="00397A9D" w:rsidRPr="00E915AA">
        <w:rPr>
          <w:rFonts w:ascii="Times New Roman" w:eastAsia="Yu Mincho" w:hAnsi="Times New Roman" w:cs="Times New Roman"/>
          <w:noProof/>
          <w:sz w:val="24"/>
          <w:szCs w:val="24"/>
          <w:lang w:val="en-GB" w:eastAsia="en-GB"/>
        </w:rPr>
        <w:t>Hence, t</w:t>
      </w:r>
      <w:r w:rsidR="00F8197E" w:rsidRPr="00E915AA">
        <w:rPr>
          <w:rFonts w:ascii="Times New Roman" w:eastAsia="Yu Mincho" w:hAnsi="Times New Roman" w:cs="Times New Roman"/>
          <w:noProof/>
          <w:sz w:val="24"/>
          <w:szCs w:val="24"/>
          <w:lang w:val="en-GB" w:eastAsia="en-GB"/>
        </w:rPr>
        <w:t>he second alternative hypothes</w:t>
      </w:r>
      <w:r w:rsidR="00397A9D" w:rsidRPr="00E915AA">
        <w:rPr>
          <w:rFonts w:ascii="Times New Roman" w:eastAsia="Yu Mincho" w:hAnsi="Times New Roman" w:cs="Times New Roman"/>
          <w:noProof/>
          <w:sz w:val="24"/>
          <w:szCs w:val="24"/>
          <w:lang w:val="en-GB" w:eastAsia="en-GB"/>
        </w:rPr>
        <w:t xml:space="preserve">is </w:t>
      </w:r>
      <w:r w:rsidR="0019733C" w:rsidRPr="00E915AA">
        <w:rPr>
          <w:rFonts w:ascii="Times New Roman" w:eastAsia="Yu Mincho" w:hAnsi="Times New Roman" w:cs="Times New Roman"/>
          <w:noProof/>
          <w:sz w:val="24"/>
          <w:szCs w:val="24"/>
          <w:lang w:val="en-GB" w:eastAsia="en-GB"/>
        </w:rPr>
        <w:t xml:space="preserve">is </w:t>
      </w:r>
      <w:r w:rsidR="00397A9D" w:rsidRPr="00E915AA">
        <w:rPr>
          <w:rFonts w:ascii="Times New Roman" w:eastAsia="Yu Mincho" w:hAnsi="Times New Roman" w:cs="Times New Roman"/>
          <w:noProof/>
          <w:sz w:val="24"/>
          <w:szCs w:val="24"/>
          <w:lang w:val="en-GB" w:eastAsia="en-GB"/>
        </w:rPr>
        <w:t>as follows.</w:t>
      </w:r>
    </w:p>
    <w:p w14:paraId="6DA75668" w14:textId="7A70F061" w:rsidR="001A5483" w:rsidRPr="00E915AA" w:rsidRDefault="001A5483" w:rsidP="002C6719">
      <w:pPr>
        <w:spacing w:before="240" w:after="240" w:line="360" w:lineRule="auto"/>
        <w:jc w:val="both"/>
        <w:rPr>
          <w:rFonts w:ascii="Times New Roman" w:eastAsia="Calibri" w:hAnsi="Times New Roman" w:cs="Times New Roman"/>
          <w:b/>
          <w:i/>
          <w:sz w:val="24"/>
          <w:szCs w:val="24"/>
          <w:lang w:val="en-GB" w:eastAsia="en-GB"/>
        </w:rPr>
      </w:pPr>
      <w:r w:rsidRPr="00E915AA">
        <w:rPr>
          <w:rFonts w:ascii="Times New Roman" w:eastAsia="Calibri" w:hAnsi="Times New Roman" w:cs="Times New Roman"/>
          <w:b/>
          <w:i/>
          <w:sz w:val="24"/>
          <w:szCs w:val="24"/>
          <w:lang w:val="en-GB" w:eastAsia="en-GB"/>
        </w:rPr>
        <w:t>H2</w:t>
      </w:r>
      <w:r w:rsidRPr="00E915AA">
        <w:rPr>
          <w:rFonts w:ascii="Times New Roman" w:eastAsia="Calibri" w:hAnsi="Times New Roman" w:cs="Times New Roman"/>
          <w:b/>
          <w:i/>
          <w:sz w:val="24"/>
          <w:szCs w:val="24"/>
          <w:vertAlign w:val="subscript"/>
          <w:lang w:val="en-GB" w:eastAsia="en-GB"/>
        </w:rPr>
        <w:t>alternative</w:t>
      </w:r>
      <w:r w:rsidRPr="00E915AA">
        <w:rPr>
          <w:rFonts w:ascii="Times New Roman" w:eastAsia="Calibri" w:hAnsi="Times New Roman" w:cs="Times New Roman"/>
          <w:b/>
          <w:i/>
          <w:sz w:val="24"/>
          <w:szCs w:val="24"/>
          <w:lang w:val="en-GB" w:eastAsia="en-GB"/>
        </w:rPr>
        <w:t>:</w:t>
      </w:r>
      <w:r w:rsidRPr="00E915AA">
        <w:rPr>
          <w:rFonts w:ascii="Times New Roman" w:eastAsia="Calibri" w:hAnsi="Times New Roman" w:cs="Times New Roman"/>
          <w:sz w:val="24"/>
          <w:szCs w:val="24"/>
          <w:lang w:val="en-GB" w:eastAsia="en-GB"/>
        </w:rPr>
        <w:t xml:space="preserve"> </w:t>
      </w:r>
      <w:r w:rsidR="00397A9D" w:rsidRPr="00E915AA">
        <w:rPr>
          <w:rFonts w:ascii="Times New Roman" w:eastAsia="Calibri" w:hAnsi="Times New Roman" w:cs="Times New Roman"/>
          <w:i/>
          <w:sz w:val="24"/>
          <w:szCs w:val="24"/>
          <w:lang w:val="en-GB" w:eastAsia="en-GB"/>
        </w:rPr>
        <w:t xml:space="preserve">The level of earnings management engaged by IPO firms is higher under </w:t>
      </w:r>
      <w:r w:rsidRPr="00E915AA">
        <w:rPr>
          <w:rFonts w:ascii="Times New Roman" w:eastAsia="Calibri" w:hAnsi="Times New Roman" w:cs="Times New Roman"/>
          <w:i/>
          <w:sz w:val="24"/>
          <w:szCs w:val="24"/>
          <w:lang w:val="en-GB" w:eastAsia="en-GB"/>
        </w:rPr>
        <w:t>the JOBS Act.</w:t>
      </w:r>
      <w:r w:rsidRPr="00E915AA">
        <w:rPr>
          <w:rFonts w:ascii="Times New Roman" w:eastAsia="Calibri" w:hAnsi="Times New Roman" w:cs="Times New Roman"/>
          <w:b/>
          <w:i/>
          <w:sz w:val="24"/>
          <w:szCs w:val="24"/>
          <w:lang w:val="en-GB" w:eastAsia="en-GB"/>
        </w:rPr>
        <w:t xml:space="preserve"> </w:t>
      </w:r>
    </w:p>
    <w:p w14:paraId="392FB9D1" w14:textId="7DC3CD26" w:rsidR="001A5483" w:rsidRPr="00E915AA" w:rsidRDefault="00E661C6" w:rsidP="001A5483">
      <w:pPr>
        <w:pStyle w:val="ListParagraph"/>
        <w:numPr>
          <w:ilvl w:val="1"/>
          <w:numId w:val="42"/>
        </w:numPr>
        <w:spacing w:before="240" w:after="240" w:line="360" w:lineRule="auto"/>
        <w:jc w:val="both"/>
        <w:rPr>
          <w:rFonts w:ascii="Times New Roman" w:eastAsia="Calibri" w:hAnsi="Times New Roman" w:cs="Times New Roman"/>
          <w:b/>
          <w:i/>
          <w:sz w:val="24"/>
          <w:szCs w:val="24"/>
          <w:lang w:val="en-GB" w:eastAsia="en-GB"/>
        </w:rPr>
      </w:pPr>
      <w:r w:rsidRPr="00E915AA">
        <w:rPr>
          <w:rFonts w:ascii="Times New Roman" w:eastAsia="Calibri" w:hAnsi="Times New Roman" w:cs="Times New Roman"/>
          <w:b/>
          <w:i/>
          <w:sz w:val="24"/>
          <w:szCs w:val="24"/>
          <w:lang w:val="en-GB" w:eastAsia="en-GB"/>
        </w:rPr>
        <w:t xml:space="preserve"> The effectiveness of SEC review of </w:t>
      </w:r>
      <w:r w:rsidR="000E63F1" w:rsidRPr="00E915AA">
        <w:rPr>
          <w:rFonts w:ascii="Times New Roman" w:eastAsia="Calibri" w:hAnsi="Times New Roman" w:cs="Times New Roman"/>
          <w:b/>
          <w:i/>
          <w:sz w:val="24"/>
          <w:szCs w:val="24"/>
          <w:lang w:val="en-GB" w:eastAsia="en-GB"/>
        </w:rPr>
        <w:t>IPO registration statement under the JOBS Act</w:t>
      </w:r>
    </w:p>
    <w:p w14:paraId="093BA9CF" w14:textId="17C6150B" w:rsidR="00AF094C" w:rsidRPr="00E915AA" w:rsidRDefault="007818F7" w:rsidP="002C6719">
      <w:pPr>
        <w:spacing w:before="240" w:after="240" w:line="360" w:lineRule="auto"/>
        <w:jc w:val="both"/>
        <w:rPr>
          <w:rFonts w:ascii="Times New Roman" w:eastAsia="Yu Mincho" w:hAnsi="Times New Roman" w:cs="Times New Roman"/>
          <w:noProof/>
          <w:sz w:val="24"/>
          <w:szCs w:val="24"/>
          <w:lang w:val="en-GB" w:eastAsia="en-GB"/>
        </w:rPr>
      </w:pPr>
      <w:r w:rsidRPr="00E915AA">
        <w:rPr>
          <w:rFonts w:ascii="Times New Roman" w:eastAsia="Yu Mincho" w:hAnsi="Times New Roman" w:cs="Times New Roman"/>
          <w:noProof/>
          <w:sz w:val="24"/>
          <w:szCs w:val="24"/>
          <w:lang w:val="en-GB" w:eastAsia="en-GB"/>
        </w:rPr>
        <w:t>U</w:t>
      </w:r>
      <w:r w:rsidR="002C6719" w:rsidRPr="00E915AA">
        <w:rPr>
          <w:rFonts w:ascii="Times New Roman" w:eastAsia="Yu Mincho" w:hAnsi="Times New Roman" w:cs="Times New Roman"/>
          <w:noProof/>
          <w:sz w:val="24"/>
          <w:szCs w:val="24"/>
          <w:lang w:val="en-GB" w:eastAsia="en-GB"/>
        </w:rPr>
        <w:t>nder circumstances of increased information uncertainty and reduced transparency</w:t>
      </w:r>
      <w:r w:rsidR="001D464F" w:rsidRPr="00E915AA">
        <w:rPr>
          <w:rFonts w:ascii="Times New Roman" w:eastAsia="Yu Mincho" w:hAnsi="Times New Roman" w:cs="Times New Roman"/>
          <w:noProof/>
          <w:sz w:val="24"/>
          <w:szCs w:val="24"/>
          <w:lang w:val="en-GB" w:eastAsia="en-GB"/>
        </w:rPr>
        <w:t>,</w:t>
      </w:r>
      <w:r w:rsidR="002C6719" w:rsidRPr="00E915AA">
        <w:rPr>
          <w:rFonts w:ascii="Times New Roman" w:eastAsia="Yu Mincho" w:hAnsi="Times New Roman" w:cs="Times New Roman"/>
          <w:noProof/>
          <w:sz w:val="24"/>
          <w:szCs w:val="24"/>
          <w:lang w:val="en-GB" w:eastAsia="en-GB"/>
        </w:rPr>
        <w:t xml:space="preserve"> the SEC </w:t>
      </w:r>
      <w:r w:rsidR="0005262A" w:rsidRPr="00E915AA">
        <w:rPr>
          <w:rFonts w:ascii="Times New Roman" w:eastAsia="Yu Mincho" w:hAnsi="Times New Roman" w:cs="Times New Roman"/>
          <w:noProof/>
          <w:sz w:val="24"/>
          <w:szCs w:val="24"/>
          <w:lang w:val="en-GB" w:eastAsia="en-GB"/>
        </w:rPr>
        <w:t xml:space="preserve">are expected to </w:t>
      </w:r>
      <w:r w:rsidR="002C6719" w:rsidRPr="00E915AA">
        <w:rPr>
          <w:rFonts w:ascii="Times New Roman" w:eastAsia="Yu Mincho" w:hAnsi="Times New Roman" w:cs="Times New Roman"/>
          <w:noProof/>
          <w:sz w:val="24"/>
          <w:szCs w:val="24"/>
          <w:lang w:val="en-GB" w:eastAsia="en-GB"/>
        </w:rPr>
        <w:t xml:space="preserve">conduct more extensive reviews so as to provide more protection to investors. Specifically, </w:t>
      </w:r>
      <w:r w:rsidR="002C6719" w:rsidRPr="00E915AA">
        <w:rPr>
          <w:rFonts w:ascii="Times New Roman" w:eastAsia="Yu Mincho" w:hAnsi="Times New Roman" w:cs="Times New Roman"/>
          <w:noProof/>
          <w:sz w:val="24"/>
          <w:szCs w:val="24"/>
          <w:lang w:val="en-GB" w:eastAsia="en-GB"/>
        </w:rPr>
        <w:fldChar w:fldCharType="begin" w:fldLock="1"/>
      </w:r>
      <w:r w:rsidR="00652056" w:rsidRPr="00E915AA">
        <w:rPr>
          <w:rFonts w:ascii="Times New Roman" w:eastAsia="Yu Mincho" w:hAnsi="Times New Roman" w:cs="Times New Roman"/>
          <w:noProof/>
          <w:sz w:val="24"/>
          <w:szCs w:val="24"/>
          <w:lang w:val="en-GB" w:eastAsia="en-GB"/>
        </w:rPr>
        <w:instrText>ADDIN CSL_CITATION {"citationItems":[{"id":"ITEM-1","itemData":{"abstract":"We examine the comment letters issued by the Securities and Exchange Commission to public company filers for a sample of firms completing an initial public offering. First we describe the comment letter process for our sample firms, focusing on the duration of the process, the number of iterations the filing goes through, and the number and types of issues that are raised by the SEC. Next, we study the determinants of the comment letter process, with particular emphasis on managerial expertise and corporate governance, and its potential implications for the firms’ information environment. Our results show that higher managerial expertise is associated with fewer issues. We also find weak evidence that the attributes of the comment letter process are associated with the firm’s information environment. We contribute to the literature by providing insights to the SEC’s review process, firm’s disclosure systems, and the IPO process.","author":[{"dropping-particle":"","family":"Ertimur","given":"Yonca","non-dropping-particle":"","parse-names":false,"suffix":""},{"dropping-particle":"","family":"Nondorf","given":"Maria E.","non-dropping-particle":"","parse-names":false,"suffix":""}],"container-title":"Working paper","id":"ITEM-1","issued":{"date-parts":[["2006"]]},"title":"IPO Firms and the SEC Comment Letter Process","type":"report"},"uris":["http://www.mendeley.com/documents/?uuid=df49ed71-71c0-4396-9eae-a351e94a1dce"]},{"id":"ITEM-2","itemData":{"ISSN":"14664364","abstract":"The length of time it takes an IPO firm to go public (called “waiting period”) reflects multiple layers of scrutiny from underwriters, auditors, venture capitalists, institutional investors, and regulators. Accordingly, we show that the waiting period is a good barometer of ex ante uncertainty about future cash flows and that it has predictive power after the firm goes public. We find that firms marked by short waiting periods experience lower underpricing and less uncertainty and superior stock/operating performance in the aftermarket. We also report that smaller firms are taking longer to go public after Sarbanes-Oxley, thus providing justification for the 2012 JOBS Act.","author":[{"dropping-particle":"","family":"Colaco","given":"Hugh M.J.","non-dropping-particle":"","parse-names":false,"suffix":""},{"dropping-particle":"","family":"Cesari","given":"Amedeo","non-dropping-particle":"De","parse-names":false,"suffix":""},{"dropping-particle":"","family":"Hegde","given":"Shantaram P.","non-dropping-particle":"","parse-names":false,"suffix":""}],"container-title":"European Journal of Finance","id":"ITEM-2","issue":"0","issued":{"date-parts":[["2017"]]},"page":"1-34","publisher":"Taylor &amp; Francis","title":"The waiting period of initial public offerings","type":"article-journal","volume":"0"},"uris":["http://www.mendeley.com/documents/?uuid=bda34aca-b6ea-4d0e-acb5-9e39bbde12a4"]},{"id":"ITEM-3","itemData":{"author":[{"dropping-particle":"","family":"Lowry","given":"M.","non-dropping-particle":"","parse-names":false,"suffix":""},{"dropping-particle":"","family":"Michaely","given":"R.","non-dropping-particle":"","parse-names":false,"suffix":""},{"dropping-particle":"","family":"Volkova","given":"E.","non-dropping-particle":"","parse-names":false,"suffix":""}],"container-title":"The Review of Financial Studies","id":"ITEM-3","issued":{"date-parts":[["2020"]]},"title":"Information Revealed through the Regulatory Process : Interactions between the SEC and Companies ahead of Their IPO","type":"article-journal"},"uris":["http://www.mendeley.com/documents/?uuid=1073cdb4-96a8-4857-815c-5661b6266526"]}],"mendeley":{"formattedCitation":"(Colaco, De Cesari, &amp; Hegde, 2017; Ertimur &amp; Nondorf, 2006b; Lowry et al., 2020)","manualFormatting":"Colaco et al. (2018), Ertimur &amp; Nondorf (2006) and Lowry et al. (2020)","plainTextFormattedCitation":"(Colaco, De Cesari, &amp; Hegde, 2017; Ertimur &amp; Nondorf, 2006b; Lowry et al., 2020)","previouslyFormattedCitation":"(Colaco, De Cesari, &amp; Hegde, 2017; Ertimur &amp; Nondorf, 2006b; Lowry et al., 2020)"},"properties":{"noteIndex":0},"schema":"https://github.com/citation-style-language/schema/raw/master/csl-citation.json"}</w:instrText>
      </w:r>
      <w:r w:rsidR="002C6719" w:rsidRPr="00E915AA">
        <w:rPr>
          <w:rFonts w:ascii="Times New Roman" w:eastAsia="Yu Mincho" w:hAnsi="Times New Roman" w:cs="Times New Roman"/>
          <w:noProof/>
          <w:sz w:val="24"/>
          <w:szCs w:val="24"/>
          <w:lang w:val="en-GB" w:eastAsia="en-GB"/>
        </w:rPr>
        <w:fldChar w:fldCharType="separate"/>
      </w:r>
      <w:r w:rsidR="002C6719" w:rsidRPr="00E915AA">
        <w:rPr>
          <w:rFonts w:ascii="Times New Roman" w:eastAsia="Yu Mincho" w:hAnsi="Times New Roman" w:cs="Times New Roman"/>
          <w:noProof/>
          <w:sz w:val="24"/>
          <w:szCs w:val="24"/>
          <w:lang w:val="en-GB" w:eastAsia="en-GB"/>
        </w:rPr>
        <w:t>Colaco et al. (201</w:t>
      </w:r>
      <w:r w:rsidR="00A04D27" w:rsidRPr="00E915AA">
        <w:rPr>
          <w:rFonts w:ascii="Times New Roman" w:eastAsia="Yu Mincho" w:hAnsi="Times New Roman" w:cs="Times New Roman"/>
          <w:noProof/>
          <w:sz w:val="24"/>
          <w:szCs w:val="24"/>
          <w:lang w:val="en-GB" w:eastAsia="en-GB"/>
        </w:rPr>
        <w:t>8</w:t>
      </w:r>
      <w:r w:rsidR="002C6719" w:rsidRPr="00E915AA">
        <w:rPr>
          <w:rFonts w:ascii="Times New Roman" w:eastAsia="Yu Mincho" w:hAnsi="Times New Roman" w:cs="Times New Roman"/>
          <w:noProof/>
          <w:sz w:val="24"/>
          <w:szCs w:val="24"/>
          <w:lang w:val="en-GB" w:eastAsia="en-GB"/>
        </w:rPr>
        <w:t>), Ertimur &amp; Nondorf (2006) and Lowry</w:t>
      </w:r>
      <w:r w:rsidR="00652056" w:rsidRPr="00E915AA">
        <w:rPr>
          <w:rFonts w:ascii="Times New Roman" w:eastAsia="Yu Mincho" w:hAnsi="Times New Roman" w:cs="Times New Roman"/>
          <w:noProof/>
          <w:sz w:val="24"/>
          <w:szCs w:val="24"/>
          <w:lang w:val="en-GB" w:eastAsia="en-GB"/>
        </w:rPr>
        <w:t xml:space="preserve"> et al.</w:t>
      </w:r>
      <w:r w:rsidR="002C6719" w:rsidRPr="00E915AA">
        <w:rPr>
          <w:rFonts w:ascii="Times New Roman" w:eastAsia="Yu Mincho" w:hAnsi="Times New Roman" w:cs="Times New Roman"/>
          <w:noProof/>
          <w:sz w:val="24"/>
          <w:szCs w:val="24"/>
          <w:lang w:val="en-GB" w:eastAsia="en-GB"/>
        </w:rPr>
        <w:t xml:space="preserve"> (2020)</w:t>
      </w:r>
      <w:r w:rsidR="002C6719" w:rsidRPr="00E915AA">
        <w:rPr>
          <w:rFonts w:ascii="Times New Roman" w:eastAsia="Yu Mincho" w:hAnsi="Times New Roman" w:cs="Times New Roman"/>
          <w:noProof/>
          <w:sz w:val="24"/>
          <w:szCs w:val="24"/>
          <w:lang w:val="en-GB" w:eastAsia="en-GB"/>
        </w:rPr>
        <w:fldChar w:fldCharType="end"/>
      </w:r>
      <w:r w:rsidR="002C6719" w:rsidRPr="00E915AA">
        <w:rPr>
          <w:rFonts w:ascii="Times New Roman" w:eastAsia="Yu Mincho" w:hAnsi="Times New Roman" w:cs="Times New Roman"/>
          <w:noProof/>
          <w:sz w:val="24"/>
          <w:szCs w:val="24"/>
          <w:lang w:val="en-GB" w:eastAsia="en-GB"/>
        </w:rPr>
        <w:t xml:space="preserve"> observe that SEC reviews of IPO registration statements are more extensive when there is </w:t>
      </w:r>
      <w:r w:rsidR="00CE4DFD" w:rsidRPr="00E915AA">
        <w:rPr>
          <w:rFonts w:ascii="Times New Roman" w:eastAsia="Yu Mincho" w:hAnsi="Times New Roman" w:cs="Times New Roman"/>
          <w:noProof/>
          <w:sz w:val="24"/>
          <w:szCs w:val="24"/>
          <w:lang w:val="en-GB" w:eastAsia="en-GB"/>
        </w:rPr>
        <w:t xml:space="preserve">greater </w:t>
      </w:r>
      <w:r w:rsidR="00471720" w:rsidRPr="00E915AA">
        <w:rPr>
          <w:rFonts w:ascii="Times New Roman" w:eastAsia="Yu Mincho" w:hAnsi="Times New Roman" w:cs="Times New Roman"/>
          <w:noProof/>
          <w:sz w:val="24"/>
          <w:szCs w:val="24"/>
          <w:lang w:val="en-GB" w:eastAsia="en-GB"/>
        </w:rPr>
        <w:t>deficie</w:t>
      </w:r>
      <w:r w:rsidR="00DC044F" w:rsidRPr="00E915AA">
        <w:rPr>
          <w:rFonts w:ascii="Times New Roman" w:eastAsia="Yu Mincho" w:hAnsi="Times New Roman" w:cs="Times New Roman"/>
          <w:noProof/>
          <w:sz w:val="24"/>
          <w:szCs w:val="24"/>
          <w:lang w:val="en-GB" w:eastAsia="en-GB"/>
        </w:rPr>
        <w:t>n</w:t>
      </w:r>
      <w:r w:rsidR="00471720" w:rsidRPr="00E915AA">
        <w:rPr>
          <w:rFonts w:ascii="Times New Roman" w:eastAsia="Yu Mincho" w:hAnsi="Times New Roman" w:cs="Times New Roman"/>
          <w:noProof/>
          <w:sz w:val="24"/>
          <w:szCs w:val="24"/>
          <w:lang w:val="en-GB" w:eastAsia="en-GB"/>
        </w:rPr>
        <w:t>c</w:t>
      </w:r>
      <w:r w:rsidR="00C153B0" w:rsidRPr="00E915AA">
        <w:rPr>
          <w:rFonts w:ascii="Times New Roman" w:eastAsia="Yu Mincho" w:hAnsi="Times New Roman" w:cs="Times New Roman"/>
          <w:noProof/>
          <w:sz w:val="24"/>
          <w:szCs w:val="24"/>
          <w:lang w:val="en-GB" w:eastAsia="en-GB"/>
        </w:rPr>
        <w:t>y</w:t>
      </w:r>
      <w:r w:rsidR="002C6719" w:rsidRPr="00E915AA">
        <w:rPr>
          <w:rFonts w:ascii="Times New Roman" w:eastAsia="Yu Mincho" w:hAnsi="Times New Roman" w:cs="Times New Roman"/>
          <w:noProof/>
          <w:sz w:val="24"/>
          <w:szCs w:val="24"/>
          <w:lang w:val="en-GB" w:eastAsia="en-GB"/>
        </w:rPr>
        <w:t xml:space="preserve"> in the IPO information environment. </w:t>
      </w:r>
    </w:p>
    <w:p w14:paraId="3A22661C" w14:textId="160E6CE3" w:rsidR="002C6719" w:rsidRPr="00E915AA" w:rsidRDefault="00C765F0" w:rsidP="002C6719">
      <w:pPr>
        <w:spacing w:before="240" w:after="240" w:line="360" w:lineRule="auto"/>
        <w:jc w:val="both"/>
        <w:rPr>
          <w:rFonts w:ascii="Times New Roman" w:eastAsia="Yu Mincho" w:hAnsi="Times New Roman" w:cs="Times New Roman"/>
          <w:noProof/>
          <w:sz w:val="24"/>
          <w:szCs w:val="24"/>
          <w:lang w:val="en-GB" w:eastAsia="en-GB"/>
        </w:rPr>
      </w:pPr>
      <w:r w:rsidRPr="00E915AA">
        <w:rPr>
          <w:rFonts w:ascii="Times New Roman" w:eastAsia="Yu Mincho" w:hAnsi="Times New Roman" w:cs="Times New Roman"/>
          <w:noProof/>
          <w:sz w:val="24"/>
          <w:szCs w:val="24"/>
          <w:lang w:val="en-GB" w:eastAsia="en-GB"/>
        </w:rPr>
        <w:t>According to aformentioned liter</w:t>
      </w:r>
      <w:r w:rsidR="00F75CA5" w:rsidRPr="00E915AA">
        <w:rPr>
          <w:rFonts w:ascii="Times New Roman" w:eastAsia="Yu Mincho" w:hAnsi="Times New Roman" w:cs="Times New Roman"/>
          <w:noProof/>
          <w:sz w:val="24"/>
          <w:szCs w:val="24"/>
          <w:lang w:val="en-GB" w:eastAsia="en-GB"/>
        </w:rPr>
        <w:t xml:space="preserve">ature, </w:t>
      </w:r>
      <w:r w:rsidR="00692D41" w:rsidRPr="00E915AA">
        <w:rPr>
          <w:rFonts w:ascii="Times New Roman" w:eastAsia="Yu Mincho" w:hAnsi="Times New Roman" w:cs="Times New Roman"/>
          <w:noProof/>
          <w:sz w:val="24"/>
          <w:szCs w:val="24"/>
          <w:lang w:val="en-GB" w:eastAsia="en-GB"/>
        </w:rPr>
        <w:t>the relax</w:t>
      </w:r>
      <w:r w:rsidR="00DC044F" w:rsidRPr="00E915AA">
        <w:rPr>
          <w:rFonts w:ascii="Times New Roman" w:eastAsia="Yu Mincho" w:hAnsi="Times New Roman" w:cs="Times New Roman"/>
          <w:noProof/>
          <w:sz w:val="24"/>
          <w:szCs w:val="24"/>
          <w:lang w:val="en-GB" w:eastAsia="en-GB"/>
        </w:rPr>
        <w:t>a</w:t>
      </w:r>
      <w:r w:rsidR="00692D41" w:rsidRPr="00E915AA">
        <w:rPr>
          <w:rFonts w:ascii="Times New Roman" w:eastAsia="Yu Mincho" w:hAnsi="Times New Roman" w:cs="Times New Roman"/>
          <w:noProof/>
          <w:sz w:val="24"/>
          <w:szCs w:val="24"/>
          <w:lang w:val="en-GB" w:eastAsia="en-GB"/>
        </w:rPr>
        <w:t xml:space="preserve">tion of reporting </w:t>
      </w:r>
      <w:r w:rsidR="00BF014B" w:rsidRPr="00E915AA">
        <w:rPr>
          <w:rFonts w:ascii="Times New Roman" w:eastAsia="Yu Mincho" w:hAnsi="Times New Roman" w:cs="Times New Roman"/>
          <w:noProof/>
          <w:sz w:val="24"/>
          <w:szCs w:val="24"/>
          <w:lang w:val="en-GB" w:eastAsia="en-GB"/>
        </w:rPr>
        <w:t>requirements</w:t>
      </w:r>
      <w:r w:rsidR="00692D41" w:rsidRPr="00E915AA">
        <w:rPr>
          <w:rFonts w:ascii="Times New Roman" w:eastAsia="Yu Mincho" w:hAnsi="Times New Roman" w:cs="Times New Roman"/>
          <w:noProof/>
          <w:sz w:val="24"/>
          <w:szCs w:val="24"/>
          <w:lang w:val="en-GB" w:eastAsia="en-GB"/>
        </w:rPr>
        <w:t xml:space="preserve"> under the </w:t>
      </w:r>
      <w:r w:rsidR="00BF014B" w:rsidRPr="00E915AA">
        <w:rPr>
          <w:rFonts w:ascii="Times New Roman" w:eastAsia="Yu Mincho" w:hAnsi="Times New Roman" w:cs="Times New Roman"/>
          <w:noProof/>
          <w:sz w:val="24"/>
          <w:szCs w:val="24"/>
          <w:lang w:val="en-GB" w:eastAsia="en-GB"/>
        </w:rPr>
        <w:t xml:space="preserve">JOBS </w:t>
      </w:r>
      <w:r w:rsidR="00692D41" w:rsidRPr="00E915AA">
        <w:rPr>
          <w:rFonts w:ascii="Times New Roman" w:eastAsia="Yu Mincho" w:hAnsi="Times New Roman" w:cs="Times New Roman"/>
          <w:noProof/>
          <w:sz w:val="24"/>
          <w:szCs w:val="24"/>
          <w:lang w:val="en-GB" w:eastAsia="en-GB"/>
        </w:rPr>
        <w:t xml:space="preserve">Act </w:t>
      </w:r>
      <w:r w:rsidR="00C153B0" w:rsidRPr="00E915AA">
        <w:rPr>
          <w:rFonts w:ascii="Times New Roman" w:eastAsia="Yu Mincho" w:hAnsi="Times New Roman" w:cs="Times New Roman"/>
          <w:noProof/>
          <w:sz w:val="24"/>
          <w:szCs w:val="24"/>
          <w:lang w:val="en-GB" w:eastAsia="en-GB"/>
        </w:rPr>
        <w:t xml:space="preserve">increased </w:t>
      </w:r>
      <w:r w:rsidR="00692D41" w:rsidRPr="00E915AA">
        <w:rPr>
          <w:rFonts w:ascii="Times New Roman" w:eastAsia="Yu Mincho" w:hAnsi="Times New Roman" w:cs="Times New Roman"/>
          <w:noProof/>
          <w:sz w:val="24"/>
          <w:szCs w:val="24"/>
          <w:lang w:val="en-GB" w:eastAsia="en-GB"/>
        </w:rPr>
        <w:t xml:space="preserve">information uncertainty and </w:t>
      </w:r>
      <w:r w:rsidR="00C153B0" w:rsidRPr="00E915AA">
        <w:rPr>
          <w:rFonts w:ascii="Times New Roman" w:eastAsia="Yu Mincho" w:hAnsi="Times New Roman" w:cs="Times New Roman"/>
          <w:noProof/>
          <w:sz w:val="24"/>
          <w:szCs w:val="24"/>
          <w:lang w:val="en-GB" w:eastAsia="en-GB"/>
        </w:rPr>
        <w:t xml:space="preserve">resulted </w:t>
      </w:r>
      <w:r w:rsidR="00E57BAE" w:rsidRPr="00E915AA">
        <w:rPr>
          <w:rFonts w:ascii="Times New Roman" w:eastAsia="Yu Mincho" w:hAnsi="Times New Roman" w:cs="Times New Roman"/>
          <w:noProof/>
          <w:sz w:val="24"/>
          <w:szCs w:val="24"/>
          <w:lang w:val="en-GB" w:eastAsia="en-GB"/>
        </w:rPr>
        <w:t>in</w:t>
      </w:r>
      <w:r w:rsidR="00692D41" w:rsidRPr="00E915AA">
        <w:rPr>
          <w:rFonts w:ascii="Times New Roman" w:eastAsia="Yu Mincho" w:hAnsi="Times New Roman" w:cs="Times New Roman"/>
          <w:noProof/>
          <w:sz w:val="24"/>
          <w:szCs w:val="24"/>
          <w:lang w:val="en-GB" w:eastAsia="en-GB"/>
        </w:rPr>
        <w:t xml:space="preserve"> higher underpricing for EGC</w:t>
      </w:r>
      <w:r w:rsidR="00E57BAE" w:rsidRPr="00E915AA">
        <w:rPr>
          <w:rFonts w:ascii="Times New Roman" w:eastAsia="Yu Mincho" w:hAnsi="Times New Roman" w:cs="Times New Roman"/>
          <w:noProof/>
          <w:sz w:val="24"/>
          <w:szCs w:val="24"/>
          <w:lang w:val="en-GB" w:eastAsia="en-GB"/>
        </w:rPr>
        <w:t xml:space="preserve"> IPOs</w:t>
      </w:r>
      <w:r w:rsidR="007C0146" w:rsidRPr="00E915AA">
        <w:rPr>
          <w:rFonts w:ascii="Times New Roman" w:eastAsia="Yu Mincho" w:hAnsi="Times New Roman" w:cs="Times New Roman"/>
          <w:noProof/>
          <w:sz w:val="24"/>
          <w:szCs w:val="24"/>
          <w:lang w:val="en-GB" w:eastAsia="en-GB"/>
        </w:rPr>
        <w:t xml:space="preserve">. </w:t>
      </w:r>
      <w:r w:rsidR="002C6719" w:rsidRPr="00E915AA">
        <w:rPr>
          <w:rFonts w:ascii="Times New Roman" w:eastAsia="Yu Mincho" w:hAnsi="Times New Roman" w:cs="Times New Roman"/>
          <w:noProof/>
          <w:sz w:val="24"/>
          <w:szCs w:val="24"/>
          <w:lang w:val="en-GB" w:eastAsia="en-GB"/>
        </w:rPr>
        <w:fldChar w:fldCharType="begin" w:fldLock="1"/>
      </w:r>
      <w:r w:rsidR="002C6719" w:rsidRPr="00E915AA">
        <w:rPr>
          <w:rFonts w:ascii="Times New Roman" w:eastAsia="Yu Mincho" w:hAnsi="Times New Roman" w:cs="Times New Roman"/>
          <w:noProof/>
          <w:sz w:val="24"/>
          <w:szCs w:val="24"/>
          <w:lang w:val="en-GB" w:eastAsia="en-GB"/>
        </w:rPr>
        <w:instrText>ADDIN CSL_CITATION {"citationItems":[{"id":"ITEM-1","itemData":{"author":[{"dropping-particle":"","family":"Agarwal","given":"S.","non-dropping-particle":"","parse-names":false,"suffix":""},{"dropping-particle":"","family":"Gupta","given":"S.","non-dropping-particle":"","parse-names":false,"suffix":""},{"dropping-particle":"","family":"Israelsen","given":"R. D.","non-dropping-particle":"","parse-names":false,"suffix":""}],"container-title":"Kelley School of Business Research Paper No. 17-4","id":"ITEM-1","issued":{"date-parts":[["2017"]]},"title":"Public and private information: Firm disclosure, SEC letters, and the JOBS Act","type":"article-journal"},"uris":["http://www.mendeley.com/documents/?uuid=3e33ca0d-33d1-4254-82ac-0ff3e8a888b2"]}],"mendeley":{"formattedCitation":"(Agarwal et al., 2017)","manualFormatting":"Agarwal et al. (2017)","plainTextFormattedCitation":"(Agarwal et al., 2017)","previouslyFormattedCitation":"(Agarwal et al., 2017)"},"properties":{"noteIndex":0},"schema":"https://github.com/citation-style-language/schema/raw/master/csl-citation.json"}</w:instrText>
      </w:r>
      <w:r w:rsidR="002C6719" w:rsidRPr="00E915AA">
        <w:rPr>
          <w:rFonts w:ascii="Times New Roman" w:eastAsia="Yu Mincho" w:hAnsi="Times New Roman" w:cs="Times New Roman"/>
          <w:noProof/>
          <w:sz w:val="24"/>
          <w:szCs w:val="24"/>
          <w:lang w:val="en-GB" w:eastAsia="en-GB"/>
        </w:rPr>
        <w:fldChar w:fldCharType="separate"/>
      </w:r>
      <w:r w:rsidR="002C6719" w:rsidRPr="00E915AA">
        <w:rPr>
          <w:rFonts w:ascii="Times New Roman" w:eastAsia="Yu Mincho" w:hAnsi="Times New Roman" w:cs="Times New Roman"/>
          <w:noProof/>
          <w:sz w:val="24"/>
          <w:szCs w:val="24"/>
          <w:lang w:val="en-GB" w:eastAsia="en-GB"/>
        </w:rPr>
        <w:t>Agarwal et al. (2017)</w:t>
      </w:r>
      <w:r w:rsidR="002C6719" w:rsidRPr="00E915AA">
        <w:rPr>
          <w:rFonts w:ascii="Times New Roman" w:eastAsia="Yu Mincho" w:hAnsi="Times New Roman" w:cs="Times New Roman"/>
          <w:noProof/>
          <w:sz w:val="24"/>
          <w:szCs w:val="24"/>
          <w:lang w:val="en-GB" w:eastAsia="en-GB"/>
        </w:rPr>
        <w:fldChar w:fldCharType="end"/>
      </w:r>
      <w:r w:rsidR="002C6719" w:rsidRPr="00E915AA">
        <w:rPr>
          <w:rFonts w:ascii="Times New Roman" w:eastAsia="Yu Mincho" w:hAnsi="Times New Roman" w:cs="Times New Roman"/>
          <w:noProof/>
          <w:sz w:val="24"/>
          <w:szCs w:val="24"/>
          <w:lang w:val="en-GB" w:eastAsia="en-GB"/>
        </w:rPr>
        <w:t xml:space="preserve"> provide evidence that under the passing of the JOBS Act, SEC comment letters </w:t>
      </w:r>
      <w:r w:rsidR="00461D3F" w:rsidRPr="00E915AA">
        <w:rPr>
          <w:rFonts w:ascii="Times New Roman" w:eastAsia="Yu Mincho" w:hAnsi="Times New Roman" w:cs="Times New Roman"/>
          <w:noProof/>
          <w:sz w:val="24"/>
          <w:szCs w:val="24"/>
          <w:lang w:val="en-GB" w:eastAsia="en-GB"/>
        </w:rPr>
        <w:t xml:space="preserve">are </w:t>
      </w:r>
      <w:r w:rsidR="002C6719" w:rsidRPr="00E915AA">
        <w:rPr>
          <w:rFonts w:ascii="Times New Roman" w:eastAsia="Yu Mincho" w:hAnsi="Times New Roman" w:cs="Times New Roman"/>
          <w:noProof/>
          <w:sz w:val="24"/>
          <w:szCs w:val="24"/>
          <w:lang w:val="en-GB" w:eastAsia="en-GB"/>
        </w:rPr>
        <w:t xml:space="preserve">more negative and forceful </w:t>
      </w:r>
      <w:r w:rsidR="00461D3F" w:rsidRPr="00E915AA">
        <w:rPr>
          <w:rFonts w:ascii="Times New Roman" w:eastAsia="Yu Mincho" w:hAnsi="Times New Roman" w:cs="Times New Roman"/>
          <w:noProof/>
          <w:sz w:val="24"/>
          <w:szCs w:val="24"/>
          <w:lang w:val="en-GB" w:eastAsia="en-GB"/>
        </w:rPr>
        <w:t xml:space="preserve">in tone, </w:t>
      </w:r>
      <w:r w:rsidR="002C6719" w:rsidRPr="00E915AA">
        <w:rPr>
          <w:rFonts w:ascii="Times New Roman" w:eastAsia="Yu Mincho" w:hAnsi="Times New Roman" w:cs="Times New Roman"/>
          <w:noProof/>
          <w:sz w:val="24"/>
          <w:szCs w:val="24"/>
          <w:lang w:val="en-GB" w:eastAsia="en-GB"/>
        </w:rPr>
        <w:t xml:space="preserve">and concentrate more on accounting information </w:t>
      </w:r>
      <w:r w:rsidR="002C6719" w:rsidRPr="00E915AA">
        <w:rPr>
          <w:rFonts w:ascii="Times New Roman" w:eastAsia="Yu Mincho" w:hAnsi="Times New Roman" w:cs="Times New Roman"/>
          <w:noProof/>
          <w:sz w:val="24"/>
          <w:szCs w:val="24"/>
          <w:lang w:val="en-GB" w:eastAsia="en-GB"/>
        </w:rPr>
        <w:lastRenderedPageBreak/>
        <w:t xml:space="preserve">in spite of </w:t>
      </w:r>
      <w:r w:rsidR="00DC044F" w:rsidRPr="00E915AA">
        <w:rPr>
          <w:rFonts w:ascii="Times New Roman" w:eastAsia="Yu Mincho" w:hAnsi="Times New Roman" w:cs="Times New Roman"/>
          <w:noProof/>
          <w:sz w:val="24"/>
          <w:szCs w:val="24"/>
          <w:lang w:val="en-GB" w:eastAsia="en-GB"/>
        </w:rPr>
        <w:t xml:space="preserve">the </w:t>
      </w:r>
      <w:r w:rsidR="002C6719" w:rsidRPr="00E915AA">
        <w:rPr>
          <w:rFonts w:ascii="Times New Roman" w:eastAsia="Yu Mincho" w:hAnsi="Times New Roman" w:cs="Times New Roman"/>
          <w:noProof/>
          <w:sz w:val="24"/>
          <w:szCs w:val="24"/>
          <w:lang w:val="en-GB" w:eastAsia="en-GB"/>
        </w:rPr>
        <w:t xml:space="preserve">relaxation </w:t>
      </w:r>
      <w:r w:rsidR="006E368B" w:rsidRPr="00E915AA">
        <w:rPr>
          <w:rFonts w:ascii="Times New Roman" w:eastAsia="Yu Mincho" w:hAnsi="Times New Roman" w:cs="Times New Roman"/>
          <w:noProof/>
          <w:sz w:val="24"/>
          <w:szCs w:val="24"/>
          <w:lang w:val="en-GB" w:eastAsia="en-GB"/>
        </w:rPr>
        <w:t xml:space="preserve">of disclosure requirements </w:t>
      </w:r>
      <w:r w:rsidR="002C6719" w:rsidRPr="00E915AA">
        <w:rPr>
          <w:rFonts w:ascii="Times New Roman" w:eastAsia="Yu Mincho" w:hAnsi="Times New Roman" w:cs="Times New Roman"/>
          <w:noProof/>
          <w:sz w:val="24"/>
          <w:szCs w:val="24"/>
          <w:lang w:val="en-GB" w:eastAsia="en-GB"/>
        </w:rPr>
        <w:t>under the Act</w:t>
      </w:r>
      <w:r w:rsidR="00AE6FC4" w:rsidRPr="00E915AA">
        <w:rPr>
          <w:rFonts w:ascii="Times New Roman" w:eastAsia="Yu Mincho" w:hAnsi="Times New Roman" w:cs="Times New Roman"/>
          <w:noProof/>
          <w:sz w:val="24"/>
          <w:szCs w:val="24"/>
          <w:lang w:val="en-GB" w:eastAsia="en-GB"/>
        </w:rPr>
        <w:t>.</w:t>
      </w:r>
      <w:r w:rsidR="002C6719" w:rsidRPr="00E915AA">
        <w:rPr>
          <w:rFonts w:ascii="Times New Roman" w:eastAsia="Yu Mincho" w:hAnsi="Times New Roman" w:cs="Times New Roman"/>
          <w:noProof/>
          <w:sz w:val="24"/>
          <w:szCs w:val="24"/>
          <w:lang w:val="en-GB" w:eastAsia="en-GB"/>
        </w:rPr>
        <w:t xml:space="preserve"> </w:t>
      </w:r>
      <w:r w:rsidR="00AE6FC4" w:rsidRPr="00E915AA">
        <w:rPr>
          <w:rFonts w:ascii="Times New Roman" w:eastAsia="Yu Mincho" w:hAnsi="Times New Roman" w:cs="Times New Roman"/>
          <w:noProof/>
          <w:sz w:val="24"/>
          <w:szCs w:val="24"/>
          <w:lang w:val="en-GB" w:eastAsia="en-GB"/>
        </w:rPr>
        <w:t xml:space="preserve">These findings </w:t>
      </w:r>
      <w:r w:rsidR="002C6719" w:rsidRPr="00E915AA">
        <w:rPr>
          <w:rFonts w:ascii="Times New Roman" w:eastAsia="Yu Mincho" w:hAnsi="Times New Roman" w:cs="Times New Roman"/>
          <w:noProof/>
          <w:sz w:val="24"/>
          <w:szCs w:val="24"/>
          <w:lang w:val="en-GB" w:eastAsia="en-GB"/>
        </w:rPr>
        <w:t xml:space="preserve">suggest </w:t>
      </w:r>
      <w:r w:rsidR="00412371" w:rsidRPr="00E915AA">
        <w:rPr>
          <w:rFonts w:ascii="Times New Roman" w:eastAsia="Yu Mincho" w:hAnsi="Times New Roman" w:cs="Times New Roman"/>
          <w:noProof/>
          <w:sz w:val="24"/>
          <w:szCs w:val="24"/>
          <w:lang w:val="en-GB" w:eastAsia="en-GB"/>
        </w:rPr>
        <w:t xml:space="preserve">that </w:t>
      </w:r>
      <w:r w:rsidR="002C6719" w:rsidRPr="00E915AA">
        <w:rPr>
          <w:rFonts w:ascii="Times New Roman" w:eastAsia="Yu Mincho" w:hAnsi="Times New Roman" w:cs="Times New Roman"/>
          <w:noProof/>
          <w:sz w:val="24"/>
          <w:szCs w:val="24"/>
          <w:lang w:val="en-GB" w:eastAsia="en-GB"/>
        </w:rPr>
        <w:t xml:space="preserve">the SEC became more vigilant </w:t>
      </w:r>
      <w:r w:rsidR="0091157C" w:rsidRPr="00E915AA">
        <w:rPr>
          <w:rFonts w:ascii="Times New Roman" w:eastAsia="Yu Mincho" w:hAnsi="Times New Roman" w:cs="Times New Roman"/>
          <w:noProof/>
          <w:sz w:val="24"/>
          <w:szCs w:val="24"/>
          <w:lang w:val="en-GB" w:eastAsia="en-GB"/>
        </w:rPr>
        <w:t xml:space="preserve">of </w:t>
      </w:r>
      <w:r w:rsidR="002C6719" w:rsidRPr="00E915AA">
        <w:rPr>
          <w:rFonts w:ascii="Times New Roman" w:eastAsia="Yu Mincho" w:hAnsi="Times New Roman" w:cs="Times New Roman"/>
          <w:noProof/>
          <w:sz w:val="24"/>
          <w:szCs w:val="24"/>
          <w:lang w:val="en-GB" w:eastAsia="en-GB"/>
        </w:rPr>
        <w:t xml:space="preserve">potential informational problems under the JOBS Act. In addition, </w:t>
      </w:r>
      <w:r w:rsidR="001D464F" w:rsidRPr="00E915AA">
        <w:rPr>
          <w:rFonts w:ascii="Times New Roman" w:eastAsia="Yu Mincho" w:hAnsi="Times New Roman" w:cs="Times New Roman"/>
          <w:noProof/>
          <w:sz w:val="24"/>
          <w:szCs w:val="24"/>
          <w:lang w:val="en-GB" w:eastAsia="en-GB"/>
        </w:rPr>
        <w:t>Tran et al. (202</w:t>
      </w:r>
      <w:r w:rsidR="008F240A" w:rsidRPr="00E915AA">
        <w:rPr>
          <w:rFonts w:ascii="Times New Roman" w:eastAsia="Yu Mincho" w:hAnsi="Times New Roman" w:cs="Times New Roman"/>
          <w:noProof/>
          <w:sz w:val="24"/>
          <w:szCs w:val="24"/>
          <w:lang w:val="en-GB" w:eastAsia="en-GB"/>
        </w:rPr>
        <w:t>2</w:t>
      </w:r>
      <w:r w:rsidR="001D464F" w:rsidRPr="00E915AA">
        <w:rPr>
          <w:rFonts w:ascii="Times New Roman" w:eastAsia="Yu Mincho" w:hAnsi="Times New Roman" w:cs="Times New Roman"/>
          <w:noProof/>
          <w:sz w:val="24"/>
          <w:szCs w:val="24"/>
          <w:lang w:val="en-GB" w:eastAsia="en-GB"/>
        </w:rPr>
        <w:t>) observe</w:t>
      </w:r>
      <w:r w:rsidR="002C6719" w:rsidRPr="00E915AA">
        <w:rPr>
          <w:rFonts w:ascii="Times New Roman" w:eastAsia="Yu Mincho" w:hAnsi="Times New Roman" w:cs="Times New Roman"/>
          <w:noProof/>
          <w:sz w:val="24"/>
          <w:szCs w:val="24"/>
          <w:lang w:val="en-GB" w:eastAsia="en-GB"/>
        </w:rPr>
        <w:t xml:space="preserve"> that the decrease in </w:t>
      </w:r>
      <w:r w:rsidR="00DC044F" w:rsidRPr="00E915AA">
        <w:rPr>
          <w:rFonts w:ascii="Times New Roman" w:eastAsia="Yu Mincho" w:hAnsi="Times New Roman" w:cs="Times New Roman"/>
          <w:noProof/>
          <w:sz w:val="24"/>
          <w:szCs w:val="24"/>
          <w:lang w:val="en-GB" w:eastAsia="en-GB"/>
        </w:rPr>
        <w:t xml:space="preserve">the </w:t>
      </w:r>
      <w:r w:rsidR="002C6719" w:rsidRPr="00E915AA">
        <w:rPr>
          <w:rFonts w:ascii="Times New Roman" w:eastAsia="Yu Mincho" w:hAnsi="Times New Roman" w:cs="Times New Roman"/>
          <w:noProof/>
          <w:sz w:val="24"/>
          <w:szCs w:val="24"/>
          <w:lang w:val="en-GB" w:eastAsia="en-GB"/>
        </w:rPr>
        <w:t xml:space="preserve">extensiveness of SEC reviews under the JOBS Act is less pronounced in markets with higher concentration, where information uncertainty </w:t>
      </w:r>
      <w:r w:rsidR="000D7C9A" w:rsidRPr="00E915AA">
        <w:rPr>
          <w:rFonts w:ascii="Times New Roman" w:eastAsia="Yu Mincho" w:hAnsi="Times New Roman" w:cs="Times New Roman"/>
          <w:noProof/>
          <w:sz w:val="24"/>
          <w:szCs w:val="24"/>
          <w:lang w:val="en-GB" w:eastAsia="en-GB"/>
        </w:rPr>
        <w:t xml:space="preserve">is higher </w:t>
      </w:r>
      <w:r w:rsidR="002C6719" w:rsidRPr="00E915AA">
        <w:rPr>
          <w:rFonts w:ascii="Times New Roman" w:eastAsia="Yu Mincho" w:hAnsi="Times New Roman" w:cs="Times New Roman"/>
          <w:noProof/>
          <w:sz w:val="24"/>
          <w:szCs w:val="24"/>
          <w:lang w:val="en-GB" w:eastAsia="en-GB"/>
        </w:rPr>
        <w:t xml:space="preserve">due to greater proprietary costs of disclosure (Robinson et al., 2011; Ali et al., 2014). Therefore, the </w:t>
      </w:r>
      <w:r w:rsidR="002451E0" w:rsidRPr="00E915AA">
        <w:rPr>
          <w:rFonts w:ascii="Times New Roman" w:eastAsia="Yu Mincho" w:hAnsi="Times New Roman" w:cs="Times New Roman"/>
          <w:noProof/>
          <w:sz w:val="24"/>
          <w:szCs w:val="24"/>
          <w:lang w:val="en-GB" w:eastAsia="en-GB"/>
        </w:rPr>
        <w:t xml:space="preserve">third </w:t>
      </w:r>
      <w:r w:rsidR="002C6719" w:rsidRPr="00E915AA">
        <w:rPr>
          <w:rFonts w:ascii="Times New Roman" w:eastAsia="Yu Mincho" w:hAnsi="Times New Roman" w:cs="Times New Roman"/>
          <w:noProof/>
          <w:sz w:val="24"/>
          <w:szCs w:val="24"/>
          <w:lang w:val="en-GB" w:eastAsia="en-GB"/>
        </w:rPr>
        <w:t xml:space="preserve">hypothesis, in </w:t>
      </w:r>
      <w:r w:rsidR="00DC044F" w:rsidRPr="00E915AA">
        <w:rPr>
          <w:rFonts w:ascii="Times New Roman" w:eastAsia="Yu Mincho" w:hAnsi="Times New Roman" w:cs="Times New Roman"/>
          <w:noProof/>
          <w:sz w:val="24"/>
          <w:szCs w:val="24"/>
          <w:lang w:val="en-GB" w:eastAsia="en-GB"/>
        </w:rPr>
        <w:t xml:space="preserve">an </w:t>
      </w:r>
      <w:r w:rsidR="002C6719" w:rsidRPr="00E915AA">
        <w:rPr>
          <w:rFonts w:ascii="Times New Roman" w:eastAsia="Yu Mincho" w:hAnsi="Times New Roman" w:cs="Times New Roman"/>
          <w:noProof/>
          <w:sz w:val="24"/>
          <w:szCs w:val="24"/>
          <w:lang w:val="en-GB" w:eastAsia="en-GB"/>
        </w:rPr>
        <w:t>alternative form, is stated as follows.</w:t>
      </w:r>
    </w:p>
    <w:p w14:paraId="54B42373" w14:textId="1F5FD1BA" w:rsidR="002C6719" w:rsidRPr="00E915AA" w:rsidRDefault="002C6719" w:rsidP="002C6719">
      <w:pPr>
        <w:spacing w:before="240" w:after="240" w:line="360" w:lineRule="auto"/>
        <w:jc w:val="both"/>
        <w:rPr>
          <w:rFonts w:ascii="Times New Roman" w:eastAsia="Calibri" w:hAnsi="Times New Roman" w:cs="Times New Roman"/>
          <w:b/>
          <w:i/>
          <w:sz w:val="24"/>
          <w:szCs w:val="24"/>
          <w:lang w:val="en-GB" w:eastAsia="en-GB"/>
        </w:rPr>
      </w:pPr>
      <w:r w:rsidRPr="00E915AA">
        <w:rPr>
          <w:rFonts w:ascii="Times New Roman" w:eastAsia="Calibri" w:hAnsi="Times New Roman" w:cs="Times New Roman"/>
          <w:b/>
          <w:i/>
          <w:sz w:val="24"/>
          <w:szCs w:val="24"/>
          <w:lang w:val="en-GB" w:eastAsia="en-GB"/>
        </w:rPr>
        <w:t>H</w:t>
      </w:r>
      <w:r w:rsidR="002451E0" w:rsidRPr="00E915AA">
        <w:rPr>
          <w:rFonts w:ascii="Times New Roman" w:eastAsia="Calibri" w:hAnsi="Times New Roman" w:cs="Times New Roman"/>
          <w:b/>
          <w:i/>
          <w:sz w:val="24"/>
          <w:szCs w:val="24"/>
          <w:lang w:val="en-GB" w:eastAsia="en-GB"/>
        </w:rPr>
        <w:t>3</w:t>
      </w:r>
      <w:r w:rsidRPr="00E915AA">
        <w:rPr>
          <w:rFonts w:ascii="Times New Roman" w:eastAsia="Calibri" w:hAnsi="Times New Roman" w:cs="Times New Roman"/>
          <w:b/>
          <w:i/>
          <w:sz w:val="24"/>
          <w:szCs w:val="24"/>
          <w:vertAlign w:val="subscript"/>
          <w:lang w:val="en-GB" w:eastAsia="en-GB"/>
        </w:rPr>
        <w:t>alternative</w:t>
      </w:r>
      <w:r w:rsidRPr="00E915AA">
        <w:rPr>
          <w:rFonts w:ascii="Times New Roman" w:eastAsia="Calibri" w:hAnsi="Times New Roman" w:cs="Times New Roman"/>
          <w:b/>
          <w:i/>
          <w:sz w:val="24"/>
          <w:szCs w:val="24"/>
          <w:lang w:val="en-GB" w:eastAsia="en-GB"/>
        </w:rPr>
        <w:t>:</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i/>
          <w:sz w:val="24"/>
          <w:szCs w:val="24"/>
          <w:lang w:val="en-GB" w:eastAsia="en-GB"/>
        </w:rPr>
        <w:t>The increase in SEC review extensiveness for</w:t>
      </w:r>
      <w:r w:rsidR="00770B53"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i/>
          <w:sz w:val="24"/>
          <w:szCs w:val="24"/>
          <w:lang w:val="en-GB" w:eastAsia="en-GB"/>
        </w:rPr>
        <w:t>IPOs having higher level of income-increasing earnings management is more pronounced under the JOBS Act.</w:t>
      </w:r>
      <w:r w:rsidRPr="00E915AA">
        <w:rPr>
          <w:rFonts w:ascii="Times New Roman" w:eastAsia="Calibri" w:hAnsi="Times New Roman" w:cs="Times New Roman"/>
          <w:b/>
          <w:i/>
          <w:sz w:val="24"/>
          <w:szCs w:val="24"/>
          <w:lang w:val="en-GB" w:eastAsia="en-GB"/>
        </w:rPr>
        <w:t xml:space="preserve"> </w:t>
      </w:r>
    </w:p>
    <w:p w14:paraId="1DC0E678" w14:textId="77777777" w:rsidR="002C6719" w:rsidRPr="00E915AA" w:rsidRDefault="002C6719" w:rsidP="006F305B">
      <w:pPr>
        <w:pStyle w:val="ListParagraph"/>
        <w:numPr>
          <w:ilvl w:val="0"/>
          <w:numId w:val="42"/>
        </w:numPr>
        <w:spacing w:before="240" w:after="240" w:line="360" w:lineRule="auto"/>
        <w:contextualSpacing w:val="0"/>
        <w:jc w:val="both"/>
        <w:outlineLvl w:val="0"/>
        <w:rPr>
          <w:rFonts w:ascii="Times New Roman" w:eastAsia="Calibri" w:hAnsi="Times New Roman" w:cs="Times New Roman"/>
          <w:b/>
          <w:sz w:val="24"/>
          <w:szCs w:val="24"/>
          <w:lang w:val="en-GB" w:eastAsia="en-GB"/>
        </w:rPr>
      </w:pPr>
      <w:bookmarkStart w:id="14" w:name="_Toc43219819"/>
      <w:bookmarkStart w:id="15" w:name="_Toc69749296"/>
      <w:r w:rsidRPr="00E915AA">
        <w:rPr>
          <w:rFonts w:ascii="Times New Roman" w:eastAsia="Calibri" w:hAnsi="Times New Roman" w:cs="Times New Roman"/>
          <w:b/>
          <w:sz w:val="24"/>
          <w:szCs w:val="24"/>
          <w:lang w:val="en-GB" w:eastAsia="en-GB"/>
        </w:rPr>
        <w:t>Research design</w:t>
      </w:r>
      <w:bookmarkEnd w:id="14"/>
      <w:bookmarkEnd w:id="15"/>
    </w:p>
    <w:p w14:paraId="0C564E75" w14:textId="77777777" w:rsidR="002C6719" w:rsidRPr="00E915AA" w:rsidRDefault="002C6719" w:rsidP="006F305B">
      <w:pPr>
        <w:pStyle w:val="ListParagraph"/>
        <w:numPr>
          <w:ilvl w:val="1"/>
          <w:numId w:val="42"/>
        </w:numPr>
        <w:spacing w:before="240" w:after="240" w:line="360" w:lineRule="auto"/>
        <w:ind w:left="810" w:hanging="540"/>
        <w:contextualSpacing w:val="0"/>
        <w:jc w:val="both"/>
        <w:outlineLvl w:val="1"/>
        <w:rPr>
          <w:rFonts w:ascii="Times New Roman" w:eastAsia="Calibri" w:hAnsi="Times New Roman" w:cs="Times New Roman"/>
          <w:b/>
          <w:bCs/>
          <w:iCs/>
          <w:sz w:val="24"/>
          <w:szCs w:val="24"/>
          <w:lang w:val="en-GB" w:eastAsia="en-GB"/>
        </w:rPr>
      </w:pPr>
      <w:bookmarkStart w:id="16" w:name="_Toc43219820"/>
      <w:bookmarkStart w:id="17" w:name="_Toc69749297"/>
      <w:r w:rsidRPr="00E915AA">
        <w:rPr>
          <w:rFonts w:ascii="Times New Roman" w:eastAsia="Calibri" w:hAnsi="Times New Roman" w:cs="Times New Roman"/>
          <w:b/>
          <w:bCs/>
          <w:iCs/>
          <w:sz w:val="24"/>
          <w:szCs w:val="24"/>
          <w:lang w:val="en-GB" w:eastAsia="en-GB"/>
        </w:rPr>
        <w:t>Sample selection</w:t>
      </w:r>
      <w:bookmarkEnd w:id="16"/>
      <w:bookmarkEnd w:id="17"/>
    </w:p>
    <w:p w14:paraId="660C8F35" w14:textId="6A216A3C" w:rsidR="002C6719" w:rsidRPr="00E915AA" w:rsidRDefault="00970B3B" w:rsidP="002C6719">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A</w:t>
      </w:r>
      <w:r w:rsidR="002C6719" w:rsidRPr="00E915AA">
        <w:rPr>
          <w:rFonts w:ascii="Times New Roman" w:eastAsia="Calibri" w:hAnsi="Times New Roman" w:cs="Times New Roman"/>
          <w:bCs/>
          <w:iCs/>
          <w:sz w:val="24"/>
          <w:szCs w:val="24"/>
          <w:lang w:val="en-GB" w:eastAsia="en-GB"/>
        </w:rPr>
        <w:t xml:space="preserve"> sample of </w:t>
      </w:r>
      <w:r w:rsidR="00855EC5" w:rsidRPr="00E915AA">
        <w:rPr>
          <w:rFonts w:ascii="Times New Roman" w:eastAsia="Calibri" w:hAnsi="Times New Roman" w:cs="Times New Roman"/>
          <w:bCs/>
          <w:iCs/>
          <w:sz w:val="24"/>
          <w:szCs w:val="24"/>
          <w:lang w:val="en-GB" w:eastAsia="en-GB"/>
        </w:rPr>
        <w:t>US</w:t>
      </w:r>
      <w:r w:rsidR="002C6719" w:rsidRPr="00E915AA">
        <w:rPr>
          <w:rFonts w:ascii="Times New Roman" w:eastAsia="Calibri" w:hAnsi="Times New Roman" w:cs="Times New Roman"/>
          <w:bCs/>
          <w:iCs/>
          <w:sz w:val="24"/>
          <w:szCs w:val="24"/>
          <w:lang w:val="en-GB" w:eastAsia="en-GB"/>
        </w:rPr>
        <w:t xml:space="preserve"> IPO filings on NYSE, NASDAQ and AMEX between 12</w:t>
      </w:r>
      <w:r w:rsidR="002C6719" w:rsidRPr="00E915AA">
        <w:rPr>
          <w:rFonts w:ascii="Times New Roman" w:eastAsia="Calibri" w:hAnsi="Times New Roman" w:cs="Times New Roman"/>
          <w:bCs/>
          <w:iCs/>
          <w:sz w:val="24"/>
          <w:szCs w:val="24"/>
          <w:vertAlign w:val="superscript"/>
          <w:lang w:val="en-GB" w:eastAsia="en-GB"/>
        </w:rPr>
        <w:t>th</w:t>
      </w:r>
      <w:r w:rsidR="002C6719" w:rsidRPr="00E915AA">
        <w:rPr>
          <w:rFonts w:ascii="Times New Roman" w:eastAsia="Calibri" w:hAnsi="Times New Roman" w:cs="Times New Roman"/>
          <w:bCs/>
          <w:iCs/>
          <w:sz w:val="24"/>
          <w:szCs w:val="24"/>
          <w:lang w:val="en-GB" w:eastAsia="en-GB"/>
        </w:rPr>
        <w:t xml:space="preserve"> May 2005 and 31</w:t>
      </w:r>
      <w:r w:rsidR="002C6719" w:rsidRPr="00E915AA">
        <w:rPr>
          <w:rFonts w:ascii="Times New Roman" w:eastAsia="Calibri" w:hAnsi="Times New Roman" w:cs="Times New Roman"/>
          <w:bCs/>
          <w:iCs/>
          <w:sz w:val="24"/>
          <w:szCs w:val="24"/>
          <w:vertAlign w:val="superscript"/>
          <w:lang w:val="en-GB" w:eastAsia="en-GB"/>
        </w:rPr>
        <w:t>st</w:t>
      </w:r>
      <w:r w:rsidR="002C6719" w:rsidRPr="00E915AA">
        <w:rPr>
          <w:rFonts w:ascii="Times New Roman" w:eastAsia="Calibri" w:hAnsi="Times New Roman" w:cs="Times New Roman"/>
          <w:bCs/>
          <w:iCs/>
          <w:sz w:val="24"/>
          <w:szCs w:val="24"/>
          <w:lang w:val="en-GB" w:eastAsia="en-GB"/>
        </w:rPr>
        <w:t xml:space="preserve"> December 2017 </w:t>
      </w:r>
      <w:r w:rsidRPr="00E915AA">
        <w:rPr>
          <w:rFonts w:ascii="Times New Roman" w:eastAsia="Calibri" w:hAnsi="Times New Roman" w:cs="Times New Roman"/>
          <w:bCs/>
          <w:iCs/>
          <w:sz w:val="24"/>
          <w:szCs w:val="24"/>
          <w:lang w:val="en-GB" w:eastAsia="en-GB"/>
        </w:rPr>
        <w:t xml:space="preserve">is obtained </w:t>
      </w:r>
      <w:r w:rsidR="002C6719" w:rsidRPr="00E915AA">
        <w:rPr>
          <w:rFonts w:ascii="Times New Roman" w:eastAsia="Calibri" w:hAnsi="Times New Roman" w:cs="Times New Roman"/>
          <w:bCs/>
          <w:iCs/>
          <w:sz w:val="24"/>
          <w:szCs w:val="24"/>
          <w:lang w:val="en-GB" w:eastAsia="en-GB"/>
        </w:rPr>
        <w:t xml:space="preserve">from the </w:t>
      </w:r>
      <w:r w:rsidR="00C06011" w:rsidRPr="00E915AA">
        <w:rPr>
          <w:rFonts w:ascii="Times New Roman" w:eastAsia="Calibri" w:hAnsi="Times New Roman" w:cs="Times New Roman"/>
          <w:bCs/>
          <w:iCs/>
          <w:sz w:val="24"/>
          <w:szCs w:val="24"/>
          <w:lang w:val="en-GB" w:eastAsia="en-GB"/>
        </w:rPr>
        <w:t>Refinitiv</w:t>
      </w:r>
      <w:r w:rsidR="002C6719" w:rsidRPr="00E915AA">
        <w:rPr>
          <w:rFonts w:ascii="Times New Roman" w:eastAsia="Calibri" w:hAnsi="Times New Roman" w:cs="Times New Roman"/>
          <w:bCs/>
          <w:iCs/>
          <w:sz w:val="24"/>
          <w:szCs w:val="24"/>
          <w:lang w:val="en-GB" w:eastAsia="en-GB"/>
        </w:rPr>
        <w:t xml:space="preserve"> Eikon New Issues database.</w:t>
      </w:r>
      <w:r w:rsidR="00D955E0" w:rsidRPr="00E915AA">
        <w:rPr>
          <w:rStyle w:val="FootnoteReference"/>
          <w:rFonts w:ascii="Times New Roman" w:eastAsia="Calibri" w:hAnsi="Times New Roman" w:cs="Times New Roman"/>
          <w:bCs/>
          <w:iCs/>
          <w:sz w:val="24"/>
          <w:szCs w:val="24"/>
          <w:lang w:val="en-GB" w:eastAsia="en-GB"/>
        </w:rPr>
        <w:footnoteReference w:id="5"/>
      </w:r>
      <w:r w:rsidR="002C6719" w:rsidRPr="00E915AA">
        <w:rPr>
          <w:rFonts w:ascii="Times New Roman" w:eastAsia="Calibri" w:hAnsi="Times New Roman" w:cs="Times New Roman"/>
          <w:bCs/>
          <w:iCs/>
          <w:sz w:val="24"/>
          <w:szCs w:val="24"/>
          <w:lang w:val="en-GB" w:eastAsia="en-GB"/>
        </w:rPr>
        <w:t xml:space="preserve"> IPOs with offering prices less than $5 per share, American Depositary Receipts (ADRs), financial firms, unit issues, simultaneous offerings, withdrawn IPOs and IPOs not </w:t>
      </w:r>
      <w:r w:rsidR="00C06011" w:rsidRPr="00E915AA">
        <w:rPr>
          <w:rFonts w:ascii="Times New Roman" w:eastAsia="Calibri" w:hAnsi="Times New Roman" w:cs="Times New Roman"/>
          <w:bCs/>
          <w:iCs/>
          <w:sz w:val="24"/>
          <w:szCs w:val="24"/>
          <w:lang w:val="en-GB" w:eastAsia="en-GB"/>
        </w:rPr>
        <w:t xml:space="preserve">filed under form </w:t>
      </w:r>
      <w:r w:rsidR="002C6719" w:rsidRPr="00E915AA">
        <w:rPr>
          <w:rFonts w:ascii="Times New Roman" w:eastAsia="Calibri" w:hAnsi="Times New Roman" w:cs="Times New Roman"/>
          <w:bCs/>
          <w:iCs/>
          <w:sz w:val="24"/>
          <w:szCs w:val="24"/>
          <w:lang w:val="en-GB" w:eastAsia="en-GB"/>
        </w:rPr>
        <w:t>S-1 are removed, similar to prior studies (</w:t>
      </w:r>
      <w:proofErr w:type="spellStart"/>
      <w:r w:rsidR="002C6719" w:rsidRPr="00E915AA">
        <w:rPr>
          <w:rFonts w:ascii="Times New Roman" w:eastAsia="Calibri" w:hAnsi="Times New Roman" w:cs="Times New Roman"/>
          <w:bCs/>
          <w:iCs/>
          <w:sz w:val="24"/>
          <w:szCs w:val="24"/>
          <w:lang w:val="en-GB" w:eastAsia="en-GB"/>
        </w:rPr>
        <w:t>Gounopoulos</w:t>
      </w:r>
      <w:proofErr w:type="spellEnd"/>
      <w:r w:rsidR="002C6719" w:rsidRPr="00E915AA">
        <w:rPr>
          <w:rFonts w:ascii="Times New Roman" w:eastAsia="Calibri" w:hAnsi="Times New Roman" w:cs="Times New Roman"/>
          <w:bCs/>
          <w:iCs/>
          <w:sz w:val="24"/>
          <w:szCs w:val="24"/>
          <w:lang w:val="en-GB" w:eastAsia="en-GB"/>
        </w:rPr>
        <w:t xml:space="preserve"> and Pham, 2017, 2018; Lee, 2011; Li and Liu, 2017; Sletten et al., 2018). This sample is then matched with accounting data from the </w:t>
      </w:r>
      <w:proofErr w:type="spellStart"/>
      <w:r w:rsidR="002C6719" w:rsidRPr="00E915AA">
        <w:rPr>
          <w:rFonts w:ascii="Times New Roman" w:eastAsia="Calibri" w:hAnsi="Times New Roman" w:cs="Times New Roman"/>
          <w:bCs/>
          <w:iCs/>
          <w:sz w:val="24"/>
          <w:szCs w:val="24"/>
          <w:lang w:val="en-GB" w:eastAsia="en-GB"/>
        </w:rPr>
        <w:t>Compustat</w:t>
      </w:r>
      <w:proofErr w:type="spellEnd"/>
      <w:r w:rsidR="002C6719" w:rsidRPr="00E915AA">
        <w:rPr>
          <w:rFonts w:ascii="Times New Roman" w:eastAsia="Calibri" w:hAnsi="Times New Roman" w:cs="Times New Roman"/>
          <w:bCs/>
          <w:iCs/>
          <w:sz w:val="24"/>
          <w:szCs w:val="24"/>
          <w:lang w:val="en-GB" w:eastAsia="en-GB"/>
        </w:rPr>
        <w:t xml:space="preserve"> and </w:t>
      </w:r>
      <w:r w:rsidR="00C83CC7" w:rsidRPr="00E915AA">
        <w:rPr>
          <w:rFonts w:ascii="Times New Roman" w:eastAsia="Calibri" w:hAnsi="Times New Roman" w:cs="Times New Roman"/>
          <w:bCs/>
          <w:iCs/>
          <w:sz w:val="24"/>
          <w:szCs w:val="24"/>
          <w:lang w:val="en-GB" w:eastAsia="en-GB"/>
        </w:rPr>
        <w:t>Refinitiv</w:t>
      </w:r>
      <w:r w:rsidR="002C6719" w:rsidRPr="00E915AA">
        <w:rPr>
          <w:rFonts w:ascii="Times New Roman" w:eastAsia="Calibri" w:hAnsi="Times New Roman" w:cs="Times New Roman"/>
          <w:bCs/>
          <w:iCs/>
          <w:sz w:val="24"/>
          <w:szCs w:val="24"/>
          <w:lang w:val="en-GB" w:eastAsia="en-GB"/>
        </w:rPr>
        <w:t xml:space="preserve"> Eikon databases. </w:t>
      </w:r>
    </w:p>
    <w:p w14:paraId="0ADEC0A5" w14:textId="767AA7D8" w:rsidR="002C6719" w:rsidRPr="00E915AA" w:rsidRDefault="002C6719" w:rsidP="002C6719">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The final sample </w:t>
      </w:r>
      <w:r w:rsidR="00E23FB2" w:rsidRPr="00E915AA">
        <w:rPr>
          <w:rFonts w:ascii="Times New Roman" w:eastAsia="Calibri" w:hAnsi="Times New Roman" w:cs="Times New Roman"/>
          <w:bCs/>
          <w:iCs/>
          <w:sz w:val="24"/>
          <w:szCs w:val="24"/>
          <w:lang w:val="en-GB" w:eastAsia="en-GB"/>
        </w:rPr>
        <w:t xml:space="preserve">comprises </w:t>
      </w:r>
      <w:r w:rsidRPr="00E915AA">
        <w:rPr>
          <w:rFonts w:ascii="Times New Roman" w:eastAsia="Calibri" w:hAnsi="Times New Roman" w:cs="Times New Roman"/>
          <w:bCs/>
          <w:iCs/>
          <w:sz w:val="24"/>
          <w:szCs w:val="24"/>
          <w:lang w:val="en-GB" w:eastAsia="en-GB"/>
        </w:rPr>
        <w:t>799 IPOs with non-missing data</w:t>
      </w:r>
      <w:r w:rsidR="009945A2" w:rsidRPr="00E915AA">
        <w:rPr>
          <w:rFonts w:ascii="Times New Roman" w:eastAsia="Calibri" w:hAnsi="Times New Roman" w:cs="Times New Roman"/>
          <w:bCs/>
          <w:iCs/>
          <w:sz w:val="24"/>
          <w:szCs w:val="24"/>
          <w:lang w:val="en-GB" w:eastAsia="en-GB"/>
        </w:rPr>
        <w:t xml:space="preserve">. </w:t>
      </w:r>
      <w:r w:rsidRPr="00E915AA">
        <w:rPr>
          <w:rFonts w:ascii="Times New Roman" w:eastAsia="Calibri" w:hAnsi="Times New Roman" w:cs="Times New Roman"/>
          <w:bCs/>
          <w:iCs/>
          <w:sz w:val="24"/>
          <w:szCs w:val="24"/>
          <w:lang w:val="en-GB" w:eastAsia="en-GB"/>
        </w:rPr>
        <w:t xml:space="preserve">Data for the SEC review attributes are hand collected from SEC comment letters issued for each IPO in the sample. For each IPO firm, the initial SEC comment letter for each IPO is obtained from the SEC’s EDGAR database. Specifically, SEC comment letters are identified as “UPLOAD” documents filed within the period from the filing date of initial S-1 to the IPO date, with the subject “Re: […] Registration Statement on Form S-1 [...]”. </w:t>
      </w:r>
      <w:r w:rsidR="00BC712E" w:rsidRPr="00E915AA">
        <w:rPr>
          <w:rFonts w:ascii="Times New Roman" w:eastAsia="Calibri" w:hAnsi="Times New Roman" w:cs="Times New Roman"/>
          <w:bCs/>
          <w:iCs/>
          <w:sz w:val="24"/>
          <w:szCs w:val="24"/>
          <w:lang w:val="en-GB" w:eastAsia="en-GB"/>
        </w:rPr>
        <w:t>D</w:t>
      </w:r>
      <w:r w:rsidRPr="00E915AA">
        <w:rPr>
          <w:rFonts w:ascii="Times New Roman" w:eastAsia="Calibri" w:hAnsi="Times New Roman" w:cs="Times New Roman"/>
          <w:bCs/>
          <w:iCs/>
          <w:sz w:val="24"/>
          <w:szCs w:val="24"/>
          <w:lang w:val="en-GB" w:eastAsia="en-GB"/>
        </w:rPr>
        <w:t>ate</w:t>
      </w:r>
      <w:r w:rsidR="00BC712E" w:rsidRPr="00E915AA">
        <w:rPr>
          <w:rFonts w:ascii="Times New Roman" w:eastAsia="Calibri" w:hAnsi="Times New Roman" w:cs="Times New Roman"/>
          <w:bCs/>
          <w:iCs/>
          <w:sz w:val="24"/>
          <w:szCs w:val="24"/>
          <w:lang w:val="en-GB" w:eastAsia="en-GB"/>
        </w:rPr>
        <w:t>s</w:t>
      </w:r>
      <w:r w:rsidRPr="00E915AA">
        <w:rPr>
          <w:rFonts w:ascii="Times New Roman" w:eastAsia="Calibri" w:hAnsi="Times New Roman" w:cs="Times New Roman"/>
          <w:bCs/>
          <w:iCs/>
          <w:sz w:val="24"/>
          <w:szCs w:val="24"/>
          <w:lang w:val="en-GB" w:eastAsia="en-GB"/>
        </w:rPr>
        <w:t xml:space="preserve"> of initial S-1 filings and IPO effective date</w:t>
      </w:r>
      <w:r w:rsidR="00BC712E" w:rsidRPr="00E915AA">
        <w:rPr>
          <w:rFonts w:ascii="Times New Roman" w:eastAsia="Calibri" w:hAnsi="Times New Roman" w:cs="Times New Roman"/>
          <w:bCs/>
          <w:iCs/>
          <w:sz w:val="24"/>
          <w:szCs w:val="24"/>
          <w:lang w:val="en-GB" w:eastAsia="en-GB"/>
        </w:rPr>
        <w:t>s</w:t>
      </w:r>
      <w:r w:rsidRPr="00E915AA">
        <w:rPr>
          <w:rFonts w:ascii="Times New Roman" w:eastAsia="Calibri" w:hAnsi="Times New Roman" w:cs="Times New Roman"/>
          <w:bCs/>
          <w:iCs/>
          <w:sz w:val="24"/>
          <w:szCs w:val="24"/>
          <w:lang w:val="en-GB" w:eastAsia="en-GB"/>
        </w:rPr>
        <w:t xml:space="preserve"> are collected from </w:t>
      </w:r>
      <w:r w:rsidR="00BC712E" w:rsidRPr="00E915AA">
        <w:rPr>
          <w:rFonts w:ascii="Times New Roman" w:eastAsia="Calibri" w:hAnsi="Times New Roman" w:cs="Times New Roman"/>
          <w:bCs/>
          <w:iCs/>
          <w:sz w:val="24"/>
          <w:szCs w:val="24"/>
          <w:lang w:val="en-GB" w:eastAsia="en-GB"/>
        </w:rPr>
        <w:t>Refinitiv</w:t>
      </w:r>
      <w:r w:rsidRPr="00E915AA">
        <w:rPr>
          <w:rFonts w:ascii="Times New Roman" w:eastAsia="Calibri" w:hAnsi="Times New Roman" w:cs="Times New Roman"/>
          <w:bCs/>
          <w:iCs/>
          <w:sz w:val="24"/>
          <w:szCs w:val="24"/>
          <w:lang w:val="en-GB" w:eastAsia="en-GB"/>
        </w:rPr>
        <w:t xml:space="preserve"> Eikon.</w:t>
      </w:r>
    </w:p>
    <w:p w14:paraId="1E912BFF" w14:textId="77777777" w:rsidR="002C6719" w:rsidRPr="00E915AA" w:rsidRDefault="002C6719" w:rsidP="006F305B">
      <w:pPr>
        <w:pStyle w:val="ListParagraph"/>
        <w:numPr>
          <w:ilvl w:val="1"/>
          <w:numId w:val="42"/>
        </w:numPr>
        <w:tabs>
          <w:tab w:val="left" w:pos="990"/>
        </w:tabs>
        <w:spacing w:before="240" w:after="240" w:line="360" w:lineRule="auto"/>
        <w:ind w:left="630" w:hanging="630"/>
        <w:jc w:val="both"/>
        <w:outlineLvl w:val="1"/>
        <w:rPr>
          <w:rFonts w:ascii="Times New Roman" w:eastAsia="Calibri" w:hAnsi="Times New Roman" w:cs="Times New Roman"/>
          <w:b/>
          <w:bCs/>
          <w:iCs/>
          <w:sz w:val="24"/>
          <w:szCs w:val="24"/>
          <w:lang w:val="en-GB" w:eastAsia="en-GB"/>
        </w:rPr>
      </w:pPr>
      <w:bookmarkStart w:id="18" w:name="_Toc43219821"/>
      <w:bookmarkStart w:id="19" w:name="_Toc69749298"/>
      <w:r w:rsidRPr="00E915AA">
        <w:rPr>
          <w:rFonts w:ascii="Times New Roman" w:eastAsia="Calibri" w:hAnsi="Times New Roman" w:cs="Times New Roman"/>
          <w:b/>
          <w:bCs/>
          <w:iCs/>
          <w:sz w:val="24"/>
          <w:szCs w:val="24"/>
          <w:lang w:val="en-GB" w:eastAsia="en-GB"/>
        </w:rPr>
        <w:t>Coding of SEC comment letters</w:t>
      </w:r>
    </w:p>
    <w:p w14:paraId="71409DD7" w14:textId="7941E99A" w:rsidR="002C6719" w:rsidRPr="00E915AA" w:rsidRDefault="0011764C"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lastRenderedPageBreak/>
        <w:t>M</w:t>
      </w:r>
      <w:r w:rsidR="002C6719" w:rsidRPr="00E915AA">
        <w:rPr>
          <w:rFonts w:ascii="Times New Roman" w:eastAsia="Times New Roman" w:hAnsi="Times New Roman" w:cs="Times New Roman"/>
          <w:sz w:val="24"/>
          <w:szCs w:val="24"/>
          <w:lang w:val="en-GB" w:eastAsia="en-GB"/>
        </w:rPr>
        <w:t>anual content analysis of themes covered in a training sample of comments from initial comment letters</w:t>
      </w:r>
      <w:r w:rsidR="00317E04" w:rsidRPr="00E915AA">
        <w:rPr>
          <w:rFonts w:ascii="Times New Roman" w:eastAsia="Times New Roman" w:hAnsi="Times New Roman" w:cs="Times New Roman"/>
          <w:sz w:val="24"/>
          <w:szCs w:val="24"/>
          <w:lang w:val="en-GB" w:eastAsia="en-GB"/>
        </w:rPr>
        <w:t xml:space="preserve"> is performed</w:t>
      </w:r>
      <w:r w:rsidR="002C6719" w:rsidRPr="00E915AA">
        <w:rPr>
          <w:rFonts w:ascii="Times New Roman" w:eastAsia="Times New Roman" w:hAnsi="Times New Roman" w:cs="Times New Roman"/>
          <w:sz w:val="24"/>
          <w:szCs w:val="24"/>
          <w:lang w:val="en-GB" w:eastAsia="en-GB"/>
        </w:rPr>
        <w:t>,</w:t>
      </w:r>
      <w:r w:rsidR="002C6719" w:rsidRPr="00E915AA">
        <w:rPr>
          <w:rFonts w:ascii="Times New Roman" w:eastAsia="Times New Roman" w:hAnsi="Times New Roman" w:cs="Times New Roman"/>
          <w:sz w:val="24"/>
          <w:szCs w:val="24"/>
          <w:vertAlign w:val="superscript"/>
          <w:lang w:val="en-GB" w:eastAsia="en-GB"/>
        </w:rPr>
        <w:footnoteReference w:id="6"/>
      </w:r>
      <w:r w:rsidR="002C6719" w:rsidRPr="00E915AA">
        <w:rPr>
          <w:rFonts w:ascii="Times New Roman" w:eastAsia="Times New Roman" w:hAnsi="Times New Roman" w:cs="Times New Roman"/>
          <w:sz w:val="24"/>
          <w:szCs w:val="24"/>
          <w:lang w:val="en-GB" w:eastAsia="en-GB"/>
        </w:rPr>
        <w:t xml:space="preserve"> </w:t>
      </w:r>
      <w:r w:rsidR="00317E04" w:rsidRPr="00E915AA">
        <w:rPr>
          <w:rFonts w:ascii="Times New Roman" w:eastAsia="Times New Roman" w:hAnsi="Times New Roman" w:cs="Times New Roman"/>
          <w:sz w:val="24"/>
          <w:szCs w:val="24"/>
          <w:lang w:val="en-GB" w:eastAsia="en-GB"/>
        </w:rPr>
        <w:t>then a</w:t>
      </w:r>
      <w:r w:rsidR="002C6719" w:rsidRPr="00E915AA">
        <w:rPr>
          <w:rFonts w:ascii="Times New Roman" w:eastAsia="Times New Roman" w:hAnsi="Times New Roman" w:cs="Times New Roman"/>
          <w:sz w:val="24"/>
          <w:szCs w:val="24"/>
          <w:lang w:val="en-GB" w:eastAsia="en-GB"/>
        </w:rPr>
        <w:t xml:space="preserve"> Naïve Bayes machine learning </w:t>
      </w:r>
      <w:r w:rsidR="00317E04" w:rsidRPr="00E915AA">
        <w:rPr>
          <w:rFonts w:ascii="Times New Roman" w:eastAsia="Times New Roman" w:hAnsi="Times New Roman" w:cs="Times New Roman"/>
          <w:sz w:val="24"/>
          <w:szCs w:val="24"/>
          <w:lang w:val="en-GB" w:eastAsia="en-GB"/>
        </w:rPr>
        <w:t xml:space="preserve">algorithm is employed </w:t>
      </w:r>
      <w:r w:rsidR="002C6719" w:rsidRPr="00E915AA">
        <w:rPr>
          <w:rFonts w:ascii="Times New Roman" w:eastAsia="Times New Roman" w:hAnsi="Times New Roman" w:cs="Times New Roman"/>
          <w:sz w:val="24"/>
          <w:szCs w:val="24"/>
          <w:lang w:val="en-GB" w:eastAsia="en-GB"/>
        </w:rPr>
        <w:t xml:space="preserve">to </w:t>
      </w:r>
      <w:r w:rsidR="00317E04" w:rsidRPr="00E915AA">
        <w:rPr>
          <w:rFonts w:ascii="Times New Roman" w:eastAsia="Times New Roman" w:hAnsi="Times New Roman" w:cs="Times New Roman"/>
          <w:sz w:val="24"/>
          <w:szCs w:val="24"/>
          <w:lang w:val="en-GB" w:eastAsia="en-GB"/>
        </w:rPr>
        <w:t xml:space="preserve">expand </w:t>
      </w:r>
      <w:r w:rsidR="002C6719" w:rsidRPr="00E915AA">
        <w:rPr>
          <w:rFonts w:ascii="Times New Roman" w:eastAsia="Times New Roman" w:hAnsi="Times New Roman" w:cs="Times New Roman"/>
          <w:sz w:val="24"/>
          <w:szCs w:val="24"/>
          <w:lang w:val="en-GB" w:eastAsia="en-GB"/>
        </w:rPr>
        <w:t xml:space="preserve">the coding to </w:t>
      </w:r>
      <w:r w:rsidR="00317E04" w:rsidRPr="00E915AA">
        <w:rPr>
          <w:rFonts w:ascii="Times New Roman" w:eastAsia="Times New Roman" w:hAnsi="Times New Roman" w:cs="Times New Roman"/>
          <w:sz w:val="24"/>
          <w:szCs w:val="24"/>
          <w:lang w:val="en-GB" w:eastAsia="en-GB"/>
        </w:rPr>
        <w:t xml:space="preserve">the </w:t>
      </w:r>
      <w:r w:rsidR="002C6719" w:rsidRPr="00E915AA">
        <w:rPr>
          <w:rFonts w:ascii="Times New Roman" w:eastAsia="Times New Roman" w:hAnsi="Times New Roman" w:cs="Times New Roman"/>
          <w:sz w:val="24"/>
          <w:szCs w:val="24"/>
          <w:lang w:val="en-GB" w:eastAsia="en-GB"/>
        </w:rPr>
        <w:t xml:space="preserve">full sample. We begin by adapting the coding scheme developed by </w:t>
      </w:r>
      <w:proofErr w:type="spellStart"/>
      <w:r w:rsidR="002C6719" w:rsidRPr="00E915AA">
        <w:rPr>
          <w:rFonts w:ascii="Times New Roman" w:eastAsia="Times New Roman" w:hAnsi="Times New Roman" w:cs="Times New Roman"/>
          <w:sz w:val="24"/>
          <w:szCs w:val="24"/>
          <w:lang w:val="en-GB" w:eastAsia="en-GB"/>
        </w:rPr>
        <w:t>Ertimur</w:t>
      </w:r>
      <w:proofErr w:type="spellEnd"/>
      <w:r w:rsidR="002C6719" w:rsidRPr="00E915AA">
        <w:rPr>
          <w:rFonts w:ascii="Times New Roman" w:eastAsia="Times New Roman" w:hAnsi="Times New Roman" w:cs="Times New Roman"/>
          <w:sz w:val="24"/>
          <w:szCs w:val="24"/>
          <w:lang w:val="en-GB" w:eastAsia="en-GB"/>
        </w:rPr>
        <w:t xml:space="preserve"> &amp; </w:t>
      </w:r>
      <w:proofErr w:type="spellStart"/>
      <w:r w:rsidR="002C6719" w:rsidRPr="00E915AA">
        <w:rPr>
          <w:rFonts w:ascii="Times New Roman" w:eastAsia="Times New Roman" w:hAnsi="Times New Roman" w:cs="Times New Roman"/>
          <w:sz w:val="24"/>
          <w:szCs w:val="24"/>
          <w:lang w:val="en-GB" w:eastAsia="en-GB"/>
        </w:rPr>
        <w:t>Nondorf</w:t>
      </w:r>
      <w:proofErr w:type="spellEnd"/>
      <w:r w:rsidR="002C6719" w:rsidRPr="00E915AA">
        <w:rPr>
          <w:rFonts w:ascii="Times New Roman" w:eastAsia="Times New Roman" w:hAnsi="Times New Roman" w:cs="Times New Roman"/>
          <w:sz w:val="24"/>
          <w:szCs w:val="24"/>
          <w:lang w:val="en-GB" w:eastAsia="en-GB"/>
        </w:rPr>
        <w:t xml:space="preserve"> (2006) to reflect seven main themes</w:t>
      </w:r>
      <w:r w:rsidR="00D30DDB" w:rsidRPr="00E915AA">
        <w:rPr>
          <w:rFonts w:ascii="Times New Roman" w:eastAsia="Times New Roman" w:hAnsi="Times New Roman" w:cs="Times New Roman"/>
          <w:sz w:val="24"/>
          <w:szCs w:val="24"/>
          <w:lang w:val="en-GB" w:eastAsia="en-GB"/>
        </w:rPr>
        <w:t xml:space="preserve"> </w:t>
      </w:r>
      <w:r w:rsidR="005319DA" w:rsidRPr="00E915AA">
        <w:rPr>
          <w:rFonts w:ascii="Times New Roman" w:eastAsia="Times New Roman" w:hAnsi="Times New Roman" w:cs="Times New Roman"/>
          <w:sz w:val="24"/>
          <w:szCs w:val="24"/>
          <w:lang w:val="en-GB" w:eastAsia="en-GB"/>
        </w:rPr>
        <w:t xml:space="preserve">typically </w:t>
      </w:r>
      <w:r w:rsidR="002C6719" w:rsidRPr="00E915AA">
        <w:rPr>
          <w:rFonts w:ascii="Times New Roman" w:eastAsia="Times New Roman" w:hAnsi="Times New Roman" w:cs="Times New Roman"/>
          <w:sz w:val="24"/>
          <w:szCs w:val="24"/>
          <w:lang w:val="en-GB" w:eastAsia="en-GB"/>
        </w:rPr>
        <w:t xml:space="preserve">reflected in SEC comments on S-1 filings, </w:t>
      </w:r>
      <w:proofErr w:type="gramStart"/>
      <w:r w:rsidR="002C6719" w:rsidRPr="00E915AA">
        <w:rPr>
          <w:rFonts w:ascii="Times New Roman" w:eastAsia="Times New Roman" w:hAnsi="Times New Roman" w:cs="Times New Roman"/>
          <w:sz w:val="24"/>
          <w:szCs w:val="24"/>
          <w:lang w:val="en-GB" w:eastAsia="en-GB"/>
        </w:rPr>
        <w:t>namely</w:t>
      </w:r>
      <w:r w:rsidR="005319DA" w:rsidRPr="00E915AA">
        <w:rPr>
          <w:rFonts w:ascii="Times New Roman" w:eastAsia="Times New Roman" w:hAnsi="Times New Roman" w:cs="Times New Roman"/>
          <w:sz w:val="24"/>
          <w:szCs w:val="24"/>
          <w:lang w:val="en-GB" w:eastAsia="en-GB"/>
        </w:rPr>
        <w:t>;</w:t>
      </w:r>
      <w:proofErr w:type="gramEnd"/>
      <w:r w:rsidR="005319DA" w:rsidRPr="00E915AA">
        <w:rPr>
          <w:rFonts w:ascii="Times New Roman" w:eastAsia="Times New Roman" w:hAnsi="Times New Roman" w:cs="Times New Roman"/>
          <w:sz w:val="24"/>
          <w:szCs w:val="24"/>
          <w:lang w:val="en-GB" w:eastAsia="en-GB"/>
        </w:rPr>
        <w:t xml:space="preserve"> (1)</w:t>
      </w:r>
      <w:r w:rsidR="002C6719" w:rsidRPr="00E915AA">
        <w:rPr>
          <w:rFonts w:ascii="Times New Roman" w:eastAsia="Times New Roman" w:hAnsi="Times New Roman" w:cs="Times New Roman"/>
          <w:sz w:val="24"/>
          <w:szCs w:val="24"/>
          <w:lang w:val="en-GB" w:eastAsia="en-GB"/>
        </w:rPr>
        <w:t xml:space="preserve"> core accounting; (2) non-core accounting; (3) offering-related; (4) business-related; (5) corporate governance-related; (6) disclosure-related; and (7) other. Each broad theme is then divided into a total of 45 individual headings, </w:t>
      </w:r>
      <w:r w:rsidR="00AE2C27" w:rsidRPr="00E915AA">
        <w:rPr>
          <w:rFonts w:ascii="Times New Roman" w:eastAsia="Times New Roman" w:hAnsi="Times New Roman" w:cs="Times New Roman"/>
          <w:sz w:val="24"/>
          <w:szCs w:val="24"/>
          <w:lang w:val="en-GB" w:eastAsia="en-GB"/>
        </w:rPr>
        <w:t xml:space="preserve">which are </w:t>
      </w:r>
      <w:r w:rsidR="002C6719" w:rsidRPr="00E915AA">
        <w:rPr>
          <w:rFonts w:ascii="Times New Roman" w:eastAsia="Times New Roman" w:hAnsi="Times New Roman" w:cs="Times New Roman"/>
          <w:sz w:val="24"/>
          <w:szCs w:val="24"/>
          <w:lang w:val="en-GB" w:eastAsia="en-GB"/>
        </w:rPr>
        <w:t>detailed in Appendix B.</w:t>
      </w:r>
      <w:r w:rsidR="00D33A9A" w:rsidRPr="00E915AA">
        <w:rPr>
          <w:rFonts w:ascii="Times New Roman" w:eastAsia="Times New Roman" w:hAnsi="Times New Roman" w:cs="Times New Roman"/>
          <w:sz w:val="24"/>
          <w:szCs w:val="24"/>
          <w:lang w:val="en-GB" w:eastAsia="en-GB"/>
        </w:rPr>
        <w:t xml:space="preserve"> A</w:t>
      </w:r>
      <w:r w:rsidR="002C6719" w:rsidRPr="00E915AA">
        <w:rPr>
          <w:rFonts w:ascii="Times New Roman" w:eastAsia="Times New Roman" w:hAnsi="Times New Roman" w:cs="Times New Roman"/>
          <w:sz w:val="24"/>
          <w:szCs w:val="24"/>
          <w:lang w:val="en-GB" w:eastAsia="en-GB"/>
        </w:rPr>
        <w:t xml:space="preserve"> sub-sample of 4,807 comments from a random sample of 261 comment letters </w:t>
      </w:r>
      <w:r w:rsidR="00DC044F" w:rsidRPr="00E915AA">
        <w:rPr>
          <w:rFonts w:ascii="Times New Roman" w:eastAsia="Times New Roman" w:hAnsi="Times New Roman" w:cs="Times New Roman"/>
          <w:sz w:val="24"/>
          <w:szCs w:val="24"/>
          <w:lang w:val="en-GB" w:eastAsia="en-GB"/>
        </w:rPr>
        <w:t>is</w:t>
      </w:r>
      <w:r w:rsidR="00D33A9A" w:rsidRPr="00E915AA">
        <w:rPr>
          <w:rFonts w:ascii="Times New Roman" w:eastAsia="Times New Roman" w:hAnsi="Times New Roman" w:cs="Times New Roman"/>
          <w:sz w:val="24"/>
          <w:szCs w:val="24"/>
          <w:lang w:val="en-GB" w:eastAsia="en-GB"/>
        </w:rPr>
        <w:t xml:space="preserve"> manually coded for</w:t>
      </w:r>
      <w:r w:rsidR="002C6719" w:rsidRPr="00E915AA">
        <w:rPr>
          <w:rFonts w:ascii="Times New Roman" w:eastAsia="Times New Roman" w:hAnsi="Times New Roman" w:cs="Times New Roman"/>
          <w:sz w:val="24"/>
          <w:szCs w:val="24"/>
          <w:lang w:val="en-GB" w:eastAsia="en-GB"/>
        </w:rPr>
        <w:t xml:space="preserve"> use as a training dataset</w:t>
      </w:r>
      <w:r w:rsidR="00D33A9A" w:rsidRPr="00E915AA">
        <w:rPr>
          <w:rFonts w:ascii="Times New Roman" w:eastAsia="Times New Roman" w:hAnsi="Times New Roman" w:cs="Times New Roman"/>
          <w:sz w:val="24"/>
          <w:szCs w:val="24"/>
          <w:lang w:val="en-GB" w:eastAsia="en-GB"/>
        </w:rPr>
        <w:t>. From this,</w:t>
      </w:r>
      <w:r w:rsidR="002C6719" w:rsidRPr="00E915AA">
        <w:rPr>
          <w:rFonts w:ascii="Times New Roman" w:eastAsia="Times New Roman" w:hAnsi="Times New Roman" w:cs="Times New Roman"/>
          <w:sz w:val="24"/>
          <w:szCs w:val="24"/>
          <w:lang w:val="en-GB" w:eastAsia="en-GB"/>
        </w:rPr>
        <w:t xml:space="preserve"> </w:t>
      </w:r>
      <w:r w:rsidR="00D33A9A" w:rsidRPr="00E915AA">
        <w:rPr>
          <w:rFonts w:ascii="Times New Roman" w:eastAsia="Times New Roman" w:hAnsi="Times New Roman" w:cs="Times New Roman"/>
          <w:sz w:val="24"/>
          <w:szCs w:val="24"/>
          <w:lang w:val="en-GB" w:eastAsia="en-GB"/>
        </w:rPr>
        <w:t>a</w:t>
      </w:r>
      <w:r w:rsidR="002C6719" w:rsidRPr="00E915AA">
        <w:rPr>
          <w:rFonts w:ascii="Times New Roman" w:eastAsia="Times New Roman" w:hAnsi="Times New Roman" w:cs="Times New Roman"/>
          <w:sz w:val="24"/>
          <w:szCs w:val="24"/>
          <w:lang w:val="en-GB" w:eastAsia="en-GB"/>
        </w:rPr>
        <w:t xml:space="preserve"> machine learning algorithm </w:t>
      </w:r>
      <w:r w:rsidR="00D33A9A" w:rsidRPr="00E915AA">
        <w:rPr>
          <w:rFonts w:ascii="Times New Roman" w:eastAsia="Times New Roman" w:hAnsi="Times New Roman" w:cs="Times New Roman"/>
          <w:sz w:val="24"/>
          <w:szCs w:val="24"/>
          <w:lang w:val="en-GB" w:eastAsia="en-GB"/>
        </w:rPr>
        <w:t xml:space="preserve">is developed to </w:t>
      </w:r>
      <w:r w:rsidR="002C6719" w:rsidRPr="00E915AA">
        <w:rPr>
          <w:rFonts w:ascii="Times New Roman" w:eastAsia="Times New Roman" w:hAnsi="Times New Roman" w:cs="Times New Roman"/>
          <w:sz w:val="24"/>
          <w:szCs w:val="24"/>
          <w:lang w:val="en-GB" w:eastAsia="en-GB"/>
        </w:rPr>
        <w:t xml:space="preserve">code the remaining 16,440 comments. </w:t>
      </w:r>
      <w:r w:rsidR="008D603C" w:rsidRPr="00E915AA">
        <w:rPr>
          <w:rFonts w:ascii="Times New Roman" w:eastAsia="Times New Roman" w:hAnsi="Times New Roman" w:cs="Times New Roman"/>
          <w:sz w:val="24"/>
          <w:szCs w:val="24"/>
          <w:lang w:val="en-GB" w:eastAsia="en-GB"/>
        </w:rPr>
        <w:t>T</w:t>
      </w:r>
      <w:r w:rsidR="002C6719" w:rsidRPr="00E915AA">
        <w:rPr>
          <w:rFonts w:ascii="Times New Roman" w:eastAsia="Times New Roman" w:hAnsi="Times New Roman" w:cs="Times New Roman"/>
          <w:sz w:val="24"/>
          <w:szCs w:val="24"/>
          <w:lang w:val="en-GB" w:eastAsia="en-GB"/>
        </w:rPr>
        <w:t>he Naïve Bayesian algorithm</w:t>
      </w:r>
      <w:r w:rsidR="008D603C" w:rsidRPr="00E915AA">
        <w:rPr>
          <w:rFonts w:ascii="Times New Roman" w:eastAsia="Times New Roman" w:hAnsi="Times New Roman" w:cs="Times New Roman"/>
          <w:sz w:val="24"/>
          <w:szCs w:val="24"/>
          <w:lang w:val="en-GB" w:eastAsia="en-GB"/>
        </w:rPr>
        <w:t xml:space="preserve"> is used for this</w:t>
      </w:r>
      <w:r w:rsidR="002C6719" w:rsidRPr="00E915AA">
        <w:rPr>
          <w:rFonts w:ascii="Times New Roman" w:eastAsia="Times New Roman" w:hAnsi="Times New Roman" w:cs="Times New Roman"/>
          <w:sz w:val="24"/>
          <w:szCs w:val="24"/>
          <w:lang w:val="en-GB" w:eastAsia="en-GB"/>
        </w:rPr>
        <w:t xml:space="preserve">, </w:t>
      </w:r>
      <w:r w:rsidR="008D603C" w:rsidRPr="00E915AA">
        <w:rPr>
          <w:rFonts w:ascii="Times New Roman" w:eastAsia="Times New Roman" w:hAnsi="Times New Roman" w:cs="Times New Roman"/>
          <w:sz w:val="24"/>
          <w:szCs w:val="24"/>
          <w:lang w:val="en-GB" w:eastAsia="en-GB"/>
        </w:rPr>
        <w:t xml:space="preserve">which is </w:t>
      </w:r>
      <w:r w:rsidR="002C6719" w:rsidRPr="00E915AA">
        <w:rPr>
          <w:rFonts w:ascii="Times New Roman" w:eastAsia="Times New Roman" w:hAnsi="Times New Roman" w:cs="Times New Roman"/>
          <w:sz w:val="24"/>
          <w:szCs w:val="24"/>
          <w:lang w:val="en-GB" w:eastAsia="en-GB"/>
        </w:rPr>
        <w:t xml:space="preserve">a </w:t>
      </w:r>
      <w:proofErr w:type="gramStart"/>
      <w:r w:rsidR="002C6719" w:rsidRPr="00E915AA">
        <w:rPr>
          <w:rFonts w:ascii="Times New Roman" w:eastAsia="Times New Roman" w:hAnsi="Times New Roman" w:cs="Times New Roman"/>
          <w:sz w:val="24"/>
          <w:szCs w:val="24"/>
          <w:lang w:val="en-GB" w:eastAsia="en-GB"/>
        </w:rPr>
        <w:t>commonly-</w:t>
      </w:r>
      <w:r w:rsidR="00D2463D" w:rsidRPr="00E915AA">
        <w:rPr>
          <w:rFonts w:ascii="Times New Roman" w:eastAsia="Times New Roman" w:hAnsi="Times New Roman" w:cs="Times New Roman"/>
          <w:sz w:val="24"/>
          <w:szCs w:val="24"/>
          <w:lang w:val="en-GB" w:eastAsia="en-GB"/>
        </w:rPr>
        <w:t>applied</w:t>
      </w:r>
      <w:proofErr w:type="gramEnd"/>
      <w:r w:rsidR="00D2463D" w:rsidRPr="00E915AA">
        <w:rPr>
          <w:rFonts w:ascii="Times New Roman" w:eastAsia="Times New Roman" w:hAnsi="Times New Roman" w:cs="Times New Roman"/>
          <w:sz w:val="24"/>
          <w:szCs w:val="24"/>
          <w:lang w:val="en-GB" w:eastAsia="en-GB"/>
        </w:rPr>
        <w:t xml:space="preserve"> </w:t>
      </w:r>
      <w:r w:rsidR="002C6719" w:rsidRPr="00E915AA">
        <w:rPr>
          <w:rFonts w:ascii="Times New Roman" w:eastAsia="Times New Roman" w:hAnsi="Times New Roman" w:cs="Times New Roman"/>
          <w:sz w:val="24"/>
          <w:szCs w:val="24"/>
          <w:lang w:val="en-GB" w:eastAsia="en-GB"/>
        </w:rPr>
        <w:t>coding method in the area of text classification (</w:t>
      </w:r>
      <w:proofErr w:type="spellStart"/>
      <w:r w:rsidR="002C6719" w:rsidRPr="00E915AA">
        <w:rPr>
          <w:rFonts w:ascii="Times New Roman" w:eastAsia="Times New Roman" w:hAnsi="Times New Roman" w:cs="Times New Roman"/>
          <w:sz w:val="24"/>
          <w:szCs w:val="24"/>
          <w:lang w:val="en-GB" w:eastAsia="en-GB"/>
        </w:rPr>
        <w:t>Ryans</w:t>
      </w:r>
      <w:proofErr w:type="spellEnd"/>
      <w:r w:rsidR="002C6719" w:rsidRPr="00E915AA">
        <w:rPr>
          <w:rFonts w:ascii="Times New Roman" w:eastAsia="Times New Roman" w:hAnsi="Times New Roman" w:cs="Times New Roman"/>
          <w:sz w:val="24"/>
          <w:szCs w:val="24"/>
          <w:lang w:val="en-GB" w:eastAsia="en-GB"/>
        </w:rPr>
        <w:t>, 20</w:t>
      </w:r>
      <w:r w:rsidR="00293BED" w:rsidRPr="00E915AA">
        <w:rPr>
          <w:rFonts w:ascii="Times New Roman" w:eastAsia="Times New Roman" w:hAnsi="Times New Roman" w:cs="Times New Roman"/>
          <w:sz w:val="24"/>
          <w:szCs w:val="24"/>
          <w:lang w:val="en-GB" w:eastAsia="en-GB"/>
        </w:rPr>
        <w:t>19</w:t>
      </w:r>
      <w:r w:rsidR="002C6719" w:rsidRPr="00E915AA">
        <w:rPr>
          <w:rFonts w:ascii="Times New Roman" w:eastAsia="Times New Roman" w:hAnsi="Times New Roman" w:cs="Times New Roman"/>
          <w:sz w:val="24"/>
          <w:szCs w:val="24"/>
          <w:lang w:val="en-GB" w:eastAsia="en-GB"/>
        </w:rPr>
        <w:t>)</w:t>
      </w:r>
      <w:r w:rsidR="00D2463D" w:rsidRPr="00E915AA">
        <w:rPr>
          <w:rFonts w:ascii="Times New Roman" w:eastAsia="Times New Roman" w:hAnsi="Times New Roman" w:cs="Times New Roman"/>
          <w:sz w:val="24"/>
          <w:szCs w:val="24"/>
          <w:lang w:val="en-GB" w:eastAsia="en-GB"/>
        </w:rPr>
        <w:t>,</w:t>
      </w:r>
      <w:r w:rsidR="004A59A4" w:rsidRPr="00E915AA">
        <w:rPr>
          <w:rFonts w:ascii="Times New Roman" w:eastAsia="Times New Roman" w:hAnsi="Times New Roman" w:cs="Times New Roman"/>
          <w:sz w:val="24"/>
          <w:szCs w:val="24"/>
          <w:lang w:val="en-GB" w:eastAsia="en-GB"/>
        </w:rPr>
        <w:t xml:space="preserve"> as detailed in Appendix C</w:t>
      </w:r>
      <w:r w:rsidR="002C6719" w:rsidRPr="00E915AA">
        <w:rPr>
          <w:rFonts w:ascii="Times New Roman" w:eastAsia="Times New Roman" w:hAnsi="Times New Roman" w:cs="Times New Roman"/>
          <w:sz w:val="24"/>
          <w:szCs w:val="24"/>
          <w:lang w:val="en-GB" w:eastAsia="en-GB"/>
        </w:rPr>
        <w:t xml:space="preserve">. </w:t>
      </w:r>
    </w:p>
    <w:p w14:paraId="413D90F6" w14:textId="03000190" w:rsidR="00553A24" w:rsidRPr="00E915AA" w:rsidRDefault="001C6406" w:rsidP="00553A24">
      <w:pPr>
        <w:spacing w:before="240" w:after="240" w:line="360" w:lineRule="auto"/>
        <w:jc w:val="both"/>
        <w:rPr>
          <w:rFonts w:ascii="Times New Roman" w:eastAsia="Times New Roman"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 xml:space="preserve">The </w:t>
      </w:r>
      <w:r w:rsidRPr="00E915AA">
        <w:rPr>
          <w:rFonts w:ascii="Times New Roman" w:eastAsia="Times New Roman" w:hAnsi="Times New Roman" w:cs="Times New Roman"/>
          <w:i/>
          <w:iCs/>
          <w:sz w:val="24"/>
          <w:szCs w:val="24"/>
          <w:lang w:val="en-GB" w:eastAsia="en-GB"/>
        </w:rPr>
        <w:t>N</w:t>
      </w:r>
      <w:r w:rsidRPr="00E915AA">
        <w:rPr>
          <w:rFonts w:ascii="Times New Roman" w:eastAsia="Times New Roman" w:hAnsi="Times New Roman" w:cs="Times New Roman"/>
          <w:sz w:val="24"/>
          <w:szCs w:val="24"/>
          <w:lang w:val="en-GB" w:eastAsia="en-GB"/>
        </w:rPr>
        <w:t>-fold cross-validation method</w:t>
      </w:r>
      <w:r w:rsidR="0065523F" w:rsidRPr="00E915AA">
        <w:rPr>
          <w:rFonts w:ascii="Times New Roman" w:eastAsia="Times New Roman" w:hAnsi="Times New Roman" w:cs="Times New Roman"/>
          <w:sz w:val="24"/>
          <w:szCs w:val="24"/>
          <w:lang w:val="en-GB" w:eastAsia="en-GB"/>
        </w:rPr>
        <w:t>,</w:t>
      </w:r>
      <w:r w:rsidRPr="00E915AA">
        <w:rPr>
          <w:rFonts w:ascii="Times New Roman" w:eastAsia="Times New Roman" w:hAnsi="Times New Roman" w:cs="Times New Roman"/>
          <w:sz w:val="24"/>
          <w:szCs w:val="24"/>
          <w:lang w:val="en-GB" w:eastAsia="en-GB"/>
        </w:rPr>
        <w:t xml:space="preserve"> with </w:t>
      </w:r>
      <w:r w:rsidRPr="00E915AA">
        <w:rPr>
          <w:rFonts w:ascii="Times New Roman" w:eastAsia="Times New Roman" w:hAnsi="Times New Roman" w:cs="Times New Roman"/>
          <w:i/>
          <w:iCs/>
          <w:sz w:val="24"/>
          <w:szCs w:val="24"/>
          <w:lang w:val="en-GB" w:eastAsia="en-GB"/>
        </w:rPr>
        <w:t>N</w:t>
      </w:r>
      <w:r w:rsidRPr="00E915AA">
        <w:rPr>
          <w:rFonts w:ascii="Times New Roman" w:eastAsia="Times New Roman" w:hAnsi="Times New Roman" w:cs="Times New Roman"/>
          <w:sz w:val="24"/>
          <w:szCs w:val="24"/>
          <w:lang w:val="en-GB" w:eastAsia="en-GB"/>
        </w:rPr>
        <w:t xml:space="preserve"> equal to 3, 5, 10, 25, 50 and 75</w:t>
      </w:r>
      <w:r w:rsidR="0065523F" w:rsidRPr="00E915AA">
        <w:rPr>
          <w:rFonts w:ascii="Times New Roman" w:eastAsia="Times New Roman" w:hAnsi="Times New Roman" w:cs="Times New Roman"/>
          <w:sz w:val="24"/>
          <w:szCs w:val="24"/>
          <w:lang w:val="en-GB" w:eastAsia="en-GB"/>
        </w:rPr>
        <w:t>,</w:t>
      </w:r>
      <w:r w:rsidRPr="00E915AA">
        <w:rPr>
          <w:rFonts w:ascii="Times New Roman" w:eastAsia="Times New Roman" w:hAnsi="Times New Roman" w:cs="Times New Roman"/>
          <w:sz w:val="24"/>
          <w:szCs w:val="24"/>
          <w:lang w:val="en-GB" w:eastAsia="en-GB"/>
        </w:rPr>
        <w:t xml:space="preserve"> is applied to </w:t>
      </w:r>
      <w:r w:rsidR="0065523F" w:rsidRPr="00E915AA">
        <w:rPr>
          <w:rFonts w:ascii="Times New Roman" w:eastAsia="Times New Roman" w:hAnsi="Times New Roman" w:cs="Times New Roman"/>
          <w:sz w:val="24"/>
          <w:szCs w:val="24"/>
          <w:lang w:val="en-GB" w:eastAsia="en-GB"/>
        </w:rPr>
        <w:t xml:space="preserve">test the accuracy of the model using </w:t>
      </w:r>
      <w:r w:rsidR="00852295" w:rsidRPr="00E915AA">
        <w:rPr>
          <w:rFonts w:ascii="Times New Roman" w:eastAsia="Times New Roman" w:hAnsi="Times New Roman" w:cs="Times New Roman"/>
          <w:sz w:val="24"/>
          <w:szCs w:val="24"/>
          <w:lang w:val="en-GB" w:eastAsia="en-GB"/>
        </w:rPr>
        <w:t xml:space="preserve">the </w:t>
      </w:r>
      <w:proofErr w:type="gramStart"/>
      <w:r w:rsidR="0065523F" w:rsidRPr="00E915AA">
        <w:rPr>
          <w:rFonts w:ascii="Times New Roman" w:eastAsia="Times New Roman" w:hAnsi="Times New Roman" w:cs="Times New Roman"/>
          <w:sz w:val="24"/>
          <w:szCs w:val="24"/>
          <w:lang w:val="en-GB" w:eastAsia="en-GB"/>
        </w:rPr>
        <w:t>manually-coded</w:t>
      </w:r>
      <w:proofErr w:type="gramEnd"/>
      <w:r w:rsidR="0065523F" w:rsidRPr="00E915AA">
        <w:rPr>
          <w:rFonts w:ascii="Times New Roman" w:eastAsia="Times New Roman" w:hAnsi="Times New Roman" w:cs="Times New Roman"/>
          <w:sz w:val="24"/>
          <w:szCs w:val="24"/>
          <w:lang w:val="en-GB" w:eastAsia="en-GB"/>
        </w:rPr>
        <w:t xml:space="preserve"> </w:t>
      </w:r>
      <w:r w:rsidRPr="00E915AA">
        <w:rPr>
          <w:rFonts w:ascii="Times New Roman" w:eastAsia="Times New Roman" w:hAnsi="Times New Roman" w:cs="Times New Roman"/>
          <w:sz w:val="24"/>
          <w:szCs w:val="24"/>
          <w:lang w:val="en-GB" w:eastAsia="en-GB"/>
        </w:rPr>
        <w:t>training data.  For example, when N equals 10, the training dataset is divided into ten parts</w:t>
      </w:r>
      <w:r w:rsidR="00A1647D" w:rsidRPr="00E915AA">
        <w:rPr>
          <w:rFonts w:ascii="Times New Roman" w:eastAsia="Times New Roman" w:hAnsi="Times New Roman" w:cs="Times New Roman"/>
          <w:sz w:val="24"/>
          <w:szCs w:val="24"/>
          <w:lang w:val="en-GB" w:eastAsia="en-GB"/>
        </w:rPr>
        <w:t>, with each</w:t>
      </w:r>
      <w:r w:rsidRPr="00E915AA">
        <w:rPr>
          <w:rFonts w:ascii="Times New Roman" w:eastAsia="Times New Roman" w:hAnsi="Times New Roman" w:cs="Times New Roman"/>
          <w:sz w:val="24"/>
          <w:szCs w:val="24"/>
          <w:lang w:val="en-GB" w:eastAsia="en-GB"/>
        </w:rPr>
        <w:t xml:space="preserve"> part </w:t>
      </w:r>
      <w:r w:rsidR="00A1647D" w:rsidRPr="00E915AA">
        <w:rPr>
          <w:rFonts w:ascii="Times New Roman" w:eastAsia="Times New Roman" w:hAnsi="Times New Roman" w:cs="Times New Roman"/>
          <w:sz w:val="24"/>
          <w:szCs w:val="24"/>
          <w:lang w:val="en-GB" w:eastAsia="en-GB"/>
        </w:rPr>
        <w:t>in turn used as</w:t>
      </w:r>
      <w:r w:rsidRPr="00E915AA">
        <w:rPr>
          <w:rFonts w:ascii="Times New Roman" w:eastAsia="Times New Roman" w:hAnsi="Times New Roman" w:cs="Times New Roman"/>
          <w:sz w:val="24"/>
          <w:szCs w:val="24"/>
          <w:lang w:val="en-GB" w:eastAsia="en-GB"/>
        </w:rPr>
        <w:t xml:space="preserve"> test</w:t>
      </w:r>
      <w:r w:rsidR="00A1647D" w:rsidRPr="00E915AA">
        <w:rPr>
          <w:rFonts w:ascii="Times New Roman" w:eastAsia="Times New Roman" w:hAnsi="Times New Roman" w:cs="Times New Roman"/>
          <w:sz w:val="24"/>
          <w:szCs w:val="24"/>
          <w:lang w:val="en-GB" w:eastAsia="en-GB"/>
        </w:rPr>
        <w:t>ing</w:t>
      </w:r>
      <w:r w:rsidRPr="00E915AA">
        <w:rPr>
          <w:rFonts w:ascii="Times New Roman" w:eastAsia="Times New Roman" w:hAnsi="Times New Roman" w:cs="Times New Roman"/>
          <w:sz w:val="24"/>
          <w:szCs w:val="24"/>
          <w:lang w:val="en-GB" w:eastAsia="en-GB"/>
        </w:rPr>
        <w:t xml:space="preserve"> data </w:t>
      </w:r>
      <w:r w:rsidR="00A1647D" w:rsidRPr="00E915AA">
        <w:rPr>
          <w:rFonts w:ascii="Times New Roman" w:eastAsia="Times New Roman" w:hAnsi="Times New Roman" w:cs="Times New Roman"/>
          <w:sz w:val="24"/>
          <w:szCs w:val="24"/>
          <w:lang w:val="en-GB" w:eastAsia="en-GB"/>
        </w:rPr>
        <w:t>while employing the</w:t>
      </w:r>
      <w:r w:rsidRPr="00E915AA">
        <w:rPr>
          <w:rFonts w:ascii="Times New Roman" w:eastAsia="Times New Roman" w:hAnsi="Times New Roman" w:cs="Times New Roman"/>
          <w:sz w:val="24"/>
          <w:szCs w:val="24"/>
          <w:lang w:val="en-GB" w:eastAsia="en-GB"/>
        </w:rPr>
        <w:t xml:space="preserve"> nine remaining parts as training data. </w:t>
      </w:r>
      <w:r w:rsidR="008503F1" w:rsidRPr="00E915AA">
        <w:rPr>
          <w:rFonts w:ascii="Times New Roman" w:eastAsia="Times New Roman" w:hAnsi="Times New Roman" w:cs="Times New Roman"/>
          <w:sz w:val="24"/>
          <w:szCs w:val="24"/>
          <w:lang w:val="en-GB" w:eastAsia="en-GB"/>
        </w:rPr>
        <w:t>T</w:t>
      </w:r>
      <w:r w:rsidRPr="00E915AA">
        <w:rPr>
          <w:rFonts w:ascii="Times New Roman" w:eastAsia="Times New Roman" w:hAnsi="Times New Roman" w:cs="Times New Roman"/>
          <w:sz w:val="24"/>
          <w:szCs w:val="24"/>
          <w:lang w:val="en-GB" w:eastAsia="en-GB"/>
        </w:rPr>
        <w:t xml:space="preserve">he average success rate over </w:t>
      </w:r>
      <w:r w:rsidR="008503F1" w:rsidRPr="00E915AA">
        <w:rPr>
          <w:rFonts w:ascii="Times New Roman" w:eastAsia="Times New Roman" w:hAnsi="Times New Roman" w:cs="Times New Roman"/>
          <w:sz w:val="24"/>
          <w:szCs w:val="24"/>
          <w:lang w:val="en-GB" w:eastAsia="en-GB"/>
        </w:rPr>
        <w:t xml:space="preserve">all </w:t>
      </w:r>
      <w:r w:rsidRPr="00E915AA">
        <w:rPr>
          <w:rFonts w:ascii="Times New Roman" w:eastAsia="Times New Roman" w:hAnsi="Times New Roman" w:cs="Times New Roman"/>
          <w:sz w:val="24"/>
          <w:szCs w:val="24"/>
          <w:lang w:val="en-GB" w:eastAsia="en-GB"/>
        </w:rPr>
        <w:t xml:space="preserve">ten </w:t>
      </w:r>
      <w:r w:rsidR="008503F1" w:rsidRPr="00E915AA">
        <w:rPr>
          <w:rFonts w:ascii="Times New Roman" w:eastAsia="Times New Roman" w:hAnsi="Times New Roman" w:cs="Times New Roman"/>
          <w:sz w:val="24"/>
          <w:szCs w:val="24"/>
          <w:lang w:val="en-GB" w:eastAsia="en-GB"/>
        </w:rPr>
        <w:t>iterations</w:t>
      </w:r>
      <w:r w:rsidRPr="00E915AA">
        <w:rPr>
          <w:rFonts w:ascii="Times New Roman" w:eastAsia="Times New Roman" w:hAnsi="Times New Roman" w:cs="Times New Roman"/>
          <w:sz w:val="24"/>
          <w:szCs w:val="24"/>
          <w:lang w:val="en-GB" w:eastAsia="en-GB"/>
        </w:rPr>
        <w:t xml:space="preserve"> </w:t>
      </w:r>
      <w:r w:rsidR="008503F1" w:rsidRPr="00E915AA">
        <w:rPr>
          <w:rFonts w:ascii="Times New Roman" w:eastAsia="Times New Roman" w:hAnsi="Times New Roman" w:cs="Times New Roman"/>
          <w:sz w:val="24"/>
          <w:szCs w:val="24"/>
          <w:lang w:val="en-GB" w:eastAsia="en-GB"/>
        </w:rPr>
        <w:t xml:space="preserve">provides an </w:t>
      </w:r>
      <w:r w:rsidRPr="00E915AA">
        <w:rPr>
          <w:rFonts w:ascii="Times New Roman" w:eastAsia="Times New Roman" w:hAnsi="Times New Roman" w:cs="Times New Roman"/>
          <w:sz w:val="24"/>
          <w:szCs w:val="24"/>
          <w:lang w:val="en-GB" w:eastAsia="en-GB"/>
        </w:rPr>
        <w:t>indicat</w:t>
      </w:r>
      <w:r w:rsidR="008503F1" w:rsidRPr="00E915AA">
        <w:rPr>
          <w:rFonts w:ascii="Times New Roman" w:eastAsia="Times New Roman" w:hAnsi="Times New Roman" w:cs="Times New Roman"/>
          <w:sz w:val="24"/>
          <w:szCs w:val="24"/>
          <w:lang w:val="en-GB" w:eastAsia="en-GB"/>
        </w:rPr>
        <w:t>ion</w:t>
      </w:r>
      <w:r w:rsidRPr="00E915AA">
        <w:rPr>
          <w:rFonts w:ascii="Times New Roman" w:eastAsia="Times New Roman" w:hAnsi="Times New Roman" w:cs="Times New Roman"/>
          <w:sz w:val="24"/>
          <w:szCs w:val="24"/>
          <w:lang w:val="en-GB" w:eastAsia="en-GB"/>
        </w:rPr>
        <w:t xml:space="preserve"> </w:t>
      </w:r>
      <w:r w:rsidR="008503F1" w:rsidRPr="00E915AA">
        <w:rPr>
          <w:rFonts w:ascii="Times New Roman" w:eastAsia="Times New Roman" w:hAnsi="Times New Roman" w:cs="Times New Roman"/>
          <w:sz w:val="24"/>
          <w:szCs w:val="24"/>
          <w:lang w:val="en-GB" w:eastAsia="en-GB"/>
        </w:rPr>
        <w:t>of the overall model</w:t>
      </w:r>
      <w:r w:rsidRPr="00E915AA">
        <w:rPr>
          <w:rFonts w:ascii="Times New Roman" w:eastAsia="Times New Roman" w:hAnsi="Times New Roman" w:cs="Times New Roman"/>
          <w:sz w:val="24"/>
          <w:szCs w:val="24"/>
          <w:lang w:val="en-GB" w:eastAsia="en-GB"/>
        </w:rPr>
        <w:t xml:space="preserve">.  </w:t>
      </w:r>
      <w:r w:rsidR="005E2690" w:rsidRPr="00E915AA">
        <w:rPr>
          <w:rFonts w:ascii="Times New Roman" w:eastAsia="Times New Roman" w:hAnsi="Times New Roman" w:cs="Times New Roman"/>
          <w:sz w:val="24"/>
          <w:szCs w:val="24"/>
          <w:lang w:val="en-GB" w:eastAsia="en-GB"/>
        </w:rPr>
        <w:t>A</w:t>
      </w:r>
      <w:r w:rsidRPr="00E915AA">
        <w:rPr>
          <w:rFonts w:ascii="Times New Roman" w:eastAsia="Times New Roman" w:hAnsi="Times New Roman" w:cs="Times New Roman"/>
          <w:sz w:val="24"/>
          <w:szCs w:val="24"/>
          <w:lang w:val="en-GB" w:eastAsia="en-GB"/>
        </w:rPr>
        <w:t>verage correct classification rate</w:t>
      </w:r>
      <w:r w:rsidR="005E2690" w:rsidRPr="00E915AA">
        <w:rPr>
          <w:rFonts w:ascii="Times New Roman" w:eastAsia="Times New Roman" w:hAnsi="Times New Roman" w:cs="Times New Roman"/>
          <w:sz w:val="24"/>
          <w:szCs w:val="24"/>
          <w:lang w:val="en-GB" w:eastAsia="en-GB"/>
        </w:rPr>
        <w:t>s</w:t>
      </w:r>
      <w:r w:rsidRPr="00E915AA">
        <w:rPr>
          <w:rFonts w:ascii="Times New Roman" w:eastAsia="Times New Roman" w:hAnsi="Times New Roman" w:cs="Times New Roman"/>
          <w:sz w:val="24"/>
          <w:szCs w:val="24"/>
          <w:lang w:val="en-GB" w:eastAsia="en-GB"/>
        </w:rPr>
        <w:t xml:space="preserve"> </w:t>
      </w:r>
      <w:r w:rsidR="00A367A9" w:rsidRPr="00E915AA">
        <w:rPr>
          <w:rFonts w:ascii="Times New Roman" w:eastAsia="Times New Roman" w:hAnsi="Times New Roman" w:cs="Times New Roman"/>
          <w:sz w:val="24"/>
          <w:szCs w:val="24"/>
          <w:lang w:val="en-GB" w:eastAsia="en-GB"/>
        </w:rPr>
        <w:t>are shown in Table 1, at</w:t>
      </w:r>
      <w:r w:rsidR="005E2690" w:rsidRPr="00E915AA">
        <w:rPr>
          <w:rFonts w:ascii="Times New Roman" w:eastAsia="Times New Roman" w:hAnsi="Times New Roman" w:cs="Times New Roman"/>
          <w:sz w:val="24"/>
          <w:szCs w:val="24"/>
          <w:lang w:val="en-GB" w:eastAsia="en-GB"/>
        </w:rPr>
        <w:t xml:space="preserve"> various</w:t>
      </w:r>
      <w:r w:rsidRPr="00E915AA">
        <w:rPr>
          <w:rFonts w:ascii="Times New Roman" w:eastAsia="Times New Roman" w:hAnsi="Times New Roman" w:cs="Times New Roman"/>
          <w:sz w:val="24"/>
          <w:szCs w:val="24"/>
          <w:lang w:val="en-GB" w:eastAsia="en-GB"/>
        </w:rPr>
        <w:t xml:space="preserve"> </w:t>
      </w:r>
      <w:r w:rsidRPr="00E915AA">
        <w:rPr>
          <w:rFonts w:ascii="Times New Roman" w:eastAsia="Times New Roman" w:hAnsi="Times New Roman" w:cs="Times New Roman"/>
          <w:i/>
          <w:iCs/>
          <w:sz w:val="24"/>
          <w:szCs w:val="24"/>
          <w:lang w:val="en-GB" w:eastAsia="en-GB"/>
        </w:rPr>
        <w:t>N</w:t>
      </w:r>
      <w:r w:rsidR="00A367A9" w:rsidRPr="00E915AA">
        <w:rPr>
          <w:rFonts w:ascii="Times New Roman" w:eastAsia="Times New Roman" w:hAnsi="Times New Roman" w:cs="Times New Roman"/>
          <w:sz w:val="24"/>
          <w:szCs w:val="24"/>
          <w:lang w:val="en-GB" w:eastAsia="en-GB"/>
        </w:rPr>
        <w:t xml:space="preserve">, when coding to all 7 categories, or alternatively coding to 3 or 4 higher-level </w:t>
      </w:r>
      <w:r w:rsidR="001858CB" w:rsidRPr="00E915AA">
        <w:rPr>
          <w:rFonts w:ascii="Times New Roman" w:eastAsia="Times New Roman" w:hAnsi="Times New Roman" w:cs="Times New Roman"/>
          <w:sz w:val="24"/>
          <w:szCs w:val="24"/>
          <w:lang w:val="en-GB" w:eastAsia="en-GB"/>
        </w:rPr>
        <w:t xml:space="preserve">(i.e., broader) </w:t>
      </w:r>
      <w:r w:rsidR="00A367A9" w:rsidRPr="00E915AA">
        <w:rPr>
          <w:rFonts w:ascii="Times New Roman" w:eastAsia="Times New Roman" w:hAnsi="Times New Roman" w:cs="Times New Roman"/>
          <w:sz w:val="24"/>
          <w:szCs w:val="24"/>
          <w:lang w:val="en-GB" w:eastAsia="en-GB"/>
        </w:rPr>
        <w:t>categories</w:t>
      </w:r>
      <w:r w:rsidRPr="00E915AA">
        <w:rPr>
          <w:rFonts w:ascii="Times New Roman" w:eastAsia="Times New Roman" w:hAnsi="Times New Roman" w:cs="Times New Roman"/>
          <w:sz w:val="24"/>
          <w:szCs w:val="24"/>
          <w:lang w:val="en-GB" w:eastAsia="en-GB"/>
        </w:rPr>
        <w:t>.</w:t>
      </w:r>
      <w:r w:rsidR="00E730BC" w:rsidRPr="00E915AA">
        <w:rPr>
          <w:rFonts w:ascii="Times New Roman" w:eastAsia="Times New Roman" w:hAnsi="Times New Roman" w:cs="Times New Roman"/>
          <w:sz w:val="24"/>
          <w:szCs w:val="24"/>
          <w:lang w:val="en-GB" w:eastAsia="en-GB"/>
        </w:rPr>
        <w:t xml:space="preserve"> Accuracy rates of approximately 65% are observed across all values of </w:t>
      </w:r>
      <w:r w:rsidR="00E730BC" w:rsidRPr="00E915AA">
        <w:rPr>
          <w:rFonts w:ascii="Times New Roman" w:eastAsia="Times New Roman" w:hAnsi="Times New Roman" w:cs="Times New Roman"/>
          <w:i/>
          <w:iCs/>
          <w:sz w:val="24"/>
          <w:szCs w:val="24"/>
          <w:lang w:val="en-GB" w:eastAsia="en-GB"/>
        </w:rPr>
        <w:t>N</w:t>
      </w:r>
      <w:r w:rsidR="00E730BC" w:rsidRPr="00E915AA">
        <w:rPr>
          <w:rFonts w:ascii="Times New Roman" w:eastAsia="Times New Roman" w:hAnsi="Times New Roman" w:cs="Times New Roman"/>
          <w:sz w:val="24"/>
          <w:szCs w:val="24"/>
          <w:lang w:val="en-GB" w:eastAsia="en-GB"/>
        </w:rPr>
        <w:t xml:space="preserve">, when coding to the </w:t>
      </w:r>
      <w:r w:rsidRPr="00E915AA">
        <w:rPr>
          <w:rFonts w:ascii="Times New Roman" w:eastAsia="Times New Roman" w:hAnsi="Times New Roman" w:cs="Times New Roman"/>
          <w:sz w:val="24"/>
          <w:szCs w:val="24"/>
          <w:lang w:val="en-GB" w:eastAsia="en-GB"/>
        </w:rPr>
        <w:t xml:space="preserve">7 issue types defined in Appendix 1, indicating that the </w:t>
      </w:r>
      <w:r w:rsidR="00E730BC" w:rsidRPr="00E915AA">
        <w:rPr>
          <w:rFonts w:ascii="Times New Roman" w:eastAsia="Times New Roman" w:hAnsi="Times New Roman" w:cs="Times New Roman"/>
          <w:sz w:val="24"/>
          <w:szCs w:val="24"/>
          <w:lang w:val="en-GB" w:eastAsia="en-GB"/>
        </w:rPr>
        <w:t>model</w:t>
      </w:r>
      <w:r w:rsidRPr="00E915AA">
        <w:rPr>
          <w:rFonts w:ascii="Times New Roman" w:eastAsia="Times New Roman" w:hAnsi="Times New Roman" w:cs="Times New Roman"/>
          <w:sz w:val="24"/>
          <w:szCs w:val="24"/>
          <w:lang w:val="en-GB" w:eastAsia="en-GB"/>
        </w:rPr>
        <w:t xml:space="preserve"> correctly classifie</w:t>
      </w:r>
      <w:r w:rsidR="00E730BC" w:rsidRPr="00E915AA">
        <w:rPr>
          <w:rFonts w:ascii="Times New Roman" w:eastAsia="Times New Roman" w:hAnsi="Times New Roman" w:cs="Times New Roman"/>
          <w:sz w:val="24"/>
          <w:szCs w:val="24"/>
          <w:lang w:val="en-GB" w:eastAsia="en-GB"/>
        </w:rPr>
        <w:t>s the SEC comments</w:t>
      </w:r>
      <w:r w:rsidRPr="00E915AA">
        <w:rPr>
          <w:rFonts w:ascii="Times New Roman" w:eastAsia="Times New Roman" w:hAnsi="Times New Roman" w:cs="Times New Roman"/>
          <w:sz w:val="24"/>
          <w:szCs w:val="24"/>
          <w:lang w:val="en-GB" w:eastAsia="en-GB"/>
        </w:rPr>
        <w:t xml:space="preserve"> 65.38% of the time. </w:t>
      </w:r>
      <w:r w:rsidR="00576728" w:rsidRPr="00E915AA">
        <w:rPr>
          <w:rFonts w:ascii="Times New Roman" w:eastAsia="Times New Roman" w:hAnsi="Times New Roman" w:cs="Times New Roman"/>
          <w:sz w:val="24"/>
          <w:szCs w:val="24"/>
          <w:lang w:val="en-GB" w:eastAsia="en-GB"/>
        </w:rPr>
        <w:t xml:space="preserve">Grouping </w:t>
      </w:r>
      <w:r w:rsidR="00553A24" w:rsidRPr="00E915AA">
        <w:rPr>
          <w:rFonts w:ascii="Times New Roman" w:eastAsia="Times New Roman" w:hAnsi="Times New Roman" w:cs="Times New Roman"/>
          <w:sz w:val="24"/>
          <w:szCs w:val="24"/>
          <w:lang w:val="en-GB" w:eastAsia="en-GB"/>
        </w:rPr>
        <w:t xml:space="preserve">to four broader categories, namely </w:t>
      </w:r>
      <w:r w:rsidRPr="00E915AA">
        <w:rPr>
          <w:rFonts w:ascii="Times New Roman" w:eastAsia="Times New Roman" w:hAnsi="Times New Roman" w:cs="Times New Roman"/>
          <w:sz w:val="24"/>
          <w:szCs w:val="24"/>
          <w:lang w:val="en-GB" w:eastAsia="en-GB"/>
        </w:rPr>
        <w:t>corporate-function</w:t>
      </w:r>
      <w:r w:rsidR="00553A24" w:rsidRPr="00E915AA">
        <w:rPr>
          <w:rFonts w:ascii="Times New Roman" w:eastAsia="Times New Roman" w:hAnsi="Times New Roman" w:cs="Times New Roman"/>
          <w:sz w:val="24"/>
          <w:szCs w:val="24"/>
          <w:lang w:val="en-GB" w:eastAsia="en-GB"/>
        </w:rPr>
        <w:t>s</w:t>
      </w:r>
      <w:r w:rsidRPr="00E915AA">
        <w:rPr>
          <w:rFonts w:ascii="Times New Roman" w:eastAsia="Times New Roman" w:hAnsi="Times New Roman" w:cs="Times New Roman"/>
          <w:sz w:val="24"/>
          <w:szCs w:val="24"/>
          <w:lang w:val="en-GB" w:eastAsia="en-GB"/>
        </w:rPr>
        <w:t xml:space="preserve"> (categories A, B, D and E), offering issues (categories C), disclosure issues (category F) and other issues (category G), the success rate increases to </w:t>
      </w:r>
      <w:r w:rsidR="007772CA" w:rsidRPr="00E915AA">
        <w:rPr>
          <w:rFonts w:ascii="Times New Roman" w:eastAsia="Times New Roman" w:hAnsi="Times New Roman" w:cs="Times New Roman"/>
          <w:sz w:val="24"/>
          <w:szCs w:val="24"/>
          <w:lang w:val="en-GB" w:eastAsia="en-GB"/>
        </w:rPr>
        <w:t xml:space="preserve">around </w:t>
      </w:r>
      <w:r w:rsidRPr="00E915AA">
        <w:rPr>
          <w:rFonts w:ascii="Times New Roman" w:eastAsia="Times New Roman" w:hAnsi="Times New Roman" w:cs="Times New Roman"/>
          <w:sz w:val="24"/>
          <w:szCs w:val="24"/>
          <w:lang w:val="en-GB" w:eastAsia="en-GB"/>
        </w:rPr>
        <w:t xml:space="preserve">73%. </w:t>
      </w:r>
      <w:r w:rsidR="007772CA" w:rsidRPr="00E915AA">
        <w:rPr>
          <w:rFonts w:ascii="Times New Roman" w:eastAsia="Times New Roman" w:hAnsi="Times New Roman" w:cs="Times New Roman"/>
          <w:sz w:val="24"/>
          <w:szCs w:val="24"/>
          <w:lang w:val="en-GB" w:eastAsia="en-GB"/>
        </w:rPr>
        <w:t xml:space="preserve">Success rates increase further to above 76% when grouping the corporate-functions and offering issues categories to construct </w:t>
      </w:r>
      <w:r w:rsidRPr="00E915AA">
        <w:rPr>
          <w:rFonts w:ascii="Times New Roman" w:eastAsia="Times New Roman" w:hAnsi="Times New Roman" w:cs="Times New Roman"/>
          <w:sz w:val="24"/>
          <w:szCs w:val="24"/>
          <w:lang w:val="en-GB" w:eastAsia="en-GB"/>
        </w:rPr>
        <w:t>a 3-category classification</w:t>
      </w:r>
      <w:r w:rsidR="007772CA" w:rsidRPr="00E915AA">
        <w:rPr>
          <w:rFonts w:ascii="Times New Roman" w:eastAsia="Times New Roman" w:hAnsi="Times New Roman" w:cs="Times New Roman"/>
          <w:sz w:val="24"/>
          <w:szCs w:val="24"/>
          <w:lang w:val="en-GB" w:eastAsia="en-GB"/>
        </w:rPr>
        <w:t>.</w:t>
      </w:r>
      <w:r w:rsidRPr="00E915AA">
        <w:rPr>
          <w:rFonts w:ascii="Times New Roman" w:eastAsia="Times New Roman" w:hAnsi="Times New Roman" w:cs="Times New Roman"/>
          <w:sz w:val="24"/>
          <w:szCs w:val="24"/>
          <w:lang w:val="en-GB" w:eastAsia="en-GB"/>
        </w:rPr>
        <w:t xml:space="preserve"> </w:t>
      </w:r>
    </w:p>
    <w:p w14:paraId="12B0ADC4" w14:textId="433A568E" w:rsidR="001C6406" w:rsidRPr="00E915AA" w:rsidRDefault="001C6406" w:rsidP="00DE4487">
      <w:pPr>
        <w:spacing w:before="240" w:after="240" w:line="360" w:lineRule="auto"/>
        <w:jc w:val="both"/>
        <w:rPr>
          <w:rFonts w:ascii="Times New Roman" w:eastAsia="Times New Roman"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 xml:space="preserve">Long et al. (2009) achieve success rates of 87.6%, 67.1% and 47.7% when employing their Naïve Bayes algorithm with 2, 5 and 10 categories, respectively. Similarly, Li (2010) reports that increasing from 3 to 12 categories reduces the accuracy of the Naïve Bayes algorithm from 63% to 2%. </w:t>
      </w:r>
      <w:r w:rsidR="00B5612C" w:rsidRPr="00E915AA">
        <w:rPr>
          <w:rFonts w:ascii="Times New Roman" w:eastAsia="Times New Roman" w:hAnsi="Times New Roman" w:cs="Times New Roman"/>
          <w:sz w:val="24"/>
          <w:szCs w:val="24"/>
          <w:lang w:val="en-GB" w:eastAsia="en-GB"/>
        </w:rPr>
        <w:t>I</w:t>
      </w:r>
      <w:r w:rsidR="00462ACD" w:rsidRPr="00E915AA">
        <w:rPr>
          <w:rFonts w:ascii="Times New Roman" w:eastAsia="Times New Roman" w:hAnsi="Times New Roman" w:cs="Times New Roman"/>
          <w:sz w:val="24"/>
          <w:szCs w:val="24"/>
          <w:lang w:val="en-GB" w:eastAsia="en-GB"/>
        </w:rPr>
        <w:t>t is intuitive that the number of categories in the coding scheme will associate negatively with coding accuracy (</w:t>
      </w:r>
      <w:proofErr w:type="spellStart"/>
      <w:r w:rsidR="00462ACD" w:rsidRPr="00E915AA">
        <w:rPr>
          <w:rFonts w:ascii="Times New Roman" w:eastAsia="Times New Roman" w:hAnsi="Times New Roman" w:cs="Times New Roman"/>
          <w:sz w:val="24"/>
          <w:szCs w:val="24"/>
          <w:lang w:val="en-GB" w:eastAsia="en-GB"/>
        </w:rPr>
        <w:t>Eskin</w:t>
      </w:r>
      <w:proofErr w:type="spellEnd"/>
      <w:r w:rsidR="00462ACD" w:rsidRPr="00E915AA">
        <w:rPr>
          <w:rFonts w:ascii="Times New Roman" w:eastAsia="Times New Roman" w:hAnsi="Times New Roman" w:cs="Times New Roman"/>
          <w:sz w:val="24"/>
          <w:szCs w:val="24"/>
          <w:lang w:val="en-GB" w:eastAsia="en-GB"/>
        </w:rPr>
        <w:t xml:space="preserve"> &amp; </w:t>
      </w:r>
      <w:proofErr w:type="spellStart"/>
      <w:r w:rsidR="00462ACD" w:rsidRPr="00E915AA">
        <w:rPr>
          <w:rFonts w:ascii="Times New Roman" w:eastAsia="Times New Roman" w:hAnsi="Times New Roman" w:cs="Times New Roman"/>
          <w:sz w:val="24"/>
          <w:szCs w:val="24"/>
          <w:lang w:val="en-GB" w:eastAsia="en-GB"/>
        </w:rPr>
        <w:t>Bogosian</w:t>
      </w:r>
      <w:proofErr w:type="spellEnd"/>
      <w:r w:rsidR="00462ACD" w:rsidRPr="00E915AA">
        <w:rPr>
          <w:rFonts w:ascii="Times New Roman" w:eastAsia="Times New Roman" w:hAnsi="Times New Roman" w:cs="Times New Roman"/>
          <w:sz w:val="24"/>
          <w:szCs w:val="24"/>
          <w:lang w:val="en-GB" w:eastAsia="en-GB"/>
        </w:rPr>
        <w:t>, 1998; Long et al., 2009).</w:t>
      </w:r>
      <w:r w:rsidR="00672FB0" w:rsidRPr="00E915AA">
        <w:rPr>
          <w:rFonts w:ascii="Times New Roman" w:eastAsia="Times New Roman" w:hAnsi="Times New Roman" w:cs="Times New Roman"/>
          <w:sz w:val="24"/>
          <w:szCs w:val="24"/>
          <w:lang w:val="en-GB" w:eastAsia="en-GB"/>
        </w:rPr>
        <w:t xml:space="preserve"> </w:t>
      </w:r>
      <w:r w:rsidRPr="00E915AA">
        <w:rPr>
          <w:rFonts w:ascii="Times New Roman" w:eastAsia="Times New Roman" w:hAnsi="Times New Roman" w:cs="Times New Roman"/>
          <w:sz w:val="24"/>
          <w:szCs w:val="24"/>
          <w:lang w:val="en-GB" w:eastAsia="en-GB"/>
        </w:rPr>
        <w:t xml:space="preserve">In general, the </w:t>
      </w:r>
      <w:r w:rsidRPr="00E915AA">
        <w:rPr>
          <w:rFonts w:ascii="Times New Roman" w:eastAsia="Times New Roman" w:hAnsi="Times New Roman" w:cs="Times New Roman"/>
          <w:i/>
          <w:iCs/>
          <w:sz w:val="24"/>
          <w:szCs w:val="24"/>
          <w:lang w:val="en-GB" w:eastAsia="en-GB"/>
        </w:rPr>
        <w:lastRenderedPageBreak/>
        <w:t>N</w:t>
      </w:r>
      <w:r w:rsidRPr="00E915AA">
        <w:rPr>
          <w:rFonts w:ascii="Times New Roman" w:eastAsia="Times New Roman" w:hAnsi="Times New Roman" w:cs="Times New Roman"/>
          <w:sz w:val="24"/>
          <w:szCs w:val="24"/>
          <w:lang w:val="en-GB" w:eastAsia="en-GB"/>
        </w:rPr>
        <w:t xml:space="preserve">-fold cross-validation tests show that the Bayesian learning algorithm achieves good classification </w:t>
      </w:r>
      <w:r w:rsidR="0055703C" w:rsidRPr="00E915AA">
        <w:rPr>
          <w:rFonts w:ascii="Times New Roman" w:eastAsia="Times New Roman" w:hAnsi="Times New Roman" w:cs="Times New Roman"/>
          <w:sz w:val="24"/>
          <w:szCs w:val="24"/>
          <w:lang w:val="en-GB" w:eastAsia="en-GB"/>
        </w:rPr>
        <w:t>accuracy</w:t>
      </w:r>
      <w:r w:rsidRPr="00E915AA">
        <w:rPr>
          <w:rFonts w:ascii="Times New Roman" w:eastAsia="Times New Roman" w:hAnsi="Times New Roman" w:cs="Times New Roman"/>
          <w:sz w:val="24"/>
          <w:szCs w:val="24"/>
          <w:lang w:val="en-GB" w:eastAsia="en-GB"/>
        </w:rPr>
        <w:t xml:space="preserve">. In addition, baseline accuracy shows the success rates of 71.41%, 77.41% and 80.27% for 7-category classification, 4-category </w:t>
      </w:r>
      <w:proofErr w:type="gramStart"/>
      <w:r w:rsidRPr="00E915AA">
        <w:rPr>
          <w:rFonts w:ascii="Times New Roman" w:eastAsia="Times New Roman" w:hAnsi="Times New Roman" w:cs="Times New Roman"/>
          <w:sz w:val="24"/>
          <w:szCs w:val="24"/>
          <w:lang w:val="en-GB" w:eastAsia="en-GB"/>
        </w:rPr>
        <w:t>classification</w:t>
      </w:r>
      <w:proofErr w:type="gramEnd"/>
      <w:r w:rsidRPr="00E915AA">
        <w:rPr>
          <w:rFonts w:ascii="Times New Roman" w:eastAsia="Times New Roman" w:hAnsi="Times New Roman" w:cs="Times New Roman"/>
          <w:sz w:val="24"/>
          <w:szCs w:val="24"/>
          <w:lang w:val="en-GB" w:eastAsia="en-GB"/>
        </w:rPr>
        <w:t xml:space="preserve"> and 3-category classification, respectively. </w:t>
      </w:r>
    </w:p>
    <w:p w14:paraId="1F06EC5B" w14:textId="03626080" w:rsidR="001C6406" w:rsidRPr="00E915AA" w:rsidRDefault="001C6406" w:rsidP="001C6406">
      <w:pPr>
        <w:pStyle w:val="ListParagraph"/>
        <w:spacing w:before="240" w:after="240" w:line="360" w:lineRule="auto"/>
        <w:ind w:left="360"/>
        <w:jc w:val="center"/>
        <w:rPr>
          <w:rFonts w:ascii="Times New Roman" w:eastAsia="Calibri" w:hAnsi="Times New Roman" w:cs="Times New Roman"/>
          <w:sz w:val="24"/>
          <w:szCs w:val="24"/>
          <w:lang w:val="en-GB" w:eastAsia="en-GB"/>
        </w:rPr>
      </w:pPr>
      <w:r w:rsidRPr="00E915AA">
        <w:rPr>
          <w:rFonts w:ascii="Times New Roman" w:eastAsia="Times New Roman" w:hAnsi="Times New Roman" w:cs="Times New Roman"/>
          <w:b/>
          <w:bCs/>
          <w:sz w:val="24"/>
          <w:szCs w:val="24"/>
          <w:lang w:val="en-GB" w:eastAsia="en-GB"/>
        </w:rPr>
        <w:t>[Insert Table 1 about here]</w:t>
      </w:r>
    </w:p>
    <w:p w14:paraId="0441D853" w14:textId="77777777" w:rsidR="002C6719" w:rsidRPr="00E915AA" w:rsidRDefault="002C6719" w:rsidP="006F305B">
      <w:pPr>
        <w:pStyle w:val="ListParagraph"/>
        <w:numPr>
          <w:ilvl w:val="1"/>
          <w:numId w:val="42"/>
        </w:numPr>
        <w:tabs>
          <w:tab w:val="left" w:pos="990"/>
        </w:tabs>
        <w:spacing w:before="240" w:after="240" w:line="360" w:lineRule="auto"/>
        <w:ind w:left="900" w:hanging="630"/>
        <w:jc w:val="both"/>
        <w:outlineLvl w:val="1"/>
        <w:rPr>
          <w:rFonts w:ascii="Times New Roman" w:eastAsia="Calibri" w:hAnsi="Times New Roman" w:cs="Times New Roman"/>
          <w:b/>
          <w:bCs/>
          <w:iCs/>
          <w:sz w:val="24"/>
          <w:szCs w:val="24"/>
          <w:lang w:val="en-GB" w:eastAsia="en-GB"/>
        </w:rPr>
      </w:pPr>
      <w:r w:rsidRPr="00E915AA">
        <w:rPr>
          <w:rFonts w:ascii="Times New Roman" w:eastAsia="Calibri" w:hAnsi="Times New Roman" w:cs="Times New Roman"/>
          <w:b/>
          <w:sz w:val="24"/>
          <w:szCs w:val="24"/>
          <w:lang w:val="en-GB" w:eastAsia="en-GB"/>
        </w:rPr>
        <w:t>Variables</w:t>
      </w:r>
      <w:bookmarkStart w:id="20" w:name="_Toc43219822"/>
      <w:bookmarkStart w:id="21" w:name="_Toc69749299"/>
      <w:bookmarkEnd w:id="18"/>
      <w:bookmarkEnd w:id="19"/>
    </w:p>
    <w:p w14:paraId="6D149721" w14:textId="77777777" w:rsidR="002C6719" w:rsidRPr="00E915AA" w:rsidRDefault="002C6719" w:rsidP="006F305B">
      <w:pPr>
        <w:rPr>
          <w:rFonts w:ascii="Times New Roman" w:eastAsia="Calibri" w:hAnsi="Times New Roman" w:cs="Times New Roman"/>
          <w:b/>
          <w:bCs/>
          <w:iCs/>
          <w:sz w:val="24"/>
          <w:szCs w:val="24"/>
          <w:lang w:val="en-GB" w:eastAsia="en-GB"/>
        </w:rPr>
      </w:pPr>
      <w:r w:rsidRPr="00E915AA">
        <w:rPr>
          <w:rFonts w:ascii="Times New Roman" w:eastAsia="Calibri" w:hAnsi="Times New Roman" w:cs="Times New Roman"/>
          <w:b/>
          <w:sz w:val="24"/>
          <w:szCs w:val="24"/>
          <w:lang w:val="en-GB" w:eastAsia="en-GB"/>
        </w:rPr>
        <w:t>SEC review attributes</w:t>
      </w:r>
      <w:bookmarkEnd w:id="20"/>
      <w:bookmarkEnd w:id="21"/>
    </w:p>
    <w:p w14:paraId="49F6C8EB" w14:textId="6C2CCE1E" w:rsidR="002C6719" w:rsidRPr="00E915AA" w:rsidRDefault="002C6719" w:rsidP="002C6719">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Five proxies are employed to measure the extensiveness of the SEC review process, to be used as dependent variables in </w:t>
      </w:r>
      <w:r w:rsidR="007D10DC" w:rsidRPr="00E915AA">
        <w:rPr>
          <w:rFonts w:ascii="Times New Roman" w:eastAsia="Calibri" w:hAnsi="Times New Roman" w:cs="Times New Roman"/>
          <w:bCs/>
          <w:iCs/>
          <w:sz w:val="24"/>
          <w:szCs w:val="24"/>
          <w:lang w:val="en-GB" w:eastAsia="en-GB"/>
        </w:rPr>
        <w:t>our</w:t>
      </w:r>
      <w:r w:rsidRPr="00E915AA">
        <w:rPr>
          <w:rFonts w:ascii="Times New Roman" w:eastAsia="Calibri" w:hAnsi="Times New Roman" w:cs="Times New Roman"/>
          <w:bCs/>
          <w:iCs/>
          <w:sz w:val="24"/>
          <w:szCs w:val="24"/>
          <w:lang w:val="en-GB" w:eastAsia="en-GB"/>
        </w:rPr>
        <w:t xml:space="preserve"> study</w:t>
      </w:r>
      <w:r w:rsidR="004A3DDF" w:rsidRPr="00E915AA">
        <w:rPr>
          <w:rFonts w:ascii="Times New Roman" w:eastAsia="Calibri" w:hAnsi="Times New Roman" w:cs="Times New Roman"/>
          <w:bCs/>
          <w:iCs/>
          <w:sz w:val="24"/>
          <w:szCs w:val="24"/>
          <w:lang w:val="en-GB" w:eastAsia="en-GB"/>
        </w:rPr>
        <w:t xml:space="preserve"> - for each IPO;</w:t>
      </w:r>
      <w:r w:rsidRPr="00E915AA">
        <w:rPr>
          <w:rFonts w:ascii="Times New Roman" w:eastAsia="Calibri" w:hAnsi="Times New Roman" w:cs="Times New Roman"/>
          <w:bCs/>
          <w:iCs/>
          <w:sz w:val="24"/>
          <w:szCs w:val="24"/>
          <w:lang w:val="en-GB" w:eastAsia="en-GB"/>
        </w:rPr>
        <w:t xml:space="preserve"> the duration of the SEC review process, </w:t>
      </w:r>
      <w:r w:rsidR="007579B7" w:rsidRPr="00E915AA">
        <w:rPr>
          <w:rFonts w:ascii="Times New Roman" w:eastAsia="Calibri" w:hAnsi="Times New Roman" w:cs="Times New Roman"/>
          <w:bCs/>
          <w:iCs/>
          <w:sz w:val="24"/>
          <w:szCs w:val="24"/>
          <w:lang w:val="en-GB" w:eastAsia="en-GB"/>
        </w:rPr>
        <w:t xml:space="preserve">measured as </w:t>
      </w:r>
      <w:r w:rsidRPr="00E915AA">
        <w:rPr>
          <w:rFonts w:ascii="Times New Roman" w:eastAsia="Calibri" w:hAnsi="Times New Roman" w:cs="Times New Roman"/>
          <w:bCs/>
          <w:iCs/>
          <w:sz w:val="24"/>
          <w:szCs w:val="24"/>
          <w:lang w:val="en-GB" w:eastAsia="en-GB"/>
        </w:rPr>
        <w:t>the number of days from the filing date of the initial S-1 to the effective date of the IPO (</w:t>
      </w:r>
      <w:r w:rsidRPr="00E915AA">
        <w:rPr>
          <w:rFonts w:ascii="Times New Roman" w:eastAsia="Calibri" w:hAnsi="Times New Roman" w:cs="Times New Roman"/>
          <w:bCs/>
          <w:i/>
          <w:iCs/>
          <w:sz w:val="24"/>
          <w:szCs w:val="24"/>
          <w:lang w:val="en-GB" w:eastAsia="en-GB"/>
        </w:rPr>
        <w:t>Duration)</w:t>
      </w:r>
      <w:r w:rsidRPr="00E915AA">
        <w:rPr>
          <w:rFonts w:ascii="Times New Roman" w:eastAsia="Calibri" w:hAnsi="Times New Roman" w:cs="Times New Roman"/>
          <w:bCs/>
          <w:iCs/>
          <w:sz w:val="24"/>
          <w:szCs w:val="24"/>
          <w:lang w:val="en-GB" w:eastAsia="en-GB"/>
        </w:rPr>
        <w:t xml:space="preserve">; the number of comment letters </w:t>
      </w:r>
      <w:r w:rsidR="004A3DDF" w:rsidRPr="00E915AA">
        <w:rPr>
          <w:rFonts w:ascii="Times New Roman" w:eastAsia="Calibri" w:hAnsi="Times New Roman" w:cs="Times New Roman"/>
          <w:bCs/>
          <w:iCs/>
          <w:sz w:val="24"/>
          <w:szCs w:val="24"/>
          <w:lang w:val="en-GB" w:eastAsia="en-GB"/>
        </w:rPr>
        <w:t xml:space="preserve">issued </w:t>
      </w:r>
      <w:r w:rsidRPr="00E915AA">
        <w:rPr>
          <w:rFonts w:ascii="Times New Roman" w:eastAsia="Calibri" w:hAnsi="Times New Roman" w:cs="Times New Roman"/>
          <w:bCs/>
          <w:iCs/>
          <w:sz w:val="24"/>
          <w:szCs w:val="24"/>
          <w:lang w:val="en-GB" w:eastAsia="en-GB"/>
        </w:rPr>
        <w:t>(#</w:t>
      </w:r>
      <w:r w:rsidRPr="00E915AA">
        <w:rPr>
          <w:rFonts w:ascii="Times New Roman" w:eastAsia="Calibri" w:hAnsi="Times New Roman" w:cs="Times New Roman"/>
          <w:bCs/>
          <w:i/>
          <w:iCs/>
          <w:sz w:val="24"/>
          <w:szCs w:val="24"/>
          <w:lang w:val="en-GB" w:eastAsia="en-GB"/>
        </w:rPr>
        <w:t>Letters);</w:t>
      </w:r>
      <w:r w:rsidRPr="00E915AA">
        <w:rPr>
          <w:rFonts w:ascii="Times New Roman" w:eastAsia="Calibri" w:hAnsi="Times New Roman" w:cs="Times New Roman"/>
          <w:bCs/>
          <w:iCs/>
          <w:sz w:val="24"/>
          <w:szCs w:val="24"/>
          <w:lang w:val="en-GB" w:eastAsia="en-GB"/>
        </w:rPr>
        <w:t xml:space="preserve"> the number of </w:t>
      </w:r>
      <w:r w:rsidR="006A2CBC" w:rsidRPr="00E915AA">
        <w:rPr>
          <w:rFonts w:ascii="Times New Roman" w:eastAsia="Calibri" w:hAnsi="Times New Roman" w:cs="Times New Roman"/>
          <w:bCs/>
          <w:iCs/>
          <w:sz w:val="24"/>
          <w:szCs w:val="24"/>
          <w:lang w:val="en-GB" w:eastAsia="en-GB"/>
        </w:rPr>
        <w:t>themes</w:t>
      </w:r>
      <w:r w:rsidR="004A3DDF" w:rsidRPr="00E915AA">
        <w:rPr>
          <w:rFonts w:ascii="Times New Roman" w:eastAsia="Calibri" w:hAnsi="Times New Roman" w:cs="Times New Roman"/>
          <w:bCs/>
          <w:iCs/>
          <w:sz w:val="24"/>
          <w:szCs w:val="24"/>
          <w:lang w:val="en-GB" w:eastAsia="en-GB"/>
        </w:rPr>
        <w:t xml:space="preserve"> identified </w:t>
      </w:r>
      <w:r w:rsidR="006175C9" w:rsidRPr="00E915AA">
        <w:rPr>
          <w:rFonts w:ascii="Times New Roman" w:eastAsia="Calibri" w:hAnsi="Times New Roman" w:cs="Times New Roman"/>
          <w:bCs/>
          <w:iCs/>
          <w:sz w:val="24"/>
          <w:szCs w:val="24"/>
          <w:lang w:val="en-GB" w:eastAsia="en-GB"/>
        </w:rPr>
        <w:t>through</w:t>
      </w:r>
      <w:r w:rsidR="004A3DDF" w:rsidRPr="00E915AA">
        <w:rPr>
          <w:rFonts w:ascii="Times New Roman" w:eastAsia="Calibri" w:hAnsi="Times New Roman" w:cs="Times New Roman"/>
          <w:bCs/>
          <w:iCs/>
          <w:sz w:val="24"/>
          <w:szCs w:val="24"/>
          <w:lang w:val="en-GB" w:eastAsia="en-GB"/>
        </w:rPr>
        <w:t xml:space="preserve"> coding </w:t>
      </w:r>
      <w:r w:rsidR="00326942" w:rsidRPr="00E915AA">
        <w:rPr>
          <w:rFonts w:ascii="Times New Roman" w:eastAsia="Calibri" w:hAnsi="Times New Roman" w:cs="Times New Roman"/>
          <w:bCs/>
          <w:iCs/>
          <w:sz w:val="24"/>
          <w:szCs w:val="24"/>
          <w:lang w:val="en-GB" w:eastAsia="en-GB"/>
        </w:rPr>
        <w:t>the</w:t>
      </w:r>
      <w:r w:rsidR="002251FF" w:rsidRPr="00E915AA">
        <w:rPr>
          <w:rFonts w:ascii="Times New Roman" w:eastAsia="Calibri" w:hAnsi="Times New Roman" w:cs="Times New Roman"/>
          <w:bCs/>
          <w:iCs/>
          <w:sz w:val="24"/>
          <w:szCs w:val="24"/>
          <w:lang w:val="en-GB" w:eastAsia="en-GB"/>
        </w:rPr>
        <w:t xml:space="preserve"> </w:t>
      </w:r>
      <w:r w:rsidR="004A3DDF" w:rsidRPr="00E915AA">
        <w:rPr>
          <w:rFonts w:ascii="Times New Roman" w:eastAsia="Calibri" w:hAnsi="Times New Roman" w:cs="Times New Roman"/>
          <w:bCs/>
          <w:iCs/>
          <w:sz w:val="24"/>
          <w:szCs w:val="24"/>
          <w:lang w:val="en-GB" w:eastAsia="en-GB"/>
        </w:rPr>
        <w:t>SEC comments</w:t>
      </w:r>
      <w:r w:rsidRPr="00E915AA">
        <w:rPr>
          <w:rFonts w:ascii="Times New Roman" w:eastAsia="Calibri" w:hAnsi="Times New Roman" w:cs="Times New Roman"/>
          <w:bCs/>
          <w:iCs/>
          <w:sz w:val="24"/>
          <w:szCs w:val="24"/>
          <w:lang w:val="en-GB" w:eastAsia="en-GB"/>
        </w:rPr>
        <w:t xml:space="preserve"> (</w:t>
      </w:r>
      <w:r w:rsidRPr="00E915AA">
        <w:rPr>
          <w:rFonts w:ascii="Times New Roman" w:eastAsia="Calibri" w:hAnsi="Times New Roman" w:cs="Times New Roman"/>
          <w:bCs/>
          <w:i/>
          <w:iCs/>
          <w:sz w:val="24"/>
          <w:szCs w:val="24"/>
          <w:lang w:val="en-GB" w:eastAsia="en-GB"/>
        </w:rPr>
        <w:t>#Themes)</w:t>
      </w:r>
      <w:r w:rsidRPr="00E915AA">
        <w:rPr>
          <w:rFonts w:ascii="Times New Roman" w:eastAsia="Calibri" w:hAnsi="Times New Roman" w:cs="Times New Roman"/>
          <w:bCs/>
          <w:iCs/>
          <w:sz w:val="24"/>
          <w:szCs w:val="24"/>
          <w:lang w:val="en-GB" w:eastAsia="en-GB"/>
        </w:rPr>
        <w:t>; the number of core-accounting-related comments</w:t>
      </w:r>
      <w:r w:rsidR="0053520A" w:rsidRPr="00E915AA">
        <w:rPr>
          <w:rFonts w:ascii="Times New Roman" w:eastAsia="Calibri" w:hAnsi="Times New Roman" w:cs="Times New Roman"/>
          <w:bCs/>
          <w:iCs/>
          <w:sz w:val="24"/>
          <w:szCs w:val="24"/>
          <w:lang w:val="en-GB" w:eastAsia="en-GB"/>
        </w:rPr>
        <w:t xml:space="preserve"> identified</w:t>
      </w:r>
      <w:r w:rsidR="00862DB7" w:rsidRPr="00E915AA">
        <w:rPr>
          <w:rFonts w:ascii="Times New Roman" w:eastAsia="Calibri" w:hAnsi="Times New Roman" w:cs="Times New Roman"/>
          <w:bCs/>
          <w:iCs/>
          <w:sz w:val="24"/>
          <w:szCs w:val="24"/>
          <w:lang w:val="en-GB" w:eastAsia="en-GB"/>
        </w:rPr>
        <w:t xml:space="preserve"> through </w:t>
      </w:r>
      <w:r w:rsidR="008D2F62" w:rsidRPr="00E915AA">
        <w:rPr>
          <w:rFonts w:ascii="Times New Roman" w:eastAsia="Calibri" w:hAnsi="Times New Roman" w:cs="Times New Roman"/>
          <w:bCs/>
          <w:iCs/>
          <w:sz w:val="24"/>
          <w:szCs w:val="24"/>
          <w:lang w:val="en-GB" w:eastAsia="en-GB"/>
        </w:rPr>
        <w:t xml:space="preserve">the </w:t>
      </w:r>
      <w:r w:rsidR="00862DB7" w:rsidRPr="00E915AA">
        <w:rPr>
          <w:rFonts w:ascii="Times New Roman" w:eastAsia="Calibri" w:hAnsi="Times New Roman" w:cs="Times New Roman"/>
          <w:bCs/>
          <w:iCs/>
          <w:sz w:val="24"/>
          <w:szCs w:val="24"/>
          <w:lang w:val="en-GB" w:eastAsia="en-GB"/>
        </w:rPr>
        <w:t>coding</w:t>
      </w:r>
      <w:r w:rsidRPr="00E915AA">
        <w:rPr>
          <w:rFonts w:ascii="Times New Roman" w:eastAsia="Calibri" w:hAnsi="Times New Roman" w:cs="Times New Roman"/>
          <w:bCs/>
          <w:iCs/>
          <w:sz w:val="24"/>
          <w:szCs w:val="24"/>
          <w:lang w:val="en-GB" w:eastAsia="en-GB"/>
        </w:rPr>
        <w:t xml:space="preserve"> (#</w:t>
      </w:r>
      <w:r w:rsidRPr="00E915AA">
        <w:rPr>
          <w:rFonts w:ascii="Times New Roman" w:eastAsia="Calibri" w:hAnsi="Times New Roman" w:cs="Times New Roman"/>
          <w:bCs/>
          <w:i/>
          <w:iCs/>
          <w:sz w:val="24"/>
          <w:szCs w:val="24"/>
          <w:lang w:val="en-GB" w:eastAsia="en-GB"/>
        </w:rPr>
        <w:t>Core-accounting issues)</w:t>
      </w:r>
      <w:r w:rsidRPr="00E915AA">
        <w:rPr>
          <w:rFonts w:ascii="Times New Roman" w:eastAsia="Calibri" w:hAnsi="Times New Roman" w:cs="Times New Roman"/>
          <w:bCs/>
          <w:sz w:val="24"/>
          <w:szCs w:val="24"/>
          <w:lang w:val="en-GB" w:eastAsia="en-GB"/>
        </w:rPr>
        <w:t>;</w:t>
      </w:r>
      <w:r w:rsidRPr="00E915AA">
        <w:rPr>
          <w:rFonts w:ascii="Times New Roman" w:eastAsia="Calibri" w:hAnsi="Times New Roman" w:cs="Times New Roman"/>
          <w:bCs/>
          <w:i/>
          <w:iCs/>
          <w:sz w:val="24"/>
          <w:szCs w:val="24"/>
          <w:lang w:val="en-GB" w:eastAsia="en-GB"/>
        </w:rPr>
        <w:t xml:space="preserve"> </w:t>
      </w:r>
      <w:r w:rsidRPr="00E915AA">
        <w:rPr>
          <w:rFonts w:ascii="Times New Roman" w:eastAsia="Calibri" w:hAnsi="Times New Roman" w:cs="Times New Roman"/>
          <w:bCs/>
          <w:iCs/>
          <w:sz w:val="24"/>
          <w:szCs w:val="24"/>
          <w:lang w:val="en-GB" w:eastAsia="en-GB"/>
        </w:rPr>
        <w:t>and the number of non-core-accounting-related comments</w:t>
      </w:r>
      <w:r w:rsidR="009A41A5" w:rsidRPr="00E915AA">
        <w:rPr>
          <w:rFonts w:ascii="Times New Roman" w:eastAsia="Calibri" w:hAnsi="Times New Roman" w:cs="Times New Roman"/>
          <w:bCs/>
          <w:iCs/>
          <w:sz w:val="24"/>
          <w:szCs w:val="24"/>
          <w:lang w:val="en-GB" w:eastAsia="en-GB"/>
        </w:rPr>
        <w:t xml:space="preserve"> identified</w:t>
      </w:r>
      <w:r w:rsidRPr="00E915AA">
        <w:rPr>
          <w:rFonts w:ascii="Times New Roman" w:eastAsia="Calibri" w:hAnsi="Times New Roman" w:cs="Times New Roman"/>
          <w:bCs/>
          <w:iCs/>
          <w:sz w:val="24"/>
          <w:szCs w:val="24"/>
          <w:lang w:val="en-GB" w:eastAsia="en-GB"/>
        </w:rPr>
        <w:t xml:space="preserve"> (</w:t>
      </w:r>
      <w:r w:rsidRPr="00E915AA">
        <w:rPr>
          <w:rFonts w:ascii="Times New Roman" w:eastAsia="Calibri" w:hAnsi="Times New Roman" w:cs="Times New Roman"/>
          <w:bCs/>
          <w:i/>
          <w:iCs/>
          <w:sz w:val="24"/>
          <w:szCs w:val="24"/>
          <w:lang w:val="en-GB" w:eastAsia="en-GB"/>
        </w:rPr>
        <w:t>#Non-core-accounting issues)</w:t>
      </w:r>
      <w:r w:rsidRPr="00E915AA">
        <w:rPr>
          <w:rFonts w:ascii="Times New Roman" w:eastAsia="Calibri" w:hAnsi="Times New Roman" w:cs="Times New Roman"/>
          <w:bCs/>
          <w:iCs/>
          <w:sz w:val="24"/>
          <w:szCs w:val="24"/>
          <w:lang w:val="en-GB" w:eastAsia="en-GB"/>
        </w:rPr>
        <w:t>.</w:t>
      </w:r>
      <w:r w:rsidR="004449D0" w:rsidRPr="00E915AA">
        <w:rPr>
          <w:rFonts w:ascii="Times New Roman" w:eastAsia="Calibri" w:hAnsi="Times New Roman" w:cs="Times New Roman"/>
          <w:bCs/>
          <w:iCs/>
          <w:sz w:val="24"/>
          <w:szCs w:val="24"/>
          <w:lang w:val="en-GB" w:eastAsia="en-GB"/>
        </w:rPr>
        <w:t xml:space="preserve"> The SEC review attributes are measured in the IPO filing year (t)</w:t>
      </w:r>
      <w:r w:rsidR="00A81D2B" w:rsidRPr="00E915AA">
        <w:rPr>
          <w:rFonts w:ascii="Times New Roman" w:eastAsia="Calibri" w:hAnsi="Times New Roman" w:cs="Times New Roman"/>
          <w:bCs/>
          <w:iCs/>
          <w:sz w:val="24"/>
          <w:szCs w:val="24"/>
          <w:lang w:val="en-GB" w:eastAsia="en-GB"/>
        </w:rPr>
        <w:t>.</w:t>
      </w:r>
    </w:p>
    <w:p w14:paraId="1B86C9FF" w14:textId="77777777" w:rsidR="002C6719" w:rsidRPr="00E915AA" w:rsidRDefault="002C6719" w:rsidP="006F305B">
      <w:pPr>
        <w:rPr>
          <w:rFonts w:ascii="Times New Roman" w:eastAsia="Calibri" w:hAnsi="Times New Roman" w:cs="Times New Roman"/>
          <w:b/>
          <w:bCs/>
          <w:sz w:val="24"/>
          <w:szCs w:val="24"/>
          <w:lang w:val="en-GB" w:eastAsia="en-GB"/>
        </w:rPr>
      </w:pPr>
      <w:bookmarkStart w:id="22" w:name="_Toc43219823"/>
      <w:bookmarkStart w:id="23" w:name="_Toc69749300"/>
      <w:r w:rsidRPr="00E915AA">
        <w:rPr>
          <w:rFonts w:ascii="Times New Roman" w:eastAsia="Calibri" w:hAnsi="Times New Roman" w:cs="Times New Roman"/>
          <w:b/>
          <w:bCs/>
          <w:sz w:val="24"/>
          <w:szCs w:val="24"/>
          <w:lang w:val="en-GB" w:eastAsia="en-GB"/>
        </w:rPr>
        <w:t>Earnings management</w:t>
      </w:r>
      <w:bookmarkEnd w:id="22"/>
      <w:r w:rsidRPr="00E915AA">
        <w:rPr>
          <w:rFonts w:ascii="Times New Roman" w:eastAsia="Calibri" w:hAnsi="Times New Roman" w:cs="Times New Roman"/>
          <w:b/>
          <w:bCs/>
          <w:sz w:val="24"/>
          <w:szCs w:val="24"/>
          <w:lang w:val="en-GB" w:eastAsia="en-GB"/>
        </w:rPr>
        <w:t xml:space="preserve"> measures</w:t>
      </w:r>
      <w:bookmarkEnd w:id="23"/>
    </w:p>
    <w:p w14:paraId="1D000153" w14:textId="37802ACB" w:rsidR="002C6719" w:rsidRPr="00E915AA" w:rsidRDefault="002C6719" w:rsidP="002C6719">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Engagement in earnings management by IPO firms is measured by three metrics, including abnormal accruals to capture accrual-based earnings management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{"citationItems":[{"id":"ITEM-1","itemData":{"ISBN":"00218456","ISSN":"00218456","PMID":"6415303","abstract":"This study tests whether firms that would benefit from import relief (e.g., tariff increases and quota reductions) attempt to decrease earnings through earnings management during import relief investigations by the United States International Trade Commission (ITC). The import relief determination made by the ITC is based on several factors that are specified in the federal trade acts, including the profitability of the industry. Explicit use of accounting numbers in import relief regulation provides incentives for managers to manage earnings in order to increase the likelihood of obtaining import relief and/or increase the amount of relief granted.","author":[{"dropping-particle":"","family":"Jones","given":"Jennifer J.","non-dropping-particle":"","parse-names":false,"suffix":""}],"container-title":"Journal of Accounting Research","id":"ITEM-1","issue":"2","issued":{"date-parts":[["1991"]]},"page":"193","title":"Earnings Management During Import Relief Investigations","type":"article-journal","volume":"29"},"uris":["http://www.mendeley.com/documents/?uuid=892e4e9b-6165-408f-bfdd-423018d46ec5"]},{"id":"ITEM-2","itemData":{"ISBN":"00014826","ISSN":"0001-4826","PMID":"9505096112","abstract":"This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Review","id":"ITEM-2","issue":"2","issued":{"date-parts":[["1995"]]},"page":"193-225","title":"Detecting Earnings Management","type":"article-journal","volume":"70"},"uris":["http://www.mendeley.com/documents/?uuid=f06118b9-deab-4721-af07-ad5c836b81d0"]},{"id":"ITEM-3","itemData":{"ISBN":"0165-4101","ISSN":"0165-4101","abstract":"In a sample of auditor change firms we find that discretionary accruals are income decreasing during the last year with the predecessor auditor and generally insignificant during the first year with the successor. In addition, the income decreasing discretionary accruals are concentrated among firms expected to have greater litigation risk. These findings are consistent with litigation risk concerns providing incentives for auditors to prefer conservative accounting choices, and with managers dismissing incumbent auditors in the hope of finding a more reasonable successor, However, we cannot rule out financial distress as a potential alternative explanation for our results. (C) 1998 Elsevier Science B.V. All rights reserved. JEL classification: L84; M40; M41.","author":[{"dropping-particle":"","family":"DeFond","given":"M L.","non-dropping-particle":"","parse-names":false,"suffix":""},{"dropping-particle":"","family":"Subramanyam","given":"K R.","non-dropping-particle":"","parse-names":false,"suffix":""}],"container-title":"Journal of Accounting and Economics","id":"ITEM-3","issue":"1","issued":{"date-parts":[["1998"]]},"page":"35-67","title":"Auditor changes and discretionary accruals","type":"article-journal","volume":"25"},"uris":["http://www.mendeley.com/documents/?uuid=99e81978-9d0b-4ae7-a499-1c1461a40d5d"]},{"id":"ITEM-4","itemData":{"ISBN":"0165-4101","ISSN":"01654101","PMID":"213054875","abstract":"We examine the specification and power of tests based on performance-matched discretionary accruals, and make comparisons with tests using traditional discretionary accrual measures (e.g., Jones and modified-Jones models). Performance matching on return on assets controls for the effect of performance on measured discretionary accruals. The results suggest that performance-matched discretionary accrual measures enhance the reliability of inferences from earnings management research when the hypothesis being tested does not imply that earnings management will vary with performance, or where the control firms are not expected to have engaged in earnings management. © 2004 Elsevier B.V. All rights reserved.","author":[{"dropping-particle":"","family":"Kothari","given":"S. P.","non-dropping-particle":"","parse-names":false,"suffix":""},{"dropping-particle":"","family":"Leone","given":"Andrew J.","non-dropping-particle":"","parse-names":false,"suffix":""},{"dropping-particle":"","family":"Wasley","given":"Charles E.","non-dropping-particle":"","parse-names":false,"suffix":""}],"container-title":"Journal of Accounting and Economics","id":"ITEM-4","issue":"1","issued":{"date-parts":[["2005"]]},"page":"163-197","title":"Performance matched discretionary accrual measures","type":"article-journal","volume":"39"},"uris":["http://www.mendeley.com/documents/?uuid=ea0b1ea4-f460-4f25-b321-d53b49fbca32"]},{"id":"ITEM-5","itemData":{"ISBN":"0890-8389","ISSN":"08908389","abstract":"The impact of accruals quality and disclosure quality on stock returns is a topical issue in market-based accounting research. Most of the debate is centred on their incremental ability to predict future earnings. Recent studies suggest that higher information risk proxied by either lower accruals quality or lower disclosure quality results in higher stock returns. This paper examines the relationship between accruals quality and disclosure quality, and investigates whether they are complements or substitutes in explaining the time-series variation in portfolio returns. Applying portfolio groupings, we find a positive association between accruals quality and disclosure quality, suggesting that firms with higher disclosure quality engage less in earnings management and have higher accruals quality. Asset pricing tests show that an accruals quality factor and a disclosure quality factor explain the time-series variation in the excess returns of similar sets of portfolios. This suggests that they contain similar information and confirms the substitutive nature of accruals quality and disclosure quality factors. © 2011 Elsevier Ltd.","author":[{"dropping-particle":"","family":"Mouselli","given":"Sulaiman","non-dropping-particle":"","parse-names":false,"suffix":""},{"dropping-particle":"","family":"Jaafar","given":"Aziz","non-dropping-particle":"","parse-names":false,"suffix":""},{"dropping-particle":"","family":"Hussainey","given":"Khaled","non-dropping-particle":"","parse-names":false,"suffix":""}],"container-title":"British Accounting Review","id":"ITEM-5","issue":"1","issued":{"date-parts":[["2012"]]},"page":"36-46","publisher":"Elsevier Ltd","title":"Accruals quality vis-à-vis disclosure quality: Substitutes or complements?","type":"article-journal","volume":"44"},"uris":["http://www.mendeley.com/documents/?uuid=0b354435-9467-4dfb-b44a-bcd7cf3cb428"]},{"id":"ITEM-6","itemData":{"ISSN":"15730735","abstract":"This study examines the effect of two potential sources of ethical principles on earnings quality: corporate social responsibility (CSR) and membership in a Shariah index.We define membership in a Shariah index as the adherence to an ethical code that relates to Islam. Our sample comprises firms in ten European Union countries for the period from 2003 to 2013. The empirical results show that firms with a high degree of CSR are less likely to manage earnings. In contrast,membership in a Shariah index leads to earnings manipulation. Our results are robust after using several alternative quality metrics for earnings. Furthermore, our empir- ical results indicate that highly rated CSR firms that are not Shariah-compliant are less likely to engage in earnings manipulation. Further, institutional factors are also important in determining the link between CSR, Shariah-compliance, and the quality of financial reporting.","author":[{"dropping-particle":"","family":"Alsaadi","given":"Abdullah","non-dropping-particle":"","parse-names":false,"suffix":""},{"dropping-particle":"","family":"Ebrahim","given":"M. Shahid","non-dropping-particle":"","parse-names":false,"suffix":""},{"dropping-particle":"","family":"Jaafar","given":"Aziz","non-dropping-particle":"","parse-names":false,"suffix":""}],"container-title":"Journal of Financial Services Research","id":"ITEM-6","issue":"2","issued":{"date-parts":[["2017"]]},"page":"169-194","title":"Corporate Social Responsibility, Shariah-Compliance, and Earnings Quality","type":"article-journal","volume":"51"},"uris":["http://www.mendeley.com/documents/?uuid=880f1ae0-19e7-4e75-861f-bcb6776e7b2d"]}],"mendeley":{"formattedCitation":"(Alsaadi, Ebrahim, &amp; Jaafar, 2017; Patricia M. Dechow, Sloan, &amp; Sweeney, 1995; M L. DeFond &amp; Subramanyam, 1998; Jones, 1991; Kothari, Leone, &amp; Wasley, 2005; Mouselli, Jaafar, &amp; Hussainey, 2012)","manualFormatting":"(Dechow et al., 1995; DeFond and Subramanyam, 1998; Jones, 1991; Kothari et al., 2005; Teoh et al., 1998b)","plainTextFormattedCitation":"(Alsaadi, Ebrahim, &amp; Jaafar, 2017; Patricia M. Dechow, Sloan, &amp; Sweeney, 1995; M L. DeFond &amp; Subramanyam, 1998; Jones, 1991; Kothari, Leone, &amp; Wasley, 2005; Mouselli, Jaafar, &amp; Hussainey, 2012)","previouslyFormattedCitation":"(Alsaadi, Ebrahim, &amp; Jaafar, 2017; Patricia M. Dechow, Sloan, &amp; Sweeney, 1995; M L. DeFond &amp; Subramanyam, 1998; Jones, 1991; Kothari, Leone, &amp; Wasley, 2005; Mouselli, Jaafar, &amp; Hussainey, 2012)"},"properties":{"noteIndex":0},"schema":"https://github.com/citation-style-language/schema/raw/master/csl-citation.json"}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(Dechow et al., 1995; DeFond and Subramanyam, 1998; Jones, 1991; Kothari et al., 2005; Teoh et al., 1998b)</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as well as abnormal cash flow from operations and abnormal discretionary expenses to capture </w:t>
      </w:r>
      <w:r w:rsidR="004449D0" w:rsidRPr="00E915AA">
        <w:rPr>
          <w:rFonts w:ascii="Times New Roman" w:eastAsia="Calibri" w:hAnsi="Times New Roman" w:cs="Times New Roman"/>
          <w:bCs/>
          <w:iCs/>
          <w:sz w:val="24"/>
          <w:szCs w:val="24"/>
          <w:lang w:val="en-GB" w:eastAsia="en-GB"/>
        </w:rPr>
        <w:t xml:space="preserve">real earnings management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{"citationItems":[{"id":"ITEM-1","itemData":{"ISBN":"0165-4101","ISSN":"01654101","abstract":"I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reserved.","author":[{"dropping-particle":"","family":"Roychowdhury","given":"S.","non-dropping-particle":"","parse-names":false,"suffix":""}],"container-title":"Journal of Accounting and Economics","id":"ITEM-1","issue":"3","issued":{"date-parts":[["2006"]]},"page":"335-370","title":"Earnings management through real activities manipulation","type":"article-journal","volume":"42"},"uris":["http://www.mendeley.com/documents/?uuid=4ab7e38d-7b68-44ca-a2d2-d046c565fdbd"]},{"id":"ITEM-2","itemData":{"ISSN":"08239150","abstract":"This paper investigates the effect of venture capitalist (VC) quality on earnings management in firms conducting initial public offerings of their equity stock, focusing on manipulation of both accruals and real activities. I develop a measure of VC quality based on a principal components factor analysis using data that are obtainable for virtually all VC firms. This metric is highly correlated with VC funds' financial returns, and with the likelihood of successful exits through initial public offerings or trade sales. After going public, companies backed by higher quality VCs have lower abnormal accruals, lower earnings management through real activities manipulation, and a lower likelihood of financial restatement. Companies backed by top-quartile VCs do not appear to engage in real activities manipulation as a substitute for accruals manipulation. Companies backed by lower-tier VCs exhibit earnings management behaviors which are indistinguishable from those of non-VC-backed companies. The results continue to hold when controlling for endogeneity. Overall, the results suggest that higher quality VCs are better able to constrain opportunistic financial reporting by their portfolio companies going public. © 2012 The Canadian Academic Accounting Association.","author":[{"dropping-particle":"","family":"Wongsunwai","given":"W.","non-dropping-particle":"","parse-names":false,"suffix":""}],"container-title":"Contemporary Accounting Research","id":"ITEM-2","issue":"1","issued":{"date-parts":[["2013"]]},"page":"296-324","title":"The effect of external monitoring on accrual-based and real earnings management: Evidence from venture-backed initial public offerings","type":"article-journal","volume":"30"},"uris":["http://www.mendeley.com/documents/?uuid=9b7d0120-a760-48d3-a753-6c679552a41a"]},{"id":"ITEM-3","itemData":{"abstract":"This paper analyses the relationship between real and accrual earnings management activities and IPO failure risk. While the association between accrual earnings management and IPO failure has been researched in a limited setting, to date, there has been no work that analyses the impact of real activities-based manipulation on the probability of IPO failure. Based on a sample of 570 UK IPO firms that went public over the period 1998-2008, we find evidence that IPO firms manipulate earnings upward utilising real and accrual earnings management during the IPO year. We also find that IPO firms with high levels of real and/or accrual earnings management during the IPO year have a higher probability of IPO failure and lower survival rates in subsequent periods. In addition, we find that IPO firms experience a higher probability of IPO failure and lower survival rates in the post-IPO period when greater real earnings management takes place during the IPO as compared to accrual earnings management. While our work contributes to the growing literature on real and accrual earnings management around IPOs, the majority of our failed IPO events are from the Alternative Investment Market and occur during the financial crisis. Future research, therefore, should consider whether these results are generalisable to more developed firms and less turbulent economic environments.","author":[{"dropping-particle":"","family":"Alhadab","given":"M.","non-dropping-particle":"","parse-names":false,"suffix":""},{"dropping-particle":"","family":"Clacher","given":"I.","non-dropping-particle":"","parse-names":false,"suffix":""},{"dropping-particle":"","family":"Keasey","given":"K.","non-dropping-particle":"","parse-names":false,"suffix":""}],"container-title":"Accounting and Business Research","id":"ITEM-3","issue":"1","issued":{"date-parts":[["2015"]]},"note":"3","page":"55-92","publisher":"Taylor &amp; Francis","title":"Real and accrual earnings management and IPO failure risk","type":"article-journal","volume":"45"},"uris":["http://www.mendeley.com/documents/?uuid=48e6a725-f4b4-46ad-b4c3-6bf849bf8da1"]}],"mendeley":{"formattedCitation":"(Alhadab et al., 2015; Roychowdhury, 2006; Wongsunwai, 2013)","manualFormatting":"(Roychowdhury, 2006)","plainTextFormattedCitation":"(Alhadab et al., 2015; Roychowdhury, 2006; Wongsunwai, 2013)","previouslyFormattedCitation":"(Alhadab et al., 2015; Roychowdhury, 2006; Wongsunwai, 2013)"},"properties":{"noteIndex":0},"schema":"https://github.com/citation-style-language/schema/raw/master/csl-citation.json"}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(Roychowdhury, 2006)</w:t>
      </w:r>
      <w:r w:rsidRPr="00E915AA">
        <w:rPr>
          <w:rFonts w:ascii="Times New Roman" w:eastAsia="Calibri" w:hAnsi="Times New Roman" w:cs="Times New Roman"/>
          <w:bCs/>
          <w:iCs/>
          <w:sz w:val="24"/>
          <w:szCs w:val="24"/>
          <w:lang w:val="en-GB" w:eastAsia="en-GB"/>
        </w:rPr>
        <w:fldChar w:fldCharType="end"/>
      </w:r>
      <w:r w:rsidR="00042DB7" w:rsidRPr="00E915AA">
        <w:rPr>
          <w:rFonts w:ascii="Times New Roman" w:eastAsia="Calibri" w:hAnsi="Times New Roman" w:cs="Times New Roman"/>
          <w:bCs/>
          <w:iCs/>
          <w:sz w:val="24"/>
          <w:szCs w:val="24"/>
          <w:lang w:val="en-GB" w:eastAsia="en-GB"/>
        </w:rPr>
        <w:t xml:space="preserve"> as detailed in Appendix D</w:t>
      </w:r>
      <w:r w:rsidRPr="00E915AA">
        <w:rPr>
          <w:rFonts w:ascii="Times New Roman" w:eastAsia="Calibri" w:hAnsi="Times New Roman" w:cs="Times New Roman"/>
          <w:bCs/>
          <w:iCs/>
          <w:sz w:val="24"/>
          <w:szCs w:val="24"/>
          <w:lang w:val="en-GB" w:eastAsia="en-GB"/>
        </w:rPr>
        <w:t>.</w:t>
      </w:r>
      <w:r w:rsidR="004449D0" w:rsidRPr="00E915AA">
        <w:rPr>
          <w:rFonts w:ascii="Times New Roman" w:eastAsia="Calibri" w:hAnsi="Times New Roman" w:cs="Times New Roman"/>
          <w:bCs/>
          <w:iCs/>
          <w:sz w:val="24"/>
          <w:szCs w:val="24"/>
          <w:lang w:val="en-GB" w:eastAsia="en-GB"/>
        </w:rPr>
        <w:t xml:space="preserve"> </w:t>
      </w:r>
      <w:r w:rsidR="00D955E0" w:rsidRPr="00E915AA">
        <w:rPr>
          <w:rFonts w:ascii="Times New Roman" w:eastAsia="Calibri" w:hAnsi="Times New Roman" w:cs="Times New Roman"/>
          <w:bCs/>
          <w:iCs/>
          <w:sz w:val="24"/>
          <w:szCs w:val="24"/>
          <w:lang w:val="en-GB" w:eastAsia="en-GB"/>
        </w:rPr>
        <w:t xml:space="preserve">The EM metrics are measured in the year prior to the year of IPO filing. </w:t>
      </w:r>
      <w:r w:rsidRPr="00E915AA">
        <w:rPr>
          <w:rFonts w:ascii="Times New Roman" w:eastAsia="Calibri" w:hAnsi="Times New Roman" w:cs="Times New Roman"/>
          <w:bCs/>
          <w:iCs/>
          <w:sz w:val="24"/>
          <w:szCs w:val="24"/>
          <w:lang w:val="en-GB" w:eastAsia="en-GB"/>
        </w:rPr>
        <w:t>The higher the extent of earnings management by the IPO firms, the more likely it is that S-1 filings prepared by issuers have low</w:t>
      </w:r>
      <w:r w:rsidR="00DC044F" w:rsidRPr="00E915AA">
        <w:rPr>
          <w:rFonts w:ascii="Times New Roman" w:eastAsia="Calibri" w:hAnsi="Times New Roman" w:cs="Times New Roman"/>
          <w:bCs/>
          <w:iCs/>
          <w:sz w:val="24"/>
          <w:szCs w:val="24"/>
          <w:lang w:val="en-GB" w:eastAsia="en-GB"/>
        </w:rPr>
        <w:t>-</w:t>
      </w:r>
      <w:r w:rsidRPr="00E915AA">
        <w:rPr>
          <w:rFonts w:ascii="Times New Roman" w:eastAsia="Calibri" w:hAnsi="Times New Roman" w:cs="Times New Roman"/>
          <w:bCs/>
          <w:iCs/>
          <w:sz w:val="24"/>
          <w:szCs w:val="24"/>
          <w:lang w:val="en-GB" w:eastAsia="en-GB"/>
        </w:rPr>
        <w:t>quality earning numbers.</w:t>
      </w:r>
    </w:p>
    <w:p w14:paraId="76283A32" w14:textId="77777777" w:rsidR="002C6719" w:rsidRPr="00E915AA" w:rsidRDefault="002C6719" w:rsidP="006F305B">
      <w:pPr>
        <w:rPr>
          <w:rFonts w:ascii="Times New Roman" w:eastAsia="Yu Mincho" w:hAnsi="Times New Roman" w:cs="Times New Roman"/>
          <w:b/>
          <w:bCs/>
          <w:iCs/>
          <w:sz w:val="24"/>
          <w:szCs w:val="24"/>
          <w:lang w:val="en-GB" w:eastAsia="en-GB"/>
        </w:rPr>
      </w:pPr>
      <w:bookmarkStart w:id="24" w:name="_Toc69749301"/>
      <w:r w:rsidRPr="00E915AA">
        <w:rPr>
          <w:rFonts w:ascii="Times New Roman" w:eastAsia="Yu Mincho" w:hAnsi="Times New Roman" w:cs="Times New Roman"/>
          <w:b/>
          <w:bCs/>
          <w:iCs/>
          <w:sz w:val="24"/>
          <w:szCs w:val="24"/>
          <w:lang w:val="en-GB" w:eastAsia="en-GB"/>
        </w:rPr>
        <w:t>Control variables</w:t>
      </w:r>
      <w:bookmarkEnd w:id="24"/>
    </w:p>
    <w:p w14:paraId="694DD883" w14:textId="139EA5EE"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Following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{"citationItems":[{"id":"ITEM-1","itemData":{"author":[{"dropping-particle":"","family":"Cassell","given":"C. A.","non-dropping-particle":"","parse-names":false,"suffix":""},{"dropping-particle":"","family":"Dreher","given":"L. M.","non-dropping-particle":"","parse-names":false,"suffix":""},{"dropping-particle":"","family":"Myers","given":"L. A.","non-dropping-particle":"","parse-names":false,"suffix":""}],"container-title":"The Accounting Review","id":"ITEM-1","issue":"6","issued":{"date-parts":[["2013"]]},"page":"1875-1908","title":"Reviewing the SEC's review process: 10-K comment letters and the cost of remediation","type":"article-journal","volume":"88"},"uris":["http://www.mendeley.com/documents/?uuid=dea718b9-c36f-49a6-a8c7-49415620a7b4"]},{"id":"ITEM-2","itemData":{"author":[{"dropping-particle":"","family":"Duro","given":"Miguel","non-dropping-particle":"","parse-names":false,"suffix":""},{"dropping-particle":"","family":"Heese","given":"Jonas","non-dropping-particle":"","parse-names":false,"suffix":""},{"dropping-particle":"","family":"Ormazabal","given":"Gaizka","non-dropping-particle":"","parse-names":false,"suffix":""}],"container-title":"CEPR Discussion Paper No. DP12145","id":"ITEM-2","issued":{"date-parts":[["2017"]]},"note":"We classify the content of the CLs (both public and private) based on the taxonomy described in Appendix B. Specifically, in line with prior research (e.g., Cassell et al., 2013), we code the following variables. \n+        Examination Length is the number of days from the first letter to the last letter. \n+        Time from filing date is the number of days from the firm’s 10-K filing to the start of the SEC’s firm review (i.e., until the date of the first CL). \n+        Total Comments is the total number of unique topics raised by the SEC. \n+        Accounting Comments is the total number of comments classified as “Accounting Rules and Disclosure”. \n+        Accounting Core Comments is the total number of accounting comments (sub)classified as “Accounts receivable &amp;amp; cash reporting issues”, “Depreciation, depletion, or amortization reporting issues”, “Expense (payroll, SGA, other) recording issues”, “Inventory, vendor, and/or cost of sales issues”, “Lease, leasehold issues (FAS 13 (98) and IAS 17)”, “Liabilities, payables, and accrual estimate issues”, “Revenue recognition (including deferred revenue) issues”, “Percentage of completion issues” and “Research and Development issues”. \n+        Accounting Non-Core Comments is the total number of comments classified as “Accounting Rules and Disclosure” and not coded as Accounting Core Comments. Operational, Control and Risk \n+        Comments is the total number of comments classified as such (see Appendix B for details).","title":"Does the public disclosure of the SEC's oversight actions matter ?","type":"article-journal"},"uris":["http://www.mendeley.com/documents/?uuid=1244073f-8151-4447-8b41-8cd7e5d57e28"]},{"id":"ITEM-3","itemData":{"ISSN":"01654101","abstract":"SEC oversight of publicly listed firms ranges from comment letter (CL) reviews of firms’ reporting compliance to pursuing enforcement actions against violators. Prior literature finds that firm political connections (PC) negatively predict enforcement actions, inferring SEC capture. We present new evidence that firm PC positively predict CL reviews and substantive characteristics of such reviews, including the number of issues evaluated and the seniority of SEC staff involved. These results, robust to identification concerns, are inconsistent with SEC capture and indicate a more nuanced relation between firm PC and SEC oversight than previously suggested.","author":[{"dropping-particle":"","family":"Heese","given":"Jonas","non-dropping-particle":"","parse-names":false,"suffix":""},{"dropping-particle":"","family":"Khan","given":"Mozaffar","non-dropping-particle":"","parse-names":false,"suffix":""},{"dropping-particle":"","family":"Ramanna","given":"Karthik","non-dropping-particle":"","parse-names":false,"suffix":""}],"container-title":"Journal of Accounting and Economics","id":"ITEM-3","issue":"1","issued":{"date-parts":[["2017"]]},"page":"98-122","title":"Is the SEC captured? Evidence from comment-letter reviews","type":"article-journal","volume":"64"},"uris":["http://www.mendeley.com/documents/?uuid=98505591-58a4-4e58-99ad-9f9350630e93"]},{"id":"ITEM-4","itemData":{"ISBN":"7133486296","ISSN":"19113846","PMID":"25246403","abstract":"The Securities and Exchange Commission (SEC) reviews company filings (10Q, 10K, S1, etc.) submitted to them. If a review identifies potential deficiencies, the SEC staff sends the company a comment letter seeking clarification, additional information, and ultimately perhaps, revision of the filing or future filings. We explore the content and resolution of SEC comment letters and then examine the informational consequences of letter resolution. The content analysis shows that nearly half of all comments involve accounting application, financial reporting, and disclosure issues. More than 17% of our sample immediately amend filings to resolve comment letters, and financial statements and/or footnotes are frequently revised. Following comment letter resolution, absolute abnormal returns and trading volume around earning announcements decline and analyst forecast accuracy improves. We conclude the SEC’s oversight has beneficial informational effects.","author":[{"dropping-particle":"","family":"Johnston","given":"Rick","non-dropping-particle":"","parse-names":false,"suffix":""},{"dropping-particle":"","family":"Petacchi","given":"Reining","non-dropping-particle":"","parse-names":false,"suffix":""}],"container-title":"Contemporary Accounting Research","id":"ITEM-4","issue":"2","issued":{"date-parts":[["2017"]]},"page":"1128-1155","title":"The effect of regulator oversight on firms' information environment: Securities and exchange commission comment letters","type":"article-journal","volume":"34"},"uris":["http://www.mendeley.com/documents/?uuid=6f0a5987-96ef-4573-9c9a-4445f9fb6ad8"]}],"mendeley":{"formattedCitation":"(C. A. Cassell et al., 2013; Duro et al., 2017; Heese et al., 2017; Johnston &amp; Petacchi, 2017)","manualFormatting":"Cassell et al.  (2013), Duro et al. (2017), Ertimur &amp; Nondorf (2006), Ettredge et al. (2011), Heese et al., (2017), Johnston &amp; Petacchi (2017)","plainTextFormattedCitation":"(C. A. Cassell et al., 2013; Duro et al., 2017; Heese et al., 2017; Johnston &amp; Petacchi, 2017)","previouslyFormattedCitation":"(C. A. Cassell et al., 2013; Duro et al., 2017; Heese et al., 2017; Johnston &amp; Petacchi, 2017)"},"properties":{"noteIndex":0},"schema":"https://github.com/citation-style-language/schema/raw/master/csl-citation.json"}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Cassell et al.  (2013), Duro et al. (2017), Ertimur &amp; Nondorf (2006), Ettredge et al. (2011), Heese et al. (2017), Johnston &amp; Petacchi (2017)</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and Robinson et al. (2011), firm characteristics that have been shown to predict the extensiveness of SEC reviews are included as control variables. Specifically, </w:t>
      </w:r>
      <w:proofErr w:type="spellStart"/>
      <w:r w:rsidRPr="00E915AA">
        <w:rPr>
          <w:rFonts w:ascii="Times New Roman" w:eastAsia="Calibri" w:hAnsi="Times New Roman" w:cs="Times New Roman"/>
          <w:i/>
          <w:iCs/>
          <w:sz w:val="24"/>
          <w:szCs w:val="24"/>
          <w:lang w:val="en-GB" w:eastAsia="en-GB"/>
        </w:rPr>
        <w:t>Ln</w:t>
      </w:r>
      <w:r w:rsidRPr="00E915AA">
        <w:rPr>
          <w:rFonts w:ascii="Times New Roman" w:eastAsia="Calibri" w:hAnsi="Times New Roman" w:cs="Times New Roman"/>
          <w:i/>
          <w:iCs/>
          <w:color w:val="000000"/>
          <w:sz w:val="24"/>
          <w:szCs w:val="24"/>
          <w:shd w:val="clear" w:color="auto" w:fill="FFFFFF"/>
          <w:lang w:val="en-GB" w:eastAsia="en-GB"/>
        </w:rPr>
        <w:t>Size</w:t>
      </w:r>
      <w:proofErr w:type="spellEnd"/>
      <w:r w:rsidRPr="00E915AA">
        <w:rPr>
          <w:rFonts w:ascii="Times New Roman" w:eastAsia="Calibri" w:hAnsi="Times New Roman" w:cs="Times New Roman"/>
          <w:i/>
          <w:iCs/>
          <w:color w:val="000000"/>
          <w:sz w:val="24"/>
          <w:szCs w:val="24"/>
          <w:shd w:val="clear" w:color="auto" w:fill="FFFFFF"/>
          <w:lang w:val="en-GB" w:eastAsia="en-GB"/>
        </w:rPr>
        <w:t xml:space="preserve"> </w:t>
      </w:r>
      <w:r w:rsidRPr="00E915AA">
        <w:rPr>
          <w:rFonts w:ascii="Times New Roman" w:eastAsia="Calibri" w:hAnsi="Times New Roman" w:cs="Times New Roman"/>
          <w:color w:val="000000"/>
          <w:sz w:val="24"/>
          <w:szCs w:val="24"/>
          <w:shd w:val="clear" w:color="auto" w:fill="FFFFFF"/>
          <w:lang w:val="en-GB" w:eastAsia="en-GB"/>
        </w:rPr>
        <w:t>is measured as the natural logarithm of total assets of firm </w:t>
      </w:r>
      <w:proofErr w:type="spellStart"/>
      <w:r w:rsidRPr="00E915AA">
        <w:rPr>
          <w:rFonts w:ascii="Times New Roman" w:eastAsia="Calibri" w:hAnsi="Times New Roman" w:cs="Times New Roman"/>
          <w:color w:val="000000"/>
          <w:sz w:val="24"/>
          <w:szCs w:val="24"/>
          <w:shd w:val="clear" w:color="auto" w:fill="FFFFFF"/>
          <w:lang w:val="en-GB" w:eastAsia="en-GB"/>
        </w:rPr>
        <w:t>i</w:t>
      </w:r>
      <w:proofErr w:type="spellEnd"/>
      <w:r w:rsidRPr="00E915AA">
        <w:rPr>
          <w:rFonts w:ascii="Times New Roman" w:eastAsia="Calibri" w:hAnsi="Times New Roman" w:cs="Times New Roman"/>
          <w:color w:val="000000"/>
          <w:sz w:val="24"/>
          <w:szCs w:val="24"/>
          <w:shd w:val="clear" w:color="auto" w:fill="FFFFFF"/>
          <w:lang w:val="en-GB" w:eastAsia="en-GB"/>
        </w:rPr>
        <w:t> in year t-1</w:t>
      </w:r>
      <w:r w:rsidR="00EF7E84" w:rsidRPr="00E915AA">
        <w:rPr>
          <w:rFonts w:ascii="Times New Roman" w:eastAsia="Calibri" w:hAnsi="Times New Roman" w:cs="Times New Roman"/>
          <w:color w:val="000000"/>
          <w:sz w:val="24"/>
          <w:szCs w:val="24"/>
          <w:shd w:val="clear" w:color="auto" w:fill="FFFFFF"/>
          <w:lang w:val="en-GB" w:eastAsia="en-GB"/>
        </w:rPr>
        <w:t xml:space="preserve">. </w:t>
      </w:r>
      <w:r w:rsidRPr="00E915AA">
        <w:rPr>
          <w:rFonts w:ascii="Times New Roman" w:eastAsia="Calibri" w:hAnsi="Times New Roman" w:cs="Times New Roman"/>
          <w:i/>
          <w:iCs/>
          <w:color w:val="000000"/>
          <w:sz w:val="24"/>
          <w:szCs w:val="24"/>
          <w:shd w:val="clear" w:color="auto" w:fill="FFFFFF"/>
          <w:lang w:val="en-GB" w:eastAsia="en-GB"/>
        </w:rPr>
        <w:t>Firm age </w:t>
      </w:r>
      <w:r w:rsidRPr="00E915AA">
        <w:rPr>
          <w:rFonts w:ascii="Times New Roman" w:eastAsia="Calibri" w:hAnsi="Times New Roman" w:cs="Times New Roman"/>
          <w:color w:val="000000"/>
          <w:sz w:val="24"/>
          <w:szCs w:val="24"/>
          <w:shd w:val="clear" w:color="auto" w:fill="FFFFFF"/>
          <w:lang w:val="en-GB" w:eastAsia="en-GB"/>
        </w:rPr>
        <w:t xml:space="preserve">is measured as the number of years since the firm first appeared </w:t>
      </w:r>
      <w:r w:rsidRPr="00E915AA">
        <w:rPr>
          <w:rFonts w:ascii="Times New Roman" w:eastAsia="Calibri" w:hAnsi="Times New Roman" w:cs="Times New Roman"/>
          <w:color w:val="000000"/>
          <w:sz w:val="24"/>
          <w:szCs w:val="24"/>
          <w:shd w:val="clear" w:color="auto" w:fill="FFFFFF"/>
          <w:lang w:val="en-GB" w:eastAsia="en-GB"/>
        </w:rPr>
        <w:lastRenderedPageBreak/>
        <w:t>on </w:t>
      </w:r>
      <w:proofErr w:type="spellStart"/>
      <w:r w:rsidRPr="00E915AA">
        <w:rPr>
          <w:rFonts w:ascii="Times New Roman" w:eastAsia="Calibri" w:hAnsi="Times New Roman" w:cs="Times New Roman"/>
          <w:color w:val="000000"/>
          <w:sz w:val="24"/>
          <w:szCs w:val="24"/>
          <w:shd w:val="clear" w:color="auto" w:fill="FFFFFF"/>
          <w:lang w:val="en-GB" w:eastAsia="en-GB"/>
        </w:rPr>
        <w:t>Compustat</w:t>
      </w:r>
      <w:proofErr w:type="spellEnd"/>
      <w:r w:rsidRPr="00E915AA">
        <w:rPr>
          <w:rFonts w:ascii="Times New Roman" w:eastAsia="Calibri" w:hAnsi="Times New Roman" w:cs="Times New Roman"/>
          <w:color w:val="000000"/>
          <w:sz w:val="24"/>
          <w:szCs w:val="24"/>
          <w:shd w:val="clear" w:color="auto" w:fill="FFFFFF"/>
          <w:lang w:val="en-GB" w:eastAsia="en-GB"/>
        </w:rPr>
        <w:t> up to year t-1. </w:t>
      </w:r>
      <w:r w:rsidRPr="00E915AA">
        <w:rPr>
          <w:rFonts w:ascii="Times New Roman" w:eastAsia="Calibri" w:hAnsi="Times New Roman" w:cs="Times New Roman"/>
          <w:i/>
          <w:iCs/>
          <w:color w:val="000000"/>
          <w:sz w:val="24"/>
          <w:szCs w:val="24"/>
          <w:shd w:val="clear" w:color="auto" w:fill="FFFFFF"/>
          <w:lang w:val="en-GB" w:eastAsia="en-GB"/>
        </w:rPr>
        <w:t>Segments </w:t>
      </w:r>
      <w:r w:rsidRPr="00E915AA">
        <w:rPr>
          <w:rFonts w:ascii="Times New Roman" w:eastAsia="Calibri" w:hAnsi="Times New Roman" w:cs="Times New Roman"/>
          <w:color w:val="000000"/>
          <w:sz w:val="24"/>
          <w:szCs w:val="24"/>
          <w:shd w:val="clear" w:color="auto" w:fill="FFFFFF"/>
          <w:lang w:val="en-GB" w:eastAsia="en-GB"/>
        </w:rPr>
        <w:t xml:space="preserve">is measured as the number of unique segment industry codes reported on </w:t>
      </w:r>
      <w:proofErr w:type="spellStart"/>
      <w:r w:rsidRPr="00E915AA">
        <w:rPr>
          <w:rFonts w:ascii="Times New Roman" w:eastAsia="Calibri" w:hAnsi="Times New Roman" w:cs="Times New Roman"/>
          <w:color w:val="000000"/>
          <w:sz w:val="24"/>
          <w:szCs w:val="24"/>
          <w:shd w:val="clear" w:color="auto" w:fill="FFFFFF"/>
          <w:lang w:val="en-GB" w:eastAsia="en-GB"/>
        </w:rPr>
        <w:t>Compustat</w:t>
      </w:r>
      <w:proofErr w:type="spellEnd"/>
      <w:r w:rsidRPr="00E915AA">
        <w:rPr>
          <w:rFonts w:ascii="Times New Roman" w:eastAsia="Calibri" w:hAnsi="Times New Roman" w:cs="Times New Roman"/>
          <w:color w:val="000000"/>
          <w:sz w:val="24"/>
          <w:szCs w:val="24"/>
          <w:shd w:val="clear" w:color="auto" w:fill="FFFFFF"/>
          <w:lang w:val="en-GB" w:eastAsia="en-GB"/>
        </w:rPr>
        <w:t xml:space="preserve"> for year t-1. </w:t>
      </w:r>
      <w:r w:rsidRPr="00E915AA">
        <w:rPr>
          <w:rFonts w:ascii="Times New Roman" w:eastAsia="Calibri" w:hAnsi="Times New Roman" w:cs="Times New Roman"/>
          <w:i/>
          <w:iCs/>
          <w:color w:val="000000"/>
          <w:sz w:val="24"/>
          <w:szCs w:val="24"/>
          <w:shd w:val="clear" w:color="auto" w:fill="FFFFFF"/>
          <w:lang w:val="en-GB" w:eastAsia="en-GB"/>
        </w:rPr>
        <w:t>Restructuring </w:t>
      </w:r>
      <w:r w:rsidRPr="00E915AA">
        <w:rPr>
          <w:rFonts w:ascii="Times New Roman" w:eastAsia="Calibri" w:hAnsi="Times New Roman" w:cs="Times New Roman"/>
          <w:color w:val="000000"/>
          <w:sz w:val="24"/>
          <w:szCs w:val="24"/>
          <w:shd w:val="clear" w:color="auto" w:fill="FFFFFF"/>
          <w:lang w:val="en-GB" w:eastAsia="en-GB"/>
        </w:rPr>
        <w:t>is set equal to 1 if the firm has non-zero restructuring costs on a pre-tax basis in year t-1</w:t>
      </w:r>
      <w:r w:rsidR="00EF7E84" w:rsidRPr="00E915AA">
        <w:rPr>
          <w:rFonts w:ascii="Times New Roman" w:eastAsia="Calibri" w:hAnsi="Times New Roman" w:cs="Times New Roman"/>
          <w:color w:val="000000"/>
          <w:sz w:val="24"/>
          <w:szCs w:val="24"/>
          <w:shd w:val="clear" w:color="auto" w:fill="FFFFFF"/>
          <w:lang w:val="en-GB" w:eastAsia="en-GB"/>
        </w:rPr>
        <w:t xml:space="preserve"> </w:t>
      </w:r>
      <w:r w:rsidRPr="00E915AA">
        <w:rPr>
          <w:rFonts w:ascii="Times New Roman" w:eastAsia="Calibri" w:hAnsi="Times New Roman" w:cs="Times New Roman"/>
          <w:color w:val="000000"/>
          <w:sz w:val="24"/>
          <w:szCs w:val="24"/>
          <w:shd w:val="clear" w:color="auto" w:fill="FFFFFF"/>
          <w:lang w:val="en-GB" w:eastAsia="en-GB"/>
        </w:rPr>
        <w:t>(i.e.</w:t>
      </w:r>
      <w:r w:rsidR="00DC044F" w:rsidRPr="00E915AA">
        <w:rPr>
          <w:rFonts w:ascii="Times New Roman" w:eastAsia="Calibri" w:hAnsi="Times New Roman" w:cs="Times New Roman"/>
          <w:color w:val="000000"/>
          <w:sz w:val="24"/>
          <w:szCs w:val="24"/>
          <w:shd w:val="clear" w:color="auto" w:fill="FFFFFF"/>
          <w:lang w:val="en-GB" w:eastAsia="en-GB"/>
        </w:rPr>
        <w:t>,</w:t>
      </w:r>
      <w:r w:rsidRPr="00E915AA">
        <w:rPr>
          <w:rFonts w:ascii="Times New Roman" w:eastAsia="Calibri" w:hAnsi="Times New Roman" w:cs="Times New Roman"/>
          <w:color w:val="000000"/>
          <w:sz w:val="24"/>
          <w:szCs w:val="24"/>
          <w:shd w:val="clear" w:color="auto" w:fill="FFFFFF"/>
          <w:lang w:val="en-GB" w:eastAsia="en-GB"/>
        </w:rPr>
        <w:t> the IPO firm has engaged in restructuring activities) and 0 otherwise. </w:t>
      </w:r>
      <w:r w:rsidRPr="00E915AA">
        <w:rPr>
          <w:rFonts w:ascii="Times New Roman" w:eastAsia="Calibri" w:hAnsi="Times New Roman" w:cs="Times New Roman"/>
          <w:i/>
          <w:iCs/>
          <w:color w:val="000000"/>
          <w:sz w:val="24"/>
          <w:szCs w:val="24"/>
          <w:shd w:val="clear" w:color="auto" w:fill="FFFFFF"/>
          <w:lang w:val="en-GB" w:eastAsia="en-GB"/>
        </w:rPr>
        <w:t>M&amp;A</w:t>
      </w:r>
      <w:r w:rsidRPr="00E915AA">
        <w:rPr>
          <w:rFonts w:ascii="Times New Roman" w:eastAsia="Calibri" w:hAnsi="Times New Roman" w:cs="Times New Roman"/>
          <w:color w:val="000000"/>
          <w:sz w:val="24"/>
          <w:szCs w:val="24"/>
          <w:shd w:val="clear" w:color="auto" w:fill="FFFFFF"/>
          <w:lang w:val="en-GB" w:eastAsia="en-GB"/>
        </w:rPr>
        <w:t> is set equal to 1 if firm </w:t>
      </w:r>
      <w:proofErr w:type="spellStart"/>
      <w:r w:rsidRPr="00E915AA">
        <w:rPr>
          <w:rFonts w:ascii="Times New Roman" w:eastAsia="Calibri" w:hAnsi="Times New Roman" w:cs="Times New Roman"/>
          <w:color w:val="000000"/>
          <w:sz w:val="24"/>
          <w:szCs w:val="24"/>
          <w:shd w:val="clear" w:color="auto" w:fill="FFFFFF"/>
          <w:lang w:val="en-GB" w:eastAsia="en-GB"/>
        </w:rPr>
        <w:t>i</w:t>
      </w:r>
      <w:proofErr w:type="spellEnd"/>
      <w:r w:rsidRPr="00E915AA">
        <w:rPr>
          <w:rFonts w:ascii="Times New Roman" w:eastAsia="Calibri" w:hAnsi="Times New Roman" w:cs="Times New Roman"/>
          <w:color w:val="000000"/>
          <w:sz w:val="24"/>
          <w:szCs w:val="24"/>
          <w:shd w:val="clear" w:color="auto" w:fill="FFFFFF"/>
          <w:lang w:val="en-GB" w:eastAsia="en-GB"/>
        </w:rPr>
        <w:t> has non-zero acquisition or merger costs on a pre-tax basis in year t-1 (i.e.</w:t>
      </w:r>
      <w:r w:rsidR="00DC044F" w:rsidRPr="00E915AA">
        <w:rPr>
          <w:rFonts w:ascii="Times New Roman" w:eastAsia="Calibri" w:hAnsi="Times New Roman" w:cs="Times New Roman"/>
          <w:color w:val="000000"/>
          <w:sz w:val="24"/>
          <w:szCs w:val="24"/>
          <w:shd w:val="clear" w:color="auto" w:fill="FFFFFF"/>
          <w:lang w:val="en-GB" w:eastAsia="en-GB"/>
        </w:rPr>
        <w:t>,</w:t>
      </w:r>
      <w:r w:rsidRPr="00E915AA">
        <w:rPr>
          <w:rFonts w:ascii="Times New Roman" w:eastAsia="Calibri" w:hAnsi="Times New Roman" w:cs="Times New Roman"/>
          <w:color w:val="000000"/>
          <w:sz w:val="24"/>
          <w:szCs w:val="24"/>
          <w:shd w:val="clear" w:color="auto" w:fill="FFFFFF"/>
          <w:lang w:val="en-GB" w:eastAsia="en-GB"/>
        </w:rPr>
        <w:t> the IPO firm has engaged in merger and acquisition activities) and 0 otherwise. </w:t>
      </w:r>
      <w:r w:rsidR="00E06E56"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control variable for audit quality (</w:t>
      </w:r>
      <w:r w:rsidRPr="00E915AA">
        <w:rPr>
          <w:rFonts w:ascii="Times New Roman" w:eastAsia="Calibri" w:hAnsi="Times New Roman" w:cs="Times New Roman"/>
          <w:i/>
          <w:sz w:val="24"/>
          <w:szCs w:val="24"/>
          <w:lang w:val="en-GB" w:eastAsia="en-GB"/>
        </w:rPr>
        <w:t xml:space="preserve">Big 4) </w:t>
      </w:r>
      <w:r w:rsidR="00E06E56" w:rsidRPr="00E915AA">
        <w:rPr>
          <w:rFonts w:ascii="Times New Roman" w:eastAsia="Calibri" w:hAnsi="Times New Roman" w:cs="Times New Roman"/>
          <w:iCs/>
          <w:sz w:val="24"/>
          <w:szCs w:val="24"/>
          <w:lang w:val="en-GB" w:eastAsia="en-GB"/>
        </w:rPr>
        <w:t xml:space="preserve">is also included, </w:t>
      </w:r>
      <w:r w:rsidR="00AE1A91" w:rsidRPr="00E915AA">
        <w:rPr>
          <w:rFonts w:ascii="Times New Roman" w:eastAsia="Calibri" w:hAnsi="Times New Roman" w:cs="Times New Roman"/>
          <w:sz w:val="24"/>
          <w:szCs w:val="24"/>
          <w:lang w:val="en-GB" w:eastAsia="en-GB"/>
        </w:rPr>
        <w:t xml:space="preserve">which is </w:t>
      </w:r>
      <w:r w:rsidRPr="00E915AA">
        <w:rPr>
          <w:rFonts w:ascii="Times New Roman" w:eastAsia="Calibri" w:hAnsi="Times New Roman" w:cs="Times New Roman"/>
          <w:sz w:val="24"/>
          <w:szCs w:val="24"/>
          <w:lang w:val="en-GB" w:eastAsia="en-GB"/>
        </w:rPr>
        <w:t>set equal to 1 if the firm’s auditor in year t-1 is one of the Big 4 accounting firms, and 0 otherwise</w:t>
      </w:r>
      <w:r w:rsidR="00E06E56" w:rsidRPr="00E915AA">
        <w:rPr>
          <w:rFonts w:ascii="Times New Roman" w:eastAsia="Calibri" w:hAnsi="Times New Roman" w:cs="Times New Roman"/>
          <w:sz w:val="24"/>
          <w:szCs w:val="24"/>
          <w:lang w:val="en-GB" w:eastAsia="en-GB"/>
        </w:rPr>
        <w:t xml:space="preserve">, as well as a </w:t>
      </w:r>
      <w:proofErr w:type="spellStart"/>
      <w:r w:rsidRPr="00E915AA">
        <w:rPr>
          <w:rFonts w:ascii="Times New Roman" w:eastAsia="Calibri" w:hAnsi="Times New Roman" w:cs="Times New Roman"/>
          <w:i/>
          <w:sz w:val="24"/>
          <w:szCs w:val="24"/>
          <w:lang w:val="en-GB" w:eastAsia="en-GB"/>
        </w:rPr>
        <w:t>CEOchairperson</w:t>
      </w:r>
      <w:proofErr w:type="spellEnd"/>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sz w:val="24"/>
          <w:szCs w:val="24"/>
          <w:lang w:val="en-GB" w:eastAsia="en-GB"/>
        </w:rPr>
        <w:t>indicator variable which equals 1 if the firm has a CEO that is also the chair of the board in year t</w:t>
      </w:r>
      <w:r w:rsidR="004449D0" w:rsidRPr="00E915AA">
        <w:rPr>
          <w:rFonts w:ascii="Times New Roman" w:eastAsia="Calibri" w:hAnsi="Times New Roman" w:cs="Times New Roman"/>
          <w:sz w:val="24"/>
          <w:szCs w:val="24"/>
          <w:lang w:val="en-GB" w:eastAsia="en-GB"/>
        </w:rPr>
        <w:t>-1</w:t>
      </w:r>
      <w:r w:rsidRPr="00E915AA">
        <w:rPr>
          <w:rFonts w:ascii="Times New Roman" w:eastAsia="Calibri" w:hAnsi="Times New Roman" w:cs="Times New Roman"/>
          <w:sz w:val="24"/>
          <w:szCs w:val="24"/>
          <w:lang w:val="en-GB" w:eastAsia="en-GB"/>
        </w:rPr>
        <w:t>, and 0 otherwise (Hesse et al., 2017).</w:t>
      </w:r>
    </w:p>
    <w:p w14:paraId="6A780FAD" w14:textId="40FFF306"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Furthermore, </w:t>
      </w:r>
      <w:r w:rsidR="009200A1" w:rsidRPr="00E915AA">
        <w:rPr>
          <w:rFonts w:ascii="Times New Roman" w:eastAsia="Calibri" w:hAnsi="Times New Roman" w:cs="Times New Roman"/>
          <w:sz w:val="24"/>
          <w:szCs w:val="24"/>
          <w:lang w:val="en-GB" w:eastAsia="en-GB"/>
        </w:rPr>
        <w:t xml:space="preserve">variables reflecting </w:t>
      </w:r>
      <w:r w:rsidRPr="00E915AA">
        <w:rPr>
          <w:rFonts w:ascii="Times New Roman" w:eastAsia="Calibri" w:hAnsi="Times New Roman" w:cs="Times New Roman"/>
          <w:sz w:val="24"/>
          <w:szCs w:val="24"/>
          <w:lang w:val="en-GB" w:eastAsia="en-GB"/>
        </w:rPr>
        <w:t>IPO firms’ financial health</w:t>
      </w:r>
      <w:r w:rsidR="00DC044F"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debt levels (</w:t>
      </w:r>
      <w:r w:rsidRPr="00E915AA">
        <w:rPr>
          <w:rFonts w:ascii="Times New Roman" w:eastAsia="Calibri" w:hAnsi="Times New Roman" w:cs="Times New Roman"/>
          <w:i/>
          <w:sz w:val="24"/>
          <w:szCs w:val="24"/>
          <w:lang w:val="en-GB" w:eastAsia="en-GB"/>
        </w:rPr>
        <w:t xml:space="preserve">Leverage) </w:t>
      </w:r>
      <w:r w:rsidRPr="00E915AA">
        <w:rPr>
          <w:rFonts w:ascii="Times New Roman" w:eastAsia="Calibri" w:hAnsi="Times New Roman" w:cs="Times New Roman"/>
          <w:sz w:val="24"/>
          <w:szCs w:val="24"/>
          <w:lang w:val="en-GB" w:eastAsia="en-GB"/>
        </w:rPr>
        <w:t>and</w:t>
      </w:r>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iCs/>
          <w:sz w:val="24"/>
          <w:szCs w:val="24"/>
          <w:lang w:val="en-GB" w:eastAsia="en-GB"/>
        </w:rPr>
        <w:t xml:space="preserve">the likelihood of </w:t>
      </w:r>
      <w:r w:rsidRPr="00E915AA">
        <w:rPr>
          <w:rFonts w:ascii="Times New Roman" w:eastAsia="Calibri" w:hAnsi="Times New Roman" w:cs="Times New Roman"/>
          <w:sz w:val="24"/>
          <w:szCs w:val="24"/>
          <w:lang w:val="en-GB" w:eastAsia="en-GB"/>
        </w:rPr>
        <w:t>financial distress (</w:t>
      </w:r>
      <w:proofErr w:type="spellStart"/>
      <w:r w:rsidRPr="00E915AA">
        <w:rPr>
          <w:rFonts w:ascii="Times New Roman" w:eastAsia="Calibri" w:hAnsi="Times New Roman" w:cs="Times New Roman"/>
          <w:i/>
          <w:sz w:val="24"/>
          <w:szCs w:val="24"/>
          <w:lang w:val="en-GB" w:eastAsia="en-GB"/>
        </w:rPr>
        <w:t>Zscore</w:t>
      </w:r>
      <w:proofErr w:type="spellEnd"/>
      <w:r w:rsidRPr="00E915AA">
        <w:rPr>
          <w:rFonts w:ascii="Times New Roman" w:eastAsia="Calibri" w:hAnsi="Times New Roman" w:cs="Times New Roman"/>
          <w:i/>
          <w:sz w:val="24"/>
          <w:szCs w:val="24"/>
          <w:lang w:val="en-GB" w:eastAsia="en-GB"/>
        </w:rPr>
        <w:t>)</w:t>
      </w:r>
      <w:r w:rsidRPr="00E915AA">
        <w:rPr>
          <w:rFonts w:ascii="Times New Roman" w:eastAsia="Calibri" w:hAnsi="Times New Roman" w:cs="Times New Roman"/>
          <w:sz w:val="24"/>
          <w:szCs w:val="24"/>
          <w:lang w:val="en-GB" w:eastAsia="en-GB"/>
        </w:rPr>
        <w:t>, are also added as control</w:t>
      </w:r>
      <w:r w:rsidR="009200A1"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w:t>
      </w:r>
      <w:r w:rsidR="00C85445" w:rsidRPr="00E915AA">
        <w:rPr>
          <w:rFonts w:ascii="Times New Roman" w:eastAsia="Calibri" w:hAnsi="Times New Roman" w:cs="Times New Roman"/>
          <w:sz w:val="24"/>
          <w:szCs w:val="24"/>
          <w:lang w:val="en-GB" w:eastAsia="en-GB"/>
        </w:rPr>
        <w:t xml:space="preserve"> SEC scrutiny is expected to be more extensive for firms with higher debt levels (</w:t>
      </w:r>
      <w:proofErr w:type="spellStart"/>
      <w:r w:rsidR="00C85445" w:rsidRPr="00E915AA">
        <w:rPr>
          <w:rFonts w:ascii="Times New Roman" w:eastAsia="Calibri" w:hAnsi="Times New Roman" w:cs="Times New Roman"/>
          <w:sz w:val="24"/>
          <w:szCs w:val="24"/>
          <w:lang w:val="en-GB" w:eastAsia="en-GB"/>
        </w:rPr>
        <w:t>Duro</w:t>
      </w:r>
      <w:proofErr w:type="spellEnd"/>
      <w:r w:rsidR="00C85445" w:rsidRPr="00E915AA">
        <w:rPr>
          <w:rFonts w:ascii="Times New Roman" w:eastAsia="Calibri" w:hAnsi="Times New Roman" w:cs="Times New Roman"/>
          <w:sz w:val="24"/>
          <w:szCs w:val="24"/>
          <w:lang w:val="en-GB" w:eastAsia="en-GB"/>
        </w:rPr>
        <w:t xml:space="preserve"> et al., 2017) or are in financial distress (</w:t>
      </w:r>
      <w:proofErr w:type="spellStart"/>
      <w:r w:rsidR="00C85445" w:rsidRPr="00E915AA">
        <w:rPr>
          <w:rFonts w:ascii="Times New Roman" w:eastAsia="Calibri" w:hAnsi="Times New Roman" w:cs="Times New Roman"/>
          <w:sz w:val="24"/>
          <w:szCs w:val="24"/>
          <w:lang w:val="en-GB" w:eastAsia="en-GB"/>
        </w:rPr>
        <w:t>Heese</w:t>
      </w:r>
      <w:proofErr w:type="spellEnd"/>
      <w:r w:rsidR="00C85445" w:rsidRPr="00E915AA">
        <w:rPr>
          <w:rFonts w:ascii="Times New Roman" w:eastAsia="Calibri" w:hAnsi="Times New Roman" w:cs="Times New Roman"/>
          <w:sz w:val="24"/>
          <w:szCs w:val="24"/>
          <w:lang w:val="en-GB" w:eastAsia="en-GB"/>
        </w:rPr>
        <w:t xml:space="preserve"> et al., 2017), as they are less likely to be GAAP compliant (</w:t>
      </w:r>
      <w:proofErr w:type="spellStart"/>
      <w:r w:rsidR="00C85445" w:rsidRPr="00E915AA">
        <w:rPr>
          <w:rFonts w:ascii="Times New Roman" w:eastAsia="Calibri" w:hAnsi="Times New Roman" w:cs="Times New Roman"/>
          <w:sz w:val="24"/>
          <w:szCs w:val="24"/>
          <w:lang w:val="en-GB" w:eastAsia="en-GB"/>
        </w:rPr>
        <w:t>Dechow</w:t>
      </w:r>
      <w:proofErr w:type="spellEnd"/>
      <w:r w:rsidR="00C85445" w:rsidRPr="00E915AA">
        <w:rPr>
          <w:rFonts w:ascii="Times New Roman" w:eastAsia="Calibri" w:hAnsi="Times New Roman" w:cs="Times New Roman"/>
          <w:sz w:val="24"/>
          <w:szCs w:val="24"/>
          <w:lang w:val="en-GB" w:eastAsia="en-GB"/>
        </w:rPr>
        <w:t xml:space="preserve"> et al., 1996; </w:t>
      </w:r>
      <w:proofErr w:type="spellStart"/>
      <w:r w:rsidR="00C85445" w:rsidRPr="00E915AA">
        <w:rPr>
          <w:rFonts w:ascii="Times New Roman" w:eastAsia="Calibri" w:hAnsi="Times New Roman" w:cs="Times New Roman"/>
          <w:sz w:val="24"/>
          <w:szCs w:val="24"/>
          <w:lang w:val="en-GB" w:eastAsia="en-GB"/>
        </w:rPr>
        <w:t>Brazel</w:t>
      </w:r>
      <w:proofErr w:type="spellEnd"/>
      <w:r w:rsidR="00C85445" w:rsidRPr="00E915AA">
        <w:rPr>
          <w:rFonts w:ascii="Times New Roman" w:eastAsia="Calibri" w:hAnsi="Times New Roman" w:cs="Times New Roman"/>
          <w:sz w:val="24"/>
          <w:szCs w:val="24"/>
          <w:lang w:val="en-GB" w:eastAsia="en-GB"/>
        </w:rPr>
        <w:t xml:space="preserve"> et al., 2009)</w:t>
      </w:r>
      <w:r w:rsidRPr="00E915AA">
        <w:rPr>
          <w:rFonts w:ascii="Times New Roman" w:eastAsia="Calibri" w:hAnsi="Times New Roman" w:cs="Times New Roman"/>
          <w:sz w:val="24"/>
          <w:szCs w:val="24"/>
          <w:lang w:val="en-GB" w:eastAsia="en-GB"/>
        </w:rPr>
        <w:t xml:space="preserve">. Specifically, </w:t>
      </w:r>
      <w:r w:rsidRPr="00E915AA">
        <w:rPr>
          <w:rFonts w:ascii="Times New Roman" w:eastAsia="Calibri" w:hAnsi="Times New Roman" w:cs="Times New Roman"/>
          <w:i/>
          <w:sz w:val="24"/>
          <w:szCs w:val="24"/>
          <w:lang w:val="en-GB" w:eastAsia="en-GB"/>
        </w:rPr>
        <w:t>Leverage</w:t>
      </w:r>
      <w:r w:rsidRPr="00E915AA">
        <w:rPr>
          <w:rFonts w:ascii="Times New Roman" w:eastAsia="Calibri" w:hAnsi="Times New Roman" w:cs="Times New Roman"/>
          <w:sz w:val="24"/>
          <w:szCs w:val="24"/>
          <w:lang w:val="en-GB" w:eastAsia="en-GB"/>
        </w:rPr>
        <w:t xml:space="preserve"> is calculated as the ratio of total liabilities to total equity in year t-1. </w:t>
      </w:r>
      <w:proofErr w:type="spellStart"/>
      <w:r w:rsidRPr="00E915AA">
        <w:rPr>
          <w:rFonts w:ascii="Times New Roman" w:eastAsia="Calibri" w:hAnsi="Times New Roman" w:cs="Times New Roman"/>
          <w:i/>
          <w:sz w:val="24"/>
          <w:szCs w:val="24"/>
          <w:lang w:val="en-GB" w:eastAsia="en-GB"/>
        </w:rPr>
        <w:t>Zscore</w:t>
      </w:r>
      <w:proofErr w:type="spellEnd"/>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sz w:val="24"/>
          <w:szCs w:val="24"/>
          <w:lang w:val="en-GB" w:eastAsia="en-GB"/>
        </w:rPr>
        <w:t xml:space="preserve">is measured by applying the modified Z-score model for private companies </w:t>
      </w:r>
      <w:r w:rsidR="00602489" w:rsidRPr="00E915AA">
        <w:rPr>
          <w:rFonts w:ascii="Times New Roman" w:eastAsia="Calibri" w:hAnsi="Times New Roman" w:cs="Times New Roman"/>
          <w:sz w:val="24"/>
          <w:szCs w:val="24"/>
          <w:lang w:val="en-GB" w:eastAsia="en-GB"/>
        </w:rPr>
        <w:t>detailed</w:t>
      </w:r>
      <w:r w:rsidRPr="00E915AA">
        <w:rPr>
          <w:rFonts w:ascii="Times New Roman" w:eastAsia="Calibri" w:hAnsi="Times New Roman" w:cs="Times New Roman"/>
          <w:sz w:val="24"/>
          <w:szCs w:val="24"/>
          <w:lang w:val="en-GB" w:eastAsia="en-GB"/>
        </w:rPr>
        <w:t xml:space="preserve"> in Appendix </w:t>
      </w:r>
      <w:r w:rsidR="00C04B71"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w:t>
      </w:r>
    </w:p>
    <w:p w14:paraId="277ED506" w14:textId="0DF0288B" w:rsidR="002C6719" w:rsidRPr="00E915AA" w:rsidRDefault="002C6719" w:rsidP="006F305B">
      <w:pPr>
        <w:pStyle w:val="ListParagraph"/>
        <w:numPr>
          <w:ilvl w:val="1"/>
          <w:numId w:val="42"/>
        </w:numPr>
        <w:spacing w:before="240" w:after="240" w:line="360" w:lineRule="auto"/>
        <w:jc w:val="both"/>
        <w:outlineLvl w:val="1"/>
        <w:rPr>
          <w:rFonts w:ascii="Times New Roman" w:eastAsia="Calibri" w:hAnsi="Times New Roman" w:cs="Times New Roman"/>
          <w:b/>
          <w:bCs/>
          <w:iCs/>
          <w:sz w:val="24"/>
          <w:szCs w:val="24"/>
          <w:lang w:val="en-GB" w:eastAsia="en-GB"/>
        </w:rPr>
      </w:pPr>
      <w:bookmarkStart w:id="25" w:name="_Toc43219824"/>
      <w:bookmarkStart w:id="26" w:name="_Toc69749302"/>
      <w:r w:rsidRPr="00E915AA">
        <w:rPr>
          <w:rFonts w:ascii="Times New Roman" w:eastAsia="Calibri" w:hAnsi="Times New Roman" w:cs="Times New Roman"/>
          <w:b/>
          <w:bCs/>
          <w:iCs/>
          <w:sz w:val="24"/>
          <w:szCs w:val="24"/>
          <w:lang w:val="en-GB" w:eastAsia="en-GB"/>
        </w:rPr>
        <w:t>Empirical tests</w:t>
      </w:r>
      <w:bookmarkEnd w:id="25"/>
      <w:bookmarkEnd w:id="26"/>
    </w:p>
    <w:p w14:paraId="47BF0931" w14:textId="1EF110E6" w:rsidR="002C6719" w:rsidRPr="00E915AA" w:rsidRDefault="00A9220C"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A </w:t>
      </w:r>
      <w:r w:rsidR="00985BDD" w:rsidRPr="00E915AA">
        <w:rPr>
          <w:rFonts w:ascii="Times New Roman" w:eastAsia="Calibri" w:hAnsi="Times New Roman" w:cs="Times New Roman"/>
          <w:sz w:val="24"/>
          <w:szCs w:val="24"/>
          <w:lang w:val="en-GB" w:eastAsia="en-GB"/>
        </w:rPr>
        <w:t>series</w:t>
      </w:r>
      <w:r w:rsidRPr="00E915AA">
        <w:rPr>
          <w:rFonts w:ascii="Times New Roman" w:eastAsia="Calibri" w:hAnsi="Times New Roman" w:cs="Times New Roman"/>
          <w:sz w:val="24"/>
          <w:szCs w:val="24"/>
          <w:lang w:val="en-GB" w:eastAsia="en-GB"/>
        </w:rPr>
        <w:t xml:space="preserve"> of negative binomial regression models are developed t</w:t>
      </w:r>
      <w:r w:rsidR="002C6719" w:rsidRPr="00E915AA">
        <w:rPr>
          <w:rFonts w:ascii="Times New Roman" w:eastAsia="Calibri" w:hAnsi="Times New Roman" w:cs="Times New Roman"/>
          <w:sz w:val="24"/>
          <w:szCs w:val="24"/>
          <w:lang w:val="en-GB" w:eastAsia="en-GB"/>
        </w:rPr>
        <w:t>o examine the relationship between SEC S-1 reviews and earnings management.</w:t>
      </w:r>
      <w:r w:rsidR="004449D0" w:rsidRPr="00E915AA">
        <w:rPr>
          <w:rStyle w:val="FootnoteReference"/>
          <w:rFonts w:ascii="Times New Roman" w:eastAsia="Calibri" w:hAnsi="Times New Roman" w:cs="Times New Roman"/>
          <w:sz w:val="24"/>
          <w:szCs w:val="24"/>
          <w:lang w:val="en-GB" w:eastAsia="en-GB"/>
        </w:rPr>
        <w:footnoteReference w:id="7"/>
      </w:r>
      <w:r w:rsidR="002C6719" w:rsidRPr="00E915AA">
        <w:rPr>
          <w:rFonts w:ascii="Times New Roman" w:eastAsia="Calibri" w:hAnsi="Times New Roman" w:cs="Times New Roman"/>
          <w:sz w:val="24"/>
          <w:szCs w:val="24"/>
          <w:lang w:val="en-GB" w:eastAsia="en-GB"/>
        </w:rPr>
        <w:t xml:space="preserve"> </w:t>
      </w:r>
      <w:r w:rsidR="004E292D" w:rsidRPr="00E915AA">
        <w:rPr>
          <w:rFonts w:ascii="Times New Roman" w:eastAsia="Calibri" w:hAnsi="Times New Roman" w:cs="Times New Roman"/>
          <w:sz w:val="24"/>
          <w:szCs w:val="24"/>
          <w:lang w:val="en-GB" w:eastAsia="en-GB"/>
        </w:rPr>
        <w:t>S</w:t>
      </w:r>
      <w:r w:rsidR="003C7214" w:rsidRPr="00E915AA">
        <w:rPr>
          <w:rFonts w:ascii="Times New Roman" w:eastAsia="Calibri" w:hAnsi="Times New Roman" w:cs="Times New Roman"/>
          <w:sz w:val="24"/>
          <w:szCs w:val="24"/>
          <w:lang w:val="en-GB" w:eastAsia="en-GB"/>
        </w:rPr>
        <w:t xml:space="preserve">ince each of </w:t>
      </w:r>
      <w:r w:rsidR="002C6719" w:rsidRPr="00E915AA">
        <w:rPr>
          <w:rFonts w:ascii="Times New Roman" w:eastAsia="Calibri" w:hAnsi="Times New Roman" w:cs="Times New Roman"/>
          <w:sz w:val="24"/>
          <w:szCs w:val="24"/>
          <w:lang w:val="en-GB" w:eastAsia="en-GB"/>
        </w:rPr>
        <w:t xml:space="preserve">the dependent variables </w:t>
      </w:r>
      <w:r w:rsidR="003C7214"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i/>
          <w:sz w:val="24"/>
          <w:szCs w:val="24"/>
          <w:lang w:val="en-GB" w:eastAsia="en-GB"/>
        </w:rPr>
        <w:t>Duration, #Letters, #Themes, #Core-accounting-issues, #Non-core-accounting issues</w:t>
      </w:r>
      <w:r w:rsidR="003C7214" w:rsidRPr="00E915AA">
        <w:rPr>
          <w:rFonts w:ascii="Times New Roman" w:eastAsia="Calibri" w:hAnsi="Times New Roman" w:cs="Times New Roman"/>
          <w:iCs/>
          <w:sz w:val="24"/>
          <w:szCs w:val="24"/>
          <w:lang w:val="en-GB" w:eastAsia="en-GB"/>
        </w:rPr>
        <w:t>)</w:t>
      </w:r>
      <w:r w:rsidR="002C6719" w:rsidRPr="00E915AA">
        <w:rPr>
          <w:rFonts w:ascii="Times New Roman" w:eastAsia="Calibri" w:hAnsi="Times New Roman" w:cs="Times New Roman"/>
          <w:iCs/>
          <w:sz w:val="24"/>
          <w:szCs w:val="24"/>
          <w:lang w:val="en-GB" w:eastAsia="en-GB"/>
        </w:rPr>
        <w:t xml:space="preserve"> </w:t>
      </w:r>
      <w:r w:rsidR="002C6719" w:rsidRPr="00E915AA">
        <w:rPr>
          <w:rFonts w:ascii="Times New Roman" w:eastAsia="Calibri" w:hAnsi="Times New Roman" w:cs="Times New Roman"/>
          <w:sz w:val="24"/>
          <w:szCs w:val="24"/>
          <w:lang w:val="en-GB" w:eastAsia="en-GB"/>
        </w:rPr>
        <w:t>are discrete and countable</w:t>
      </w:r>
      <w:r w:rsidR="00985BDD"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negative binomial regressions are more appropriate </w:t>
      </w:r>
      <w:r w:rsidR="00DC044F" w:rsidRPr="00E915AA">
        <w:rPr>
          <w:rFonts w:ascii="Times New Roman" w:eastAsia="Calibri" w:hAnsi="Times New Roman" w:cs="Times New Roman"/>
          <w:sz w:val="24"/>
          <w:szCs w:val="24"/>
          <w:lang w:val="en-GB" w:eastAsia="en-GB"/>
        </w:rPr>
        <w:t xml:space="preserve">than </w:t>
      </w:r>
      <w:r w:rsidR="002C6719" w:rsidRPr="00E915AA">
        <w:rPr>
          <w:rFonts w:ascii="Times New Roman" w:eastAsia="Calibri" w:hAnsi="Times New Roman" w:cs="Times New Roman"/>
          <w:sz w:val="24"/>
          <w:szCs w:val="24"/>
          <w:lang w:val="en-GB" w:eastAsia="en-GB"/>
        </w:rPr>
        <w:t>other methods (e.g.</w:t>
      </w:r>
      <w:r w:rsidR="00DC044F"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OLS) </w:t>
      </w:r>
      <w:r w:rsidR="006244E5"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Rock et al.</w:t>
      </w:r>
      <w:r w:rsidR="006244E5" w:rsidRPr="00E915AA">
        <w:rPr>
          <w:rFonts w:ascii="Times New Roman" w:eastAsia="Calibri" w:hAnsi="Times New Roman" w:cs="Times New Roman"/>
          <w:sz w:val="24"/>
          <w:szCs w:val="24"/>
          <w:lang w:val="en-GB" w:eastAsia="en-GB"/>
        </w:rPr>
        <w:t>,</w:t>
      </w:r>
      <w:r w:rsidR="002C6719" w:rsidRPr="00E915AA">
        <w:rPr>
          <w:rFonts w:ascii="Times New Roman" w:eastAsia="Calibri" w:hAnsi="Times New Roman" w:cs="Times New Roman"/>
          <w:sz w:val="24"/>
          <w:szCs w:val="24"/>
          <w:lang w:val="en-GB" w:eastAsia="en-GB"/>
        </w:rPr>
        <w:t xml:space="preserve"> 2000).</w:t>
      </w:r>
      <w:r w:rsidR="002C6719" w:rsidRPr="00E915AA">
        <w:rPr>
          <w:rFonts w:ascii="Times New Roman" w:eastAsia="Calibri" w:hAnsi="Times New Roman" w:cs="Times New Roman"/>
          <w:sz w:val="24"/>
          <w:szCs w:val="24"/>
          <w:vertAlign w:val="superscript"/>
          <w:lang w:val="en-GB" w:eastAsia="en-GB"/>
        </w:rPr>
        <w:footnoteReference w:id="8"/>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ISSN":"13806653","author":[{"dropping-particle":"","family":"Li","given":"Bing","non-dropping-particle":"","parse-names":false,"suffix":""},{"dropping-particle":"","family":"Liu","given":"Zhenbin","non-dropping-particle":"","parse-names":false,"suffix":""}],"container-title":"Review of Accounting Studies","id":"ITEM-1","issue":"3","issued":{"date-parts":[["2017"]]},"page":"1229-1260","publisher":"Review of Accounting Studies","title":"The oversight role of regulators: evidence from SEC comment letters in the IPO process","type":"article-journal","volume":"22"},"uris":["http://www.mendeley.com/documents/?uuid=14e67220-7f18-451c-bcec-f870e9e5ce78"]},{"id":"ITEM-2","itemData":{"ISSN":"14664364","abstract":"The length of time it takes an IPO firm to go public (called “waiting period”) reflects multiple layers of scrutiny from underwriters, auditors, venture capitalists, institutional investors, and regulators. Accordingly, we show that the waiting period is a good barometer of ex ante uncertainty about future cash flows and that it has predictive power after the firm goes public. We find that firms marked by short waiting periods experience lower underpricing and less uncertainty and superior stock/operating performance in the aftermarket. We also report that smaller firms are taking longer to go public after Sarbanes-Oxley, thus providing justification for the 2012 JOBS Act.","author":[{"dropping-particle":"","family":"Colaco","given":"Hugh M.J.","non-dropping-particle":"","parse-names":false,"suffix":""},{"dropping-particle":"","family":"Cesari","given":"Amedeo","non-dropping-particle":"De","parse-names":false,"suffix":""},{"dropping-particle":"","family":"Hegde","given":"Shantaram P.","non-dropping-particle":"","parse-names":false,"suffix":""}],"container-title":"European Journal of Finance","id":"ITEM-2","issue":"0","issued":{"date-parts":[["2017"]]},"page":"1-34","publisher":"Taylor &amp; Francis","title":"The waiting period of initial public offerings","type":"article-journal","volume":"0"},"uris":["http://www.mendeley.com/documents/?uuid=bda34aca-b6ea-4d0e-acb5-9e39bbde12a4"]},{"id":"ITEM-3","itemData":{"author":[{"dropping-particle":"","family":"Schuldt","given":"M.","non-dropping-particle":"","parse-names":false,"suffix":""},{"dropping-particle":"","family":"Vega","given":"J.","non-dropping-particle":"","parse-names":false,"suffix":""}],"container-title":"Accounting Research Journal","id":"ITEM-3","issue":"1","issued":{"date-parts":[["2018"]]},"page":"90-101","title":"An examination of SEC revenue recognition comments and IPO earnings management","type":"article-journal","volume":"31"},"uris":["http://www.mendeley.com/documents/?uuid=024004f1-c419-45bf-b013-3eab73cff2fc"]}],"mendeley":{"formattedCitation":"(Colaco et al., 2017; B. Li &amp; Liu, 2017; Schuldt &amp; Vega, 2018)","manualFormatting":" Similarly, Colaco et al. (2017); Li &amp; Liu (2017) and Schuldt &amp; Vega (2018)","plainTextFormattedCitation":"(Colaco et al., 2017; B. Li &amp; Liu, 2017; Schuldt &amp; Vega, 2018)","previouslyFormattedCitation":"(Colaco et al., 2017; B. Li &amp; Liu, 2017; Schuldt &amp; Vega, 2018)"},"properties":{"noteIndex":0},"schema":"https://github.com/citation-style-language/schema/raw/master/csl-citation.json"}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 xml:space="preserve"> Colaco et al. (2017)</w:t>
      </w:r>
      <w:r w:rsidR="00DC044F" w:rsidRPr="00E915AA">
        <w:rPr>
          <w:rFonts w:ascii="Times New Roman" w:eastAsia="Calibri" w:hAnsi="Times New Roman" w:cs="Times New Roman"/>
          <w:noProof/>
          <w:sz w:val="24"/>
          <w:szCs w:val="24"/>
          <w:lang w:val="en-GB" w:eastAsia="en-GB"/>
        </w:rPr>
        <w:t>,</w:t>
      </w:r>
      <w:r w:rsidR="002C6719" w:rsidRPr="00E915AA">
        <w:rPr>
          <w:rFonts w:ascii="Times New Roman" w:eastAsia="Calibri" w:hAnsi="Times New Roman" w:cs="Times New Roman"/>
          <w:noProof/>
          <w:sz w:val="24"/>
          <w:szCs w:val="24"/>
          <w:lang w:val="en-GB" w:eastAsia="en-GB"/>
        </w:rPr>
        <w:t xml:space="preserve"> Li &amp; Liu (2017) and Schuldt &amp; Vega (2018)</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w:t>
      </w:r>
      <w:r w:rsidR="003837F0" w:rsidRPr="00E915AA">
        <w:rPr>
          <w:rFonts w:ascii="Times New Roman" w:eastAsia="Calibri" w:hAnsi="Times New Roman" w:cs="Times New Roman"/>
          <w:sz w:val="24"/>
          <w:szCs w:val="24"/>
          <w:lang w:val="en-GB" w:eastAsia="en-GB"/>
        </w:rPr>
        <w:t xml:space="preserve">similarly employ negative binomial regressions to model </w:t>
      </w:r>
      <w:r w:rsidR="006A6F56" w:rsidRPr="00E915AA">
        <w:rPr>
          <w:rFonts w:ascii="Times New Roman" w:eastAsia="Calibri" w:hAnsi="Times New Roman" w:cs="Times New Roman"/>
          <w:sz w:val="24"/>
          <w:szCs w:val="24"/>
          <w:lang w:val="en-GB" w:eastAsia="en-GB"/>
        </w:rPr>
        <w:t xml:space="preserve">discrete </w:t>
      </w:r>
      <w:r w:rsidR="00B25A08" w:rsidRPr="00E915AA">
        <w:rPr>
          <w:rFonts w:ascii="Times New Roman" w:eastAsia="Calibri" w:hAnsi="Times New Roman" w:cs="Times New Roman"/>
          <w:sz w:val="24"/>
          <w:szCs w:val="24"/>
          <w:lang w:val="en-GB" w:eastAsia="en-GB"/>
        </w:rPr>
        <w:t>SEC review attributes.</w:t>
      </w:r>
      <w:r w:rsidR="002C6719" w:rsidRPr="00E915AA">
        <w:rPr>
          <w:rFonts w:ascii="Times New Roman" w:eastAsia="Calibri" w:hAnsi="Times New Roman" w:cs="Times New Roman"/>
          <w:sz w:val="24"/>
          <w:szCs w:val="24"/>
          <w:lang w:val="en-GB" w:eastAsia="en-GB"/>
        </w:rPr>
        <w:t xml:space="preserve"> </w:t>
      </w:r>
    </w:p>
    <w:p w14:paraId="0689A193" w14:textId="14BA4667"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 xml:space="preserve">The </w:t>
      </w:r>
      <w:r w:rsidR="00580E37" w:rsidRPr="00E915AA">
        <w:rPr>
          <w:rFonts w:ascii="Times New Roman" w:eastAsia="Calibri" w:hAnsi="Times New Roman" w:cs="Times New Roman"/>
          <w:sz w:val="24"/>
          <w:szCs w:val="24"/>
          <w:lang w:val="en-GB" w:eastAsia="en-GB"/>
        </w:rPr>
        <w:t xml:space="preserve">baseline </w:t>
      </w:r>
      <w:r w:rsidRPr="00E915AA">
        <w:rPr>
          <w:rFonts w:ascii="Times New Roman" w:eastAsia="Calibri" w:hAnsi="Times New Roman" w:cs="Times New Roman"/>
          <w:sz w:val="24"/>
          <w:szCs w:val="24"/>
          <w:lang w:val="en-GB" w:eastAsia="en-GB"/>
        </w:rPr>
        <w:t>regression model is as follows:</w:t>
      </w:r>
      <w:r w:rsidR="0052484C" w:rsidRPr="00E915AA">
        <w:rPr>
          <w:rStyle w:val="FootnoteReference"/>
          <w:rFonts w:ascii="Times New Roman" w:eastAsia="Yu Mincho" w:hAnsi="Times New Roman" w:cs="Times New Roman"/>
          <w:sz w:val="24"/>
          <w:szCs w:val="24"/>
          <w:lang w:val="en-GB" w:eastAsia="en-GB"/>
        </w:rPr>
        <w:footnoteReference w:id="9"/>
      </w:r>
      <w:r w:rsidRPr="00E915AA">
        <w:rPr>
          <w:rFonts w:ascii="Times New Roman" w:eastAsia="Calibri" w:hAnsi="Times New Roman" w:cs="Times New Roman"/>
          <w:sz w:val="24"/>
          <w:szCs w:val="24"/>
          <w:lang w:val="en-GB" w:eastAsia="en-GB"/>
        </w:rPr>
        <w:t xml:space="preserve"> </w:t>
      </w:r>
    </w:p>
    <w:tbl>
      <w:tblPr>
        <w:tblStyle w:val="TableGrid2"/>
        <w:tblW w:w="9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496"/>
      </w:tblGrid>
      <w:tr w:rsidR="002C6719" w:rsidRPr="00E915AA" w14:paraId="6CEC1662" w14:textId="77777777" w:rsidTr="00D955E0">
        <w:tc>
          <w:tcPr>
            <w:tcW w:w="9039" w:type="dxa"/>
            <w:vAlign w:val="center"/>
          </w:tcPr>
          <w:p w14:paraId="69082837" w14:textId="4575FFC9" w:rsidR="002C6719" w:rsidRPr="00E915AA" w:rsidRDefault="00E915AA" w:rsidP="0073176B">
            <w:pPr>
              <w:spacing w:before="240" w:after="240" w:line="360" w:lineRule="auto"/>
              <w:jc w:val="center"/>
              <w:rPr>
                <w:rFonts w:ascii="Times New Roman" w:eastAsia="Calibri" w:hAnsi="Times New Roman" w:cs="Times New Roman"/>
                <w:sz w:val="24"/>
                <w:szCs w:val="24"/>
                <w:lang w:eastAsia="en-GB"/>
              </w:rPr>
            </w:pPr>
            <m:oMathPara>
              <m:oMath>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SEC review</m:t>
                    </m:r>
                  </m:e>
                  <m:sub>
                    <m:r>
                      <m:rPr>
                        <m:nor/>
                      </m:rPr>
                      <w:rPr>
                        <w:rFonts w:ascii="Times New Roman" w:eastAsia="Calibri" w:hAnsi="Times New Roman" w:cs="Times New Roman"/>
                        <w:sz w:val="24"/>
                        <w:szCs w:val="24"/>
                        <w:lang w:eastAsia="en-GB"/>
                      </w:rPr>
                      <m:t>i,t</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0</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1</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EM proxies</m:t>
                    </m:r>
                  </m:e>
                  <m:sub>
                    <m:r>
                      <m:rPr>
                        <m:nor/>
                      </m:rPr>
                      <w:rPr>
                        <w:rFonts w:ascii="Times New Roman" w:eastAsia="Calibri" w:hAnsi="Times New Roman" w:cs="Times New Roman"/>
                        <w:sz w:val="24"/>
                        <w:szCs w:val="24"/>
                        <w:lang w:eastAsia="en-GB"/>
                      </w:rPr>
                      <m:t>i,t-1</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w:rPr>
                        <w:rFonts w:ascii="Cambria Math" w:eastAsia="Calibri" w:hAnsi="Cambria Math" w:cs="Times New Roman"/>
                        <w:sz w:val="24"/>
                        <w:szCs w:val="24"/>
                        <w:lang w:eastAsia="en-GB"/>
                      </w:rPr>
                      <m:t>2</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Control</m:t>
                    </m:r>
                  </m:e>
                  <m:sub>
                    <m:r>
                      <m:rPr>
                        <m:nor/>
                      </m:rPr>
                      <w:rPr>
                        <w:rFonts w:ascii="Times New Roman" w:eastAsia="Calibri" w:hAnsi="Times New Roman" w:cs="Times New Roman"/>
                        <w:sz w:val="24"/>
                        <w:szCs w:val="24"/>
                        <w:lang w:eastAsia="en-GB"/>
                      </w:rPr>
                      <m:t>i, t-1</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 xml:space="preserve">+ </m:t>
                </m:r>
                <w:proofErr w:type="spellStart"/>
                <m:r>
                  <m:rPr>
                    <m:nor/>
                  </m:rPr>
                  <w:rPr>
                    <w:rFonts w:ascii="Times New Roman" w:eastAsia="Calibri" w:hAnsi="Times New Roman" w:cs="Times New Roman"/>
                    <w:sz w:val="24"/>
                    <w:szCs w:val="24"/>
                    <w:lang w:eastAsia="en-GB"/>
                  </w:rPr>
                  <m:t>YearFE</m:t>
                </m:r>
                <w:proofErr w:type="spellEnd"/>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w:proofErr w:type="spellStart"/>
                <m:r>
                  <m:rPr>
                    <m:nor/>
                  </m:rPr>
                  <w:rPr>
                    <w:rFonts w:ascii="Times New Roman" w:eastAsia="Calibri" w:hAnsi="Times New Roman" w:cs="Times New Roman"/>
                    <w:sz w:val="24"/>
                    <w:szCs w:val="24"/>
                    <w:lang w:eastAsia="en-GB"/>
                  </w:rPr>
                  <m:t>IndFE</m:t>
                </m:r>
                <w:proofErr w:type="spellEnd"/>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ε</m:t>
                    </m:r>
                  </m:e>
                  <m:sub>
                    <m:r>
                      <m:rPr>
                        <m:nor/>
                      </m:rPr>
                      <w:rPr>
                        <w:rFonts w:ascii="Times New Roman" w:eastAsia="Calibri" w:hAnsi="Times New Roman" w:cs="Times New Roman"/>
                        <w:sz w:val="24"/>
                        <w:szCs w:val="24"/>
                        <w:lang w:eastAsia="en-GB"/>
                      </w:rPr>
                      <m:t>i,t</m:t>
                    </m:r>
                  </m:sub>
                </m:sSub>
              </m:oMath>
            </m:oMathPara>
          </w:p>
        </w:tc>
        <w:tc>
          <w:tcPr>
            <w:tcW w:w="479" w:type="dxa"/>
            <w:vAlign w:val="center"/>
          </w:tcPr>
          <w:p w14:paraId="78FBBF70" w14:textId="79D1AA1F" w:rsidR="002C6719" w:rsidRPr="00E915AA" w:rsidRDefault="002C6719" w:rsidP="0073176B">
            <w:pPr>
              <w:spacing w:before="240" w:after="240" w:line="360" w:lineRule="auto"/>
              <w:jc w:val="center"/>
              <w:rPr>
                <w:rFonts w:ascii="Times New Roman" w:eastAsia="Calibri" w:hAnsi="Times New Roman" w:cs="Times New Roman"/>
                <w:sz w:val="24"/>
                <w:szCs w:val="24"/>
                <w:lang w:eastAsia="en-GB"/>
              </w:rPr>
            </w:pPr>
            <w:r w:rsidRPr="00E915AA">
              <w:rPr>
                <w:rFonts w:ascii="Times New Roman" w:eastAsia="Calibri" w:hAnsi="Times New Roman" w:cs="Times New Roman"/>
                <w:sz w:val="24"/>
                <w:szCs w:val="24"/>
                <w:lang w:eastAsia="en-GB"/>
              </w:rPr>
              <w:t>(1)</w:t>
            </w:r>
          </w:p>
        </w:tc>
      </w:tr>
    </w:tbl>
    <w:p w14:paraId="49D5A058" w14:textId="126D0354" w:rsidR="002C6719" w:rsidRPr="00E915AA" w:rsidRDefault="00EE00AF"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sz w:val="24"/>
          <w:szCs w:val="24"/>
          <w:lang w:val="en-GB" w:eastAsia="en-GB"/>
        </w:rPr>
        <w:t>where</w:t>
      </w:r>
      <w:r w:rsidR="002C6719" w:rsidRPr="00E915AA">
        <w:rPr>
          <w:rFonts w:ascii="Times New Roman" w:eastAsia="Yu Mincho" w:hAnsi="Times New Roman" w:cs="Times New Roman"/>
          <w:sz w:val="24"/>
          <w:szCs w:val="24"/>
          <w:lang w:val="en-GB" w:eastAsia="en-GB"/>
        </w:rPr>
        <w:t xml:space="preserv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SEC review</m:t>
            </m:r>
          </m:e>
          <m:sub>
            <m:r>
              <m:rPr>
                <m:nor/>
              </m:rPr>
              <w:rPr>
                <w:rFonts w:ascii="Cambria Math" w:eastAsia="Calibri" w:hAnsi="Times New Roman" w:cs="Times New Roman"/>
                <w:i/>
                <w:sz w:val="24"/>
                <w:szCs w:val="24"/>
                <w:lang w:val="en-GB" w:eastAsia="en-GB"/>
              </w:rPr>
              <m:t>i</m:t>
            </m:r>
            <m:r>
              <m:rPr>
                <m:nor/>
              </m:rPr>
              <w:rPr>
                <w:rFonts w:ascii="Times New Roman" w:eastAsia="Calibri" w:hAnsi="Times New Roman" w:cs="Times New Roman"/>
                <w:i/>
                <w:sz w:val="24"/>
                <w:szCs w:val="24"/>
                <w:lang w:val="en-GB" w:eastAsia="en-GB"/>
              </w:rPr>
              <m:t>,t</m:t>
            </m:r>
          </m:sub>
        </m:sSub>
      </m:oMath>
      <w:r w:rsidR="002C6719" w:rsidRPr="00E915AA">
        <w:rPr>
          <w:rFonts w:ascii="Times New Roman" w:eastAsia="Yu Mincho" w:hAnsi="Times New Roman" w:cs="Times New Roman"/>
          <w:sz w:val="24"/>
          <w:szCs w:val="24"/>
          <w:lang w:val="en-GB" w:eastAsia="en-GB"/>
        </w:rPr>
        <w:t xml:space="preserve"> </w:t>
      </w:r>
      <w:r w:rsidRPr="00E915AA">
        <w:rPr>
          <w:rFonts w:ascii="Times New Roman" w:eastAsia="Yu Mincho" w:hAnsi="Times New Roman" w:cs="Times New Roman"/>
          <w:sz w:val="24"/>
          <w:szCs w:val="24"/>
          <w:lang w:val="en-GB" w:eastAsia="en-GB"/>
        </w:rPr>
        <w:t>represents</w:t>
      </w:r>
      <w:r w:rsidR="00EA212C" w:rsidRPr="00E915AA">
        <w:rPr>
          <w:rFonts w:ascii="Times New Roman" w:eastAsia="Yu Mincho" w:hAnsi="Times New Roman" w:cs="Times New Roman"/>
          <w:sz w:val="24"/>
          <w:szCs w:val="24"/>
          <w:lang w:val="en-GB" w:eastAsia="en-GB"/>
        </w:rPr>
        <w:t>, in turn,</w:t>
      </w:r>
      <w:r w:rsidRPr="00E915AA">
        <w:rPr>
          <w:rFonts w:ascii="Times New Roman" w:eastAsia="Yu Mincho" w:hAnsi="Times New Roman" w:cs="Times New Roman"/>
          <w:sz w:val="24"/>
          <w:szCs w:val="24"/>
          <w:lang w:val="en-GB" w:eastAsia="en-GB"/>
        </w:rPr>
        <w:t xml:space="preserve"> each</w:t>
      </w:r>
      <w:r w:rsidR="002C6719" w:rsidRPr="00E915AA">
        <w:rPr>
          <w:rFonts w:ascii="Times New Roman" w:eastAsia="Yu Mincho" w:hAnsi="Times New Roman" w:cs="Times New Roman"/>
          <w:sz w:val="24"/>
          <w:szCs w:val="24"/>
          <w:lang w:val="en-GB" w:eastAsia="en-GB"/>
        </w:rPr>
        <w:t xml:space="preserve"> of </w:t>
      </w:r>
      <w:r w:rsidRPr="00E915AA">
        <w:rPr>
          <w:rFonts w:ascii="Times New Roman" w:eastAsia="Yu Mincho" w:hAnsi="Times New Roman" w:cs="Times New Roman"/>
          <w:sz w:val="24"/>
          <w:szCs w:val="24"/>
          <w:lang w:val="en-GB" w:eastAsia="en-GB"/>
        </w:rPr>
        <w:t xml:space="preserve">the </w:t>
      </w:r>
      <w:r w:rsidR="002C6719" w:rsidRPr="00E915AA">
        <w:rPr>
          <w:rFonts w:ascii="Times New Roman" w:eastAsia="Yu Mincho" w:hAnsi="Times New Roman" w:cs="Times New Roman"/>
          <w:sz w:val="24"/>
          <w:szCs w:val="24"/>
          <w:lang w:val="en-GB" w:eastAsia="en-GB"/>
        </w:rPr>
        <w:t>SEC review</w:t>
      </w:r>
      <w:r w:rsidRPr="00E915AA">
        <w:rPr>
          <w:rFonts w:ascii="Times New Roman" w:eastAsia="Yu Mincho" w:hAnsi="Times New Roman" w:cs="Times New Roman"/>
          <w:sz w:val="24"/>
          <w:szCs w:val="24"/>
          <w:lang w:val="en-GB" w:eastAsia="en-GB"/>
        </w:rPr>
        <w:t xml:space="preserve"> measures:</w:t>
      </w:r>
      <w:r w:rsidR="002C6719" w:rsidRPr="00E915AA">
        <w:rPr>
          <w:rFonts w:ascii="Times New Roman" w:eastAsia="Yu Mincho" w:hAnsi="Times New Roman" w:cs="Times New Roman"/>
          <w:i/>
          <w:sz w:val="24"/>
          <w:szCs w:val="24"/>
          <w:lang w:val="en-GB" w:eastAsia="en-GB"/>
        </w:rPr>
        <w:t xml:space="preserve"> Duration, #Letters, #Themes, #Core-accounting issues</w:t>
      </w:r>
      <w:r w:rsidR="002C6719" w:rsidRPr="00E915AA">
        <w:rPr>
          <w:rFonts w:ascii="Times New Roman" w:eastAsia="Calibri" w:hAnsi="Times New Roman" w:cs="Times New Roman"/>
          <w:i/>
          <w:sz w:val="24"/>
          <w:szCs w:val="24"/>
          <w:lang w:val="en-GB" w:eastAsia="en-GB"/>
        </w:rPr>
        <w:t xml:space="preserve"> </w:t>
      </w:r>
      <w:r w:rsidR="002C6719" w:rsidRPr="00E915AA">
        <w:rPr>
          <w:rFonts w:ascii="Times New Roman" w:eastAsia="Calibri" w:hAnsi="Times New Roman" w:cs="Times New Roman"/>
          <w:sz w:val="24"/>
          <w:szCs w:val="24"/>
          <w:lang w:val="en-GB" w:eastAsia="en-GB"/>
        </w:rPr>
        <w:t xml:space="preserve">and </w:t>
      </w:r>
      <w:r w:rsidR="002C6719" w:rsidRPr="00E915AA">
        <w:rPr>
          <w:rFonts w:ascii="Times New Roman" w:eastAsia="Calibri" w:hAnsi="Times New Roman" w:cs="Times New Roman"/>
          <w:i/>
          <w:sz w:val="24"/>
          <w:szCs w:val="24"/>
          <w:lang w:val="en-GB" w:eastAsia="en-GB"/>
        </w:rPr>
        <w:t>#Non-core-accounting issues</w:t>
      </w:r>
      <w:r w:rsidR="002C6719" w:rsidRPr="00E915AA">
        <w:rPr>
          <w:rFonts w:ascii="Times New Roman" w:eastAsia="Yu Mincho" w:hAnsi="Times New Roman" w:cs="Times New Roman"/>
          <w:sz w:val="24"/>
          <w:szCs w:val="24"/>
          <w:lang w:val="en-GB" w:eastAsia="en-GB"/>
        </w:rPr>
        <w:t xml:space="preserv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EM proxies</m:t>
            </m:r>
          </m:e>
          <m:sub>
            <m:r>
              <m:rPr>
                <m:nor/>
              </m:rPr>
              <w:rPr>
                <w:rFonts w:ascii="Cambria Math" w:eastAsia="Calibri" w:hAnsi="Times New Roman" w:cs="Times New Roman"/>
                <w:i/>
                <w:sz w:val="24"/>
                <w:szCs w:val="24"/>
                <w:lang w:val="en-GB" w:eastAsia="en-GB"/>
              </w:rPr>
              <m:t>i</m:t>
            </m:r>
            <m:r>
              <m:rPr>
                <m:nor/>
              </m:rPr>
              <w:rPr>
                <w:rFonts w:ascii="Times New Roman" w:eastAsia="Calibri" w:hAnsi="Times New Roman" w:cs="Times New Roman"/>
                <w:i/>
                <w:sz w:val="24"/>
                <w:szCs w:val="24"/>
                <w:lang w:val="en-GB" w:eastAsia="en-GB"/>
              </w:rPr>
              <m:t>,t-1</m:t>
            </m:r>
          </m:sub>
        </m:sSub>
      </m:oMath>
      <w:r w:rsidR="002C6719" w:rsidRPr="00E915AA">
        <w:rPr>
          <w:rFonts w:ascii="Times New Roman" w:eastAsia="Yu Mincho" w:hAnsi="Times New Roman" w:cs="Times New Roman"/>
          <w:sz w:val="24"/>
          <w:szCs w:val="24"/>
          <w:lang w:val="en-GB" w:eastAsia="en-GB"/>
        </w:rPr>
        <w:t>, represent</w:t>
      </w:r>
      <w:r w:rsidR="001036DE" w:rsidRPr="00E915AA">
        <w:rPr>
          <w:rFonts w:ascii="Times New Roman" w:eastAsia="Yu Mincho" w:hAnsi="Times New Roman" w:cs="Times New Roman"/>
          <w:sz w:val="24"/>
          <w:szCs w:val="24"/>
          <w:lang w:val="en-GB" w:eastAsia="en-GB"/>
        </w:rPr>
        <w:t>s each of the three</w:t>
      </w:r>
      <w:r w:rsidR="002C6719" w:rsidRPr="00E915AA">
        <w:rPr>
          <w:rFonts w:ascii="Times New Roman" w:eastAsia="Yu Mincho" w:hAnsi="Times New Roman" w:cs="Times New Roman"/>
          <w:sz w:val="24"/>
          <w:szCs w:val="24"/>
          <w:lang w:val="en-GB" w:eastAsia="en-GB"/>
        </w:rPr>
        <w:t xml:space="preserve"> earnings management </w:t>
      </w:r>
      <w:r w:rsidR="00054947" w:rsidRPr="00E915AA">
        <w:rPr>
          <w:rFonts w:ascii="Times New Roman" w:eastAsia="Yu Mincho" w:hAnsi="Times New Roman" w:cs="Times New Roman"/>
          <w:sz w:val="24"/>
          <w:szCs w:val="24"/>
          <w:lang w:val="en-GB" w:eastAsia="en-GB"/>
        </w:rPr>
        <w:t>proxies</w:t>
      </w:r>
      <w:r w:rsidR="002C6719" w:rsidRPr="00E915AA">
        <w:rPr>
          <w:rFonts w:ascii="Times New Roman" w:eastAsia="Yu Mincho" w:hAnsi="Times New Roman" w:cs="Times New Roman"/>
          <w:sz w:val="24"/>
          <w:szCs w:val="24"/>
          <w:lang w:val="en-GB" w:eastAsia="en-GB"/>
        </w:rPr>
        <w:t xml:space="preserve">: </w:t>
      </w:r>
      <w:r w:rsidR="002C6719" w:rsidRPr="00E915AA">
        <w:rPr>
          <w:rFonts w:ascii="Times New Roman" w:eastAsia="Yu Mincho" w:hAnsi="Times New Roman" w:cs="Times New Roman"/>
          <w:i/>
          <w:sz w:val="24"/>
          <w:szCs w:val="24"/>
          <w:lang w:val="en-GB" w:eastAsia="en-GB"/>
        </w:rPr>
        <w:t xml:space="preserve">DACC, ACFO </w:t>
      </w:r>
      <w:r w:rsidR="002C6719" w:rsidRPr="00E915AA">
        <w:rPr>
          <w:rFonts w:ascii="Times New Roman" w:eastAsia="Yu Mincho" w:hAnsi="Times New Roman" w:cs="Times New Roman"/>
          <w:sz w:val="24"/>
          <w:szCs w:val="24"/>
          <w:lang w:val="en-GB" w:eastAsia="en-GB"/>
        </w:rPr>
        <w:t xml:space="preserve">and </w:t>
      </w:r>
      <w:r w:rsidR="002C6719" w:rsidRPr="00E915AA">
        <w:rPr>
          <w:rFonts w:ascii="Times New Roman" w:eastAsia="Yu Mincho" w:hAnsi="Times New Roman" w:cs="Times New Roman"/>
          <w:i/>
          <w:sz w:val="24"/>
          <w:szCs w:val="24"/>
          <w:lang w:val="en-GB" w:eastAsia="en-GB"/>
        </w:rPr>
        <w:t>ADISEXP</w:t>
      </w:r>
      <w:r w:rsidR="002C6719" w:rsidRPr="00E915AA">
        <w:rPr>
          <w:rFonts w:ascii="Times New Roman" w:eastAsia="Yu Mincho" w:hAnsi="Times New Roman" w:cs="Times New Roman"/>
          <w:sz w:val="24"/>
          <w:szCs w:val="24"/>
          <w:lang w:val="en-GB" w:eastAsia="en-GB"/>
        </w:rPr>
        <w:t xml:space="preserve">. In each case, </w:t>
      </w:r>
      <m:oMath>
        <m:sSub>
          <m:sSubPr>
            <m:ctrlPr>
              <w:rPr>
                <w:rFonts w:ascii="Cambria Math" w:eastAsia="Calibri" w:hAnsi="Cambria Math" w:cs="Times New Roman"/>
                <w:i/>
                <w:sz w:val="24"/>
                <w:szCs w:val="24"/>
                <w:lang w:val="en-GB" w:eastAsia="en-GB"/>
              </w:rPr>
            </m:ctrlPr>
          </m:sSubPr>
          <m:e>
            <m:r>
              <w:rPr>
                <w:rFonts w:ascii="Cambria Math" w:eastAsia="Calibri" w:hAnsi="Cambria Math" w:cs="Times New Roman"/>
                <w:sz w:val="24"/>
                <w:szCs w:val="24"/>
                <w:lang w:val="en-GB" w:eastAsia="en-GB"/>
              </w:rPr>
              <m:t>α</m:t>
            </m:r>
          </m:e>
          <m:sub>
            <m:r>
              <w:rPr>
                <w:rFonts w:ascii="Cambria Math" w:eastAsia="Calibri" w:hAnsi="Cambria Math" w:cs="Times New Roman"/>
                <w:sz w:val="24"/>
                <w:szCs w:val="24"/>
                <w:lang w:val="en-GB" w:eastAsia="en-GB"/>
              </w:rPr>
              <m:t>1</m:t>
            </m:r>
          </m:sub>
        </m:sSub>
      </m:oMath>
      <w:r w:rsidR="002C6719" w:rsidRPr="00E915AA">
        <w:rPr>
          <w:rFonts w:ascii="Times New Roman" w:eastAsia="Yu Mincho" w:hAnsi="Times New Roman" w:cs="Times New Roman"/>
          <w:sz w:val="24"/>
          <w:szCs w:val="24"/>
          <w:lang w:val="en-GB" w:eastAsia="en-GB"/>
        </w:rPr>
        <w:t xml:space="preserve"> is the coefficient of interest</w:t>
      </w:r>
      <w:r w:rsidR="00E90C8D" w:rsidRPr="00E915AA">
        <w:rPr>
          <w:rFonts w:ascii="Times New Roman" w:eastAsia="Yu Mincho" w:hAnsi="Times New Roman" w:cs="Times New Roman"/>
          <w:sz w:val="24"/>
          <w:szCs w:val="24"/>
          <w:lang w:val="en-GB" w:eastAsia="en-GB"/>
        </w:rPr>
        <w:t xml:space="preserve"> used to </w:t>
      </w:r>
      <w:r w:rsidR="00922C8B" w:rsidRPr="00E915AA">
        <w:rPr>
          <w:rFonts w:ascii="Times New Roman" w:eastAsia="Yu Mincho" w:hAnsi="Times New Roman" w:cs="Times New Roman"/>
          <w:sz w:val="24"/>
          <w:szCs w:val="24"/>
          <w:lang w:val="en-GB" w:eastAsia="en-GB"/>
        </w:rPr>
        <w:t>evaluate</w:t>
      </w:r>
      <w:r w:rsidR="00E90C8D" w:rsidRPr="00E915AA">
        <w:rPr>
          <w:rFonts w:ascii="Times New Roman" w:eastAsia="Yu Mincho" w:hAnsi="Times New Roman" w:cs="Times New Roman"/>
          <w:sz w:val="24"/>
          <w:szCs w:val="24"/>
          <w:lang w:val="en-GB" w:eastAsia="en-GB"/>
        </w:rPr>
        <w:t xml:space="preserve"> H1</w:t>
      </w:r>
      <w:r w:rsidR="002C6719" w:rsidRPr="00E915AA">
        <w:rPr>
          <w:rFonts w:ascii="Times New Roman" w:eastAsia="Yu Mincho" w:hAnsi="Times New Roman" w:cs="Times New Roman"/>
          <w:sz w:val="24"/>
          <w:szCs w:val="24"/>
          <w:lang w:val="en-GB" w:eastAsia="en-GB"/>
        </w:rPr>
        <w:t xml:space="preserv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Control</m:t>
            </m:r>
          </m:e>
          <m:sub>
            <m:r>
              <m:rPr>
                <m:nor/>
              </m:rPr>
              <w:rPr>
                <w:rFonts w:ascii="Times New Roman" w:eastAsia="Calibri" w:hAnsi="Times New Roman" w:cs="Times New Roman"/>
                <w:i/>
                <w:sz w:val="24"/>
                <w:szCs w:val="24"/>
                <w:lang w:val="en-GB" w:eastAsia="en-GB"/>
              </w:rPr>
              <m:t>i, t-1</m:t>
            </m:r>
          </m:sub>
        </m:sSub>
      </m:oMath>
      <w:r w:rsidR="002C6719" w:rsidRPr="00E915AA">
        <w:rPr>
          <w:rFonts w:ascii="Times New Roman" w:eastAsia="Yu Mincho" w:hAnsi="Times New Roman" w:cs="Times New Roman"/>
          <w:sz w:val="24"/>
          <w:szCs w:val="24"/>
          <w:lang w:val="en-GB" w:eastAsia="en-GB"/>
        </w:rPr>
        <w:t xml:space="preserve"> is a vector containing each of the control variables discussed in </w:t>
      </w:r>
      <w:r w:rsidR="008E3712" w:rsidRPr="00E915AA">
        <w:rPr>
          <w:rFonts w:ascii="Times New Roman" w:eastAsia="Yu Mincho" w:hAnsi="Times New Roman" w:cs="Times New Roman"/>
          <w:sz w:val="24"/>
          <w:szCs w:val="24"/>
          <w:lang w:val="en-GB" w:eastAsia="en-GB"/>
        </w:rPr>
        <w:t>Appendix A</w:t>
      </w:r>
      <w:r w:rsidR="002C6719" w:rsidRPr="00E915AA">
        <w:rPr>
          <w:rFonts w:ascii="Times New Roman" w:eastAsia="Yu Mincho" w:hAnsi="Times New Roman" w:cs="Times New Roman"/>
          <w:sz w:val="24"/>
          <w:szCs w:val="24"/>
          <w:lang w:val="en-GB" w:eastAsia="en-GB"/>
        </w:rPr>
        <w:t xml:space="preserve">. </w:t>
      </w:r>
      <m:oMath>
        <m:r>
          <w:rPr>
            <w:rFonts w:ascii="Cambria Math" w:eastAsia="Yu Mincho" w:hAnsi="Cambria Math" w:cs="Times New Roman"/>
            <w:sz w:val="24"/>
            <w:szCs w:val="24"/>
            <w:lang w:val="en-GB" w:eastAsia="en-GB"/>
          </w:rPr>
          <m:t>Year</m:t>
        </m:r>
        <m:r>
          <m:rPr>
            <m:nor/>
          </m:rPr>
          <w:rPr>
            <w:rFonts w:ascii="Times New Roman" w:eastAsia="Calibri" w:hAnsi="Times New Roman" w:cs="Times New Roman"/>
            <w:i/>
            <w:sz w:val="24"/>
            <w:szCs w:val="24"/>
            <w:lang w:val="en-GB" w:eastAsia="en-GB"/>
          </w:rPr>
          <m:t>FE</m:t>
        </m:r>
      </m:oMath>
      <w:r w:rsidR="002C6719" w:rsidRPr="00E915AA">
        <w:rPr>
          <w:rFonts w:ascii="Times New Roman" w:eastAsia="Yu Mincho" w:hAnsi="Times New Roman" w:cs="Times New Roman"/>
          <w:sz w:val="24"/>
          <w:szCs w:val="24"/>
          <w:lang w:val="en-GB" w:eastAsia="en-GB"/>
        </w:rPr>
        <w:t xml:space="preserve"> is a vector of year fixed effects based on the S-1 filing year, while </w:t>
      </w:r>
      <w:proofErr w:type="spellStart"/>
      <m:oMath>
        <m:r>
          <m:rPr>
            <m:nor/>
          </m:rPr>
          <w:rPr>
            <w:rFonts w:ascii="Times New Roman" w:eastAsia="Calibri" w:hAnsi="Times New Roman" w:cs="Times New Roman"/>
            <w:i/>
            <w:sz w:val="24"/>
            <w:szCs w:val="24"/>
            <w:lang w:val="en-GB" w:eastAsia="en-GB"/>
          </w:rPr>
          <m:t>IndFE</m:t>
        </m:r>
        <w:proofErr w:type="spellEnd"/>
        <m:r>
          <m:rPr>
            <m:nor/>
          </m:rPr>
          <w:rPr>
            <w:rFonts w:ascii="Cambria Math" w:eastAsia="Calibri" w:hAnsi="Times New Roman" w:cs="Times New Roman"/>
            <w:sz w:val="24"/>
            <w:szCs w:val="24"/>
            <w:lang w:val="en-GB" w:eastAsia="en-GB"/>
          </w:rPr>
          <m:t xml:space="preserve"> </m:t>
        </m:r>
      </m:oMath>
      <w:r w:rsidR="002C6719" w:rsidRPr="00E915AA">
        <w:rPr>
          <w:rFonts w:ascii="Times New Roman" w:eastAsia="Yu Mincho" w:hAnsi="Times New Roman" w:cs="Times New Roman"/>
          <w:sz w:val="24"/>
          <w:szCs w:val="24"/>
          <w:lang w:val="en-GB" w:eastAsia="en-GB"/>
        </w:rPr>
        <w:t xml:space="preserve">represents industry fixed effects according to the </w:t>
      </w:r>
      <w:proofErr w:type="spellStart"/>
      <w:r w:rsidR="002C6719" w:rsidRPr="00E915AA">
        <w:rPr>
          <w:rFonts w:ascii="Times New Roman" w:eastAsia="Yu Mincho" w:hAnsi="Times New Roman" w:cs="Times New Roman"/>
          <w:sz w:val="24"/>
          <w:szCs w:val="24"/>
          <w:lang w:val="en-GB" w:eastAsia="en-GB"/>
        </w:rPr>
        <w:t>Fama</w:t>
      </w:r>
      <w:proofErr w:type="spellEnd"/>
      <w:r w:rsidR="002C6719" w:rsidRPr="00E915AA">
        <w:rPr>
          <w:rFonts w:ascii="Times New Roman" w:eastAsia="Yu Mincho" w:hAnsi="Times New Roman" w:cs="Times New Roman"/>
          <w:sz w:val="24"/>
          <w:szCs w:val="24"/>
          <w:lang w:val="en-GB" w:eastAsia="en-GB"/>
        </w:rPr>
        <w:t>-French 12 industry classification scheme.</w:t>
      </w:r>
      <w:r w:rsidR="00B04333" w:rsidRPr="00E915AA">
        <w:rPr>
          <w:rFonts w:ascii="Times New Roman" w:eastAsia="Yu Mincho" w:hAnsi="Times New Roman" w:cs="Times New Roman"/>
          <w:sz w:val="24"/>
          <w:szCs w:val="24"/>
          <w:lang w:val="en-GB" w:eastAsia="en-GB"/>
        </w:rPr>
        <w:t xml:space="preserve"> </w:t>
      </w:r>
      <w:r w:rsidR="003E6352" w:rsidRPr="00E915AA">
        <w:rPr>
          <w:rFonts w:ascii="Times New Roman" w:eastAsia="Yu Mincho" w:hAnsi="Times New Roman" w:cs="Times New Roman"/>
          <w:sz w:val="24"/>
          <w:szCs w:val="24"/>
          <w:lang w:val="en-GB" w:eastAsia="en-GB"/>
        </w:rPr>
        <w:t>F</w:t>
      </w:r>
      <w:r w:rsidR="002C6719" w:rsidRPr="00E915AA">
        <w:rPr>
          <w:rFonts w:ascii="Times New Roman" w:eastAsia="Yu Mincho" w:hAnsi="Times New Roman" w:cs="Times New Roman"/>
          <w:sz w:val="24"/>
          <w:szCs w:val="24"/>
          <w:lang w:val="en-GB" w:eastAsia="en-GB"/>
        </w:rPr>
        <w:t>ollow</w:t>
      </w:r>
      <w:r w:rsidR="0038099D" w:rsidRPr="00E915AA">
        <w:rPr>
          <w:rFonts w:ascii="Times New Roman" w:eastAsia="Yu Mincho" w:hAnsi="Times New Roman" w:cs="Times New Roman"/>
          <w:sz w:val="24"/>
          <w:szCs w:val="24"/>
          <w:lang w:val="en-GB" w:eastAsia="en-GB"/>
        </w:rPr>
        <w:t>ing</w:t>
      </w:r>
      <w:r w:rsidR="002C6719" w:rsidRPr="00E915AA">
        <w:rPr>
          <w:rFonts w:ascii="Times New Roman" w:eastAsia="Yu Mincho" w:hAnsi="Times New Roman" w:cs="Times New Roman"/>
          <w:sz w:val="24"/>
          <w:szCs w:val="24"/>
          <w:lang w:val="en-GB" w:eastAsia="en-GB"/>
        </w:rPr>
        <w:t xml:space="preserve"> </w:t>
      </w:r>
      <w:proofErr w:type="spellStart"/>
      <w:r w:rsidR="002C6719" w:rsidRPr="00E915AA">
        <w:rPr>
          <w:rFonts w:ascii="Times New Roman" w:eastAsia="Yu Mincho" w:hAnsi="Times New Roman" w:cs="Times New Roman"/>
          <w:sz w:val="24"/>
          <w:szCs w:val="24"/>
          <w:lang w:val="en-GB" w:eastAsia="en-GB"/>
        </w:rPr>
        <w:t>Colaco</w:t>
      </w:r>
      <w:proofErr w:type="spellEnd"/>
      <w:r w:rsidR="002C6719" w:rsidRPr="00E915AA">
        <w:rPr>
          <w:rFonts w:ascii="Times New Roman" w:eastAsia="Yu Mincho" w:hAnsi="Times New Roman" w:cs="Times New Roman"/>
          <w:sz w:val="24"/>
          <w:szCs w:val="24"/>
          <w:lang w:val="en-GB" w:eastAsia="en-GB"/>
        </w:rPr>
        <w:t xml:space="preserve"> et al. (2017)</w:t>
      </w:r>
      <w:r w:rsidR="0038099D" w:rsidRPr="00E915AA">
        <w:rPr>
          <w:rFonts w:ascii="Times New Roman" w:eastAsia="Yu Mincho" w:hAnsi="Times New Roman" w:cs="Times New Roman"/>
          <w:sz w:val="24"/>
          <w:szCs w:val="24"/>
          <w:lang w:val="en-GB" w:eastAsia="en-GB"/>
        </w:rPr>
        <w:t>,</w:t>
      </w:r>
      <w:r w:rsidR="002C6719" w:rsidRPr="00E915AA">
        <w:rPr>
          <w:rFonts w:ascii="Times New Roman" w:eastAsia="Yu Mincho" w:hAnsi="Times New Roman" w:cs="Times New Roman"/>
          <w:sz w:val="24"/>
          <w:szCs w:val="24"/>
          <w:lang w:val="en-GB" w:eastAsia="en-GB"/>
        </w:rPr>
        <w:t xml:space="preserve"> </w:t>
      </w:r>
      <w:r w:rsidR="0038099D" w:rsidRPr="00E915AA">
        <w:rPr>
          <w:rFonts w:ascii="Times New Roman" w:eastAsia="Yu Mincho" w:hAnsi="Times New Roman" w:cs="Times New Roman"/>
          <w:sz w:val="24"/>
          <w:szCs w:val="24"/>
          <w:lang w:val="en-GB" w:eastAsia="en-GB"/>
        </w:rPr>
        <w:t xml:space="preserve">robust standard errors are employed that are clustered </w:t>
      </w:r>
      <w:r w:rsidR="002C6719" w:rsidRPr="00E915AA">
        <w:rPr>
          <w:rFonts w:ascii="Times New Roman" w:eastAsia="Yu Mincho" w:hAnsi="Times New Roman" w:cs="Times New Roman"/>
          <w:sz w:val="24"/>
          <w:szCs w:val="24"/>
          <w:lang w:val="en-GB" w:eastAsia="en-GB"/>
        </w:rPr>
        <w:t xml:space="preserve">at the 12 </w:t>
      </w:r>
      <w:proofErr w:type="spellStart"/>
      <w:r w:rsidR="002C6719" w:rsidRPr="00E915AA">
        <w:rPr>
          <w:rFonts w:ascii="Times New Roman" w:eastAsia="Yu Mincho" w:hAnsi="Times New Roman" w:cs="Times New Roman"/>
          <w:sz w:val="24"/>
          <w:szCs w:val="24"/>
          <w:lang w:val="en-GB" w:eastAsia="en-GB"/>
        </w:rPr>
        <w:t>Fama</w:t>
      </w:r>
      <w:proofErr w:type="spellEnd"/>
      <w:r w:rsidR="002C6719" w:rsidRPr="00E915AA">
        <w:rPr>
          <w:rFonts w:ascii="Times New Roman" w:eastAsia="Yu Mincho" w:hAnsi="Times New Roman" w:cs="Times New Roman"/>
          <w:sz w:val="24"/>
          <w:szCs w:val="24"/>
          <w:lang w:val="en-GB" w:eastAsia="en-GB"/>
        </w:rPr>
        <w:t>-French industry level.</w:t>
      </w:r>
      <w:r w:rsidR="002C6719" w:rsidRPr="00E915AA">
        <w:rPr>
          <w:rFonts w:ascii="Times New Roman" w:eastAsia="Yu Mincho" w:hAnsi="Times New Roman" w:cs="Times New Roman"/>
          <w:sz w:val="24"/>
          <w:szCs w:val="24"/>
          <w:vertAlign w:val="superscript"/>
          <w:lang w:val="en-GB" w:eastAsia="en-GB"/>
        </w:rPr>
        <w:footnoteReference w:id="10"/>
      </w:r>
      <w:r w:rsidR="002C6719" w:rsidRPr="00E915AA">
        <w:rPr>
          <w:rFonts w:ascii="Times New Roman" w:eastAsia="Yu Mincho" w:hAnsi="Times New Roman" w:cs="Times New Roman"/>
          <w:sz w:val="24"/>
          <w:szCs w:val="24"/>
          <w:lang w:val="en-GB" w:eastAsia="en-GB"/>
        </w:rPr>
        <w:t xml:space="preserve"> </w:t>
      </w:r>
    </w:p>
    <w:p w14:paraId="23E51E70" w14:textId="2A5CDF41" w:rsidR="00880FB3" w:rsidRPr="00E915AA" w:rsidRDefault="007368B9"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sz w:val="24"/>
          <w:szCs w:val="24"/>
          <w:lang w:val="en-GB" w:eastAsia="en-GB"/>
        </w:rPr>
        <w:t>Given the earnings management proxies are continuous variables, t</w:t>
      </w:r>
      <w:r w:rsidR="00880FB3" w:rsidRPr="00E915AA">
        <w:rPr>
          <w:rFonts w:ascii="Times New Roman" w:eastAsia="Yu Mincho" w:hAnsi="Times New Roman" w:cs="Times New Roman"/>
          <w:sz w:val="24"/>
          <w:szCs w:val="24"/>
          <w:lang w:val="en-GB" w:eastAsia="en-GB"/>
        </w:rPr>
        <w:t xml:space="preserve">he following </w:t>
      </w:r>
      <w:r w:rsidR="006113AC" w:rsidRPr="00E915AA">
        <w:rPr>
          <w:rFonts w:ascii="Times New Roman" w:eastAsia="Yu Mincho" w:hAnsi="Times New Roman" w:cs="Times New Roman"/>
          <w:sz w:val="24"/>
          <w:szCs w:val="24"/>
          <w:lang w:val="en-GB" w:eastAsia="en-GB"/>
        </w:rPr>
        <w:t xml:space="preserve">OLS </w:t>
      </w:r>
      <w:r w:rsidR="00880FB3" w:rsidRPr="00E915AA">
        <w:rPr>
          <w:rFonts w:ascii="Times New Roman" w:eastAsia="Yu Mincho" w:hAnsi="Times New Roman" w:cs="Times New Roman"/>
          <w:sz w:val="24"/>
          <w:szCs w:val="24"/>
          <w:lang w:val="en-GB" w:eastAsia="en-GB"/>
        </w:rPr>
        <w:t xml:space="preserve">regression </w:t>
      </w:r>
      <w:r w:rsidR="009825EC" w:rsidRPr="00E915AA">
        <w:rPr>
          <w:rFonts w:ascii="Times New Roman" w:eastAsia="Yu Mincho" w:hAnsi="Times New Roman" w:cs="Times New Roman"/>
          <w:sz w:val="24"/>
          <w:szCs w:val="24"/>
          <w:lang w:val="en-GB" w:eastAsia="en-GB"/>
        </w:rPr>
        <w:t>is employed to test change</w:t>
      </w:r>
      <w:r w:rsidR="00151F98" w:rsidRPr="00E915AA">
        <w:rPr>
          <w:rFonts w:ascii="Times New Roman" w:eastAsia="Yu Mincho" w:hAnsi="Times New Roman" w:cs="Times New Roman"/>
          <w:sz w:val="24"/>
          <w:szCs w:val="24"/>
          <w:lang w:val="en-GB" w:eastAsia="en-GB"/>
        </w:rPr>
        <w:t>s</w:t>
      </w:r>
      <w:r w:rsidR="009825EC" w:rsidRPr="00E915AA">
        <w:rPr>
          <w:rFonts w:ascii="Times New Roman" w:eastAsia="Yu Mincho" w:hAnsi="Times New Roman" w:cs="Times New Roman"/>
          <w:sz w:val="24"/>
          <w:szCs w:val="24"/>
          <w:lang w:val="en-GB" w:eastAsia="en-GB"/>
        </w:rPr>
        <w:t xml:space="preserve"> in earnings management under the JOBS Act</w:t>
      </w:r>
      <w:r w:rsidR="00261BC2" w:rsidRPr="00E915AA">
        <w:rPr>
          <w:rFonts w:ascii="Times New Roman" w:eastAsia="Yu Mincho" w:hAnsi="Times New Roman" w:cs="Times New Roman"/>
          <w:sz w:val="24"/>
          <w:szCs w:val="24"/>
          <w:lang w:val="en-GB" w:eastAsia="en-GB"/>
        </w:rPr>
        <w:t>.</w:t>
      </w:r>
    </w:p>
    <w:p w14:paraId="790519A7" w14:textId="6B4C531E" w:rsidR="00261BC2" w:rsidRPr="00E915AA" w:rsidRDefault="00E915AA" w:rsidP="00E61374">
      <w:pPr>
        <w:spacing w:before="240" w:after="240" w:line="360" w:lineRule="auto"/>
        <w:ind w:left="900"/>
        <w:jc w:val="both"/>
        <w:rPr>
          <w:rFonts w:ascii="Times New Roman" w:eastAsia="Yu Mincho" w:hAnsi="Times New Roman" w:cs="Times New Roman"/>
          <w:sz w:val="24"/>
          <w:szCs w:val="24"/>
          <w:lang w:eastAsia="en-GB"/>
        </w:rPr>
      </w:pPr>
      <m:oMath>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EM proxies</m:t>
            </m:r>
          </m:e>
          <m:sub>
            <m:r>
              <m:rPr>
                <m:nor/>
              </m:rPr>
              <w:rPr>
                <w:rFonts w:ascii="Times New Roman" w:eastAsia="Calibri" w:hAnsi="Times New Roman" w:cs="Times New Roman"/>
                <w:sz w:val="24"/>
                <w:szCs w:val="24"/>
                <w:lang w:eastAsia="en-GB"/>
              </w:rPr>
              <m:t>i,t-1</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0</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1</m:t>
            </m:r>
          </m:sub>
        </m:sSub>
        <m:sSub>
          <m:sSubPr>
            <m:ctrlPr>
              <w:rPr>
                <w:rFonts w:ascii="Cambria Math" w:eastAsia="Calibri" w:hAnsi="Cambria Math" w:cs="Times New Roman"/>
                <w:iCs/>
                <w:sz w:val="24"/>
                <w:szCs w:val="24"/>
                <w:lang w:eastAsia="en-GB"/>
              </w:rPr>
            </m:ctrlPr>
          </m:sSubPr>
          <m:e>
            <m:r>
              <m:rPr>
                <m:sty m:val="p"/>
              </m:rPr>
              <w:rPr>
                <w:rFonts w:ascii="Cambria Math" w:eastAsia="Calibri" w:hAnsi="Cambria Math" w:cs="Times New Roman"/>
                <w:sz w:val="24"/>
                <w:szCs w:val="24"/>
                <w:lang w:eastAsia="en-GB"/>
              </w:rPr>
              <m:t>JOBS Act</m:t>
            </m:r>
          </m:e>
          <m:sub>
            <m:r>
              <m:rPr>
                <m:nor/>
              </m:rPr>
              <w:rPr>
                <w:rFonts w:ascii="Times New Roman" w:eastAsia="Calibri" w:hAnsi="Times New Roman" w:cs="Times New Roman"/>
                <w:iCs/>
                <w:sz w:val="24"/>
                <w:szCs w:val="24"/>
                <w:lang w:eastAsia="en-GB"/>
              </w:rPr>
              <m:t>i,t</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2</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Control</m:t>
            </m:r>
          </m:e>
          <m:sub>
            <m:r>
              <m:rPr>
                <m:nor/>
              </m:rPr>
              <w:rPr>
                <w:rFonts w:ascii="Times New Roman" w:eastAsia="Calibri" w:hAnsi="Times New Roman" w:cs="Times New Roman"/>
                <w:sz w:val="24"/>
                <w:szCs w:val="24"/>
                <w:lang w:eastAsia="en-GB"/>
              </w:rPr>
              <m:t>i, t-1</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w:proofErr w:type="spellStart"/>
        <m:r>
          <m:rPr>
            <m:nor/>
          </m:rPr>
          <w:rPr>
            <w:rFonts w:ascii="Times New Roman" w:eastAsia="Calibri" w:hAnsi="Times New Roman" w:cs="Times New Roman"/>
            <w:sz w:val="24"/>
            <w:szCs w:val="24"/>
            <w:lang w:eastAsia="en-GB"/>
          </w:rPr>
          <m:t>YearFE</m:t>
        </m:r>
        <w:proofErr w:type="spellEnd"/>
        <m:r>
          <m:rPr>
            <m:nor/>
          </m:rPr>
          <w:rPr>
            <w:rFonts w:ascii="Cambria Math" w:eastAsia="Calibri" w:hAnsi="Times New Roman" w:cs="Times New Roman"/>
            <w:sz w:val="24"/>
            <w:szCs w:val="24"/>
            <w:lang w:eastAsia="en-GB"/>
          </w:rPr>
          <m:t xml:space="preserve"> + </m:t>
        </m:r>
        <w:proofErr w:type="spellStart"/>
        <m:r>
          <m:rPr>
            <m:nor/>
          </m:rPr>
          <w:rPr>
            <w:rFonts w:ascii="Times New Roman" w:eastAsia="Calibri" w:hAnsi="Times New Roman" w:cs="Times New Roman"/>
            <w:sz w:val="24"/>
            <w:szCs w:val="24"/>
            <w:lang w:eastAsia="en-GB"/>
          </w:rPr>
          <m:t>IndFE</m:t>
        </m:r>
        <w:proofErr w:type="spellEnd"/>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ε</m:t>
            </m:r>
          </m:e>
          <m:sub>
            <m:r>
              <m:rPr>
                <m:nor/>
              </m:rPr>
              <w:rPr>
                <w:rFonts w:ascii="Times New Roman" w:eastAsia="Calibri" w:hAnsi="Times New Roman" w:cs="Times New Roman"/>
                <w:sz w:val="24"/>
                <w:szCs w:val="24"/>
                <w:lang w:eastAsia="en-GB"/>
              </w:rPr>
              <m:t>i,t</m:t>
            </m:r>
          </m:sub>
        </m:sSub>
      </m:oMath>
      <w:r w:rsidR="00E61374" w:rsidRPr="00E915AA">
        <w:rPr>
          <w:rFonts w:ascii="Times New Roman" w:eastAsia="Yu Mincho" w:hAnsi="Times New Roman" w:cs="Times New Roman"/>
          <w:sz w:val="24"/>
          <w:szCs w:val="24"/>
          <w:lang w:eastAsia="en-GB"/>
        </w:rPr>
        <w:t xml:space="preserve"> (2)</w:t>
      </w:r>
    </w:p>
    <w:p w14:paraId="719F6A6E" w14:textId="25102F02" w:rsidR="00261BC2" w:rsidRPr="00E915AA" w:rsidRDefault="00E61374"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sz w:val="24"/>
          <w:szCs w:val="24"/>
          <w:lang w:eastAsia="en-GB"/>
        </w:rPr>
        <w:t>w</w:t>
      </w:r>
      <w:r w:rsidR="001B33A3" w:rsidRPr="00E915AA">
        <w:rPr>
          <w:rFonts w:ascii="Times New Roman" w:eastAsia="Yu Mincho" w:hAnsi="Times New Roman" w:cs="Times New Roman"/>
          <w:sz w:val="24"/>
          <w:szCs w:val="24"/>
          <w:lang w:eastAsia="en-GB"/>
        </w:rPr>
        <w:t xml:space="preserve">here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EM proxies</m:t>
            </m:r>
          </m:e>
          <m:sub>
            <m:r>
              <m:rPr>
                <m:nor/>
              </m:rPr>
              <w:rPr>
                <w:rFonts w:ascii="Cambria Math" w:eastAsia="Calibri" w:hAnsi="Times New Roman" w:cs="Times New Roman"/>
                <w:i/>
                <w:sz w:val="24"/>
                <w:szCs w:val="24"/>
                <w:lang w:val="en-GB" w:eastAsia="en-GB"/>
              </w:rPr>
              <m:t>i,</m:t>
            </m:r>
            <m:r>
              <m:rPr>
                <m:nor/>
              </m:rPr>
              <w:rPr>
                <w:rFonts w:ascii="Times New Roman" w:eastAsia="Calibri" w:hAnsi="Times New Roman" w:cs="Times New Roman"/>
                <w:i/>
                <w:sz w:val="24"/>
                <w:szCs w:val="24"/>
                <w:lang w:val="en-GB" w:eastAsia="en-GB"/>
              </w:rPr>
              <m:t>t-1</m:t>
            </m:r>
          </m:sub>
        </m:sSub>
      </m:oMath>
      <w:r w:rsidR="00040980" w:rsidRPr="00E915AA">
        <w:rPr>
          <w:rFonts w:ascii="Times New Roman" w:eastAsia="Yu Mincho" w:hAnsi="Times New Roman" w:cs="Times New Roman"/>
          <w:sz w:val="24"/>
          <w:szCs w:val="24"/>
          <w:lang w:val="en-GB" w:eastAsia="en-GB"/>
        </w:rPr>
        <w:t xml:space="preserve"> </w:t>
      </w:r>
      <w:r w:rsidR="006E3304" w:rsidRPr="00E915AA">
        <w:rPr>
          <w:rFonts w:ascii="Times New Roman" w:eastAsia="Yu Mincho" w:hAnsi="Times New Roman" w:cs="Times New Roman"/>
          <w:sz w:val="24"/>
          <w:szCs w:val="24"/>
          <w:lang w:val="en-GB" w:eastAsia="en-GB"/>
        </w:rPr>
        <w:t>represents</w:t>
      </w:r>
      <w:r w:rsidR="00C85445" w:rsidRPr="00E915AA">
        <w:rPr>
          <w:rFonts w:ascii="Times New Roman" w:eastAsia="Yu Mincho" w:hAnsi="Times New Roman" w:cs="Times New Roman"/>
          <w:sz w:val="24"/>
          <w:szCs w:val="24"/>
          <w:lang w:val="en-GB" w:eastAsia="en-GB"/>
        </w:rPr>
        <w:t xml:space="preserve"> </w:t>
      </w:r>
      <w:r w:rsidR="00C85445" w:rsidRPr="00E915AA">
        <w:rPr>
          <w:rFonts w:ascii="Times New Roman" w:eastAsia="Yu Mincho" w:hAnsi="Times New Roman" w:cs="Times New Roman"/>
          <w:i/>
          <w:sz w:val="24"/>
          <w:szCs w:val="24"/>
          <w:lang w:val="en-GB" w:eastAsia="en-GB"/>
        </w:rPr>
        <w:t xml:space="preserve">DACC,  ACFO </w:t>
      </w:r>
      <w:r w:rsidR="00C85445" w:rsidRPr="00E915AA">
        <w:rPr>
          <w:rFonts w:ascii="Times New Roman" w:eastAsia="Yu Mincho" w:hAnsi="Times New Roman" w:cs="Times New Roman"/>
          <w:sz w:val="24"/>
          <w:szCs w:val="24"/>
          <w:lang w:val="en-GB" w:eastAsia="en-GB"/>
        </w:rPr>
        <w:t xml:space="preserve">and </w:t>
      </w:r>
      <w:r w:rsidR="00C85445" w:rsidRPr="00E915AA">
        <w:rPr>
          <w:rFonts w:ascii="Times New Roman" w:eastAsia="Yu Mincho" w:hAnsi="Times New Roman" w:cs="Times New Roman"/>
          <w:i/>
          <w:sz w:val="24"/>
          <w:szCs w:val="24"/>
          <w:lang w:val="en-GB" w:eastAsia="en-GB"/>
        </w:rPr>
        <w:t>ADISEXP</w:t>
      </w:r>
      <w:r w:rsidR="00D955E0" w:rsidRPr="00E915AA">
        <w:rPr>
          <w:rFonts w:ascii="Times New Roman" w:eastAsia="Yu Mincho" w:hAnsi="Times New Roman" w:cs="Times New Roman"/>
          <w:sz w:val="24"/>
          <w:szCs w:val="24"/>
          <w:lang w:val="en-GB" w:eastAsia="en-GB"/>
        </w:rPr>
        <w:t xml:space="preserve"> and their absolute values including </w:t>
      </w:r>
      <w:proofErr w:type="spellStart"/>
      <w:r w:rsidR="00D955E0" w:rsidRPr="00E915AA">
        <w:rPr>
          <w:rFonts w:ascii="Times New Roman" w:eastAsia="Yu Mincho" w:hAnsi="Times New Roman" w:cs="Times New Roman"/>
          <w:i/>
          <w:sz w:val="24"/>
          <w:szCs w:val="24"/>
          <w:lang w:val="en-GB" w:eastAsia="en-GB"/>
        </w:rPr>
        <w:t>DACC_abs</w:t>
      </w:r>
      <w:proofErr w:type="spellEnd"/>
      <w:r w:rsidR="00D955E0" w:rsidRPr="00E915AA">
        <w:rPr>
          <w:rFonts w:ascii="Times New Roman" w:eastAsia="Yu Mincho" w:hAnsi="Times New Roman" w:cs="Times New Roman"/>
          <w:i/>
          <w:sz w:val="24"/>
          <w:szCs w:val="24"/>
          <w:lang w:val="en-GB" w:eastAsia="en-GB"/>
        </w:rPr>
        <w:t xml:space="preserve">,  </w:t>
      </w:r>
      <w:proofErr w:type="spellStart"/>
      <w:r w:rsidR="00D955E0" w:rsidRPr="00E915AA">
        <w:rPr>
          <w:rFonts w:ascii="Times New Roman" w:eastAsia="Yu Mincho" w:hAnsi="Times New Roman" w:cs="Times New Roman"/>
          <w:i/>
          <w:sz w:val="24"/>
          <w:szCs w:val="24"/>
          <w:lang w:val="en-GB" w:eastAsia="en-GB"/>
        </w:rPr>
        <w:t>ACFO_abs</w:t>
      </w:r>
      <w:proofErr w:type="spellEnd"/>
      <w:r w:rsidR="00D955E0" w:rsidRPr="00E915AA">
        <w:rPr>
          <w:rFonts w:ascii="Times New Roman" w:eastAsia="Yu Mincho" w:hAnsi="Times New Roman" w:cs="Times New Roman"/>
          <w:i/>
          <w:sz w:val="24"/>
          <w:szCs w:val="24"/>
          <w:lang w:val="en-GB" w:eastAsia="en-GB"/>
        </w:rPr>
        <w:t xml:space="preserve"> </w:t>
      </w:r>
      <w:r w:rsidR="00D955E0" w:rsidRPr="00E915AA">
        <w:rPr>
          <w:rFonts w:ascii="Times New Roman" w:eastAsia="Yu Mincho" w:hAnsi="Times New Roman" w:cs="Times New Roman"/>
          <w:sz w:val="24"/>
          <w:szCs w:val="24"/>
          <w:lang w:val="en-GB" w:eastAsia="en-GB"/>
        </w:rPr>
        <w:t xml:space="preserve">and </w:t>
      </w:r>
      <w:proofErr w:type="spellStart"/>
      <w:r w:rsidR="00D955E0" w:rsidRPr="00E915AA">
        <w:rPr>
          <w:rFonts w:ascii="Times New Roman" w:eastAsia="Yu Mincho" w:hAnsi="Times New Roman" w:cs="Times New Roman"/>
          <w:i/>
          <w:sz w:val="24"/>
          <w:szCs w:val="24"/>
          <w:lang w:val="en-GB" w:eastAsia="en-GB"/>
        </w:rPr>
        <w:t>ADISEXP_abs</w:t>
      </w:r>
      <w:proofErr w:type="spellEnd"/>
      <w:r w:rsidR="00C85445" w:rsidRPr="00E915AA">
        <w:rPr>
          <w:rFonts w:ascii="Times New Roman" w:eastAsia="Yu Mincho" w:hAnsi="Times New Roman" w:cs="Times New Roman"/>
          <w:i/>
          <w:sz w:val="24"/>
          <w:szCs w:val="24"/>
          <w:lang w:val="en-GB" w:eastAsia="en-GB"/>
        </w:rPr>
        <w:t xml:space="preserve"> </w:t>
      </w:r>
      <w:r w:rsidR="00C46349" w:rsidRPr="00E915AA">
        <w:rPr>
          <w:rFonts w:ascii="Times New Roman" w:eastAsia="Yu Mincho" w:hAnsi="Times New Roman" w:cs="Times New Roman"/>
          <w:i/>
          <w:sz w:val="24"/>
          <w:szCs w:val="24"/>
          <w:lang w:val="en-GB" w:eastAsia="en-GB"/>
        </w:rPr>
        <w:t xml:space="preserve"> </w:t>
      </w:r>
      <w:r w:rsidR="00DF7790" w:rsidRPr="00E915AA">
        <w:rPr>
          <w:rFonts w:ascii="Times New Roman" w:eastAsia="Yu Mincho" w:hAnsi="Times New Roman" w:cs="Times New Roman"/>
          <w:iCs/>
          <w:sz w:val="24"/>
          <w:szCs w:val="24"/>
          <w:lang w:val="en-GB" w:eastAsia="en-GB"/>
        </w:rPr>
        <w:t>A</w:t>
      </w:r>
      <w:r w:rsidR="006254C0" w:rsidRPr="00E915AA">
        <w:rPr>
          <w:rFonts w:ascii="Times New Roman" w:eastAsia="Yu Mincho" w:hAnsi="Times New Roman" w:cs="Times New Roman"/>
          <w:iCs/>
          <w:sz w:val="24"/>
          <w:szCs w:val="24"/>
          <w:lang w:val="en-GB" w:eastAsia="en-GB"/>
        </w:rPr>
        <w:t xml:space="preserve">bsolute discretionary accruals </w:t>
      </w:r>
      <w:r w:rsidR="00DF7790" w:rsidRPr="00E915AA">
        <w:rPr>
          <w:rFonts w:ascii="Times New Roman" w:eastAsia="Yu Mincho" w:hAnsi="Times New Roman" w:cs="Times New Roman"/>
          <w:iCs/>
          <w:sz w:val="24"/>
          <w:szCs w:val="24"/>
          <w:lang w:val="en-GB" w:eastAsia="en-GB"/>
        </w:rPr>
        <w:t>are used to</w:t>
      </w:r>
      <w:r w:rsidR="006254C0" w:rsidRPr="00E915AA">
        <w:rPr>
          <w:rFonts w:ascii="Times New Roman" w:eastAsia="Yu Mincho" w:hAnsi="Times New Roman" w:cs="Times New Roman"/>
          <w:iCs/>
          <w:sz w:val="24"/>
          <w:szCs w:val="24"/>
          <w:lang w:val="en-GB" w:eastAsia="en-GB"/>
        </w:rPr>
        <w:t xml:space="preserve"> proxy for earnings management to capture both upward and downward earnings management. </w:t>
      </w:r>
      <w:r w:rsidR="00257DC6" w:rsidRPr="00E915AA">
        <w:rPr>
          <w:rFonts w:ascii="Times New Roman" w:eastAsia="Yu Mincho" w:hAnsi="Times New Roman" w:cs="Times New Roman"/>
          <w:i/>
          <w:sz w:val="24"/>
          <w:szCs w:val="24"/>
          <w:lang w:val="en-GB" w:eastAsia="en-GB"/>
        </w:rPr>
        <w:t xml:space="preserve">JOBS </w:t>
      </w:r>
      <w:proofErr w:type="spellStart"/>
      <w:proofErr w:type="gramStart"/>
      <w:r w:rsidR="00257DC6" w:rsidRPr="00E915AA">
        <w:rPr>
          <w:rFonts w:ascii="Times New Roman" w:eastAsia="Yu Mincho" w:hAnsi="Times New Roman" w:cs="Times New Roman"/>
          <w:i/>
          <w:sz w:val="24"/>
          <w:szCs w:val="24"/>
          <w:lang w:val="en-GB" w:eastAsia="en-GB"/>
        </w:rPr>
        <w:t>Act</w:t>
      </w:r>
      <w:r w:rsidR="00257DC6" w:rsidRPr="00E915AA">
        <w:rPr>
          <w:rFonts w:ascii="Times New Roman" w:eastAsia="Yu Mincho" w:hAnsi="Times New Roman" w:cs="Times New Roman"/>
          <w:i/>
          <w:sz w:val="24"/>
          <w:szCs w:val="24"/>
          <w:vertAlign w:val="subscript"/>
          <w:lang w:val="en-GB" w:eastAsia="en-GB"/>
        </w:rPr>
        <w:t>i,t</w:t>
      </w:r>
      <w:proofErr w:type="spellEnd"/>
      <w:proofErr w:type="gramEnd"/>
      <w:r w:rsidR="00257DC6" w:rsidRPr="00E915AA">
        <w:rPr>
          <w:rFonts w:ascii="Times New Roman" w:eastAsia="Yu Mincho" w:hAnsi="Times New Roman" w:cs="Times New Roman"/>
          <w:i/>
          <w:sz w:val="24"/>
          <w:szCs w:val="24"/>
          <w:lang w:val="en-GB" w:eastAsia="en-GB"/>
        </w:rPr>
        <w:t xml:space="preserve"> </w:t>
      </w:r>
      <w:r w:rsidR="00257DC6" w:rsidRPr="00E915AA">
        <w:rPr>
          <w:rFonts w:ascii="Times New Roman" w:eastAsia="Yu Mincho" w:hAnsi="Times New Roman" w:cs="Times New Roman"/>
          <w:iCs/>
          <w:sz w:val="24"/>
          <w:szCs w:val="24"/>
          <w:lang w:val="en-GB" w:eastAsia="en-GB"/>
        </w:rPr>
        <w:t xml:space="preserve">is a dummy variable </w:t>
      </w:r>
      <w:r w:rsidR="00737C2D" w:rsidRPr="00E915AA">
        <w:rPr>
          <w:rFonts w:ascii="Times New Roman" w:eastAsia="Yu Mincho" w:hAnsi="Times New Roman" w:cs="Times New Roman"/>
          <w:iCs/>
          <w:sz w:val="24"/>
          <w:szCs w:val="24"/>
          <w:lang w:val="en-GB" w:eastAsia="en-GB"/>
        </w:rPr>
        <w:t xml:space="preserve">equal to 1 </w:t>
      </w:r>
      <w:r w:rsidR="00BB6D52" w:rsidRPr="00E915AA">
        <w:rPr>
          <w:rFonts w:ascii="Times New Roman" w:eastAsia="Yu Mincho" w:hAnsi="Times New Roman" w:cs="Times New Roman"/>
          <w:iCs/>
          <w:sz w:val="24"/>
          <w:szCs w:val="24"/>
          <w:lang w:val="en-GB" w:eastAsia="en-GB"/>
        </w:rPr>
        <w:t>for IPOs filed</w:t>
      </w:r>
      <w:r w:rsidR="00737C2D" w:rsidRPr="00E915AA">
        <w:rPr>
          <w:rFonts w:ascii="Times New Roman" w:eastAsia="Yu Mincho" w:hAnsi="Times New Roman" w:cs="Times New Roman"/>
          <w:iCs/>
          <w:sz w:val="24"/>
          <w:szCs w:val="24"/>
          <w:lang w:val="en-GB" w:eastAsia="en-GB"/>
        </w:rPr>
        <w:t xml:space="preserve"> from 2012</w:t>
      </w:r>
      <w:r w:rsidR="00BB6D52" w:rsidRPr="00E915AA">
        <w:rPr>
          <w:rFonts w:ascii="Times New Roman" w:eastAsia="Yu Mincho" w:hAnsi="Times New Roman" w:cs="Times New Roman"/>
          <w:iCs/>
          <w:sz w:val="24"/>
          <w:szCs w:val="24"/>
          <w:lang w:val="en-GB" w:eastAsia="en-GB"/>
        </w:rPr>
        <w:t xml:space="preserve"> onwards</w:t>
      </w:r>
      <w:r w:rsidR="00737C2D" w:rsidRPr="00E915AA">
        <w:rPr>
          <w:rFonts w:ascii="Times New Roman" w:eastAsia="Yu Mincho" w:hAnsi="Times New Roman" w:cs="Times New Roman"/>
          <w:iCs/>
          <w:sz w:val="24"/>
          <w:szCs w:val="24"/>
          <w:lang w:val="en-GB" w:eastAsia="en-GB"/>
        </w:rPr>
        <w:t>, and 0 otherwise.</w:t>
      </w:r>
      <w:r w:rsidR="0084088E" w:rsidRPr="00E915AA">
        <w:rPr>
          <w:rFonts w:ascii="Times New Roman" w:eastAsia="Yu Mincho" w:hAnsi="Times New Roman" w:cs="Times New Roman"/>
          <w:iCs/>
          <w:sz w:val="24"/>
          <w:szCs w:val="24"/>
          <w:lang w:val="en-GB" w:eastAsia="en-GB"/>
        </w:rPr>
        <w:t xml:space="preserve"> </w:t>
      </w:r>
      <w:r w:rsidR="00927DE0" w:rsidRPr="00E915AA">
        <w:rPr>
          <w:rFonts w:ascii="Times New Roman" w:eastAsia="Yu Mincho" w:hAnsi="Times New Roman" w:cs="Times New Roman"/>
          <w:iCs/>
          <w:sz w:val="24"/>
          <w:szCs w:val="24"/>
          <w:lang w:val="en-GB" w:eastAsia="en-GB"/>
        </w:rPr>
        <w:t>All other variables are as previously defined</w:t>
      </w:r>
      <w:r w:rsidR="00E83DFD" w:rsidRPr="00E915AA">
        <w:rPr>
          <w:rFonts w:ascii="Times New Roman" w:eastAsia="Yu Mincho" w:hAnsi="Times New Roman" w:cs="Times New Roman"/>
          <w:iCs/>
          <w:sz w:val="24"/>
          <w:szCs w:val="24"/>
          <w:lang w:val="en-GB" w:eastAsia="en-GB"/>
        </w:rPr>
        <w:t>.</w:t>
      </w:r>
      <w:r w:rsidR="000F7858" w:rsidRPr="00E915AA">
        <w:rPr>
          <w:rFonts w:ascii="Times New Roman" w:eastAsia="Yu Mincho" w:hAnsi="Times New Roman" w:cs="Times New Roman"/>
          <w:iCs/>
          <w:sz w:val="24"/>
          <w:szCs w:val="24"/>
          <w:lang w:val="en-GB" w:eastAsia="en-GB"/>
        </w:rPr>
        <w:t xml:space="preserve"> </w:t>
      </w:r>
    </w:p>
    <w:p w14:paraId="23752CBB" w14:textId="492B9923" w:rsidR="002C6719" w:rsidRPr="00E915AA" w:rsidRDefault="002C6719" w:rsidP="002C6719">
      <w:pPr>
        <w:spacing w:before="240" w:after="240" w:line="360" w:lineRule="auto"/>
        <w:jc w:val="both"/>
        <w:rPr>
          <w:rFonts w:ascii="Times New Roman" w:eastAsia="Yu Mincho" w:hAnsi="Times New Roman" w:cs="Times New Roman"/>
          <w:sz w:val="24"/>
          <w:szCs w:val="24"/>
          <w:lang w:val="en-GB" w:eastAsia="en-GB"/>
        </w:rPr>
      </w:pPr>
      <w:r w:rsidRPr="00E915AA">
        <w:rPr>
          <w:rFonts w:ascii="Times New Roman" w:eastAsia="Yu Mincho" w:hAnsi="Times New Roman" w:cs="Times New Roman"/>
          <w:sz w:val="24"/>
          <w:szCs w:val="24"/>
          <w:lang w:val="en-GB" w:eastAsia="en-GB"/>
        </w:rPr>
        <w:t xml:space="preserve">In order to </w:t>
      </w:r>
      <w:r w:rsidR="006628D0" w:rsidRPr="00E915AA">
        <w:rPr>
          <w:rFonts w:ascii="Times New Roman" w:eastAsia="Yu Mincho" w:hAnsi="Times New Roman" w:cs="Times New Roman"/>
          <w:sz w:val="24"/>
          <w:szCs w:val="24"/>
          <w:lang w:val="en-GB" w:eastAsia="en-GB"/>
        </w:rPr>
        <w:t>test how</w:t>
      </w:r>
      <w:r w:rsidRPr="00E915AA">
        <w:rPr>
          <w:rFonts w:ascii="Times New Roman" w:eastAsia="Yu Mincho" w:hAnsi="Times New Roman" w:cs="Times New Roman"/>
          <w:sz w:val="24"/>
          <w:szCs w:val="24"/>
          <w:lang w:val="en-GB" w:eastAsia="en-GB"/>
        </w:rPr>
        <w:t xml:space="preserve"> the 2012 JOBS Act</w:t>
      </w:r>
      <w:r w:rsidR="00602C01" w:rsidRPr="00E915AA">
        <w:rPr>
          <w:rFonts w:ascii="Times New Roman" w:eastAsia="Yu Mincho" w:hAnsi="Times New Roman" w:cs="Times New Roman"/>
          <w:sz w:val="24"/>
          <w:szCs w:val="24"/>
          <w:lang w:val="en-GB" w:eastAsia="en-GB"/>
        </w:rPr>
        <w:t xml:space="preserve"> </w:t>
      </w:r>
      <w:r w:rsidR="006628D0" w:rsidRPr="00E915AA">
        <w:rPr>
          <w:rFonts w:ascii="Times New Roman" w:eastAsia="Yu Mincho" w:hAnsi="Times New Roman" w:cs="Times New Roman"/>
          <w:sz w:val="24"/>
          <w:szCs w:val="24"/>
          <w:lang w:val="en-GB" w:eastAsia="en-GB"/>
        </w:rPr>
        <w:t xml:space="preserve">impacts </w:t>
      </w:r>
      <w:r w:rsidR="00602C01" w:rsidRPr="00E915AA">
        <w:rPr>
          <w:rFonts w:ascii="Times New Roman" w:eastAsia="Yu Mincho" w:hAnsi="Times New Roman" w:cs="Times New Roman"/>
          <w:sz w:val="24"/>
          <w:szCs w:val="24"/>
          <w:lang w:val="en-GB" w:eastAsia="en-GB"/>
        </w:rPr>
        <w:t>the effectiveness of SEC review</w:t>
      </w:r>
      <w:r w:rsidR="006628D0" w:rsidRPr="00E915AA">
        <w:rPr>
          <w:rFonts w:ascii="Times New Roman" w:eastAsia="Yu Mincho" w:hAnsi="Times New Roman" w:cs="Times New Roman"/>
          <w:sz w:val="24"/>
          <w:szCs w:val="24"/>
          <w:lang w:val="en-GB" w:eastAsia="en-GB"/>
        </w:rPr>
        <w:t>s</w:t>
      </w:r>
      <w:r w:rsidR="00697BE3" w:rsidRPr="00E915AA">
        <w:rPr>
          <w:rFonts w:ascii="Times New Roman" w:eastAsia="Yu Mincho" w:hAnsi="Times New Roman" w:cs="Times New Roman"/>
          <w:sz w:val="24"/>
          <w:szCs w:val="24"/>
          <w:lang w:val="en-GB" w:eastAsia="en-GB"/>
        </w:rPr>
        <w:t xml:space="preserve"> in addressing EM</w:t>
      </w:r>
      <w:r w:rsidR="00602C01" w:rsidRPr="00E915AA">
        <w:rPr>
          <w:rFonts w:ascii="Times New Roman" w:eastAsia="Yu Mincho" w:hAnsi="Times New Roman" w:cs="Times New Roman"/>
          <w:sz w:val="24"/>
          <w:szCs w:val="24"/>
          <w:lang w:val="en-GB" w:eastAsia="en-GB"/>
        </w:rPr>
        <w:t xml:space="preserve"> </w:t>
      </w:r>
      <w:r w:rsidR="006628D0" w:rsidRPr="00E915AA">
        <w:rPr>
          <w:rFonts w:ascii="Times New Roman" w:eastAsia="Yu Mincho" w:hAnsi="Times New Roman" w:cs="Times New Roman"/>
          <w:sz w:val="24"/>
          <w:szCs w:val="24"/>
          <w:lang w:val="en-GB" w:eastAsia="en-GB"/>
        </w:rPr>
        <w:t>by</w:t>
      </w:r>
      <w:r w:rsidR="00697BE3" w:rsidRPr="00E915AA">
        <w:rPr>
          <w:rFonts w:ascii="Times New Roman" w:eastAsia="Yu Mincho" w:hAnsi="Times New Roman" w:cs="Times New Roman"/>
          <w:sz w:val="24"/>
          <w:szCs w:val="24"/>
          <w:lang w:val="en-GB" w:eastAsia="en-GB"/>
        </w:rPr>
        <w:t xml:space="preserve"> IPO </w:t>
      </w:r>
      <w:r w:rsidR="006628D0" w:rsidRPr="00E915AA">
        <w:rPr>
          <w:rFonts w:ascii="Times New Roman" w:eastAsia="Yu Mincho" w:hAnsi="Times New Roman" w:cs="Times New Roman"/>
          <w:sz w:val="24"/>
          <w:szCs w:val="24"/>
          <w:lang w:val="en-GB" w:eastAsia="en-GB"/>
        </w:rPr>
        <w:t>firms</w:t>
      </w:r>
      <w:r w:rsidR="000F7858" w:rsidRPr="00E915AA">
        <w:rPr>
          <w:rFonts w:ascii="Times New Roman" w:eastAsia="Yu Mincho" w:hAnsi="Times New Roman" w:cs="Times New Roman"/>
          <w:sz w:val="24"/>
          <w:szCs w:val="24"/>
          <w:lang w:val="en-GB" w:eastAsia="en-GB"/>
        </w:rPr>
        <w:t>,</w:t>
      </w:r>
      <w:r w:rsidRPr="00E915AA">
        <w:rPr>
          <w:rFonts w:ascii="Times New Roman" w:eastAsia="Yu Mincho" w:hAnsi="Times New Roman" w:cs="Times New Roman"/>
          <w:sz w:val="24"/>
          <w:szCs w:val="24"/>
          <w:lang w:val="en-GB" w:eastAsia="en-GB"/>
        </w:rPr>
        <w:t xml:space="preserve"> </w:t>
      </w:r>
      <w:r w:rsidR="00D755BB" w:rsidRPr="00E915AA">
        <w:rPr>
          <w:rFonts w:ascii="Times New Roman" w:eastAsia="Yu Mincho" w:hAnsi="Times New Roman" w:cs="Times New Roman"/>
          <w:sz w:val="24"/>
          <w:szCs w:val="24"/>
          <w:lang w:val="en-GB" w:eastAsia="en-GB"/>
        </w:rPr>
        <w:t xml:space="preserve">we augment </w:t>
      </w:r>
      <w:r w:rsidRPr="00E915AA">
        <w:rPr>
          <w:rFonts w:ascii="Times New Roman" w:eastAsia="Yu Mincho" w:hAnsi="Times New Roman" w:cs="Times New Roman"/>
          <w:sz w:val="24"/>
          <w:szCs w:val="24"/>
          <w:lang w:val="en-GB" w:eastAsia="en-GB"/>
        </w:rPr>
        <w:t xml:space="preserve">Equation 1 </w:t>
      </w:r>
      <w:r w:rsidR="002036F0" w:rsidRPr="00E915AA">
        <w:rPr>
          <w:rFonts w:ascii="Times New Roman" w:eastAsia="Yu Mincho" w:hAnsi="Times New Roman" w:cs="Times New Roman"/>
          <w:sz w:val="24"/>
          <w:szCs w:val="24"/>
          <w:lang w:val="en-GB" w:eastAsia="en-GB"/>
        </w:rPr>
        <w:t>to</w:t>
      </w:r>
      <w:r w:rsidR="00D755BB" w:rsidRPr="00E915AA">
        <w:rPr>
          <w:rFonts w:ascii="Times New Roman" w:eastAsia="Yu Mincho" w:hAnsi="Times New Roman" w:cs="Times New Roman"/>
          <w:sz w:val="24"/>
          <w:szCs w:val="24"/>
          <w:lang w:val="en-GB" w:eastAsia="en-GB"/>
        </w:rPr>
        <w:t xml:space="preserve"> includ</w:t>
      </w:r>
      <w:r w:rsidR="002036F0" w:rsidRPr="00E915AA">
        <w:rPr>
          <w:rFonts w:ascii="Times New Roman" w:eastAsia="Yu Mincho" w:hAnsi="Times New Roman" w:cs="Times New Roman"/>
          <w:sz w:val="24"/>
          <w:szCs w:val="24"/>
          <w:lang w:val="en-GB" w:eastAsia="en-GB"/>
        </w:rPr>
        <w:t>e</w:t>
      </w:r>
      <w:r w:rsidR="00D755BB" w:rsidRPr="00E915AA">
        <w:rPr>
          <w:rFonts w:ascii="Times New Roman" w:eastAsia="Yu Mincho" w:hAnsi="Times New Roman" w:cs="Times New Roman"/>
          <w:sz w:val="24"/>
          <w:szCs w:val="24"/>
          <w:lang w:val="en-GB" w:eastAsia="en-GB"/>
        </w:rPr>
        <w:t xml:space="preserve"> an interaction between </w:t>
      </w:r>
      <w:r w:rsidR="00602C01" w:rsidRPr="00E915AA">
        <w:rPr>
          <w:rFonts w:ascii="Times New Roman" w:eastAsia="Yu Mincho" w:hAnsi="Times New Roman" w:cs="Times New Roman"/>
          <w:i/>
          <w:iCs/>
          <w:sz w:val="24"/>
          <w:szCs w:val="24"/>
          <w:lang w:val="en-GB" w:eastAsia="en-GB"/>
        </w:rPr>
        <w:t xml:space="preserve">JOBS </w:t>
      </w:r>
      <w:proofErr w:type="spellStart"/>
      <w:proofErr w:type="gramStart"/>
      <w:r w:rsidR="00602C01" w:rsidRPr="00E915AA">
        <w:rPr>
          <w:rFonts w:ascii="Times New Roman" w:eastAsia="Yu Mincho" w:hAnsi="Times New Roman" w:cs="Times New Roman"/>
          <w:i/>
          <w:iCs/>
          <w:sz w:val="24"/>
          <w:szCs w:val="24"/>
          <w:lang w:val="en-GB" w:eastAsia="en-GB"/>
        </w:rPr>
        <w:t>Act</w:t>
      </w:r>
      <w:r w:rsidR="00602C01" w:rsidRPr="00E915AA">
        <w:rPr>
          <w:rFonts w:ascii="Times New Roman" w:eastAsia="Yu Mincho" w:hAnsi="Times New Roman" w:cs="Times New Roman"/>
          <w:i/>
          <w:iCs/>
          <w:sz w:val="24"/>
          <w:szCs w:val="24"/>
          <w:vertAlign w:val="subscript"/>
          <w:lang w:val="en-GB" w:eastAsia="en-GB"/>
        </w:rPr>
        <w:t>i,t</w:t>
      </w:r>
      <w:proofErr w:type="spellEnd"/>
      <w:proofErr w:type="gramEnd"/>
      <w:r w:rsidR="00602C01" w:rsidRPr="00E915AA">
        <w:rPr>
          <w:rFonts w:ascii="Times New Roman" w:eastAsia="Yu Mincho" w:hAnsi="Times New Roman" w:cs="Times New Roman"/>
          <w:i/>
          <w:iCs/>
          <w:sz w:val="24"/>
          <w:szCs w:val="24"/>
          <w:vertAlign w:val="subscript"/>
          <w:lang w:val="en-GB" w:eastAsia="en-GB"/>
        </w:rPr>
        <w:t xml:space="preserve"> </w:t>
      </w:r>
      <w:r w:rsidR="00602C01" w:rsidRPr="00E915AA">
        <w:rPr>
          <w:rFonts w:ascii="Times New Roman" w:eastAsia="Yu Mincho" w:hAnsi="Times New Roman" w:cs="Times New Roman"/>
          <w:i/>
          <w:iCs/>
          <w:sz w:val="24"/>
          <w:szCs w:val="24"/>
          <w:lang w:val="en-GB" w:eastAsia="en-GB"/>
        </w:rPr>
        <w:t xml:space="preserve"> </w:t>
      </w:r>
      <w:r w:rsidR="00602C01" w:rsidRPr="00E915AA">
        <w:rPr>
          <w:rFonts w:ascii="Times New Roman" w:eastAsia="Yu Mincho" w:hAnsi="Times New Roman" w:cs="Times New Roman"/>
          <w:sz w:val="24"/>
          <w:szCs w:val="24"/>
          <w:lang w:val="en-GB" w:eastAsia="en-GB"/>
        </w:rPr>
        <w:t xml:space="preserve">and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EM proxies</m:t>
            </m:r>
          </m:e>
          <m:sub>
            <m:r>
              <m:rPr>
                <m:nor/>
              </m:rPr>
              <w:rPr>
                <w:rFonts w:ascii="Cambria Math" w:eastAsia="Calibri" w:hAnsi="Times New Roman" w:cs="Times New Roman"/>
                <w:i/>
                <w:sz w:val="24"/>
                <w:szCs w:val="24"/>
                <w:lang w:val="en-GB" w:eastAsia="en-GB"/>
              </w:rPr>
              <m:t>i</m:t>
            </m:r>
            <m:r>
              <m:rPr>
                <m:nor/>
              </m:rPr>
              <w:rPr>
                <w:rFonts w:ascii="Times New Roman" w:eastAsia="Calibri" w:hAnsi="Times New Roman" w:cs="Times New Roman"/>
                <w:i/>
                <w:sz w:val="24"/>
                <w:szCs w:val="24"/>
                <w:lang w:val="en-GB" w:eastAsia="en-GB"/>
              </w:rPr>
              <m:t>,t-1</m:t>
            </m:r>
          </m:sub>
        </m:sSub>
      </m:oMath>
      <w:bookmarkStart w:id="27" w:name="_Toc43219826"/>
      <w:r w:rsidR="0087208D" w:rsidRPr="00E915AA">
        <w:rPr>
          <w:rFonts w:ascii="Times New Roman" w:eastAsia="Yu Mincho" w:hAnsi="Times New Roman" w:cs="Times New Roman"/>
          <w:sz w:val="24"/>
          <w:szCs w:val="24"/>
          <w:lang w:val="en-GB" w:eastAsia="en-GB"/>
        </w:rPr>
        <w:t>, as follows:</w:t>
      </w:r>
      <w:r w:rsidR="0052484C" w:rsidRPr="00E915AA">
        <w:rPr>
          <w:rStyle w:val="FootnoteReference"/>
          <w:rFonts w:ascii="Times New Roman" w:eastAsia="Yu Mincho" w:hAnsi="Times New Roman" w:cs="Times New Roman"/>
          <w:sz w:val="24"/>
          <w:szCs w:val="24"/>
          <w:lang w:val="en-GB" w:eastAsia="en-GB"/>
        </w:rPr>
        <w:footnoteReference w:id="11"/>
      </w:r>
    </w:p>
    <w:tbl>
      <w:tblPr>
        <w:tblStyle w:val="TableGrid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4"/>
      </w:tblGrid>
      <w:tr w:rsidR="00463FEF" w:rsidRPr="00E915AA" w14:paraId="1DB0907A" w14:textId="77777777" w:rsidTr="0073176B">
        <w:tc>
          <w:tcPr>
            <w:tcW w:w="7933" w:type="dxa"/>
            <w:vAlign w:val="center"/>
          </w:tcPr>
          <w:p w14:paraId="2065ACB0" w14:textId="79BF6BC6" w:rsidR="00463FEF" w:rsidRPr="00E915AA" w:rsidRDefault="00E915AA" w:rsidP="0073176B">
            <w:pPr>
              <w:spacing w:before="240" w:after="240" w:line="360" w:lineRule="auto"/>
              <w:jc w:val="center"/>
              <w:rPr>
                <w:rFonts w:ascii="Times New Roman" w:eastAsia="Calibri" w:hAnsi="Times New Roman" w:cs="Times New Roman"/>
                <w:sz w:val="24"/>
                <w:szCs w:val="24"/>
                <w:lang w:eastAsia="en-GB"/>
              </w:rPr>
            </w:pPr>
            <m:oMathPara>
              <m:oMath>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SEC review</m:t>
                    </m:r>
                  </m:e>
                  <m:sub>
                    <m:r>
                      <m:rPr>
                        <m:nor/>
                      </m:rPr>
                      <w:rPr>
                        <w:rFonts w:ascii="Times New Roman" w:eastAsia="Calibri" w:hAnsi="Times New Roman" w:cs="Times New Roman"/>
                        <w:sz w:val="24"/>
                        <w:szCs w:val="24"/>
                        <w:lang w:eastAsia="en-GB"/>
                      </w:rPr>
                      <m:t>i,t</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0</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m:rPr>
                        <m:nor/>
                      </m:rPr>
                      <w:rPr>
                        <w:rFonts w:ascii="Times New Roman" w:eastAsia="Calibri" w:hAnsi="Times New Roman" w:cs="Times New Roman"/>
                        <w:sz w:val="24"/>
                        <w:szCs w:val="24"/>
                        <w:lang w:eastAsia="en-GB"/>
                      </w:rPr>
                      <m:t>1</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EM proxies</m:t>
                    </m:r>
                  </m:e>
                  <m:sub>
                    <m:r>
                      <m:rPr>
                        <m:nor/>
                      </m:rPr>
                      <w:rPr>
                        <w:rFonts w:ascii="Times New Roman" w:eastAsia="Calibri" w:hAnsi="Times New Roman" w:cs="Times New Roman"/>
                        <w:sz w:val="24"/>
                        <w:szCs w:val="24"/>
                        <w:lang w:eastAsia="en-GB"/>
                      </w:rPr>
                      <m:t>i,t-1</m:t>
                    </m:r>
                  </m:sub>
                </m:sSub>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 α</m:t>
                    </m:r>
                  </m:e>
                  <m:sub>
                    <m:r>
                      <w:rPr>
                        <w:rFonts w:ascii="Cambria Math" w:eastAsia="Calibri" w:hAnsi="Cambria Math" w:cs="Times New Roman"/>
                        <w:sz w:val="24"/>
                        <w:szCs w:val="24"/>
                        <w:lang w:eastAsia="en-GB"/>
                      </w:rPr>
                      <m:t>2</m:t>
                    </m:r>
                  </m:sub>
                </m:sSub>
                <m:sSub>
                  <m:sSubPr>
                    <m:ctrlPr>
                      <w:rPr>
                        <w:rFonts w:ascii="Cambria Math" w:eastAsia="Calibri" w:hAnsi="Cambria Math" w:cs="Times New Roman"/>
                        <w:iCs/>
                        <w:sz w:val="24"/>
                        <w:szCs w:val="24"/>
                        <w:lang w:eastAsia="en-GB"/>
                      </w:rPr>
                    </m:ctrlPr>
                  </m:sSubPr>
                  <m:e>
                    <m:r>
                      <m:rPr>
                        <m:sty m:val="p"/>
                      </m:rPr>
                      <w:rPr>
                        <w:rFonts w:ascii="Cambria Math" w:eastAsia="Calibri" w:hAnsi="Cambria Math" w:cs="Times New Roman"/>
                        <w:sz w:val="24"/>
                        <w:szCs w:val="24"/>
                        <w:lang w:eastAsia="en-GB"/>
                      </w:rPr>
                      <m:t>JOBS Act</m:t>
                    </m:r>
                  </m:e>
                  <m:sub>
                    <m:r>
                      <m:rPr>
                        <m:nor/>
                      </m:rPr>
                      <w:rPr>
                        <w:rFonts w:ascii="Times New Roman" w:eastAsia="Calibri" w:hAnsi="Times New Roman" w:cs="Times New Roman"/>
                        <w:iCs/>
                        <w:sz w:val="24"/>
                        <w:szCs w:val="24"/>
                        <w:lang w:eastAsia="en-GB"/>
                      </w:rPr>
                      <m:t>i,t</m:t>
                    </m:r>
                  </m:sub>
                </m:sSub>
                <m:r>
                  <m:rPr>
                    <m:nor/>
                  </m:rPr>
                  <w:rPr>
                    <w:rFonts w:ascii="Cambria Math"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w:rPr>
                        <w:rFonts w:ascii="Cambria Math" w:eastAsia="Calibri" w:hAnsi="Cambria Math" w:cs="Times New Roman"/>
                        <w:sz w:val="24"/>
                        <w:szCs w:val="24"/>
                        <w:lang w:eastAsia="en-GB"/>
                      </w:rPr>
                      <m:t>3</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EM proxies</m:t>
                    </m:r>
                  </m:e>
                  <m:sub>
                    <m:r>
                      <m:rPr>
                        <m:nor/>
                      </m:rPr>
                      <w:rPr>
                        <w:rFonts w:ascii="Times New Roman" w:eastAsia="Calibri" w:hAnsi="Times New Roman" w:cs="Times New Roman"/>
                        <w:sz w:val="24"/>
                        <w:szCs w:val="24"/>
                        <w:lang w:eastAsia="en-GB"/>
                      </w:rPr>
                      <m:t>i,t-1</m:t>
                    </m:r>
                  </m:sub>
                </m:sSub>
                <m:r>
                  <w:rPr>
                    <w:rFonts w:ascii="Cambria Math" w:eastAsia="Calibri" w:hAnsi="Cambria Math" w:cs="Times New Roman"/>
                    <w:sz w:val="24"/>
                    <w:szCs w:val="24"/>
                    <w:lang w:eastAsia="en-GB"/>
                  </w:rPr>
                  <m:t>*</m:t>
                </m:r>
                <m:sSub>
                  <m:sSubPr>
                    <m:ctrlPr>
                      <w:rPr>
                        <w:rFonts w:ascii="Cambria Math" w:eastAsia="Calibri" w:hAnsi="Cambria Math" w:cs="Times New Roman"/>
                        <w:iCs/>
                        <w:sz w:val="24"/>
                        <w:szCs w:val="24"/>
                        <w:lang w:eastAsia="en-GB"/>
                      </w:rPr>
                    </m:ctrlPr>
                  </m:sSubPr>
                  <m:e>
                    <m:r>
                      <m:rPr>
                        <m:sty m:val="p"/>
                      </m:rPr>
                      <w:rPr>
                        <w:rFonts w:ascii="Cambria Math" w:eastAsia="Calibri" w:hAnsi="Cambria Math" w:cs="Times New Roman"/>
                        <w:sz w:val="24"/>
                        <w:szCs w:val="24"/>
                        <w:lang w:eastAsia="en-GB"/>
                      </w:rPr>
                      <m:t>JOBS Act</m:t>
                    </m:r>
                  </m:e>
                  <m:sub>
                    <m:r>
                      <m:rPr>
                        <m:nor/>
                      </m:rPr>
                      <w:rPr>
                        <w:rFonts w:ascii="Times New Roman" w:eastAsia="Calibri" w:hAnsi="Times New Roman" w:cs="Times New Roman"/>
                        <w:iCs/>
                        <w:sz w:val="24"/>
                        <w:szCs w:val="24"/>
                        <w:lang w:eastAsia="en-GB"/>
                      </w:rPr>
                      <m:t>i,t</m:t>
                    </m:r>
                  </m:sub>
                </m:sSub>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m:sSub>
                  <m:sSubPr>
                    <m:ctrlPr>
                      <w:rPr>
                        <w:rFonts w:ascii="Cambria Math" w:eastAsia="Calibri" w:hAnsi="Cambria Math" w:cs="Times New Roman"/>
                        <w:i/>
                        <w:sz w:val="24"/>
                        <w:szCs w:val="24"/>
                        <w:lang w:eastAsia="en-GB"/>
                      </w:rPr>
                    </m:ctrlPr>
                  </m:sSubPr>
                  <m:e>
                    <m:r>
                      <m:rPr>
                        <m:nor/>
                      </m:rPr>
                      <w:rPr>
                        <w:rFonts w:ascii="Cambria Math" w:eastAsia="Calibri" w:hAnsi="Cambria Math" w:cs="Times New Roman"/>
                        <w:sz w:val="24"/>
                        <w:szCs w:val="24"/>
                        <w:lang w:eastAsia="en-GB"/>
                      </w:rPr>
                      <m:t>α</m:t>
                    </m:r>
                  </m:e>
                  <m:sub>
                    <m:r>
                      <w:rPr>
                        <w:rFonts w:ascii="Cambria Math" w:eastAsia="Calibri" w:hAnsi="Cambria Math" w:cs="Times New Roman"/>
                        <w:sz w:val="24"/>
                        <w:szCs w:val="24"/>
                        <w:lang w:eastAsia="en-GB"/>
                      </w:rPr>
                      <m:t>4</m:t>
                    </m:r>
                  </m:sub>
                </m:sSub>
                <m:sSub>
                  <m:sSubPr>
                    <m:ctrlPr>
                      <w:rPr>
                        <w:rFonts w:ascii="Cambria Math" w:eastAsia="Calibri" w:hAnsi="Cambria Math" w:cs="Times New Roman"/>
                        <w:i/>
                        <w:sz w:val="24"/>
                        <w:szCs w:val="24"/>
                        <w:lang w:eastAsia="en-GB"/>
                      </w:rPr>
                    </m:ctrlPr>
                  </m:sSubPr>
                  <m:e>
                    <m:r>
                      <m:rPr>
                        <m:nor/>
                      </m:rPr>
                      <w:rPr>
                        <w:rFonts w:ascii="Times New Roman" w:eastAsia="Calibri" w:hAnsi="Times New Roman" w:cs="Times New Roman"/>
                        <w:sz w:val="24"/>
                        <w:szCs w:val="24"/>
                        <w:lang w:eastAsia="en-GB"/>
                      </w:rPr>
                      <m:t>Control</m:t>
                    </m:r>
                  </m:e>
                  <m:sub>
                    <m:r>
                      <m:rPr>
                        <m:nor/>
                      </m:rPr>
                      <w:rPr>
                        <w:rFonts w:ascii="Times New Roman" w:eastAsia="Calibri" w:hAnsi="Times New Roman" w:cs="Times New Roman"/>
                        <w:sz w:val="24"/>
                        <w:szCs w:val="24"/>
                        <w:lang w:eastAsia="en-GB"/>
                      </w:rPr>
                      <m:t>i, t-1</m:t>
                    </m:r>
                  </m:sub>
                </m:sSub>
                <m:r>
                  <m:rPr>
                    <m:nor/>
                  </m:rPr>
                  <w:rPr>
                    <w:rFonts w:ascii="Cambria Math" w:eastAsia="Calibri" w:hAnsi="Times New Roman" w:cs="Times New Roman"/>
                    <w:sz w:val="24"/>
                    <w:szCs w:val="24"/>
                    <w:lang w:eastAsia="en-GB"/>
                  </w:rPr>
                  <m:t xml:space="preserve"> + </m:t>
                </m:r>
                <w:proofErr w:type="spellStart"/>
                <m:r>
                  <m:rPr>
                    <m:nor/>
                  </m:rPr>
                  <w:rPr>
                    <w:rFonts w:ascii="Cambria Math" w:eastAsia="Calibri" w:hAnsi="Times New Roman" w:cs="Times New Roman"/>
                    <w:sz w:val="24"/>
                    <w:szCs w:val="24"/>
                    <w:lang w:eastAsia="en-GB"/>
                  </w:rPr>
                  <m:t>YearFE</m:t>
                </m:r>
                <w:proofErr w:type="spellEnd"/>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r>
                  <m:rPr>
                    <m:nor/>
                  </m:rPr>
                  <w:rPr>
                    <w:rFonts w:ascii="Cambria Math" w:eastAsia="Calibri" w:hAnsi="Times New Roman" w:cs="Times New Roman"/>
                    <w:sz w:val="24"/>
                    <w:szCs w:val="24"/>
                    <w:lang w:eastAsia="en-GB"/>
                  </w:rPr>
                  <m:t xml:space="preserve"> </m:t>
                </m:r>
                <w:proofErr w:type="spellStart"/>
                <m:r>
                  <m:rPr>
                    <m:nor/>
                  </m:rPr>
                  <w:rPr>
                    <w:rFonts w:ascii="Times New Roman" w:eastAsia="Calibri" w:hAnsi="Times New Roman" w:cs="Times New Roman"/>
                    <w:sz w:val="24"/>
                    <w:szCs w:val="24"/>
                    <w:lang w:eastAsia="en-GB"/>
                  </w:rPr>
                  <m:t>IndFE</m:t>
                </m:r>
                <w:proofErr w:type="spellEnd"/>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m:t>
                </m:r>
                <m:sSub>
                  <m:sSubPr>
                    <m:ctrlPr>
                      <w:rPr>
                        <w:rFonts w:ascii="Cambria Math" w:eastAsia="Calibri" w:hAnsi="Cambria Math" w:cs="Times New Roman"/>
                        <w:i/>
                        <w:sz w:val="24"/>
                        <w:szCs w:val="24"/>
                        <w:lang w:eastAsia="en-GB"/>
                      </w:rPr>
                    </m:ctrlPr>
                  </m:sSubPr>
                  <m:e>
                    <m:r>
                      <m:rPr>
                        <m:nor/>
                      </m:rPr>
                      <w:rPr>
                        <w:rFonts w:ascii="Cambria Math" w:eastAsia="Calibri" w:hAnsi="Times New Roman" w:cs="Times New Roman"/>
                        <w:sz w:val="24"/>
                        <w:szCs w:val="24"/>
                        <w:lang w:eastAsia="en-GB"/>
                      </w:rPr>
                      <m:t xml:space="preserve"> </m:t>
                    </m:r>
                    <m:r>
                      <m:rPr>
                        <m:nor/>
                      </m:rPr>
                      <w:rPr>
                        <w:rFonts w:ascii="Times New Roman" w:eastAsia="Calibri" w:hAnsi="Times New Roman" w:cs="Times New Roman"/>
                        <w:sz w:val="24"/>
                        <w:szCs w:val="24"/>
                        <w:lang w:eastAsia="en-GB"/>
                      </w:rPr>
                      <m:t>ε</m:t>
                    </m:r>
                  </m:e>
                  <m:sub>
                    <m:r>
                      <m:rPr>
                        <m:nor/>
                      </m:rPr>
                      <w:rPr>
                        <w:rFonts w:ascii="Times New Roman" w:eastAsia="Calibri" w:hAnsi="Times New Roman" w:cs="Times New Roman"/>
                        <w:sz w:val="24"/>
                        <w:szCs w:val="24"/>
                        <w:lang w:eastAsia="en-GB"/>
                      </w:rPr>
                      <m:t>i,t</m:t>
                    </m:r>
                  </m:sub>
                </m:sSub>
              </m:oMath>
            </m:oMathPara>
          </w:p>
        </w:tc>
        <w:tc>
          <w:tcPr>
            <w:tcW w:w="1134" w:type="dxa"/>
            <w:vAlign w:val="center"/>
          </w:tcPr>
          <w:p w14:paraId="779EAF1B" w14:textId="078B71D5" w:rsidR="00463FEF" w:rsidRPr="00E915AA" w:rsidRDefault="00463FEF" w:rsidP="0073176B">
            <w:pPr>
              <w:spacing w:before="240" w:after="240" w:line="360" w:lineRule="auto"/>
              <w:jc w:val="center"/>
              <w:rPr>
                <w:rFonts w:ascii="Times New Roman" w:eastAsia="Calibri" w:hAnsi="Times New Roman" w:cs="Times New Roman"/>
                <w:sz w:val="24"/>
                <w:szCs w:val="24"/>
                <w:lang w:eastAsia="en-GB"/>
              </w:rPr>
            </w:pPr>
            <w:r w:rsidRPr="00E915AA">
              <w:rPr>
                <w:rFonts w:ascii="Times New Roman" w:eastAsia="Calibri" w:hAnsi="Times New Roman" w:cs="Times New Roman"/>
                <w:sz w:val="24"/>
                <w:szCs w:val="24"/>
                <w:lang w:eastAsia="en-GB"/>
              </w:rPr>
              <w:t>(</w:t>
            </w:r>
            <w:r w:rsidR="00E1586C" w:rsidRPr="00E915AA">
              <w:rPr>
                <w:rFonts w:ascii="Times New Roman" w:eastAsia="Calibri" w:hAnsi="Times New Roman" w:cs="Times New Roman"/>
                <w:sz w:val="24"/>
                <w:szCs w:val="24"/>
                <w:lang w:eastAsia="en-GB"/>
              </w:rPr>
              <w:t>3</w:t>
            </w:r>
            <w:r w:rsidRPr="00E915AA">
              <w:rPr>
                <w:rFonts w:ascii="Times New Roman" w:eastAsia="Calibri" w:hAnsi="Times New Roman" w:cs="Times New Roman"/>
                <w:sz w:val="24"/>
                <w:szCs w:val="24"/>
                <w:lang w:eastAsia="en-GB"/>
              </w:rPr>
              <w:t>)</w:t>
            </w:r>
          </w:p>
        </w:tc>
      </w:tr>
    </w:tbl>
    <w:p w14:paraId="6141D6D3" w14:textId="1D6B6329" w:rsidR="002C6719" w:rsidRPr="00E915AA" w:rsidRDefault="002C6719" w:rsidP="00D955E0">
      <w:pPr>
        <w:pStyle w:val="ListParagraph"/>
        <w:numPr>
          <w:ilvl w:val="1"/>
          <w:numId w:val="42"/>
        </w:numPr>
        <w:spacing w:before="240" w:after="240" w:line="360" w:lineRule="auto"/>
        <w:jc w:val="both"/>
        <w:outlineLvl w:val="1"/>
        <w:rPr>
          <w:rFonts w:ascii="Times New Roman" w:eastAsia="Calibri" w:hAnsi="Times New Roman" w:cs="Times New Roman"/>
          <w:b/>
          <w:sz w:val="24"/>
          <w:szCs w:val="24"/>
          <w:lang w:val="en-GB" w:eastAsia="en-GB"/>
        </w:rPr>
      </w:pPr>
      <w:bookmarkStart w:id="28" w:name="_Toc69749303"/>
      <w:r w:rsidRPr="00E915AA">
        <w:rPr>
          <w:rFonts w:ascii="Times New Roman" w:eastAsia="Calibri" w:hAnsi="Times New Roman" w:cs="Times New Roman"/>
          <w:b/>
          <w:sz w:val="24"/>
          <w:szCs w:val="24"/>
          <w:lang w:val="en-GB" w:eastAsia="en-GB"/>
        </w:rPr>
        <w:t>Descriptive statistics</w:t>
      </w:r>
      <w:bookmarkEnd w:id="27"/>
      <w:bookmarkEnd w:id="28"/>
    </w:p>
    <w:p w14:paraId="539914D2" w14:textId="598D7537" w:rsidR="00D955E0"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Table 2, Panel A presents the distribution of IPOs between 2005 and 2017, showing that the volume of IPOs dramatically increases in 2013 and reaches a peak in 2014 with values of 99 (12.39%) and 110 (13.77%). This is likely due to the impact of the JOBS Act enacted in 2012, which reduces disclosure burdens to incentivise emerging growth companies, who account for </w:t>
      </w:r>
      <w:proofErr w:type="gramStart"/>
      <w:r w:rsidRPr="00E915AA">
        <w:rPr>
          <w:rFonts w:ascii="Times New Roman" w:eastAsia="Calibri" w:hAnsi="Times New Roman" w:cs="Times New Roman"/>
          <w:sz w:val="24"/>
          <w:szCs w:val="24"/>
          <w:lang w:val="en-GB" w:eastAsia="en-GB"/>
        </w:rPr>
        <w:t>the majority of</w:t>
      </w:r>
      <w:proofErr w:type="gramEnd"/>
      <w:r w:rsidRPr="00E915AA">
        <w:rPr>
          <w:rFonts w:ascii="Times New Roman" w:eastAsia="Calibri" w:hAnsi="Times New Roman" w:cs="Times New Roman"/>
          <w:sz w:val="24"/>
          <w:szCs w:val="24"/>
          <w:lang w:val="en-GB" w:eastAsia="en-GB"/>
        </w:rPr>
        <w:t xml:space="preserve"> the IPO market in the </w:t>
      </w:r>
      <w:r w:rsidR="00855EC5" w:rsidRPr="00E915AA">
        <w:rPr>
          <w:rFonts w:ascii="Times New Roman" w:eastAsia="Calibri" w:hAnsi="Times New Roman" w:cs="Times New Roman"/>
          <w:sz w:val="24"/>
          <w:szCs w:val="24"/>
          <w:lang w:val="en-GB" w:eastAsia="en-GB"/>
        </w:rPr>
        <w:t>US</w:t>
      </w:r>
      <w:r w:rsidRPr="00E915AA">
        <w:rPr>
          <w:rFonts w:ascii="Times New Roman" w:eastAsia="Calibri" w:hAnsi="Times New Roman" w:cs="Times New Roman"/>
          <w:sz w:val="24"/>
          <w:szCs w:val="24"/>
          <w:lang w:val="en-GB" w:eastAsia="en-GB"/>
        </w:rPr>
        <w:t xml:space="preserve"> A significant decline in IPO volume in 2008 is also identified, which may be due to the impact of the 2007-2008 financial crisis. Table 2, Panel B presents the distribution of IPO firms by the </w:t>
      </w:r>
      <w:proofErr w:type="spellStart"/>
      <w:r w:rsidRPr="00E915AA">
        <w:rPr>
          <w:rFonts w:ascii="Times New Roman" w:eastAsia="Calibri" w:hAnsi="Times New Roman" w:cs="Times New Roman"/>
          <w:sz w:val="24"/>
          <w:szCs w:val="24"/>
          <w:lang w:val="en-GB" w:eastAsia="en-GB"/>
        </w:rPr>
        <w:t>Fama</w:t>
      </w:r>
      <w:proofErr w:type="spellEnd"/>
      <w:r w:rsidRPr="00E915AA">
        <w:rPr>
          <w:rFonts w:ascii="Times New Roman" w:eastAsia="Calibri" w:hAnsi="Times New Roman" w:cs="Times New Roman"/>
          <w:sz w:val="24"/>
          <w:szCs w:val="24"/>
          <w:lang w:val="en-GB" w:eastAsia="en-GB"/>
        </w:rPr>
        <w:t xml:space="preserve">-French 12 industry classification scheme. </w:t>
      </w:r>
      <w:proofErr w:type="gramStart"/>
      <w:r w:rsidRPr="00E915AA">
        <w:rPr>
          <w:rFonts w:ascii="Times New Roman" w:eastAsia="Calibri" w:hAnsi="Times New Roman" w:cs="Times New Roman"/>
          <w:sz w:val="24"/>
          <w:szCs w:val="24"/>
          <w:lang w:val="en-GB" w:eastAsia="en-GB"/>
        </w:rPr>
        <w:t>The majority of</w:t>
      </w:r>
      <w:proofErr w:type="gramEnd"/>
      <w:r w:rsidRPr="00E915AA">
        <w:rPr>
          <w:rFonts w:ascii="Times New Roman" w:eastAsia="Calibri" w:hAnsi="Times New Roman" w:cs="Times New Roman"/>
          <w:sz w:val="24"/>
          <w:szCs w:val="24"/>
          <w:lang w:val="en-GB" w:eastAsia="en-GB"/>
        </w:rPr>
        <w:t xml:space="preserve"> IPOs are conducted by firms in the Business Equipment - Computers, Software, and Electronic Equipment industry and Healthcare, Medical Equipment, and Drugs sectors, constituting about 25.16% and 38.55% of the sample, respectively. The proportion of IPOs in other industries varies from 0.5% to 10.64%.</w:t>
      </w:r>
    </w:p>
    <w:p w14:paraId="32C092C2" w14:textId="77777777" w:rsidR="00D955E0" w:rsidRPr="00E915AA" w:rsidRDefault="00D955E0" w:rsidP="00F14709">
      <w:pPr>
        <w:pStyle w:val="ListParagraph"/>
        <w:spacing w:before="240" w:line="360" w:lineRule="auto"/>
        <w:ind w:left="0"/>
        <w:contextualSpacing w:val="0"/>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[Insert Table 2 about here]</w:t>
      </w:r>
    </w:p>
    <w:p w14:paraId="20CAE77B" w14:textId="77777777" w:rsidR="00D955E0"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0"/>
          <w:lang w:val="en-GB" w:eastAsia="en-GB"/>
        </w:rPr>
        <w:t>Table 3</w:t>
      </w:r>
      <w:r w:rsidRPr="00E915AA">
        <w:rPr>
          <w:rFonts w:ascii="Times New Roman" w:eastAsia="Calibri" w:hAnsi="Times New Roman" w:cs="Times New Roman"/>
          <w:sz w:val="20"/>
          <w:szCs w:val="20"/>
          <w:lang w:val="en-GB" w:eastAsia="en-GB"/>
        </w:rPr>
        <w:t xml:space="preserve"> </w:t>
      </w:r>
      <w:r w:rsidRPr="00E915AA">
        <w:rPr>
          <w:rFonts w:ascii="Times New Roman" w:eastAsia="Calibri" w:hAnsi="Times New Roman" w:cs="Times New Roman"/>
          <w:sz w:val="24"/>
          <w:szCs w:val="24"/>
          <w:lang w:val="en-GB" w:eastAsia="en-GB"/>
        </w:rPr>
        <w:t xml:space="preserve">presents descriptive statistics for the whole sample as well as an analysis of the differences between IPOs receiving SEC comments about earnings-related issues and those not receiving SEC comments about earnings-related issues. Panel A presents the descriptive statistics for SEC review attributes. The mean (median) value of: </w:t>
      </w:r>
      <w:r w:rsidRPr="00E915AA">
        <w:rPr>
          <w:rFonts w:ascii="Times New Roman" w:eastAsia="Calibri" w:hAnsi="Times New Roman" w:cs="Times New Roman"/>
          <w:i/>
          <w:sz w:val="24"/>
          <w:szCs w:val="24"/>
          <w:lang w:val="en-GB" w:eastAsia="en-GB"/>
        </w:rPr>
        <w:t xml:space="preserve">Duration </w:t>
      </w:r>
      <w:r w:rsidRPr="00E915AA">
        <w:rPr>
          <w:rFonts w:ascii="Times New Roman" w:eastAsia="Calibri" w:hAnsi="Times New Roman" w:cs="Times New Roman"/>
          <w:sz w:val="24"/>
          <w:szCs w:val="24"/>
          <w:lang w:val="en-GB" w:eastAsia="en-GB"/>
        </w:rPr>
        <w:t xml:space="preserve">is 111.24 (88) days; </w:t>
      </w:r>
      <w:r w:rsidRPr="00E915AA">
        <w:rPr>
          <w:rFonts w:ascii="Times New Roman" w:eastAsia="Calibri" w:hAnsi="Times New Roman" w:cs="Times New Roman"/>
          <w:i/>
          <w:sz w:val="24"/>
          <w:szCs w:val="24"/>
          <w:lang w:val="en-GB" w:eastAsia="en-GB"/>
        </w:rPr>
        <w:t>#Letters</w:t>
      </w:r>
      <w:r w:rsidRPr="00E915AA">
        <w:rPr>
          <w:rFonts w:ascii="Times New Roman" w:eastAsia="Calibri" w:hAnsi="Times New Roman" w:cs="Times New Roman"/>
          <w:sz w:val="24"/>
          <w:szCs w:val="24"/>
          <w:lang w:val="en-GB" w:eastAsia="en-GB"/>
        </w:rPr>
        <w:t xml:space="preserve"> is 2.67 (3) letters; </w:t>
      </w:r>
      <w:r w:rsidRPr="00E915AA">
        <w:rPr>
          <w:rFonts w:ascii="Times New Roman" w:eastAsia="Calibri" w:hAnsi="Times New Roman" w:cs="Times New Roman"/>
          <w:i/>
          <w:sz w:val="24"/>
          <w:szCs w:val="24"/>
          <w:lang w:val="en-GB" w:eastAsia="en-GB"/>
        </w:rPr>
        <w:t>#Themes</w:t>
      </w:r>
      <w:r w:rsidRPr="00E915AA">
        <w:rPr>
          <w:rFonts w:ascii="Times New Roman" w:eastAsia="Calibri" w:hAnsi="Times New Roman" w:cs="Times New Roman"/>
          <w:sz w:val="24"/>
          <w:szCs w:val="24"/>
          <w:lang w:val="en-GB" w:eastAsia="en-GB"/>
        </w:rPr>
        <w:t xml:space="preserve"> is 3.43 (4) issue types; #</w:t>
      </w:r>
      <w:r w:rsidRPr="00E915AA">
        <w:rPr>
          <w:rFonts w:ascii="Times New Roman" w:eastAsia="Calibri" w:hAnsi="Times New Roman" w:cs="Times New Roman"/>
          <w:i/>
          <w:sz w:val="24"/>
          <w:szCs w:val="24"/>
          <w:lang w:val="en-GB" w:eastAsia="en-GB"/>
        </w:rPr>
        <w:t xml:space="preserve">Core-accounting issues </w:t>
      </w:r>
      <w:r w:rsidRPr="00E915AA">
        <w:rPr>
          <w:rFonts w:ascii="Times New Roman" w:eastAsia="Calibri" w:hAnsi="Times New Roman" w:cs="Times New Roman"/>
          <w:sz w:val="24"/>
          <w:szCs w:val="24"/>
          <w:lang w:val="en-GB" w:eastAsia="en-GB"/>
        </w:rPr>
        <w:t>is 3.91 (2) comments; and #</w:t>
      </w:r>
      <w:proofErr w:type="gramStart"/>
      <w:r w:rsidRPr="00E915AA">
        <w:rPr>
          <w:rFonts w:ascii="Times New Roman" w:eastAsia="Calibri" w:hAnsi="Times New Roman" w:cs="Times New Roman"/>
          <w:i/>
          <w:sz w:val="24"/>
          <w:szCs w:val="24"/>
          <w:lang w:val="en-GB" w:eastAsia="en-GB"/>
        </w:rPr>
        <w:t>Non-core</w:t>
      </w:r>
      <w:proofErr w:type="gramEnd"/>
      <w:r w:rsidRPr="00E915AA">
        <w:rPr>
          <w:rFonts w:ascii="Times New Roman" w:eastAsia="Calibri" w:hAnsi="Times New Roman" w:cs="Times New Roman"/>
          <w:i/>
          <w:sz w:val="24"/>
          <w:szCs w:val="24"/>
          <w:lang w:val="en-GB" w:eastAsia="en-GB"/>
        </w:rPr>
        <w:t>-accounting issues</w:t>
      </w:r>
      <w:r w:rsidRPr="00E915AA">
        <w:rPr>
          <w:rFonts w:ascii="Times New Roman" w:eastAsia="Calibri" w:hAnsi="Times New Roman" w:cs="Times New Roman"/>
          <w:sz w:val="24"/>
          <w:szCs w:val="24"/>
          <w:lang w:val="en-GB" w:eastAsia="en-GB"/>
        </w:rPr>
        <w:t xml:space="preserve"> is 22.22 (17) comments.</w:t>
      </w:r>
      <w:r w:rsidRPr="00E915AA">
        <w:rPr>
          <w:rStyle w:val="FootnoteReference"/>
          <w:rFonts w:ascii="Times New Roman" w:eastAsia="Calibri" w:hAnsi="Times New Roman" w:cs="Times New Roman"/>
          <w:sz w:val="24"/>
          <w:szCs w:val="24"/>
          <w:lang w:val="en-GB" w:eastAsia="en-GB"/>
        </w:rPr>
        <w:footnoteReference w:id="12"/>
      </w:r>
    </w:p>
    <w:p w14:paraId="231F2CB5" w14:textId="77777777" w:rsidR="00D955E0"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Panel B of Table 3</w:t>
      </w:r>
      <w:r w:rsidRPr="00E915AA">
        <w:rPr>
          <w:rFonts w:ascii="Times New Roman" w:eastAsia="Calibri" w:hAnsi="Times New Roman" w:cs="Times New Roman"/>
          <w:sz w:val="32"/>
          <w:szCs w:val="24"/>
          <w:lang w:val="en-GB" w:eastAsia="en-GB"/>
        </w:rPr>
        <w:t xml:space="preserve"> </w:t>
      </w:r>
      <w:r w:rsidRPr="00E915AA">
        <w:rPr>
          <w:rFonts w:ascii="Times New Roman" w:eastAsia="Calibri" w:hAnsi="Times New Roman" w:cs="Times New Roman"/>
          <w:sz w:val="24"/>
          <w:szCs w:val="24"/>
          <w:lang w:val="en-GB" w:eastAsia="en-GB"/>
        </w:rPr>
        <w:t>provides descriptive statistics for earnings management proxies. The results reveal significantly negative mean and median values of abnormal accruals (-0.29 and -0.06, respectively) and abnormal cash flow from operations (-0.51 and -0.09, respectively) and significantly positive mean and median values of abnormal discretionary expenses (0.79 and 0.26, respectively).</w:t>
      </w:r>
      <w:r w:rsidRPr="00E915AA">
        <w:rPr>
          <w:rStyle w:val="FootnoteReference"/>
          <w:rFonts w:ascii="Times New Roman" w:eastAsia="Calibri" w:hAnsi="Times New Roman" w:cs="Times New Roman"/>
          <w:sz w:val="24"/>
          <w:szCs w:val="24"/>
          <w:lang w:val="en-GB" w:eastAsia="en-GB"/>
        </w:rPr>
        <w:footnoteReference w:id="13"/>
      </w:r>
      <w:r w:rsidRPr="00E915AA">
        <w:rPr>
          <w:rFonts w:ascii="Times New Roman" w:eastAsia="Calibri" w:hAnsi="Times New Roman" w:cs="Times New Roman"/>
          <w:sz w:val="24"/>
          <w:szCs w:val="24"/>
          <w:lang w:val="en-GB" w:eastAsia="en-GB"/>
        </w:rPr>
        <w:t xml:space="preserve"> Furthermore, IPOs receiving SEC comments on core-accounting issues, </w:t>
      </w:r>
      <w:r w:rsidRPr="00E915AA">
        <w:rPr>
          <w:rFonts w:ascii="Times New Roman" w:eastAsia="Calibri" w:hAnsi="Times New Roman" w:cs="Times New Roman"/>
          <w:sz w:val="24"/>
          <w:szCs w:val="24"/>
          <w:lang w:val="en-GB" w:eastAsia="en-GB"/>
        </w:rPr>
        <w:lastRenderedPageBreak/>
        <w:t>which are relevant to earnings-related deficiencies, have significantly higher abnormal accruals, abnormal cash flow from operations and lower abnormal discretionary expenses compared to those not receiving any SEC comments on core-accounting issues.</w:t>
      </w:r>
    </w:p>
    <w:p w14:paraId="730D3F1D" w14:textId="6B2EB6BB" w:rsidR="00C85445"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Table 3, Panel C presents descriptive statistics for the variables of IPO firm characteristics. On average, IPOs in the sample are large companies</w:t>
      </w:r>
      <w:r w:rsidR="001B4E97" w:rsidRPr="00E915AA">
        <w:rPr>
          <w:rFonts w:ascii="Times New Roman" w:eastAsia="Calibri" w:hAnsi="Times New Roman" w:cs="Times New Roman"/>
          <w:sz w:val="24"/>
          <w:szCs w:val="24"/>
          <w:lang w:val="en-GB" w:eastAsia="en-GB"/>
        </w:rPr>
        <w:t xml:space="preserve"> (</w:t>
      </w:r>
      <w:r w:rsidR="004859BB" w:rsidRPr="00E915AA">
        <w:rPr>
          <w:rFonts w:ascii="Times New Roman" w:eastAsia="Calibri" w:hAnsi="Times New Roman" w:cs="Times New Roman"/>
          <w:sz w:val="24"/>
          <w:szCs w:val="24"/>
          <w:lang w:val="en-GB" w:eastAsia="en-GB"/>
        </w:rPr>
        <w:t xml:space="preserve">the </w:t>
      </w:r>
      <w:r w:rsidR="001B4E97" w:rsidRPr="00E915AA">
        <w:rPr>
          <w:rFonts w:ascii="Times New Roman" w:eastAsia="Calibri" w:hAnsi="Times New Roman" w:cs="Times New Roman"/>
          <w:sz w:val="24"/>
          <w:szCs w:val="24"/>
          <w:lang w:val="en-GB" w:eastAsia="en-GB"/>
        </w:rPr>
        <w:t xml:space="preserve">mean </w:t>
      </w:r>
      <w:r w:rsidR="004859BB" w:rsidRPr="00E915AA">
        <w:rPr>
          <w:rFonts w:ascii="Times New Roman" w:eastAsia="Calibri" w:hAnsi="Times New Roman" w:cs="Times New Roman"/>
          <w:sz w:val="24"/>
          <w:szCs w:val="24"/>
          <w:lang w:val="en-GB" w:eastAsia="en-GB"/>
        </w:rPr>
        <w:t xml:space="preserve">value of </w:t>
      </w:r>
      <w:proofErr w:type="spellStart"/>
      <w:r w:rsidR="001B4E97" w:rsidRPr="00E915AA">
        <w:rPr>
          <w:rFonts w:ascii="Times New Roman" w:eastAsia="Calibri" w:hAnsi="Times New Roman" w:cs="Times New Roman"/>
          <w:sz w:val="24"/>
          <w:szCs w:val="24"/>
          <w:lang w:val="en-GB" w:eastAsia="en-GB"/>
        </w:rPr>
        <w:t>LnSize</w:t>
      </w:r>
      <w:proofErr w:type="spellEnd"/>
      <w:r w:rsidR="00647891" w:rsidRPr="00E915AA">
        <w:rPr>
          <w:rFonts w:ascii="Times New Roman" w:eastAsia="Calibri" w:hAnsi="Times New Roman" w:cs="Times New Roman"/>
          <w:sz w:val="24"/>
          <w:szCs w:val="24"/>
          <w:lang w:val="en-GB" w:eastAsia="en-GB"/>
        </w:rPr>
        <w:t xml:space="preserve"> is </w:t>
      </w:r>
      <w:r w:rsidR="001B4E97" w:rsidRPr="00E915AA">
        <w:rPr>
          <w:rFonts w:ascii="Times New Roman" w:eastAsia="Calibri" w:hAnsi="Times New Roman" w:cs="Times New Roman"/>
          <w:sz w:val="24"/>
          <w:szCs w:val="24"/>
          <w:lang w:val="en-GB" w:eastAsia="en-GB"/>
        </w:rPr>
        <w:t xml:space="preserve">4.33, equal to </w:t>
      </w:r>
      <w:r w:rsidR="00647891" w:rsidRPr="00E915AA">
        <w:rPr>
          <w:rFonts w:ascii="Times New Roman" w:eastAsia="Calibri" w:hAnsi="Times New Roman" w:cs="Times New Roman"/>
          <w:sz w:val="24"/>
          <w:szCs w:val="24"/>
          <w:lang w:val="en-GB" w:eastAsia="en-GB"/>
        </w:rPr>
        <w:t xml:space="preserve">approx. $76mn </w:t>
      </w:r>
      <w:r w:rsidR="00D85E8B" w:rsidRPr="00E915AA">
        <w:rPr>
          <w:rFonts w:ascii="Times New Roman" w:eastAsia="Calibri" w:hAnsi="Times New Roman" w:cs="Times New Roman"/>
          <w:sz w:val="24"/>
          <w:szCs w:val="24"/>
          <w:lang w:val="en-GB" w:eastAsia="en-GB"/>
        </w:rPr>
        <w:t>of</w:t>
      </w:r>
      <w:r w:rsidR="00647891" w:rsidRPr="00E915AA">
        <w:rPr>
          <w:rFonts w:ascii="Times New Roman" w:eastAsia="Calibri" w:hAnsi="Times New Roman" w:cs="Times New Roman"/>
          <w:sz w:val="24"/>
          <w:szCs w:val="24"/>
          <w:lang w:val="en-GB" w:eastAsia="en-GB"/>
        </w:rPr>
        <w:t xml:space="preserve"> total assets</w:t>
      </w:r>
      <w:r w:rsidR="001B4E97"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have been in operation on average for 2.6 years and have no more than two business segments.</w:t>
      </w:r>
      <w:r w:rsidRPr="00E915AA">
        <w:rPr>
          <w:vertAlign w:val="superscript"/>
          <w:lang w:val="en-GB" w:eastAsia="en-GB"/>
        </w:rPr>
        <w:footnoteReference w:id="14"/>
      </w:r>
      <w:r w:rsidRPr="00E915AA">
        <w:rPr>
          <w:rFonts w:ascii="Times New Roman" w:eastAsia="Calibri" w:hAnsi="Times New Roman" w:cs="Times New Roman"/>
          <w:sz w:val="24"/>
          <w:szCs w:val="24"/>
          <w:lang w:val="en-GB" w:eastAsia="en-GB"/>
        </w:rPr>
        <w:t xml:space="preserve"> In addition, IPO firms are likely to be in financial distress. Moreover, 82% of IPO firms are audited by Big 4 auditors, 9% of IPO firms conduct restructuring activities, 13% of IPO firms conduct M&amp;A activities and 21% of IPO firms have a CEO who is also the chair of the board of directors.</w:t>
      </w:r>
    </w:p>
    <w:p w14:paraId="7E02D91E" w14:textId="0B86D88E" w:rsidR="00D955E0"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Regarding the JOBS Act,</w:t>
      </w:r>
      <w:r w:rsidR="00C85445" w:rsidRPr="00E915AA">
        <w:rPr>
          <w:rFonts w:ascii="Times New Roman" w:eastAsia="Calibri" w:hAnsi="Times New Roman" w:cs="Times New Roman"/>
          <w:sz w:val="24"/>
          <w:szCs w:val="24"/>
          <w:lang w:val="en-GB" w:eastAsia="en-GB"/>
        </w:rPr>
        <w:t xml:space="preserve"> Table 3, Panel D shows that</w:t>
      </w:r>
      <w:r w:rsidR="00584436" w:rsidRPr="00E915AA">
        <w:rPr>
          <w:rFonts w:ascii="Times New Roman" w:eastAsia="Calibri" w:hAnsi="Times New Roman" w:cs="Times New Roman"/>
          <w:sz w:val="24"/>
          <w:szCs w:val="24"/>
          <w:lang w:val="en-GB" w:eastAsia="en-GB"/>
        </w:rPr>
        <w:t xml:space="preserve"> around</w:t>
      </w:r>
      <w:r w:rsidRPr="00E915AA">
        <w:rPr>
          <w:rFonts w:ascii="Times New Roman" w:eastAsia="Calibri" w:hAnsi="Times New Roman" w:cs="Times New Roman"/>
          <w:sz w:val="24"/>
          <w:szCs w:val="24"/>
          <w:lang w:val="en-GB" w:eastAsia="en-GB"/>
        </w:rPr>
        <w:t xml:space="preserve"> 52% of IPO firms in the sample go public after the passing of the JOBS Act in 2012. Furthermore, we observe that, compared to IPO firms not receiving SEC comments on core-accounting issues, those receiving core-accounting-related comments tend to be larger, older, have more complexity in their business</w:t>
      </w:r>
      <w:proofErr w:type="gramStart"/>
      <w:r w:rsidRPr="00E915AA">
        <w:rPr>
          <w:rFonts w:ascii="Times New Roman" w:eastAsia="Calibri" w:hAnsi="Times New Roman" w:cs="Times New Roman"/>
          <w:sz w:val="24"/>
          <w:szCs w:val="24"/>
          <w:lang w:val="en-GB" w:eastAsia="en-GB"/>
        </w:rPr>
        <w:t>, in particular, tending</w:t>
      </w:r>
      <w:proofErr w:type="gramEnd"/>
      <w:r w:rsidRPr="00E915AA">
        <w:rPr>
          <w:rFonts w:ascii="Times New Roman" w:eastAsia="Calibri" w:hAnsi="Times New Roman" w:cs="Times New Roman"/>
          <w:sz w:val="24"/>
          <w:szCs w:val="24"/>
          <w:lang w:val="en-GB" w:eastAsia="en-GB"/>
        </w:rPr>
        <w:t xml:space="preserve"> to have more business segments, </w:t>
      </w:r>
      <w:r w:rsidR="00020C75" w:rsidRPr="00E915AA">
        <w:rPr>
          <w:rFonts w:ascii="Times New Roman" w:eastAsia="Calibri" w:hAnsi="Times New Roman" w:cs="Times New Roman"/>
          <w:sz w:val="24"/>
          <w:szCs w:val="24"/>
          <w:lang w:val="en-GB" w:eastAsia="en-GB"/>
        </w:rPr>
        <w:t xml:space="preserve">and </w:t>
      </w:r>
      <w:r w:rsidRPr="00E915AA">
        <w:rPr>
          <w:rFonts w:ascii="Times New Roman" w:eastAsia="Calibri" w:hAnsi="Times New Roman" w:cs="Times New Roman"/>
          <w:sz w:val="24"/>
          <w:szCs w:val="24"/>
          <w:lang w:val="en-GB" w:eastAsia="en-GB"/>
        </w:rPr>
        <w:t>are more likely to be conducting restructuring activities</w:t>
      </w:r>
      <w:r w:rsidR="00020C75"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w:t>
      </w:r>
      <w:r w:rsidR="00020C75" w:rsidRPr="00E915AA">
        <w:rPr>
          <w:rFonts w:ascii="Times New Roman" w:eastAsia="Calibri" w:hAnsi="Times New Roman" w:cs="Times New Roman"/>
          <w:sz w:val="24"/>
          <w:szCs w:val="24"/>
          <w:lang w:val="en-GB" w:eastAsia="en-GB"/>
        </w:rPr>
        <w:t xml:space="preserve">Moreover, we observe in Panel D </w:t>
      </w:r>
      <w:r w:rsidR="00491162" w:rsidRPr="00E915AA">
        <w:rPr>
          <w:rFonts w:ascii="Times New Roman" w:eastAsia="Calibri" w:hAnsi="Times New Roman" w:cs="Times New Roman"/>
          <w:sz w:val="24"/>
          <w:szCs w:val="24"/>
          <w:lang w:val="en-GB" w:eastAsia="en-GB"/>
        </w:rPr>
        <w:t xml:space="preserve">a </w:t>
      </w:r>
      <w:r w:rsidR="004569DF" w:rsidRPr="00E915AA">
        <w:rPr>
          <w:rFonts w:ascii="Times New Roman" w:eastAsia="Calibri" w:hAnsi="Times New Roman" w:cs="Times New Roman"/>
          <w:sz w:val="24"/>
          <w:szCs w:val="24"/>
          <w:lang w:val="en-GB" w:eastAsia="en-GB"/>
        </w:rPr>
        <w:t>lower (</w:t>
      </w:r>
      <w:r w:rsidR="00491162" w:rsidRPr="00E915AA">
        <w:rPr>
          <w:rFonts w:ascii="Times New Roman" w:eastAsia="Calibri" w:hAnsi="Times New Roman" w:cs="Times New Roman"/>
          <w:sz w:val="24"/>
          <w:szCs w:val="24"/>
          <w:lang w:val="en-GB" w:eastAsia="en-GB"/>
        </w:rPr>
        <w:t>higher</w:t>
      </w:r>
      <w:r w:rsidR="004569DF" w:rsidRPr="00E915AA">
        <w:rPr>
          <w:rFonts w:ascii="Times New Roman" w:eastAsia="Calibri" w:hAnsi="Times New Roman" w:cs="Times New Roman"/>
          <w:sz w:val="24"/>
          <w:szCs w:val="24"/>
          <w:lang w:val="en-GB" w:eastAsia="en-GB"/>
        </w:rPr>
        <w:t>)</w:t>
      </w:r>
      <w:r w:rsidR="00491162" w:rsidRPr="00E915AA">
        <w:rPr>
          <w:rFonts w:ascii="Times New Roman" w:eastAsia="Calibri" w:hAnsi="Times New Roman" w:cs="Times New Roman"/>
          <w:sz w:val="24"/>
          <w:szCs w:val="24"/>
          <w:lang w:val="en-GB" w:eastAsia="en-GB"/>
        </w:rPr>
        <w:t xml:space="preserve"> proportion of </w:t>
      </w:r>
      <w:r w:rsidR="00D261A5" w:rsidRPr="00E915AA">
        <w:rPr>
          <w:rFonts w:ascii="Times New Roman" w:eastAsia="Calibri" w:hAnsi="Times New Roman" w:cs="Times New Roman"/>
          <w:sz w:val="24"/>
          <w:szCs w:val="24"/>
          <w:lang w:val="en-GB" w:eastAsia="en-GB"/>
        </w:rPr>
        <w:t xml:space="preserve">IPO firms </w:t>
      </w:r>
      <w:r w:rsidR="005C02A6" w:rsidRPr="00E915AA">
        <w:rPr>
          <w:rFonts w:ascii="Times New Roman" w:eastAsia="Calibri" w:hAnsi="Times New Roman" w:cs="Times New Roman"/>
          <w:sz w:val="24"/>
          <w:szCs w:val="24"/>
          <w:lang w:val="en-GB" w:eastAsia="en-GB"/>
        </w:rPr>
        <w:t xml:space="preserve">receiving </w:t>
      </w:r>
      <w:r w:rsidR="004569DF" w:rsidRPr="00E915AA">
        <w:rPr>
          <w:rFonts w:ascii="Times New Roman" w:eastAsia="Calibri" w:hAnsi="Times New Roman" w:cs="Times New Roman"/>
          <w:sz w:val="24"/>
          <w:szCs w:val="24"/>
          <w:lang w:val="en-GB" w:eastAsia="en-GB"/>
        </w:rPr>
        <w:t>(</w:t>
      </w:r>
      <w:r w:rsidR="005C02A6" w:rsidRPr="00E915AA">
        <w:rPr>
          <w:rFonts w:ascii="Times New Roman" w:eastAsia="Calibri" w:hAnsi="Times New Roman" w:cs="Times New Roman"/>
          <w:sz w:val="24"/>
          <w:szCs w:val="24"/>
          <w:lang w:val="en-GB" w:eastAsia="en-GB"/>
        </w:rPr>
        <w:t>no</w:t>
      </w:r>
      <w:r w:rsidR="004569DF" w:rsidRPr="00E915AA">
        <w:rPr>
          <w:rFonts w:ascii="Times New Roman" w:eastAsia="Calibri" w:hAnsi="Times New Roman" w:cs="Times New Roman"/>
          <w:sz w:val="24"/>
          <w:szCs w:val="24"/>
          <w:lang w:val="en-GB" w:eastAsia="en-GB"/>
        </w:rPr>
        <w:t>)</w:t>
      </w:r>
      <w:r w:rsidR="003B4B1F" w:rsidRPr="00E915AA">
        <w:rPr>
          <w:rFonts w:ascii="Times New Roman" w:eastAsia="Calibri" w:hAnsi="Times New Roman" w:cs="Times New Roman"/>
          <w:sz w:val="24"/>
          <w:szCs w:val="24"/>
          <w:lang w:val="en-GB" w:eastAsia="en-GB"/>
        </w:rPr>
        <w:t xml:space="preserve"> comments on core-accounting issues</w:t>
      </w:r>
      <w:r w:rsidRPr="00E915AA">
        <w:rPr>
          <w:rFonts w:ascii="Times New Roman" w:eastAsia="Calibri" w:hAnsi="Times New Roman" w:cs="Times New Roman"/>
          <w:sz w:val="24"/>
          <w:szCs w:val="24"/>
          <w:lang w:val="en-GB" w:eastAsia="en-GB"/>
        </w:rPr>
        <w:t xml:space="preserve"> in the post-JOBS Act era.</w:t>
      </w:r>
    </w:p>
    <w:p w14:paraId="4E504B09" w14:textId="08A48E9B" w:rsidR="00D955E0" w:rsidRPr="00E915AA" w:rsidRDefault="00D955E0" w:rsidP="00F14709">
      <w:pPr>
        <w:pStyle w:val="ListParagraph"/>
        <w:spacing w:before="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A correlation matrix for all variables is presented in Table 3, Panel E. The results reveal that all SEC review attributes are positively correlated with abnormal accruals and negatively correlated with abnormal discretionary expenses </w:t>
      </w:r>
      <w:r w:rsidR="005E7E03" w:rsidRPr="00E915AA">
        <w:rPr>
          <w:rFonts w:ascii="Times New Roman" w:eastAsia="Calibri" w:hAnsi="Times New Roman" w:cs="Times New Roman"/>
          <w:sz w:val="24"/>
          <w:szCs w:val="24"/>
          <w:lang w:val="en-GB" w:eastAsia="en-GB"/>
        </w:rPr>
        <w:t>and</w:t>
      </w:r>
      <w:r w:rsidRPr="00E915AA">
        <w:rPr>
          <w:rFonts w:ascii="Times New Roman" w:eastAsia="Calibri" w:hAnsi="Times New Roman" w:cs="Times New Roman"/>
          <w:sz w:val="24"/>
          <w:szCs w:val="24"/>
          <w:lang w:val="en-GB" w:eastAsia="en-GB"/>
        </w:rPr>
        <w:t xml:space="preserve"> positively correlated with abnormal cash flow from operation. Strong negative correlations between all five SEC review attributes and </w:t>
      </w:r>
      <w:r w:rsidRPr="00E915AA">
        <w:rPr>
          <w:rFonts w:ascii="Times New Roman" w:eastAsia="Calibri" w:hAnsi="Times New Roman" w:cs="Times New Roman"/>
          <w:i/>
          <w:sz w:val="24"/>
          <w:szCs w:val="24"/>
          <w:lang w:val="en-GB" w:eastAsia="en-GB"/>
        </w:rPr>
        <w:t>JOBS Act</w:t>
      </w:r>
      <w:r w:rsidRPr="00E915AA">
        <w:rPr>
          <w:rFonts w:ascii="Times New Roman" w:eastAsia="Calibri" w:hAnsi="Times New Roman" w:cs="Times New Roman"/>
          <w:sz w:val="24"/>
          <w:szCs w:val="24"/>
          <w:lang w:val="en-GB" w:eastAsia="en-GB"/>
        </w:rPr>
        <w:t xml:space="preserve"> are also identified.</w:t>
      </w:r>
    </w:p>
    <w:p w14:paraId="0DCCBA03" w14:textId="78F7D660" w:rsidR="00D955E0" w:rsidRPr="00E915AA" w:rsidRDefault="00D955E0" w:rsidP="00F14709">
      <w:pPr>
        <w:pStyle w:val="ListParagraph"/>
        <w:spacing w:before="240" w:line="360" w:lineRule="auto"/>
        <w:ind w:left="0"/>
        <w:contextualSpacing w:val="0"/>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[Insert Table 3 about here]</w:t>
      </w:r>
    </w:p>
    <w:p w14:paraId="42C7DC3B" w14:textId="5EB9A68A" w:rsidR="002C6719" w:rsidRPr="00E915AA" w:rsidRDefault="002C6719" w:rsidP="006F305B">
      <w:pPr>
        <w:pStyle w:val="ListParagraph"/>
        <w:numPr>
          <w:ilvl w:val="0"/>
          <w:numId w:val="42"/>
        </w:numPr>
        <w:spacing w:before="240" w:after="240" w:line="360" w:lineRule="auto"/>
        <w:jc w:val="both"/>
        <w:outlineLvl w:val="0"/>
        <w:rPr>
          <w:rFonts w:ascii="Times New Roman" w:eastAsia="Calibri" w:hAnsi="Times New Roman" w:cs="Times New Roman"/>
          <w:b/>
          <w:sz w:val="24"/>
          <w:szCs w:val="24"/>
          <w:lang w:val="en-GB" w:eastAsia="en-GB"/>
        </w:rPr>
      </w:pPr>
      <w:bookmarkStart w:id="29" w:name="_Toc43219827"/>
      <w:bookmarkStart w:id="30" w:name="_Toc69749304"/>
      <w:r w:rsidRPr="00E915AA">
        <w:rPr>
          <w:rFonts w:ascii="Times New Roman" w:eastAsia="Calibri" w:hAnsi="Times New Roman" w:cs="Times New Roman"/>
          <w:b/>
          <w:sz w:val="24"/>
          <w:szCs w:val="24"/>
          <w:lang w:val="en-GB" w:eastAsia="en-GB"/>
        </w:rPr>
        <w:t>Empirical results</w:t>
      </w:r>
      <w:bookmarkEnd w:id="29"/>
      <w:bookmarkEnd w:id="30"/>
    </w:p>
    <w:p w14:paraId="1336E76F" w14:textId="1F7EBCFB" w:rsidR="00DA5862" w:rsidRPr="00E915AA" w:rsidRDefault="00DA5862" w:rsidP="00E915AA">
      <w:pPr>
        <w:pStyle w:val="ListParagraph"/>
        <w:numPr>
          <w:ilvl w:val="1"/>
          <w:numId w:val="42"/>
        </w:numPr>
        <w:spacing w:before="240" w:after="240" w:line="360" w:lineRule="auto"/>
        <w:jc w:val="both"/>
        <w:outlineLvl w:val="0"/>
        <w:rPr>
          <w:rFonts w:ascii="Times New Roman" w:eastAsia="Calibri" w:hAnsi="Times New Roman" w:cs="Times New Roman"/>
          <w:b/>
          <w:sz w:val="24"/>
          <w:szCs w:val="24"/>
          <w:lang w:val="en-GB" w:eastAsia="en-GB"/>
        </w:rPr>
      </w:pPr>
      <w:r w:rsidRPr="00E915AA">
        <w:rPr>
          <w:rFonts w:ascii="Times New Roman" w:eastAsia="Calibri" w:hAnsi="Times New Roman" w:cs="Times New Roman"/>
          <w:b/>
          <w:sz w:val="24"/>
          <w:szCs w:val="24"/>
          <w:lang w:val="en-GB" w:eastAsia="en-GB"/>
        </w:rPr>
        <w:t>Main findings</w:t>
      </w:r>
    </w:p>
    <w:p w14:paraId="490C89D2" w14:textId="6D8E4269"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Table 4 reports the results from estimating E</w:t>
      </w:r>
      <w:r w:rsidR="00636FDD" w:rsidRPr="00E915AA">
        <w:rPr>
          <w:rFonts w:ascii="Times New Roman" w:eastAsia="Calibri" w:hAnsi="Times New Roman" w:cs="Times New Roman"/>
          <w:sz w:val="24"/>
          <w:szCs w:val="24"/>
          <w:lang w:val="en-GB" w:eastAsia="en-GB"/>
        </w:rPr>
        <w:t>quation 1</w:t>
      </w:r>
      <w:r w:rsidRPr="00E915AA">
        <w:rPr>
          <w:rFonts w:ascii="Times New Roman" w:eastAsia="Calibri" w:hAnsi="Times New Roman" w:cs="Times New Roman"/>
          <w:sz w:val="24"/>
          <w:szCs w:val="24"/>
          <w:lang w:val="en-GB" w:eastAsia="en-GB"/>
        </w:rPr>
        <w:t xml:space="preserve"> using the full sample. Columns (1), (4), (7), (10) and (13) present results for the impact of abnormal accruals (</w:t>
      </w:r>
      <w:r w:rsidRPr="00E915AA">
        <w:rPr>
          <w:rFonts w:ascii="Times New Roman" w:eastAsia="Calibri" w:hAnsi="Times New Roman" w:cs="Times New Roman"/>
          <w:i/>
          <w:sz w:val="24"/>
          <w:szCs w:val="24"/>
          <w:lang w:val="en-GB" w:eastAsia="en-GB"/>
        </w:rPr>
        <w:t xml:space="preserve">DACC) </w:t>
      </w:r>
      <w:r w:rsidRPr="00E915AA">
        <w:rPr>
          <w:rFonts w:ascii="Times New Roman" w:eastAsia="Calibri" w:hAnsi="Times New Roman" w:cs="Times New Roman"/>
          <w:sz w:val="24"/>
          <w:szCs w:val="24"/>
          <w:lang w:val="en-GB" w:eastAsia="en-GB"/>
        </w:rPr>
        <w:t xml:space="preserve">on SEC review </w:t>
      </w:r>
      <w:r w:rsidRPr="00E915AA">
        <w:rPr>
          <w:rFonts w:ascii="Times New Roman" w:eastAsia="Calibri" w:hAnsi="Times New Roman" w:cs="Times New Roman"/>
          <w:sz w:val="24"/>
          <w:szCs w:val="24"/>
          <w:lang w:val="en-GB" w:eastAsia="en-GB"/>
        </w:rPr>
        <w:lastRenderedPageBreak/>
        <w:t xml:space="preserve">attributes. </w:t>
      </w:r>
      <w:r w:rsidR="004A118C" w:rsidRPr="00E915AA">
        <w:rPr>
          <w:rFonts w:ascii="Times New Roman" w:eastAsia="Calibri" w:hAnsi="Times New Roman" w:cs="Times New Roman"/>
          <w:sz w:val="24"/>
          <w:szCs w:val="24"/>
          <w:lang w:val="en-GB" w:eastAsia="en-GB"/>
        </w:rPr>
        <w:t>In line with H1, t</w:t>
      </w:r>
      <w:r w:rsidRPr="00E915AA">
        <w:rPr>
          <w:rFonts w:ascii="Times New Roman" w:eastAsia="Calibri" w:hAnsi="Times New Roman" w:cs="Times New Roman"/>
          <w:sz w:val="24"/>
          <w:szCs w:val="24"/>
          <w:lang w:val="en-GB" w:eastAsia="en-GB"/>
        </w:rPr>
        <w:t xml:space="preserve">he effect of </w:t>
      </w:r>
      <w:r w:rsidRPr="00E915AA">
        <w:rPr>
          <w:rFonts w:ascii="Times New Roman" w:eastAsia="Calibri" w:hAnsi="Times New Roman" w:cs="Times New Roman"/>
          <w:i/>
          <w:sz w:val="24"/>
          <w:szCs w:val="24"/>
          <w:lang w:val="en-GB" w:eastAsia="en-GB"/>
        </w:rPr>
        <w:t>DACC</w:t>
      </w:r>
      <w:r w:rsidRPr="00E915AA">
        <w:rPr>
          <w:rFonts w:ascii="Times New Roman" w:eastAsia="Calibri" w:hAnsi="Times New Roman" w:cs="Times New Roman"/>
          <w:sz w:val="24"/>
          <w:szCs w:val="24"/>
          <w:lang w:val="en-GB" w:eastAsia="en-GB"/>
        </w:rPr>
        <w:t xml:space="preserve"> on </w:t>
      </w:r>
      <w:r w:rsidRPr="00E915AA">
        <w:rPr>
          <w:rFonts w:ascii="Times New Roman" w:eastAsia="Calibri" w:hAnsi="Times New Roman" w:cs="Times New Roman"/>
          <w:i/>
          <w:sz w:val="24"/>
          <w:szCs w:val="24"/>
          <w:lang w:val="en-GB" w:eastAsia="en-GB"/>
        </w:rPr>
        <w:t xml:space="preserve">Duration, #Letters </w:t>
      </w:r>
      <w:r w:rsidRPr="00E915AA">
        <w:rPr>
          <w:rFonts w:ascii="Times New Roman" w:eastAsia="Calibri" w:hAnsi="Times New Roman" w:cs="Times New Roman"/>
          <w:sz w:val="24"/>
          <w:szCs w:val="24"/>
          <w:lang w:val="en-GB" w:eastAsia="en-GB"/>
        </w:rPr>
        <w:t>and</w:t>
      </w:r>
      <w:r w:rsidRPr="00E915AA">
        <w:rPr>
          <w:rFonts w:ascii="Times New Roman" w:eastAsia="Calibri" w:hAnsi="Times New Roman" w:cs="Times New Roman"/>
          <w:i/>
          <w:sz w:val="24"/>
          <w:szCs w:val="24"/>
          <w:lang w:val="en-GB" w:eastAsia="en-GB"/>
        </w:rPr>
        <w:t xml:space="preserve"> #Themes </w:t>
      </w:r>
      <w:r w:rsidRPr="00E915AA">
        <w:rPr>
          <w:rFonts w:ascii="Times New Roman" w:eastAsia="Calibri" w:hAnsi="Times New Roman" w:cs="Times New Roman"/>
          <w:iCs/>
          <w:sz w:val="24"/>
          <w:szCs w:val="24"/>
          <w:lang w:val="en-GB" w:eastAsia="en-GB"/>
        </w:rPr>
        <w:t xml:space="preserve">is observed </w:t>
      </w:r>
      <w:r w:rsidRPr="00E915AA">
        <w:rPr>
          <w:rFonts w:ascii="Times New Roman" w:eastAsia="Calibri" w:hAnsi="Times New Roman" w:cs="Times New Roman"/>
          <w:sz w:val="24"/>
          <w:szCs w:val="24"/>
          <w:lang w:val="en-GB" w:eastAsia="en-GB"/>
        </w:rPr>
        <w:t xml:space="preserve">to be positive and significant, indicating that the SEC </w:t>
      </w:r>
      <w:r w:rsidR="005C5831" w:rsidRPr="00E915AA">
        <w:rPr>
          <w:rFonts w:ascii="Times New Roman" w:eastAsia="Calibri" w:hAnsi="Times New Roman" w:cs="Times New Roman"/>
          <w:sz w:val="24"/>
          <w:szCs w:val="24"/>
          <w:lang w:val="en-GB" w:eastAsia="en-GB"/>
        </w:rPr>
        <w:t>take longer</w:t>
      </w:r>
      <w:r w:rsidRPr="00E915AA">
        <w:rPr>
          <w:rFonts w:ascii="Times New Roman" w:eastAsia="Calibri" w:hAnsi="Times New Roman" w:cs="Times New Roman"/>
          <w:sz w:val="24"/>
          <w:szCs w:val="24"/>
          <w:lang w:val="en-GB" w:eastAsia="en-GB"/>
        </w:rPr>
        <w:t xml:space="preserve">, provide more letters and </w:t>
      </w:r>
      <w:r w:rsidR="005C5831" w:rsidRPr="00E915AA">
        <w:rPr>
          <w:rFonts w:ascii="Times New Roman" w:eastAsia="Calibri" w:hAnsi="Times New Roman" w:cs="Times New Roman"/>
          <w:sz w:val="24"/>
          <w:szCs w:val="24"/>
          <w:lang w:val="en-GB" w:eastAsia="en-GB"/>
        </w:rPr>
        <w:t xml:space="preserve">comment on a </w:t>
      </w:r>
      <w:r w:rsidRPr="00E915AA">
        <w:rPr>
          <w:rFonts w:ascii="Times New Roman" w:eastAsia="Calibri" w:hAnsi="Times New Roman" w:cs="Times New Roman"/>
          <w:sz w:val="24"/>
          <w:szCs w:val="24"/>
          <w:lang w:val="en-GB" w:eastAsia="en-GB"/>
        </w:rPr>
        <w:t xml:space="preserve">wider range of themes when reviewing IPO firms </w:t>
      </w:r>
      <w:r w:rsidR="00980B04" w:rsidRPr="00E915AA">
        <w:rPr>
          <w:rFonts w:ascii="Times New Roman" w:eastAsia="Calibri" w:hAnsi="Times New Roman" w:cs="Times New Roman"/>
          <w:sz w:val="24"/>
          <w:szCs w:val="24"/>
          <w:lang w:val="en-GB" w:eastAsia="en-GB"/>
        </w:rPr>
        <w:t>with higher</w:t>
      </w:r>
      <w:r w:rsidRPr="00E915AA">
        <w:rPr>
          <w:rFonts w:ascii="Times New Roman" w:eastAsia="Calibri" w:hAnsi="Times New Roman" w:cs="Times New Roman"/>
          <w:sz w:val="24"/>
          <w:szCs w:val="24"/>
          <w:lang w:val="en-GB" w:eastAsia="en-GB"/>
        </w:rPr>
        <w:t xml:space="preserve"> abnormal accruals.</w:t>
      </w:r>
      <w:r w:rsidRPr="00E915AA">
        <w:rPr>
          <w:rFonts w:ascii="Times New Roman" w:eastAsia="Calibri" w:hAnsi="Times New Roman" w:cs="Times New Roman"/>
          <w:sz w:val="24"/>
          <w:szCs w:val="24"/>
          <w:vertAlign w:val="superscript"/>
          <w:lang w:val="en-GB" w:eastAsia="en-GB"/>
        </w:rPr>
        <w:footnoteReference w:id="15"/>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i/>
          <w:sz w:val="24"/>
          <w:szCs w:val="24"/>
          <w:lang w:val="en-GB" w:eastAsia="en-GB"/>
        </w:rPr>
        <w:t xml:space="preserve">DACC </w:t>
      </w:r>
      <w:r w:rsidR="00BD65D7" w:rsidRPr="00E915AA">
        <w:rPr>
          <w:rFonts w:ascii="Times New Roman" w:eastAsia="Calibri" w:hAnsi="Times New Roman" w:cs="Times New Roman"/>
          <w:iCs/>
          <w:sz w:val="24"/>
          <w:szCs w:val="24"/>
          <w:lang w:val="en-GB" w:eastAsia="en-GB"/>
        </w:rPr>
        <w:t>is also found to relate positively with</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i/>
          <w:sz w:val="24"/>
          <w:szCs w:val="24"/>
          <w:lang w:val="en-GB" w:eastAsia="en-GB"/>
        </w:rPr>
        <w:t xml:space="preserve">#Core-accounting issues, </w:t>
      </w:r>
      <w:r w:rsidRPr="00E915AA">
        <w:rPr>
          <w:rFonts w:ascii="Times New Roman" w:eastAsia="Calibri" w:hAnsi="Times New Roman" w:cs="Times New Roman"/>
          <w:sz w:val="24"/>
          <w:szCs w:val="24"/>
          <w:lang w:val="en-GB" w:eastAsia="en-GB"/>
        </w:rPr>
        <w:t>but no</w:t>
      </w:r>
      <w:r w:rsidR="00BD65D7" w:rsidRPr="00E915AA">
        <w:rPr>
          <w:rFonts w:ascii="Times New Roman" w:eastAsia="Calibri" w:hAnsi="Times New Roman" w:cs="Times New Roman"/>
          <w:sz w:val="24"/>
          <w:szCs w:val="24"/>
          <w:lang w:val="en-GB" w:eastAsia="en-GB"/>
        </w:rPr>
        <w:t>t</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i/>
          <w:sz w:val="24"/>
          <w:szCs w:val="24"/>
          <w:lang w:val="en-GB" w:eastAsia="en-GB"/>
        </w:rPr>
        <w:t>#</w:t>
      </w:r>
      <w:proofErr w:type="gramStart"/>
      <w:r w:rsidRPr="00E915AA">
        <w:rPr>
          <w:rFonts w:ascii="Times New Roman" w:eastAsia="Calibri" w:hAnsi="Times New Roman" w:cs="Times New Roman"/>
          <w:i/>
          <w:sz w:val="24"/>
          <w:szCs w:val="24"/>
          <w:lang w:val="en-GB" w:eastAsia="en-GB"/>
        </w:rPr>
        <w:t>Non-core</w:t>
      </w:r>
      <w:proofErr w:type="gramEnd"/>
      <w:r w:rsidRPr="00E915AA">
        <w:rPr>
          <w:rFonts w:ascii="Times New Roman" w:eastAsia="Calibri" w:hAnsi="Times New Roman" w:cs="Times New Roman"/>
          <w:i/>
          <w:sz w:val="24"/>
          <w:szCs w:val="24"/>
          <w:lang w:val="en-GB" w:eastAsia="en-GB"/>
        </w:rPr>
        <w:t>-accounting issues</w:t>
      </w:r>
      <w:r w:rsidR="00321B04"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w:t>
      </w:r>
      <w:r w:rsidR="00321B04" w:rsidRPr="00E915AA">
        <w:rPr>
          <w:rFonts w:ascii="Times New Roman" w:eastAsia="Calibri" w:hAnsi="Times New Roman" w:cs="Times New Roman"/>
          <w:sz w:val="24"/>
          <w:szCs w:val="24"/>
          <w:lang w:val="en-GB" w:eastAsia="en-GB"/>
        </w:rPr>
        <w:t xml:space="preserve">This </w:t>
      </w:r>
      <w:r w:rsidRPr="00E915AA">
        <w:rPr>
          <w:rFonts w:ascii="Times New Roman" w:eastAsia="Calibri" w:hAnsi="Times New Roman" w:cs="Times New Roman"/>
          <w:sz w:val="24"/>
          <w:szCs w:val="24"/>
          <w:lang w:val="en-GB" w:eastAsia="en-GB"/>
        </w:rPr>
        <w:t>indicat</w:t>
      </w:r>
      <w:r w:rsidR="00321B04" w:rsidRPr="00E915AA">
        <w:rPr>
          <w:rFonts w:ascii="Times New Roman" w:eastAsia="Calibri" w:hAnsi="Times New Roman" w:cs="Times New Roman"/>
          <w:sz w:val="24"/>
          <w:szCs w:val="24"/>
          <w:lang w:val="en-GB" w:eastAsia="en-GB"/>
        </w:rPr>
        <w:t>es</w:t>
      </w:r>
      <w:r w:rsidRPr="00E915AA">
        <w:rPr>
          <w:rFonts w:ascii="Times New Roman" w:eastAsia="Calibri" w:hAnsi="Times New Roman" w:cs="Times New Roman"/>
          <w:sz w:val="24"/>
          <w:szCs w:val="24"/>
          <w:lang w:val="en-GB" w:eastAsia="en-GB"/>
        </w:rPr>
        <w:t xml:space="preserve"> that, </w:t>
      </w:r>
      <w:r w:rsidR="003A313A" w:rsidRPr="00E915AA">
        <w:rPr>
          <w:rFonts w:ascii="Times New Roman" w:eastAsia="Calibri" w:hAnsi="Times New Roman" w:cs="Times New Roman"/>
          <w:sz w:val="24"/>
          <w:szCs w:val="24"/>
          <w:lang w:val="en-GB" w:eastAsia="en-GB"/>
        </w:rPr>
        <w:t>in the presence of</w:t>
      </w:r>
      <w:r w:rsidRPr="00E915AA">
        <w:rPr>
          <w:rFonts w:ascii="Times New Roman" w:eastAsia="Calibri" w:hAnsi="Times New Roman" w:cs="Times New Roman"/>
          <w:sz w:val="24"/>
          <w:szCs w:val="24"/>
          <w:lang w:val="en-GB" w:eastAsia="en-GB"/>
        </w:rPr>
        <w:t xml:space="preserve"> higher abnormal accruals, the SEC </w:t>
      </w:r>
      <w:r w:rsidR="00E10BC4" w:rsidRPr="00E915AA">
        <w:rPr>
          <w:rFonts w:ascii="Times New Roman" w:eastAsia="Calibri" w:hAnsi="Times New Roman" w:cs="Times New Roman"/>
          <w:sz w:val="24"/>
          <w:szCs w:val="24"/>
          <w:lang w:val="en-GB" w:eastAsia="en-GB"/>
        </w:rPr>
        <w:t xml:space="preserve">reviewers place </w:t>
      </w:r>
      <w:r w:rsidR="00DC45B0" w:rsidRPr="00E915AA">
        <w:rPr>
          <w:rFonts w:ascii="Times New Roman" w:eastAsia="Calibri" w:hAnsi="Times New Roman" w:cs="Times New Roman"/>
          <w:sz w:val="24"/>
          <w:szCs w:val="24"/>
          <w:lang w:val="en-GB" w:eastAsia="en-GB"/>
        </w:rPr>
        <w:t>higher</w:t>
      </w:r>
      <w:r w:rsidR="00E10BC4" w:rsidRPr="00E915AA">
        <w:rPr>
          <w:rFonts w:ascii="Times New Roman" w:eastAsia="Calibri" w:hAnsi="Times New Roman" w:cs="Times New Roman"/>
          <w:sz w:val="24"/>
          <w:szCs w:val="24"/>
          <w:lang w:val="en-GB" w:eastAsia="en-GB"/>
        </w:rPr>
        <w:t xml:space="preserve"> emphasis on </w:t>
      </w:r>
      <w:r w:rsidRPr="00E915AA">
        <w:rPr>
          <w:rFonts w:ascii="Times New Roman" w:eastAsia="Calibri" w:hAnsi="Times New Roman" w:cs="Times New Roman"/>
          <w:sz w:val="24"/>
          <w:szCs w:val="24"/>
          <w:lang w:val="en-GB" w:eastAsia="en-GB"/>
        </w:rPr>
        <w:t xml:space="preserve">core-accounting-related </w:t>
      </w:r>
      <w:r w:rsidR="007C44B1" w:rsidRPr="00E915AA">
        <w:rPr>
          <w:rFonts w:ascii="Times New Roman" w:eastAsia="Calibri" w:hAnsi="Times New Roman" w:cs="Times New Roman"/>
          <w:sz w:val="24"/>
          <w:szCs w:val="24"/>
          <w:lang w:val="en-GB" w:eastAsia="en-GB"/>
        </w:rPr>
        <w:t>issues</w:t>
      </w:r>
      <w:r w:rsidR="007720CD" w:rsidRPr="00E915AA">
        <w:rPr>
          <w:rFonts w:ascii="Times New Roman" w:eastAsia="Calibri" w:hAnsi="Times New Roman" w:cs="Times New Roman"/>
          <w:sz w:val="24"/>
          <w:szCs w:val="24"/>
          <w:lang w:val="en-GB" w:eastAsia="en-GB"/>
        </w:rPr>
        <w:t>, lending further support to H1</w:t>
      </w:r>
      <w:r w:rsidRPr="00E915AA">
        <w:rPr>
          <w:rFonts w:ascii="Times New Roman" w:eastAsia="Calibri" w:hAnsi="Times New Roman" w:cs="Times New Roman"/>
          <w:sz w:val="24"/>
          <w:szCs w:val="24"/>
          <w:lang w:val="en-GB" w:eastAsia="en-GB"/>
        </w:rPr>
        <w:t xml:space="preserve">. </w:t>
      </w:r>
    </w:p>
    <w:p w14:paraId="5FA21230" w14:textId="2CFF4184" w:rsidR="002C6719" w:rsidRPr="00E915AA" w:rsidRDefault="00D83AF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R</w:t>
      </w:r>
      <w:r w:rsidR="002C6719" w:rsidRPr="00E915AA">
        <w:rPr>
          <w:rFonts w:ascii="Times New Roman" w:eastAsia="Calibri" w:hAnsi="Times New Roman" w:cs="Times New Roman"/>
          <w:sz w:val="24"/>
          <w:szCs w:val="24"/>
          <w:lang w:val="en-GB" w:eastAsia="en-GB"/>
        </w:rPr>
        <w:t>esults in Columns (2) and (14) reveal</w:t>
      </w:r>
      <w:r w:rsidRPr="00E915AA">
        <w:rPr>
          <w:rFonts w:ascii="Times New Roman" w:eastAsia="Calibri" w:hAnsi="Times New Roman" w:cs="Times New Roman"/>
          <w:sz w:val="24"/>
          <w:szCs w:val="24"/>
          <w:lang w:val="en-GB" w:eastAsia="en-GB"/>
        </w:rPr>
        <w:t>, to the contrary,</w:t>
      </w:r>
      <w:r w:rsidR="002C6719" w:rsidRPr="00E915AA">
        <w:rPr>
          <w:rFonts w:ascii="Times New Roman" w:eastAsia="Calibri" w:hAnsi="Times New Roman" w:cs="Times New Roman"/>
          <w:sz w:val="24"/>
          <w:szCs w:val="24"/>
          <w:lang w:val="en-GB" w:eastAsia="en-GB"/>
        </w:rPr>
        <w:t xml:space="preserve"> significantly positive coefficients on </w:t>
      </w:r>
      <w:r w:rsidR="002C6719" w:rsidRPr="00E915AA">
        <w:rPr>
          <w:rFonts w:ascii="Times New Roman" w:eastAsia="Calibri" w:hAnsi="Times New Roman" w:cs="Times New Roman"/>
          <w:i/>
          <w:sz w:val="24"/>
          <w:szCs w:val="24"/>
          <w:lang w:val="en-GB" w:eastAsia="en-GB"/>
        </w:rPr>
        <w:t xml:space="preserve">ACFO </w:t>
      </w:r>
      <w:r w:rsidR="002C6719" w:rsidRPr="00E915AA">
        <w:rPr>
          <w:rFonts w:ascii="Times New Roman" w:eastAsia="Calibri" w:hAnsi="Times New Roman" w:cs="Times New Roman"/>
          <w:sz w:val="24"/>
          <w:szCs w:val="24"/>
          <w:lang w:val="en-GB" w:eastAsia="en-GB"/>
        </w:rPr>
        <w:t xml:space="preserve">for SEC review attributes including </w:t>
      </w:r>
      <w:r w:rsidR="002C6719" w:rsidRPr="00E915AA">
        <w:rPr>
          <w:rFonts w:ascii="Times New Roman" w:eastAsia="Calibri" w:hAnsi="Times New Roman" w:cs="Times New Roman"/>
          <w:i/>
          <w:sz w:val="24"/>
          <w:szCs w:val="24"/>
          <w:lang w:val="en-GB" w:eastAsia="en-GB"/>
        </w:rPr>
        <w:t xml:space="preserve">Duration </w:t>
      </w:r>
      <w:r w:rsidR="002C6719" w:rsidRPr="00E915AA">
        <w:rPr>
          <w:rFonts w:ascii="Times New Roman" w:eastAsia="Calibri" w:hAnsi="Times New Roman" w:cs="Times New Roman"/>
          <w:sz w:val="24"/>
          <w:szCs w:val="24"/>
          <w:lang w:val="en-GB" w:eastAsia="en-GB"/>
        </w:rPr>
        <w:t>and</w:t>
      </w:r>
      <w:r w:rsidR="002C6719" w:rsidRPr="00E915AA">
        <w:rPr>
          <w:rFonts w:ascii="Times New Roman" w:eastAsia="Calibri" w:hAnsi="Times New Roman" w:cs="Times New Roman"/>
          <w:i/>
          <w:sz w:val="24"/>
          <w:szCs w:val="24"/>
          <w:lang w:val="en-GB" w:eastAsia="en-GB"/>
        </w:rPr>
        <w:t xml:space="preserve"> #Non-core-accounting issues</w:t>
      </w:r>
      <w:r w:rsidR="000E7671" w:rsidRPr="00E915AA">
        <w:rPr>
          <w:rFonts w:ascii="Times New Roman" w:eastAsia="Calibri" w:hAnsi="Times New Roman" w:cs="Times New Roman"/>
          <w:iCs/>
          <w:sz w:val="24"/>
          <w:szCs w:val="24"/>
          <w:lang w:val="en-GB" w:eastAsia="en-GB"/>
        </w:rPr>
        <w:t xml:space="preserve">. </w:t>
      </w:r>
      <w:bookmarkStart w:id="31" w:name="_Hlk112061553"/>
      <w:r w:rsidR="00287513" w:rsidRPr="00E915AA">
        <w:rPr>
          <w:rFonts w:ascii="Times New Roman" w:eastAsia="Calibri" w:hAnsi="Times New Roman" w:cs="Times New Roman"/>
          <w:iCs/>
          <w:sz w:val="24"/>
          <w:szCs w:val="24"/>
          <w:lang w:val="en-GB" w:eastAsia="en-GB"/>
        </w:rPr>
        <w:t>Coefficients are consistently positive, though insignificant, across the other SEC review attributes (columns (5), (8), and (11)).</w:t>
      </w:r>
      <w:r w:rsidRPr="00E915AA">
        <w:rPr>
          <w:rFonts w:ascii="Times New Roman" w:eastAsia="Calibri" w:hAnsi="Times New Roman" w:cs="Times New Roman"/>
          <w:iCs/>
          <w:sz w:val="24"/>
          <w:szCs w:val="24"/>
          <w:lang w:val="en-GB" w:eastAsia="en-GB"/>
        </w:rPr>
        <w:t xml:space="preserve"> </w:t>
      </w:r>
      <w:bookmarkEnd w:id="31"/>
      <w:r w:rsidR="004D7293" w:rsidRPr="00E915AA">
        <w:rPr>
          <w:rFonts w:ascii="Times New Roman" w:eastAsia="Calibri" w:hAnsi="Times New Roman" w:cs="Times New Roman"/>
          <w:iCs/>
          <w:sz w:val="24"/>
          <w:szCs w:val="24"/>
          <w:lang w:val="en-GB" w:eastAsia="en-GB"/>
        </w:rPr>
        <w:t xml:space="preserve">Contrary to H1, the results for </w:t>
      </w:r>
      <w:r w:rsidR="004D7293" w:rsidRPr="00E915AA">
        <w:rPr>
          <w:rFonts w:ascii="Times New Roman" w:eastAsia="Calibri" w:hAnsi="Times New Roman" w:cs="Times New Roman"/>
          <w:i/>
          <w:sz w:val="24"/>
          <w:szCs w:val="24"/>
          <w:lang w:val="en-GB" w:eastAsia="en-GB"/>
        </w:rPr>
        <w:t>ACFO</w:t>
      </w:r>
      <w:r w:rsidR="004D7293" w:rsidRPr="00E915AA">
        <w:rPr>
          <w:rFonts w:ascii="Times New Roman" w:eastAsia="Calibri" w:hAnsi="Times New Roman" w:cs="Times New Roman"/>
          <w:iCs/>
          <w:sz w:val="24"/>
          <w:szCs w:val="24"/>
          <w:lang w:val="en-GB" w:eastAsia="en-GB"/>
        </w:rPr>
        <w:t xml:space="preserve"> </w:t>
      </w:r>
      <w:r w:rsidRPr="00E915AA">
        <w:rPr>
          <w:rFonts w:ascii="Times New Roman" w:eastAsia="Calibri" w:hAnsi="Times New Roman" w:cs="Times New Roman"/>
          <w:iCs/>
          <w:sz w:val="24"/>
          <w:szCs w:val="24"/>
          <w:lang w:val="en-GB" w:eastAsia="en-GB"/>
        </w:rPr>
        <w:t>suggest that abnormally low cash flow from operations (</w:t>
      </w:r>
      <w:r w:rsidR="00B44AC1" w:rsidRPr="00E915AA">
        <w:rPr>
          <w:rFonts w:ascii="Times New Roman" w:eastAsia="Calibri" w:hAnsi="Times New Roman" w:cs="Times New Roman"/>
          <w:iCs/>
          <w:sz w:val="24"/>
          <w:szCs w:val="24"/>
          <w:lang w:val="en-GB" w:eastAsia="en-GB"/>
        </w:rPr>
        <w:t>an indication of</w:t>
      </w:r>
      <w:r w:rsidRPr="00E915AA">
        <w:rPr>
          <w:rFonts w:ascii="Times New Roman" w:eastAsia="Calibri" w:hAnsi="Times New Roman" w:cs="Times New Roman"/>
          <w:iCs/>
          <w:sz w:val="24"/>
          <w:szCs w:val="24"/>
          <w:lang w:val="en-GB" w:eastAsia="en-GB"/>
        </w:rPr>
        <w:t xml:space="preserve"> higher sales-based REM)</w:t>
      </w:r>
      <w:r w:rsidR="000B0E17" w:rsidRPr="00E915AA">
        <w:rPr>
          <w:rFonts w:ascii="Times New Roman" w:eastAsia="Calibri" w:hAnsi="Times New Roman" w:cs="Times New Roman"/>
          <w:iCs/>
          <w:sz w:val="24"/>
          <w:szCs w:val="24"/>
          <w:lang w:val="en-GB" w:eastAsia="en-GB"/>
        </w:rPr>
        <w:t xml:space="preserve"> does not tend to result in more extensive SEC reviews</w:t>
      </w:r>
      <w:r w:rsidR="009A73A2" w:rsidRPr="00E915AA">
        <w:rPr>
          <w:rFonts w:ascii="Times New Roman" w:eastAsia="Calibri" w:hAnsi="Times New Roman" w:cs="Times New Roman"/>
          <w:iCs/>
          <w:sz w:val="24"/>
          <w:szCs w:val="24"/>
          <w:lang w:val="en-GB" w:eastAsia="en-GB"/>
        </w:rPr>
        <w:t xml:space="preserve">, as might be expected if </w:t>
      </w:r>
      <w:r w:rsidR="002C6719" w:rsidRPr="00E915AA">
        <w:rPr>
          <w:rFonts w:ascii="Times New Roman" w:eastAsia="Calibri" w:hAnsi="Times New Roman" w:cs="Times New Roman"/>
          <w:sz w:val="24"/>
          <w:szCs w:val="24"/>
          <w:lang w:val="en-GB" w:eastAsia="en-GB"/>
        </w:rPr>
        <w:t xml:space="preserve">the SEC effectively detect and address sales-based manipulation around IPOs. This could be because, in the IPO context, sales-based manipulation is difficult to uncover </w:t>
      </w:r>
      <w:r w:rsidR="008E6D75" w:rsidRPr="00E915AA">
        <w:rPr>
          <w:rFonts w:ascii="Times New Roman" w:eastAsia="Calibri" w:hAnsi="Times New Roman" w:cs="Times New Roman"/>
          <w:sz w:val="24"/>
          <w:szCs w:val="24"/>
          <w:lang w:val="en-GB" w:eastAsia="en-GB"/>
        </w:rPr>
        <w:t xml:space="preserve">since </w:t>
      </w:r>
      <w:r w:rsidR="002C6719" w:rsidRPr="00E915AA">
        <w:rPr>
          <w:rFonts w:ascii="Times New Roman" w:eastAsia="Calibri" w:hAnsi="Times New Roman" w:cs="Times New Roman"/>
          <w:sz w:val="24"/>
          <w:szCs w:val="24"/>
          <w:lang w:val="en-GB" w:eastAsia="en-GB"/>
        </w:rPr>
        <w:t xml:space="preserve">high sales growth is a </w:t>
      </w:r>
      <w:r w:rsidR="00B051F9" w:rsidRPr="00E915AA">
        <w:rPr>
          <w:rFonts w:ascii="Times New Roman" w:eastAsia="Calibri" w:hAnsi="Times New Roman" w:cs="Times New Roman"/>
          <w:sz w:val="24"/>
          <w:szCs w:val="24"/>
          <w:lang w:val="en-GB" w:eastAsia="en-GB"/>
        </w:rPr>
        <w:t xml:space="preserve">common </w:t>
      </w:r>
      <w:r w:rsidR="002C6719" w:rsidRPr="00E915AA">
        <w:rPr>
          <w:rFonts w:ascii="Times New Roman" w:eastAsia="Calibri" w:hAnsi="Times New Roman" w:cs="Times New Roman"/>
          <w:sz w:val="24"/>
          <w:szCs w:val="24"/>
          <w:lang w:val="en-GB" w:eastAsia="en-GB"/>
        </w:rPr>
        <w:t xml:space="preserve">feature of going-public firms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Accounting","id":"ITEM-1","issue":"1-2","issued":{"date-parts":[["2017"]]},"note":"3","page":"154-195","title":"Credit Ratings and Earnings Management around IPOs","type":"article-journal","volume":"44"},"uris":["http://www.mendeley.com/documents/?uuid=1acea3cc-a27d-47fe-ad6b-11463a303827"]}],"mendeley":{"formattedCitation":"(Gounopoulos &amp; Pham, 2017)","manualFormatting":"(Gounopoulos &amp; Pham, 2017; Alhadab &amp; Clacher, 2018)","plainTextFormattedCitation":"(Gounopoulos &amp; Pham, 2017)","previouslyFormattedCitation":"(Gounopoulos &amp; Pham, 2017)"},"properties":{"noteIndex":0},"schema":"https://github.com/citation-style-language/schema/raw/master/csl-citation.json"}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(Gounopoulos &amp; Pham, 2017; Alhadab &amp; Clacher, 2018)</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w:t>
      </w:r>
      <w:r w:rsidR="002C6719" w:rsidRPr="00E915AA">
        <w:rPr>
          <w:rFonts w:ascii="Times New Roman" w:eastAsia="Calibri" w:hAnsi="Times New Roman" w:cs="Times New Roman"/>
          <w:sz w:val="24"/>
          <w:szCs w:val="24"/>
          <w:lang w:val="en-GB" w:eastAsia="en-GB"/>
        </w:rPr>
        <w:fldChar w:fldCharType="begin" w:fldLock="1"/>
      </w:r>
      <w:r w:rsidR="002C6719" w:rsidRPr="00E915AA">
        <w:rPr>
          <w:rFonts w:ascii="Times New Roman" w:eastAsia="Calibri" w:hAnsi="Times New Roman" w:cs="Times New Roman"/>
          <w:sz w:val="24"/>
          <w:szCs w:val="24"/>
          <w:lang w:val="en-GB" w:eastAsia="en-GB"/>
        </w:rPr>
        <w:instrText>ADDIN CSL_CITATION {"citationItems":[{"id":"ITEM-1","itemData":{"ISSN":"00014826","abstract":"We document that accrual-based earnings management increased steadily from 1987 until the passage of the Sarbanes-Oxley Act (SOX) in 2002, followed by a significant decline after the passage of SOX. Conversely, the level of real earnings management activities declined prior to SOX and increased significantly after the passage of SOX, suggesting that firms switched from accrual-based to real earnings management methods after the passage of SOX. We also document that the accrual-based earnings management activities were particularly high in the period immediately preceding SOX. Consistent with these results, we find that firms that just achieved important earnings benchmarks used less accruals and more real earnings management after SOX when compared to similar firms before SOX. In addition, our analysis provides evidence that the increases in accrual-based earnings management in the period preceding SOX were concurrent with increases in equity-based compensation. Our results suggest that stock-option components provide a differential set of incentives with regard to accrual-based earnings management. We document that while new options granted during the current period are negatively associated with income-increasing accrual-based earnings management, unexercised options are positively associated with income-increasing accrual-based earnings management.","author":[{"dropping-particle":"","family":"Cohen","given":"D. A.","non-dropping-particle":"","parse-names":false,"suffix":""},{"dropping-particle":"","family":"Dey","given":"A.","non-dropping-particle":"","parse-names":false,"suffix":""},{"dropping-particle":"","family":"Lys","given":"T. Z.","non-dropping-particle":"","parse-names":false,"suffix":""}],"container-title":"Accounting Review","id":"ITEM-1","issue":"3","issued":{"date-parts":[["2008"]]},"page":"757-787","title":"Real and accrual-based earnings management in the pre- and post-sarbanes-oxley periods","type":"article-journal","volume":"83"},"uris":["http://www.mendeley.com/documents/?uuid=346283e1-f09f-45fa-964a-dbab6e249247"]},{"id":"ITEM-2","itemData":{"abstract":"We survey and interview more than 400 executives to determine the factors that drive reported earnings and disclosure decisions. We find that managers would rather take economic actions that could have negative long-term consequences than make within-GAAP accounting choices to manage earnings. A surprising 78% of our sample admits to sacrificing long-term value to smooth earnings. Managers also work to maintain predictability in earnings and financial disclosures. We also find that managers make voluntary disclosures to reduce information risk and boost stock price but at the same time, try to avoid setting disclosure precedents that will be difficult to maintain. © 2005 Elsevier B.V. All rights reserved.","author":[{"dropping-particle":"","family":"Graham","given":"J. R.","non-dropping-particle":"","parse-names":false,"suffix":""},{"dropping-particle":"","family":"Harvey","given":"C. R.","non-dropping-particle":"","parse-names":false,"suffix":""},{"dropping-particle":"","family":"Rajgopal","given":"S.","non-dropping-particle":"","parse-names":false,"suffix":""}],"container-title":"Journal of Accounting and Economics","id":"ITEM-2","issue":"1-3","issued":{"date-parts":[["2005"]]},"page":"3-73","title":"The economic implications of corporate financial reporting","type":"article-journal","volume":"40"},"uris":["http://www.mendeley.com/documents/?uuid=75377cdf-5337-4738-97fd-60cf1dd85f0f"]}],"mendeley":{"formattedCitation":"(Cohen et al., 2008; Graham, Harvey, &amp; Rajgopal, 2005)","manualFormatting":"Cohen et al. (2008) and Graham et al. (2005)","plainTextFormattedCitation":"(Cohen et al., 2008; Graham, Harvey, &amp; Rajgopal, 2005)","previouslyFormattedCitation":"(Cohen et al., 2008; Graham, Harvey, &amp; Rajgopal, 2005)"},"properties":{"noteIndex":0},"schema":"https://github.com/citation-style-language/schema/raw/master/csl-citation.json"}</w:instrText>
      </w:r>
      <w:r w:rsidR="002C6719" w:rsidRPr="00E915AA">
        <w:rPr>
          <w:rFonts w:ascii="Times New Roman" w:eastAsia="Calibri" w:hAnsi="Times New Roman" w:cs="Times New Roman"/>
          <w:sz w:val="24"/>
          <w:szCs w:val="24"/>
          <w:lang w:val="en-GB" w:eastAsia="en-GB"/>
        </w:rPr>
        <w:fldChar w:fldCharType="separate"/>
      </w:r>
      <w:r w:rsidR="002C6719" w:rsidRPr="00E915AA">
        <w:rPr>
          <w:rFonts w:ascii="Times New Roman" w:eastAsia="Calibri" w:hAnsi="Times New Roman" w:cs="Times New Roman"/>
          <w:noProof/>
          <w:sz w:val="24"/>
          <w:szCs w:val="24"/>
          <w:lang w:val="en-GB" w:eastAsia="en-GB"/>
        </w:rPr>
        <w:t>Cohen et al. (2008) and Graham et al. (2005)</w:t>
      </w:r>
      <w:r w:rsidR="002C6719" w:rsidRPr="00E915AA">
        <w:rPr>
          <w:rFonts w:ascii="Times New Roman" w:eastAsia="Calibri" w:hAnsi="Times New Roman" w:cs="Times New Roman"/>
          <w:sz w:val="24"/>
          <w:szCs w:val="24"/>
          <w:lang w:val="en-GB" w:eastAsia="en-GB"/>
        </w:rPr>
        <w:fldChar w:fldCharType="end"/>
      </w:r>
      <w:r w:rsidR="002C6719" w:rsidRPr="00E915AA">
        <w:rPr>
          <w:rFonts w:ascii="Times New Roman" w:eastAsia="Calibri" w:hAnsi="Times New Roman" w:cs="Times New Roman"/>
          <w:sz w:val="24"/>
          <w:szCs w:val="24"/>
          <w:lang w:val="en-GB" w:eastAsia="en-GB"/>
        </w:rPr>
        <w:t xml:space="preserve"> also argue that earnings management through sales manipulation is infrequently detected by auditors, investors, and regulators. </w:t>
      </w:r>
    </w:p>
    <w:p w14:paraId="41E6B97E" w14:textId="49B8FAB0" w:rsidR="00D83AF9" w:rsidRPr="00E915AA" w:rsidRDefault="00047B59" w:rsidP="00D83AF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Finally, results for </w:t>
      </w:r>
      <w:r w:rsidR="00D83AF9" w:rsidRPr="00E915AA">
        <w:rPr>
          <w:rFonts w:ascii="Times New Roman" w:eastAsia="Calibri" w:hAnsi="Times New Roman" w:cs="Times New Roman"/>
          <w:sz w:val="24"/>
          <w:szCs w:val="24"/>
          <w:lang w:val="en-GB" w:eastAsia="en-GB"/>
        </w:rPr>
        <w:t>abnormal discretionary expenses</w:t>
      </w:r>
      <w:r w:rsidRPr="00E915AA">
        <w:rPr>
          <w:rFonts w:ascii="Times New Roman" w:eastAsia="Calibri" w:hAnsi="Times New Roman" w:cs="Times New Roman"/>
          <w:sz w:val="24"/>
          <w:szCs w:val="24"/>
          <w:lang w:val="en-GB" w:eastAsia="en-GB"/>
        </w:rPr>
        <w:t xml:space="preserve"> provide some additional weak evidence in support of H1. Specifically</w:t>
      </w:r>
      <w:r w:rsidR="00D83AF9" w:rsidRPr="00E915AA">
        <w:rPr>
          <w:rFonts w:ascii="Times New Roman" w:eastAsia="Calibri" w:hAnsi="Times New Roman" w:cs="Times New Roman"/>
          <w:sz w:val="24"/>
          <w:szCs w:val="24"/>
          <w:lang w:val="en-GB" w:eastAsia="en-GB"/>
        </w:rPr>
        <w:t>, the results in Column (3) show that IPO firms with abnormal</w:t>
      </w:r>
      <w:r w:rsidR="006D1AA6" w:rsidRPr="00E915AA">
        <w:rPr>
          <w:rFonts w:ascii="Times New Roman" w:eastAsia="Calibri" w:hAnsi="Times New Roman" w:cs="Times New Roman"/>
          <w:sz w:val="24"/>
          <w:szCs w:val="24"/>
          <w:lang w:val="en-GB" w:eastAsia="en-GB"/>
        </w:rPr>
        <w:t>ly low</w:t>
      </w:r>
      <w:r w:rsidR="00D83AF9" w:rsidRPr="00E915AA">
        <w:rPr>
          <w:rFonts w:ascii="Times New Roman" w:eastAsia="Calibri" w:hAnsi="Times New Roman" w:cs="Times New Roman"/>
          <w:sz w:val="24"/>
          <w:szCs w:val="24"/>
          <w:lang w:val="en-GB" w:eastAsia="en-GB"/>
        </w:rPr>
        <w:t xml:space="preserve"> discretionary expenses </w:t>
      </w:r>
      <w:r w:rsidR="006D1AA6" w:rsidRPr="00E915AA">
        <w:rPr>
          <w:rFonts w:ascii="Times New Roman" w:eastAsia="Calibri" w:hAnsi="Times New Roman" w:cs="Times New Roman"/>
          <w:sz w:val="24"/>
          <w:szCs w:val="24"/>
          <w:lang w:val="en-GB" w:eastAsia="en-GB"/>
        </w:rPr>
        <w:t xml:space="preserve">(indicating </w:t>
      </w:r>
      <w:r w:rsidR="00331406" w:rsidRPr="00E915AA">
        <w:rPr>
          <w:rFonts w:ascii="Times New Roman" w:eastAsia="Calibri" w:hAnsi="Times New Roman" w:cs="Times New Roman"/>
          <w:sz w:val="24"/>
          <w:szCs w:val="24"/>
          <w:lang w:val="en-GB" w:eastAsia="en-GB"/>
        </w:rPr>
        <w:t>higher income-increasing REM</w:t>
      </w:r>
      <w:r w:rsidR="006D1AA6" w:rsidRPr="00E915AA">
        <w:rPr>
          <w:rFonts w:ascii="Times New Roman" w:eastAsia="Calibri" w:hAnsi="Times New Roman" w:cs="Times New Roman"/>
          <w:sz w:val="24"/>
          <w:szCs w:val="24"/>
          <w:lang w:val="en-GB" w:eastAsia="en-GB"/>
        </w:rPr>
        <w:t xml:space="preserve">) </w:t>
      </w:r>
      <w:r w:rsidR="00D83AF9" w:rsidRPr="00E915AA">
        <w:rPr>
          <w:rFonts w:ascii="Times New Roman" w:eastAsia="Calibri" w:hAnsi="Times New Roman" w:cs="Times New Roman"/>
          <w:sz w:val="24"/>
          <w:szCs w:val="24"/>
          <w:lang w:val="en-GB" w:eastAsia="en-GB"/>
        </w:rPr>
        <w:t xml:space="preserve">are likely to experience longer SEC reviews, as indicated by the negative coefficients on </w:t>
      </w:r>
      <w:r w:rsidR="00D83AF9" w:rsidRPr="00E915AA">
        <w:rPr>
          <w:rFonts w:ascii="Times New Roman" w:eastAsia="Calibri" w:hAnsi="Times New Roman" w:cs="Times New Roman"/>
          <w:i/>
          <w:sz w:val="24"/>
          <w:szCs w:val="24"/>
          <w:lang w:val="en-GB" w:eastAsia="en-GB"/>
        </w:rPr>
        <w:t xml:space="preserve">ADISEXP </w:t>
      </w:r>
      <w:r w:rsidR="00D83AF9" w:rsidRPr="00E915AA">
        <w:rPr>
          <w:rFonts w:ascii="Times New Roman" w:eastAsia="Calibri" w:hAnsi="Times New Roman" w:cs="Times New Roman"/>
          <w:sz w:val="24"/>
          <w:szCs w:val="24"/>
          <w:lang w:val="en-GB" w:eastAsia="en-GB"/>
        </w:rPr>
        <w:t xml:space="preserve">for </w:t>
      </w:r>
      <w:r w:rsidR="00D83AF9" w:rsidRPr="00E915AA">
        <w:rPr>
          <w:rFonts w:ascii="Times New Roman" w:eastAsia="Calibri" w:hAnsi="Times New Roman" w:cs="Times New Roman"/>
          <w:i/>
          <w:sz w:val="24"/>
          <w:szCs w:val="24"/>
          <w:lang w:val="en-GB" w:eastAsia="en-GB"/>
        </w:rPr>
        <w:t xml:space="preserve">Duration. </w:t>
      </w:r>
      <w:r w:rsidR="00022CE3" w:rsidRPr="00E915AA">
        <w:rPr>
          <w:rFonts w:ascii="Times New Roman" w:eastAsia="Calibri" w:hAnsi="Times New Roman" w:cs="Times New Roman"/>
          <w:iCs/>
          <w:sz w:val="24"/>
          <w:szCs w:val="24"/>
          <w:lang w:val="en-GB" w:eastAsia="en-GB"/>
        </w:rPr>
        <w:t xml:space="preserve">Results for the other SEC review measures in columns (6), (9), (12), and (15) are insignificant, although directionally consistent. </w:t>
      </w:r>
      <w:r w:rsidR="00D83AF9" w:rsidRPr="00E915AA">
        <w:rPr>
          <w:rFonts w:ascii="Times New Roman" w:eastAsia="Calibri" w:hAnsi="Times New Roman" w:cs="Times New Roman"/>
          <w:sz w:val="24"/>
          <w:szCs w:val="24"/>
          <w:lang w:val="en-GB" w:eastAsia="en-GB"/>
        </w:rPr>
        <w:t xml:space="preserve">The findings </w:t>
      </w:r>
      <w:r w:rsidR="00043A11" w:rsidRPr="00E915AA">
        <w:rPr>
          <w:rFonts w:ascii="Times New Roman" w:eastAsia="Calibri" w:hAnsi="Times New Roman" w:cs="Times New Roman"/>
          <w:sz w:val="24"/>
          <w:szCs w:val="24"/>
          <w:lang w:val="en-GB" w:eastAsia="en-GB"/>
        </w:rPr>
        <w:t>provide at least some evidence</w:t>
      </w:r>
      <w:r w:rsidR="00D83AF9" w:rsidRPr="00E915AA">
        <w:rPr>
          <w:rFonts w:ascii="Times New Roman" w:eastAsia="Calibri" w:hAnsi="Times New Roman" w:cs="Times New Roman"/>
          <w:sz w:val="24"/>
          <w:szCs w:val="24"/>
          <w:lang w:val="en-GB" w:eastAsia="en-GB"/>
        </w:rPr>
        <w:t xml:space="preserve"> that </w:t>
      </w:r>
      <w:r w:rsidR="00DC044F" w:rsidRPr="00E915AA">
        <w:rPr>
          <w:rFonts w:ascii="Times New Roman" w:eastAsia="Calibri" w:hAnsi="Times New Roman" w:cs="Times New Roman"/>
          <w:sz w:val="24"/>
          <w:szCs w:val="24"/>
          <w:lang w:val="en-GB" w:eastAsia="en-GB"/>
        </w:rPr>
        <w:t xml:space="preserve">the </w:t>
      </w:r>
      <w:r w:rsidR="00935F7E" w:rsidRPr="00E915AA">
        <w:rPr>
          <w:rFonts w:ascii="Times New Roman" w:eastAsia="Calibri" w:hAnsi="Times New Roman" w:cs="Times New Roman"/>
          <w:sz w:val="24"/>
          <w:szCs w:val="24"/>
          <w:lang w:val="en-GB" w:eastAsia="en-GB"/>
        </w:rPr>
        <w:t xml:space="preserve">extensiveness of </w:t>
      </w:r>
      <w:r w:rsidR="00D83AF9" w:rsidRPr="00E915AA">
        <w:rPr>
          <w:rFonts w:ascii="Times New Roman" w:eastAsia="Calibri" w:hAnsi="Times New Roman" w:cs="Times New Roman"/>
          <w:sz w:val="24"/>
          <w:szCs w:val="24"/>
          <w:lang w:val="en-GB" w:eastAsia="en-GB"/>
        </w:rPr>
        <w:t>SEC reviews</w:t>
      </w:r>
      <w:r w:rsidR="00935F7E" w:rsidRPr="00E915AA">
        <w:rPr>
          <w:rFonts w:ascii="Times New Roman" w:eastAsia="Calibri" w:hAnsi="Times New Roman" w:cs="Times New Roman"/>
          <w:sz w:val="24"/>
          <w:szCs w:val="24"/>
          <w:lang w:val="en-GB" w:eastAsia="en-GB"/>
        </w:rPr>
        <w:t xml:space="preserve"> increases with </w:t>
      </w:r>
      <w:r w:rsidR="00DC044F" w:rsidRPr="00E915AA">
        <w:rPr>
          <w:rFonts w:ascii="Times New Roman" w:eastAsia="Calibri" w:hAnsi="Times New Roman" w:cs="Times New Roman"/>
          <w:sz w:val="24"/>
          <w:szCs w:val="24"/>
          <w:lang w:val="en-GB" w:eastAsia="en-GB"/>
        </w:rPr>
        <w:t xml:space="preserve">the </w:t>
      </w:r>
      <w:r w:rsidR="00935F7E" w:rsidRPr="00E915AA">
        <w:rPr>
          <w:rFonts w:ascii="Times New Roman" w:eastAsia="Calibri" w:hAnsi="Times New Roman" w:cs="Times New Roman"/>
          <w:sz w:val="24"/>
          <w:szCs w:val="24"/>
          <w:lang w:val="en-GB" w:eastAsia="en-GB"/>
        </w:rPr>
        <w:t>likelihood of</w:t>
      </w:r>
      <w:r w:rsidR="00D83AF9" w:rsidRPr="00E915AA">
        <w:rPr>
          <w:rFonts w:ascii="Times New Roman" w:eastAsia="Calibri" w:hAnsi="Times New Roman" w:cs="Times New Roman"/>
          <w:sz w:val="24"/>
          <w:szCs w:val="24"/>
          <w:lang w:val="en-GB" w:eastAsia="en-GB"/>
        </w:rPr>
        <w:t xml:space="preserve"> income-increasing REM through discretionary expenses. </w:t>
      </w:r>
    </w:p>
    <w:p w14:paraId="67A09D4B" w14:textId="33E2A51B"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Overall, </w:t>
      </w:r>
      <w:r w:rsidR="00A26599" w:rsidRPr="00E915AA">
        <w:rPr>
          <w:rFonts w:ascii="Times New Roman" w:eastAsia="Calibri" w:hAnsi="Times New Roman" w:cs="Times New Roman"/>
          <w:sz w:val="24"/>
          <w:szCs w:val="24"/>
          <w:lang w:val="en-GB" w:eastAsia="en-GB"/>
        </w:rPr>
        <w:t>the</w:t>
      </w:r>
      <w:r w:rsidRPr="00E915AA">
        <w:rPr>
          <w:rFonts w:ascii="Times New Roman" w:eastAsia="Calibri" w:hAnsi="Times New Roman" w:cs="Times New Roman"/>
          <w:sz w:val="24"/>
          <w:szCs w:val="24"/>
          <w:lang w:val="en-GB" w:eastAsia="en-GB"/>
        </w:rPr>
        <w:t xml:space="preserve"> findings </w:t>
      </w:r>
      <w:r w:rsidR="00A26599" w:rsidRPr="00E915AA">
        <w:rPr>
          <w:rFonts w:ascii="Times New Roman" w:eastAsia="Calibri" w:hAnsi="Times New Roman" w:cs="Times New Roman"/>
          <w:sz w:val="24"/>
          <w:szCs w:val="24"/>
          <w:lang w:val="en-GB" w:eastAsia="en-GB"/>
        </w:rPr>
        <w:t xml:space="preserve">above </w:t>
      </w:r>
      <w:r w:rsidRPr="00E915AA">
        <w:rPr>
          <w:rFonts w:ascii="Times New Roman" w:eastAsia="Calibri" w:hAnsi="Times New Roman" w:cs="Times New Roman"/>
          <w:sz w:val="24"/>
          <w:szCs w:val="24"/>
          <w:lang w:val="en-GB" w:eastAsia="en-GB"/>
        </w:rPr>
        <w:t>are consistent with SEC reviews being effective in addressing AEM within IPO registration statements</w:t>
      </w:r>
      <w:r w:rsidR="0073644B" w:rsidRPr="00E915AA">
        <w:rPr>
          <w:rFonts w:ascii="Times New Roman" w:eastAsia="Calibri" w:hAnsi="Times New Roman" w:cs="Times New Roman"/>
          <w:sz w:val="24"/>
          <w:szCs w:val="24"/>
          <w:lang w:val="en-GB" w:eastAsia="en-GB"/>
        </w:rPr>
        <w:t>, but</w:t>
      </w:r>
      <w:r w:rsidRPr="00E915AA">
        <w:rPr>
          <w:rFonts w:ascii="Times New Roman" w:eastAsia="Calibri" w:hAnsi="Times New Roman" w:cs="Times New Roman"/>
          <w:sz w:val="24"/>
          <w:szCs w:val="24"/>
          <w:lang w:val="en-GB" w:eastAsia="en-GB"/>
        </w:rPr>
        <w:t xml:space="preserve"> only partial</w:t>
      </w:r>
      <w:r w:rsidR="0073644B" w:rsidRPr="00E915AA">
        <w:rPr>
          <w:rFonts w:ascii="Times New Roman" w:eastAsia="Calibri" w:hAnsi="Times New Roman" w:cs="Times New Roman"/>
          <w:sz w:val="24"/>
          <w:szCs w:val="24"/>
          <w:lang w:val="en-GB" w:eastAsia="en-GB"/>
        </w:rPr>
        <w:t>ly</w:t>
      </w:r>
      <w:r w:rsidRPr="00E915AA">
        <w:rPr>
          <w:rFonts w:ascii="Times New Roman" w:eastAsia="Calibri" w:hAnsi="Times New Roman" w:cs="Times New Roman"/>
          <w:sz w:val="24"/>
          <w:szCs w:val="24"/>
          <w:lang w:val="en-GB" w:eastAsia="en-GB"/>
        </w:rPr>
        <w:t xml:space="preserve"> effective in detecting REM. This is consistent with Graham et al.</w:t>
      </w:r>
      <w:r w:rsidR="00EB6A42"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(2005) argument that REM attracts insufficient scrutiny from auditors and regulators</w:t>
      </w:r>
      <w:r w:rsidR="00EB6A42"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and hence </w:t>
      </w:r>
      <w:r w:rsidR="00EB6A42" w:rsidRPr="00E915AA">
        <w:rPr>
          <w:rFonts w:ascii="Times New Roman" w:eastAsia="Calibri" w:hAnsi="Times New Roman" w:cs="Times New Roman"/>
          <w:sz w:val="24"/>
          <w:szCs w:val="24"/>
          <w:lang w:val="en-GB" w:eastAsia="en-GB"/>
        </w:rPr>
        <w:t>may</w:t>
      </w:r>
      <w:r w:rsidRPr="00E915AA">
        <w:rPr>
          <w:rFonts w:ascii="Times New Roman" w:eastAsia="Calibri" w:hAnsi="Times New Roman" w:cs="Times New Roman"/>
          <w:sz w:val="24"/>
          <w:szCs w:val="24"/>
          <w:lang w:val="en-GB" w:eastAsia="en-GB"/>
        </w:rPr>
        <w:t xml:space="preserve"> be left somewhat </w:t>
      </w:r>
      <w:r w:rsidR="00097815" w:rsidRPr="00E915AA">
        <w:rPr>
          <w:rFonts w:ascii="Times New Roman" w:eastAsia="Calibri" w:hAnsi="Times New Roman" w:cs="Times New Roman"/>
          <w:sz w:val="24"/>
          <w:szCs w:val="24"/>
          <w:lang w:val="en-GB" w:eastAsia="en-GB"/>
        </w:rPr>
        <w:t>unaddressed</w:t>
      </w:r>
      <w:r w:rsidRPr="00E915AA">
        <w:rPr>
          <w:rFonts w:ascii="Times New Roman" w:eastAsia="Calibri" w:hAnsi="Times New Roman" w:cs="Times New Roman"/>
          <w:sz w:val="24"/>
          <w:szCs w:val="24"/>
          <w:lang w:val="en-GB" w:eastAsia="en-GB"/>
        </w:rPr>
        <w:t xml:space="preserve">. </w:t>
      </w:r>
    </w:p>
    <w:p w14:paraId="17BF3418" w14:textId="62DC0EC0" w:rsidR="002C6719" w:rsidRPr="00E915AA" w:rsidRDefault="002C6719" w:rsidP="002C671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The coefficients on the control variables are generally as expected, with more extensive SEC reviews for bigger firms (</w:t>
      </w:r>
      <w:proofErr w:type="spellStart"/>
      <w:r w:rsidRPr="00E915AA">
        <w:rPr>
          <w:rFonts w:ascii="Times New Roman" w:eastAsia="Calibri" w:hAnsi="Times New Roman" w:cs="Times New Roman"/>
          <w:i/>
          <w:iCs/>
          <w:sz w:val="24"/>
          <w:szCs w:val="24"/>
          <w:lang w:val="en-GB" w:eastAsia="en-GB"/>
        </w:rPr>
        <w:t>Ln</w:t>
      </w:r>
      <w:r w:rsidRPr="00E915AA">
        <w:rPr>
          <w:rFonts w:ascii="Times New Roman" w:eastAsia="Calibri" w:hAnsi="Times New Roman" w:cs="Times New Roman"/>
          <w:i/>
          <w:sz w:val="24"/>
          <w:szCs w:val="24"/>
          <w:lang w:val="en-GB" w:eastAsia="en-GB"/>
        </w:rPr>
        <w:t>Size</w:t>
      </w:r>
      <w:proofErr w:type="spellEnd"/>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sz w:val="24"/>
          <w:szCs w:val="24"/>
          <w:lang w:val="en-GB" w:eastAsia="en-GB"/>
        </w:rPr>
        <w:t xml:space="preserve">older firms </w:t>
      </w:r>
      <w:r w:rsidRPr="00E915AA">
        <w:rPr>
          <w:rFonts w:ascii="Times New Roman" w:eastAsia="Calibri" w:hAnsi="Times New Roman" w:cs="Times New Roman"/>
          <w:i/>
          <w:sz w:val="24"/>
          <w:szCs w:val="24"/>
          <w:lang w:val="en-GB" w:eastAsia="en-GB"/>
        </w:rPr>
        <w:t xml:space="preserve">(Firm age), </w:t>
      </w:r>
      <w:r w:rsidRPr="00E915AA">
        <w:rPr>
          <w:rFonts w:ascii="Times New Roman" w:eastAsia="Calibri" w:hAnsi="Times New Roman" w:cs="Times New Roman"/>
          <w:sz w:val="24"/>
          <w:szCs w:val="24"/>
          <w:lang w:val="en-GB" w:eastAsia="en-GB"/>
        </w:rPr>
        <w:t xml:space="preserve">firms </w:t>
      </w:r>
      <w:r w:rsidR="00D74048" w:rsidRPr="00E915AA">
        <w:rPr>
          <w:rFonts w:ascii="Times New Roman" w:eastAsia="Calibri" w:hAnsi="Times New Roman" w:cs="Times New Roman"/>
          <w:sz w:val="24"/>
          <w:szCs w:val="24"/>
          <w:lang w:val="en-GB" w:eastAsia="en-GB"/>
        </w:rPr>
        <w:t xml:space="preserve">with </w:t>
      </w:r>
      <w:r w:rsidRPr="00E915AA">
        <w:rPr>
          <w:rFonts w:ascii="Times New Roman" w:eastAsia="Calibri" w:hAnsi="Times New Roman" w:cs="Times New Roman"/>
          <w:sz w:val="24"/>
          <w:szCs w:val="24"/>
          <w:lang w:val="en-GB" w:eastAsia="en-GB"/>
        </w:rPr>
        <w:t>more business segments (</w:t>
      </w:r>
      <w:r w:rsidRPr="00E915AA">
        <w:rPr>
          <w:rFonts w:ascii="Times New Roman" w:eastAsia="Calibri" w:hAnsi="Times New Roman" w:cs="Times New Roman"/>
          <w:i/>
          <w:sz w:val="24"/>
          <w:szCs w:val="24"/>
          <w:lang w:val="en-GB" w:eastAsia="en-GB"/>
        </w:rPr>
        <w:t>Segments)</w:t>
      </w:r>
      <w:r w:rsidRPr="00E915AA">
        <w:rPr>
          <w:rFonts w:ascii="Times New Roman" w:eastAsia="Calibri" w:hAnsi="Times New Roman" w:cs="Times New Roman"/>
          <w:sz w:val="24"/>
          <w:szCs w:val="24"/>
          <w:lang w:val="en-GB" w:eastAsia="en-GB"/>
        </w:rPr>
        <w:t xml:space="preserve">, </w:t>
      </w:r>
      <w:r w:rsidR="00D74048" w:rsidRPr="00E915AA">
        <w:rPr>
          <w:rFonts w:ascii="Times New Roman" w:eastAsia="Calibri" w:hAnsi="Times New Roman" w:cs="Times New Roman"/>
          <w:sz w:val="24"/>
          <w:szCs w:val="24"/>
          <w:lang w:val="en-GB" w:eastAsia="en-GB"/>
        </w:rPr>
        <w:t xml:space="preserve">or </w:t>
      </w:r>
      <w:r w:rsidRPr="00E915AA">
        <w:rPr>
          <w:rFonts w:ascii="Times New Roman" w:eastAsia="Calibri" w:hAnsi="Times New Roman" w:cs="Times New Roman"/>
          <w:sz w:val="24"/>
          <w:szCs w:val="24"/>
          <w:lang w:val="en-GB" w:eastAsia="en-GB"/>
        </w:rPr>
        <w:t>engaging in restructuring activities (</w:t>
      </w:r>
      <w:r w:rsidRPr="00E915AA">
        <w:rPr>
          <w:rFonts w:ascii="Times New Roman" w:eastAsia="Calibri" w:hAnsi="Times New Roman" w:cs="Times New Roman"/>
          <w:i/>
          <w:sz w:val="24"/>
          <w:szCs w:val="24"/>
          <w:lang w:val="en-GB" w:eastAsia="en-GB"/>
        </w:rPr>
        <w:t xml:space="preserve">Restructuring) </w:t>
      </w:r>
      <w:r w:rsidR="00D74048" w:rsidRPr="00E915AA">
        <w:rPr>
          <w:rFonts w:ascii="Times New Roman" w:eastAsia="Calibri" w:hAnsi="Times New Roman" w:cs="Times New Roman"/>
          <w:sz w:val="24"/>
          <w:szCs w:val="24"/>
          <w:lang w:val="en-GB" w:eastAsia="en-GB"/>
        </w:rPr>
        <w:t xml:space="preserve">or </w:t>
      </w:r>
      <w:r w:rsidRPr="00E915AA">
        <w:rPr>
          <w:rFonts w:ascii="Times New Roman" w:eastAsia="Calibri" w:hAnsi="Times New Roman" w:cs="Times New Roman"/>
          <w:sz w:val="24"/>
          <w:szCs w:val="24"/>
          <w:lang w:val="en-GB" w:eastAsia="en-GB"/>
        </w:rPr>
        <w:t>M&amp;A activities (</w:t>
      </w:r>
      <w:r w:rsidRPr="00E915AA">
        <w:rPr>
          <w:rFonts w:ascii="Times New Roman" w:eastAsia="Calibri" w:hAnsi="Times New Roman" w:cs="Times New Roman"/>
          <w:i/>
          <w:sz w:val="24"/>
          <w:szCs w:val="24"/>
          <w:lang w:val="en-GB" w:eastAsia="en-GB"/>
        </w:rPr>
        <w:t>M&amp;A)</w:t>
      </w:r>
      <w:r w:rsidRPr="00E915AA">
        <w:rPr>
          <w:rFonts w:ascii="Times New Roman" w:eastAsia="Calibri" w:hAnsi="Times New Roman" w:cs="Times New Roman"/>
          <w:sz w:val="24"/>
          <w:szCs w:val="24"/>
          <w:lang w:val="en-GB" w:eastAsia="en-GB"/>
        </w:rPr>
        <w:t xml:space="preserve">, all of which </w:t>
      </w:r>
      <w:r w:rsidR="00F04C0A" w:rsidRPr="00E915AA">
        <w:rPr>
          <w:rFonts w:ascii="Times New Roman" w:eastAsia="Calibri" w:hAnsi="Times New Roman" w:cs="Times New Roman"/>
          <w:sz w:val="24"/>
          <w:szCs w:val="24"/>
          <w:lang w:val="en-GB" w:eastAsia="en-GB"/>
        </w:rPr>
        <w:t xml:space="preserve">tend to associate with higher business </w:t>
      </w:r>
      <w:r w:rsidRPr="00E915AA">
        <w:rPr>
          <w:rFonts w:ascii="Times New Roman" w:eastAsia="Calibri" w:hAnsi="Times New Roman" w:cs="Times New Roman"/>
          <w:sz w:val="24"/>
          <w:szCs w:val="24"/>
          <w:lang w:val="en-GB" w:eastAsia="en-GB"/>
        </w:rPr>
        <w:t xml:space="preserve">complexity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{"citationItems":[{"id":"ITEM-1","itemData":{"author":[{"dropping-particle":"","family":"Cassell","given":"C. A.","non-dropping-particle":"","parse-names":false,"suffix":""},{"dropping-particle":"","family":"Dreher","given":"L. M.","non-dropping-particle":"","parse-names":false,"suffix":""},{"dropping-particle":"","family":"Myers","given":"L. A.","non-dropping-particle":"","parse-names":false,"suffix":""}],"container-title":"The Accounting Review","id":"ITEM-1","issue":"6","issued":{"date-parts":[["2013"]]},"page":"1875-1908","title":"Reviewing the SEC's review process: 10-K comment letters and the cost of remediation","type":"article-journal","volume":"88"},"uris":["http://www.mendeley.com/documents/?uuid=dea718b9-c36f-49a6-a8c7-49415620a7b4"]},{"id":"ITEM-2","itemData":{"ISSN":"01654101","abstract":"SEC oversight of publicly listed firms ranges from comment letter (CL) reviews of firms’ reporting compliance to pursuing enforcement actions against violators. Prior literature finds that firm political connections (PC) negatively predict enforcement actions, inferring SEC capture. We present new evidence that firm PC positively predict CL reviews and substantive characteristics of such reviews, including the number of issues evaluated and the seniority of SEC staff involved. These results, robust to identification concerns, are inconsistent with SEC capture and indicate a more nuanced relation between firm PC and SEC oversight than previously suggested.","author":[{"dropping-particle":"","family":"Heese","given":"Jonas","non-dropping-particle":"","parse-names":false,"suffix":""},{"dropping-particle":"","family":"Khan","given":"Mozaffar","non-dropping-particle":"","parse-names":false,"suffix":""},{"dropping-particle":"","family":"Ramanna","given":"Karthik","non-dropping-particle":"","parse-names":false,"suffix":""}],"container-title":"Journal of Accounting and Economics","id":"ITEM-2","issue":"1","issued":{"date-parts":[["2017"]]},"page":"98-122","title":"Is the SEC captured? Evidence from comment-letter reviews","type":"article-journal","volume":"64"},"uris":["http://www.mendeley.com/documents/?uuid=98505591-58a4-4e58-99ad-9f9350630e93"]}],"mendeley":{"formattedCitation":"(C. A. Cassell et al., 2013; Heese et al., 2017)","manualFormatting":"(Cassell et al., 2013; Heese et al., 2017)","plainTextFormattedCitation":"(C. A. Cassell et al., 2013; Heese et al., 2017)","previouslyFormattedCitation":"(C. A. Cassell et al., 2013; Heese et al., 2017)"},"properties":{"noteIndex":0},"schema":"https://github.com/citation-style-language/schema/raw/master/csl-citation.json"}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(Cassell et al., 2013; Heese et al., 2017)</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Holding all else equal, firms with a higher probability of financial distress (</w:t>
      </w:r>
      <w:proofErr w:type="spellStart"/>
      <w:r w:rsidRPr="00E915AA">
        <w:rPr>
          <w:rFonts w:ascii="Times New Roman" w:eastAsia="Calibri" w:hAnsi="Times New Roman" w:cs="Times New Roman"/>
          <w:i/>
          <w:sz w:val="24"/>
          <w:szCs w:val="24"/>
          <w:lang w:val="en-GB" w:eastAsia="en-GB"/>
        </w:rPr>
        <w:t>Zscore</w:t>
      </w:r>
      <w:proofErr w:type="spellEnd"/>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sz w:val="24"/>
          <w:szCs w:val="24"/>
          <w:lang w:val="en-GB" w:eastAsia="en-GB"/>
        </w:rPr>
        <w:t xml:space="preserve">attract more intensive SEC reviews, consistent with the findings of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{"citationItems":[{"id":"ITEM-1","itemData":{"ISSN":"01654101","abstract":"SEC oversight of publicly listed firms ranges from comment letter (CL) reviews of firms’ reporting compliance to pursuing enforcement actions against violators. Prior literature finds that firm political connections (PC) negatively predict enforcement actions, inferring SEC capture. We present new evidence that firm PC positively predict CL reviews and substantive characteristics of such reviews, including the number of issues evaluated and the seniority of SEC staff involved. These results, robust to identification concerns, are inconsistent with SEC capture and indicate a more nuanced relation between firm PC and SEC oversight than previously suggested.","author":[{"dropping-particle":"","family":"Heese","given":"Jonas","non-dropping-particle":"","parse-names":false,"suffix":""},{"dropping-particle":"","family":"Khan","given":"Mozaffar","non-dropping-particle":"","parse-names":false,"suffix":""},{"dropping-particle":"","family":"Ramanna","given":"Karthik","non-dropping-particle":"","parse-names":false,"suffix":""}],"container-title":"Journal of Accounting and Economics","id":"ITEM-1","issue":"1","issued":{"date-parts":[["2017"]]},"page":"98-122","title":"Is the SEC captured? Evidence from comment-letter reviews","type":"article-journal","volume":"64"},"uris":["http://www.mendeley.com/documents/?uuid=98505591-58a4-4e58-99ad-9f9350630e93"]}],"mendeley":{"formattedCitation":"(Heese et al., 2017)","manualFormatting":"Heese et al. (2017)","plainTextFormattedCitation":"(Heese et al., 2017)","previouslyFormattedCitation":"(Heese et al., 2017)"},"properties":{"noteIndex":0},"schema":"https://github.com/citation-style-language/schema/raw/master/csl-citation.json"}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Heese et al. (2017)</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w:t>
      </w:r>
      <w:r w:rsidR="00017D0D"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negative effect of having a Big 4 auditor (</w:t>
      </w:r>
      <w:r w:rsidRPr="00E915AA">
        <w:rPr>
          <w:rFonts w:ascii="Times New Roman" w:eastAsia="Calibri" w:hAnsi="Times New Roman" w:cs="Times New Roman"/>
          <w:i/>
          <w:sz w:val="24"/>
          <w:szCs w:val="24"/>
          <w:lang w:val="en-GB" w:eastAsia="en-GB"/>
        </w:rPr>
        <w:t>Big 4</w:t>
      </w:r>
      <w:r w:rsidRPr="00E915AA">
        <w:rPr>
          <w:rFonts w:ascii="Times New Roman" w:eastAsia="Calibri" w:hAnsi="Times New Roman" w:cs="Times New Roman"/>
          <w:sz w:val="24"/>
          <w:szCs w:val="24"/>
          <w:lang w:val="en-GB" w:eastAsia="en-GB"/>
        </w:rPr>
        <w:t>)</w:t>
      </w:r>
      <w:r w:rsidR="00017D0D" w:rsidRPr="00E915AA">
        <w:rPr>
          <w:rFonts w:ascii="Times New Roman" w:eastAsia="Calibri" w:hAnsi="Times New Roman" w:cs="Times New Roman"/>
          <w:sz w:val="24"/>
          <w:szCs w:val="24"/>
          <w:lang w:val="en-GB" w:eastAsia="en-GB"/>
        </w:rPr>
        <w:t xml:space="preserve"> is found</w:t>
      </w:r>
      <w:r w:rsidRPr="00E915AA">
        <w:rPr>
          <w:rFonts w:ascii="Times New Roman" w:eastAsia="Calibri" w:hAnsi="Times New Roman" w:cs="Times New Roman"/>
          <w:sz w:val="24"/>
          <w:szCs w:val="24"/>
          <w:lang w:val="en-GB" w:eastAsia="en-GB"/>
        </w:rPr>
        <w:t xml:space="preserve">, supporting the conjecture that </w:t>
      </w:r>
      <w:r w:rsidRPr="00E915AA">
        <w:rPr>
          <w:rFonts w:ascii="Times New Roman" w:eastAsia="Calibri" w:hAnsi="Times New Roman" w:cs="Times New Roman"/>
          <w:color w:val="000000"/>
          <w:sz w:val="24"/>
          <w:szCs w:val="24"/>
          <w:shd w:val="clear" w:color="auto" w:fill="FFFFFF"/>
          <w:lang w:val="en-GB" w:eastAsia="en-GB"/>
        </w:rPr>
        <w:t>IPO firms audited by Big 4 auditors attract less SEC scrutiny </w:t>
      </w:r>
      <w:r w:rsidRPr="00E915AA">
        <w:rPr>
          <w:rFonts w:ascii="Times New Roman" w:eastAsia="Calibri" w:hAnsi="Times New Roman" w:cs="Times New Roman"/>
          <w:color w:val="000000"/>
          <w:sz w:val="24"/>
          <w:szCs w:val="24"/>
          <w:shd w:val="clear" w:color="auto" w:fill="E1E3E6"/>
          <w:lang w:val="en-GB" w:eastAsia="en-GB"/>
        </w:rPr>
        <w:t xml:space="preserve">(Johnston &amp; </w:t>
      </w:r>
      <w:proofErr w:type="spellStart"/>
      <w:r w:rsidRPr="00E915AA">
        <w:rPr>
          <w:rFonts w:ascii="Times New Roman" w:eastAsia="Calibri" w:hAnsi="Times New Roman" w:cs="Times New Roman"/>
          <w:color w:val="000000"/>
          <w:sz w:val="24"/>
          <w:szCs w:val="24"/>
          <w:shd w:val="clear" w:color="auto" w:fill="E1E3E6"/>
          <w:lang w:val="en-GB" w:eastAsia="en-GB"/>
        </w:rPr>
        <w:t>Petacchi</w:t>
      </w:r>
      <w:proofErr w:type="spellEnd"/>
      <w:r w:rsidRPr="00E915AA">
        <w:rPr>
          <w:rFonts w:ascii="Times New Roman" w:eastAsia="Calibri" w:hAnsi="Times New Roman" w:cs="Times New Roman"/>
          <w:color w:val="000000"/>
          <w:sz w:val="24"/>
          <w:szCs w:val="24"/>
          <w:shd w:val="clear" w:color="auto" w:fill="E1E3E6"/>
          <w:lang w:val="en-GB" w:eastAsia="en-GB"/>
        </w:rPr>
        <w:t>, 2017)</w:t>
      </w:r>
      <w:r w:rsidRPr="00E915AA">
        <w:rPr>
          <w:rFonts w:ascii="Times New Roman" w:eastAsia="Calibri" w:hAnsi="Times New Roman" w:cs="Times New Roman"/>
          <w:i/>
          <w:sz w:val="24"/>
          <w:szCs w:val="24"/>
          <w:lang w:val="en-GB" w:eastAsia="en-GB"/>
        </w:rPr>
        <w:t xml:space="preserve">. </w:t>
      </w:r>
    </w:p>
    <w:p w14:paraId="1D3E3B23" w14:textId="77777777" w:rsidR="002C6719" w:rsidRPr="00E915AA" w:rsidRDefault="002C6719" w:rsidP="002C6719">
      <w:pPr>
        <w:spacing w:before="240" w:after="240" w:line="360" w:lineRule="auto"/>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[Insert Table 4 about here]</w:t>
      </w:r>
    </w:p>
    <w:p w14:paraId="3EB7C61C" w14:textId="645962E8" w:rsidR="00071D0F" w:rsidRPr="00E915AA" w:rsidRDefault="00AC2C4C" w:rsidP="00071D0F">
      <w:pPr>
        <w:spacing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w:t>
      </w:r>
      <w:r w:rsidR="003017AE" w:rsidRPr="00E915AA">
        <w:rPr>
          <w:rFonts w:ascii="Times New Roman" w:eastAsia="Calibri" w:hAnsi="Times New Roman" w:cs="Times New Roman"/>
          <w:sz w:val="24"/>
          <w:szCs w:val="24"/>
          <w:lang w:val="en-GB" w:eastAsia="en-GB"/>
        </w:rPr>
        <w:t>T</w:t>
      </w:r>
      <w:r w:rsidRPr="00E915AA">
        <w:rPr>
          <w:rFonts w:ascii="Times New Roman" w:eastAsia="Calibri" w:hAnsi="Times New Roman" w:cs="Times New Roman"/>
          <w:sz w:val="24"/>
          <w:szCs w:val="24"/>
          <w:lang w:val="en-GB" w:eastAsia="en-GB"/>
        </w:rPr>
        <w:t xml:space="preserve">able 5, </w:t>
      </w:r>
      <w:r w:rsidR="007C4A40" w:rsidRPr="00E915AA">
        <w:rPr>
          <w:rFonts w:ascii="Times New Roman" w:eastAsia="Calibri" w:hAnsi="Times New Roman" w:cs="Times New Roman"/>
          <w:sz w:val="24"/>
          <w:szCs w:val="24"/>
          <w:lang w:val="en-GB" w:eastAsia="en-GB"/>
        </w:rPr>
        <w:t xml:space="preserve">models estimating </w:t>
      </w:r>
      <w:r w:rsidR="00AB082F" w:rsidRPr="00E915AA">
        <w:rPr>
          <w:rFonts w:ascii="Times New Roman" w:eastAsia="Calibri" w:hAnsi="Times New Roman" w:cs="Times New Roman"/>
          <w:sz w:val="24"/>
          <w:szCs w:val="24"/>
          <w:lang w:val="en-GB" w:eastAsia="en-GB"/>
        </w:rPr>
        <w:t xml:space="preserve">the </w:t>
      </w:r>
      <w:r w:rsidR="007C4A40" w:rsidRPr="00E915AA">
        <w:rPr>
          <w:rFonts w:ascii="Times New Roman" w:eastAsia="Calibri" w:hAnsi="Times New Roman" w:cs="Times New Roman"/>
          <w:sz w:val="24"/>
          <w:szCs w:val="24"/>
          <w:lang w:val="en-GB" w:eastAsia="en-GB"/>
        </w:rPr>
        <w:t>impacts of the JOBS Act on</w:t>
      </w:r>
      <w:r w:rsidRPr="00E915AA">
        <w:rPr>
          <w:rFonts w:ascii="Times New Roman" w:eastAsia="Calibri" w:hAnsi="Times New Roman" w:cs="Times New Roman"/>
          <w:sz w:val="24"/>
          <w:szCs w:val="24"/>
          <w:lang w:val="en-GB" w:eastAsia="en-GB"/>
        </w:rPr>
        <w:t xml:space="preserve"> earnings management in IPO </w:t>
      </w:r>
      <w:r w:rsidR="009E795B" w:rsidRPr="00E915AA">
        <w:rPr>
          <w:rFonts w:ascii="Times New Roman" w:eastAsia="Calibri" w:hAnsi="Times New Roman" w:cs="Times New Roman"/>
          <w:sz w:val="24"/>
          <w:szCs w:val="24"/>
          <w:lang w:val="en-GB" w:eastAsia="en-GB"/>
        </w:rPr>
        <w:t>filings</w:t>
      </w:r>
      <w:r w:rsidR="007C4A40" w:rsidRPr="00E915AA">
        <w:rPr>
          <w:rFonts w:ascii="Times New Roman" w:eastAsia="Calibri" w:hAnsi="Times New Roman" w:cs="Times New Roman"/>
          <w:sz w:val="24"/>
          <w:szCs w:val="24"/>
          <w:lang w:val="en-GB" w:eastAsia="en-GB"/>
        </w:rPr>
        <w:t xml:space="preserve"> are presented</w:t>
      </w:r>
      <w:r w:rsidR="00763850" w:rsidRPr="00E915AA">
        <w:rPr>
          <w:rFonts w:ascii="Times New Roman" w:eastAsia="Calibri" w:hAnsi="Times New Roman" w:cs="Times New Roman"/>
          <w:sz w:val="24"/>
          <w:szCs w:val="24"/>
          <w:lang w:val="en-GB" w:eastAsia="en-GB"/>
        </w:rPr>
        <w:t xml:space="preserve">, as </w:t>
      </w:r>
      <w:r w:rsidR="00F15B4F" w:rsidRPr="00E915AA">
        <w:rPr>
          <w:rFonts w:ascii="Times New Roman" w:eastAsia="Calibri" w:hAnsi="Times New Roman" w:cs="Times New Roman"/>
          <w:sz w:val="24"/>
          <w:szCs w:val="24"/>
          <w:lang w:val="en-GB" w:eastAsia="en-GB"/>
        </w:rPr>
        <w:t>per</w:t>
      </w:r>
      <w:r w:rsidR="00763850" w:rsidRPr="00E915AA">
        <w:rPr>
          <w:rFonts w:ascii="Times New Roman" w:eastAsia="Calibri" w:hAnsi="Times New Roman" w:cs="Times New Roman"/>
          <w:sz w:val="24"/>
          <w:szCs w:val="24"/>
          <w:lang w:val="en-GB" w:eastAsia="en-GB"/>
        </w:rPr>
        <w:t xml:space="preserve"> Equation 2</w:t>
      </w:r>
      <w:r w:rsidR="001804BF" w:rsidRPr="00E915AA">
        <w:rPr>
          <w:rFonts w:ascii="Times New Roman" w:eastAsia="Calibri" w:hAnsi="Times New Roman" w:cs="Times New Roman"/>
          <w:sz w:val="24"/>
          <w:szCs w:val="24"/>
          <w:lang w:val="en-GB" w:eastAsia="en-GB"/>
        </w:rPr>
        <w:t>.</w:t>
      </w:r>
      <w:r w:rsidR="00AB082F" w:rsidRPr="00E915AA">
        <w:rPr>
          <w:rStyle w:val="FootnoteReference"/>
          <w:rFonts w:ascii="Times New Roman" w:eastAsia="Calibri" w:hAnsi="Times New Roman" w:cs="Times New Roman"/>
          <w:sz w:val="24"/>
          <w:szCs w:val="24"/>
          <w:lang w:val="en-GB" w:eastAsia="en-GB"/>
        </w:rPr>
        <w:footnoteReference w:id="16"/>
      </w:r>
      <w:r w:rsidR="001804BF" w:rsidRPr="00E915AA">
        <w:rPr>
          <w:rFonts w:ascii="Times New Roman" w:eastAsia="Calibri" w:hAnsi="Times New Roman" w:cs="Times New Roman"/>
          <w:sz w:val="24"/>
          <w:szCs w:val="24"/>
          <w:lang w:val="en-GB" w:eastAsia="en-GB"/>
        </w:rPr>
        <w:t xml:space="preserve"> </w:t>
      </w:r>
      <w:r w:rsidR="001C6406" w:rsidRPr="00E915AA">
        <w:rPr>
          <w:rFonts w:ascii="Times New Roman" w:eastAsia="Calibri" w:hAnsi="Times New Roman" w:cs="Times New Roman"/>
          <w:sz w:val="24"/>
          <w:szCs w:val="24"/>
          <w:lang w:val="en-GB" w:eastAsia="en-GB"/>
        </w:rPr>
        <w:t>In model (1), (4) and (7), we use the signed values of EM proxies as dependent variables, while we use the absolute values of EM proxies in model</w:t>
      </w:r>
      <w:r w:rsidR="00520BBC" w:rsidRPr="00E915AA">
        <w:rPr>
          <w:rFonts w:ascii="Times New Roman" w:eastAsia="Calibri" w:hAnsi="Times New Roman" w:cs="Times New Roman"/>
          <w:sz w:val="24"/>
          <w:szCs w:val="24"/>
          <w:lang w:val="en-GB" w:eastAsia="en-GB"/>
        </w:rPr>
        <w:t>s</w:t>
      </w:r>
      <w:r w:rsidR="001C6406" w:rsidRPr="00E915AA">
        <w:rPr>
          <w:rFonts w:ascii="Times New Roman" w:eastAsia="Calibri" w:hAnsi="Times New Roman" w:cs="Times New Roman"/>
          <w:sz w:val="24"/>
          <w:szCs w:val="24"/>
          <w:lang w:val="en-GB" w:eastAsia="en-GB"/>
        </w:rPr>
        <w:t xml:space="preserve"> (2)</w:t>
      </w:r>
      <w:r w:rsidR="00B503E7" w:rsidRPr="00E915AA">
        <w:rPr>
          <w:rFonts w:ascii="Times New Roman" w:eastAsia="Calibri" w:hAnsi="Times New Roman" w:cs="Times New Roman"/>
          <w:sz w:val="24"/>
          <w:szCs w:val="24"/>
          <w:lang w:val="en-GB" w:eastAsia="en-GB"/>
        </w:rPr>
        <w:t xml:space="preserve"> - </w:t>
      </w:r>
      <w:r w:rsidR="001C6406" w:rsidRPr="00E915AA">
        <w:rPr>
          <w:rFonts w:ascii="Times New Roman" w:eastAsia="Calibri" w:hAnsi="Times New Roman" w:cs="Times New Roman"/>
          <w:sz w:val="24"/>
          <w:szCs w:val="24"/>
          <w:lang w:val="en-GB" w:eastAsia="en-GB"/>
        </w:rPr>
        <w:t>(3), (5)</w:t>
      </w:r>
      <w:r w:rsidR="00B503E7" w:rsidRPr="00E915AA">
        <w:rPr>
          <w:rFonts w:ascii="Times New Roman" w:eastAsia="Calibri" w:hAnsi="Times New Roman" w:cs="Times New Roman"/>
          <w:sz w:val="24"/>
          <w:szCs w:val="24"/>
          <w:lang w:val="en-GB" w:eastAsia="en-GB"/>
        </w:rPr>
        <w:t xml:space="preserve"> - </w:t>
      </w:r>
      <w:r w:rsidR="001C6406" w:rsidRPr="00E915AA">
        <w:rPr>
          <w:rFonts w:ascii="Times New Roman" w:eastAsia="Calibri" w:hAnsi="Times New Roman" w:cs="Times New Roman"/>
          <w:sz w:val="24"/>
          <w:szCs w:val="24"/>
          <w:lang w:val="en-GB" w:eastAsia="en-GB"/>
        </w:rPr>
        <w:t xml:space="preserve">(6), </w:t>
      </w:r>
      <w:r w:rsidR="00B503E7" w:rsidRPr="00E915AA">
        <w:rPr>
          <w:rFonts w:ascii="Times New Roman" w:eastAsia="Calibri" w:hAnsi="Times New Roman" w:cs="Times New Roman"/>
          <w:sz w:val="24"/>
          <w:szCs w:val="24"/>
          <w:lang w:val="en-GB" w:eastAsia="en-GB"/>
        </w:rPr>
        <w:t xml:space="preserve">and </w:t>
      </w:r>
      <w:r w:rsidR="001C6406" w:rsidRPr="00E915AA">
        <w:rPr>
          <w:rFonts w:ascii="Times New Roman" w:eastAsia="Calibri" w:hAnsi="Times New Roman" w:cs="Times New Roman"/>
          <w:sz w:val="24"/>
          <w:szCs w:val="24"/>
          <w:lang w:val="en-GB" w:eastAsia="en-GB"/>
        </w:rPr>
        <w:t xml:space="preserve">(8) </w:t>
      </w:r>
      <w:r w:rsidR="00B503E7" w:rsidRPr="00E915AA">
        <w:rPr>
          <w:rFonts w:ascii="Times New Roman" w:eastAsia="Calibri" w:hAnsi="Times New Roman" w:cs="Times New Roman"/>
          <w:sz w:val="24"/>
          <w:szCs w:val="24"/>
          <w:lang w:val="en-GB" w:eastAsia="en-GB"/>
        </w:rPr>
        <w:t>-</w:t>
      </w:r>
      <w:r w:rsidR="001C6406" w:rsidRPr="00E915AA">
        <w:rPr>
          <w:rFonts w:ascii="Times New Roman" w:eastAsia="Calibri" w:hAnsi="Times New Roman" w:cs="Times New Roman"/>
          <w:sz w:val="24"/>
          <w:szCs w:val="24"/>
          <w:lang w:val="en-GB" w:eastAsia="en-GB"/>
        </w:rPr>
        <w:t xml:space="preserve"> (9). </w:t>
      </w:r>
      <w:r w:rsidR="001C6406" w:rsidRPr="00E915AA">
        <w:rPr>
          <w:rFonts w:ascii="Times New Roman" w:eastAsia="Calibri" w:hAnsi="Times New Roman" w:cs="Times New Roman"/>
          <w:i/>
          <w:iCs/>
          <w:sz w:val="24"/>
          <w:szCs w:val="24"/>
          <w:lang w:val="en-GB" w:eastAsia="en-GB"/>
        </w:rPr>
        <w:t xml:space="preserve">JOBS Act </w:t>
      </w:r>
      <w:r w:rsidR="00C501D3" w:rsidRPr="00E915AA">
        <w:rPr>
          <w:rFonts w:ascii="Times New Roman" w:eastAsia="Calibri" w:hAnsi="Times New Roman" w:cs="Times New Roman"/>
          <w:sz w:val="24"/>
          <w:szCs w:val="24"/>
          <w:lang w:val="en-GB" w:eastAsia="en-GB"/>
        </w:rPr>
        <w:t>is found to have</w:t>
      </w:r>
      <w:r w:rsidR="001C6406" w:rsidRPr="00E915AA">
        <w:rPr>
          <w:rFonts w:ascii="Times New Roman" w:eastAsia="Calibri" w:hAnsi="Times New Roman" w:cs="Times New Roman"/>
          <w:sz w:val="24"/>
          <w:szCs w:val="24"/>
          <w:lang w:val="en-GB" w:eastAsia="en-GB"/>
        </w:rPr>
        <w:t xml:space="preserve"> no significant relationship with signed AEM (column 1) but </w:t>
      </w:r>
      <w:r w:rsidR="00C501D3" w:rsidRPr="00E915AA">
        <w:rPr>
          <w:rFonts w:ascii="Times New Roman" w:eastAsia="Calibri" w:hAnsi="Times New Roman" w:cs="Times New Roman"/>
          <w:sz w:val="24"/>
          <w:szCs w:val="24"/>
          <w:lang w:val="en-GB" w:eastAsia="en-GB"/>
        </w:rPr>
        <w:t xml:space="preserve">a </w:t>
      </w:r>
      <w:r w:rsidR="001C6406" w:rsidRPr="00E915AA">
        <w:rPr>
          <w:rFonts w:ascii="Times New Roman" w:eastAsia="Calibri" w:hAnsi="Times New Roman" w:cs="Times New Roman"/>
          <w:sz w:val="24"/>
          <w:szCs w:val="24"/>
          <w:lang w:val="en-GB" w:eastAsia="en-GB"/>
        </w:rPr>
        <w:t>positive relationship with the absolute value of AEM (column</w:t>
      </w:r>
      <w:r w:rsidR="00C501D3" w:rsidRPr="00E915AA">
        <w:rPr>
          <w:rFonts w:ascii="Times New Roman" w:eastAsia="Calibri" w:hAnsi="Times New Roman" w:cs="Times New Roman"/>
          <w:sz w:val="24"/>
          <w:szCs w:val="24"/>
          <w:lang w:val="en-GB" w:eastAsia="en-GB"/>
        </w:rPr>
        <w:t>s</w:t>
      </w:r>
      <w:r w:rsidR="001C6406" w:rsidRPr="00E915AA">
        <w:rPr>
          <w:rFonts w:ascii="Times New Roman" w:eastAsia="Calibri" w:hAnsi="Times New Roman" w:cs="Times New Roman"/>
          <w:sz w:val="24"/>
          <w:szCs w:val="24"/>
          <w:lang w:val="en-GB" w:eastAsia="en-GB"/>
        </w:rPr>
        <w:t xml:space="preserve"> (2) </w:t>
      </w:r>
      <w:r w:rsidR="00396C16" w:rsidRPr="00E915AA">
        <w:rPr>
          <w:rFonts w:ascii="Times New Roman" w:eastAsia="Calibri" w:hAnsi="Times New Roman" w:cs="Times New Roman"/>
          <w:sz w:val="24"/>
          <w:szCs w:val="24"/>
          <w:lang w:val="en-GB" w:eastAsia="en-GB"/>
        </w:rPr>
        <w:t>-</w:t>
      </w:r>
      <w:r w:rsidR="001C6406" w:rsidRPr="00E915AA">
        <w:rPr>
          <w:rFonts w:ascii="Times New Roman" w:eastAsia="Calibri" w:hAnsi="Times New Roman" w:cs="Times New Roman"/>
          <w:sz w:val="24"/>
          <w:szCs w:val="24"/>
          <w:lang w:val="en-GB" w:eastAsia="en-GB"/>
        </w:rPr>
        <w:t xml:space="preserve"> (3)), indicating that IPO</w:t>
      </w:r>
      <w:r w:rsidR="00DD6E14" w:rsidRPr="00E915AA">
        <w:rPr>
          <w:rFonts w:ascii="Times New Roman" w:eastAsia="Calibri" w:hAnsi="Times New Roman" w:cs="Times New Roman"/>
          <w:sz w:val="24"/>
          <w:szCs w:val="24"/>
          <w:lang w:val="en-GB" w:eastAsia="en-GB"/>
        </w:rPr>
        <w:t xml:space="preserve"> firm</w:t>
      </w:r>
      <w:r w:rsidR="001C6406" w:rsidRPr="00E915AA">
        <w:rPr>
          <w:rFonts w:ascii="Times New Roman" w:eastAsia="Calibri" w:hAnsi="Times New Roman" w:cs="Times New Roman"/>
          <w:sz w:val="24"/>
          <w:szCs w:val="24"/>
          <w:lang w:val="en-GB" w:eastAsia="en-GB"/>
        </w:rPr>
        <w:t xml:space="preserve">s manage earnings either upwards or downwards to a greater extent after the JOBS Act. Similarly, </w:t>
      </w:r>
      <w:r w:rsidR="00C501D3" w:rsidRPr="00E915AA">
        <w:rPr>
          <w:rFonts w:ascii="Times New Roman" w:eastAsia="Calibri" w:hAnsi="Times New Roman" w:cs="Times New Roman"/>
          <w:sz w:val="24"/>
          <w:szCs w:val="24"/>
          <w:lang w:val="en-GB" w:eastAsia="en-GB"/>
        </w:rPr>
        <w:t>we find</w:t>
      </w:r>
      <w:r w:rsidR="001C6406" w:rsidRPr="00E915AA">
        <w:rPr>
          <w:rFonts w:ascii="Times New Roman" w:eastAsia="Calibri" w:hAnsi="Times New Roman" w:cs="Times New Roman"/>
          <w:sz w:val="24"/>
          <w:szCs w:val="24"/>
          <w:lang w:val="en-GB" w:eastAsia="en-GB"/>
        </w:rPr>
        <w:t xml:space="preserve"> no significant relationship between </w:t>
      </w:r>
      <w:r w:rsidR="001C6406" w:rsidRPr="00E915AA">
        <w:rPr>
          <w:rFonts w:ascii="Times New Roman" w:eastAsia="Calibri" w:hAnsi="Times New Roman" w:cs="Times New Roman"/>
          <w:i/>
          <w:iCs/>
          <w:sz w:val="24"/>
          <w:szCs w:val="24"/>
          <w:lang w:val="en-GB" w:eastAsia="en-GB"/>
        </w:rPr>
        <w:t xml:space="preserve">JOBS Act </w:t>
      </w:r>
      <w:r w:rsidR="001C6406" w:rsidRPr="00E915AA">
        <w:rPr>
          <w:rFonts w:ascii="Times New Roman" w:eastAsia="Calibri" w:hAnsi="Times New Roman" w:cs="Times New Roman"/>
          <w:sz w:val="24"/>
          <w:szCs w:val="24"/>
          <w:lang w:val="en-GB" w:eastAsia="en-GB"/>
        </w:rPr>
        <w:t xml:space="preserve">and the signed discretionary expenses-based REM </w:t>
      </w:r>
      <w:r w:rsidR="00C501D3" w:rsidRPr="00E915AA">
        <w:rPr>
          <w:rFonts w:ascii="Times New Roman" w:eastAsia="Calibri" w:hAnsi="Times New Roman" w:cs="Times New Roman"/>
          <w:sz w:val="24"/>
          <w:szCs w:val="24"/>
          <w:lang w:val="en-GB" w:eastAsia="en-GB"/>
        </w:rPr>
        <w:t xml:space="preserve">measure </w:t>
      </w:r>
      <w:r w:rsidR="001C6406" w:rsidRPr="00E915AA">
        <w:rPr>
          <w:rFonts w:ascii="Times New Roman" w:eastAsia="Calibri" w:hAnsi="Times New Roman" w:cs="Times New Roman"/>
          <w:sz w:val="24"/>
          <w:szCs w:val="24"/>
          <w:lang w:val="en-GB" w:eastAsia="en-GB"/>
        </w:rPr>
        <w:t xml:space="preserve">(column (7)) but </w:t>
      </w:r>
      <w:r w:rsidR="00C501D3" w:rsidRPr="00E915AA">
        <w:rPr>
          <w:rFonts w:ascii="Times New Roman" w:eastAsia="Calibri" w:hAnsi="Times New Roman" w:cs="Times New Roman"/>
          <w:sz w:val="24"/>
          <w:szCs w:val="24"/>
          <w:lang w:val="en-GB" w:eastAsia="en-GB"/>
        </w:rPr>
        <w:t xml:space="preserve">do find a </w:t>
      </w:r>
      <w:r w:rsidR="001C6406" w:rsidRPr="00E915AA">
        <w:rPr>
          <w:rFonts w:ascii="Times New Roman" w:eastAsia="Calibri" w:hAnsi="Times New Roman" w:cs="Times New Roman"/>
          <w:sz w:val="24"/>
          <w:szCs w:val="24"/>
          <w:lang w:val="en-GB" w:eastAsia="en-GB"/>
        </w:rPr>
        <w:t xml:space="preserve">positive relationship between </w:t>
      </w:r>
      <w:r w:rsidR="001C6406" w:rsidRPr="00E915AA">
        <w:rPr>
          <w:rFonts w:ascii="Times New Roman" w:eastAsia="Calibri" w:hAnsi="Times New Roman" w:cs="Times New Roman"/>
          <w:i/>
          <w:iCs/>
          <w:sz w:val="24"/>
          <w:szCs w:val="24"/>
          <w:lang w:val="en-GB" w:eastAsia="en-GB"/>
        </w:rPr>
        <w:t xml:space="preserve">JOBS Act </w:t>
      </w:r>
      <w:r w:rsidR="001C6406" w:rsidRPr="00E915AA">
        <w:rPr>
          <w:rFonts w:ascii="Times New Roman" w:eastAsia="Calibri" w:hAnsi="Times New Roman" w:cs="Times New Roman"/>
          <w:sz w:val="24"/>
          <w:szCs w:val="24"/>
          <w:lang w:val="en-GB" w:eastAsia="en-GB"/>
        </w:rPr>
        <w:t xml:space="preserve">and </w:t>
      </w:r>
      <w:r w:rsidR="00520BBC" w:rsidRPr="00E915AA">
        <w:rPr>
          <w:rFonts w:ascii="Times New Roman" w:eastAsia="Calibri" w:hAnsi="Times New Roman" w:cs="Times New Roman"/>
          <w:sz w:val="24"/>
          <w:szCs w:val="24"/>
          <w:lang w:val="en-GB" w:eastAsia="en-GB"/>
        </w:rPr>
        <w:t>its</w:t>
      </w:r>
      <w:r w:rsidR="001C6406" w:rsidRPr="00E915AA">
        <w:rPr>
          <w:rFonts w:ascii="Times New Roman" w:eastAsia="Calibri" w:hAnsi="Times New Roman" w:cs="Times New Roman"/>
          <w:sz w:val="24"/>
          <w:szCs w:val="24"/>
          <w:lang w:val="en-GB" w:eastAsia="en-GB"/>
        </w:rPr>
        <w:t xml:space="preserve"> absolute value (column</w:t>
      </w:r>
      <w:r w:rsidR="00C03C2A" w:rsidRPr="00E915AA">
        <w:rPr>
          <w:rFonts w:ascii="Times New Roman" w:eastAsia="Calibri" w:hAnsi="Times New Roman" w:cs="Times New Roman"/>
          <w:sz w:val="24"/>
          <w:szCs w:val="24"/>
          <w:lang w:val="en-GB" w:eastAsia="en-GB"/>
        </w:rPr>
        <w:t>s</w:t>
      </w:r>
      <w:r w:rsidR="001C6406" w:rsidRPr="00E915AA">
        <w:rPr>
          <w:rFonts w:ascii="Times New Roman" w:eastAsia="Calibri" w:hAnsi="Times New Roman" w:cs="Times New Roman"/>
          <w:sz w:val="24"/>
          <w:szCs w:val="24"/>
          <w:lang w:val="en-GB" w:eastAsia="en-GB"/>
        </w:rPr>
        <w:t xml:space="preserve"> (8) </w:t>
      </w:r>
      <w:r w:rsidR="00396C16" w:rsidRPr="00E915AA">
        <w:rPr>
          <w:rFonts w:ascii="Times New Roman" w:eastAsia="Calibri" w:hAnsi="Times New Roman" w:cs="Times New Roman"/>
          <w:sz w:val="24"/>
          <w:szCs w:val="24"/>
          <w:lang w:val="en-GB" w:eastAsia="en-GB"/>
        </w:rPr>
        <w:t>-</w:t>
      </w:r>
      <w:r w:rsidR="001C6406" w:rsidRPr="00E915AA">
        <w:rPr>
          <w:rFonts w:ascii="Times New Roman" w:eastAsia="Calibri" w:hAnsi="Times New Roman" w:cs="Times New Roman"/>
          <w:sz w:val="24"/>
          <w:szCs w:val="24"/>
          <w:lang w:val="en-GB" w:eastAsia="en-GB"/>
        </w:rPr>
        <w:t xml:space="preserve"> (9)). As for sales-based REM, the results </w:t>
      </w:r>
      <w:r w:rsidR="000340CB" w:rsidRPr="00E915AA">
        <w:rPr>
          <w:rFonts w:ascii="Times New Roman" w:eastAsia="Calibri" w:hAnsi="Times New Roman" w:cs="Times New Roman"/>
          <w:sz w:val="24"/>
          <w:szCs w:val="24"/>
          <w:lang w:val="en-GB" w:eastAsia="en-GB"/>
        </w:rPr>
        <w:t>show</w:t>
      </w:r>
      <w:r w:rsidR="001C6406" w:rsidRPr="00E915AA">
        <w:rPr>
          <w:rFonts w:ascii="Times New Roman" w:eastAsia="Calibri" w:hAnsi="Times New Roman" w:cs="Times New Roman"/>
          <w:sz w:val="24"/>
          <w:szCs w:val="24"/>
          <w:lang w:val="en-GB" w:eastAsia="en-GB"/>
        </w:rPr>
        <w:t xml:space="preserve"> </w:t>
      </w:r>
      <w:r w:rsidR="001C6406" w:rsidRPr="00E915AA">
        <w:rPr>
          <w:rFonts w:ascii="Times New Roman" w:eastAsia="Calibri" w:hAnsi="Times New Roman" w:cs="Times New Roman"/>
          <w:i/>
          <w:iCs/>
          <w:sz w:val="24"/>
          <w:szCs w:val="24"/>
          <w:lang w:val="en-GB" w:eastAsia="en-GB"/>
        </w:rPr>
        <w:t>JOBS Act</w:t>
      </w:r>
      <w:r w:rsidR="001C6406" w:rsidRPr="00E915AA">
        <w:rPr>
          <w:rFonts w:ascii="Times New Roman" w:eastAsia="Calibri" w:hAnsi="Times New Roman" w:cs="Times New Roman"/>
          <w:sz w:val="24"/>
          <w:szCs w:val="24"/>
          <w:lang w:val="en-GB" w:eastAsia="en-GB"/>
        </w:rPr>
        <w:t xml:space="preserve"> is negatively associated with the signed </w:t>
      </w:r>
      <w:r w:rsidR="008E25B1" w:rsidRPr="00E915AA">
        <w:rPr>
          <w:rFonts w:ascii="Times New Roman" w:eastAsia="Calibri" w:hAnsi="Times New Roman" w:cs="Times New Roman"/>
          <w:sz w:val="24"/>
          <w:szCs w:val="24"/>
          <w:lang w:val="en-GB" w:eastAsia="en-GB"/>
        </w:rPr>
        <w:t>measure</w:t>
      </w:r>
      <w:r w:rsidR="001C6406" w:rsidRPr="00E915AA">
        <w:rPr>
          <w:rFonts w:ascii="Times New Roman" w:eastAsia="Calibri" w:hAnsi="Times New Roman" w:cs="Times New Roman"/>
          <w:sz w:val="24"/>
          <w:szCs w:val="24"/>
          <w:lang w:val="en-GB" w:eastAsia="en-GB"/>
        </w:rPr>
        <w:t xml:space="preserve"> (column (4)) </w:t>
      </w:r>
      <w:r w:rsidR="008E25B1" w:rsidRPr="00E915AA">
        <w:rPr>
          <w:rFonts w:ascii="Times New Roman" w:eastAsia="Calibri" w:hAnsi="Times New Roman" w:cs="Times New Roman"/>
          <w:sz w:val="24"/>
          <w:szCs w:val="24"/>
          <w:lang w:val="en-GB" w:eastAsia="en-GB"/>
        </w:rPr>
        <w:t>and</w:t>
      </w:r>
      <w:r w:rsidR="000340CB" w:rsidRPr="00E915AA">
        <w:rPr>
          <w:rFonts w:ascii="Times New Roman" w:eastAsia="Calibri" w:hAnsi="Times New Roman" w:cs="Times New Roman"/>
          <w:sz w:val="24"/>
          <w:szCs w:val="24"/>
          <w:lang w:val="en-GB" w:eastAsia="en-GB"/>
        </w:rPr>
        <w:t xml:space="preserve"> some evidence of a positive relation </w:t>
      </w:r>
      <w:r w:rsidR="008E25B1" w:rsidRPr="00E915AA">
        <w:rPr>
          <w:rFonts w:ascii="Times New Roman" w:eastAsia="Calibri" w:hAnsi="Times New Roman" w:cs="Times New Roman"/>
          <w:sz w:val="24"/>
          <w:szCs w:val="24"/>
          <w:lang w:val="en-GB" w:eastAsia="en-GB"/>
        </w:rPr>
        <w:t>with</w:t>
      </w:r>
      <w:r w:rsidR="000340CB" w:rsidRPr="00E915AA">
        <w:rPr>
          <w:rFonts w:ascii="Times New Roman" w:eastAsia="Calibri" w:hAnsi="Times New Roman" w:cs="Times New Roman"/>
          <w:sz w:val="24"/>
          <w:szCs w:val="24"/>
          <w:lang w:val="en-GB" w:eastAsia="en-GB"/>
        </w:rPr>
        <w:t xml:space="preserve"> the absolute value (Column (5)), although the coefficient on JOBS Act </w:t>
      </w:r>
      <w:r w:rsidR="00BA2B2F" w:rsidRPr="00E915AA">
        <w:rPr>
          <w:rFonts w:ascii="Times New Roman" w:eastAsia="Calibri" w:hAnsi="Times New Roman" w:cs="Times New Roman"/>
          <w:sz w:val="24"/>
          <w:szCs w:val="24"/>
          <w:lang w:val="en-GB" w:eastAsia="en-GB"/>
        </w:rPr>
        <w:t>is</w:t>
      </w:r>
      <w:r w:rsidR="000340CB" w:rsidRPr="00E915AA">
        <w:rPr>
          <w:rFonts w:ascii="Times New Roman" w:eastAsia="Calibri" w:hAnsi="Times New Roman" w:cs="Times New Roman"/>
          <w:sz w:val="24"/>
          <w:szCs w:val="24"/>
          <w:lang w:val="en-GB" w:eastAsia="en-GB"/>
        </w:rPr>
        <w:t xml:space="preserve"> marginally insignificant in Column (6)</w:t>
      </w:r>
      <w:r w:rsidR="002164F4" w:rsidRPr="00E915AA">
        <w:rPr>
          <w:rFonts w:ascii="Times New Roman" w:eastAsia="Calibri" w:hAnsi="Times New Roman" w:cs="Times New Roman"/>
          <w:sz w:val="24"/>
          <w:szCs w:val="24"/>
          <w:lang w:val="en-GB" w:eastAsia="en-GB"/>
        </w:rPr>
        <w:t>; the overall implication being</w:t>
      </w:r>
      <w:r w:rsidR="004F5767" w:rsidRPr="00E915AA">
        <w:rPr>
          <w:rFonts w:ascii="Times New Roman" w:eastAsia="Calibri" w:hAnsi="Times New Roman" w:cs="Times New Roman"/>
          <w:sz w:val="24"/>
          <w:szCs w:val="24"/>
          <w:lang w:val="en-GB" w:eastAsia="en-GB"/>
        </w:rPr>
        <w:t xml:space="preserve"> that </w:t>
      </w:r>
      <w:r w:rsidR="003A770F" w:rsidRPr="00E915AA">
        <w:rPr>
          <w:rFonts w:ascii="Times New Roman" w:eastAsia="Calibri" w:hAnsi="Times New Roman" w:cs="Times New Roman"/>
          <w:sz w:val="24"/>
          <w:szCs w:val="24"/>
          <w:lang w:val="en-GB" w:eastAsia="en-GB"/>
        </w:rPr>
        <w:t>IPO</w:t>
      </w:r>
      <w:r w:rsidR="00236537" w:rsidRPr="00E915AA">
        <w:rPr>
          <w:rFonts w:ascii="Times New Roman" w:eastAsia="Calibri" w:hAnsi="Times New Roman" w:cs="Times New Roman"/>
          <w:sz w:val="24"/>
          <w:szCs w:val="24"/>
          <w:lang w:val="en-GB" w:eastAsia="en-GB"/>
        </w:rPr>
        <w:t xml:space="preserve"> firm</w:t>
      </w:r>
      <w:r w:rsidR="003A770F" w:rsidRPr="00E915AA">
        <w:rPr>
          <w:rFonts w:ascii="Times New Roman" w:eastAsia="Calibri" w:hAnsi="Times New Roman" w:cs="Times New Roman"/>
          <w:sz w:val="24"/>
          <w:szCs w:val="24"/>
          <w:lang w:val="en-GB" w:eastAsia="en-GB"/>
        </w:rPr>
        <w:t>s</w:t>
      </w:r>
      <w:r w:rsidR="004A787B" w:rsidRPr="00E915AA">
        <w:rPr>
          <w:rFonts w:ascii="Times New Roman" w:eastAsia="Calibri" w:hAnsi="Times New Roman" w:cs="Times New Roman"/>
          <w:sz w:val="24"/>
          <w:szCs w:val="24"/>
          <w:lang w:val="en-GB" w:eastAsia="en-GB"/>
        </w:rPr>
        <w:t xml:space="preserve"> appear, to an extent,</w:t>
      </w:r>
      <w:r w:rsidR="003A770F" w:rsidRPr="00E915AA">
        <w:rPr>
          <w:rFonts w:ascii="Times New Roman" w:eastAsia="Calibri" w:hAnsi="Times New Roman" w:cs="Times New Roman"/>
          <w:sz w:val="24"/>
          <w:szCs w:val="24"/>
          <w:lang w:val="en-GB" w:eastAsia="en-GB"/>
        </w:rPr>
        <w:t xml:space="preserve"> </w:t>
      </w:r>
      <w:r w:rsidR="004A787B" w:rsidRPr="00E915AA">
        <w:rPr>
          <w:rFonts w:ascii="Times New Roman" w:eastAsia="Calibri" w:hAnsi="Times New Roman" w:cs="Times New Roman"/>
          <w:sz w:val="24"/>
          <w:szCs w:val="24"/>
          <w:lang w:val="en-GB" w:eastAsia="en-GB"/>
        </w:rPr>
        <w:t xml:space="preserve">to </w:t>
      </w:r>
      <w:r w:rsidR="003A770F" w:rsidRPr="00E915AA">
        <w:rPr>
          <w:rFonts w:ascii="Times New Roman" w:eastAsia="Calibri" w:hAnsi="Times New Roman" w:cs="Times New Roman"/>
          <w:sz w:val="24"/>
          <w:szCs w:val="24"/>
          <w:lang w:val="en-GB" w:eastAsia="en-GB"/>
        </w:rPr>
        <w:t xml:space="preserve">engage </w:t>
      </w:r>
      <w:r w:rsidR="00C831CC" w:rsidRPr="00E915AA">
        <w:rPr>
          <w:rFonts w:ascii="Times New Roman" w:eastAsia="Calibri" w:hAnsi="Times New Roman" w:cs="Times New Roman"/>
          <w:sz w:val="24"/>
          <w:szCs w:val="24"/>
          <w:lang w:val="en-GB" w:eastAsia="en-GB"/>
        </w:rPr>
        <w:t xml:space="preserve">in </w:t>
      </w:r>
      <w:r w:rsidR="003A770F" w:rsidRPr="00E915AA">
        <w:rPr>
          <w:rFonts w:ascii="Times New Roman" w:eastAsia="Calibri" w:hAnsi="Times New Roman" w:cs="Times New Roman"/>
          <w:sz w:val="24"/>
          <w:szCs w:val="24"/>
          <w:lang w:val="en-GB" w:eastAsia="en-GB"/>
        </w:rPr>
        <w:t xml:space="preserve">more </w:t>
      </w:r>
      <w:r w:rsidR="0073176B" w:rsidRPr="00E915AA">
        <w:rPr>
          <w:rFonts w:ascii="Times New Roman" w:eastAsia="Calibri" w:hAnsi="Times New Roman" w:cs="Times New Roman"/>
          <w:sz w:val="24"/>
          <w:szCs w:val="24"/>
          <w:lang w:val="en-GB" w:eastAsia="en-GB"/>
        </w:rPr>
        <w:t>upward</w:t>
      </w:r>
      <w:r w:rsidR="003A770F" w:rsidRPr="00E915AA">
        <w:rPr>
          <w:rFonts w:ascii="Times New Roman" w:eastAsia="Calibri" w:hAnsi="Times New Roman" w:cs="Times New Roman"/>
          <w:sz w:val="24"/>
          <w:szCs w:val="24"/>
          <w:lang w:val="en-GB" w:eastAsia="en-GB"/>
        </w:rPr>
        <w:t xml:space="preserve"> </w:t>
      </w:r>
      <w:r w:rsidR="003E6C26" w:rsidRPr="00E915AA">
        <w:rPr>
          <w:rFonts w:ascii="Times New Roman" w:eastAsia="Calibri" w:hAnsi="Times New Roman" w:cs="Times New Roman"/>
          <w:sz w:val="24"/>
          <w:szCs w:val="24"/>
          <w:lang w:val="en-GB" w:eastAsia="en-GB"/>
        </w:rPr>
        <w:t xml:space="preserve">sales-based </w:t>
      </w:r>
      <w:r w:rsidR="003A770F" w:rsidRPr="00E915AA">
        <w:rPr>
          <w:rFonts w:ascii="Times New Roman" w:eastAsia="Calibri" w:hAnsi="Times New Roman" w:cs="Times New Roman"/>
          <w:sz w:val="24"/>
          <w:szCs w:val="24"/>
          <w:lang w:val="en-GB" w:eastAsia="en-GB"/>
        </w:rPr>
        <w:t xml:space="preserve">earnings management </w:t>
      </w:r>
      <w:r w:rsidR="004A787B" w:rsidRPr="00E915AA">
        <w:rPr>
          <w:rFonts w:ascii="Times New Roman" w:eastAsia="Calibri" w:hAnsi="Times New Roman" w:cs="Times New Roman"/>
          <w:sz w:val="24"/>
          <w:szCs w:val="24"/>
          <w:lang w:val="en-GB" w:eastAsia="en-GB"/>
        </w:rPr>
        <w:t xml:space="preserve">under the </w:t>
      </w:r>
      <w:r w:rsidR="003A770F" w:rsidRPr="00E915AA">
        <w:rPr>
          <w:rFonts w:ascii="Times New Roman" w:eastAsia="Calibri" w:hAnsi="Times New Roman" w:cs="Times New Roman"/>
          <w:sz w:val="24"/>
          <w:szCs w:val="24"/>
          <w:lang w:val="en-GB" w:eastAsia="en-GB"/>
        </w:rPr>
        <w:t>Act</w:t>
      </w:r>
      <w:r w:rsidR="000E586D" w:rsidRPr="00E915AA">
        <w:rPr>
          <w:rFonts w:ascii="Times New Roman" w:eastAsia="Calibri" w:hAnsi="Times New Roman" w:cs="Times New Roman"/>
          <w:sz w:val="24"/>
          <w:szCs w:val="24"/>
          <w:lang w:val="en-GB" w:eastAsia="en-GB"/>
        </w:rPr>
        <w:t>.</w:t>
      </w:r>
      <w:r w:rsidR="0073176B" w:rsidRPr="00E915AA">
        <w:rPr>
          <w:rFonts w:ascii="Times New Roman" w:eastAsia="Calibri" w:hAnsi="Times New Roman" w:cs="Times New Roman"/>
          <w:sz w:val="24"/>
          <w:szCs w:val="24"/>
          <w:lang w:val="en-GB" w:eastAsia="en-GB"/>
        </w:rPr>
        <w:t xml:space="preserve"> </w:t>
      </w:r>
      <w:r w:rsidR="004F5767" w:rsidRPr="00E915AA">
        <w:rPr>
          <w:rFonts w:ascii="Times New Roman" w:eastAsia="Calibri" w:hAnsi="Times New Roman" w:cs="Times New Roman"/>
          <w:sz w:val="24"/>
          <w:szCs w:val="24"/>
          <w:lang w:val="en-GB" w:eastAsia="en-GB"/>
        </w:rPr>
        <w:t xml:space="preserve">The findings </w:t>
      </w:r>
      <w:r w:rsidR="00E34F6E" w:rsidRPr="00E915AA">
        <w:rPr>
          <w:rFonts w:ascii="Times New Roman" w:eastAsia="Calibri" w:hAnsi="Times New Roman" w:cs="Times New Roman"/>
          <w:sz w:val="24"/>
          <w:szCs w:val="24"/>
          <w:lang w:val="en-GB" w:eastAsia="en-GB"/>
        </w:rPr>
        <w:t>of generally increased</w:t>
      </w:r>
      <w:r w:rsidR="00AE4DC8" w:rsidRPr="00E915AA">
        <w:rPr>
          <w:rFonts w:ascii="Times New Roman" w:eastAsia="Calibri" w:hAnsi="Times New Roman" w:cs="Times New Roman"/>
          <w:sz w:val="24"/>
          <w:szCs w:val="24"/>
          <w:lang w:val="en-GB" w:eastAsia="en-GB"/>
        </w:rPr>
        <w:t xml:space="preserve"> earnings management under the JOBS Act </w:t>
      </w:r>
      <w:r w:rsidR="004F5767" w:rsidRPr="00E915AA">
        <w:rPr>
          <w:rFonts w:ascii="Times New Roman" w:eastAsia="Calibri" w:hAnsi="Times New Roman" w:cs="Times New Roman"/>
          <w:sz w:val="24"/>
          <w:szCs w:val="24"/>
          <w:lang w:val="en-GB" w:eastAsia="en-GB"/>
        </w:rPr>
        <w:t xml:space="preserve">are in line with </w:t>
      </w:r>
      <w:r w:rsidR="00430304" w:rsidRPr="00E915AA">
        <w:rPr>
          <w:rFonts w:ascii="Times New Roman" w:eastAsia="Calibri" w:hAnsi="Times New Roman" w:cs="Times New Roman"/>
          <w:sz w:val="24"/>
          <w:szCs w:val="24"/>
          <w:lang w:val="en-GB" w:eastAsia="en-GB"/>
        </w:rPr>
        <w:t>arguments</w:t>
      </w:r>
      <w:r w:rsidR="004F5767" w:rsidRPr="00E915AA">
        <w:rPr>
          <w:rFonts w:ascii="Times New Roman" w:eastAsia="Calibri" w:hAnsi="Times New Roman" w:cs="Times New Roman"/>
          <w:sz w:val="24"/>
          <w:szCs w:val="24"/>
          <w:lang w:val="en-GB" w:eastAsia="en-GB"/>
        </w:rPr>
        <w:t xml:space="preserve"> that </w:t>
      </w:r>
      <w:r w:rsidR="00B921D2" w:rsidRPr="00E915AA">
        <w:rPr>
          <w:rFonts w:ascii="Times New Roman" w:eastAsia="Calibri" w:hAnsi="Times New Roman" w:cs="Times New Roman"/>
          <w:sz w:val="24"/>
          <w:szCs w:val="24"/>
          <w:lang w:val="en-GB" w:eastAsia="en-GB"/>
        </w:rPr>
        <w:t xml:space="preserve">its </w:t>
      </w:r>
      <w:r w:rsidR="004F5767" w:rsidRPr="00E915AA">
        <w:rPr>
          <w:rFonts w:ascii="Times New Roman" w:eastAsia="Calibri" w:hAnsi="Times New Roman" w:cs="Times New Roman"/>
          <w:sz w:val="24"/>
          <w:szCs w:val="24"/>
          <w:lang w:val="en-GB" w:eastAsia="en-GB"/>
        </w:rPr>
        <w:t xml:space="preserve">enactment exacerbated information problems in the </w:t>
      </w:r>
      <w:r w:rsidR="00855EC5" w:rsidRPr="00E915AA">
        <w:rPr>
          <w:rFonts w:ascii="Times New Roman" w:eastAsia="Calibri" w:hAnsi="Times New Roman" w:cs="Times New Roman"/>
          <w:sz w:val="24"/>
          <w:szCs w:val="24"/>
          <w:lang w:val="en-GB" w:eastAsia="en-GB"/>
        </w:rPr>
        <w:t>US</w:t>
      </w:r>
      <w:r w:rsidR="004F5767" w:rsidRPr="00E915AA">
        <w:rPr>
          <w:rFonts w:ascii="Times New Roman" w:eastAsia="Calibri" w:hAnsi="Times New Roman" w:cs="Times New Roman"/>
          <w:sz w:val="24"/>
          <w:szCs w:val="24"/>
          <w:lang w:val="en-GB" w:eastAsia="en-GB"/>
        </w:rPr>
        <w:t xml:space="preserve"> capital markets </w:t>
      </w:r>
      <w:r w:rsidR="004F5767" w:rsidRPr="00E915AA">
        <w:rPr>
          <w:rFonts w:ascii="Times New Roman" w:eastAsia="Yu Mincho" w:hAnsi="Times New Roman" w:cs="Times New Roman"/>
          <w:sz w:val="24"/>
          <w:szCs w:val="24"/>
          <w:lang w:val="en-GB" w:eastAsia="en-GB"/>
        </w:rPr>
        <w:fldChar w:fldCharType="begin" w:fldLock="1"/>
      </w:r>
      <w:r w:rsidR="004F5767" w:rsidRPr="00E915AA">
        <w:rPr>
          <w:rFonts w:ascii="Times New Roman" w:eastAsia="Yu Mincho" w:hAnsi="Times New Roman" w:cs="Times New Roman"/>
          <w:sz w:val="24"/>
          <w:szCs w:val="24"/>
          <w:lang w:val="en-GB" w:eastAsia="en-GB"/>
        </w:rPr>
        <w:instrText>ADDIN CSL_CITATION {"citationItems":[{"id":"ITEM-1","itemData":{"author":[{"dropping-particle":"","family":"Agarwal","given":"S.","non-dropping-particle":"","parse-names":false,"suffix":""},{"dropping-particle":"","family":"Gupta","given":"S.","non-dropping-particle":"","parse-names":false,"suffix":""},{"dropping-particle":"","family":"Israelsen","given":"R. D.","non-dropping-particle":"","parse-names":false,"suffix":""}],"container-title":"Kelley School of Business Research Paper No. 17-4","id":"ITEM-1","issued":{"date-parts":[["2017"]]},"title":"Public and private information: Firm disclosure, SEC letters, and the JOBS Act","type":"article-journal"},"uris":["http://www.mendeley.com/documents/?uuid=3e33ca0d-33d1-4254-82ac-0ff3e8a888b2"]},{"id":"ITEM-2","itemData":{"author":[{"dropping-particle":"","family":"Barth","given":"M. E.","non-dropping-particle":"","parse-names":false,"suffix":""},{"dropping-particle":"","family":"Landsman","given":"W. R.","non-dropping-particle":"","parse-names":false,"suffix":""},{"dropping-particle":"","family":"Taylor","given":"D.J.","non-dropping-particle":"","parse-names":false,"suffix":""}],"container-title":"The Accounting Review","id":"ITEM-2","issue":"6","issued":{"date-parts":[["2017"]]},"page":"25-47","title":"The JOBS Act and information uncertainty in IPO firms","type":"article-journal","volume":"92"},"uris":["http://www.mendeley.com/documents/?uuid=6e1b582f-a318-44b3-9c2a-52274233fd46"]},{"id":"ITEM-3","itemData":{"ISSN":"1475679X","abstract":"We examine the effects of Title I of the Jumpstart Our Business Startups Act (JOBS) for a sample of 213 EGC IPOs issued between April 5, 2012 and April 30, 2014. We show no reduction in the direct costs of issuance, accounting, legal, or underwriting fees, for EGC IPOs. Further, the indirect cost of issuance, underpricing, is significantly higher for EGCs than other IPOs. More importantly, greater underpricing is present only for larger firms that were not previously eligible for scaled disclosure under Regulation S-K. EGCs that are more definitive about their intentions to use the provisions of the Act have lower underpricing than those that are ambiguous. Finally, we find no increase in IPO volume after the Act. Overall, we find little evidence that the Act has initially been effective in achieving its main objectives and conclude that there are significant consequences to extending scaled disclosure to larger issuers.","author":[{"dropping-particle":"","family":"Chaplinsky","given":"Susan","non-dropping-particle":"","parse-names":false,"suffix":""},{"dropping-particle":"","family":"Hanley","given":"Kathleen Weiss","non-dropping-particle":"","parse-names":false,"suffix":""},{"dropping-particle":"","family":"Moon","given":"S. Katie","non-dropping-particle":"","parse-names":false,"suffix":""}],"container-title":"Journal of Accounting Research","id":"ITEM-3","issue":"4","issued":{"date-parts":[["2017"]]},"page":"795-836","title":"The JOBS Act and the costs of going public","type":"article-journal","volume":"55"},"uris":["http://www.mendeley.com/documents/?uuid=3695e7dd-d3b0-4cad-9f96-85adfdfb0789"]},{"id":"ITEM-4","itemData":{"abstract":"This paper evaluates the impact of the recently passed JOBS Act on IPO outcomes. A significant number of IPO firms use provisions of this act. Using the JOBS Act as a natural experiment on firms’ choices of the optimal mix of hard and soft information, we find that relative to a peer group of firms, (1) IPO firms choose a different mix of hard and soft information, (2) the non-disclosure of certain hard information does not lead to increased cost of capital, and (3) the choice of soft information reduces underpricing by about 2.7% and bid-ask spreads by about 1 cent. We also find that (4) the SEC changes its behavior post-JOBS Act in responding to firms’ draft registration statements and (5) investors react differently to changes in firms’ hard and soft information and SEC comments in terms of the probability of informed trading (PIN). A one standard deviation increase in a proxy for the winner’s curse from the SEC’s signal increases underpricing by about 5.3%. Overall, the results document an optimal mix of hard and soft information","author":[{"dropping-particle":"","family":"Gupta","given":"S.","non-dropping-particle":"","parse-names":false,"suffix":""},{"dropping-particle":"","family":"Israelsen","given":"R. D.","non-dropping-particle":"","parse-names":false,"suffix":""}],"container-title":"Working paper","id":"ITEM-4","issued":{"date-parts":[["2015"]]},"title":"Hard and Soft Information : Firm Disclosure , SEC Letters , and the JOBS Act","type":"article-journal"},"uris":["http://www.mendeley.com/documents/?uuid=6baba050-b3e8-44c4-8786-0000c5d0353a"]}],"mendeley":{"formattedCitation":"(Agarwal et al., 2017; Barth et al., 2017; Chaplinsky et al., 2017; Gupta &amp; Israelsen, 2015)","manualFormatting":"(Agarwal et al., 2017; Barth et al., 2017; Chaplinsky et al., 2017)","plainTextFormattedCitation":"(Agarwal et al., 2017; Barth et al., 2017; Chaplinsky et al., 2017; Gupta &amp; Israelsen, 2015)","previouslyFormattedCitation":"(Agarwal et al., 2017; Barth et al., 2017; Chaplinsky et al., 2017; Gupta &amp; Israelsen, 2015)"},"properties":{"noteIndex":0},"schema":"https://github.com/citation-style-language/schema/raw/master/csl-citation.json"}</w:instrText>
      </w:r>
      <w:r w:rsidR="004F5767" w:rsidRPr="00E915AA">
        <w:rPr>
          <w:rFonts w:ascii="Times New Roman" w:eastAsia="Yu Mincho" w:hAnsi="Times New Roman" w:cs="Times New Roman"/>
          <w:sz w:val="24"/>
          <w:szCs w:val="24"/>
          <w:lang w:val="en-GB" w:eastAsia="en-GB"/>
        </w:rPr>
        <w:fldChar w:fldCharType="separate"/>
      </w:r>
      <w:r w:rsidR="004F5767" w:rsidRPr="00E915AA">
        <w:rPr>
          <w:rFonts w:ascii="Times New Roman" w:eastAsia="Yu Mincho" w:hAnsi="Times New Roman" w:cs="Times New Roman"/>
          <w:noProof/>
          <w:sz w:val="24"/>
          <w:szCs w:val="24"/>
          <w:lang w:val="en-GB" w:eastAsia="en-GB"/>
        </w:rPr>
        <w:t>(Agarwal et al., 2017; Barth et al., 2017; Chaplinsky et al., 2017)</w:t>
      </w:r>
      <w:r w:rsidR="004F5767" w:rsidRPr="00E915AA">
        <w:rPr>
          <w:rFonts w:ascii="Times New Roman" w:eastAsia="Yu Mincho" w:hAnsi="Times New Roman" w:cs="Times New Roman"/>
          <w:sz w:val="24"/>
          <w:szCs w:val="24"/>
          <w:lang w:val="en-GB" w:eastAsia="en-GB"/>
        </w:rPr>
        <w:fldChar w:fldCharType="end"/>
      </w:r>
      <w:r w:rsidR="004F5767" w:rsidRPr="00E915AA">
        <w:rPr>
          <w:rFonts w:ascii="Times New Roman" w:eastAsia="Yu Mincho" w:hAnsi="Times New Roman" w:cs="Times New Roman"/>
          <w:sz w:val="24"/>
          <w:szCs w:val="24"/>
          <w:lang w:val="en-GB" w:eastAsia="en-GB"/>
        </w:rPr>
        <w:t>.</w:t>
      </w:r>
    </w:p>
    <w:p w14:paraId="4E5DDD38" w14:textId="6F847A95" w:rsidR="008B5C40" w:rsidRPr="00E915AA" w:rsidRDefault="008B5C40" w:rsidP="008B5C40">
      <w:pPr>
        <w:spacing w:before="240" w:after="240" w:line="360" w:lineRule="auto"/>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[Insert Table 5 about here]</w:t>
      </w:r>
    </w:p>
    <w:p w14:paraId="6A569826" w14:textId="79AF4EE5" w:rsidR="00B62C2F" w:rsidRPr="00E915AA" w:rsidRDefault="007139B4" w:rsidP="00E736AD">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R</w:t>
      </w:r>
      <w:r w:rsidR="002C6719" w:rsidRPr="00E915AA">
        <w:rPr>
          <w:rFonts w:ascii="Times New Roman" w:eastAsia="Calibri" w:hAnsi="Times New Roman" w:cs="Times New Roman"/>
          <w:sz w:val="24"/>
          <w:szCs w:val="24"/>
          <w:lang w:val="en-GB" w:eastAsia="en-GB"/>
        </w:rPr>
        <w:t xml:space="preserve">esults </w:t>
      </w:r>
      <w:r w:rsidRPr="00E915AA">
        <w:rPr>
          <w:rFonts w:ascii="Times New Roman" w:eastAsia="Calibri" w:hAnsi="Times New Roman" w:cs="Times New Roman"/>
          <w:sz w:val="24"/>
          <w:szCs w:val="24"/>
          <w:lang w:val="en-GB" w:eastAsia="en-GB"/>
        </w:rPr>
        <w:t>of</w:t>
      </w:r>
      <w:r w:rsidR="002C6719" w:rsidRPr="00E915AA">
        <w:rPr>
          <w:rFonts w:ascii="Times New Roman" w:eastAsia="Calibri" w:hAnsi="Times New Roman" w:cs="Times New Roman"/>
          <w:sz w:val="24"/>
          <w:szCs w:val="24"/>
          <w:lang w:val="en-GB" w:eastAsia="en-GB"/>
        </w:rPr>
        <w:t xml:space="preserve"> tests </w:t>
      </w:r>
      <w:r w:rsidRPr="00E915AA">
        <w:rPr>
          <w:rFonts w:ascii="Times New Roman" w:eastAsia="Calibri" w:hAnsi="Times New Roman" w:cs="Times New Roman"/>
          <w:sz w:val="24"/>
          <w:szCs w:val="24"/>
          <w:lang w:val="en-GB" w:eastAsia="en-GB"/>
        </w:rPr>
        <w:t>for</w:t>
      </w:r>
      <w:r w:rsidR="00DC18B2" w:rsidRPr="00E915AA">
        <w:rPr>
          <w:rFonts w:ascii="Times New Roman" w:eastAsia="Calibri" w:hAnsi="Times New Roman" w:cs="Times New Roman"/>
          <w:sz w:val="24"/>
          <w:szCs w:val="24"/>
          <w:lang w:val="en-GB" w:eastAsia="en-GB"/>
        </w:rPr>
        <w:t xml:space="preserve"> the moderating effects of the JOBS Act on the relationship between EM and the SEC reviews</w:t>
      </w:r>
      <w:r w:rsidR="00055D97" w:rsidRPr="00E915AA">
        <w:rPr>
          <w:rFonts w:ascii="Times New Roman" w:eastAsia="Calibri" w:hAnsi="Times New Roman" w:cs="Times New Roman"/>
          <w:sz w:val="24"/>
          <w:szCs w:val="24"/>
          <w:lang w:val="en-GB" w:eastAsia="en-GB"/>
        </w:rPr>
        <w:t xml:space="preserve">, </w:t>
      </w:r>
      <w:r w:rsidR="0054273E" w:rsidRPr="00E915AA">
        <w:rPr>
          <w:rFonts w:ascii="Times New Roman" w:eastAsia="Calibri" w:hAnsi="Times New Roman" w:cs="Times New Roman"/>
          <w:sz w:val="24"/>
          <w:szCs w:val="24"/>
          <w:lang w:val="en-GB" w:eastAsia="en-GB"/>
        </w:rPr>
        <w:t>as per</w:t>
      </w:r>
      <w:r w:rsidR="00055D97" w:rsidRPr="00E915AA">
        <w:rPr>
          <w:rFonts w:ascii="Times New Roman" w:eastAsia="Calibri" w:hAnsi="Times New Roman" w:cs="Times New Roman"/>
          <w:sz w:val="24"/>
          <w:szCs w:val="24"/>
          <w:lang w:val="en-GB" w:eastAsia="en-GB"/>
        </w:rPr>
        <w:t xml:space="preserve"> Equation 3,</w:t>
      </w:r>
      <w:r w:rsidR="002C6719" w:rsidRPr="00E915AA">
        <w:rPr>
          <w:rFonts w:ascii="Times New Roman" w:eastAsia="Calibri" w:hAnsi="Times New Roman" w:cs="Times New Roman"/>
          <w:sz w:val="24"/>
          <w:szCs w:val="24"/>
          <w:lang w:val="en-GB" w:eastAsia="en-GB"/>
        </w:rPr>
        <w:t xml:space="preserve"> are presented in Table </w:t>
      </w:r>
      <w:r w:rsidR="00195305" w:rsidRPr="00E915AA">
        <w:rPr>
          <w:rFonts w:ascii="Times New Roman" w:eastAsia="Calibri" w:hAnsi="Times New Roman" w:cs="Times New Roman"/>
          <w:sz w:val="24"/>
          <w:szCs w:val="24"/>
          <w:lang w:val="en-GB" w:eastAsia="en-GB"/>
        </w:rPr>
        <w:t>6</w:t>
      </w:r>
      <w:r w:rsidR="002C6719" w:rsidRPr="00E915AA">
        <w:rPr>
          <w:rFonts w:ascii="Times New Roman" w:eastAsia="Calibri" w:hAnsi="Times New Roman" w:cs="Times New Roman"/>
          <w:sz w:val="24"/>
          <w:szCs w:val="24"/>
          <w:lang w:val="en-GB" w:eastAsia="en-GB"/>
        </w:rPr>
        <w:t xml:space="preserve">. </w:t>
      </w:r>
      <w:r w:rsidR="001C6406" w:rsidRPr="00E915AA">
        <w:rPr>
          <w:rFonts w:ascii="Times New Roman" w:eastAsia="Calibri" w:hAnsi="Times New Roman" w:cs="Times New Roman"/>
          <w:sz w:val="24"/>
          <w:szCs w:val="24"/>
          <w:lang w:val="en-GB" w:eastAsia="en-GB"/>
        </w:rPr>
        <w:t xml:space="preserve">Beginning with </w:t>
      </w:r>
      <w:r w:rsidR="001C6406" w:rsidRPr="00E915AA">
        <w:rPr>
          <w:rFonts w:ascii="Times New Roman" w:eastAsia="Calibri" w:hAnsi="Times New Roman" w:cs="Times New Roman"/>
          <w:i/>
          <w:iCs/>
          <w:sz w:val="24"/>
          <w:szCs w:val="24"/>
          <w:lang w:val="en-GB" w:eastAsia="en-GB"/>
        </w:rPr>
        <w:t>DACC</w:t>
      </w:r>
      <w:r w:rsidR="001C6406" w:rsidRPr="00E915AA">
        <w:rPr>
          <w:rFonts w:ascii="Times New Roman" w:eastAsia="Calibri" w:hAnsi="Times New Roman" w:cs="Times New Roman"/>
          <w:sz w:val="24"/>
          <w:szCs w:val="24"/>
          <w:lang w:val="en-GB" w:eastAsia="en-GB"/>
        </w:rPr>
        <w:t xml:space="preserve">, a significantly positive coefficient on </w:t>
      </w:r>
      <w:r w:rsidR="001C6406" w:rsidRPr="00E915AA">
        <w:rPr>
          <w:rFonts w:ascii="Times New Roman" w:eastAsia="Calibri" w:hAnsi="Times New Roman" w:cs="Times New Roman"/>
          <w:i/>
          <w:iCs/>
          <w:sz w:val="24"/>
          <w:szCs w:val="24"/>
          <w:lang w:val="en-GB" w:eastAsia="en-GB"/>
        </w:rPr>
        <w:t>DACC</w:t>
      </w:r>
      <w:r w:rsidR="001C6406" w:rsidRPr="00E915AA">
        <w:rPr>
          <w:rFonts w:ascii="Times New Roman" w:eastAsia="Calibri" w:hAnsi="Times New Roman" w:cs="Times New Roman"/>
          <w:sz w:val="24"/>
          <w:szCs w:val="24"/>
          <w:lang w:val="en-GB" w:eastAsia="en-GB"/>
        </w:rPr>
        <w:t xml:space="preserve">, coupled with a significantly positive coefficient on the </w:t>
      </w:r>
      <w:r w:rsidR="001C6406" w:rsidRPr="00E915AA">
        <w:rPr>
          <w:rFonts w:ascii="Times New Roman" w:eastAsia="Calibri" w:hAnsi="Times New Roman" w:cs="Times New Roman"/>
          <w:i/>
          <w:sz w:val="24"/>
          <w:szCs w:val="24"/>
          <w:lang w:val="en-GB" w:eastAsia="en-GB"/>
        </w:rPr>
        <w:t>DACC</w:t>
      </w:r>
      <w:r w:rsidR="001C6406" w:rsidRPr="00E915AA">
        <w:rPr>
          <w:rFonts w:ascii="Times New Roman" w:eastAsia="Calibri" w:hAnsi="Times New Roman" w:cs="Times New Roman"/>
          <w:sz w:val="24"/>
          <w:szCs w:val="24"/>
          <w:lang w:val="en-GB" w:eastAsia="en-GB"/>
        </w:rPr>
        <w:t>*</w:t>
      </w:r>
      <w:r w:rsidR="001C6406" w:rsidRPr="00E915AA">
        <w:rPr>
          <w:rFonts w:ascii="Times New Roman" w:eastAsia="Calibri" w:hAnsi="Times New Roman" w:cs="Times New Roman"/>
          <w:i/>
          <w:iCs/>
          <w:sz w:val="24"/>
          <w:szCs w:val="24"/>
          <w:lang w:val="en-GB" w:eastAsia="en-GB"/>
        </w:rPr>
        <w:t xml:space="preserve">JOBS Act </w:t>
      </w:r>
      <w:r w:rsidR="001C6406" w:rsidRPr="00E915AA">
        <w:rPr>
          <w:rFonts w:ascii="Times New Roman" w:eastAsia="Calibri" w:hAnsi="Times New Roman" w:cs="Times New Roman"/>
          <w:sz w:val="24"/>
          <w:szCs w:val="24"/>
          <w:lang w:val="en-GB" w:eastAsia="en-GB"/>
        </w:rPr>
        <w:t xml:space="preserve">interaction in Column (10), suggest that sensitivity of core-accounting-related comments to accrual-based earnings management exists in the pre-JOBS Act era and increases under the Act. Similarly, positive coefficients on the </w:t>
      </w:r>
      <w:r w:rsidR="001C6406" w:rsidRPr="00E915AA">
        <w:rPr>
          <w:rFonts w:ascii="Times New Roman" w:eastAsia="Calibri" w:hAnsi="Times New Roman" w:cs="Times New Roman"/>
          <w:i/>
          <w:sz w:val="24"/>
          <w:szCs w:val="24"/>
          <w:lang w:val="en-GB" w:eastAsia="en-GB"/>
        </w:rPr>
        <w:t>DACC</w:t>
      </w:r>
      <w:r w:rsidR="001C6406" w:rsidRPr="00E915AA">
        <w:rPr>
          <w:rFonts w:ascii="Times New Roman" w:eastAsia="Calibri" w:hAnsi="Times New Roman" w:cs="Times New Roman"/>
          <w:sz w:val="24"/>
          <w:szCs w:val="24"/>
          <w:lang w:val="en-GB" w:eastAsia="en-GB"/>
        </w:rPr>
        <w:t>*</w:t>
      </w:r>
      <w:r w:rsidR="001C6406" w:rsidRPr="00E915AA">
        <w:rPr>
          <w:rFonts w:ascii="Times New Roman" w:eastAsia="Calibri" w:hAnsi="Times New Roman" w:cs="Times New Roman"/>
          <w:i/>
          <w:iCs/>
          <w:sz w:val="24"/>
          <w:szCs w:val="24"/>
          <w:lang w:val="en-GB" w:eastAsia="en-GB"/>
        </w:rPr>
        <w:t xml:space="preserve">JOBS Act </w:t>
      </w:r>
      <w:r w:rsidR="001C6406" w:rsidRPr="00E915AA">
        <w:rPr>
          <w:rFonts w:ascii="Times New Roman" w:eastAsia="Calibri" w:hAnsi="Times New Roman" w:cs="Times New Roman"/>
          <w:sz w:val="24"/>
          <w:szCs w:val="24"/>
          <w:lang w:val="en-GB" w:eastAsia="en-GB"/>
        </w:rPr>
        <w:t>interactions in Column</w:t>
      </w:r>
      <w:r w:rsidR="00802573" w:rsidRPr="00E915AA">
        <w:rPr>
          <w:rFonts w:ascii="Times New Roman" w:eastAsia="Calibri" w:hAnsi="Times New Roman" w:cs="Times New Roman"/>
          <w:sz w:val="24"/>
          <w:szCs w:val="24"/>
          <w:lang w:val="en-GB" w:eastAsia="en-GB"/>
        </w:rPr>
        <w:t>s</w:t>
      </w:r>
      <w:r w:rsidR="001C6406" w:rsidRPr="00E915AA">
        <w:rPr>
          <w:rFonts w:ascii="Times New Roman" w:eastAsia="Calibri" w:hAnsi="Times New Roman" w:cs="Times New Roman"/>
          <w:sz w:val="24"/>
          <w:szCs w:val="24"/>
          <w:lang w:val="en-GB" w:eastAsia="en-GB"/>
        </w:rPr>
        <w:t xml:space="preserve"> (4), (7) and (13) </w:t>
      </w:r>
      <w:r w:rsidR="00300B2C" w:rsidRPr="00E915AA">
        <w:rPr>
          <w:rFonts w:ascii="Times New Roman" w:eastAsia="Calibri" w:hAnsi="Times New Roman" w:cs="Times New Roman"/>
          <w:sz w:val="24"/>
          <w:szCs w:val="24"/>
          <w:lang w:val="en-GB" w:eastAsia="en-GB"/>
        </w:rPr>
        <w:t>(significant in Columns (7) and (13))</w:t>
      </w:r>
      <w:r w:rsidR="00802573" w:rsidRPr="00E915AA">
        <w:rPr>
          <w:rFonts w:ascii="Times New Roman" w:eastAsia="Calibri" w:hAnsi="Times New Roman" w:cs="Times New Roman"/>
          <w:sz w:val="24"/>
          <w:szCs w:val="24"/>
          <w:lang w:val="en-GB" w:eastAsia="en-GB"/>
        </w:rPr>
        <w:t xml:space="preserve"> </w:t>
      </w:r>
      <w:r w:rsidR="001C6406" w:rsidRPr="00E915AA">
        <w:rPr>
          <w:rFonts w:ascii="Times New Roman" w:eastAsia="Calibri" w:hAnsi="Times New Roman" w:cs="Times New Roman"/>
          <w:sz w:val="24"/>
          <w:szCs w:val="24"/>
          <w:lang w:val="en-GB" w:eastAsia="en-GB"/>
        </w:rPr>
        <w:t>indicate that after the JOBS Act</w:t>
      </w:r>
      <w:r w:rsidR="001C6406" w:rsidRPr="00E915AA">
        <w:rPr>
          <w:rStyle w:val="CommentReference"/>
          <w:rFonts w:ascii="Times New Roman" w:hAnsi="Times New Roman" w:cs="Times New Roman"/>
          <w:lang w:val="en-GB" w:eastAsia="en-GB"/>
        </w:rPr>
        <w:t>,</w:t>
      </w:r>
      <w:r w:rsidR="001C6406" w:rsidRPr="00E915AA">
        <w:rPr>
          <w:rFonts w:ascii="Times New Roman" w:eastAsia="Calibri" w:hAnsi="Times New Roman" w:cs="Times New Roman"/>
          <w:sz w:val="24"/>
          <w:szCs w:val="24"/>
          <w:lang w:val="en-GB" w:eastAsia="en-GB"/>
        </w:rPr>
        <w:t xml:space="preserve"> </w:t>
      </w:r>
      <w:r w:rsidR="001C6406" w:rsidRPr="00E915AA">
        <w:rPr>
          <w:rFonts w:ascii="Times New Roman" w:eastAsia="Calibri" w:hAnsi="Times New Roman" w:cs="Times New Roman"/>
          <w:i/>
          <w:iCs/>
          <w:sz w:val="24"/>
          <w:szCs w:val="24"/>
          <w:lang w:val="en-GB" w:eastAsia="en-GB"/>
        </w:rPr>
        <w:t xml:space="preserve">#Themes </w:t>
      </w:r>
      <w:r w:rsidR="001C6406" w:rsidRPr="00E915AA">
        <w:rPr>
          <w:rFonts w:ascii="Times New Roman" w:eastAsia="Calibri" w:hAnsi="Times New Roman" w:cs="Times New Roman"/>
          <w:sz w:val="24"/>
          <w:szCs w:val="24"/>
          <w:lang w:val="en-GB" w:eastAsia="en-GB"/>
        </w:rPr>
        <w:t xml:space="preserve">and </w:t>
      </w:r>
      <w:r w:rsidR="001C6406" w:rsidRPr="00E915AA">
        <w:rPr>
          <w:rFonts w:ascii="Times New Roman" w:eastAsia="Calibri" w:hAnsi="Times New Roman" w:cs="Times New Roman"/>
          <w:i/>
          <w:iCs/>
          <w:sz w:val="24"/>
          <w:szCs w:val="24"/>
          <w:lang w:val="en-GB" w:eastAsia="en-GB"/>
        </w:rPr>
        <w:t>#Non-core accounting issues</w:t>
      </w:r>
      <w:r w:rsidR="001C6406" w:rsidRPr="00E915AA">
        <w:rPr>
          <w:rFonts w:ascii="Times New Roman" w:eastAsia="Calibri" w:hAnsi="Times New Roman" w:cs="Times New Roman"/>
          <w:sz w:val="24"/>
          <w:szCs w:val="24"/>
          <w:lang w:val="en-GB" w:eastAsia="en-GB"/>
        </w:rPr>
        <w:t xml:space="preserve">, </w:t>
      </w:r>
      <w:r w:rsidR="00C13CB1" w:rsidRPr="00E915AA">
        <w:rPr>
          <w:rFonts w:ascii="Times New Roman" w:eastAsia="Calibri" w:hAnsi="Times New Roman" w:cs="Times New Roman"/>
          <w:sz w:val="24"/>
          <w:szCs w:val="24"/>
          <w:lang w:val="en-GB" w:eastAsia="en-GB"/>
        </w:rPr>
        <w:t>and to an extent #</w:t>
      </w:r>
      <w:r w:rsidR="00C13CB1" w:rsidRPr="00E915AA">
        <w:rPr>
          <w:rFonts w:ascii="Times New Roman" w:eastAsia="Calibri" w:hAnsi="Times New Roman" w:cs="Times New Roman"/>
          <w:i/>
          <w:iCs/>
          <w:sz w:val="24"/>
          <w:szCs w:val="24"/>
          <w:lang w:val="en-GB" w:eastAsia="en-GB"/>
        </w:rPr>
        <w:t>Letters</w:t>
      </w:r>
      <w:r w:rsidR="001C6406" w:rsidRPr="00E915AA">
        <w:rPr>
          <w:rFonts w:ascii="Times New Roman" w:eastAsia="Calibri" w:hAnsi="Times New Roman" w:cs="Times New Roman"/>
          <w:sz w:val="24"/>
          <w:szCs w:val="24"/>
          <w:lang w:val="en-GB" w:eastAsia="en-GB"/>
        </w:rPr>
        <w:t xml:space="preserve">, </w:t>
      </w:r>
      <w:r w:rsidR="00C13CB1" w:rsidRPr="00E915AA">
        <w:rPr>
          <w:rFonts w:ascii="Times New Roman" w:eastAsia="Calibri" w:hAnsi="Times New Roman" w:cs="Times New Roman"/>
          <w:sz w:val="24"/>
          <w:szCs w:val="24"/>
          <w:lang w:val="en-GB" w:eastAsia="en-GB"/>
        </w:rPr>
        <w:t>are</w:t>
      </w:r>
      <w:r w:rsidR="001C6406" w:rsidRPr="00E915AA">
        <w:rPr>
          <w:rFonts w:ascii="Times New Roman" w:eastAsia="Calibri" w:hAnsi="Times New Roman" w:cs="Times New Roman"/>
          <w:sz w:val="24"/>
          <w:szCs w:val="24"/>
          <w:lang w:val="en-GB" w:eastAsia="en-GB"/>
        </w:rPr>
        <w:t xml:space="preserve"> more sensitive to accrual-based earnings management.</w:t>
      </w:r>
      <w:r w:rsidR="001C6406" w:rsidRPr="00E915AA">
        <w:rPr>
          <w:rStyle w:val="FootnoteReference"/>
          <w:rFonts w:ascii="Times New Roman" w:eastAsia="Calibri" w:hAnsi="Times New Roman" w:cs="Times New Roman"/>
          <w:sz w:val="24"/>
          <w:szCs w:val="24"/>
          <w:lang w:val="en-GB" w:eastAsia="en-GB"/>
        </w:rPr>
        <w:footnoteReference w:id="17"/>
      </w:r>
      <w:r w:rsidR="001C6406" w:rsidRPr="00E915AA">
        <w:rPr>
          <w:rFonts w:ascii="Times New Roman" w:eastAsia="Calibri" w:hAnsi="Times New Roman" w:cs="Times New Roman"/>
          <w:sz w:val="24"/>
          <w:szCs w:val="24"/>
          <w:lang w:val="en-GB" w:eastAsia="en-GB"/>
        </w:rPr>
        <w:t xml:space="preserve"> In Column (1), the main effects on </w:t>
      </w:r>
      <w:r w:rsidR="001C6406" w:rsidRPr="00E915AA">
        <w:rPr>
          <w:rFonts w:ascii="Times New Roman" w:eastAsia="Calibri" w:hAnsi="Times New Roman" w:cs="Times New Roman"/>
          <w:i/>
          <w:iCs/>
          <w:sz w:val="24"/>
          <w:szCs w:val="24"/>
          <w:lang w:val="en-GB" w:eastAsia="en-GB"/>
        </w:rPr>
        <w:t>DACC</w:t>
      </w:r>
      <w:r w:rsidR="001C6406" w:rsidRPr="00E915AA">
        <w:rPr>
          <w:rFonts w:ascii="Times New Roman" w:eastAsia="Calibri" w:hAnsi="Times New Roman" w:cs="Times New Roman"/>
          <w:sz w:val="24"/>
          <w:szCs w:val="24"/>
          <w:lang w:val="en-GB" w:eastAsia="en-GB"/>
        </w:rPr>
        <w:t xml:space="preserve"> remain significantly positive on the inclusion of the </w:t>
      </w:r>
      <w:r w:rsidR="001C6406" w:rsidRPr="00E915AA">
        <w:rPr>
          <w:rFonts w:ascii="Times New Roman" w:eastAsia="Calibri" w:hAnsi="Times New Roman" w:cs="Times New Roman"/>
          <w:i/>
          <w:iCs/>
          <w:sz w:val="24"/>
          <w:szCs w:val="24"/>
          <w:lang w:val="en-GB" w:eastAsia="en-GB"/>
        </w:rPr>
        <w:t>DACC*JOBS Act</w:t>
      </w:r>
      <w:r w:rsidR="001C6406" w:rsidRPr="00E915AA">
        <w:rPr>
          <w:rFonts w:ascii="Times New Roman" w:eastAsia="Calibri" w:hAnsi="Times New Roman" w:cs="Times New Roman"/>
          <w:sz w:val="24"/>
          <w:szCs w:val="24"/>
          <w:lang w:val="en-GB" w:eastAsia="en-GB"/>
        </w:rPr>
        <w:t xml:space="preserve"> interaction, while coefficients on the interaction term are insignificant, suggesting that SEC review duration are equally sensitive to accrual-based EM before and under the JOBS Act. </w:t>
      </w:r>
      <w:r w:rsidR="0002485C" w:rsidRPr="00E915AA">
        <w:rPr>
          <w:rFonts w:ascii="Times New Roman" w:eastAsia="Calibri" w:hAnsi="Times New Roman" w:cs="Times New Roman"/>
          <w:sz w:val="24"/>
          <w:szCs w:val="24"/>
          <w:lang w:val="en-GB" w:eastAsia="en-GB"/>
        </w:rPr>
        <w:t xml:space="preserve">Despite the JOBS Act allowing for </w:t>
      </w:r>
      <w:r w:rsidR="00E92496" w:rsidRPr="00E915AA">
        <w:rPr>
          <w:rFonts w:ascii="Times New Roman" w:eastAsia="Calibri" w:hAnsi="Times New Roman" w:cs="Times New Roman"/>
          <w:sz w:val="24"/>
          <w:szCs w:val="24"/>
          <w:lang w:val="en-GB" w:eastAsia="en-GB"/>
        </w:rPr>
        <w:t xml:space="preserve">reduced disclosure </w:t>
      </w:r>
      <w:r w:rsidR="00CD2A21" w:rsidRPr="00E915AA">
        <w:rPr>
          <w:rFonts w:ascii="Times New Roman" w:eastAsia="Calibri" w:hAnsi="Times New Roman" w:cs="Times New Roman"/>
          <w:sz w:val="24"/>
          <w:szCs w:val="24"/>
          <w:lang w:val="en-GB" w:eastAsia="en-GB"/>
        </w:rPr>
        <w:t>within</w:t>
      </w:r>
      <w:r w:rsidR="00E92496" w:rsidRPr="00E915AA">
        <w:rPr>
          <w:rFonts w:ascii="Times New Roman" w:eastAsia="Calibri" w:hAnsi="Times New Roman" w:cs="Times New Roman"/>
          <w:sz w:val="24"/>
          <w:szCs w:val="24"/>
          <w:lang w:val="en-GB" w:eastAsia="en-GB"/>
        </w:rPr>
        <w:t xml:space="preserve"> financial statements</w:t>
      </w:r>
      <w:r w:rsidR="0002485C" w:rsidRPr="00E915AA">
        <w:rPr>
          <w:rFonts w:ascii="Times New Roman" w:eastAsia="Calibri" w:hAnsi="Times New Roman" w:cs="Times New Roman"/>
          <w:sz w:val="24"/>
          <w:szCs w:val="24"/>
          <w:lang w:val="en-GB" w:eastAsia="en-GB"/>
        </w:rPr>
        <w:t xml:space="preserve">, </w:t>
      </w:r>
      <w:r w:rsidR="00B96078" w:rsidRPr="00E915AA">
        <w:rPr>
          <w:rFonts w:ascii="Times New Roman" w:eastAsia="Calibri" w:hAnsi="Times New Roman" w:cs="Times New Roman"/>
          <w:sz w:val="24"/>
          <w:szCs w:val="24"/>
          <w:lang w:val="en-GB" w:eastAsia="en-GB"/>
        </w:rPr>
        <w:t xml:space="preserve">Agarwal et al. (2017) </w:t>
      </w:r>
      <w:r w:rsidR="0002485C" w:rsidRPr="00E915AA">
        <w:rPr>
          <w:rFonts w:ascii="Times New Roman" w:eastAsia="Calibri" w:hAnsi="Times New Roman" w:cs="Times New Roman"/>
          <w:sz w:val="24"/>
          <w:szCs w:val="24"/>
          <w:lang w:val="en-GB" w:eastAsia="en-GB"/>
        </w:rPr>
        <w:t xml:space="preserve">find that </w:t>
      </w:r>
      <w:r w:rsidR="00334650" w:rsidRPr="00E915AA">
        <w:rPr>
          <w:rFonts w:ascii="Times New Roman" w:eastAsia="Calibri" w:hAnsi="Times New Roman" w:cs="Times New Roman"/>
          <w:sz w:val="24"/>
          <w:szCs w:val="24"/>
          <w:lang w:val="en-GB" w:eastAsia="en-GB"/>
        </w:rPr>
        <w:t>SEC reviews can become more conservative and focus on deficiencies in accounting information</w:t>
      </w:r>
      <w:r w:rsidR="00EB38D9" w:rsidRPr="00E915AA">
        <w:rPr>
          <w:rFonts w:ascii="Times New Roman" w:eastAsia="Calibri" w:hAnsi="Times New Roman" w:cs="Times New Roman"/>
          <w:sz w:val="24"/>
          <w:szCs w:val="24"/>
          <w:lang w:val="en-GB" w:eastAsia="en-GB"/>
        </w:rPr>
        <w:t xml:space="preserve"> presented</w:t>
      </w:r>
      <w:r w:rsidR="00334650" w:rsidRPr="00E915AA">
        <w:rPr>
          <w:rFonts w:ascii="Times New Roman" w:eastAsia="Calibri" w:hAnsi="Times New Roman" w:cs="Times New Roman"/>
          <w:sz w:val="24"/>
          <w:szCs w:val="24"/>
          <w:lang w:val="en-GB" w:eastAsia="en-GB"/>
        </w:rPr>
        <w:t xml:space="preserve">. </w:t>
      </w:r>
      <w:r w:rsidR="00885C0C" w:rsidRPr="00E915AA">
        <w:rPr>
          <w:rFonts w:ascii="Times New Roman" w:eastAsia="Calibri" w:hAnsi="Times New Roman" w:cs="Times New Roman"/>
          <w:sz w:val="24"/>
          <w:szCs w:val="24"/>
          <w:lang w:val="en-GB" w:eastAsia="en-GB"/>
        </w:rPr>
        <w:t xml:space="preserve">It follows that concerns that an IPO firm may be attempting to mislead investors through managing their earnings </w:t>
      </w:r>
      <w:r w:rsidR="00500D3A" w:rsidRPr="00E915AA">
        <w:rPr>
          <w:rFonts w:ascii="Times New Roman" w:eastAsia="Calibri" w:hAnsi="Times New Roman" w:cs="Times New Roman"/>
          <w:sz w:val="24"/>
          <w:szCs w:val="24"/>
          <w:lang w:val="en-GB" w:eastAsia="en-GB"/>
        </w:rPr>
        <w:t>could</w:t>
      </w:r>
      <w:r w:rsidR="00885C0C" w:rsidRPr="00E915AA">
        <w:rPr>
          <w:rFonts w:ascii="Times New Roman" w:eastAsia="Calibri" w:hAnsi="Times New Roman" w:cs="Times New Roman"/>
          <w:sz w:val="24"/>
          <w:szCs w:val="24"/>
          <w:lang w:val="en-GB" w:eastAsia="en-GB"/>
        </w:rPr>
        <w:t xml:space="preserve"> result in higher SEC scrutiny of broader accounting information, including</w:t>
      </w:r>
      <w:r w:rsidR="009850CE" w:rsidRPr="00E915AA">
        <w:rPr>
          <w:rFonts w:ascii="Times New Roman" w:eastAsia="Calibri" w:hAnsi="Times New Roman" w:cs="Times New Roman"/>
          <w:sz w:val="24"/>
          <w:szCs w:val="24"/>
          <w:lang w:val="en-GB" w:eastAsia="en-GB"/>
        </w:rPr>
        <w:t xml:space="preserve"> non-core accounting data</w:t>
      </w:r>
      <w:r w:rsidR="0002485C" w:rsidRPr="00E915AA">
        <w:rPr>
          <w:rFonts w:ascii="Times New Roman" w:eastAsia="Calibri" w:hAnsi="Times New Roman" w:cs="Times New Roman"/>
          <w:color w:val="000000" w:themeColor="text1"/>
          <w:sz w:val="24"/>
          <w:szCs w:val="24"/>
          <w:lang w:val="en-GB" w:eastAsia="en-GB"/>
        </w:rPr>
        <w:t>.</w:t>
      </w:r>
      <w:r w:rsidR="00631BFD" w:rsidRPr="00E915AA">
        <w:rPr>
          <w:rFonts w:ascii="Times New Roman" w:eastAsia="Calibri" w:hAnsi="Times New Roman" w:cs="Times New Roman"/>
          <w:color w:val="000000" w:themeColor="text1"/>
          <w:sz w:val="24"/>
          <w:szCs w:val="24"/>
          <w:lang w:val="en-GB" w:eastAsia="en-GB"/>
        </w:rPr>
        <w:t xml:space="preserve"> </w:t>
      </w:r>
    </w:p>
    <w:p w14:paraId="6090B36B" w14:textId="22A0698A" w:rsidR="00DB7376" w:rsidRPr="00E915AA" w:rsidRDefault="001C6406" w:rsidP="00E736AD">
      <w:pPr>
        <w:spacing w:before="240" w:after="240" w:line="360" w:lineRule="auto"/>
        <w:jc w:val="both"/>
        <w:rPr>
          <w:rFonts w:ascii="Times New Roman" w:eastAsia="Calibri" w:hAnsi="Times New Roman" w:cs="Times New Roman"/>
          <w:color w:val="000000" w:themeColor="text1"/>
          <w:sz w:val="24"/>
          <w:szCs w:val="24"/>
          <w:lang w:val="en-GB" w:eastAsia="en-GB"/>
        </w:rPr>
      </w:pPr>
      <w:r w:rsidRPr="00E915AA">
        <w:rPr>
          <w:rFonts w:ascii="Times New Roman" w:eastAsia="Calibri" w:hAnsi="Times New Roman" w:cs="Times New Roman"/>
          <w:color w:val="000000" w:themeColor="text1"/>
          <w:sz w:val="24"/>
          <w:szCs w:val="24"/>
          <w:lang w:val="en-GB" w:eastAsia="en-GB"/>
        </w:rPr>
        <w:t xml:space="preserve">Turning to the REM measures, a negative coefficient on the </w:t>
      </w:r>
      <w:r w:rsidRPr="00E915AA">
        <w:rPr>
          <w:rFonts w:ascii="Times New Roman" w:eastAsia="Calibri" w:hAnsi="Times New Roman" w:cs="Times New Roman"/>
          <w:i/>
          <w:iCs/>
          <w:color w:val="000000" w:themeColor="text1"/>
          <w:sz w:val="24"/>
          <w:szCs w:val="24"/>
          <w:lang w:val="en-GB" w:eastAsia="en-GB"/>
        </w:rPr>
        <w:t xml:space="preserve">ACFO*JOBS Act </w:t>
      </w:r>
      <w:r w:rsidRPr="00E915AA">
        <w:rPr>
          <w:rFonts w:ascii="Times New Roman" w:eastAsia="Calibri" w:hAnsi="Times New Roman" w:cs="Times New Roman"/>
          <w:color w:val="000000" w:themeColor="text1"/>
          <w:sz w:val="24"/>
          <w:szCs w:val="24"/>
          <w:lang w:val="en-GB" w:eastAsia="en-GB"/>
        </w:rPr>
        <w:t xml:space="preserve">interaction is observed in Column (1), in conjunction with </w:t>
      </w:r>
      <w:r w:rsidRPr="00E915AA">
        <w:rPr>
          <w:rFonts w:ascii="Times New Roman" w:eastAsia="Calibri" w:hAnsi="Times New Roman" w:cs="Times New Roman"/>
          <w:sz w:val="24"/>
          <w:szCs w:val="24"/>
          <w:lang w:val="en-GB" w:eastAsia="en-GB"/>
        </w:rPr>
        <w:t xml:space="preserve">a </w:t>
      </w:r>
      <w:r w:rsidR="00B061FF" w:rsidRPr="00E915AA">
        <w:rPr>
          <w:rFonts w:ascii="Times New Roman" w:eastAsia="Calibri" w:hAnsi="Times New Roman" w:cs="Times New Roman"/>
          <w:sz w:val="24"/>
          <w:szCs w:val="24"/>
          <w:lang w:val="en-GB" w:eastAsia="en-GB"/>
        </w:rPr>
        <w:t>smaller</w:t>
      </w:r>
      <w:r w:rsidRPr="00E915AA">
        <w:rPr>
          <w:rFonts w:ascii="Times New Roman" w:eastAsia="Calibri" w:hAnsi="Times New Roman" w:cs="Times New Roman"/>
          <w:sz w:val="24"/>
          <w:szCs w:val="24"/>
          <w:lang w:val="en-GB" w:eastAsia="en-GB"/>
        </w:rPr>
        <w:t xml:space="preserve"> positive coefficient on </w:t>
      </w:r>
      <w:r w:rsidRPr="00E915AA">
        <w:rPr>
          <w:rFonts w:ascii="Times New Roman" w:eastAsia="Calibri" w:hAnsi="Times New Roman" w:cs="Times New Roman"/>
          <w:i/>
          <w:iCs/>
          <w:sz w:val="24"/>
          <w:szCs w:val="24"/>
          <w:lang w:val="en-GB" w:eastAsia="en-GB"/>
        </w:rPr>
        <w:t>ACFO,</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color w:val="000000" w:themeColor="text1"/>
          <w:sz w:val="24"/>
          <w:szCs w:val="24"/>
          <w:lang w:val="en-GB" w:eastAsia="en-GB"/>
        </w:rPr>
        <w:t xml:space="preserve">indicating a </w:t>
      </w:r>
      <w:r w:rsidR="004F1616" w:rsidRPr="00E915AA">
        <w:rPr>
          <w:rFonts w:ascii="Times New Roman" w:eastAsia="Calibri" w:hAnsi="Times New Roman" w:cs="Times New Roman"/>
          <w:color w:val="000000" w:themeColor="text1"/>
          <w:sz w:val="24"/>
          <w:szCs w:val="24"/>
          <w:lang w:val="en-GB" w:eastAsia="en-GB"/>
        </w:rPr>
        <w:t>less positive</w:t>
      </w:r>
      <w:r w:rsidRPr="00E915AA">
        <w:rPr>
          <w:rFonts w:ascii="Times New Roman" w:eastAsia="Calibri" w:hAnsi="Times New Roman" w:cs="Times New Roman"/>
          <w:color w:val="000000" w:themeColor="text1"/>
          <w:sz w:val="24"/>
          <w:szCs w:val="24"/>
          <w:lang w:val="en-GB" w:eastAsia="en-GB"/>
        </w:rPr>
        <w:t xml:space="preserve"> relationship between </w:t>
      </w:r>
      <w:r w:rsidRPr="00E915AA">
        <w:rPr>
          <w:rFonts w:ascii="Times New Roman" w:eastAsia="Calibri" w:hAnsi="Times New Roman" w:cs="Times New Roman"/>
          <w:i/>
          <w:iCs/>
          <w:color w:val="000000" w:themeColor="text1"/>
          <w:sz w:val="24"/>
          <w:szCs w:val="24"/>
          <w:lang w:val="en-GB" w:eastAsia="en-GB"/>
        </w:rPr>
        <w:t xml:space="preserve">ACFO </w:t>
      </w:r>
      <w:r w:rsidRPr="00E915AA">
        <w:rPr>
          <w:rFonts w:ascii="Times New Roman" w:eastAsia="Calibri" w:hAnsi="Times New Roman" w:cs="Times New Roman"/>
          <w:color w:val="000000" w:themeColor="text1"/>
          <w:sz w:val="24"/>
          <w:szCs w:val="24"/>
          <w:lang w:val="en-GB" w:eastAsia="en-GB"/>
        </w:rPr>
        <w:t xml:space="preserve">and </w:t>
      </w:r>
      <w:r w:rsidRPr="00E915AA">
        <w:rPr>
          <w:rFonts w:ascii="Times New Roman" w:eastAsia="Calibri" w:hAnsi="Times New Roman" w:cs="Times New Roman"/>
          <w:i/>
          <w:iCs/>
          <w:color w:val="000000" w:themeColor="text1"/>
          <w:sz w:val="24"/>
          <w:szCs w:val="24"/>
          <w:lang w:val="en-GB" w:eastAsia="en-GB"/>
        </w:rPr>
        <w:t xml:space="preserve">Duration </w:t>
      </w:r>
      <w:r w:rsidR="00B14B2D" w:rsidRPr="00E915AA">
        <w:rPr>
          <w:rFonts w:ascii="Times New Roman" w:eastAsia="Calibri" w:hAnsi="Times New Roman" w:cs="Times New Roman"/>
          <w:color w:val="000000" w:themeColor="text1"/>
          <w:sz w:val="24"/>
          <w:szCs w:val="24"/>
          <w:lang w:val="en-GB" w:eastAsia="en-GB"/>
        </w:rPr>
        <w:t>under</w:t>
      </w:r>
      <w:r w:rsidRPr="00E915AA">
        <w:rPr>
          <w:rFonts w:ascii="Times New Roman" w:eastAsia="Calibri" w:hAnsi="Times New Roman" w:cs="Times New Roman"/>
          <w:color w:val="000000" w:themeColor="text1"/>
          <w:sz w:val="24"/>
          <w:szCs w:val="24"/>
          <w:lang w:val="en-GB" w:eastAsia="en-GB"/>
        </w:rPr>
        <w:t xml:space="preserve"> the JOBS Act. Positive coefficients on </w:t>
      </w:r>
      <w:r w:rsidRPr="00E915AA">
        <w:rPr>
          <w:rFonts w:ascii="Times New Roman" w:eastAsia="Calibri" w:hAnsi="Times New Roman" w:cs="Times New Roman"/>
          <w:i/>
          <w:iCs/>
          <w:color w:val="000000" w:themeColor="text1"/>
          <w:sz w:val="24"/>
          <w:szCs w:val="24"/>
          <w:lang w:val="en-GB" w:eastAsia="en-GB"/>
        </w:rPr>
        <w:t xml:space="preserve">ACFO*JOBS Act </w:t>
      </w:r>
      <w:r w:rsidRPr="00E915AA">
        <w:rPr>
          <w:rFonts w:ascii="Times New Roman" w:eastAsia="Calibri" w:hAnsi="Times New Roman" w:cs="Times New Roman"/>
          <w:color w:val="000000" w:themeColor="text1"/>
          <w:sz w:val="24"/>
          <w:szCs w:val="24"/>
          <w:lang w:val="en-GB" w:eastAsia="en-GB"/>
        </w:rPr>
        <w:t>in Column (8)</w:t>
      </w:r>
      <w:r w:rsidR="0037701F" w:rsidRPr="00E915AA">
        <w:rPr>
          <w:rFonts w:ascii="Times New Roman" w:eastAsia="Calibri" w:hAnsi="Times New Roman" w:cs="Times New Roman"/>
          <w:color w:val="000000" w:themeColor="text1"/>
          <w:sz w:val="24"/>
          <w:szCs w:val="24"/>
          <w:lang w:val="en-GB" w:eastAsia="en-GB"/>
        </w:rPr>
        <w:t xml:space="preserve">, (11), and </w:t>
      </w:r>
      <w:r w:rsidRPr="00E915AA">
        <w:rPr>
          <w:rFonts w:ascii="Times New Roman" w:eastAsia="Calibri" w:hAnsi="Times New Roman" w:cs="Times New Roman"/>
          <w:color w:val="000000" w:themeColor="text1"/>
          <w:sz w:val="24"/>
          <w:szCs w:val="24"/>
          <w:lang w:val="en-GB" w:eastAsia="en-GB"/>
        </w:rPr>
        <w:t>(14)</w:t>
      </w:r>
      <w:r w:rsidR="000954C4" w:rsidRPr="00E915AA">
        <w:rPr>
          <w:rFonts w:ascii="Times New Roman" w:eastAsia="Calibri" w:hAnsi="Times New Roman" w:cs="Times New Roman"/>
          <w:color w:val="000000" w:themeColor="text1"/>
          <w:sz w:val="24"/>
          <w:szCs w:val="24"/>
          <w:lang w:val="en-GB" w:eastAsia="en-GB"/>
        </w:rPr>
        <w:t>, however</w:t>
      </w:r>
      <w:r w:rsidRPr="00E915AA">
        <w:rPr>
          <w:rFonts w:ascii="Times New Roman" w:eastAsia="Calibri" w:hAnsi="Times New Roman" w:cs="Times New Roman"/>
          <w:i/>
          <w:iCs/>
          <w:color w:val="000000" w:themeColor="text1"/>
          <w:sz w:val="24"/>
          <w:szCs w:val="24"/>
          <w:lang w:val="en-GB" w:eastAsia="en-GB"/>
        </w:rPr>
        <w:t xml:space="preserve"> </w:t>
      </w:r>
      <w:r w:rsidRPr="00E915AA">
        <w:rPr>
          <w:rFonts w:ascii="Times New Roman" w:eastAsia="Calibri" w:hAnsi="Times New Roman" w:cs="Times New Roman"/>
          <w:color w:val="000000" w:themeColor="text1"/>
          <w:sz w:val="24"/>
          <w:szCs w:val="24"/>
          <w:lang w:val="en-GB" w:eastAsia="en-GB"/>
        </w:rPr>
        <w:t xml:space="preserve">suggest </w:t>
      </w:r>
      <w:r w:rsidR="003153B3" w:rsidRPr="00E915AA">
        <w:rPr>
          <w:rFonts w:ascii="Times New Roman" w:eastAsia="Calibri" w:hAnsi="Times New Roman" w:cs="Times New Roman"/>
          <w:color w:val="000000" w:themeColor="text1"/>
          <w:sz w:val="24"/>
          <w:szCs w:val="24"/>
          <w:lang w:val="en-GB" w:eastAsia="en-GB"/>
        </w:rPr>
        <w:t>that</w:t>
      </w:r>
      <w:r w:rsidRPr="00E915AA">
        <w:rPr>
          <w:rFonts w:ascii="Times New Roman" w:eastAsia="Calibri" w:hAnsi="Times New Roman" w:cs="Times New Roman"/>
          <w:color w:val="000000" w:themeColor="text1"/>
          <w:sz w:val="24"/>
          <w:szCs w:val="24"/>
          <w:lang w:val="en-GB" w:eastAsia="en-GB"/>
        </w:rPr>
        <w:t xml:space="preserve"> the SEC </w:t>
      </w:r>
      <w:r w:rsidR="003018C5" w:rsidRPr="00E915AA">
        <w:rPr>
          <w:rFonts w:ascii="Times New Roman" w:eastAsia="Calibri" w:hAnsi="Times New Roman" w:cs="Times New Roman"/>
          <w:color w:val="000000" w:themeColor="text1"/>
          <w:sz w:val="24"/>
          <w:szCs w:val="24"/>
          <w:lang w:val="en-GB" w:eastAsia="en-GB"/>
        </w:rPr>
        <w:t>typically</w:t>
      </w:r>
      <w:r w:rsidRPr="00E915AA">
        <w:rPr>
          <w:rFonts w:ascii="Times New Roman" w:eastAsia="Calibri" w:hAnsi="Times New Roman" w:cs="Times New Roman"/>
          <w:color w:val="000000" w:themeColor="text1"/>
          <w:sz w:val="24"/>
          <w:szCs w:val="24"/>
          <w:lang w:val="en-GB" w:eastAsia="en-GB"/>
        </w:rPr>
        <w:t xml:space="preserve"> address</w:t>
      </w:r>
      <w:r w:rsidR="003018C5" w:rsidRPr="00E915AA">
        <w:rPr>
          <w:rFonts w:ascii="Times New Roman" w:eastAsia="Calibri" w:hAnsi="Times New Roman" w:cs="Times New Roman"/>
          <w:color w:val="000000" w:themeColor="text1"/>
          <w:sz w:val="24"/>
          <w:szCs w:val="24"/>
          <w:lang w:val="en-GB" w:eastAsia="en-GB"/>
        </w:rPr>
        <w:t>es</w:t>
      </w:r>
      <w:r w:rsidRPr="00E915AA">
        <w:rPr>
          <w:rFonts w:ascii="Times New Roman" w:eastAsia="Calibri" w:hAnsi="Times New Roman" w:cs="Times New Roman"/>
          <w:color w:val="000000" w:themeColor="text1"/>
          <w:sz w:val="24"/>
          <w:szCs w:val="24"/>
          <w:lang w:val="en-GB" w:eastAsia="en-GB"/>
        </w:rPr>
        <w:t xml:space="preserve"> </w:t>
      </w:r>
      <w:r w:rsidR="00BE2717" w:rsidRPr="00E915AA">
        <w:rPr>
          <w:rFonts w:ascii="Times New Roman" w:eastAsia="Calibri" w:hAnsi="Times New Roman" w:cs="Times New Roman"/>
          <w:i/>
          <w:iCs/>
          <w:color w:val="000000" w:themeColor="text1"/>
          <w:sz w:val="24"/>
          <w:szCs w:val="24"/>
          <w:lang w:val="en-GB" w:eastAsia="en-GB"/>
        </w:rPr>
        <w:t>fewer</w:t>
      </w:r>
      <w:r w:rsidRPr="00E915AA">
        <w:rPr>
          <w:rFonts w:ascii="Times New Roman" w:eastAsia="Calibri" w:hAnsi="Times New Roman" w:cs="Times New Roman"/>
          <w:color w:val="000000" w:themeColor="text1"/>
          <w:sz w:val="24"/>
          <w:szCs w:val="24"/>
          <w:lang w:val="en-GB" w:eastAsia="en-GB"/>
        </w:rPr>
        <w:t xml:space="preserve"> issue types, </w:t>
      </w:r>
      <w:r w:rsidR="00BE2717" w:rsidRPr="00E915AA">
        <w:rPr>
          <w:rFonts w:ascii="Times New Roman" w:eastAsia="Calibri" w:hAnsi="Times New Roman" w:cs="Times New Roman"/>
          <w:i/>
          <w:iCs/>
          <w:color w:val="000000" w:themeColor="text1"/>
          <w:sz w:val="24"/>
          <w:szCs w:val="24"/>
          <w:lang w:val="en-GB" w:eastAsia="en-GB"/>
        </w:rPr>
        <w:t>fewer</w:t>
      </w:r>
      <w:r w:rsidRPr="00E915AA">
        <w:rPr>
          <w:rFonts w:ascii="Times New Roman" w:eastAsia="Calibri" w:hAnsi="Times New Roman" w:cs="Times New Roman"/>
          <w:color w:val="000000" w:themeColor="text1"/>
          <w:sz w:val="24"/>
          <w:szCs w:val="24"/>
          <w:lang w:val="en-GB" w:eastAsia="en-GB"/>
        </w:rPr>
        <w:t xml:space="preserve"> non-core accounting issues</w:t>
      </w:r>
      <w:r w:rsidR="00D935AA" w:rsidRPr="00E915AA">
        <w:rPr>
          <w:rFonts w:ascii="Times New Roman" w:eastAsia="Calibri" w:hAnsi="Times New Roman" w:cs="Times New Roman"/>
          <w:color w:val="000000" w:themeColor="text1"/>
          <w:sz w:val="24"/>
          <w:szCs w:val="24"/>
          <w:lang w:val="en-GB" w:eastAsia="en-GB"/>
        </w:rPr>
        <w:t>,</w:t>
      </w:r>
      <w:r w:rsidRPr="00E915AA">
        <w:rPr>
          <w:rFonts w:ascii="Times New Roman" w:eastAsia="Calibri" w:hAnsi="Times New Roman" w:cs="Times New Roman"/>
          <w:color w:val="000000" w:themeColor="text1"/>
          <w:sz w:val="24"/>
          <w:szCs w:val="24"/>
          <w:lang w:val="en-GB" w:eastAsia="en-GB"/>
        </w:rPr>
        <w:t xml:space="preserve"> and </w:t>
      </w:r>
      <w:r w:rsidR="00BE2717" w:rsidRPr="00E915AA">
        <w:rPr>
          <w:rFonts w:ascii="Times New Roman" w:eastAsia="Calibri" w:hAnsi="Times New Roman" w:cs="Times New Roman"/>
          <w:i/>
          <w:iCs/>
          <w:color w:val="000000" w:themeColor="text1"/>
          <w:sz w:val="24"/>
          <w:szCs w:val="24"/>
          <w:lang w:val="en-GB" w:eastAsia="en-GB"/>
        </w:rPr>
        <w:t>fewer</w:t>
      </w:r>
      <w:r w:rsidRPr="00E915AA">
        <w:rPr>
          <w:rFonts w:ascii="Times New Roman" w:eastAsia="Calibri" w:hAnsi="Times New Roman" w:cs="Times New Roman"/>
          <w:color w:val="000000" w:themeColor="text1"/>
          <w:sz w:val="24"/>
          <w:szCs w:val="24"/>
          <w:lang w:val="en-GB" w:eastAsia="en-GB"/>
        </w:rPr>
        <w:t xml:space="preserve"> core-accounting issues, </w:t>
      </w:r>
      <w:r w:rsidR="00D935AA" w:rsidRPr="00E915AA">
        <w:rPr>
          <w:rFonts w:ascii="Times New Roman" w:eastAsia="Calibri" w:hAnsi="Times New Roman" w:cs="Times New Roman"/>
          <w:color w:val="000000" w:themeColor="text1"/>
          <w:sz w:val="24"/>
          <w:szCs w:val="24"/>
          <w:lang w:val="en-GB" w:eastAsia="en-GB"/>
        </w:rPr>
        <w:t>under the JOBS Act</w:t>
      </w:r>
      <w:r w:rsidRPr="00E915AA">
        <w:rPr>
          <w:rFonts w:ascii="Times New Roman" w:eastAsia="Calibri" w:hAnsi="Times New Roman" w:cs="Times New Roman"/>
          <w:color w:val="000000" w:themeColor="text1"/>
          <w:sz w:val="24"/>
          <w:szCs w:val="24"/>
          <w:lang w:val="en-GB" w:eastAsia="en-GB"/>
        </w:rPr>
        <w:t xml:space="preserve">, </w:t>
      </w:r>
      <w:r w:rsidR="00C02B88" w:rsidRPr="00E915AA">
        <w:rPr>
          <w:rFonts w:ascii="Times New Roman" w:eastAsia="Calibri" w:hAnsi="Times New Roman" w:cs="Times New Roman"/>
          <w:color w:val="000000" w:themeColor="text1"/>
          <w:sz w:val="24"/>
          <w:szCs w:val="24"/>
          <w:lang w:val="en-GB" w:eastAsia="en-GB"/>
        </w:rPr>
        <w:t>when</w:t>
      </w:r>
      <w:r w:rsidRPr="00E915AA">
        <w:rPr>
          <w:rFonts w:ascii="Times New Roman" w:eastAsia="Calibri" w:hAnsi="Times New Roman" w:cs="Times New Roman"/>
          <w:color w:val="000000" w:themeColor="text1"/>
          <w:sz w:val="24"/>
          <w:szCs w:val="24"/>
          <w:lang w:val="en-GB" w:eastAsia="en-GB"/>
        </w:rPr>
        <w:t xml:space="preserve"> IPOs exhibit higher abnormal</w:t>
      </w:r>
      <w:r w:rsidR="00F11511" w:rsidRPr="00E915AA">
        <w:rPr>
          <w:rFonts w:ascii="Times New Roman" w:eastAsia="Calibri" w:hAnsi="Times New Roman" w:cs="Times New Roman"/>
          <w:color w:val="000000" w:themeColor="text1"/>
          <w:sz w:val="24"/>
          <w:szCs w:val="24"/>
          <w:lang w:val="en-GB" w:eastAsia="en-GB"/>
        </w:rPr>
        <w:t xml:space="preserve">ly </w:t>
      </w:r>
      <w:r w:rsidR="00F11511" w:rsidRPr="00E915AA">
        <w:rPr>
          <w:rFonts w:ascii="Times New Roman" w:eastAsia="Calibri" w:hAnsi="Times New Roman" w:cs="Times New Roman"/>
          <w:i/>
          <w:iCs/>
          <w:color w:val="000000" w:themeColor="text1"/>
          <w:sz w:val="24"/>
          <w:szCs w:val="24"/>
          <w:lang w:val="en-GB" w:eastAsia="en-GB"/>
        </w:rPr>
        <w:t>low</w:t>
      </w:r>
      <w:r w:rsidRPr="00E915AA">
        <w:rPr>
          <w:rFonts w:ascii="Times New Roman" w:eastAsia="Calibri" w:hAnsi="Times New Roman" w:cs="Times New Roman"/>
          <w:color w:val="000000" w:themeColor="text1"/>
          <w:sz w:val="24"/>
          <w:szCs w:val="24"/>
          <w:lang w:val="en-GB" w:eastAsia="en-GB"/>
        </w:rPr>
        <w:t xml:space="preserve"> cash flow from operations</w:t>
      </w:r>
      <w:r w:rsidR="00F11511" w:rsidRPr="00E915AA">
        <w:rPr>
          <w:rFonts w:ascii="Times New Roman" w:eastAsia="Calibri" w:hAnsi="Times New Roman" w:cs="Times New Roman"/>
          <w:color w:val="000000" w:themeColor="text1"/>
          <w:sz w:val="24"/>
          <w:szCs w:val="24"/>
          <w:lang w:val="en-GB" w:eastAsia="en-GB"/>
        </w:rPr>
        <w:t xml:space="preserve"> (</w:t>
      </w:r>
      <w:r w:rsidR="00815F3F" w:rsidRPr="00E915AA">
        <w:rPr>
          <w:rFonts w:ascii="Times New Roman" w:eastAsia="Calibri" w:hAnsi="Times New Roman" w:cs="Times New Roman"/>
          <w:color w:val="000000" w:themeColor="text1"/>
          <w:sz w:val="24"/>
          <w:szCs w:val="24"/>
          <w:lang w:val="en-GB" w:eastAsia="en-GB"/>
        </w:rPr>
        <w:t xml:space="preserve">i.e., </w:t>
      </w:r>
      <w:r w:rsidR="00F11511" w:rsidRPr="00E915AA">
        <w:rPr>
          <w:rFonts w:ascii="Times New Roman" w:eastAsia="Calibri" w:hAnsi="Times New Roman" w:cs="Times New Roman"/>
          <w:color w:val="000000" w:themeColor="text1"/>
          <w:sz w:val="24"/>
          <w:szCs w:val="24"/>
          <w:lang w:val="en-GB" w:eastAsia="en-GB"/>
        </w:rPr>
        <w:t xml:space="preserve">greater likelihood of </w:t>
      </w:r>
      <w:r w:rsidR="00A10E66" w:rsidRPr="00E915AA">
        <w:rPr>
          <w:rFonts w:ascii="Times New Roman" w:eastAsia="Calibri" w:hAnsi="Times New Roman" w:cs="Times New Roman"/>
          <w:color w:val="000000" w:themeColor="text1"/>
          <w:sz w:val="24"/>
          <w:szCs w:val="24"/>
          <w:lang w:val="en-GB" w:eastAsia="en-GB"/>
        </w:rPr>
        <w:t>income-</w:t>
      </w:r>
      <w:r w:rsidR="00A10E66" w:rsidRPr="00E915AA">
        <w:rPr>
          <w:rFonts w:ascii="Times New Roman" w:eastAsia="Calibri" w:hAnsi="Times New Roman" w:cs="Times New Roman"/>
          <w:i/>
          <w:iCs/>
          <w:color w:val="000000" w:themeColor="text1"/>
          <w:sz w:val="24"/>
          <w:szCs w:val="24"/>
          <w:lang w:val="en-GB" w:eastAsia="en-GB"/>
        </w:rPr>
        <w:t>increasing</w:t>
      </w:r>
      <w:r w:rsidR="00A10E66" w:rsidRPr="00E915AA">
        <w:rPr>
          <w:rFonts w:ascii="Times New Roman" w:eastAsia="Calibri" w:hAnsi="Times New Roman" w:cs="Times New Roman"/>
          <w:color w:val="000000" w:themeColor="text1"/>
          <w:sz w:val="24"/>
          <w:szCs w:val="24"/>
          <w:lang w:val="en-GB" w:eastAsia="en-GB"/>
        </w:rPr>
        <w:t xml:space="preserve"> sales-based REM</w:t>
      </w:r>
      <w:r w:rsidR="00F11511" w:rsidRPr="00E915AA">
        <w:rPr>
          <w:rFonts w:ascii="Times New Roman" w:eastAsia="Calibri" w:hAnsi="Times New Roman" w:cs="Times New Roman"/>
          <w:color w:val="000000" w:themeColor="text1"/>
          <w:sz w:val="24"/>
          <w:szCs w:val="24"/>
          <w:lang w:val="en-GB" w:eastAsia="en-GB"/>
        </w:rPr>
        <w:t>)</w:t>
      </w:r>
      <w:r w:rsidRPr="00E915AA">
        <w:rPr>
          <w:rFonts w:ascii="Times New Roman" w:eastAsia="Calibri" w:hAnsi="Times New Roman" w:cs="Times New Roman"/>
          <w:color w:val="000000" w:themeColor="text1"/>
          <w:sz w:val="24"/>
          <w:szCs w:val="24"/>
          <w:lang w:val="en-GB" w:eastAsia="en-GB"/>
        </w:rPr>
        <w:t xml:space="preserve">. </w:t>
      </w:r>
      <w:r w:rsidR="00DB7376" w:rsidRPr="00E915AA">
        <w:rPr>
          <w:rFonts w:ascii="Times New Roman" w:eastAsia="Calibri" w:hAnsi="Times New Roman" w:cs="Times New Roman"/>
          <w:color w:val="000000" w:themeColor="text1"/>
          <w:sz w:val="24"/>
          <w:szCs w:val="24"/>
          <w:lang w:val="en-GB" w:eastAsia="en-GB"/>
        </w:rPr>
        <w:t xml:space="preserve">In contrast to the </w:t>
      </w:r>
      <w:r w:rsidR="00D61B2D" w:rsidRPr="00E915AA">
        <w:rPr>
          <w:rFonts w:ascii="Times New Roman" w:eastAsia="Calibri" w:hAnsi="Times New Roman" w:cs="Times New Roman"/>
          <w:color w:val="000000" w:themeColor="text1"/>
          <w:sz w:val="24"/>
          <w:szCs w:val="24"/>
          <w:lang w:val="en-GB" w:eastAsia="en-GB"/>
        </w:rPr>
        <w:t xml:space="preserve">insignificant full sample results </w:t>
      </w:r>
      <w:r w:rsidR="00290786" w:rsidRPr="00E915AA">
        <w:rPr>
          <w:rFonts w:ascii="Times New Roman" w:eastAsia="Calibri" w:hAnsi="Times New Roman" w:cs="Times New Roman"/>
          <w:color w:val="000000" w:themeColor="text1"/>
          <w:sz w:val="24"/>
          <w:szCs w:val="24"/>
          <w:lang w:val="en-GB" w:eastAsia="en-GB"/>
        </w:rPr>
        <w:t>of</w:t>
      </w:r>
      <w:r w:rsidR="00D61B2D" w:rsidRPr="00E915AA">
        <w:rPr>
          <w:rFonts w:ascii="Times New Roman" w:eastAsia="Calibri" w:hAnsi="Times New Roman" w:cs="Times New Roman"/>
          <w:color w:val="000000" w:themeColor="text1"/>
          <w:sz w:val="24"/>
          <w:szCs w:val="24"/>
          <w:lang w:val="en-GB" w:eastAsia="en-GB"/>
        </w:rPr>
        <w:t xml:space="preserve"> Table 4, Column (11), </w:t>
      </w:r>
      <w:r w:rsidR="00321E25" w:rsidRPr="00E915AA">
        <w:rPr>
          <w:rFonts w:ascii="Times New Roman" w:eastAsia="Calibri" w:hAnsi="Times New Roman" w:cs="Times New Roman"/>
          <w:color w:val="000000" w:themeColor="text1"/>
          <w:sz w:val="24"/>
          <w:szCs w:val="24"/>
          <w:lang w:val="en-GB" w:eastAsia="en-GB"/>
        </w:rPr>
        <w:t xml:space="preserve">a significant negative </w:t>
      </w:r>
      <w:r w:rsidR="00770BFF" w:rsidRPr="00E915AA">
        <w:rPr>
          <w:rFonts w:ascii="Times New Roman" w:eastAsia="Calibri" w:hAnsi="Times New Roman" w:cs="Times New Roman"/>
          <w:color w:val="000000" w:themeColor="text1"/>
          <w:sz w:val="24"/>
          <w:szCs w:val="24"/>
          <w:lang w:val="en-GB" w:eastAsia="en-GB"/>
        </w:rPr>
        <w:t xml:space="preserve">coefficient on </w:t>
      </w:r>
      <w:r w:rsidR="00770BFF" w:rsidRPr="00E915AA">
        <w:rPr>
          <w:rFonts w:ascii="Times New Roman" w:eastAsia="Calibri" w:hAnsi="Times New Roman" w:cs="Times New Roman"/>
          <w:i/>
          <w:iCs/>
          <w:color w:val="000000" w:themeColor="text1"/>
          <w:sz w:val="24"/>
          <w:szCs w:val="24"/>
          <w:lang w:val="en-GB" w:eastAsia="en-GB"/>
        </w:rPr>
        <w:t>ACFO</w:t>
      </w:r>
      <w:r w:rsidR="00770BFF" w:rsidRPr="00E915AA">
        <w:rPr>
          <w:rFonts w:ascii="Times New Roman" w:eastAsia="Calibri" w:hAnsi="Times New Roman" w:cs="Times New Roman"/>
          <w:color w:val="000000" w:themeColor="text1"/>
          <w:sz w:val="24"/>
          <w:szCs w:val="24"/>
          <w:lang w:val="en-GB" w:eastAsia="en-GB"/>
        </w:rPr>
        <w:t xml:space="preserve">, but a significant positive combined effect of </w:t>
      </w:r>
      <w:r w:rsidR="00770BFF" w:rsidRPr="00E915AA">
        <w:rPr>
          <w:rFonts w:ascii="Times New Roman" w:eastAsia="Calibri" w:hAnsi="Times New Roman" w:cs="Times New Roman"/>
          <w:i/>
          <w:iCs/>
          <w:color w:val="000000" w:themeColor="text1"/>
          <w:sz w:val="24"/>
          <w:szCs w:val="24"/>
          <w:lang w:val="en-GB" w:eastAsia="en-GB"/>
        </w:rPr>
        <w:t>ACFO</w:t>
      </w:r>
      <w:r w:rsidR="00770BFF" w:rsidRPr="00E915AA">
        <w:rPr>
          <w:rFonts w:ascii="Times New Roman" w:eastAsia="Calibri" w:hAnsi="Times New Roman" w:cs="Times New Roman"/>
          <w:color w:val="000000" w:themeColor="text1"/>
          <w:sz w:val="24"/>
          <w:szCs w:val="24"/>
          <w:lang w:val="en-GB" w:eastAsia="en-GB"/>
        </w:rPr>
        <w:t xml:space="preserve"> + </w:t>
      </w:r>
      <w:r w:rsidR="00770BFF" w:rsidRPr="00E915AA">
        <w:rPr>
          <w:rFonts w:ascii="Times New Roman" w:eastAsia="Calibri" w:hAnsi="Times New Roman" w:cs="Times New Roman"/>
          <w:i/>
          <w:iCs/>
          <w:color w:val="000000" w:themeColor="text1"/>
          <w:sz w:val="24"/>
          <w:szCs w:val="24"/>
          <w:lang w:val="en-GB" w:eastAsia="en-GB"/>
        </w:rPr>
        <w:t>ACFO</w:t>
      </w:r>
      <w:r w:rsidR="00770BFF" w:rsidRPr="00E915AA">
        <w:rPr>
          <w:rFonts w:ascii="Times New Roman" w:eastAsia="Calibri" w:hAnsi="Times New Roman" w:cs="Times New Roman"/>
          <w:color w:val="000000" w:themeColor="text1"/>
          <w:sz w:val="24"/>
          <w:szCs w:val="24"/>
          <w:lang w:val="en-GB" w:eastAsia="en-GB"/>
        </w:rPr>
        <w:t>*</w:t>
      </w:r>
      <w:r w:rsidR="00770BFF" w:rsidRPr="00E915AA">
        <w:rPr>
          <w:rFonts w:ascii="Times New Roman" w:eastAsia="Calibri" w:hAnsi="Times New Roman" w:cs="Times New Roman"/>
          <w:i/>
          <w:iCs/>
          <w:color w:val="000000" w:themeColor="text1"/>
          <w:sz w:val="24"/>
          <w:szCs w:val="24"/>
          <w:lang w:val="en-GB" w:eastAsia="en-GB"/>
        </w:rPr>
        <w:t>JOBS Act</w:t>
      </w:r>
      <w:r w:rsidR="006A5BE4" w:rsidRPr="00E915AA">
        <w:rPr>
          <w:rFonts w:ascii="Times New Roman" w:eastAsia="Calibri" w:hAnsi="Times New Roman" w:cs="Times New Roman"/>
          <w:color w:val="000000" w:themeColor="text1"/>
          <w:sz w:val="24"/>
          <w:szCs w:val="24"/>
          <w:lang w:val="en-GB" w:eastAsia="en-GB"/>
        </w:rPr>
        <w:t xml:space="preserve">, provides some indication </w:t>
      </w:r>
      <w:r w:rsidR="00F249E9" w:rsidRPr="00E915AA">
        <w:rPr>
          <w:rFonts w:ascii="Times New Roman" w:eastAsia="Calibri" w:hAnsi="Times New Roman" w:cs="Times New Roman"/>
          <w:color w:val="000000" w:themeColor="text1"/>
          <w:sz w:val="24"/>
          <w:szCs w:val="24"/>
          <w:lang w:val="en-GB" w:eastAsia="en-GB"/>
        </w:rPr>
        <w:t>that</w:t>
      </w:r>
      <w:r w:rsidR="00211AE9" w:rsidRPr="00E915AA">
        <w:rPr>
          <w:rFonts w:ascii="Times New Roman" w:eastAsia="Calibri" w:hAnsi="Times New Roman" w:cs="Times New Roman"/>
          <w:color w:val="000000" w:themeColor="text1"/>
          <w:sz w:val="24"/>
          <w:szCs w:val="24"/>
          <w:lang w:val="en-GB" w:eastAsia="en-GB"/>
        </w:rPr>
        <w:t xml:space="preserve"> prior to the JOBS Act’s enactment</w:t>
      </w:r>
      <w:r w:rsidR="00F249E9" w:rsidRPr="00E915AA">
        <w:rPr>
          <w:rFonts w:ascii="Times New Roman" w:eastAsia="Calibri" w:hAnsi="Times New Roman" w:cs="Times New Roman"/>
          <w:color w:val="000000" w:themeColor="text1"/>
          <w:sz w:val="24"/>
          <w:szCs w:val="24"/>
          <w:lang w:val="en-GB" w:eastAsia="en-GB"/>
        </w:rPr>
        <w:t xml:space="preserve"> </w:t>
      </w:r>
      <w:r w:rsidR="006A5BE4" w:rsidRPr="00E915AA">
        <w:rPr>
          <w:rFonts w:ascii="Times New Roman" w:eastAsia="Calibri" w:hAnsi="Times New Roman" w:cs="Times New Roman"/>
          <w:color w:val="000000" w:themeColor="text1"/>
          <w:sz w:val="24"/>
          <w:szCs w:val="24"/>
          <w:lang w:val="en-GB" w:eastAsia="en-GB"/>
        </w:rPr>
        <w:t>th</w:t>
      </w:r>
      <w:r w:rsidR="00E47BA9" w:rsidRPr="00E915AA">
        <w:rPr>
          <w:rFonts w:ascii="Times New Roman" w:eastAsia="Calibri" w:hAnsi="Times New Roman" w:cs="Times New Roman"/>
          <w:color w:val="000000" w:themeColor="text1"/>
          <w:sz w:val="24"/>
          <w:szCs w:val="24"/>
          <w:lang w:val="en-GB" w:eastAsia="en-GB"/>
        </w:rPr>
        <w:t>e</w:t>
      </w:r>
      <w:r w:rsidR="006A5BE4" w:rsidRPr="00E915AA">
        <w:rPr>
          <w:rFonts w:ascii="Times New Roman" w:eastAsia="Calibri" w:hAnsi="Times New Roman" w:cs="Times New Roman"/>
          <w:color w:val="000000" w:themeColor="text1"/>
          <w:sz w:val="24"/>
          <w:szCs w:val="24"/>
          <w:lang w:val="en-GB" w:eastAsia="en-GB"/>
        </w:rPr>
        <w:t xml:space="preserve"> SEC </w:t>
      </w:r>
      <w:r w:rsidR="00B80E04" w:rsidRPr="00E915AA">
        <w:rPr>
          <w:rFonts w:ascii="Times New Roman" w:eastAsia="Calibri" w:hAnsi="Times New Roman" w:cs="Times New Roman"/>
          <w:color w:val="000000" w:themeColor="text1"/>
          <w:sz w:val="24"/>
          <w:szCs w:val="24"/>
          <w:lang w:val="en-GB" w:eastAsia="en-GB"/>
        </w:rPr>
        <w:t>did</w:t>
      </w:r>
      <w:r w:rsidR="00402425" w:rsidRPr="00E915AA">
        <w:rPr>
          <w:rFonts w:ascii="Times New Roman" w:eastAsia="Calibri" w:hAnsi="Times New Roman" w:cs="Times New Roman"/>
          <w:color w:val="000000" w:themeColor="text1"/>
          <w:sz w:val="24"/>
          <w:szCs w:val="24"/>
          <w:lang w:val="en-GB" w:eastAsia="en-GB"/>
        </w:rPr>
        <w:t xml:space="preserve"> effectively respond to </w:t>
      </w:r>
      <w:r w:rsidR="00E50419" w:rsidRPr="00E915AA">
        <w:rPr>
          <w:rFonts w:ascii="Times New Roman" w:eastAsia="Calibri" w:hAnsi="Times New Roman" w:cs="Times New Roman"/>
          <w:color w:val="000000" w:themeColor="text1"/>
          <w:sz w:val="24"/>
          <w:szCs w:val="24"/>
          <w:lang w:val="en-GB" w:eastAsia="en-GB"/>
        </w:rPr>
        <w:t xml:space="preserve">income increasing </w:t>
      </w:r>
      <w:r w:rsidR="006A5BE4" w:rsidRPr="00E915AA">
        <w:rPr>
          <w:rFonts w:ascii="Times New Roman" w:eastAsia="Calibri" w:hAnsi="Times New Roman" w:cs="Times New Roman"/>
          <w:color w:val="000000" w:themeColor="text1"/>
          <w:sz w:val="24"/>
          <w:szCs w:val="24"/>
          <w:lang w:val="en-GB" w:eastAsia="en-GB"/>
        </w:rPr>
        <w:t xml:space="preserve">sales-based REM </w:t>
      </w:r>
      <w:r w:rsidR="00B015C1" w:rsidRPr="00E915AA">
        <w:rPr>
          <w:rFonts w:ascii="Times New Roman" w:eastAsia="Calibri" w:hAnsi="Times New Roman" w:cs="Times New Roman"/>
          <w:color w:val="000000" w:themeColor="text1"/>
          <w:sz w:val="24"/>
          <w:szCs w:val="24"/>
          <w:lang w:val="en-GB" w:eastAsia="en-GB"/>
        </w:rPr>
        <w:t>by issuing more core-accounting-related comments</w:t>
      </w:r>
      <w:r w:rsidR="00F64538" w:rsidRPr="00E915AA">
        <w:rPr>
          <w:rFonts w:ascii="Times New Roman" w:eastAsia="Calibri" w:hAnsi="Times New Roman" w:cs="Times New Roman"/>
          <w:color w:val="000000" w:themeColor="text1"/>
          <w:sz w:val="24"/>
          <w:szCs w:val="24"/>
          <w:lang w:val="en-GB" w:eastAsia="en-GB"/>
        </w:rPr>
        <w:t>.</w:t>
      </w:r>
      <w:r w:rsidR="00E50419" w:rsidRPr="00E915AA">
        <w:rPr>
          <w:rFonts w:ascii="Times New Roman" w:eastAsia="Calibri" w:hAnsi="Times New Roman" w:cs="Times New Roman"/>
          <w:color w:val="000000" w:themeColor="text1"/>
          <w:sz w:val="24"/>
          <w:szCs w:val="24"/>
          <w:lang w:val="en-GB" w:eastAsia="en-GB"/>
        </w:rPr>
        <w:t xml:space="preserve"> </w:t>
      </w:r>
      <w:r w:rsidR="00F64538" w:rsidRPr="00E915AA">
        <w:rPr>
          <w:rFonts w:ascii="Times New Roman" w:eastAsia="Calibri" w:hAnsi="Times New Roman" w:cs="Times New Roman"/>
          <w:color w:val="000000" w:themeColor="text1"/>
          <w:sz w:val="24"/>
          <w:szCs w:val="24"/>
          <w:lang w:val="en-GB" w:eastAsia="en-GB"/>
        </w:rPr>
        <w:lastRenderedPageBreak/>
        <w:t>However, under the JOBS Act, the SEC are</w:t>
      </w:r>
      <w:r w:rsidR="00E50419" w:rsidRPr="00E915AA">
        <w:rPr>
          <w:rFonts w:ascii="Times New Roman" w:eastAsia="Calibri" w:hAnsi="Times New Roman" w:cs="Times New Roman"/>
          <w:color w:val="000000" w:themeColor="text1"/>
          <w:sz w:val="24"/>
          <w:szCs w:val="24"/>
          <w:lang w:val="en-GB" w:eastAsia="en-GB"/>
        </w:rPr>
        <w:t xml:space="preserve"> just as likely </w:t>
      </w:r>
      <w:r w:rsidR="006C42A2" w:rsidRPr="00E915AA">
        <w:rPr>
          <w:rFonts w:ascii="Times New Roman" w:eastAsia="Calibri" w:hAnsi="Times New Roman" w:cs="Times New Roman"/>
          <w:color w:val="000000" w:themeColor="text1"/>
          <w:sz w:val="24"/>
          <w:szCs w:val="24"/>
          <w:lang w:val="en-GB" w:eastAsia="en-GB"/>
        </w:rPr>
        <w:t xml:space="preserve">(or </w:t>
      </w:r>
      <w:r w:rsidR="008E10C0" w:rsidRPr="00E915AA">
        <w:rPr>
          <w:rFonts w:ascii="Times New Roman" w:eastAsia="Calibri" w:hAnsi="Times New Roman" w:cs="Times New Roman"/>
          <w:color w:val="000000" w:themeColor="text1"/>
          <w:sz w:val="24"/>
          <w:szCs w:val="24"/>
          <w:lang w:val="en-GB" w:eastAsia="en-GB"/>
        </w:rPr>
        <w:t xml:space="preserve">perhaps </w:t>
      </w:r>
      <w:r w:rsidR="006C42A2" w:rsidRPr="00E915AA">
        <w:rPr>
          <w:rFonts w:ascii="Times New Roman" w:eastAsia="Calibri" w:hAnsi="Times New Roman" w:cs="Times New Roman"/>
          <w:color w:val="000000" w:themeColor="text1"/>
          <w:sz w:val="24"/>
          <w:szCs w:val="24"/>
          <w:lang w:val="en-GB" w:eastAsia="en-GB"/>
        </w:rPr>
        <w:t>more likely) to target income-</w:t>
      </w:r>
      <w:r w:rsidR="006C42A2" w:rsidRPr="00E915AA">
        <w:rPr>
          <w:rFonts w:ascii="Times New Roman" w:eastAsia="Calibri" w:hAnsi="Times New Roman" w:cs="Times New Roman"/>
          <w:i/>
          <w:iCs/>
          <w:color w:val="000000" w:themeColor="text1"/>
          <w:sz w:val="24"/>
          <w:szCs w:val="24"/>
          <w:lang w:val="en-GB" w:eastAsia="en-GB"/>
        </w:rPr>
        <w:t>decreasing</w:t>
      </w:r>
      <w:r w:rsidR="006C42A2" w:rsidRPr="00E915AA">
        <w:rPr>
          <w:rFonts w:ascii="Times New Roman" w:eastAsia="Calibri" w:hAnsi="Times New Roman" w:cs="Times New Roman"/>
          <w:color w:val="000000" w:themeColor="text1"/>
          <w:sz w:val="24"/>
          <w:szCs w:val="24"/>
          <w:lang w:val="en-GB" w:eastAsia="en-GB"/>
        </w:rPr>
        <w:t xml:space="preserve"> </w:t>
      </w:r>
      <w:r w:rsidR="006A47BA" w:rsidRPr="00E915AA">
        <w:rPr>
          <w:rFonts w:ascii="Times New Roman" w:eastAsia="Calibri" w:hAnsi="Times New Roman" w:cs="Times New Roman"/>
          <w:color w:val="000000" w:themeColor="text1"/>
          <w:sz w:val="24"/>
          <w:szCs w:val="24"/>
          <w:lang w:val="en-GB" w:eastAsia="en-GB"/>
        </w:rPr>
        <w:t>REM</w:t>
      </w:r>
      <w:r w:rsidR="00D23961" w:rsidRPr="00E915AA">
        <w:rPr>
          <w:rFonts w:ascii="Times New Roman" w:eastAsia="Calibri" w:hAnsi="Times New Roman" w:cs="Times New Roman"/>
          <w:color w:val="000000" w:themeColor="text1"/>
          <w:sz w:val="24"/>
          <w:szCs w:val="24"/>
          <w:lang w:val="en-GB" w:eastAsia="en-GB"/>
        </w:rPr>
        <w:t xml:space="preserve"> through sales manipulation</w:t>
      </w:r>
      <w:r w:rsidR="00B37444" w:rsidRPr="00E915AA">
        <w:rPr>
          <w:rFonts w:ascii="Times New Roman" w:eastAsia="Calibri" w:hAnsi="Times New Roman" w:cs="Times New Roman"/>
          <w:color w:val="000000" w:themeColor="text1"/>
          <w:sz w:val="24"/>
          <w:szCs w:val="24"/>
          <w:lang w:val="en-GB" w:eastAsia="en-GB"/>
        </w:rPr>
        <w:t>.</w:t>
      </w:r>
    </w:p>
    <w:p w14:paraId="08B3B22C" w14:textId="7262A620" w:rsidR="002C6719" w:rsidRPr="00E915AA" w:rsidRDefault="001C6406" w:rsidP="00E736AD">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color w:val="000000" w:themeColor="text1"/>
          <w:sz w:val="24"/>
          <w:szCs w:val="24"/>
          <w:lang w:val="en-GB" w:eastAsia="en-GB"/>
        </w:rPr>
        <w:t xml:space="preserve">Concerning discretionary-expense-based REM, coefficients on the interaction </w:t>
      </w:r>
      <w:r w:rsidRPr="00E915AA">
        <w:rPr>
          <w:rFonts w:ascii="Times New Roman" w:eastAsia="Calibri" w:hAnsi="Times New Roman" w:cs="Times New Roman"/>
          <w:i/>
          <w:iCs/>
          <w:color w:val="000000" w:themeColor="text1"/>
          <w:sz w:val="24"/>
          <w:szCs w:val="24"/>
          <w:lang w:val="en-GB" w:eastAsia="en-GB"/>
        </w:rPr>
        <w:t xml:space="preserve">ADISEXP*JOBS Act </w:t>
      </w:r>
      <w:r w:rsidRPr="00E915AA">
        <w:rPr>
          <w:rFonts w:ascii="Times New Roman" w:eastAsia="Calibri" w:hAnsi="Times New Roman" w:cs="Times New Roman"/>
          <w:color w:val="000000" w:themeColor="text1"/>
          <w:sz w:val="24"/>
          <w:szCs w:val="24"/>
          <w:lang w:val="en-GB" w:eastAsia="en-GB"/>
        </w:rPr>
        <w:t xml:space="preserve">are observed to be </w:t>
      </w:r>
      <w:r w:rsidR="00641C90" w:rsidRPr="00E915AA">
        <w:rPr>
          <w:rFonts w:ascii="Times New Roman" w:eastAsia="Calibri" w:hAnsi="Times New Roman" w:cs="Times New Roman"/>
          <w:color w:val="000000" w:themeColor="text1"/>
          <w:sz w:val="24"/>
          <w:szCs w:val="24"/>
          <w:lang w:val="en-GB" w:eastAsia="en-GB"/>
        </w:rPr>
        <w:t xml:space="preserve">significantly </w:t>
      </w:r>
      <w:r w:rsidRPr="00E915AA">
        <w:rPr>
          <w:rFonts w:ascii="Times New Roman" w:eastAsia="Calibri" w:hAnsi="Times New Roman" w:cs="Times New Roman"/>
          <w:color w:val="000000" w:themeColor="text1"/>
          <w:sz w:val="24"/>
          <w:szCs w:val="24"/>
          <w:lang w:val="en-GB" w:eastAsia="en-GB"/>
        </w:rPr>
        <w:t>negative in Column (9), (12) and (15), showing that the SEC issue broader comment types, more core-accounting-related comments and more non-core-accounting-related comments for IPOs displaying higher discretionary-expense-based earnings management in the post-JOBS Act period.</w:t>
      </w:r>
      <w:r w:rsidRPr="00E915AA">
        <w:rPr>
          <w:rFonts w:ascii="Times New Roman" w:eastAsia="Calibri" w:hAnsi="Times New Roman" w:cs="Times New Roman"/>
          <w:i/>
          <w:iCs/>
          <w:color w:val="000000" w:themeColor="text1"/>
          <w:sz w:val="24"/>
          <w:szCs w:val="24"/>
          <w:lang w:val="en-GB" w:eastAsia="en-GB"/>
        </w:rPr>
        <w:t xml:space="preserve"> </w:t>
      </w:r>
      <w:r w:rsidR="001D330F" w:rsidRPr="00E915AA">
        <w:rPr>
          <w:rFonts w:ascii="Times New Roman" w:eastAsia="Calibri" w:hAnsi="Times New Roman" w:cs="Times New Roman"/>
          <w:color w:val="000000" w:themeColor="text1"/>
          <w:sz w:val="24"/>
          <w:szCs w:val="24"/>
          <w:lang w:val="en-GB" w:eastAsia="en-GB"/>
        </w:rPr>
        <w:t>The</w:t>
      </w:r>
      <w:r w:rsidR="00C10A89" w:rsidRPr="00E915AA">
        <w:rPr>
          <w:rFonts w:ascii="Times New Roman" w:eastAsia="Calibri" w:hAnsi="Times New Roman" w:cs="Times New Roman"/>
          <w:color w:val="000000" w:themeColor="text1"/>
          <w:sz w:val="24"/>
          <w:szCs w:val="24"/>
          <w:lang w:val="en-GB" w:eastAsia="en-GB"/>
        </w:rPr>
        <w:t xml:space="preserve"> findings indicate that</w:t>
      </w:r>
      <w:r w:rsidR="00AD76B4" w:rsidRPr="00E915AA">
        <w:rPr>
          <w:rFonts w:ascii="Times New Roman" w:eastAsia="Calibri" w:hAnsi="Times New Roman" w:cs="Times New Roman"/>
          <w:color w:val="000000" w:themeColor="text1"/>
          <w:sz w:val="24"/>
          <w:szCs w:val="24"/>
          <w:lang w:val="en-GB" w:eastAsia="en-GB"/>
        </w:rPr>
        <w:t>,</w:t>
      </w:r>
      <w:r w:rsidR="00C10A89" w:rsidRPr="00E915AA">
        <w:rPr>
          <w:rFonts w:ascii="Times New Roman" w:eastAsia="Calibri" w:hAnsi="Times New Roman" w:cs="Times New Roman"/>
          <w:color w:val="000000" w:themeColor="text1"/>
          <w:sz w:val="24"/>
          <w:szCs w:val="24"/>
          <w:lang w:val="en-GB" w:eastAsia="en-GB"/>
        </w:rPr>
        <w:t xml:space="preserve"> </w:t>
      </w:r>
      <w:r w:rsidR="000952F9" w:rsidRPr="00E915AA">
        <w:rPr>
          <w:rFonts w:ascii="Times New Roman" w:eastAsia="Calibri" w:hAnsi="Times New Roman" w:cs="Times New Roman"/>
          <w:color w:val="000000" w:themeColor="text1"/>
          <w:sz w:val="24"/>
          <w:szCs w:val="24"/>
          <w:lang w:val="en-GB" w:eastAsia="en-GB"/>
        </w:rPr>
        <w:t xml:space="preserve">after the JOBS Act enactment, the SEC pay more attention to </w:t>
      </w:r>
      <w:r w:rsidR="00D167AD" w:rsidRPr="00E915AA">
        <w:rPr>
          <w:rFonts w:ascii="Times New Roman" w:eastAsia="Calibri" w:hAnsi="Times New Roman" w:cs="Times New Roman"/>
          <w:color w:val="000000" w:themeColor="text1"/>
          <w:sz w:val="24"/>
          <w:szCs w:val="24"/>
          <w:lang w:val="en-GB" w:eastAsia="en-GB"/>
        </w:rPr>
        <w:t xml:space="preserve">and effectively address </w:t>
      </w:r>
      <w:r w:rsidR="00C729ED" w:rsidRPr="00E915AA">
        <w:rPr>
          <w:rFonts w:ascii="Times New Roman" w:eastAsia="Calibri" w:hAnsi="Times New Roman" w:cs="Times New Roman"/>
          <w:color w:val="000000" w:themeColor="text1"/>
          <w:sz w:val="24"/>
          <w:szCs w:val="24"/>
          <w:lang w:val="en-GB" w:eastAsia="en-GB"/>
        </w:rPr>
        <w:t xml:space="preserve">real earnings management </w:t>
      </w:r>
      <w:r w:rsidR="002D16D3" w:rsidRPr="00E915AA">
        <w:rPr>
          <w:rFonts w:ascii="Times New Roman" w:eastAsia="Calibri" w:hAnsi="Times New Roman" w:cs="Times New Roman"/>
          <w:color w:val="000000" w:themeColor="text1"/>
          <w:sz w:val="24"/>
          <w:szCs w:val="24"/>
          <w:lang w:val="en-GB" w:eastAsia="en-GB"/>
        </w:rPr>
        <w:t xml:space="preserve">through discretionary expense manipulation </w:t>
      </w:r>
      <w:r w:rsidR="00C729ED" w:rsidRPr="00E915AA">
        <w:rPr>
          <w:rFonts w:ascii="Times New Roman" w:eastAsia="Calibri" w:hAnsi="Times New Roman" w:cs="Times New Roman"/>
          <w:color w:val="000000" w:themeColor="text1"/>
          <w:sz w:val="24"/>
          <w:szCs w:val="24"/>
          <w:lang w:val="en-GB" w:eastAsia="en-GB"/>
        </w:rPr>
        <w:t>within IPO registration statements</w:t>
      </w:r>
      <w:r w:rsidR="00AD76B4" w:rsidRPr="00E915AA">
        <w:rPr>
          <w:rFonts w:ascii="Times New Roman" w:eastAsia="Calibri" w:hAnsi="Times New Roman" w:cs="Times New Roman"/>
          <w:color w:val="000000" w:themeColor="text1"/>
          <w:sz w:val="24"/>
          <w:szCs w:val="24"/>
          <w:lang w:val="en-GB" w:eastAsia="en-GB"/>
        </w:rPr>
        <w:t>,</w:t>
      </w:r>
      <w:r w:rsidR="00352912" w:rsidRPr="00E915AA">
        <w:rPr>
          <w:rFonts w:ascii="Times New Roman" w:eastAsia="Calibri" w:hAnsi="Times New Roman" w:cs="Times New Roman"/>
          <w:color w:val="000000" w:themeColor="text1"/>
          <w:sz w:val="24"/>
          <w:szCs w:val="24"/>
          <w:lang w:val="en-GB" w:eastAsia="en-GB"/>
        </w:rPr>
        <w:t xml:space="preserve"> </w:t>
      </w:r>
      <w:r w:rsidR="00565A7B" w:rsidRPr="00E915AA">
        <w:rPr>
          <w:rFonts w:ascii="Times New Roman" w:eastAsia="Calibri" w:hAnsi="Times New Roman" w:cs="Times New Roman"/>
          <w:color w:val="000000" w:themeColor="text1"/>
          <w:sz w:val="24"/>
          <w:szCs w:val="24"/>
          <w:lang w:val="en-GB" w:eastAsia="en-GB"/>
        </w:rPr>
        <w:t xml:space="preserve">perhaps because </w:t>
      </w:r>
      <w:r w:rsidR="00F106F9" w:rsidRPr="00E915AA">
        <w:rPr>
          <w:rFonts w:ascii="Times New Roman" w:eastAsia="Calibri" w:hAnsi="Times New Roman" w:cs="Times New Roman"/>
          <w:color w:val="000000" w:themeColor="text1"/>
          <w:sz w:val="24"/>
          <w:szCs w:val="24"/>
          <w:lang w:val="en-GB" w:eastAsia="en-GB"/>
        </w:rPr>
        <w:t>of greater</w:t>
      </w:r>
      <w:r w:rsidR="004B738D" w:rsidRPr="00E915AA">
        <w:rPr>
          <w:rFonts w:ascii="Times New Roman" w:eastAsia="Calibri" w:hAnsi="Times New Roman" w:cs="Times New Roman"/>
          <w:color w:val="000000" w:themeColor="text1"/>
          <w:sz w:val="24"/>
          <w:szCs w:val="24"/>
          <w:lang w:val="en-GB" w:eastAsia="en-GB"/>
        </w:rPr>
        <w:t xml:space="preserve"> vigilan</w:t>
      </w:r>
      <w:r w:rsidR="00F106F9" w:rsidRPr="00E915AA">
        <w:rPr>
          <w:rFonts w:ascii="Times New Roman" w:eastAsia="Calibri" w:hAnsi="Times New Roman" w:cs="Times New Roman"/>
          <w:color w:val="000000" w:themeColor="text1"/>
          <w:sz w:val="24"/>
          <w:szCs w:val="24"/>
          <w:lang w:val="en-GB" w:eastAsia="en-GB"/>
        </w:rPr>
        <w:t>ce</w:t>
      </w:r>
      <w:r w:rsidR="00565A7B" w:rsidRPr="00E915AA">
        <w:rPr>
          <w:rFonts w:ascii="Times New Roman" w:eastAsia="Calibri" w:hAnsi="Times New Roman" w:cs="Times New Roman"/>
          <w:color w:val="000000" w:themeColor="text1"/>
          <w:sz w:val="24"/>
          <w:szCs w:val="24"/>
          <w:lang w:val="en-GB" w:eastAsia="en-GB"/>
        </w:rPr>
        <w:t xml:space="preserve"> given reduc</w:t>
      </w:r>
      <w:r w:rsidR="00F106F9" w:rsidRPr="00E915AA">
        <w:rPr>
          <w:rFonts w:ascii="Times New Roman" w:eastAsia="Calibri" w:hAnsi="Times New Roman" w:cs="Times New Roman"/>
          <w:color w:val="000000" w:themeColor="text1"/>
          <w:sz w:val="24"/>
          <w:szCs w:val="24"/>
          <w:lang w:val="en-GB" w:eastAsia="en-GB"/>
        </w:rPr>
        <w:t>ed</w:t>
      </w:r>
      <w:r w:rsidR="00565A7B" w:rsidRPr="00E915AA">
        <w:rPr>
          <w:rFonts w:ascii="Times New Roman" w:eastAsia="Calibri" w:hAnsi="Times New Roman" w:cs="Times New Roman"/>
          <w:color w:val="000000" w:themeColor="text1"/>
          <w:sz w:val="24"/>
          <w:szCs w:val="24"/>
          <w:lang w:val="en-GB" w:eastAsia="en-GB"/>
        </w:rPr>
        <w:t xml:space="preserve"> IPO disclosures</w:t>
      </w:r>
      <w:r w:rsidR="00C94B50" w:rsidRPr="00E915AA">
        <w:rPr>
          <w:rFonts w:ascii="Times New Roman" w:eastAsia="Calibri" w:hAnsi="Times New Roman" w:cs="Times New Roman"/>
          <w:color w:val="000000" w:themeColor="text1"/>
          <w:sz w:val="24"/>
          <w:szCs w:val="24"/>
          <w:lang w:val="en-GB" w:eastAsia="en-GB"/>
        </w:rPr>
        <w:t>.</w:t>
      </w:r>
      <w:r w:rsidR="004F1EE9" w:rsidRPr="00E915AA">
        <w:rPr>
          <w:rFonts w:ascii="Times New Roman" w:eastAsia="Calibri" w:hAnsi="Times New Roman" w:cs="Times New Roman"/>
          <w:color w:val="000000" w:themeColor="text1"/>
          <w:sz w:val="24"/>
          <w:szCs w:val="24"/>
          <w:lang w:val="en-GB" w:eastAsia="en-GB"/>
        </w:rPr>
        <w:t xml:space="preserve"> </w:t>
      </w:r>
    </w:p>
    <w:p w14:paraId="4E2D35AA" w14:textId="4382666F" w:rsidR="002C6719" w:rsidRPr="00E915AA" w:rsidRDefault="002C6719" w:rsidP="002C6719">
      <w:pPr>
        <w:spacing w:before="240" w:after="240" w:line="360" w:lineRule="auto"/>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 xml:space="preserve">[Insert Table </w:t>
      </w:r>
      <w:r w:rsidR="00282004" w:rsidRPr="00E915AA">
        <w:rPr>
          <w:rFonts w:ascii="Times New Roman" w:eastAsia="Calibri" w:hAnsi="Times New Roman" w:cs="Times New Roman"/>
          <w:b/>
          <w:bCs/>
          <w:sz w:val="24"/>
          <w:szCs w:val="24"/>
          <w:lang w:val="en-GB" w:eastAsia="en-GB"/>
        </w:rPr>
        <w:t>6</w:t>
      </w:r>
      <w:r w:rsidRPr="00E915AA">
        <w:rPr>
          <w:rFonts w:ascii="Times New Roman" w:eastAsia="Calibri" w:hAnsi="Times New Roman" w:cs="Times New Roman"/>
          <w:b/>
          <w:bCs/>
          <w:sz w:val="24"/>
          <w:szCs w:val="24"/>
          <w:lang w:val="en-GB" w:eastAsia="en-GB"/>
        </w:rPr>
        <w:t xml:space="preserve"> about here]</w:t>
      </w:r>
    </w:p>
    <w:p w14:paraId="232DC68F" w14:textId="5A9EBCBD" w:rsidR="001C6406" w:rsidRPr="00E915AA" w:rsidRDefault="001C6406" w:rsidP="00E915AA">
      <w:pPr>
        <w:pStyle w:val="ListParagraph"/>
        <w:numPr>
          <w:ilvl w:val="1"/>
          <w:numId w:val="42"/>
        </w:numPr>
        <w:spacing w:before="240" w:after="240" w:line="360" w:lineRule="auto"/>
        <w:jc w:val="both"/>
        <w:rPr>
          <w:rFonts w:ascii="Times New Roman" w:eastAsia="Calibri" w:hAnsi="Times New Roman" w:cs="Times New Roman"/>
          <w:b/>
          <w:bCs/>
          <w:sz w:val="24"/>
          <w:szCs w:val="24"/>
          <w:lang w:val="en-GB" w:eastAsia="en-GB"/>
        </w:rPr>
      </w:pPr>
      <w:bookmarkStart w:id="32" w:name="_Toc43219828"/>
      <w:bookmarkStart w:id="33" w:name="_Toc69749305"/>
      <w:r w:rsidRPr="00E915AA">
        <w:rPr>
          <w:rFonts w:ascii="Times New Roman" w:eastAsia="Calibri" w:hAnsi="Times New Roman" w:cs="Times New Roman"/>
          <w:b/>
          <w:bCs/>
          <w:sz w:val="24"/>
          <w:szCs w:val="24"/>
          <w:lang w:val="en-GB" w:eastAsia="en-GB"/>
        </w:rPr>
        <w:t>Robustness tests</w:t>
      </w:r>
    </w:p>
    <w:p w14:paraId="3022253F" w14:textId="77777777" w:rsidR="001C6406" w:rsidRPr="00E915AA" w:rsidRDefault="001C6406" w:rsidP="001C6406">
      <w:pPr>
        <w:pStyle w:val="ListParagraph"/>
        <w:spacing w:before="240" w:after="240" w:line="360" w:lineRule="auto"/>
        <w:ind w:left="0"/>
        <w:contextualSpacing w:val="0"/>
        <w:jc w:val="both"/>
        <w:rPr>
          <w:rFonts w:ascii="Times New Roman" w:eastAsia="Calibri" w:hAnsi="Times New Roman" w:cs="Times New Roman"/>
          <w:i/>
          <w:iCs/>
          <w:sz w:val="24"/>
          <w:szCs w:val="24"/>
          <w:lang w:val="en-GB" w:eastAsia="en-GB"/>
        </w:rPr>
      </w:pPr>
      <w:r w:rsidRPr="00E915AA">
        <w:rPr>
          <w:rFonts w:ascii="Times New Roman" w:eastAsia="Calibri" w:hAnsi="Times New Roman" w:cs="Times New Roman"/>
          <w:i/>
          <w:iCs/>
          <w:sz w:val="24"/>
          <w:szCs w:val="24"/>
          <w:lang w:val="en-GB" w:eastAsia="en-GB"/>
        </w:rPr>
        <w:t>IPO firm filing the draft IPO registration statement.</w:t>
      </w:r>
    </w:p>
    <w:p w14:paraId="28FBB9A1" w14:textId="23EB084F" w:rsidR="001C6406" w:rsidRPr="00E915AA" w:rsidRDefault="001C6406" w:rsidP="001C6406">
      <w:pPr>
        <w:pStyle w:val="ListParagraph"/>
        <w:spacing w:before="240" w:after="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Under the “de-risking” provision of the JOBS Act, EGCs can submit a draft of their S-1 filings to the SEC for confidential review prior to a public filing; accordingly, the SEC may issue fewer comments on the initial public S-1 filing because previous comments on </w:t>
      </w:r>
      <w:r w:rsidR="00485BDB"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draft </w:t>
      </w:r>
      <w:r w:rsidR="00485BDB" w:rsidRPr="00E915AA">
        <w:rPr>
          <w:rFonts w:ascii="Times New Roman" w:eastAsia="Calibri" w:hAnsi="Times New Roman" w:cs="Times New Roman"/>
          <w:sz w:val="24"/>
          <w:szCs w:val="24"/>
          <w:lang w:val="en-GB" w:eastAsia="en-GB"/>
        </w:rPr>
        <w:t>filing have already been</w:t>
      </w:r>
      <w:r w:rsidRPr="00E915AA">
        <w:rPr>
          <w:rFonts w:ascii="Times New Roman" w:eastAsia="Calibri" w:hAnsi="Times New Roman" w:cs="Times New Roman"/>
          <w:sz w:val="24"/>
          <w:szCs w:val="24"/>
          <w:lang w:val="en-GB" w:eastAsia="en-GB"/>
        </w:rPr>
        <w:t xml:space="preserve"> addressed by the issuing firm. Consequently, the </w:t>
      </w:r>
      <w:r w:rsidR="003314B1" w:rsidRPr="00E915AA">
        <w:rPr>
          <w:rFonts w:ascii="Times New Roman" w:eastAsia="Calibri" w:hAnsi="Times New Roman" w:cs="Times New Roman"/>
          <w:sz w:val="24"/>
          <w:szCs w:val="24"/>
          <w:lang w:val="en-GB" w:eastAsia="en-GB"/>
        </w:rPr>
        <w:t xml:space="preserve">content of the first public SEC comment letter may not represent the full </w:t>
      </w:r>
      <w:r w:rsidRPr="00E915AA">
        <w:rPr>
          <w:rFonts w:ascii="Times New Roman" w:eastAsia="Calibri" w:hAnsi="Times New Roman" w:cs="Times New Roman"/>
          <w:sz w:val="24"/>
          <w:szCs w:val="24"/>
          <w:lang w:val="en-GB" w:eastAsia="en-GB"/>
        </w:rPr>
        <w:t xml:space="preserve">effectiveness of the SEC in addressing earnings management. We, therefore, </w:t>
      </w:r>
      <w:r w:rsidR="00DD4315" w:rsidRPr="00E915AA">
        <w:rPr>
          <w:rFonts w:ascii="Times New Roman" w:eastAsia="Calibri" w:hAnsi="Times New Roman" w:cs="Times New Roman"/>
          <w:sz w:val="24"/>
          <w:szCs w:val="24"/>
          <w:lang w:val="en-GB" w:eastAsia="en-GB"/>
        </w:rPr>
        <w:t>run additional tests which control for the existence of a</w:t>
      </w:r>
      <w:r w:rsidRPr="00E915AA">
        <w:rPr>
          <w:rFonts w:ascii="Times New Roman" w:eastAsia="Calibri" w:hAnsi="Times New Roman" w:cs="Times New Roman"/>
          <w:sz w:val="24"/>
          <w:szCs w:val="24"/>
          <w:lang w:val="en-GB" w:eastAsia="en-GB"/>
        </w:rPr>
        <w:t xml:space="preserve"> draft S-1 filing </w:t>
      </w:r>
      <w:r w:rsidR="0090086F" w:rsidRPr="00E915AA">
        <w:rPr>
          <w:rFonts w:ascii="Times New Roman" w:eastAsia="Calibri" w:hAnsi="Times New Roman" w:cs="Times New Roman"/>
          <w:sz w:val="24"/>
          <w:szCs w:val="24"/>
          <w:lang w:val="en-GB" w:eastAsia="en-GB"/>
        </w:rPr>
        <w:t xml:space="preserve">and the likely impact it will have </w:t>
      </w:r>
      <w:r w:rsidRPr="00E915AA">
        <w:rPr>
          <w:rFonts w:ascii="Times New Roman" w:eastAsia="Calibri" w:hAnsi="Times New Roman" w:cs="Times New Roman"/>
          <w:sz w:val="24"/>
          <w:szCs w:val="24"/>
          <w:lang w:val="en-GB" w:eastAsia="en-GB"/>
        </w:rPr>
        <w:t>on the extensiveness</w:t>
      </w:r>
      <w:r w:rsidR="007E142E" w:rsidRPr="00E915AA">
        <w:rPr>
          <w:rFonts w:ascii="Times New Roman" w:eastAsia="Calibri" w:hAnsi="Times New Roman" w:cs="Times New Roman"/>
          <w:sz w:val="24"/>
          <w:szCs w:val="24"/>
          <w:lang w:val="en-GB" w:eastAsia="en-GB"/>
        </w:rPr>
        <w:t xml:space="preserve"> of the SEC’s public comment</w:t>
      </w:r>
      <w:r w:rsidR="00CE1F48" w:rsidRPr="00E915AA">
        <w:rPr>
          <w:rFonts w:ascii="Times New Roman" w:eastAsia="Calibri" w:hAnsi="Times New Roman" w:cs="Times New Roman"/>
          <w:sz w:val="24"/>
          <w:szCs w:val="24"/>
          <w:lang w:val="en-GB" w:eastAsia="en-GB"/>
        </w:rPr>
        <w:t>ary</w:t>
      </w:r>
      <w:r w:rsidRPr="00E915AA">
        <w:rPr>
          <w:rFonts w:ascii="Times New Roman" w:eastAsia="Calibri" w:hAnsi="Times New Roman" w:cs="Times New Roman"/>
          <w:sz w:val="24"/>
          <w:szCs w:val="24"/>
          <w:lang w:val="en-GB" w:eastAsia="en-GB"/>
        </w:rPr>
        <w:t>. Specifically, we use a similar model to equation (1</w:t>
      </w:r>
      <w:proofErr w:type="gramStart"/>
      <w:r w:rsidRPr="00E915AA">
        <w:rPr>
          <w:rFonts w:ascii="Times New Roman" w:eastAsia="Calibri" w:hAnsi="Times New Roman" w:cs="Times New Roman"/>
          <w:sz w:val="24"/>
          <w:szCs w:val="24"/>
          <w:lang w:val="en-GB" w:eastAsia="en-GB"/>
        </w:rPr>
        <w:t>),  except</w:t>
      </w:r>
      <w:proofErr w:type="gramEnd"/>
      <w:r w:rsidRPr="00E915AA">
        <w:rPr>
          <w:rFonts w:ascii="Times New Roman" w:eastAsia="Calibri" w:hAnsi="Times New Roman" w:cs="Times New Roman"/>
          <w:sz w:val="24"/>
          <w:szCs w:val="24"/>
          <w:lang w:val="en-GB" w:eastAsia="en-GB"/>
        </w:rPr>
        <w:t xml:space="preserve">  we  now  include  an  additional  variable, </w:t>
      </w:r>
      <w:proofErr w:type="spellStart"/>
      <w:r w:rsidRPr="00E915AA">
        <w:rPr>
          <w:rFonts w:ascii="Times New Roman" w:eastAsia="Calibri" w:hAnsi="Times New Roman" w:cs="Times New Roman"/>
          <w:i/>
          <w:iCs/>
          <w:sz w:val="24"/>
          <w:szCs w:val="24"/>
          <w:lang w:val="en-GB" w:eastAsia="en-GB"/>
        </w:rPr>
        <w:t>Draftfiling</w:t>
      </w:r>
      <w:proofErr w:type="spellEnd"/>
      <w:r w:rsidRPr="00E915AA">
        <w:rPr>
          <w:rFonts w:ascii="Times New Roman" w:eastAsia="Calibri" w:hAnsi="Times New Roman" w:cs="Times New Roman"/>
          <w:sz w:val="24"/>
          <w:szCs w:val="24"/>
          <w:lang w:val="en-GB" w:eastAsia="en-GB"/>
        </w:rPr>
        <w:t xml:space="preserve">, equal to 1 if the issuing firm has filed a draft registration statement under the “de-risking” provision of the JOBS Act, and 0 otherwise. </w:t>
      </w:r>
    </w:p>
    <w:p w14:paraId="5C0D23DD" w14:textId="5A21BA6A" w:rsidR="001C6406" w:rsidRPr="00E915AA" w:rsidRDefault="001C6406" w:rsidP="001C6406">
      <w:pPr>
        <w:pStyle w:val="ListParagraph"/>
        <w:spacing w:before="240" w:after="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line with our expectations, negative coefficients on </w:t>
      </w:r>
      <w:proofErr w:type="spellStart"/>
      <w:r w:rsidRPr="00E915AA">
        <w:rPr>
          <w:rFonts w:ascii="Times New Roman" w:eastAsia="Calibri" w:hAnsi="Times New Roman" w:cs="Times New Roman"/>
          <w:i/>
          <w:iCs/>
          <w:sz w:val="24"/>
          <w:szCs w:val="24"/>
          <w:lang w:val="en-GB" w:eastAsia="en-GB"/>
        </w:rPr>
        <w:t>Draftfiling</w:t>
      </w:r>
      <w:proofErr w:type="spellEnd"/>
      <w:r w:rsidRPr="00E915AA">
        <w:rPr>
          <w:rFonts w:ascii="Times New Roman" w:eastAsia="Calibri" w:hAnsi="Times New Roman" w:cs="Times New Roman"/>
          <w:i/>
          <w:iCs/>
          <w:sz w:val="24"/>
          <w:szCs w:val="24"/>
          <w:lang w:val="en-GB" w:eastAsia="en-GB"/>
        </w:rPr>
        <w:t xml:space="preserve"> </w:t>
      </w:r>
      <w:r w:rsidRPr="00E915AA">
        <w:rPr>
          <w:rFonts w:ascii="Times New Roman" w:eastAsia="Calibri" w:hAnsi="Times New Roman" w:cs="Times New Roman"/>
          <w:sz w:val="24"/>
          <w:szCs w:val="24"/>
          <w:lang w:val="en-GB" w:eastAsia="en-GB"/>
        </w:rPr>
        <w:t xml:space="preserve">are identified in all columns from (1) to (15) in Table 7, Panel A, indicating the SEC review on the initial S-1 filings is less extensive for IPOs filing </w:t>
      </w:r>
      <w:r w:rsidR="00535A4D"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draft S-1. However, in general, our findings on the relationship between the SEC review attributes and earnings management proxies are robust to the inclusion of </w:t>
      </w:r>
      <w:proofErr w:type="spellStart"/>
      <w:r w:rsidRPr="00E915AA">
        <w:rPr>
          <w:rFonts w:ascii="Times New Roman" w:eastAsia="Calibri" w:hAnsi="Times New Roman" w:cs="Times New Roman"/>
          <w:i/>
          <w:iCs/>
          <w:sz w:val="24"/>
          <w:szCs w:val="24"/>
          <w:lang w:val="en-GB" w:eastAsia="en-GB"/>
        </w:rPr>
        <w:t>Draftfiling</w:t>
      </w:r>
      <w:proofErr w:type="spellEnd"/>
      <w:r w:rsidRPr="00E915AA">
        <w:rPr>
          <w:rFonts w:ascii="Times New Roman" w:eastAsia="Calibri" w:hAnsi="Times New Roman" w:cs="Times New Roman"/>
          <w:sz w:val="24"/>
          <w:szCs w:val="24"/>
          <w:lang w:val="en-GB" w:eastAsia="en-GB"/>
        </w:rPr>
        <w:t xml:space="preserve">. Specifically, we identify positive coefficients on </w:t>
      </w:r>
      <w:r w:rsidRPr="00E915AA">
        <w:rPr>
          <w:rFonts w:ascii="Times New Roman" w:eastAsia="Calibri" w:hAnsi="Times New Roman" w:cs="Times New Roman"/>
          <w:i/>
          <w:iCs/>
          <w:sz w:val="24"/>
          <w:szCs w:val="24"/>
          <w:lang w:val="en-GB" w:eastAsia="en-GB"/>
        </w:rPr>
        <w:t>DACC</w:t>
      </w:r>
      <w:r w:rsidRPr="00E915AA">
        <w:rPr>
          <w:rFonts w:ascii="Times New Roman" w:eastAsia="Calibri" w:hAnsi="Times New Roman" w:cs="Times New Roman"/>
          <w:sz w:val="24"/>
          <w:szCs w:val="24"/>
          <w:lang w:val="en-GB" w:eastAsia="en-GB"/>
        </w:rPr>
        <w:t xml:space="preserve"> in column</w:t>
      </w:r>
      <w:r w:rsidR="00710B14"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(1), (4) and (10) and negative coefficients on </w:t>
      </w:r>
      <w:r w:rsidRPr="00E915AA">
        <w:rPr>
          <w:rFonts w:ascii="Times New Roman" w:eastAsia="Calibri" w:hAnsi="Times New Roman" w:cs="Times New Roman"/>
          <w:i/>
          <w:iCs/>
          <w:sz w:val="24"/>
          <w:szCs w:val="24"/>
          <w:lang w:val="en-GB" w:eastAsia="en-GB"/>
        </w:rPr>
        <w:t xml:space="preserve">DISEXP </w:t>
      </w:r>
      <w:r w:rsidRPr="00E915AA">
        <w:rPr>
          <w:rFonts w:ascii="Times New Roman" w:eastAsia="Calibri" w:hAnsi="Times New Roman" w:cs="Times New Roman"/>
          <w:sz w:val="24"/>
          <w:szCs w:val="24"/>
          <w:lang w:val="en-GB" w:eastAsia="en-GB"/>
        </w:rPr>
        <w:t xml:space="preserve">in column (3), indicating the effectiveness of the SEC in addressing AEM and discretionary-expensed-based REM. The ineffectiveness of the </w:t>
      </w:r>
      <w:r w:rsidRPr="00E915AA">
        <w:rPr>
          <w:rFonts w:ascii="Times New Roman" w:eastAsia="Calibri" w:hAnsi="Times New Roman" w:cs="Times New Roman"/>
          <w:sz w:val="24"/>
          <w:szCs w:val="24"/>
          <w:lang w:val="en-GB" w:eastAsia="en-GB"/>
        </w:rPr>
        <w:lastRenderedPageBreak/>
        <w:t xml:space="preserve">SEC review in addressing sales-based REM is </w:t>
      </w:r>
      <w:r w:rsidR="00535A4D" w:rsidRPr="00E915AA">
        <w:rPr>
          <w:rFonts w:ascii="Times New Roman" w:eastAsia="Calibri" w:hAnsi="Times New Roman" w:cs="Times New Roman"/>
          <w:sz w:val="24"/>
          <w:szCs w:val="24"/>
          <w:lang w:val="en-GB" w:eastAsia="en-GB"/>
        </w:rPr>
        <w:t xml:space="preserve">also </w:t>
      </w:r>
      <w:r w:rsidRPr="00E915AA">
        <w:rPr>
          <w:rFonts w:ascii="Times New Roman" w:eastAsia="Calibri" w:hAnsi="Times New Roman" w:cs="Times New Roman"/>
          <w:sz w:val="24"/>
          <w:szCs w:val="24"/>
          <w:lang w:val="en-GB" w:eastAsia="en-GB"/>
        </w:rPr>
        <w:t>demonstrated by the positive coefficient o</w:t>
      </w:r>
      <w:r w:rsidR="003C0869" w:rsidRPr="00E915AA">
        <w:rPr>
          <w:rFonts w:ascii="Times New Roman" w:eastAsia="Calibri" w:hAnsi="Times New Roman" w:cs="Times New Roman"/>
          <w:sz w:val="24"/>
          <w:szCs w:val="24"/>
          <w:lang w:val="en-GB" w:eastAsia="en-GB"/>
        </w:rPr>
        <w:t>n</w:t>
      </w:r>
      <w:r w:rsidRPr="00E915AA">
        <w:rPr>
          <w:rFonts w:ascii="Times New Roman" w:eastAsia="Calibri" w:hAnsi="Times New Roman" w:cs="Times New Roman"/>
          <w:sz w:val="24"/>
          <w:szCs w:val="24"/>
          <w:lang w:val="en-GB" w:eastAsia="en-GB"/>
        </w:rPr>
        <w:t xml:space="preserve"> </w:t>
      </w:r>
      <w:r w:rsidRPr="00E915AA">
        <w:rPr>
          <w:rFonts w:ascii="Times New Roman" w:eastAsia="Calibri" w:hAnsi="Times New Roman" w:cs="Times New Roman"/>
          <w:i/>
          <w:iCs/>
          <w:sz w:val="24"/>
          <w:szCs w:val="24"/>
          <w:lang w:val="en-GB" w:eastAsia="en-GB"/>
        </w:rPr>
        <w:t xml:space="preserve">ACFO </w:t>
      </w:r>
      <w:r w:rsidRPr="00E915AA">
        <w:rPr>
          <w:rFonts w:ascii="Times New Roman" w:eastAsia="Calibri" w:hAnsi="Times New Roman" w:cs="Times New Roman"/>
          <w:sz w:val="24"/>
          <w:szCs w:val="24"/>
          <w:lang w:val="en-GB" w:eastAsia="en-GB"/>
        </w:rPr>
        <w:t xml:space="preserve">in column (2). </w:t>
      </w:r>
    </w:p>
    <w:p w14:paraId="42E13368" w14:textId="191526A8" w:rsidR="001C6406" w:rsidRPr="00E915AA" w:rsidRDefault="001C6406" w:rsidP="001C6406">
      <w:pPr>
        <w:pStyle w:val="ListParagraph"/>
        <w:spacing w:before="240" w:after="240" w:line="360" w:lineRule="auto"/>
        <w:ind w:left="0"/>
        <w:contextualSpacing w:val="0"/>
        <w:jc w:val="both"/>
        <w:rPr>
          <w:rFonts w:ascii="Times New Roman" w:eastAsia="Calibri" w:hAnsi="Times New Roman" w:cs="Times New Roman"/>
          <w:i/>
          <w:iCs/>
          <w:sz w:val="24"/>
          <w:szCs w:val="24"/>
          <w:lang w:val="en-GB" w:eastAsia="en-GB"/>
        </w:rPr>
      </w:pPr>
      <w:r w:rsidRPr="00E915AA">
        <w:rPr>
          <w:rFonts w:ascii="Times New Roman" w:eastAsia="Calibri" w:hAnsi="Times New Roman" w:cs="Times New Roman"/>
          <w:i/>
          <w:iCs/>
          <w:sz w:val="24"/>
          <w:szCs w:val="24"/>
          <w:lang w:val="en-GB" w:eastAsia="en-GB"/>
        </w:rPr>
        <w:t>Simultaneous effects of abnormal cash flow from operations and other earnings management proxies</w:t>
      </w:r>
    </w:p>
    <w:p w14:paraId="63B6708E" w14:textId="731A6644" w:rsidR="001C6406" w:rsidRPr="00E915AA" w:rsidRDefault="001C6406" w:rsidP="001C6406">
      <w:pPr>
        <w:pStyle w:val="ListParagraph"/>
        <w:spacing w:before="240" w:after="240" w:line="360" w:lineRule="auto"/>
        <w:ind w:left="0"/>
        <w:contextualSpacing w:val="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As IPO firms can conduct AEM and REM simultaneously, we re-estimate the sensitivity of the SEC review to different types of earnings management by taking the aggregate value of three EM proxies employed in this study into consideration. Two aggregate EM proxies are constructed including </w:t>
      </w:r>
      <w:r w:rsidRPr="00E915AA">
        <w:rPr>
          <w:rFonts w:ascii="Times New Roman" w:eastAsia="Calibri" w:hAnsi="Times New Roman" w:cs="Times New Roman"/>
          <w:i/>
          <w:iCs/>
          <w:sz w:val="24"/>
          <w:szCs w:val="24"/>
          <w:lang w:val="en-GB" w:eastAsia="en-GB"/>
        </w:rPr>
        <w:t>DACC_ACFO</w:t>
      </w:r>
      <w:r w:rsidRPr="00E915AA">
        <w:rPr>
          <w:rFonts w:ascii="Times New Roman" w:eastAsia="Calibri" w:hAnsi="Times New Roman" w:cs="Times New Roman"/>
          <w:sz w:val="24"/>
          <w:szCs w:val="24"/>
          <w:lang w:val="en-GB" w:eastAsia="en-GB"/>
        </w:rPr>
        <w:t>, which equals the sum of abnormal accruals and abnormal cash flows from operations,</w:t>
      </w:r>
      <w:r w:rsidRPr="00E915AA">
        <w:rPr>
          <w:rFonts w:ascii="Times New Roman" w:eastAsia="Calibri" w:hAnsi="Times New Roman" w:cs="Times New Roman"/>
          <w:i/>
          <w:iCs/>
          <w:sz w:val="24"/>
          <w:szCs w:val="24"/>
          <w:lang w:val="en-GB" w:eastAsia="en-GB"/>
        </w:rPr>
        <w:t xml:space="preserve"> </w:t>
      </w:r>
      <w:r w:rsidRPr="00E915AA">
        <w:rPr>
          <w:rFonts w:ascii="Times New Roman" w:eastAsia="Calibri" w:hAnsi="Times New Roman" w:cs="Times New Roman"/>
          <w:sz w:val="24"/>
          <w:szCs w:val="24"/>
          <w:lang w:val="en-GB" w:eastAsia="en-GB"/>
        </w:rPr>
        <w:t xml:space="preserve">and </w:t>
      </w:r>
      <w:r w:rsidRPr="00E915AA">
        <w:rPr>
          <w:rFonts w:ascii="Times New Roman" w:eastAsia="Calibri" w:hAnsi="Times New Roman" w:cs="Times New Roman"/>
          <w:i/>
          <w:iCs/>
          <w:sz w:val="24"/>
          <w:szCs w:val="24"/>
          <w:lang w:val="en-GB" w:eastAsia="en-GB"/>
        </w:rPr>
        <w:t>ADISEXP_ACFO</w:t>
      </w:r>
      <w:r w:rsidRPr="00E915AA">
        <w:rPr>
          <w:rFonts w:ascii="Times New Roman" w:eastAsia="Calibri" w:hAnsi="Times New Roman" w:cs="Times New Roman"/>
          <w:sz w:val="24"/>
          <w:szCs w:val="24"/>
          <w:lang w:val="en-GB" w:eastAsia="en-GB"/>
        </w:rPr>
        <w:t>, which equals the sum of abnormal discretionary expense and abnormal cash flows from operations.</w:t>
      </w:r>
      <w:r w:rsidRPr="00E915AA">
        <w:rPr>
          <w:rStyle w:val="FootnoteReference"/>
          <w:rFonts w:ascii="Times New Roman" w:eastAsia="Calibri" w:hAnsi="Times New Roman" w:cs="Times New Roman"/>
          <w:sz w:val="24"/>
          <w:szCs w:val="24"/>
          <w:lang w:val="en-GB" w:eastAsia="en-GB"/>
        </w:rPr>
        <w:footnoteReference w:id="18"/>
      </w:r>
      <w:r w:rsidRPr="00E915AA">
        <w:rPr>
          <w:rFonts w:ascii="Times New Roman" w:eastAsia="Calibri" w:hAnsi="Times New Roman" w:cs="Times New Roman"/>
          <w:sz w:val="24"/>
          <w:szCs w:val="24"/>
          <w:lang w:val="en-GB" w:eastAsia="en-GB"/>
        </w:rPr>
        <w:t xml:space="preserve"> In Table 7, Panel B, we observe that </w:t>
      </w:r>
      <w:r w:rsidRPr="00E915AA">
        <w:rPr>
          <w:rFonts w:ascii="Times New Roman" w:eastAsia="Calibri" w:hAnsi="Times New Roman" w:cs="Times New Roman"/>
          <w:i/>
          <w:iCs/>
          <w:sz w:val="24"/>
          <w:szCs w:val="24"/>
          <w:lang w:val="en-GB" w:eastAsia="en-GB"/>
        </w:rPr>
        <w:t>DACC</w:t>
      </w:r>
      <w:r w:rsidRPr="00E915AA">
        <w:rPr>
          <w:rFonts w:ascii="Times New Roman" w:eastAsia="Calibri" w:hAnsi="Times New Roman" w:cs="Times New Roman"/>
          <w:sz w:val="24"/>
          <w:szCs w:val="24"/>
          <w:lang w:val="en-GB" w:eastAsia="en-GB"/>
        </w:rPr>
        <w:t xml:space="preserve"> is positively related to </w:t>
      </w:r>
      <w:r w:rsidRPr="00E915AA">
        <w:rPr>
          <w:rFonts w:ascii="Times New Roman" w:eastAsia="Calibri" w:hAnsi="Times New Roman" w:cs="Times New Roman"/>
          <w:i/>
          <w:iCs/>
          <w:sz w:val="24"/>
          <w:szCs w:val="24"/>
          <w:lang w:val="en-GB" w:eastAsia="en-GB"/>
        </w:rPr>
        <w:t>Duration, #Letters</w:t>
      </w:r>
      <w:r w:rsidRPr="00E915AA">
        <w:rPr>
          <w:rFonts w:ascii="Times New Roman" w:eastAsia="Calibri" w:hAnsi="Times New Roman" w:cs="Times New Roman"/>
          <w:sz w:val="24"/>
          <w:szCs w:val="24"/>
          <w:lang w:val="en-GB" w:eastAsia="en-GB"/>
        </w:rPr>
        <w:t>, #</w:t>
      </w:r>
      <w:r w:rsidR="009C015E" w:rsidRPr="00E915AA">
        <w:rPr>
          <w:rFonts w:ascii="Times New Roman" w:eastAsia="Calibri" w:hAnsi="Times New Roman" w:cs="Times New Roman"/>
          <w:i/>
          <w:iCs/>
          <w:sz w:val="24"/>
          <w:szCs w:val="24"/>
          <w:lang w:val="en-GB" w:eastAsia="en-GB"/>
        </w:rPr>
        <w:t>Core-accounting issues</w:t>
      </w:r>
      <w:r w:rsidRPr="00E915AA">
        <w:rPr>
          <w:rFonts w:ascii="Times New Roman" w:eastAsia="Calibri" w:hAnsi="Times New Roman" w:cs="Times New Roman"/>
          <w:i/>
          <w:iCs/>
          <w:sz w:val="24"/>
          <w:szCs w:val="24"/>
          <w:lang w:val="en-GB" w:eastAsia="en-GB"/>
        </w:rPr>
        <w:t xml:space="preserve">, </w:t>
      </w:r>
      <w:r w:rsidRPr="00E915AA">
        <w:rPr>
          <w:rFonts w:ascii="Times New Roman" w:eastAsia="Calibri" w:hAnsi="Times New Roman" w:cs="Times New Roman"/>
          <w:sz w:val="24"/>
          <w:szCs w:val="24"/>
          <w:lang w:val="en-GB" w:eastAsia="en-GB"/>
        </w:rPr>
        <w:t>consistent with our main findings,</w:t>
      </w:r>
      <w:r w:rsidRPr="00E915AA">
        <w:rPr>
          <w:rFonts w:ascii="Times New Roman" w:eastAsia="Calibri" w:hAnsi="Times New Roman" w:cs="Times New Roman"/>
          <w:i/>
          <w:iCs/>
          <w:sz w:val="24"/>
          <w:szCs w:val="24"/>
          <w:lang w:val="en-GB" w:eastAsia="en-GB"/>
        </w:rPr>
        <w:t xml:space="preserve"> </w:t>
      </w:r>
      <w:r w:rsidRPr="00E915AA">
        <w:rPr>
          <w:rFonts w:ascii="Times New Roman" w:eastAsia="Calibri" w:hAnsi="Times New Roman" w:cs="Times New Roman"/>
          <w:sz w:val="24"/>
          <w:szCs w:val="24"/>
          <w:lang w:val="en-GB" w:eastAsia="en-GB"/>
        </w:rPr>
        <w:t xml:space="preserve">while </w:t>
      </w:r>
      <w:r w:rsidRPr="00E915AA">
        <w:rPr>
          <w:rFonts w:ascii="Times New Roman" w:eastAsia="Calibri" w:hAnsi="Times New Roman" w:cs="Times New Roman"/>
          <w:i/>
          <w:iCs/>
          <w:sz w:val="24"/>
          <w:szCs w:val="24"/>
          <w:lang w:val="en-GB" w:eastAsia="en-GB"/>
        </w:rPr>
        <w:t xml:space="preserve">DACC_ACFO </w:t>
      </w:r>
      <w:r w:rsidRPr="00E915AA">
        <w:rPr>
          <w:rFonts w:ascii="Times New Roman" w:eastAsia="Calibri" w:hAnsi="Times New Roman" w:cs="Times New Roman"/>
          <w:sz w:val="24"/>
          <w:szCs w:val="24"/>
          <w:lang w:val="en-GB" w:eastAsia="en-GB"/>
        </w:rPr>
        <w:t xml:space="preserve">shows no or even negative relationships with the SEC review attributes. Similarly, </w:t>
      </w:r>
      <w:r w:rsidRPr="00E915AA">
        <w:rPr>
          <w:rFonts w:ascii="Times New Roman" w:eastAsia="Calibri" w:hAnsi="Times New Roman" w:cs="Times New Roman"/>
          <w:i/>
          <w:iCs/>
          <w:sz w:val="24"/>
          <w:szCs w:val="24"/>
          <w:lang w:val="en-GB" w:eastAsia="en-GB"/>
        </w:rPr>
        <w:t xml:space="preserve">ADISEXP </w:t>
      </w:r>
      <w:r w:rsidRPr="00E915AA">
        <w:rPr>
          <w:rFonts w:ascii="Times New Roman" w:eastAsia="Calibri" w:hAnsi="Times New Roman" w:cs="Times New Roman"/>
          <w:sz w:val="24"/>
          <w:szCs w:val="24"/>
          <w:lang w:val="en-GB" w:eastAsia="en-GB"/>
        </w:rPr>
        <w:t xml:space="preserve">is identified to be negatively associated with </w:t>
      </w:r>
      <w:r w:rsidRPr="00E915AA">
        <w:rPr>
          <w:rFonts w:ascii="Times New Roman" w:eastAsia="Calibri" w:hAnsi="Times New Roman" w:cs="Times New Roman"/>
          <w:i/>
          <w:iCs/>
          <w:sz w:val="24"/>
          <w:szCs w:val="24"/>
          <w:lang w:val="en-GB" w:eastAsia="en-GB"/>
        </w:rPr>
        <w:t xml:space="preserve">Duration, #Themes </w:t>
      </w:r>
      <w:r w:rsidRPr="00E915AA">
        <w:rPr>
          <w:rFonts w:ascii="Times New Roman" w:eastAsia="Calibri" w:hAnsi="Times New Roman" w:cs="Times New Roman"/>
          <w:sz w:val="24"/>
          <w:szCs w:val="24"/>
          <w:lang w:val="en-GB" w:eastAsia="en-GB"/>
        </w:rPr>
        <w:t>and #</w:t>
      </w:r>
      <w:r w:rsidRPr="00E915AA">
        <w:rPr>
          <w:rFonts w:ascii="Times New Roman" w:eastAsia="Calibri" w:hAnsi="Times New Roman" w:cs="Times New Roman"/>
          <w:i/>
          <w:iCs/>
          <w:sz w:val="24"/>
          <w:szCs w:val="24"/>
          <w:lang w:val="en-GB" w:eastAsia="en-GB"/>
        </w:rPr>
        <w:t>Non-</w:t>
      </w:r>
      <w:r w:rsidR="009C015E" w:rsidRPr="00E915AA">
        <w:rPr>
          <w:rFonts w:ascii="Times New Roman" w:eastAsia="Calibri" w:hAnsi="Times New Roman" w:cs="Times New Roman"/>
          <w:i/>
          <w:iCs/>
          <w:sz w:val="24"/>
          <w:szCs w:val="24"/>
          <w:lang w:val="en-GB" w:eastAsia="en-GB"/>
        </w:rPr>
        <w:t>core-accounting issues</w:t>
      </w:r>
      <w:r w:rsidRPr="00E915AA">
        <w:rPr>
          <w:rFonts w:ascii="Times New Roman" w:eastAsia="Calibri" w:hAnsi="Times New Roman" w:cs="Times New Roman"/>
          <w:i/>
          <w:iCs/>
          <w:sz w:val="24"/>
          <w:szCs w:val="24"/>
          <w:lang w:val="en-GB" w:eastAsia="en-GB"/>
        </w:rPr>
        <w:t xml:space="preserve">, </w:t>
      </w:r>
      <w:r w:rsidRPr="00E915AA">
        <w:rPr>
          <w:rFonts w:ascii="Times New Roman" w:eastAsia="Calibri" w:hAnsi="Times New Roman" w:cs="Times New Roman"/>
          <w:sz w:val="24"/>
          <w:szCs w:val="24"/>
          <w:lang w:val="en-GB" w:eastAsia="en-GB"/>
        </w:rPr>
        <w:t xml:space="preserve">in line with our main findings, while </w:t>
      </w:r>
      <w:r w:rsidRPr="00E915AA">
        <w:rPr>
          <w:rFonts w:ascii="Times New Roman" w:eastAsia="Calibri" w:hAnsi="Times New Roman" w:cs="Times New Roman"/>
          <w:i/>
          <w:iCs/>
          <w:sz w:val="24"/>
          <w:szCs w:val="24"/>
          <w:lang w:val="en-GB" w:eastAsia="en-GB"/>
        </w:rPr>
        <w:t xml:space="preserve">ADISEXP_ACFO </w:t>
      </w:r>
      <w:r w:rsidRPr="00E915AA">
        <w:rPr>
          <w:rFonts w:ascii="Times New Roman" w:eastAsia="Calibri" w:hAnsi="Times New Roman" w:cs="Times New Roman"/>
          <w:sz w:val="24"/>
          <w:szCs w:val="24"/>
          <w:lang w:val="en-GB" w:eastAsia="en-GB"/>
        </w:rPr>
        <w:t xml:space="preserve">shows no or even positive relationships with the SEC review. The findings imply that the effectiveness of the SEC review in addressing accruals-based EM and discretionary-expense-based REM will be constrained if IPO firms simultaneously engage in sales-based REM and the other EM techniques. The findings also validate the effectiveness of the SEC in addressing AEM and discretionary-expenses-based </w:t>
      </w:r>
      <w:proofErr w:type="gramStart"/>
      <w:r w:rsidRPr="00E915AA">
        <w:rPr>
          <w:rFonts w:ascii="Times New Roman" w:eastAsia="Calibri" w:hAnsi="Times New Roman" w:cs="Times New Roman"/>
          <w:sz w:val="24"/>
          <w:szCs w:val="24"/>
          <w:lang w:val="en-GB" w:eastAsia="en-GB"/>
        </w:rPr>
        <w:t>REM</w:t>
      </w:r>
      <w:proofErr w:type="gramEnd"/>
      <w:r w:rsidRPr="00E915AA">
        <w:rPr>
          <w:rFonts w:ascii="Times New Roman" w:eastAsia="Calibri" w:hAnsi="Times New Roman" w:cs="Times New Roman"/>
          <w:sz w:val="24"/>
          <w:szCs w:val="24"/>
          <w:lang w:val="en-GB" w:eastAsia="en-GB"/>
        </w:rPr>
        <w:t xml:space="preserve"> but not sales-based REM as shown in the main </w:t>
      </w:r>
      <w:r w:rsidR="003431D4" w:rsidRPr="00E915AA">
        <w:rPr>
          <w:rFonts w:ascii="Times New Roman" w:eastAsia="Calibri" w:hAnsi="Times New Roman" w:cs="Times New Roman"/>
          <w:sz w:val="24"/>
          <w:szCs w:val="24"/>
          <w:lang w:val="en-GB" w:eastAsia="en-GB"/>
        </w:rPr>
        <w:t>results</w:t>
      </w:r>
      <w:r w:rsidRPr="00E915AA">
        <w:rPr>
          <w:rFonts w:ascii="Times New Roman" w:eastAsia="Calibri" w:hAnsi="Times New Roman" w:cs="Times New Roman"/>
          <w:sz w:val="24"/>
          <w:szCs w:val="24"/>
          <w:lang w:val="en-GB" w:eastAsia="en-GB"/>
        </w:rPr>
        <w:t>.</w:t>
      </w:r>
    </w:p>
    <w:p w14:paraId="6908D937" w14:textId="77777777" w:rsidR="001C6406" w:rsidRPr="00E915AA" w:rsidRDefault="001C6406" w:rsidP="001C6406">
      <w:pPr>
        <w:pStyle w:val="ListParagraph"/>
        <w:spacing w:before="240" w:after="240" w:line="360" w:lineRule="auto"/>
        <w:ind w:left="360"/>
        <w:contextualSpacing w:val="0"/>
        <w:jc w:val="center"/>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t>[Insert Table 7 about here]</w:t>
      </w:r>
    </w:p>
    <w:p w14:paraId="37709965" w14:textId="77777777" w:rsidR="002C6719" w:rsidRPr="00E915AA" w:rsidRDefault="002C6719" w:rsidP="006F305B">
      <w:pPr>
        <w:pStyle w:val="ListParagraph"/>
        <w:numPr>
          <w:ilvl w:val="0"/>
          <w:numId w:val="42"/>
        </w:numPr>
        <w:spacing w:after="0" w:line="360" w:lineRule="auto"/>
        <w:jc w:val="both"/>
        <w:outlineLvl w:val="0"/>
        <w:rPr>
          <w:rFonts w:ascii="Times New Roman" w:eastAsia="Calibri" w:hAnsi="Times New Roman" w:cs="Times New Roman"/>
          <w:b/>
          <w:sz w:val="24"/>
          <w:szCs w:val="24"/>
          <w:lang w:val="en-GB" w:eastAsia="en-GB"/>
        </w:rPr>
      </w:pPr>
      <w:r w:rsidRPr="00E915AA">
        <w:rPr>
          <w:rFonts w:ascii="Times New Roman" w:eastAsia="Calibri" w:hAnsi="Times New Roman" w:cs="Times New Roman"/>
          <w:b/>
          <w:sz w:val="24"/>
          <w:szCs w:val="24"/>
          <w:lang w:val="en-GB" w:eastAsia="en-GB"/>
        </w:rPr>
        <w:t>Conclusion</w:t>
      </w:r>
      <w:bookmarkEnd w:id="32"/>
      <w:bookmarkEnd w:id="33"/>
    </w:p>
    <w:p w14:paraId="39E482F2" w14:textId="277F0025" w:rsidR="00F14709" w:rsidRPr="00E915AA" w:rsidRDefault="00F14709" w:rsidP="00F14709">
      <w:pPr>
        <w:spacing w:before="240" w:after="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Our paper fill</w:t>
      </w:r>
      <w:r w:rsidR="00975DF0"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w:t>
      </w:r>
      <w:r w:rsidR="00975DF0" w:rsidRPr="00E915AA">
        <w:rPr>
          <w:rFonts w:ascii="Times New Roman" w:eastAsia="Calibri" w:hAnsi="Times New Roman" w:cs="Times New Roman"/>
          <w:sz w:val="24"/>
          <w:szCs w:val="24"/>
          <w:lang w:val="en-GB" w:eastAsia="en-GB"/>
        </w:rPr>
        <w:t>a</w:t>
      </w:r>
      <w:r w:rsidRPr="00E915AA">
        <w:rPr>
          <w:rFonts w:ascii="Times New Roman" w:eastAsia="Calibri" w:hAnsi="Times New Roman" w:cs="Times New Roman"/>
          <w:sz w:val="24"/>
          <w:szCs w:val="24"/>
          <w:lang w:val="en-GB" w:eastAsia="en-GB"/>
        </w:rPr>
        <w:t xml:space="preserve"> gap in literature by examining the effectiveness of SEC reviews in addressing deficiencies in earnings quality within IPO registration statements. We identify that SEC reviews </w:t>
      </w:r>
      <w:r w:rsidR="00975DF0" w:rsidRPr="00E915AA">
        <w:rPr>
          <w:rFonts w:ascii="Times New Roman" w:eastAsia="Calibri" w:hAnsi="Times New Roman" w:cs="Times New Roman"/>
          <w:sz w:val="24"/>
          <w:szCs w:val="24"/>
          <w:lang w:val="en-GB" w:eastAsia="en-GB"/>
        </w:rPr>
        <w:t xml:space="preserve">are sensitive to some, but not all, </w:t>
      </w:r>
      <w:r w:rsidRPr="00E915AA">
        <w:rPr>
          <w:rFonts w:ascii="Times New Roman" w:eastAsia="Calibri" w:hAnsi="Times New Roman" w:cs="Times New Roman"/>
          <w:sz w:val="24"/>
          <w:szCs w:val="24"/>
          <w:lang w:val="en-GB" w:eastAsia="en-GB"/>
        </w:rPr>
        <w:t>forms of earnings management</w:t>
      </w:r>
      <w:r w:rsidR="008B38AA" w:rsidRPr="00E915AA">
        <w:rPr>
          <w:rFonts w:ascii="Times New Roman" w:eastAsia="Calibri" w:hAnsi="Times New Roman" w:cs="Times New Roman"/>
          <w:sz w:val="24"/>
          <w:szCs w:val="24"/>
          <w:lang w:val="en-GB" w:eastAsia="en-GB"/>
        </w:rPr>
        <w:t xml:space="preserve"> (EM)</w:t>
      </w:r>
      <w:r w:rsidRPr="00E915AA">
        <w:rPr>
          <w:rFonts w:ascii="Times New Roman" w:eastAsia="Calibri" w:hAnsi="Times New Roman" w:cs="Times New Roman"/>
          <w:sz w:val="24"/>
          <w:szCs w:val="24"/>
          <w:lang w:val="en-GB" w:eastAsia="en-GB"/>
        </w:rPr>
        <w:t xml:space="preserve">. Specifically, SEC reviews are effective in addressing income-increasing earning management by IPO firms through accruals-based and, to some extent, discretionary-expenses-based manipulations, but ineffective in detecting sales-based manipulations, in </w:t>
      </w:r>
      <w:r w:rsidR="00A16337" w:rsidRPr="00E915AA">
        <w:rPr>
          <w:rFonts w:ascii="Times New Roman" w:eastAsia="Calibri" w:hAnsi="Times New Roman" w:cs="Times New Roman"/>
          <w:sz w:val="24"/>
          <w:szCs w:val="24"/>
          <w:lang w:val="en-GB" w:eastAsia="en-GB"/>
        </w:rPr>
        <w:t>line</w:t>
      </w:r>
      <w:r w:rsidRPr="00E915AA">
        <w:rPr>
          <w:rFonts w:ascii="Times New Roman" w:eastAsia="Calibri" w:hAnsi="Times New Roman" w:cs="Times New Roman"/>
          <w:sz w:val="24"/>
          <w:szCs w:val="24"/>
          <w:lang w:val="en-GB" w:eastAsia="en-GB"/>
        </w:rPr>
        <w:t xml:space="preserve"> with the argument that sale-based </w:t>
      </w:r>
      <w:r w:rsidRPr="00E915AA">
        <w:rPr>
          <w:rFonts w:ascii="Times New Roman" w:eastAsia="Calibri" w:hAnsi="Times New Roman" w:cs="Times New Roman"/>
          <w:sz w:val="24"/>
          <w:szCs w:val="24"/>
          <w:lang w:val="en-GB" w:eastAsia="en-GB"/>
        </w:rPr>
        <w:lastRenderedPageBreak/>
        <w:t xml:space="preserve">earnings management is </w:t>
      </w:r>
      <w:r w:rsidR="005D0AA1" w:rsidRPr="00E915AA">
        <w:rPr>
          <w:rFonts w:ascii="Times New Roman" w:eastAsia="Calibri" w:hAnsi="Times New Roman" w:cs="Times New Roman"/>
          <w:sz w:val="24"/>
          <w:szCs w:val="24"/>
          <w:lang w:val="en-GB" w:eastAsia="en-GB"/>
        </w:rPr>
        <w:t>less</w:t>
      </w:r>
      <w:r w:rsidRPr="00E915AA">
        <w:rPr>
          <w:rFonts w:ascii="Times New Roman" w:eastAsia="Calibri" w:hAnsi="Times New Roman" w:cs="Times New Roman"/>
          <w:sz w:val="24"/>
          <w:szCs w:val="24"/>
          <w:lang w:val="en-GB" w:eastAsia="en-GB"/>
        </w:rPr>
        <w:t xml:space="preserve"> likely to be uncovered by auditors, investors and regulators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{"citationItems":[{"id":"ITEM-1","itemData":{"ISSN":"00014826","abstract":"We document that accrual-based earnings management increased steadily from 1987 until the passage of the Sarbanes-Oxley Act (SOX) in 2002, followed by a significant decline after the passage of SOX. Conversely, the level of real earnings management activities declined prior to SOX and increased significantly after the passage of SOX, suggesting that firms switched from accrual-based to real earnings management methods after the passage of SOX. We also document that the accrual-based earnings management activities were particularly high in the period immediately preceding SOX. Consistent with these results, we find that firms that just achieved important earnings benchmarks used less accruals and more real earnings management after SOX when compared to similar firms before SOX. In addition, our analysis provides evidence that the increases in accrual-based earnings management in the period preceding SOX were concurrent with increases in equity-based compensation. Our results suggest that stock-option components provide a differential set of incentives with regard to accrual-based earnings management. We document that while new options granted during the current period are negatively associated with income-increasing accrual-based earnings management, unexercised options are positively associated with income-increasing accrual-based earnings management.","author":[{"dropping-particle":"","family":"Cohen","given":"D. A.","non-dropping-particle":"","parse-names":false,"suffix":""},{"dropping-particle":"","family":"Dey","given":"A.","non-dropping-particle":"","parse-names":false,"suffix":""},{"dropping-particle":"","family":"Lys","given":"T. Z.","non-dropping-particle":"","parse-names":false,"suffix":""}],"container-title":"Accounting Review","id":"ITEM-1","issue":"3","issued":{"date-parts":[["2008"]]},"page":"757-787","title":"Real and accrual-based earnings management in the pre- and post-sarbanes-oxley periods","type":"article-journal","volume":"83"},"uris":["http://www.mendeley.com/documents/?uuid=346283e1-f09f-45fa-964a-dbab6e249247"]},{"id":"ITEM-2","itemData":{"abstract":"We survey and interview more than 400 executives to determine the factors that drive reported earnings and disclosure decisions. We find that managers would rather take economic actions that could have negative long-term consequences than make within-GAAP accounting choices to manage earnings. A surprising 78% of our sample admits to sacrificing long-term value to smooth earnings. Managers also work to maintain predictability in earnings and financial disclosures. We also find that managers make voluntary disclosures to reduce information risk and boost stock price but at the same time, try to avoid setting disclosure precedents that will be difficult to maintain. © 2005 Elsevier B.V. All rights reserved.","author":[{"dropping-particle":"","family":"Graham","given":"J. R.","non-dropping-particle":"","parse-names":false,"suffix":""},{"dropping-particle":"","family":"Harvey","given":"C. R.","non-dropping-particle":"","parse-names":false,"suffix":""},{"dropping-particle":"","family":"Rajgopal","given":"S.","non-dropping-particle":"","parse-names":false,"suffix":""}],"container-title":"Journal of Accounting and Economics","id":"ITEM-2","issue":"1-3","issued":{"date-parts":[["2005"]]},"page":"3-73","title":"The economic implications of corporate financial reporting","type":"article-journal","volume":"40"},"uris":["http://www.mendeley.com/documents/?uuid=75377cdf-5337-4738-97fd-60cf1dd85f0f"]}],"mendeley":{"formattedCitation":"(Cohen et al., 2008; Graham et al., 2005)","manualFormatting":"(Cohen et al., 2008; Graham et al., 2005)","plainTextFormattedCitation":"(Cohen et al., 2008; Graham et al., 2005)","previouslyFormattedCitation":"(Cohen et al., 2008; Graham et al., 2005)"},"properties":{"noteIndex":0},"schema":"https://github.com/citation-style-language/schema/raw/master/csl-citation.json"}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sz w:val="24"/>
          <w:szCs w:val="24"/>
          <w:lang w:val="en-GB" w:eastAsia="en-GB"/>
        </w:rPr>
        <w:t>(Gounopoulos &amp; Pham, 2017; Alhadab &amp; Clacher, 2018)</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w:t>
      </w:r>
    </w:p>
    <w:p w14:paraId="0E804FE4" w14:textId="05FFBD7F" w:rsidR="00F14709" w:rsidRPr="00E915AA" w:rsidRDefault="00F14709" w:rsidP="00F14709">
      <w:pPr>
        <w:spacing w:before="240" w:after="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Regarding the impact of the JOBS Act on EM within IPO registration statements, we find that IPOs are likely to engage more in AEM and REM within IPO registration statements after the JOBS Act enactment. The findings support </w:t>
      </w:r>
      <w:r w:rsidR="00336368" w:rsidRPr="00E915AA">
        <w:rPr>
          <w:rFonts w:ascii="Times New Roman" w:eastAsia="Calibri" w:hAnsi="Times New Roman" w:cs="Times New Roman"/>
          <w:sz w:val="24"/>
          <w:szCs w:val="24"/>
          <w:lang w:val="en-GB" w:eastAsia="en-GB"/>
        </w:rPr>
        <w:t xml:space="preserve">the argument </w:t>
      </w:r>
      <w:r w:rsidRPr="00E915AA">
        <w:rPr>
          <w:rFonts w:ascii="Times New Roman" w:eastAsia="Calibri" w:hAnsi="Times New Roman" w:cs="Times New Roman"/>
          <w:sz w:val="24"/>
          <w:szCs w:val="24"/>
          <w:lang w:val="en-GB" w:eastAsia="en-GB"/>
        </w:rPr>
        <w:t>that the JOBS Act</w:t>
      </w:r>
      <w:r w:rsidR="00B84E80" w:rsidRPr="00E915AA">
        <w:rPr>
          <w:rFonts w:ascii="Times New Roman" w:eastAsia="Calibri" w:hAnsi="Times New Roman" w:cs="Times New Roman"/>
          <w:sz w:val="24"/>
          <w:szCs w:val="24"/>
          <w:lang w:val="en-GB" w:eastAsia="en-GB"/>
        </w:rPr>
        <w:t>’s</w:t>
      </w:r>
      <w:r w:rsidRPr="00E915AA">
        <w:rPr>
          <w:rFonts w:ascii="Times New Roman" w:eastAsia="Calibri" w:hAnsi="Times New Roman" w:cs="Times New Roman"/>
          <w:sz w:val="24"/>
          <w:szCs w:val="24"/>
          <w:lang w:val="en-GB" w:eastAsia="en-GB"/>
        </w:rPr>
        <w:t xml:space="preserve"> passage escalate</w:t>
      </w:r>
      <w:r w:rsidR="00336368" w:rsidRPr="00E915AA">
        <w:rPr>
          <w:rFonts w:ascii="Times New Roman" w:eastAsia="Calibri" w:hAnsi="Times New Roman" w:cs="Times New Roman"/>
          <w:sz w:val="24"/>
          <w:szCs w:val="24"/>
          <w:lang w:val="en-GB" w:eastAsia="en-GB"/>
        </w:rPr>
        <w:t>d</w:t>
      </w:r>
      <w:r w:rsidRPr="00E915AA">
        <w:rPr>
          <w:rFonts w:ascii="Times New Roman" w:eastAsia="Calibri" w:hAnsi="Times New Roman" w:cs="Times New Roman"/>
          <w:sz w:val="24"/>
          <w:szCs w:val="24"/>
          <w:lang w:val="en-GB" w:eastAsia="en-GB"/>
        </w:rPr>
        <w:t xml:space="preserve"> informational deficiencies in the </w:t>
      </w:r>
      <w:r w:rsidR="00855EC5" w:rsidRPr="00E915AA">
        <w:rPr>
          <w:rFonts w:ascii="Times New Roman" w:eastAsia="Calibri" w:hAnsi="Times New Roman" w:cs="Times New Roman"/>
          <w:sz w:val="24"/>
          <w:szCs w:val="24"/>
          <w:lang w:val="en-GB" w:eastAsia="en-GB"/>
        </w:rPr>
        <w:t>US</w:t>
      </w:r>
      <w:r w:rsidRPr="00E915AA">
        <w:rPr>
          <w:rFonts w:ascii="Times New Roman" w:eastAsia="Calibri" w:hAnsi="Times New Roman" w:cs="Times New Roman"/>
          <w:sz w:val="24"/>
          <w:szCs w:val="24"/>
          <w:lang w:val="en-GB" w:eastAsia="en-GB"/>
        </w:rPr>
        <w:t xml:space="preserve"> capital markets (Agarwal et al., 2017; Barth et al., 2017; Chaplinsky et al., 2017). Moreover, the findings reveal that the effectiveness of SEC reviews under the JOBS Act is equally if not more effective in addressing income-increasing earnings management through accruals and discretionary expenses manipulation, perhaps since the JOBS Act’s de-burdening provisions raise more concerns regarding information quality (</w:t>
      </w:r>
      <w:r w:rsidRPr="00E915AA">
        <w:rPr>
          <w:rFonts w:ascii="Times New Roman" w:eastAsia="Yu Mincho" w:hAnsi="Times New Roman" w:cs="Times New Roman"/>
          <w:noProof/>
          <w:sz w:val="24"/>
          <w:szCs w:val="24"/>
          <w:lang w:val="en-GB" w:eastAsia="en-GB"/>
        </w:rPr>
        <w:t>Agarwal et al., 2017; Chaplinsky et al., 2017; Barth et al., 2017)</w:t>
      </w:r>
      <w:r w:rsidRPr="00E915AA">
        <w:rPr>
          <w:rFonts w:ascii="Times New Roman" w:eastAsia="Calibri" w:hAnsi="Times New Roman" w:cs="Times New Roman"/>
          <w:sz w:val="24"/>
          <w:szCs w:val="24"/>
          <w:lang w:val="en-GB" w:eastAsia="en-GB"/>
        </w:rPr>
        <w:t>. Furthermore, we observe the ineffectiveness of SEC reviews in detecting sale-based REM</w:t>
      </w:r>
      <w:r w:rsidR="003E5962" w:rsidRPr="00E915AA">
        <w:rPr>
          <w:rFonts w:ascii="Times New Roman" w:eastAsia="Calibri" w:hAnsi="Times New Roman" w:cs="Times New Roman"/>
          <w:sz w:val="24"/>
          <w:szCs w:val="24"/>
          <w:lang w:val="en-GB" w:eastAsia="en-GB"/>
        </w:rPr>
        <w:t xml:space="preserve"> to be particularly pronounced post-JOBS</w:t>
      </w:r>
      <w:r w:rsidRPr="00E915AA">
        <w:rPr>
          <w:rFonts w:ascii="Times New Roman" w:eastAsia="Calibri" w:hAnsi="Times New Roman" w:cs="Times New Roman"/>
          <w:sz w:val="24"/>
          <w:szCs w:val="24"/>
          <w:lang w:val="en-GB" w:eastAsia="en-GB"/>
        </w:rPr>
        <w:t>.</w:t>
      </w:r>
    </w:p>
    <w:p w14:paraId="6B85865D" w14:textId="40F9E698" w:rsidR="00F14709" w:rsidRPr="00E915AA" w:rsidRDefault="00F14709" w:rsidP="00F1470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The findings in our study offer policy implications for regulatory bodies and suggest that monitoring mechanisms should be developed further to more effectively constrain IPO firms’ incentives to manage earnings within their registration statements. Specifically, the empirical findings imply that the SEC do not effectively uncover REM through sales-based manipulations, though this form of earnings management commonly occurs in the IPO context (</w:t>
      </w:r>
      <w:proofErr w:type="spellStart"/>
      <w:r w:rsidRPr="00E915AA">
        <w:rPr>
          <w:rFonts w:ascii="Times New Roman" w:eastAsia="Calibri" w:hAnsi="Times New Roman" w:cs="Times New Roman"/>
          <w:sz w:val="24"/>
          <w:szCs w:val="24"/>
          <w:lang w:val="en-GB" w:eastAsia="en-GB"/>
        </w:rPr>
        <w:t>Gounopoulos</w:t>
      </w:r>
      <w:proofErr w:type="spellEnd"/>
      <w:r w:rsidRPr="00E915AA">
        <w:rPr>
          <w:rFonts w:ascii="Times New Roman" w:eastAsia="Calibri" w:hAnsi="Times New Roman" w:cs="Times New Roman"/>
          <w:sz w:val="24"/>
          <w:szCs w:val="24"/>
          <w:lang w:val="en-GB" w:eastAsia="en-GB"/>
        </w:rPr>
        <w:t xml:space="preserve"> &amp; Pham, 2017</w:t>
      </w:r>
      <w:r w:rsidR="008A7722"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w:t>
      </w:r>
      <w:proofErr w:type="spellStart"/>
      <w:r w:rsidRPr="00E915AA">
        <w:rPr>
          <w:rFonts w:ascii="Times New Roman" w:eastAsia="Calibri" w:hAnsi="Times New Roman" w:cs="Times New Roman"/>
          <w:sz w:val="24"/>
          <w:szCs w:val="24"/>
          <w:lang w:val="en-GB" w:eastAsia="en-GB"/>
        </w:rPr>
        <w:t>Alhadab</w:t>
      </w:r>
      <w:proofErr w:type="spellEnd"/>
      <w:r w:rsidRPr="00E915AA">
        <w:rPr>
          <w:rFonts w:ascii="Times New Roman" w:eastAsia="Calibri" w:hAnsi="Times New Roman" w:cs="Times New Roman"/>
          <w:sz w:val="24"/>
          <w:szCs w:val="24"/>
          <w:lang w:val="en-GB" w:eastAsia="en-GB"/>
        </w:rPr>
        <w:t xml:space="preserve"> &amp; </w:t>
      </w:r>
      <w:proofErr w:type="spellStart"/>
      <w:r w:rsidRPr="00E915AA">
        <w:rPr>
          <w:rFonts w:ascii="Times New Roman" w:eastAsia="Calibri" w:hAnsi="Times New Roman" w:cs="Times New Roman"/>
          <w:sz w:val="24"/>
          <w:szCs w:val="24"/>
          <w:lang w:val="en-GB" w:eastAsia="en-GB"/>
        </w:rPr>
        <w:t>Clacher</w:t>
      </w:r>
      <w:proofErr w:type="spellEnd"/>
      <w:r w:rsidRPr="00E915AA">
        <w:rPr>
          <w:rFonts w:ascii="Times New Roman" w:eastAsia="Calibri" w:hAnsi="Times New Roman" w:cs="Times New Roman"/>
          <w:sz w:val="24"/>
          <w:szCs w:val="24"/>
          <w:lang w:val="en-GB" w:eastAsia="en-GB"/>
        </w:rPr>
        <w:t xml:space="preserve">, 2018). It could be because, in the IPO context, sales-based manipulation is difficult to uncover as high sales growth is a typical feature of going-public firms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{"citationItems":[{"id":"ITEM-1","itemData":{"ISSN":"00014826","abstract":"We document that accrual-based earnings management increased steadily from 1987 until the passage of the Sarbanes-Oxley Act (SOX) in 2002, followed by a significant decline after the passage of SOX. Conversely, the level of real earnings management activities declined prior to SOX and increased significantly after the passage of SOX, suggesting that firms switched from accrual-based to real earnings management methods after the passage of SOX. We also document that the accrual-based earnings management activities were particularly high in the period immediately preceding SOX. Consistent with these results, we find that firms that just achieved important earnings benchmarks used less accruals and more real earnings management after SOX when compared to similar firms before SOX. In addition, our analysis provides evidence that the increases in accrual-based earnings management in the period preceding SOX were concurrent with increases in equity-based compensation. Our results suggest that stock-option components provide a differential set of incentives with regard to accrual-based earnings management. We document that while new options granted during the current period are negatively associated with income-increasing accrual-based earnings management, unexercised options are positively associated with income-increasing accrual-based earnings management.","author":[{"dropping-particle":"","family":"Cohen","given":"D. A.","non-dropping-particle":"","parse-names":false,"suffix":""},{"dropping-particle":"","family":"Dey","given":"A.","non-dropping-particle":"","parse-names":false,"suffix":""},{"dropping-particle":"","family":"Lys","given":"T. Z.","non-dropping-particle":"","parse-names":false,"suffix":""}],"container-title":"Accounting Review","id":"ITEM-1","issue":"3","issued":{"date-parts":[["2008"]]},"page":"757-787","title":"Real and accrual-based earnings management in the pre- and post-sarbanes-oxley periods","type":"article-journal","volume":"83"},"uris":["http://www.mendeley.com/documents/?uuid=346283e1-f09f-45fa-964a-dbab6e249247"]},{"id":"ITEM-2","itemData":{"abstract":"We survey and interview more than 400 executives to determine the factors that drive reported earnings and disclosure decisions. We find that managers would rather take economic actions that could have negative long-term consequences than make within-GAAP accounting choices to manage earnings. A surprising 78% of our sample admits to sacrificing long-term value to smooth earnings. Managers also work to maintain predictability in earnings and financial disclosures. We also find that managers make voluntary disclosures to reduce information risk and boost stock price but at the same time, try to avoid setting disclosure precedents that will be difficult to maintain. © 2005 Elsevier B.V. All rights reserved.","author":[{"dropping-particle":"","family":"Graham","given":"J. R.","non-dropping-particle":"","parse-names":false,"suffix":""},{"dropping-particle":"","family":"Harvey","given":"C. R.","non-dropping-particle":"","parse-names":false,"suffix":""},{"dropping-particle":"","family":"Rajgopal","given":"S.","non-dropping-particle":"","parse-names":false,"suffix":""}],"container-title":"Journal of Accounting and Economics","id":"ITEM-2","issue":"1-3","issued":{"date-parts":[["2005"]]},"page":"3-73","title":"The economic implications of corporate financial reporting","type":"article-journal","volume":"40"},"uris":["http://www.mendeley.com/documents/?uuid=75377cdf-5337-4738-97fd-60cf1dd85f0f"]}],"mendeley":{"formattedCitation":"(Cohen et al., 2008; Graham et al., 2005)","manualFormatting":"(Cohen et al., 2008; Graham et al., 2005)","plainTextFormattedCitation":"(Cohen et al., 2008; Graham et al., 2005)","previouslyFormattedCitation":"(Cohen et al., 2008; Graham et al., 2005)"},"properties":{"noteIndex":0},"schema":"https://github.com/citation-style-language/schema/raw/master/csl-citation.json"}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(Gounopoulos &amp; Pham, 2017; Alhadab &amp; Clacher, 2018)</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w:t>
      </w:r>
    </w:p>
    <w:p w14:paraId="7C8081E3" w14:textId="7D289FDA" w:rsidR="00F14709" w:rsidRPr="00E915AA" w:rsidRDefault="00F14709" w:rsidP="00F1470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In addition, the findings imply investors should pay more attention to potential REM within IPO registration statements when using the disclosures to </w:t>
      </w:r>
      <w:r w:rsidR="008A7722" w:rsidRPr="00E915AA">
        <w:rPr>
          <w:rFonts w:ascii="Times New Roman" w:eastAsia="Calibri" w:hAnsi="Times New Roman" w:cs="Times New Roman"/>
          <w:sz w:val="24"/>
          <w:szCs w:val="24"/>
          <w:lang w:val="en-GB" w:eastAsia="en-GB"/>
        </w:rPr>
        <w:t>form</w:t>
      </w:r>
      <w:r w:rsidRPr="00E915AA">
        <w:rPr>
          <w:rFonts w:ascii="Times New Roman" w:eastAsia="Calibri" w:hAnsi="Times New Roman" w:cs="Times New Roman"/>
          <w:sz w:val="24"/>
          <w:szCs w:val="24"/>
          <w:lang w:val="en-GB" w:eastAsia="en-GB"/>
        </w:rPr>
        <w:t xml:space="preserve"> invest</w:t>
      </w:r>
      <w:r w:rsidR="008A7722" w:rsidRPr="00E915AA">
        <w:rPr>
          <w:rFonts w:ascii="Times New Roman" w:eastAsia="Calibri" w:hAnsi="Times New Roman" w:cs="Times New Roman"/>
          <w:sz w:val="24"/>
          <w:szCs w:val="24"/>
          <w:lang w:val="en-GB" w:eastAsia="en-GB"/>
        </w:rPr>
        <w:t>ment</w:t>
      </w:r>
      <w:r w:rsidRPr="00E915AA">
        <w:rPr>
          <w:rFonts w:ascii="Times New Roman" w:eastAsia="Calibri" w:hAnsi="Times New Roman" w:cs="Times New Roman"/>
          <w:sz w:val="24"/>
          <w:szCs w:val="24"/>
          <w:lang w:val="en-GB" w:eastAsia="en-GB"/>
        </w:rPr>
        <w:t xml:space="preserve"> decisions</w:t>
      </w:r>
      <w:r w:rsidR="000105E6" w:rsidRPr="00E915AA">
        <w:rPr>
          <w:rFonts w:ascii="Times New Roman" w:eastAsia="Calibri" w:hAnsi="Times New Roman" w:cs="Times New Roman"/>
          <w:sz w:val="24"/>
          <w:szCs w:val="24"/>
          <w:lang w:val="en-GB" w:eastAsia="en-GB"/>
        </w:rPr>
        <w:t>,</w:t>
      </w:r>
      <w:r w:rsidRPr="00E915AA">
        <w:rPr>
          <w:rFonts w:ascii="Times New Roman" w:eastAsia="Calibri" w:hAnsi="Times New Roman" w:cs="Times New Roman"/>
          <w:sz w:val="24"/>
          <w:szCs w:val="24"/>
          <w:lang w:val="en-GB" w:eastAsia="en-GB"/>
        </w:rPr>
        <w:t xml:space="preserve"> as the SEC appears to ineffectively uncover such form of earnings management. The level of both AEM and REM within IPO registration statements are identified to increase under the JOBS Act, implying that investors should make their investing decision with greater care. T</w:t>
      </w:r>
      <w:r w:rsidRPr="00E915AA">
        <w:rPr>
          <w:rFonts w:ascii="Times New Roman" w:eastAsia="Times New Roman" w:hAnsi="Times New Roman" w:cs="Times New Roman"/>
          <w:sz w:val="24"/>
          <w:szCs w:val="24"/>
          <w:lang w:val="en-GB" w:eastAsia="en-GB"/>
        </w:rPr>
        <w:t xml:space="preserve">he empirical findings also indicate that while registration requirements of financial reports are relaxed under the JOBS Act, SEC reviews continue to protect investors from accrual-based and discretionary-expense-based earnings management. Therefore, to some extent, SEC comment letters can still be considered a valuable source of information </w:t>
      </w:r>
      <w:r w:rsidRPr="00E915AA">
        <w:rPr>
          <w:rFonts w:ascii="Times New Roman" w:eastAsia="Calibri" w:hAnsi="Times New Roman" w:cs="Times New Roman"/>
          <w:sz w:val="24"/>
          <w:szCs w:val="24"/>
          <w:lang w:val="en-GB"/>
        </w:rPr>
        <w:t>about the quality of S-1 filings under the JOBS Act in some important respects.</w:t>
      </w:r>
    </w:p>
    <w:p w14:paraId="6903D514" w14:textId="7DCB3B74" w:rsidR="00F14709" w:rsidRPr="00E915AA" w:rsidRDefault="00F14709" w:rsidP="00F14709">
      <w:pPr>
        <w:spacing w:before="240" w:after="240" w:line="360" w:lineRule="auto"/>
        <w:jc w:val="both"/>
        <w:rPr>
          <w:rFonts w:ascii="Times New Roman" w:eastAsia="Calibri" w:hAnsi="Times New Roman" w:cs="Times New Roman"/>
          <w:sz w:val="24"/>
          <w:szCs w:val="24"/>
          <w:lang w:eastAsia="en-GB"/>
        </w:rPr>
      </w:pPr>
      <w:r w:rsidRPr="00E915AA">
        <w:rPr>
          <w:rFonts w:ascii="Times New Roman" w:eastAsia="Calibri" w:hAnsi="Times New Roman" w:cs="Times New Roman"/>
          <w:sz w:val="24"/>
          <w:szCs w:val="24"/>
          <w:lang w:eastAsia="en-GB"/>
        </w:rPr>
        <w:lastRenderedPageBreak/>
        <w:t xml:space="preserve">Furthermore, the findings should also be of interest to regulators in other countries currently using, or considering the adoption of, a filing review process. For example, South Korea conducts national accounting inspections that may be analogous to filing reviews conducted by the SEC (Kim, 2019). The findings would also be instructive for other legislations beginning to develop the capital market or having weaker established financial reporting and auditing standards, weaker investor protection than the </w:t>
      </w:r>
      <w:r w:rsidR="00855EC5" w:rsidRPr="00E915AA">
        <w:rPr>
          <w:rFonts w:ascii="Times New Roman" w:eastAsia="Calibri" w:hAnsi="Times New Roman" w:cs="Times New Roman"/>
          <w:sz w:val="24"/>
          <w:szCs w:val="24"/>
          <w:lang w:eastAsia="en-GB"/>
        </w:rPr>
        <w:t>US</w:t>
      </w:r>
      <w:r w:rsidR="00CB0CEA" w:rsidRPr="00E915AA">
        <w:rPr>
          <w:rFonts w:ascii="Times New Roman" w:eastAsia="Calibri" w:hAnsi="Times New Roman" w:cs="Times New Roman"/>
          <w:sz w:val="24"/>
          <w:szCs w:val="24"/>
          <w:lang w:eastAsia="en-GB"/>
        </w:rPr>
        <w:t>,</w:t>
      </w:r>
      <w:r w:rsidRPr="00E915AA">
        <w:rPr>
          <w:rFonts w:ascii="Times New Roman" w:eastAsia="Calibri" w:hAnsi="Times New Roman" w:cs="Times New Roman"/>
          <w:sz w:val="24"/>
          <w:szCs w:val="24"/>
          <w:lang w:eastAsia="en-GB"/>
        </w:rPr>
        <w:t xml:space="preserve"> or even lacking these monitoring mechanisms. Specifically, other countries can learn from the SEC's monitoring mechanism in addressing EM to develop or improve their disclosure and reporting regulatory reviews more effectively.</w:t>
      </w:r>
    </w:p>
    <w:p w14:paraId="53124498" w14:textId="648D4A42" w:rsidR="00F14709" w:rsidRPr="00E915AA" w:rsidRDefault="00F14709" w:rsidP="00F14709">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It is also worth noting that our study has some limitations. We focus on a sample of only </w:t>
      </w:r>
      <w:r w:rsidR="00855EC5" w:rsidRPr="00E915AA">
        <w:rPr>
          <w:rFonts w:ascii="Times New Roman" w:eastAsia="Calibri" w:hAnsi="Times New Roman" w:cs="Times New Roman"/>
          <w:sz w:val="24"/>
          <w:szCs w:val="24"/>
          <w:lang w:val="en-GB" w:eastAsia="en-GB"/>
        </w:rPr>
        <w:t>US</w:t>
      </w:r>
      <w:r w:rsidRPr="00E915AA">
        <w:rPr>
          <w:rFonts w:ascii="Times New Roman" w:eastAsia="Calibri" w:hAnsi="Times New Roman" w:cs="Times New Roman"/>
          <w:sz w:val="24"/>
          <w:szCs w:val="24"/>
          <w:lang w:val="en-GB" w:eastAsia="en-GB"/>
        </w:rPr>
        <w:t xml:space="preserve"> </w:t>
      </w:r>
      <w:proofErr w:type="gramStart"/>
      <w:r w:rsidRPr="00E915AA">
        <w:rPr>
          <w:rFonts w:ascii="Times New Roman" w:eastAsia="Calibri" w:hAnsi="Times New Roman" w:cs="Times New Roman"/>
          <w:sz w:val="24"/>
          <w:szCs w:val="24"/>
          <w:lang w:val="en-GB" w:eastAsia="en-GB"/>
        </w:rPr>
        <w:t>IPOs,</w:t>
      </w:r>
      <w:proofErr w:type="gramEnd"/>
      <w:r w:rsidRPr="00E915AA">
        <w:rPr>
          <w:rFonts w:ascii="Times New Roman" w:eastAsia="Calibri" w:hAnsi="Times New Roman" w:cs="Times New Roman"/>
          <w:sz w:val="24"/>
          <w:szCs w:val="24"/>
          <w:lang w:val="en-GB" w:eastAsia="en-GB"/>
        </w:rPr>
        <w:t xml:space="preserve"> hence the generalizability of the findings may be a concern. Examining the regulatory oversight of IPO registration statements in other countries could be an important avenue for future research. Furthermore, as we only focus on the effectiveness of SEC reviews in addressing earning management by IPO firms, future research is needed to examine whether they lead to improvements in information quality within the registration statements</w:t>
      </w:r>
      <w:r w:rsidRPr="00E915AA">
        <w:rPr>
          <w:rFonts w:ascii="Times New Roman" w:eastAsia="Times New Roman" w:hAnsi="Times New Roman" w:cs="Times New Roman"/>
          <w:sz w:val="24"/>
          <w:szCs w:val="24"/>
          <w:lang w:val="en-GB" w:eastAsia="en-GB"/>
        </w:rPr>
        <w:t xml:space="preserve"> to offer a more complete picture of the effectiveness of the SEC reviews. </w:t>
      </w:r>
      <w:r w:rsidRPr="00E915AA">
        <w:rPr>
          <w:rFonts w:ascii="Times New Roman" w:eastAsia="Calibri" w:hAnsi="Times New Roman" w:cs="Times New Roman"/>
          <w:sz w:val="24"/>
          <w:szCs w:val="24"/>
          <w:lang w:val="en-GB" w:eastAsia="en-GB"/>
        </w:rPr>
        <w:t xml:space="preserve">Moreover, it might be that the proxy used in our study does not effectively detect sales-based REM, rather than </w:t>
      </w:r>
      <w:r w:rsidR="00CB0CEA" w:rsidRPr="00E915AA">
        <w:rPr>
          <w:rFonts w:ascii="Times New Roman" w:eastAsia="Calibri" w:hAnsi="Times New Roman" w:cs="Times New Roman"/>
          <w:sz w:val="24"/>
          <w:szCs w:val="24"/>
          <w:lang w:val="en-GB" w:eastAsia="en-GB"/>
        </w:rPr>
        <w:t xml:space="preserve">identifying </w:t>
      </w:r>
      <w:r w:rsidRPr="00E915AA">
        <w:rPr>
          <w:rFonts w:ascii="Times New Roman" w:eastAsia="Calibri" w:hAnsi="Times New Roman" w:cs="Times New Roman"/>
          <w:sz w:val="24"/>
          <w:szCs w:val="24"/>
          <w:lang w:val="en-GB" w:eastAsia="en-GB"/>
        </w:rPr>
        <w:t xml:space="preserve">a failing on the part of the SEC. </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{"citationItems":[{"id":"ITEM-1","itemData":{"abstract":"Firms often change their operating policy to meet a short-term financial reporting target. Accounting researchers call this opportunistic action real earnings management (REM). They measure REM by the difference between a firm’s costs and those reported by its industry peers. Firms that pursue distinct competitive strategies also display different cost patterns than peers. However, the models that measure REM do not control for differences in competitive strategy. Hence a researcher can misinterpret a cost difference that stems from a firm’s competitive strategy as REM. The researcher would also find a spurious correlation between earnings management and a firm characteristic that varies with competitive strategy. A cause or effect relationship with earnings management could be wrongfully inferred. I suggest improvements in measurement models to avoid misspecification.","author":[{"dropping-particle":"","family":"Srivastava","given":"A.","non-dropping-particle":"","parse-names":false,"suffix":""}],"container-title":"Review of Accounting Studies","id":"ITEM-1","issue":"4","issued":{"date-parts":[["2019"]]},"page":"1277-1316","title":"Improving the measures of real earnings management","type":"article-journal","volume":"24"},"uris":["http://www.mendeley.com/documents/?uuid=84621435-c5d5-4dc1-99a4-3d35c72bb5e0"]}],"mendeley":{"formattedCitation":"(Srivastava, 2019)","manualFormatting":"Srivastava (2019)","plainTextFormattedCitation":"(Srivastava, 2019)","previouslyFormattedCitation":"(Srivastava, 2019)"},"properties":{"noteIndex":0},"schema":"https://github.com/citation-style-language/schema/raw/master/csl-citation.json"}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Srivastava (2019)</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argues that measures of sales-based REM can be </w:t>
      </w:r>
      <w:proofErr w:type="spellStart"/>
      <w:r w:rsidRPr="00E915AA">
        <w:rPr>
          <w:rFonts w:ascii="Times New Roman" w:eastAsia="Calibri" w:hAnsi="Times New Roman" w:cs="Times New Roman"/>
          <w:sz w:val="24"/>
          <w:szCs w:val="24"/>
          <w:lang w:val="en-GB" w:eastAsia="en-GB"/>
        </w:rPr>
        <w:t>misspecified</w:t>
      </w:r>
      <w:proofErr w:type="spellEnd"/>
      <w:r w:rsidRPr="00E915AA">
        <w:rPr>
          <w:rFonts w:ascii="Times New Roman" w:eastAsia="Calibri" w:hAnsi="Times New Roman" w:cs="Times New Roman"/>
          <w:sz w:val="24"/>
          <w:szCs w:val="24"/>
          <w:lang w:val="en-GB" w:eastAsia="en-GB"/>
        </w:rPr>
        <w:t>, as the assumption that all firms in an industry have the same cost and cash flow patterns in the absence of earnings management is usually violated. Therefore, future research is required to thoroughly examine whether detection of sales-based earnings management is a challenge for the SEC, and if so, what approaches or techniques could help to improve their effectiveness at addressing this form of manipulation.</w:t>
      </w:r>
    </w:p>
    <w:p w14:paraId="119B1115" w14:textId="77777777" w:rsidR="009070DF" w:rsidRPr="00E915AA" w:rsidRDefault="009070DF" w:rsidP="002C6719">
      <w:pPr>
        <w:spacing w:before="240" w:after="240" w:line="360" w:lineRule="auto"/>
        <w:jc w:val="both"/>
        <w:rPr>
          <w:rFonts w:ascii="Times New Roman" w:eastAsia="Calibri" w:hAnsi="Times New Roman" w:cs="Times New Roman"/>
          <w:sz w:val="24"/>
          <w:szCs w:val="24"/>
          <w:lang w:val="en-GB" w:eastAsia="en-GB"/>
        </w:rPr>
      </w:pPr>
    </w:p>
    <w:p w14:paraId="590A06B0" w14:textId="3EDBCED8" w:rsidR="009070DF" w:rsidRPr="00E915AA" w:rsidRDefault="009070DF" w:rsidP="002C6719">
      <w:pPr>
        <w:spacing w:before="240" w:after="240" w:line="360" w:lineRule="auto"/>
        <w:jc w:val="both"/>
        <w:rPr>
          <w:rFonts w:ascii="Times New Roman" w:eastAsia="Calibri" w:hAnsi="Times New Roman" w:cs="Times New Roman"/>
          <w:sz w:val="24"/>
          <w:szCs w:val="24"/>
          <w:lang w:val="en-GB" w:eastAsia="en-GB"/>
        </w:rPr>
        <w:sectPr w:rsidR="009070DF" w:rsidRPr="00E915AA" w:rsidSect="0073176B">
          <w:pgSz w:w="11906" w:h="16838"/>
          <w:pgMar w:top="1440" w:right="1440" w:bottom="1440" w:left="1440" w:header="708" w:footer="708" w:gutter="0"/>
          <w:cols w:space="708"/>
          <w:docGrid w:linePitch="360"/>
        </w:sectPr>
      </w:pPr>
    </w:p>
    <w:p w14:paraId="78E23047" w14:textId="77777777" w:rsidR="002C6719" w:rsidRPr="00E915AA" w:rsidRDefault="002C6719" w:rsidP="00C543CC">
      <w:pPr>
        <w:spacing w:line="360" w:lineRule="auto"/>
        <w:jc w:val="both"/>
        <w:rPr>
          <w:rFonts w:ascii="Times New Roman" w:eastAsia="Calibri" w:hAnsi="Times New Roman" w:cs="Times New Roman"/>
          <w:b/>
          <w:bCs/>
          <w:sz w:val="24"/>
          <w:szCs w:val="24"/>
          <w:lang w:val="en-GB" w:eastAsia="en-GB"/>
        </w:rPr>
      </w:pPr>
      <w:r w:rsidRPr="00E915AA">
        <w:rPr>
          <w:rFonts w:ascii="Times New Roman" w:eastAsia="Calibri" w:hAnsi="Times New Roman" w:cs="Times New Roman"/>
          <w:b/>
          <w:bCs/>
          <w:sz w:val="24"/>
          <w:szCs w:val="24"/>
          <w:lang w:val="en-GB" w:eastAsia="en-GB"/>
        </w:rPr>
        <w:lastRenderedPageBreak/>
        <w:t xml:space="preserve">References </w:t>
      </w:r>
    </w:p>
    <w:p w14:paraId="3D934552" w14:textId="47938B2D" w:rsidR="003009A5" w:rsidRPr="00E915AA" w:rsidRDefault="003009A5"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Agarwal, S., S</w:t>
      </w:r>
      <w:r w:rsidR="00977D2D" w:rsidRPr="00E915AA">
        <w:rPr>
          <w:rFonts w:ascii="Times New Roman" w:eastAsia="Calibri" w:hAnsi="Times New Roman" w:cs="Times New Roman"/>
          <w:sz w:val="24"/>
          <w:szCs w:val="24"/>
          <w:lang w:val="en-GB"/>
        </w:rPr>
        <w:t xml:space="preserve">. Gupta, </w:t>
      </w:r>
      <w:r w:rsidRPr="00E915AA">
        <w:rPr>
          <w:rFonts w:ascii="Times New Roman" w:eastAsia="Calibri" w:hAnsi="Times New Roman" w:cs="Times New Roman"/>
          <w:sz w:val="24"/>
          <w:szCs w:val="24"/>
          <w:lang w:val="en-GB"/>
        </w:rPr>
        <w:t>and R.</w:t>
      </w:r>
      <w:r w:rsidR="00977D2D"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sz w:val="24"/>
          <w:szCs w:val="24"/>
          <w:lang w:val="en-GB"/>
        </w:rPr>
        <w:t>D</w:t>
      </w:r>
      <w:r w:rsidR="00977D2D" w:rsidRPr="00E915AA">
        <w:rPr>
          <w:rFonts w:ascii="Times New Roman" w:eastAsia="Calibri" w:hAnsi="Times New Roman" w:cs="Times New Roman"/>
          <w:sz w:val="24"/>
          <w:szCs w:val="24"/>
          <w:lang w:val="en-GB"/>
        </w:rPr>
        <w:t xml:space="preserve">. </w:t>
      </w:r>
      <w:proofErr w:type="spellStart"/>
      <w:r w:rsidR="00977D2D" w:rsidRPr="00E915AA">
        <w:rPr>
          <w:rFonts w:ascii="Times New Roman" w:eastAsia="Calibri" w:hAnsi="Times New Roman" w:cs="Times New Roman"/>
          <w:sz w:val="24"/>
          <w:szCs w:val="24"/>
          <w:lang w:val="en-GB"/>
        </w:rPr>
        <w:t>Israelsen</w:t>
      </w:r>
      <w:proofErr w:type="spellEnd"/>
      <w:r w:rsidRPr="00E915AA">
        <w:rPr>
          <w:rFonts w:ascii="Times New Roman" w:eastAsia="Calibri" w:hAnsi="Times New Roman" w:cs="Times New Roman"/>
          <w:sz w:val="24"/>
          <w:szCs w:val="24"/>
          <w:lang w:val="en-GB"/>
        </w:rPr>
        <w:t xml:space="preserve">. 2017. Public and private information: Firm disclosure, SEC letters, and the </w:t>
      </w:r>
      <w:r w:rsidR="00977D2D" w:rsidRPr="00E915AA">
        <w:rPr>
          <w:rFonts w:ascii="Times New Roman" w:eastAsia="Calibri" w:hAnsi="Times New Roman" w:cs="Times New Roman"/>
          <w:sz w:val="24"/>
          <w:szCs w:val="24"/>
          <w:lang w:val="en-GB"/>
        </w:rPr>
        <w:t>JOBS Act</w:t>
      </w:r>
      <w:r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i/>
          <w:iCs/>
          <w:sz w:val="24"/>
          <w:szCs w:val="24"/>
          <w:lang w:val="en-GB"/>
        </w:rPr>
        <w:t>Georgetown McDonough School of Business Research Paper 2891089:</w:t>
      </w:r>
      <w:r w:rsidRPr="00E915AA">
        <w:rPr>
          <w:rFonts w:ascii="Times New Roman" w:eastAsia="Calibri" w:hAnsi="Times New Roman" w:cs="Times New Roman"/>
          <w:sz w:val="24"/>
          <w:szCs w:val="24"/>
          <w:lang w:val="en-GB"/>
        </w:rPr>
        <w:t xml:space="preserve"> 17-4.</w:t>
      </w:r>
    </w:p>
    <w:p w14:paraId="66AD0810" w14:textId="1E814F74"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Aharony</w:t>
      </w:r>
      <w:proofErr w:type="spellEnd"/>
      <w:r w:rsidRPr="00E915AA">
        <w:rPr>
          <w:rFonts w:ascii="Times New Roman" w:eastAsia="Calibri" w:hAnsi="Times New Roman" w:cs="Times New Roman"/>
          <w:sz w:val="24"/>
          <w:szCs w:val="24"/>
          <w:lang w:val="en-GB"/>
        </w:rPr>
        <w:t>, J.,</w:t>
      </w:r>
      <w:r w:rsidR="00977D2D"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sz w:val="24"/>
          <w:szCs w:val="24"/>
          <w:lang w:val="en-GB"/>
        </w:rPr>
        <w:t>C.</w:t>
      </w:r>
      <w:r w:rsidR="00977D2D" w:rsidRPr="00E915AA">
        <w:rPr>
          <w:rFonts w:ascii="Times New Roman" w:eastAsia="Calibri" w:hAnsi="Times New Roman" w:cs="Times New Roman"/>
          <w:sz w:val="24"/>
          <w:szCs w:val="24"/>
          <w:lang w:val="en-GB"/>
        </w:rPr>
        <w:t xml:space="preserve"> Lin</w:t>
      </w:r>
      <w:r w:rsidRPr="00E915AA">
        <w:rPr>
          <w:rFonts w:ascii="Times New Roman" w:eastAsia="Calibri" w:hAnsi="Times New Roman" w:cs="Times New Roman"/>
          <w:sz w:val="24"/>
          <w:szCs w:val="24"/>
          <w:lang w:val="en-GB"/>
        </w:rPr>
        <w:t xml:space="preserve">, </w:t>
      </w:r>
      <w:r w:rsidR="00977D2D" w:rsidRPr="00E915AA">
        <w:rPr>
          <w:rFonts w:ascii="Times New Roman" w:eastAsia="Calibri" w:hAnsi="Times New Roman" w:cs="Times New Roman"/>
          <w:sz w:val="24"/>
          <w:szCs w:val="24"/>
          <w:lang w:val="en-GB"/>
        </w:rPr>
        <w:t xml:space="preserve">and </w:t>
      </w:r>
      <w:r w:rsidRPr="00E915AA">
        <w:rPr>
          <w:rFonts w:ascii="Times New Roman" w:eastAsia="Calibri" w:hAnsi="Times New Roman" w:cs="Times New Roman"/>
          <w:sz w:val="24"/>
          <w:szCs w:val="24"/>
          <w:lang w:val="en-GB"/>
        </w:rPr>
        <w:t>M. P</w:t>
      </w:r>
      <w:r w:rsidR="00977D2D" w:rsidRPr="00E915AA">
        <w:rPr>
          <w:rFonts w:ascii="Times New Roman" w:eastAsia="Calibri" w:hAnsi="Times New Roman" w:cs="Times New Roman"/>
          <w:sz w:val="24"/>
          <w:szCs w:val="24"/>
          <w:lang w:val="en-GB"/>
        </w:rPr>
        <w:t xml:space="preserve">. Loeb. </w:t>
      </w:r>
      <w:r w:rsidRPr="00E915AA">
        <w:rPr>
          <w:rFonts w:ascii="Times New Roman" w:eastAsia="Calibri" w:hAnsi="Times New Roman" w:cs="Times New Roman"/>
          <w:sz w:val="24"/>
          <w:szCs w:val="24"/>
          <w:lang w:val="en-GB"/>
        </w:rPr>
        <w:t xml:space="preserve">1993. Initial Public Offerings, Accounting </w:t>
      </w:r>
      <w:proofErr w:type="gramStart"/>
      <w:r w:rsidRPr="00E915AA">
        <w:rPr>
          <w:rFonts w:ascii="Times New Roman" w:eastAsia="Calibri" w:hAnsi="Times New Roman" w:cs="Times New Roman"/>
          <w:sz w:val="24"/>
          <w:szCs w:val="24"/>
          <w:lang w:val="en-GB"/>
        </w:rPr>
        <w:t>Choices</w:t>
      </w:r>
      <w:proofErr w:type="gramEnd"/>
      <w:r w:rsidRPr="00E915AA">
        <w:rPr>
          <w:rFonts w:ascii="Times New Roman" w:eastAsia="Calibri" w:hAnsi="Times New Roman" w:cs="Times New Roman"/>
          <w:sz w:val="24"/>
          <w:szCs w:val="24"/>
          <w:lang w:val="en-GB"/>
        </w:rPr>
        <w:t xml:space="preserve"> and Earnings Management. </w:t>
      </w:r>
      <w:r w:rsidRPr="00E915AA">
        <w:rPr>
          <w:rFonts w:ascii="Times New Roman" w:eastAsia="Calibri" w:hAnsi="Times New Roman" w:cs="Times New Roman"/>
          <w:i/>
          <w:iCs/>
          <w:sz w:val="24"/>
          <w:szCs w:val="24"/>
          <w:lang w:val="en-GB"/>
        </w:rPr>
        <w:t>Contemporary Accounting Research</w:t>
      </w:r>
      <w:r w:rsidR="003009A5" w:rsidRPr="00E915AA">
        <w:rPr>
          <w:rFonts w:ascii="Times New Roman" w:eastAsia="Calibri" w:hAnsi="Times New Roman" w:cs="Times New Roman"/>
          <w:i/>
          <w:iCs/>
          <w:sz w:val="24"/>
          <w:szCs w:val="24"/>
          <w:lang w:val="en-GB"/>
        </w:rPr>
        <w:t xml:space="preserve"> </w:t>
      </w:r>
      <w:r w:rsidRPr="00E915AA">
        <w:rPr>
          <w:rFonts w:ascii="Times New Roman" w:eastAsia="Calibri" w:hAnsi="Times New Roman" w:cs="Times New Roman"/>
          <w:sz w:val="24"/>
          <w:szCs w:val="24"/>
          <w:lang w:val="en-GB"/>
        </w:rPr>
        <w:t>10(1)</w:t>
      </w:r>
      <w:r w:rsidR="003009A5"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sz w:val="24"/>
          <w:szCs w:val="24"/>
          <w:lang w:val="en-GB"/>
        </w:rPr>
        <w:t>61–81.</w:t>
      </w:r>
    </w:p>
    <w:p w14:paraId="171B416E" w14:textId="3D6B04A9"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Ahmad-</w:t>
      </w:r>
      <w:proofErr w:type="spellStart"/>
      <w:r w:rsidRPr="00E915AA">
        <w:rPr>
          <w:rFonts w:ascii="Times New Roman" w:eastAsia="Calibri" w:hAnsi="Times New Roman" w:cs="Times New Roman"/>
          <w:sz w:val="24"/>
          <w:szCs w:val="24"/>
          <w:lang w:val="en-GB"/>
        </w:rPr>
        <w:t>Zaluki</w:t>
      </w:r>
      <w:proofErr w:type="spellEnd"/>
      <w:r w:rsidRPr="00E915AA">
        <w:rPr>
          <w:rFonts w:ascii="Times New Roman" w:eastAsia="Calibri" w:hAnsi="Times New Roman" w:cs="Times New Roman"/>
          <w:sz w:val="24"/>
          <w:szCs w:val="24"/>
          <w:lang w:val="en-GB"/>
        </w:rPr>
        <w:t>, N. A., K.</w:t>
      </w:r>
      <w:r w:rsidR="00977D2D" w:rsidRPr="00E915AA">
        <w:rPr>
          <w:rFonts w:ascii="Times New Roman" w:eastAsia="Calibri" w:hAnsi="Times New Roman" w:cs="Times New Roman"/>
          <w:sz w:val="24"/>
          <w:szCs w:val="24"/>
          <w:lang w:val="en-GB"/>
        </w:rPr>
        <w:t xml:space="preserve"> </w:t>
      </w:r>
      <w:proofErr w:type="gramStart"/>
      <w:r w:rsidR="00977D2D" w:rsidRPr="00E915AA">
        <w:rPr>
          <w:rFonts w:ascii="Times New Roman" w:eastAsia="Calibri" w:hAnsi="Times New Roman" w:cs="Times New Roman"/>
          <w:sz w:val="24"/>
          <w:szCs w:val="24"/>
          <w:lang w:val="en-GB"/>
        </w:rPr>
        <w:t>Campbell</w:t>
      </w:r>
      <w:proofErr w:type="gramEnd"/>
      <w:r w:rsidR="00977D2D" w:rsidRPr="00E915AA">
        <w:rPr>
          <w:rFonts w:ascii="Times New Roman" w:eastAsia="Calibri" w:hAnsi="Times New Roman" w:cs="Times New Roman"/>
          <w:sz w:val="24"/>
          <w:szCs w:val="24"/>
          <w:lang w:val="en-GB"/>
        </w:rPr>
        <w:t xml:space="preserve"> and</w:t>
      </w:r>
      <w:r w:rsidRPr="00E915AA">
        <w:rPr>
          <w:rFonts w:ascii="Times New Roman" w:eastAsia="Calibri" w:hAnsi="Times New Roman" w:cs="Times New Roman"/>
          <w:sz w:val="24"/>
          <w:szCs w:val="24"/>
          <w:lang w:val="en-GB"/>
        </w:rPr>
        <w:t xml:space="preserve"> A.</w:t>
      </w:r>
      <w:r w:rsidR="00977D2D" w:rsidRPr="00E915AA">
        <w:rPr>
          <w:rFonts w:ascii="Times New Roman" w:eastAsia="Calibri" w:hAnsi="Times New Roman" w:cs="Times New Roman"/>
          <w:sz w:val="24"/>
          <w:szCs w:val="24"/>
          <w:lang w:val="en-GB"/>
        </w:rPr>
        <w:t xml:space="preserve"> Goodacre. </w:t>
      </w:r>
      <w:r w:rsidRPr="00E915AA">
        <w:rPr>
          <w:rFonts w:ascii="Times New Roman" w:eastAsia="Calibri" w:hAnsi="Times New Roman" w:cs="Times New Roman"/>
          <w:sz w:val="24"/>
          <w:szCs w:val="24"/>
          <w:lang w:val="en-GB"/>
        </w:rPr>
        <w:t xml:space="preserve">2011. Earnings management in Malaysian IPOs: The East Asian crisis, ownership control, and post-IPO performance. </w:t>
      </w:r>
      <w:r w:rsidR="009D50D2" w:rsidRPr="00E915AA">
        <w:rPr>
          <w:rFonts w:ascii="Times New Roman" w:eastAsia="Calibri" w:hAnsi="Times New Roman" w:cs="Times New Roman"/>
          <w:i/>
          <w:iCs/>
          <w:sz w:val="24"/>
          <w:szCs w:val="24"/>
          <w:lang w:val="en-GB"/>
        </w:rPr>
        <w:t>The</w:t>
      </w:r>
      <w:r w:rsidR="009D50D2"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i/>
          <w:iCs/>
          <w:sz w:val="24"/>
          <w:szCs w:val="24"/>
          <w:lang w:val="en-GB"/>
        </w:rPr>
        <w:t>International Journal of Accounting</w:t>
      </w:r>
      <w:r w:rsidR="00977D2D" w:rsidRPr="00E915AA">
        <w:rPr>
          <w:rFonts w:ascii="Times New Roman" w:eastAsia="Calibri" w:hAnsi="Times New Roman" w:cs="Times New Roman"/>
          <w:i/>
          <w:iCs/>
          <w:sz w:val="24"/>
          <w:szCs w:val="24"/>
          <w:lang w:val="en-GB"/>
        </w:rPr>
        <w:t xml:space="preserve"> </w:t>
      </w:r>
      <w:r w:rsidRPr="00E915AA">
        <w:rPr>
          <w:rFonts w:ascii="Times New Roman" w:eastAsia="Calibri" w:hAnsi="Times New Roman" w:cs="Times New Roman"/>
          <w:sz w:val="24"/>
          <w:szCs w:val="24"/>
          <w:lang w:val="en-GB"/>
        </w:rPr>
        <w:t>46(2)</w:t>
      </w:r>
      <w:r w:rsidR="00977D2D" w:rsidRPr="00E915AA">
        <w:rPr>
          <w:rFonts w:ascii="Times New Roman" w:eastAsia="Calibri" w:hAnsi="Times New Roman" w:cs="Times New Roman"/>
          <w:sz w:val="24"/>
          <w:szCs w:val="24"/>
          <w:lang w:val="en-GB"/>
        </w:rPr>
        <w:t xml:space="preserve">: </w:t>
      </w:r>
      <w:r w:rsidRPr="00E915AA">
        <w:rPr>
          <w:rFonts w:ascii="Times New Roman" w:eastAsia="Calibri" w:hAnsi="Times New Roman" w:cs="Times New Roman"/>
          <w:sz w:val="24"/>
          <w:szCs w:val="24"/>
          <w:lang w:val="en-GB"/>
        </w:rPr>
        <w:t xml:space="preserve">111–137. </w:t>
      </w:r>
    </w:p>
    <w:p w14:paraId="28F52DF4" w14:textId="193E25A3" w:rsidR="009D50D2" w:rsidRPr="00E915AA" w:rsidRDefault="009D50D2"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hAnsi="Times New Roman" w:cs="Times New Roman"/>
          <w:color w:val="222222"/>
          <w:sz w:val="24"/>
          <w:szCs w:val="24"/>
          <w:shd w:val="clear" w:color="auto" w:fill="FFFFFF"/>
        </w:rPr>
        <w:t>Alhadab</w:t>
      </w:r>
      <w:proofErr w:type="spellEnd"/>
      <w:r w:rsidRPr="00E915AA">
        <w:rPr>
          <w:rFonts w:ascii="Times New Roman" w:hAnsi="Times New Roman" w:cs="Times New Roman"/>
          <w:color w:val="222222"/>
          <w:sz w:val="24"/>
          <w:szCs w:val="24"/>
          <w:shd w:val="clear" w:color="auto" w:fill="FFFFFF"/>
        </w:rPr>
        <w:t xml:space="preserve">, M. and I. </w:t>
      </w:r>
      <w:proofErr w:type="spellStart"/>
      <w:r w:rsidRPr="00E915AA">
        <w:rPr>
          <w:rFonts w:ascii="Times New Roman" w:hAnsi="Times New Roman" w:cs="Times New Roman"/>
          <w:color w:val="222222"/>
          <w:sz w:val="24"/>
          <w:szCs w:val="24"/>
          <w:shd w:val="clear" w:color="auto" w:fill="FFFFFF"/>
        </w:rPr>
        <w:t>Clacher</w:t>
      </w:r>
      <w:proofErr w:type="spellEnd"/>
      <w:r w:rsidRPr="00E915AA">
        <w:rPr>
          <w:rFonts w:ascii="Times New Roman" w:hAnsi="Times New Roman" w:cs="Times New Roman"/>
          <w:color w:val="222222"/>
          <w:sz w:val="24"/>
          <w:szCs w:val="24"/>
          <w:shd w:val="clear" w:color="auto" w:fill="FFFFFF"/>
        </w:rPr>
        <w:t>, 2018. The impact of audit quality on real and accrual earnings management around IPOs. </w:t>
      </w:r>
      <w:r w:rsidRPr="00E915AA">
        <w:rPr>
          <w:rFonts w:ascii="Times New Roman" w:hAnsi="Times New Roman" w:cs="Times New Roman"/>
          <w:i/>
          <w:iCs/>
          <w:color w:val="222222"/>
          <w:sz w:val="24"/>
          <w:szCs w:val="24"/>
          <w:shd w:val="clear" w:color="auto" w:fill="FFFFFF"/>
        </w:rPr>
        <w:t>The British Accounting Review</w:t>
      </w:r>
      <w:r w:rsidRPr="00E915AA">
        <w:rPr>
          <w:rFonts w:ascii="Times New Roman" w:hAnsi="Times New Roman" w:cs="Times New Roman"/>
          <w:color w:val="222222"/>
          <w:sz w:val="24"/>
          <w:szCs w:val="24"/>
          <w:shd w:val="clear" w:color="auto" w:fill="FFFFFF"/>
        </w:rPr>
        <w:t xml:space="preserve"> 50(4): 442-461.</w:t>
      </w:r>
      <w:r w:rsidRPr="00E915AA">
        <w:rPr>
          <w:rFonts w:ascii="Times New Roman" w:eastAsia="Calibri" w:hAnsi="Times New Roman" w:cs="Times New Roman"/>
          <w:sz w:val="24"/>
          <w:szCs w:val="24"/>
          <w:lang w:val="en-GB"/>
        </w:rPr>
        <w:t xml:space="preserve"> </w:t>
      </w:r>
    </w:p>
    <w:p w14:paraId="780215D5" w14:textId="5DFBCA0A" w:rsidR="009D50D2" w:rsidRPr="00E915AA" w:rsidRDefault="009D50D2"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Alhadab</w:t>
      </w:r>
      <w:proofErr w:type="spellEnd"/>
      <w:r w:rsidRPr="00E915AA">
        <w:rPr>
          <w:rFonts w:ascii="Times New Roman" w:eastAsia="Calibri" w:hAnsi="Times New Roman" w:cs="Times New Roman"/>
          <w:sz w:val="24"/>
          <w:szCs w:val="24"/>
          <w:lang w:val="en-GB"/>
        </w:rPr>
        <w:t xml:space="preserve">, M., I. </w:t>
      </w:r>
      <w:proofErr w:type="spellStart"/>
      <w:r w:rsidRPr="00E915AA">
        <w:rPr>
          <w:rFonts w:ascii="Times New Roman" w:eastAsia="Calibri" w:hAnsi="Times New Roman" w:cs="Times New Roman"/>
          <w:sz w:val="24"/>
          <w:szCs w:val="24"/>
          <w:lang w:val="en-GB"/>
        </w:rPr>
        <w:t>Clacher</w:t>
      </w:r>
      <w:proofErr w:type="spellEnd"/>
      <w:r w:rsidRPr="00E915AA">
        <w:rPr>
          <w:rFonts w:ascii="Times New Roman" w:eastAsia="Calibri" w:hAnsi="Times New Roman" w:cs="Times New Roman"/>
          <w:sz w:val="24"/>
          <w:szCs w:val="24"/>
          <w:lang w:val="en-GB"/>
        </w:rPr>
        <w:t xml:space="preserve"> and K. </w:t>
      </w:r>
      <w:proofErr w:type="spellStart"/>
      <w:r w:rsidRPr="00E915AA">
        <w:rPr>
          <w:rFonts w:ascii="Times New Roman" w:eastAsia="Calibri" w:hAnsi="Times New Roman" w:cs="Times New Roman"/>
          <w:sz w:val="24"/>
          <w:szCs w:val="24"/>
          <w:lang w:val="en-GB"/>
        </w:rPr>
        <w:t>Keasey</w:t>
      </w:r>
      <w:proofErr w:type="spellEnd"/>
      <w:r w:rsidRPr="00E915AA">
        <w:rPr>
          <w:rFonts w:ascii="Times New Roman" w:eastAsia="Calibri" w:hAnsi="Times New Roman" w:cs="Times New Roman"/>
          <w:sz w:val="24"/>
          <w:szCs w:val="24"/>
          <w:lang w:val="en-GB"/>
        </w:rPr>
        <w:t xml:space="preserve">. 2015. Real and accrual earnings management and IPO failure risk. </w:t>
      </w:r>
      <w:r w:rsidRPr="00E915AA">
        <w:rPr>
          <w:rFonts w:ascii="Times New Roman" w:eastAsia="Calibri" w:hAnsi="Times New Roman" w:cs="Times New Roman"/>
          <w:i/>
          <w:iCs/>
          <w:sz w:val="24"/>
          <w:szCs w:val="24"/>
          <w:lang w:val="en-GB"/>
        </w:rPr>
        <w:t>Accounting and Business Research</w:t>
      </w:r>
      <w:r w:rsidRPr="00E915AA">
        <w:rPr>
          <w:rFonts w:ascii="Times New Roman" w:eastAsia="Calibri" w:hAnsi="Times New Roman" w:cs="Times New Roman"/>
          <w:sz w:val="24"/>
          <w:szCs w:val="24"/>
          <w:lang w:val="en-GB"/>
        </w:rPr>
        <w:t xml:space="preserve"> 45(1): 55-92.</w:t>
      </w:r>
    </w:p>
    <w:p w14:paraId="043FB3E5" w14:textId="4597F089" w:rsidR="009D50D2" w:rsidRPr="00E915AA" w:rsidRDefault="009D50D2"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Alhadab</w:t>
      </w:r>
      <w:proofErr w:type="spellEnd"/>
      <w:r w:rsidRPr="00E915AA">
        <w:rPr>
          <w:rFonts w:ascii="Times New Roman" w:eastAsia="Calibri" w:hAnsi="Times New Roman" w:cs="Times New Roman"/>
          <w:sz w:val="24"/>
          <w:szCs w:val="24"/>
          <w:lang w:val="en-GB"/>
        </w:rPr>
        <w:t xml:space="preserve">, M., I. </w:t>
      </w:r>
      <w:proofErr w:type="spellStart"/>
      <w:r w:rsidRPr="00E915AA">
        <w:rPr>
          <w:rFonts w:ascii="Times New Roman" w:eastAsia="Calibri" w:hAnsi="Times New Roman" w:cs="Times New Roman"/>
          <w:sz w:val="24"/>
          <w:szCs w:val="24"/>
          <w:lang w:val="en-GB"/>
        </w:rPr>
        <w:t>Clacher</w:t>
      </w:r>
      <w:proofErr w:type="spellEnd"/>
      <w:r w:rsidRPr="00E915AA">
        <w:rPr>
          <w:rFonts w:ascii="Times New Roman" w:eastAsia="Calibri" w:hAnsi="Times New Roman" w:cs="Times New Roman"/>
          <w:sz w:val="24"/>
          <w:szCs w:val="24"/>
          <w:lang w:val="en-GB"/>
        </w:rPr>
        <w:t xml:space="preserve"> and K. </w:t>
      </w:r>
      <w:proofErr w:type="spellStart"/>
      <w:r w:rsidRPr="00E915AA">
        <w:rPr>
          <w:rFonts w:ascii="Times New Roman" w:eastAsia="Calibri" w:hAnsi="Times New Roman" w:cs="Times New Roman"/>
          <w:sz w:val="24"/>
          <w:szCs w:val="24"/>
          <w:lang w:val="en-GB"/>
        </w:rPr>
        <w:t>Keasey</w:t>
      </w:r>
      <w:proofErr w:type="spellEnd"/>
      <w:r w:rsidRPr="00E915AA">
        <w:rPr>
          <w:rFonts w:ascii="Times New Roman" w:eastAsia="Calibri" w:hAnsi="Times New Roman" w:cs="Times New Roman"/>
          <w:sz w:val="24"/>
          <w:szCs w:val="24"/>
          <w:lang w:val="en-GB"/>
        </w:rPr>
        <w:t xml:space="preserve">. 2016. A comparative analysis of real and accrual earnings management around initial public offerings under different regulatory environments. </w:t>
      </w:r>
      <w:r w:rsidRPr="00E915AA">
        <w:rPr>
          <w:rFonts w:ascii="Times New Roman" w:eastAsia="Calibri" w:hAnsi="Times New Roman" w:cs="Times New Roman"/>
          <w:i/>
          <w:iCs/>
          <w:sz w:val="24"/>
          <w:szCs w:val="24"/>
          <w:lang w:val="en-GB"/>
        </w:rPr>
        <w:t>Journal of Business Finance &amp; Accounting</w:t>
      </w:r>
      <w:r w:rsidRPr="00E915AA">
        <w:rPr>
          <w:rFonts w:ascii="Times New Roman" w:eastAsia="Calibri" w:hAnsi="Times New Roman" w:cs="Times New Roman"/>
          <w:sz w:val="24"/>
          <w:szCs w:val="24"/>
          <w:lang w:val="en-GB"/>
        </w:rPr>
        <w:t xml:space="preserve"> 43(7-8): 849-871.</w:t>
      </w:r>
    </w:p>
    <w:p w14:paraId="060698D9" w14:textId="1D68612F" w:rsidR="008A53DA" w:rsidRPr="00E915AA" w:rsidRDefault="008A53DA"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Ali, </w:t>
      </w:r>
      <w:proofErr w:type="gramStart"/>
      <w:r w:rsidRPr="00E915AA">
        <w:rPr>
          <w:rFonts w:ascii="Times New Roman" w:eastAsia="Calibri" w:hAnsi="Times New Roman" w:cs="Times New Roman"/>
          <w:sz w:val="24"/>
          <w:szCs w:val="24"/>
          <w:lang w:val="en-GB"/>
        </w:rPr>
        <w:t>A.</w:t>
      </w:r>
      <w:proofErr w:type="gramEnd"/>
      <w:r w:rsidRPr="00E915AA">
        <w:rPr>
          <w:rFonts w:ascii="Times New Roman" w:eastAsia="Calibri" w:hAnsi="Times New Roman" w:cs="Times New Roman"/>
          <w:sz w:val="24"/>
          <w:szCs w:val="24"/>
          <w:lang w:val="en-GB"/>
        </w:rPr>
        <w:t xml:space="preserve"> and W. Zhang. 2015. CEO tenure and earnings management. </w:t>
      </w:r>
      <w:r w:rsidRPr="00E915AA">
        <w:rPr>
          <w:rFonts w:ascii="Times New Roman" w:eastAsia="Calibri" w:hAnsi="Times New Roman" w:cs="Times New Roman"/>
          <w:i/>
          <w:iCs/>
          <w:sz w:val="24"/>
          <w:szCs w:val="24"/>
          <w:lang w:val="en-GB"/>
        </w:rPr>
        <w:t>Journal of Accounting and Economics</w:t>
      </w:r>
      <w:r w:rsidRPr="00E915AA">
        <w:rPr>
          <w:rFonts w:ascii="Times New Roman" w:eastAsia="Calibri" w:hAnsi="Times New Roman" w:cs="Times New Roman"/>
          <w:sz w:val="24"/>
          <w:szCs w:val="24"/>
          <w:lang w:val="en-GB"/>
        </w:rPr>
        <w:t xml:space="preserve"> 59(1): 60-79. </w:t>
      </w:r>
    </w:p>
    <w:p w14:paraId="568A3680" w14:textId="2942E2E1" w:rsidR="00E64881" w:rsidRPr="00E915AA" w:rsidRDefault="00E64881" w:rsidP="00C543CC">
      <w:pPr>
        <w:spacing w:line="240" w:lineRule="auto"/>
        <w:ind w:left="340" w:hanging="340"/>
        <w:jc w:val="both"/>
        <w:rPr>
          <w:rFonts w:ascii="Times New Roman" w:eastAsia="Yu Mincho" w:hAnsi="Times New Roman" w:cs="Times New Roman"/>
          <w:noProof/>
          <w:sz w:val="24"/>
          <w:szCs w:val="24"/>
          <w:lang w:val="en-GB" w:eastAsia="en-GB"/>
        </w:rPr>
      </w:pPr>
      <w:r w:rsidRPr="00E915AA">
        <w:rPr>
          <w:rFonts w:ascii="Times New Roman" w:eastAsia="Yu Mincho" w:hAnsi="Times New Roman" w:cs="Times New Roman"/>
          <w:noProof/>
          <w:sz w:val="24"/>
          <w:szCs w:val="24"/>
          <w:lang w:val="en-GB" w:eastAsia="en-GB"/>
        </w:rPr>
        <w:t>Ali, A., Klasa, S., &amp; Yeung, E. (2014). Industry concentration and corporate disclosure policy. Journal of Accounting and Economics, 58(2–3), 240–264.</w:t>
      </w:r>
    </w:p>
    <w:p w14:paraId="0F59AC9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Ball, R., &amp; </w:t>
      </w:r>
      <w:proofErr w:type="spellStart"/>
      <w:r w:rsidRPr="00E915AA">
        <w:rPr>
          <w:rFonts w:ascii="Times New Roman" w:eastAsia="Calibri" w:hAnsi="Times New Roman" w:cs="Times New Roman"/>
          <w:sz w:val="24"/>
          <w:szCs w:val="24"/>
          <w:lang w:val="en-GB"/>
        </w:rPr>
        <w:t>Shivakumar</w:t>
      </w:r>
      <w:proofErr w:type="spellEnd"/>
      <w:r w:rsidRPr="00E915AA">
        <w:rPr>
          <w:rFonts w:ascii="Times New Roman" w:eastAsia="Calibri" w:hAnsi="Times New Roman" w:cs="Times New Roman"/>
          <w:sz w:val="24"/>
          <w:szCs w:val="24"/>
          <w:lang w:val="en-GB"/>
        </w:rPr>
        <w:t>, L. (2008). Earnings quality at initial public offerings. Journal of Accounting and Economics, 45(2–3), 324–349.</w:t>
      </w:r>
    </w:p>
    <w:p w14:paraId="7E3DBE8A"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Barth, M. E., Landsman, W. R., &amp; Taylor, D. J. (2017). The JOBS Act and information uncertainty in IPO firms. The Accounting Review, 92(6), 25–47.</w:t>
      </w:r>
    </w:p>
    <w:p w14:paraId="21C3B71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Bayless, R. A. (2000). How the Division of Corporation Finance Influences Accounting Practices and Financial Reporting Standards. Retrieved April 15, </w:t>
      </w:r>
      <w:proofErr w:type="gramStart"/>
      <w:r w:rsidRPr="00E915AA">
        <w:rPr>
          <w:rFonts w:ascii="Times New Roman" w:eastAsia="Calibri" w:hAnsi="Times New Roman" w:cs="Times New Roman"/>
          <w:sz w:val="24"/>
          <w:szCs w:val="24"/>
          <w:lang w:val="en-GB"/>
        </w:rPr>
        <w:t>2019</w:t>
      </w:r>
      <w:proofErr w:type="gramEnd"/>
      <w:r w:rsidRPr="00E915AA">
        <w:rPr>
          <w:rFonts w:ascii="Times New Roman" w:eastAsia="Calibri" w:hAnsi="Times New Roman" w:cs="Times New Roman"/>
          <w:sz w:val="24"/>
          <w:szCs w:val="24"/>
          <w:lang w:val="en-GB"/>
        </w:rPr>
        <w:t xml:space="preserve"> from </w:t>
      </w:r>
      <w:hyperlink r:id="rId12" w:history="1">
        <w:r w:rsidRPr="00E915AA">
          <w:rPr>
            <w:rFonts w:ascii="Times New Roman" w:eastAsia="Calibri" w:hAnsi="Times New Roman" w:cs="Times New Roman"/>
            <w:color w:val="0563C1"/>
            <w:sz w:val="24"/>
            <w:szCs w:val="24"/>
            <w:u w:val="single"/>
            <w:lang w:val="en-GB"/>
          </w:rPr>
          <w:t>https://www.sec.gov/news/speech/spch394.htm</w:t>
        </w:r>
      </w:hyperlink>
      <w:r w:rsidRPr="00E915AA">
        <w:rPr>
          <w:rFonts w:ascii="Times New Roman" w:eastAsia="Calibri" w:hAnsi="Times New Roman" w:cs="Times New Roman"/>
          <w:sz w:val="24"/>
          <w:szCs w:val="24"/>
          <w:lang w:val="en-GB"/>
        </w:rPr>
        <w:t xml:space="preserve"> </w:t>
      </w:r>
    </w:p>
    <w:p w14:paraId="6C54742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Brazel</w:t>
      </w:r>
      <w:proofErr w:type="spellEnd"/>
      <w:r w:rsidRPr="00E915AA">
        <w:rPr>
          <w:rFonts w:ascii="Times New Roman" w:eastAsia="Calibri" w:hAnsi="Times New Roman" w:cs="Times New Roman"/>
          <w:sz w:val="24"/>
          <w:szCs w:val="24"/>
          <w:lang w:val="en-GB"/>
        </w:rPr>
        <w:t xml:space="preserve">, J. F., Jones, K. L., &amp; </w:t>
      </w:r>
      <w:proofErr w:type="spellStart"/>
      <w:r w:rsidRPr="00E915AA">
        <w:rPr>
          <w:rFonts w:ascii="Times New Roman" w:eastAsia="Calibri" w:hAnsi="Times New Roman" w:cs="Times New Roman"/>
          <w:sz w:val="24"/>
          <w:szCs w:val="24"/>
          <w:lang w:val="en-GB"/>
        </w:rPr>
        <w:t>Zimbelman</w:t>
      </w:r>
      <w:proofErr w:type="spellEnd"/>
      <w:r w:rsidRPr="00E915AA">
        <w:rPr>
          <w:rFonts w:ascii="Times New Roman" w:eastAsia="Calibri" w:hAnsi="Times New Roman" w:cs="Times New Roman"/>
          <w:sz w:val="24"/>
          <w:szCs w:val="24"/>
          <w:lang w:val="en-GB"/>
        </w:rPr>
        <w:t>, M. F. (2009). Using nonfinancial measures to assess fraud risk. Journal of Accounting Research, 47(5), 1135–1166.</w:t>
      </w:r>
    </w:p>
    <w:p w14:paraId="7EF7F059"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Bushman, R. M., &amp; </w:t>
      </w:r>
      <w:proofErr w:type="spellStart"/>
      <w:r w:rsidRPr="00E915AA">
        <w:rPr>
          <w:rFonts w:ascii="Times New Roman" w:eastAsia="Calibri" w:hAnsi="Times New Roman" w:cs="Times New Roman"/>
          <w:sz w:val="24"/>
          <w:szCs w:val="24"/>
          <w:lang w:val="en-GB"/>
        </w:rPr>
        <w:t>Piotroski</w:t>
      </w:r>
      <w:proofErr w:type="spellEnd"/>
      <w:r w:rsidRPr="00E915AA">
        <w:rPr>
          <w:rFonts w:ascii="Times New Roman" w:eastAsia="Calibri" w:hAnsi="Times New Roman" w:cs="Times New Roman"/>
          <w:sz w:val="24"/>
          <w:szCs w:val="24"/>
          <w:lang w:val="en-GB"/>
        </w:rPr>
        <w:t>, J. D. (2006). Financial reporting incentives for conservative accounting: The influence of legal and political institutions. Journal of Accounting and Economics, 42(1–2), 107–148.</w:t>
      </w:r>
    </w:p>
    <w:p w14:paraId="08CC88F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Bushman, R. M., </w:t>
      </w:r>
      <w:proofErr w:type="spellStart"/>
      <w:r w:rsidRPr="00E915AA">
        <w:rPr>
          <w:rFonts w:ascii="Times New Roman" w:eastAsia="Calibri" w:hAnsi="Times New Roman" w:cs="Times New Roman"/>
          <w:sz w:val="24"/>
          <w:szCs w:val="24"/>
          <w:lang w:val="en-GB"/>
        </w:rPr>
        <w:t>Piotroski</w:t>
      </w:r>
      <w:proofErr w:type="spellEnd"/>
      <w:r w:rsidRPr="00E915AA">
        <w:rPr>
          <w:rFonts w:ascii="Times New Roman" w:eastAsia="Calibri" w:hAnsi="Times New Roman" w:cs="Times New Roman"/>
          <w:sz w:val="24"/>
          <w:szCs w:val="24"/>
          <w:lang w:val="en-GB"/>
        </w:rPr>
        <w:t>, J. D., &amp; Smith, A. J. (2005). What Determines Corporate Transparency? SSRN Electronic Journal.</w:t>
      </w:r>
    </w:p>
    <w:p w14:paraId="29AE036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Cassell, C. A., Dreher, L. M., &amp; Myers, L. A. (2013). Reviewing the SEC’s review process: 10-K comment letters and the cost of remediation. The Accounting Review, 88(6), 1875–1908.</w:t>
      </w:r>
    </w:p>
    <w:p w14:paraId="13C46FD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Chahine, S., Arthurs, J. D., Filatotchev, I., &amp; </w:t>
      </w:r>
      <w:proofErr w:type="spellStart"/>
      <w:r w:rsidRPr="00E915AA">
        <w:rPr>
          <w:rFonts w:ascii="Times New Roman" w:eastAsia="Calibri" w:hAnsi="Times New Roman" w:cs="Times New Roman"/>
          <w:sz w:val="24"/>
          <w:szCs w:val="24"/>
          <w:lang w:val="en-GB"/>
        </w:rPr>
        <w:t>Hoskisson</w:t>
      </w:r>
      <w:proofErr w:type="spellEnd"/>
      <w:r w:rsidRPr="00E915AA">
        <w:rPr>
          <w:rFonts w:ascii="Times New Roman" w:eastAsia="Calibri" w:hAnsi="Times New Roman" w:cs="Times New Roman"/>
          <w:sz w:val="24"/>
          <w:szCs w:val="24"/>
          <w:lang w:val="en-GB"/>
        </w:rPr>
        <w:t>, R. E. (2012). The effects of venture capital syndicate diversity on earnings management and performance of IPOs in the US and UK: An institutional perspective. Journal of Corporate Finance, 18(1), 179–192.</w:t>
      </w:r>
    </w:p>
    <w:p w14:paraId="720254A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lastRenderedPageBreak/>
        <w:t>Chaplinsky, S., Hanley, K. W., &amp; Moon, S. K. (2017). The JOBS Act and the costs of going public. Journal of Accounting Research, 55(4), 795–836.</w:t>
      </w:r>
    </w:p>
    <w:p w14:paraId="5E767F8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Chen, S. S., Lin, W. C., Chang, S. C., &amp; Lin, C. Y. (2013). Information Uncertainty, Earnings Management, and Long-run Stock Performance Following Initial Public Offerings. Journal of Business Finance &amp; Accounting, 40(9–10), 1126–1154.</w:t>
      </w:r>
    </w:p>
    <w:p w14:paraId="0308523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Cohen, D. A., Dey, A., &amp; Lys, T. Z. (2008). Real and accrual-based earnings management in the pre- and post-</w:t>
      </w:r>
      <w:proofErr w:type="spellStart"/>
      <w:r w:rsidRPr="00E915AA">
        <w:rPr>
          <w:rFonts w:ascii="Times New Roman" w:eastAsia="Calibri" w:hAnsi="Times New Roman" w:cs="Times New Roman"/>
          <w:sz w:val="24"/>
          <w:szCs w:val="24"/>
          <w:lang w:val="en-GB"/>
        </w:rPr>
        <w:t>sarbanes</w:t>
      </w:r>
      <w:proofErr w:type="spellEnd"/>
      <w:r w:rsidRPr="00E915AA">
        <w:rPr>
          <w:rFonts w:ascii="Times New Roman" w:eastAsia="Calibri" w:hAnsi="Times New Roman" w:cs="Times New Roman"/>
          <w:sz w:val="24"/>
          <w:szCs w:val="24"/>
          <w:lang w:val="en-GB"/>
        </w:rPr>
        <w:t>-</w:t>
      </w:r>
      <w:proofErr w:type="spellStart"/>
      <w:r w:rsidRPr="00E915AA">
        <w:rPr>
          <w:rFonts w:ascii="Times New Roman" w:eastAsia="Calibri" w:hAnsi="Times New Roman" w:cs="Times New Roman"/>
          <w:sz w:val="24"/>
          <w:szCs w:val="24"/>
          <w:lang w:val="en-GB"/>
        </w:rPr>
        <w:t>oxley</w:t>
      </w:r>
      <w:proofErr w:type="spellEnd"/>
      <w:r w:rsidRPr="00E915AA">
        <w:rPr>
          <w:rFonts w:ascii="Times New Roman" w:eastAsia="Calibri" w:hAnsi="Times New Roman" w:cs="Times New Roman"/>
          <w:sz w:val="24"/>
          <w:szCs w:val="24"/>
          <w:lang w:val="en-GB"/>
        </w:rPr>
        <w:t xml:space="preserve"> periods. Accounting Review, 83(3), 757–787.</w:t>
      </w:r>
    </w:p>
    <w:p w14:paraId="7146C379"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Colaco</w:t>
      </w:r>
      <w:proofErr w:type="spellEnd"/>
      <w:r w:rsidRPr="00E915AA">
        <w:rPr>
          <w:rFonts w:ascii="Times New Roman" w:eastAsia="Calibri" w:hAnsi="Times New Roman" w:cs="Times New Roman"/>
          <w:sz w:val="24"/>
          <w:szCs w:val="24"/>
          <w:lang w:val="en-GB"/>
        </w:rPr>
        <w:t xml:space="preserve">, H. M. J., De </w:t>
      </w:r>
      <w:proofErr w:type="spellStart"/>
      <w:r w:rsidRPr="00E915AA">
        <w:rPr>
          <w:rFonts w:ascii="Times New Roman" w:eastAsia="Calibri" w:hAnsi="Times New Roman" w:cs="Times New Roman"/>
          <w:sz w:val="24"/>
          <w:szCs w:val="24"/>
          <w:lang w:val="en-GB"/>
        </w:rPr>
        <w:t>Cesari</w:t>
      </w:r>
      <w:proofErr w:type="spellEnd"/>
      <w:r w:rsidRPr="00E915AA">
        <w:rPr>
          <w:rFonts w:ascii="Times New Roman" w:eastAsia="Calibri" w:hAnsi="Times New Roman" w:cs="Times New Roman"/>
          <w:sz w:val="24"/>
          <w:szCs w:val="24"/>
          <w:lang w:val="en-GB"/>
        </w:rPr>
        <w:t>, A., &amp; Hegde, S. P. (2018). The waiting period of initial public offerings. European Journal of Finance, 24, 1–34.</w:t>
      </w:r>
    </w:p>
    <w:p w14:paraId="42C5DB5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Cunningham, L.M., Johnson, B.A., Johnson, E.S. and </w:t>
      </w:r>
      <w:proofErr w:type="spellStart"/>
      <w:r w:rsidRPr="00E915AA">
        <w:rPr>
          <w:rFonts w:ascii="Times New Roman" w:eastAsia="Calibri" w:hAnsi="Times New Roman" w:cs="Times New Roman"/>
          <w:sz w:val="24"/>
          <w:szCs w:val="24"/>
          <w:lang w:val="en-GB"/>
        </w:rPr>
        <w:t>Lisic</w:t>
      </w:r>
      <w:proofErr w:type="spellEnd"/>
      <w:r w:rsidRPr="00E915AA">
        <w:rPr>
          <w:rFonts w:ascii="Times New Roman" w:eastAsia="Calibri" w:hAnsi="Times New Roman" w:cs="Times New Roman"/>
          <w:sz w:val="24"/>
          <w:szCs w:val="24"/>
          <w:lang w:val="en-GB"/>
        </w:rPr>
        <w:t xml:space="preserve">, L.L. (2020). The Switch-Up: An Examination of Changes in Earnings Management after Receiving SEC Comment Letters. Contemporary Accounting Research, 37, 917-944. </w:t>
      </w:r>
    </w:p>
    <w:p w14:paraId="3B7C760B"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Dechow</w:t>
      </w:r>
      <w:proofErr w:type="spellEnd"/>
      <w:r w:rsidRPr="00E915AA">
        <w:rPr>
          <w:rFonts w:ascii="Times New Roman" w:eastAsia="Calibri" w:hAnsi="Times New Roman" w:cs="Times New Roman"/>
          <w:sz w:val="24"/>
          <w:szCs w:val="24"/>
          <w:lang w:val="en-GB"/>
        </w:rPr>
        <w:t>, P.M., Sloan, G. R., &amp; Sweeney, A. P. (1996). Causes and consequences of earnings manipulation: An analysis of firms subject to enforcement actions by the SEC. Contemporary Accounting Research, 13(1), 1–36.</w:t>
      </w:r>
    </w:p>
    <w:p w14:paraId="30C94AE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Dechow</w:t>
      </w:r>
      <w:proofErr w:type="spellEnd"/>
      <w:r w:rsidRPr="00E915AA">
        <w:rPr>
          <w:rFonts w:ascii="Times New Roman" w:eastAsia="Calibri" w:hAnsi="Times New Roman" w:cs="Times New Roman"/>
          <w:sz w:val="24"/>
          <w:szCs w:val="24"/>
          <w:lang w:val="en-GB"/>
        </w:rPr>
        <w:t>, Patricia M., Sloan, R. G., &amp; Sweeney, A. P. (1995). Detecting Earnings Management. The Accounting Review, 70(2), 193–225.</w:t>
      </w:r>
    </w:p>
    <w:p w14:paraId="354A6D22"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DeFond</w:t>
      </w:r>
      <w:proofErr w:type="spellEnd"/>
      <w:r w:rsidRPr="00E915AA">
        <w:rPr>
          <w:rFonts w:ascii="Times New Roman" w:eastAsia="Calibri" w:hAnsi="Times New Roman" w:cs="Times New Roman"/>
          <w:sz w:val="24"/>
          <w:szCs w:val="24"/>
          <w:lang w:val="en-GB"/>
        </w:rPr>
        <w:t>, M L., &amp; Subramanyam, K. R. (1998). Auditor changes and discretionary accruals. Journal of Accounting and Economics, 25(1), 35–67.</w:t>
      </w:r>
    </w:p>
    <w:p w14:paraId="0349919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Ducharme, L. L., Malatesta, P. H., &amp; </w:t>
      </w:r>
      <w:proofErr w:type="spellStart"/>
      <w:r w:rsidRPr="00E915AA">
        <w:rPr>
          <w:rFonts w:ascii="Times New Roman" w:eastAsia="Calibri" w:hAnsi="Times New Roman" w:cs="Times New Roman"/>
          <w:sz w:val="24"/>
          <w:szCs w:val="24"/>
          <w:lang w:val="en-GB"/>
        </w:rPr>
        <w:t>Sefcik</w:t>
      </w:r>
      <w:proofErr w:type="spellEnd"/>
      <w:r w:rsidRPr="00E915AA">
        <w:rPr>
          <w:rFonts w:ascii="Times New Roman" w:eastAsia="Calibri" w:hAnsi="Times New Roman" w:cs="Times New Roman"/>
          <w:sz w:val="24"/>
          <w:szCs w:val="24"/>
          <w:lang w:val="en-GB"/>
        </w:rPr>
        <w:t>, S. E. (2001). Earnings Management: IPO Valuation and Subsequent Performance. Journal of Accounting, Auditing &amp; Finance, 16(4), 369–396.</w:t>
      </w:r>
    </w:p>
    <w:p w14:paraId="3861FD7B"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DuCharme</w:t>
      </w:r>
      <w:proofErr w:type="spellEnd"/>
      <w:r w:rsidRPr="00E915AA">
        <w:rPr>
          <w:rFonts w:ascii="Times New Roman" w:eastAsia="Calibri" w:hAnsi="Times New Roman" w:cs="Times New Roman"/>
          <w:sz w:val="24"/>
          <w:szCs w:val="24"/>
          <w:lang w:val="en-GB"/>
        </w:rPr>
        <w:t xml:space="preserve">, L. L., Malatesta, P. H., &amp; </w:t>
      </w:r>
      <w:proofErr w:type="spellStart"/>
      <w:r w:rsidRPr="00E915AA">
        <w:rPr>
          <w:rFonts w:ascii="Times New Roman" w:eastAsia="Calibri" w:hAnsi="Times New Roman" w:cs="Times New Roman"/>
          <w:sz w:val="24"/>
          <w:szCs w:val="24"/>
          <w:lang w:val="en-GB"/>
        </w:rPr>
        <w:t>Sefcik</w:t>
      </w:r>
      <w:proofErr w:type="spellEnd"/>
      <w:r w:rsidRPr="00E915AA">
        <w:rPr>
          <w:rFonts w:ascii="Times New Roman" w:eastAsia="Calibri" w:hAnsi="Times New Roman" w:cs="Times New Roman"/>
          <w:sz w:val="24"/>
          <w:szCs w:val="24"/>
          <w:lang w:val="en-GB"/>
        </w:rPr>
        <w:t>, S. E. (2004). Earnings management, stock issues, and shareholder lawsuits. Journal of Financial Economics, 71(1), 27–49.</w:t>
      </w:r>
    </w:p>
    <w:p w14:paraId="22462C0F" w14:textId="2004FF7A"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Duro</w:t>
      </w:r>
      <w:proofErr w:type="spellEnd"/>
      <w:r w:rsidRPr="00E915AA">
        <w:rPr>
          <w:rFonts w:ascii="Times New Roman" w:eastAsia="Calibri" w:hAnsi="Times New Roman" w:cs="Times New Roman"/>
          <w:sz w:val="24"/>
          <w:szCs w:val="24"/>
          <w:lang w:val="en-GB"/>
        </w:rPr>
        <w:t xml:space="preserve">, M., </w:t>
      </w:r>
      <w:proofErr w:type="spellStart"/>
      <w:r w:rsidRPr="00E915AA">
        <w:rPr>
          <w:rFonts w:ascii="Times New Roman" w:eastAsia="Calibri" w:hAnsi="Times New Roman" w:cs="Times New Roman"/>
          <w:sz w:val="24"/>
          <w:szCs w:val="24"/>
          <w:lang w:val="en-GB"/>
        </w:rPr>
        <w:t>Heese</w:t>
      </w:r>
      <w:proofErr w:type="spellEnd"/>
      <w:r w:rsidRPr="00E915AA">
        <w:rPr>
          <w:rFonts w:ascii="Times New Roman" w:eastAsia="Calibri" w:hAnsi="Times New Roman" w:cs="Times New Roman"/>
          <w:sz w:val="24"/>
          <w:szCs w:val="24"/>
          <w:lang w:val="en-GB"/>
        </w:rPr>
        <w:t xml:space="preserve">, J., &amp; </w:t>
      </w:r>
      <w:proofErr w:type="spellStart"/>
      <w:r w:rsidRPr="00E915AA">
        <w:rPr>
          <w:rFonts w:ascii="Times New Roman" w:eastAsia="Calibri" w:hAnsi="Times New Roman" w:cs="Times New Roman"/>
          <w:sz w:val="24"/>
          <w:szCs w:val="24"/>
          <w:lang w:val="en-GB"/>
        </w:rPr>
        <w:t>Ormazabal</w:t>
      </w:r>
      <w:proofErr w:type="spellEnd"/>
      <w:r w:rsidRPr="00E915AA">
        <w:rPr>
          <w:rFonts w:ascii="Times New Roman" w:eastAsia="Calibri" w:hAnsi="Times New Roman" w:cs="Times New Roman"/>
          <w:sz w:val="24"/>
          <w:szCs w:val="24"/>
          <w:lang w:val="en-GB"/>
        </w:rPr>
        <w:t xml:space="preserve">, G. (2017). Does the public disclosure of the SEC’s oversight actions </w:t>
      </w:r>
      <w:proofErr w:type="gramStart"/>
      <w:r w:rsidRPr="00E915AA">
        <w:rPr>
          <w:rFonts w:ascii="Times New Roman" w:eastAsia="Calibri" w:hAnsi="Times New Roman" w:cs="Times New Roman"/>
          <w:sz w:val="24"/>
          <w:szCs w:val="24"/>
          <w:lang w:val="en-GB"/>
        </w:rPr>
        <w:t>matter ?</w:t>
      </w:r>
      <w:proofErr w:type="gramEnd"/>
      <w:r w:rsidRPr="00E915AA">
        <w:rPr>
          <w:rFonts w:ascii="Times New Roman" w:eastAsia="Calibri" w:hAnsi="Times New Roman" w:cs="Times New Roman"/>
          <w:sz w:val="24"/>
          <w:szCs w:val="24"/>
          <w:lang w:val="en-GB"/>
        </w:rPr>
        <w:t xml:space="preserve"> CEPR Discussion Paper No. DP12145.</w:t>
      </w:r>
    </w:p>
    <w:p w14:paraId="7AC9AAC8" w14:textId="6B3A916B" w:rsidR="00DC044F" w:rsidRPr="00E915AA" w:rsidRDefault="00DC044F"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Echambadi</w:t>
      </w:r>
      <w:proofErr w:type="spellEnd"/>
      <w:r w:rsidRPr="00E915AA">
        <w:rPr>
          <w:rFonts w:ascii="Times New Roman" w:eastAsia="Calibri" w:hAnsi="Times New Roman" w:cs="Times New Roman"/>
          <w:sz w:val="24"/>
          <w:szCs w:val="24"/>
          <w:lang w:val="en-GB"/>
        </w:rPr>
        <w:t>, R., &amp; Hess, J. D. (2007). Mean-</w:t>
      </w:r>
      <w:proofErr w:type="spellStart"/>
      <w:r w:rsidRPr="00E915AA">
        <w:rPr>
          <w:rFonts w:ascii="Times New Roman" w:eastAsia="Calibri" w:hAnsi="Times New Roman" w:cs="Times New Roman"/>
          <w:sz w:val="24"/>
          <w:szCs w:val="24"/>
          <w:lang w:val="en-GB"/>
        </w:rPr>
        <w:t>centering</w:t>
      </w:r>
      <w:proofErr w:type="spellEnd"/>
      <w:r w:rsidRPr="00E915AA">
        <w:rPr>
          <w:rFonts w:ascii="Times New Roman" w:eastAsia="Calibri" w:hAnsi="Times New Roman" w:cs="Times New Roman"/>
          <w:sz w:val="24"/>
          <w:szCs w:val="24"/>
          <w:lang w:val="en-GB"/>
        </w:rPr>
        <w:t xml:space="preserve"> does not alleviate collinearity problems in moderated multiple regression models. Marketing Science, 26(3), 438-445.</w:t>
      </w:r>
    </w:p>
    <w:p w14:paraId="7914F3CB"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eastAsia="en-GB"/>
        </w:rPr>
      </w:pPr>
      <w:proofErr w:type="spellStart"/>
      <w:r w:rsidRPr="00E915AA">
        <w:rPr>
          <w:rFonts w:ascii="Times New Roman" w:eastAsia="Calibri" w:hAnsi="Times New Roman" w:cs="Times New Roman"/>
          <w:sz w:val="24"/>
          <w:szCs w:val="24"/>
          <w:lang w:eastAsia="en-GB"/>
        </w:rPr>
        <w:t>Enriques</w:t>
      </w:r>
      <w:proofErr w:type="spellEnd"/>
      <w:r w:rsidRPr="00E915AA">
        <w:rPr>
          <w:rFonts w:ascii="Times New Roman" w:eastAsia="Calibri" w:hAnsi="Times New Roman" w:cs="Times New Roman"/>
          <w:sz w:val="24"/>
          <w:szCs w:val="24"/>
          <w:lang w:eastAsia="en-GB"/>
        </w:rPr>
        <w:t>, L. (2005). The Law on Corporate Directors’ Self-Dealing: A Comparative Analysis. International and Comparative Corporate Law Journal, 2(3), 297–334.</w:t>
      </w:r>
    </w:p>
    <w:p w14:paraId="33D9A35D"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Epstein, </w:t>
      </w:r>
      <w:proofErr w:type="gramStart"/>
      <w:r w:rsidRPr="00E915AA">
        <w:rPr>
          <w:rFonts w:ascii="Times New Roman" w:eastAsia="Calibri" w:hAnsi="Times New Roman" w:cs="Times New Roman"/>
          <w:sz w:val="24"/>
          <w:szCs w:val="24"/>
          <w:lang w:val="en-GB"/>
        </w:rPr>
        <w:t>L.</w:t>
      </w:r>
      <w:proofErr w:type="gramEnd"/>
      <w:r w:rsidRPr="00E915AA">
        <w:rPr>
          <w:rFonts w:ascii="Times New Roman" w:eastAsia="Calibri" w:hAnsi="Times New Roman" w:cs="Times New Roman"/>
          <w:sz w:val="24"/>
          <w:szCs w:val="24"/>
          <w:lang w:val="en-GB"/>
        </w:rPr>
        <w:t xml:space="preserve"> and M. Schneider (2008), ‘Ambiguity, Information Quality, and Asset Pricing’, Journal of Finance, Vol. 63, pp. 197–228.</w:t>
      </w:r>
    </w:p>
    <w:p w14:paraId="3F5D00ED"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Ertimur</w:t>
      </w:r>
      <w:proofErr w:type="spellEnd"/>
      <w:r w:rsidRPr="00E915AA">
        <w:rPr>
          <w:rFonts w:ascii="Times New Roman" w:eastAsia="Calibri" w:hAnsi="Times New Roman" w:cs="Times New Roman"/>
          <w:sz w:val="24"/>
          <w:szCs w:val="24"/>
          <w:lang w:val="en-GB"/>
        </w:rPr>
        <w:t xml:space="preserve">, Y., &amp; </w:t>
      </w:r>
      <w:proofErr w:type="spellStart"/>
      <w:r w:rsidRPr="00E915AA">
        <w:rPr>
          <w:rFonts w:ascii="Times New Roman" w:eastAsia="Calibri" w:hAnsi="Times New Roman" w:cs="Times New Roman"/>
          <w:sz w:val="24"/>
          <w:szCs w:val="24"/>
          <w:lang w:val="en-GB"/>
        </w:rPr>
        <w:t>Nondorf</w:t>
      </w:r>
      <w:proofErr w:type="spellEnd"/>
      <w:r w:rsidRPr="00E915AA">
        <w:rPr>
          <w:rFonts w:ascii="Times New Roman" w:eastAsia="Calibri" w:hAnsi="Times New Roman" w:cs="Times New Roman"/>
          <w:sz w:val="24"/>
          <w:szCs w:val="24"/>
          <w:lang w:val="en-GB"/>
        </w:rPr>
        <w:t>, M. E. (2006). IPO Firms and the SEC Comment Letter Process. Working paper. Duke University.</w:t>
      </w:r>
    </w:p>
    <w:p w14:paraId="6DF94B47" w14:textId="77777777" w:rsidR="00E64881" w:rsidRPr="00E915AA" w:rsidRDefault="00E64881" w:rsidP="00C543CC">
      <w:pPr>
        <w:spacing w:line="240" w:lineRule="auto"/>
        <w:ind w:left="340" w:hanging="340"/>
        <w:jc w:val="both"/>
        <w:rPr>
          <w:rFonts w:ascii="Times New Roman" w:eastAsia="Times New Roman" w:hAnsi="Times New Roman" w:cs="Times New Roman"/>
          <w:sz w:val="24"/>
          <w:szCs w:val="24"/>
          <w:lang w:val="en-GB" w:eastAsia="en-GB"/>
        </w:rPr>
      </w:pPr>
      <w:proofErr w:type="spellStart"/>
      <w:r w:rsidRPr="00E915AA">
        <w:rPr>
          <w:rFonts w:ascii="Times New Roman" w:eastAsia="Times New Roman" w:hAnsi="Times New Roman" w:cs="Times New Roman"/>
          <w:sz w:val="24"/>
          <w:szCs w:val="24"/>
          <w:lang w:val="en-GB" w:eastAsia="en-GB"/>
        </w:rPr>
        <w:t>Eskin</w:t>
      </w:r>
      <w:proofErr w:type="spellEnd"/>
      <w:r w:rsidRPr="00E915AA">
        <w:rPr>
          <w:rFonts w:ascii="Times New Roman" w:eastAsia="Times New Roman" w:hAnsi="Times New Roman" w:cs="Times New Roman"/>
          <w:sz w:val="24"/>
          <w:szCs w:val="24"/>
          <w:lang w:val="en-GB" w:eastAsia="en-GB"/>
        </w:rPr>
        <w:t xml:space="preserve">, E., &amp; </w:t>
      </w:r>
      <w:proofErr w:type="spellStart"/>
      <w:r w:rsidRPr="00E915AA">
        <w:rPr>
          <w:rFonts w:ascii="Times New Roman" w:eastAsia="Times New Roman" w:hAnsi="Times New Roman" w:cs="Times New Roman"/>
          <w:sz w:val="24"/>
          <w:szCs w:val="24"/>
          <w:lang w:val="en-GB" w:eastAsia="en-GB"/>
        </w:rPr>
        <w:t>Bogosian</w:t>
      </w:r>
      <w:proofErr w:type="spellEnd"/>
      <w:r w:rsidRPr="00E915AA">
        <w:rPr>
          <w:rFonts w:ascii="Times New Roman" w:eastAsia="Times New Roman" w:hAnsi="Times New Roman" w:cs="Times New Roman"/>
          <w:sz w:val="24"/>
          <w:szCs w:val="24"/>
          <w:lang w:val="en-GB" w:eastAsia="en-GB"/>
        </w:rPr>
        <w:t xml:space="preserve">, M., 1998. Classifying Text Documents using Modular Categories and Linguistically Motivated </w:t>
      </w:r>
      <w:proofErr w:type="gramStart"/>
      <w:r w:rsidRPr="00E915AA">
        <w:rPr>
          <w:rFonts w:ascii="Times New Roman" w:eastAsia="Times New Roman" w:hAnsi="Times New Roman" w:cs="Times New Roman"/>
          <w:sz w:val="24"/>
          <w:szCs w:val="24"/>
          <w:lang w:val="en-GB" w:eastAsia="en-GB"/>
        </w:rPr>
        <w:t>Indicators .</w:t>
      </w:r>
      <w:proofErr w:type="gramEnd"/>
      <w:r w:rsidRPr="00E915AA">
        <w:rPr>
          <w:rFonts w:ascii="Times New Roman" w:eastAsia="Times New Roman" w:hAnsi="Times New Roman" w:cs="Times New Roman"/>
          <w:sz w:val="24"/>
          <w:szCs w:val="24"/>
          <w:lang w:val="en-GB" w:eastAsia="en-GB"/>
        </w:rPr>
        <w:t xml:space="preserve"> AAAI Technical Report WS-98-05.</w:t>
      </w:r>
    </w:p>
    <w:p w14:paraId="0FC9D21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Ettredge</w:t>
      </w:r>
      <w:proofErr w:type="spellEnd"/>
      <w:r w:rsidRPr="00E915AA">
        <w:rPr>
          <w:rFonts w:ascii="Times New Roman" w:eastAsia="Calibri" w:hAnsi="Times New Roman" w:cs="Times New Roman"/>
          <w:sz w:val="24"/>
          <w:szCs w:val="24"/>
          <w:lang w:val="en-GB"/>
        </w:rPr>
        <w:t>, M., Johnstone, K., Stone, M., &amp; Wang, Q. (2011). The effects of firm size, corporate governance quality, and bad news on disclosure compliance. Review of Accounting Studies, 16(4), 866–889.</w:t>
      </w:r>
    </w:p>
    <w:p w14:paraId="4C8C7F9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lastRenderedPageBreak/>
        <w:t xml:space="preserve">Filatotchev, I., </w:t>
      </w:r>
      <w:proofErr w:type="spellStart"/>
      <w:r w:rsidRPr="00E915AA">
        <w:rPr>
          <w:rFonts w:ascii="Times New Roman" w:eastAsia="Calibri" w:hAnsi="Times New Roman" w:cs="Times New Roman"/>
          <w:sz w:val="24"/>
          <w:szCs w:val="24"/>
          <w:lang w:val="en-GB"/>
        </w:rPr>
        <w:t>Jona</w:t>
      </w:r>
      <w:proofErr w:type="spellEnd"/>
      <w:r w:rsidRPr="00E915AA">
        <w:rPr>
          <w:rFonts w:ascii="Times New Roman" w:eastAsia="Calibri" w:hAnsi="Times New Roman" w:cs="Times New Roman"/>
          <w:sz w:val="24"/>
          <w:szCs w:val="24"/>
          <w:lang w:val="en-GB"/>
        </w:rPr>
        <w:t xml:space="preserve">, J., &amp; </w:t>
      </w:r>
      <w:proofErr w:type="spellStart"/>
      <w:r w:rsidRPr="00E915AA">
        <w:rPr>
          <w:rFonts w:ascii="Times New Roman" w:eastAsia="Calibri" w:hAnsi="Times New Roman" w:cs="Times New Roman"/>
          <w:sz w:val="24"/>
          <w:szCs w:val="24"/>
          <w:lang w:val="en-GB"/>
        </w:rPr>
        <w:t>Livne</w:t>
      </w:r>
      <w:proofErr w:type="spellEnd"/>
      <w:r w:rsidRPr="00E915AA">
        <w:rPr>
          <w:rFonts w:ascii="Times New Roman" w:eastAsia="Calibri" w:hAnsi="Times New Roman" w:cs="Times New Roman"/>
          <w:sz w:val="24"/>
          <w:szCs w:val="24"/>
          <w:lang w:val="en-GB"/>
        </w:rPr>
        <w:t xml:space="preserve">, G. (2019). Earnings Management in Domestic and Foreign IPOs in the United States: Do Home Country Institutions Matter? European Accounting Review, 29(2), 1–29. </w:t>
      </w:r>
    </w:p>
    <w:p w14:paraId="45086EAB"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Francis, B. B., Hasan, I., &amp; Zhou, M. (2012). Strategic Conservative Earnings Management of Technology Firms: Evidence from the IPO Market. Financial Markets, Institutions &amp; Instruments, 21(5), 261–293.</w:t>
      </w:r>
    </w:p>
    <w:p w14:paraId="6F8A7EA5"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Friedlan</w:t>
      </w:r>
      <w:proofErr w:type="spellEnd"/>
      <w:r w:rsidRPr="00E915AA">
        <w:rPr>
          <w:rFonts w:ascii="Times New Roman" w:eastAsia="Calibri" w:hAnsi="Times New Roman" w:cs="Times New Roman"/>
          <w:sz w:val="24"/>
          <w:szCs w:val="24"/>
          <w:lang w:val="en-GB"/>
        </w:rPr>
        <w:t>, J. M. (1994). Accounting choices of issuers of initial public offerings. Contemporary Accounting Research, 11(1), 1–31.</w:t>
      </w:r>
    </w:p>
    <w:p w14:paraId="2F2968B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Gao, S., Meng, Q., Chan, K. C., &amp; Wu, W. (2017). Earnings management before IPOs: Are institutional investors misled? Journal of Empirical Finance, 42(February), 90–108.</w:t>
      </w:r>
    </w:p>
    <w:p w14:paraId="62A225B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Gounopoulos</w:t>
      </w:r>
      <w:proofErr w:type="spellEnd"/>
      <w:r w:rsidRPr="00E915AA">
        <w:rPr>
          <w:rFonts w:ascii="Times New Roman" w:eastAsia="Calibri" w:hAnsi="Times New Roman" w:cs="Times New Roman"/>
          <w:sz w:val="24"/>
          <w:szCs w:val="24"/>
          <w:lang w:val="en-GB"/>
        </w:rPr>
        <w:t>, D., &amp; Pham, H. (2017). Credit Ratings and Earnings Management around IPOs. Journal of Business Finance and Accounting, 44(1–2), 154–195.</w:t>
      </w:r>
    </w:p>
    <w:p w14:paraId="018EC2E4"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Gounopoulos</w:t>
      </w:r>
      <w:proofErr w:type="spellEnd"/>
      <w:r w:rsidRPr="00E915AA">
        <w:rPr>
          <w:rFonts w:ascii="Times New Roman" w:eastAsia="Calibri" w:hAnsi="Times New Roman" w:cs="Times New Roman"/>
          <w:sz w:val="24"/>
          <w:szCs w:val="24"/>
          <w:lang w:val="en-GB"/>
        </w:rPr>
        <w:t>, D., &amp; Pham, H. (2018). Financial Expert CEOs and Earnings Management Around Initial Public Offerings. International Journal of Accounting, 1–45.</w:t>
      </w:r>
    </w:p>
    <w:p w14:paraId="5CD768A3"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Graham, J. R., Harvey, C. R., &amp; </w:t>
      </w:r>
      <w:proofErr w:type="spellStart"/>
      <w:r w:rsidRPr="00E915AA">
        <w:rPr>
          <w:rFonts w:ascii="Times New Roman" w:eastAsia="Calibri" w:hAnsi="Times New Roman" w:cs="Times New Roman"/>
          <w:sz w:val="24"/>
          <w:szCs w:val="24"/>
          <w:lang w:val="en-GB"/>
        </w:rPr>
        <w:t>Rajgopal</w:t>
      </w:r>
      <w:proofErr w:type="spellEnd"/>
      <w:r w:rsidRPr="00E915AA">
        <w:rPr>
          <w:rFonts w:ascii="Times New Roman" w:eastAsia="Calibri" w:hAnsi="Times New Roman" w:cs="Times New Roman"/>
          <w:sz w:val="24"/>
          <w:szCs w:val="24"/>
          <w:lang w:val="en-GB"/>
        </w:rPr>
        <w:t>, S. (2005). The economic implications of corporate financial reporting. Journal of Accounting and Economics, 40(1–3), 3–73.</w:t>
      </w:r>
    </w:p>
    <w:p w14:paraId="4ED61DD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Greene, W. H. (2012). Econometric Analysis. Essex, UK: Pearson Education Limited.</w:t>
      </w:r>
    </w:p>
    <w:p w14:paraId="0742AFC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Gunny, K. A. (2010). The relation between earnings management using real activities manipulation and future performance: Evidence from meeting earnings benchmarks. Contemporary Accounting Research, 27(3), 855–888.</w:t>
      </w:r>
    </w:p>
    <w:p w14:paraId="245CFD8B" w14:textId="77777777" w:rsidR="00E64881" w:rsidRPr="00E915AA" w:rsidRDefault="00E64881" w:rsidP="00C543CC">
      <w:pPr>
        <w:spacing w:line="240" w:lineRule="auto"/>
        <w:ind w:left="340" w:hanging="340"/>
        <w:jc w:val="both"/>
        <w:rPr>
          <w:rFonts w:ascii="Times New Roman" w:eastAsia="Yu Mincho" w:hAnsi="Times New Roman" w:cs="Times New Roman"/>
          <w:noProof/>
          <w:sz w:val="24"/>
          <w:szCs w:val="24"/>
          <w:lang w:val="en-GB" w:eastAsia="en-GB"/>
        </w:rPr>
      </w:pPr>
      <w:r w:rsidRPr="00E915AA">
        <w:rPr>
          <w:rFonts w:ascii="Times New Roman" w:eastAsia="Yu Mincho" w:hAnsi="Times New Roman" w:cs="Times New Roman"/>
          <w:noProof/>
          <w:sz w:val="24"/>
          <w:szCs w:val="24"/>
          <w:lang w:val="en-GB" w:eastAsia="en-GB"/>
        </w:rPr>
        <w:t xml:space="preserve">Healy, P. M., &amp; Wahlen, J. M. (1999). A Review of the Earnings Management Literature and its Implications for Standard Setting. Retrieved from </w:t>
      </w:r>
      <w:hyperlink r:id="rId13" w:history="1">
        <w:r w:rsidRPr="00E915AA">
          <w:rPr>
            <w:rStyle w:val="Hyperlink"/>
            <w:rFonts w:ascii="Times New Roman" w:eastAsia="Yu Mincho" w:hAnsi="Times New Roman" w:cs="Times New Roman"/>
            <w:noProof/>
            <w:sz w:val="24"/>
            <w:szCs w:val="24"/>
            <w:lang w:val="en-GB" w:eastAsia="en-GB"/>
          </w:rPr>
          <w:t>https://papers.ssrn.com/sol3/papers.cfm?abstract_id=156445</w:t>
        </w:r>
      </w:hyperlink>
      <w:r w:rsidRPr="00E915AA">
        <w:rPr>
          <w:rFonts w:ascii="Times New Roman" w:eastAsia="Yu Mincho" w:hAnsi="Times New Roman" w:cs="Times New Roman"/>
          <w:noProof/>
          <w:sz w:val="24"/>
          <w:szCs w:val="24"/>
          <w:lang w:val="en-GB" w:eastAsia="en-GB"/>
        </w:rPr>
        <w:t xml:space="preserve"> </w:t>
      </w:r>
    </w:p>
    <w:p w14:paraId="1E777818"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Heese</w:t>
      </w:r>
      <w:proofErr w:type="spellEnd"/>
      <w:r w:rsidRPr="00E915AA">
        <w:rPr>
          <w:rFonts w:ascii="Times New Roman" w:eastAsia="Calibri" w:hAnsi="Times New Roman" w:cs="Times New Roman"/>
          <w:sz w:val="24"/>
          <w:szCs w:val="24"/>
          <w:lang w:val="en-GB"/>
        </w:rPr>
        <w:t xml:space="preserve">, J., Khan, M., &amp; </w:t>
      </w:r>
      <w:proofErr w:type="spellStart"/>
      <w:r w:rsidRPr="00E915AA">
        <w:rPr>
          <w:rFonts w:ascii="Times New Roman" w:eastAsia="Calibri" w:hAnsi="Times New Roman" w:cs="Times New Roman"/>
          <w:sz w:val="24"/>
          <w:szCs w:val="24"/>
          <w:lang w:val="en-GB"/>
        </w:rPr>
        <w:t>Ramanna</w:t>
      </w:r>
      <w:proofErr w:type="spellEnd"/>
      <w:r w:rsidRPr="00E915AA">
        <w:rPr>
          <w:rFonts w:ascii="Times New Roman" w:eastAsia="Calibri" w:hAnsi="Times New Roman" w:cs="Times New Roman"/>
          <w:sz w:val="24"/>
          <w:szCs w:val="24"/>
          <w:lang w:val="en-GB"/>
        </w:rPr>
        <w:t>, K. (2017). Is the SEC captured? Evidence from comment-letter reviews. Journal of Accounting and Economics, 64(1), 98–122.</w:t>
      </w:r>
    </w:p>
    <w:p w14:paraId="6846E5D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Hilbe</w:t>
      </w:r>
      <w:proofErr w:type="spellEnd"/>
      <w:r w:rsidRPr="00E915AA">
        <w:rPr>
          <w:rFonts w:ascii="Times New Roman" w:eastAsia="Calibri" w:hAnsi="Times New Roman" w:cs="Times New Roman"/>
          <w:sz w:val="24"/>
          <w:szCs w:val="24"/>
          <w:lang w:val="en-GB"/>
        </w:rPr>
        <w:t>, J. M. (2011). Negative binomial regression. Cambridge: Cambridge University Press.</w:t>
      </w:r>
    </w:p>
    <w:p w14:paraId="02EC60FF"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Hinde, J., &amp; Demetrio, C. G. B. (1998). </w:t>
      </w:r>
      <w:proofErr w:type="spellStart"/>
      <w:r w:rsidRPr="00E915AA">
        <w:rPr>
          <w:rFonts w:ascii="Times New Roman" w:eastAsia="Calibri" w:hAnsi="Times New Roman" w:cs="Times New Roman"/>
          <w:sz w:val="24"/>
          <w:szCs w:val="24"/>
          <w:lang w:val="en-GB"/>
        </w:rPr>
        <w:t>Overdisperssion</w:t>
      </w:r>
      <w:proofErr w:type="spellEnd"/>
      <w:r w:rsidRPr="00E915AA">
        <w:rPr>
          <w:rFonts w:ascii="Times New Roman" w:eastAsia="Calibri" w:hAnsi="Times New Roman" w:cs="Times New Roman"/>
          <w:sz w:val="24"/>
          <w:szCs w:val="24"/>
          <w:lang w:val="en-GB"/>
        </w:rPr>
        <w:t xml:space="preserve">: Models and Estimation. Computational Statistics and Data Analysis, 527(2), 151–170. </w:t>
      </w:r>
    </w:p>
    <w:p w14:paraId="4151BBBA"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Hribar</w:t>
      </w:r>
      <w:proofErr w:type="spellEnd"/>
      <w:r w:rsidRPr="00E915AA">
        <w:rPr>
          <w:rFonts w:ascii="Times New Roman" w:eastAsia="Calibri" w:hAnsi="Times New Roman" w:cs="Times New Roman"/>
          <w:sz w:val="24"/>
          <w:szCs w:val="24"/>
          <w:lang w:val="en-GB"/>
        </w:rPr>
        <w:t>, P., &amp; Collins, D. W. (2002). Errors in Estimating Accruals: Implications for Empirical Research. Journal of Accounting Research, 40(1), 105–134.</w:t>
      </w:r>
    </w:p>
    <w:p w14:paraId="779BA509"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Johnston, R., &amp; </w:t>
      </w:r>
      <w:proofErr w:type="spellStart"/>
      <w:r w:rsidRPr="00E915AA">
        <w:rPr>
          <w:rFonts w:ascii="Times New Roman" w:eastAsia="Calibri" w:hAnsi="Times New Roman" w:cs="Times New Roman"/>
          <w:sz w:val="24"/>
          <w:szCs w:val="24"/>
          <w:lang w:val="en-GB"/>
        </w:rPr>
        <w:t>Petacchi</w:t>
      </w:r>
      <w:proofErr w:type="spellEnd"/>
      <w:r w:rsidRPr="00E915AA">
        <w:rPr>
          <w:rFonts w:ascii="Times New Roman" w:eastAsia="Calibri" w:hAnsi="Times New Roman" w:cs="Times New Roman"/>
          <w:sz w:val="24"/>
          <w:szCs w:val="24"/>
          <w:lang w:val="en-GB"/>
        </w:rPr>
        <w:t xml:space="preserve">, R. (2017). The effect of </w:t>
      </w:r>
      <w:proofErr w:type="spellStart"/>
      <w:r w:rsidRPr="00E915AA">
        <w:rPr>
          <w:rFonts w:ascii="Times New Roman" w:eastAsia="Calibri" w:hAnsi="Times New Roman" w:cs="Times New Roman"/>
          <w:sz w:val="24"/>
          <w:szCs w:val="24"/>
          <w:lang w:val="en-GB"/>
        </w:rPr>
        <w:t>regulator</w:t>
      </w:r>
      <w:proofErr w:type="spellEnd"/>
      <w:r w:rsidRPr="00E915AA">
        <w:rPr>
          <w:rFonts w:ascii="Times New Roman" w:eastAsia="Calibri" w:hAnsi="Times New Roman" w:cs="Times New Roman"/>
          <w:sz w:val="24"/>
          <w:szCs w:val="24"/>
          <w:lang w:val="en-GB"/>
        </w:rPr>
        <w:t xml:space="preserve"> oversight on firms’ information environment: Securities and exchange commission comment letters. Contemporary Accounting Research, 34(2), 1128–1155.</w:t>
      </w:r>
    </w:p>
    <w:p w14:paraId="291752A4"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Jones, J. J. (1991). Earnings Management During Import Relief Investigations. Journal of Accounting Research, 29(2), 193.</w:t>
      </w:r>
    </w:p>
    <w:p w14:paraId="7ECA278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Kim, D. (2006), ‘On the Information Uncertainty Risk and the January Effect’, Journal of Business, Vol. 79, pp. 2,127–62.</w:t>
      </w:r>
    </w:p>
    <w:p w14:paraId="2C5B70F6"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eastAsia="en-GB"/>
        </w:rPr>
      </w:pPr>
      <w:r w:rsidRPr="00E915AA">
        <w:rPr>
          <w:rFonts w:ascii="Times New Roman" w:eastAsia="Calibri" w:hAnsi="Times New Roman" w:cs="Times New Roman"/>
          <w:sz w:val="24"/>
          <w:szCs w:val="24"/>
          <w:lang w:eastAsia="en-GB"/>
        </w:rPr>
        <w:t xml:space="preserve">Kim, M. (2019). Principles-Based Accounting Standards and Regulatory Enforcement. Retrieved at </w:t>
      </w:r>
      <w:hyperlink r:id="rId14" w:history="1">
        <w:r w:rsidRPr="00E915AA">
          <w:rPr>
            <w:rStyle w:val="Hyperlink"/>
            <w:rFonts w:ascii="Times New Roman" w:eastAsia="Calibri" w:hAnsi="Times New Roman" w:cs="Times New Roman"/>
            <w:sz w:val="24"/>
            <w:szCs w:val="24"/>
            <w:lang w:eastAsia="en-GB"/>
          </w:rPr>
          <w:t>https://www.anderson.ucla.edu/documents/areas/fac/accounting/working- papers/workshop papers/MarkPaulKim_JMP_20190106.pdf</w:t>
        </w:r>
      </w:hyperlink>
    </w:p>
    <w:p w14:paraId="4B095E3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lastRenderedPageBreak/>
        <w:t xml:space="preserve">Kothari, S. P., Leone, A. J., &amp; </w:t>
      </w:r>
      <w:proofErr w:type="spellStart"/>
      <w:r w:rsidRPr="00E915AA">
        <w:rPr>
          <w:rFonts w:ascii="Times New Roman" w:eastAsia="Calibri" w:hAnsi="Times New Roman" w:cs="Times New Roman"/>
          <w:sz w:val="24"/>
          <w:szCs w:val="24"/>
          <w:lang w:val="en-GB"/>
        </w:rPr>
        <w:t>Wasley</w:t>
      </w:r>
      <w:proofErr w:type="spellEnd"/>
      <w:r w:rsidRPr="00E915AA">
        <w:rPr>
          <w:rFonts w:ascii="Times New Roman" w:eastAsia="Calibri" w:hAnsi="Times New Roman" w:cs="Times New Roman"/>
          <w:sz w:val="24"/>
          <w:szCs w:val="24"/>
          <w:lang w:val="en-GB"/>
        </w:rPr>
        <w:t>, C. E. (2005). Performance matched discretionary accrual measures. Journal of Accounting and Economics, 39(1), 163–197.</w:t>
      </w:r>
    </w:p>
    <w:p w14:paraId="41703D72"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Kouwenberg</w:t>
      </w:r>
      <w:proofErr w:type="spellEnd"/>
      <w:r w:rsidRPr="00E915AA">
        <w:rPr>
          <w:rFonts w:ascii="Times New Roman" w:eastAsia="Calibri" w:hAnsi="Times New Roman" w:cs="Times New Roman"/>
          <w:sz w:val="24"/>
          <w:szCs w:val="24"/>
          <w:lang w:val="en-GB"/>
        </w:rPr>
        <w:t xml:space="preserve">, R., &amp; </w:t>
      </w:r>
      <w:proofErr w:type="spellStart"/>
      <w:r w:rsidRPr="00E915AA">
        <w:rPr>
          <w:rFonts w:ascii="Times New Roman" w:eastAsia="Calibri" w:hAnsi="Times New Roman" w:cs="Times New Roman"/>
          <w:sz w:val="24"/>
          <w:szCs w:val="24"/>
          <w:lang w:val="en-GB"/>
        </w:rPr>
        <w:t>Thontirawong</w:t>
      </w:r>
      <w:proofErr w:type="spellEnd"/>
      <w:r w:rsidRPr="00E915AA">
        <w:rPr>
          <w:rFonts w:ascii="Times New Roman" w:eastAsia="Calibri" w:hAnsi="Times New Roman" w:cs="Times New Roman"/>
          <w:sz w:val="24"/>
          <w:szCs w:val="24"/>
          <w:lang w:val="en-GB"/>
        </w:rPr>
        <w:t xml:space="preserve">, P. (2016). Group affiliation and earnings management of Asian IPO issuers. Review of Quantitative Finance and Accounting, 47(4), 897–917. </w:t>
      </w:r>
    </w:p>
    <w:p w14:paraId="09F2139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Lee, G., &amp; </w:t>
      </w:r>
      <w:proofErr w:type="spellStart"/>
      <w:r w:rsidRPr="00E915AA">
        <w:rPr>
          <w:rFonts w:ascii="Times New Roman" w:eastAsia="Calibri" w:hAnsi="Times New Roman" w:cs="Times New Roman"/>
          <w:sz w:val="24"/>
          <w:szCs w:val="24"/>
          <w:lang w:val="en-GB"/>
        </w:rPr>
        <w:t>Masulis</w:t>
      </w:r>
      <w:proofErr w:type="spellEnd"/>
      <w:r w:rsidRPr="00E915AA">
        <w:rPr>
          <w:rFonts w:ascii="Times New Roman" w:eastAsia="Calibri" w:hAnsi="Times New Roman" w:cs="Times New Roman"/>
          <w:sz w:val="24"/>
          <w:szCs w:val="24"/>
          <w:lang w:val="en-GB"/>
        </w:rPr>
        <w:t xml:space="preserve">, R. W. (2011). Do more reputable financial institutions reduce earnings management by IPO issuers? Journal of Corporate Finance, 17(4), 982–1000. </w:t>
      </w:r>
    </w:p>
    <w:p w14:paraId="26E70F4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Leuz</w:t>
      </w:r>
      <w:proofErr w:type="spellEnd"/>
      <w:r w:rsidRPr="00E915AA">
        <w:rPr>
          <w:rFonts w:ascii="Times New Roman" w:eastAsia="Calibri" w:hAnsi="Times New Roman" w:cs="Times New Roman"/>
          <w:sz w:val="24"/>
          <w:szCs w:val="24"/>
          <w:lang w:val="en-GB"/>
        </w:rPr>
        <w:t>, C., Nanda, D., &amp; Wysocki, P. D. (2003). Earnings management and investor protection: An international comparison. Journal of Financial Economics, 69(3), 505–527.</w:t>
      </w:r>
    </w:p>
    <w:p w14:paraId="0942EFB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Levitt, A. (1998). The numbers game. Retrieved March 1, 2020, from http://www.sec.gov/news/speech/speecharchive/1998/spch220.txt.</w:t>
      </w:r>
    </w:p>
    <w:p w14:paraId="67F2104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Lewis, C. (2012). Risk </w:t>
      </w:r>
      <w:proofErr w:type="spellStart"/>
      <w:r w:rsidRPr="00E915AA">
        <w:rPr>
          <w:rFonts w:ascii="Times New Roman" w:eastAsia="Calibri" w:hAnsi="Times New Roman" w:cs="Times New Roman"/>
          <w:sz w:val="24"/>
          <w:szCs w:val="24"/>
          <w:lang w:val="en-GB"/>
        </w:rPr>
        <w:t>modeling</w:t>
      </w:r>
      <w:proofErr w:type="spellEnd"/>
      <w:r w:rsidRPr="00E915AA">
        <w:rPr>
          <w:rFonts w:ascii="Times New Roman" w:eastAsia="Calibri" w:hAnsi="Times New Roman" w:cs="Times New Roman"/>
          <w:sz w:val="24"/>
          <w:szCs w:val="24"/>
          <w:lang w:val="en-GB"/>
        </w:rPr>
        <w:t xml:space="preserve"> at the SEC: The accounting quality model. Retrieved April 15, 2019, from </w:t>
      </w:r>
      <w:hyperlink r:id="rId15" w:history="1">
        <w:r w:rsidRPr="00E915AA">
          <w:rPr>
            <w:rStyle w:val="Hyperlink"/>
            <w:rFonts w:ascii="Times New Roman" w:eastAsia="Calibri" w:hAnsi="Times New Roman" w:cs="Times New Roman"/>
            <w:sz w:val="24"/>
            <w:szCs w:val="24"/>
            <w:lang w:val="en-GB"/>
          </w:rPr>
          <w:t>https://www.sec.gov/news/speech/2012-spch121312cmlhtm</w:t>
        </w:r>
      </w:hyperlink>
    </w:p>
    <w:p w14:paraId="4C6819E3"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Li, B., &amp; Liu, Z. (2017). The oversight role of regulators: evidence from SEC comment letters in the IPO process. Review of Accounting Studies, 22(3), 1229–1260.</w:t>
      </w:r>
    </w:p>
    <w:p w14:paraId="50B5F0FB" w14:textId="77777777" w:rsidR="00E64881" w:rsidRPr="00E915AA" w:rsidRDefault="00E64881" w:rsidP="00C543CC">
      <w:pPr>
        <w:spacing w:line="240" w:lineRule="auto"/>
        <w:ind w:left="340" w:hanging="340"/>
        <w:jc w:val="both"/>
        <w:rPr>
          <w:rFonts w:ascii="Times New Roman" w:eastAsia="Times New Roman"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 xml:space="preserve">Li, F. (2010). The information content of forward- looking statements in corporate filings-A naïve </w:t>
      </w:r>
      <w:proofErr w:type="spellStart"/>
      <w:r w:rsidRPr="00E915AA">
        <w:rPr>
          <w:rFonts w:ascii="Times New Roman" w:eastAsia="Times New Roman" w:hAnsi="Times New Roman" w:cs="Times New Roman"/>
          <w:sz w:val="24"/>
          <w:szCs w:val="24"/>
          <w:lang w:val="en-GB" w:eastAsia="en-GB"/>
        </w:rPr>
        <w:t>bayesian</w:t>
      </w:r>
      <w:proofErr w:type="spellEnd"/>
      <w:r w:rsidRPr="00E915AA">
        <w:rPr>
          <w:rFonts w:ascii="Times New Roman" w:eastAsia="Times New Roman" w:hAnsi="Times New Roman" w:cs="Times New Roman"/>
          <w:sz w:val="24"/>
          <w:szCs w:val="24"/>
          <w:lang w:val="en-GB" w:eastAsia="en-GB"/>
        </w:rPr>
        <w:t xml:space="preserve"> machine learning approach. Journal of Accounting Research, 48(5), 1049–1102. </w:t>
      </w:r>
    </w:p>
    <w:p w14:paraId="6EEAAD04"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Lo, K. (2008). Earnings management and earnings quality. Journal of Accounting and Economics, 45(2–3), 350–357.</w:t>
      </w:r>
    </w:p>
    <w:p w14:paraId="3BFC5882"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Lo, Kin, Ramos, F., &amp; </w:t>
      </w:r>
      <w:proofErr w:type="spellStart"/>
      <w:r w:rsidRPr="00E915AA">
        <w:rPr>
          <w:rFonts w:ascii="Times New Roman" w:eastAsia="Calibri" w:hAnsi="Times New Roman" w:cs="Times New Roman"/>
          <w:sz w:val="24"/>
          <w:szCs w:val="24"/>
          <w:lang w:val="en-GB"/>
        </w:rPr>
        <w:t>Rogo</w:t>
      </w:r>
      <w:proofErr w:type="spellEnd"/>
      <w:r w:rsidRPr="00E915AA">
        <w:rPr>
          <w:rFonts w:ascii="Times New Roman" w:eastAsia="Calibri" w:hAnsi="Times New Roman" w:cs="Times New Roman"/>
          <w:sz w:val="24"/>
          <w:szCs w:val="24"/>
          <w:lang w:val="en-GB"/>
        </w:rPr>
        <w:t xml:space="preserve">, R. (2017). Earnings management and annual report readability. Journal of Accounting and Economics, 63(1), 1–25. </w:t>
      </w:r>
    </w:p>
    <w:p w14:paraId="5ADC35FD" w14:textId="77777777" w:rsidR="00E64881" w:rsidRPr="00E915AA" w:rsidRDefault="00E64881" w:rsidP="00C543CC">
      <w:pPr>
        <w:spacing w:line="240" w:lineRule="auto"/>
        <w:ind w:left="340" w:hanging="340"/>
        <w:jc w:val="both"/>
        <w:rPr>
          <w:rFonts w:ascii="Times New Roman" w:eastAsia="Times New Roman"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 xml:space="preserve">Long, N., </w:t>
      </w:r>
      <w:proofErr w:type="spellStart"/>
      <w:r w:rsidRPr="00E915AA">
        <w:rPr>
          <w:rFonts w:ascii="Times New Roman" w:eastAsia="Times New Roman" w:hAnsi="Times New Roman" w:cs="Times New Roman"/>
          <w:sz w:val="24"/>
          <w:szCs w:val="24"/>
          <w:lang w:val="en-GB" w:eastAsia="en-GB"/>
        </w:rPr>
        <w:t>Gianola</w:t>
      </w:r>
      <w:proofErr w:type="spellEnd"/>
      <w:r w:rsidRPr="00E915AA">
        <w:rPr>
          <w:rFonts w:ascii="Times New Roman" w:eastAsia="Times New Roman" w:hAnsi="Times New Roman" w:cs="Times New Roman"/>
          <w:sz w:val="24"/>
          <w:szCs w:val="24"/>
          <w:lang w:val="en-GB" w:eastAsia="en-GB"/>
        </w:rPr>
        <w:t xml:space="preserve">, D., Rosa, G. J. M., Weigel, K. A., &amp; </w:t>
      </w:r>
      <w:proofErr w:type="spellStart"/>
      <w:r w:rsidRPr="00E915AA">
        <w:rPr>
          <w:rFonts w:ascii="Times New Roman" w:eastAsia="Times New Roman" w:hAnsi="Times New Roman" w:cs="Times New Roman"/>
          <w:sz w:val="24"/>
          <w:szCs w:val="24"/>
          <w:lang w:val="en-GB" w:eastAsia="en-GB"/>
        </w:rPr>
        <w:t>Avendaño</w:t>
      </w:r>
      <w:proofErr w:type="spellEnd"/>
      <w:r w:rsidRPr="00E915AA">
        <w:rPr>
          <w:rFonts w:ascii="Times New Roman" w:eastAsia="Times New Roman" w:hAnsi="Times New Roman" w:cs="Times New Roman"/>
          <w:sz w:val="24"/>
          <w:szCs w:val="24"/>
          <w:lang w:val="en-GB" w:eastAsia="en-GB"/>
        </w:rPr>
        <w:t>, S. (2009). Comparison of classification methods for detecting associations between SNPs and chick mortality. Genetics Selection Evolution, 41(18), 1–14.</w:t>
      </w:r>
    </w:p>
    <w:p w14:paraId="4D0FFEAE" w14:textId="110D9A8D"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Lowry, M.</w:t>
      </w:r>
      <w:r w:rsidR="00DC044F" w:rsidRPr="00E915AA">
        <w:rPr>
          <w:rFonts w:ascii="Times New Roman" w:eastAsia="Calibri" w:hAnsi="Times New Roman" w:cs="Times New Roman"/>
          <w:sz w:val="24"/>
          <w:szCs w:val="24"/>
          <w:lang w:val="en-GB"/>
        </w:rPr>
        <w:t xml:space="preserve">, </w:t>
      </w:r>
      <w:proofErr w:type="spellStart"/>
      <w:r w:rsidR="00DC044F" w:rsidRPr="00E915AA">
        <w:rPr>
          <w:rFonts w:ascii="Times New Roman" w:eastAsia="Calibri" w:hAnsi="Times New Roman" w:cs="Times New Roman"/>
          <w:sz w:val="24"/>
          <w:szCs w:val="24"/>
          <w:lang w:val="en-GB"/>
        </w:rPr>
        <w:t>Michaely</w:t>
      </w:r>
      <w:proofErr w:type="spellEnd"/>
      <w:r w:rsidR="00DC044F" w:rsidRPr="00E915AA">
        <w:rPr>
          <w:rFonts w:ascii="Times New Roman" w:eastAsia="Calibri" w:hAnsi="Times New Roman" w:cs="Times New Roman"/>
          <w:sz w:val="24"/>
          <w:szCs w:val="24"/>
          <w:lang w:val="en-GB"/>
        </w:rPr>
        <w:t>, R. and Volkova, E</w:t>
      </w:r>
      <w:r w:rsidRPr="00E915AA">
        <w:rPr>
          <w:rFonts w:ascii="Times New Roman" w:eastAsia="Calibri" w:hAnsi="Times New Roman" w:cs="Times New Roman"/>
          <w:sz w:val="24"/>
          <w:szCs w:val="24"/>
          <w:lang w:val="en-GB"/>
        </w:rPr>
        <w:t xml:space="preserve"> (2020). Information Revealed through the Regulatory </w:t>
      </w:r>
      <w:proofErr w:type="gramStart"/>
      <w:r w:rsidRPr="00E915AA">
        <w:rPr>
          <w:rFonts w:ascii="Times New Roman" w:eastAsia="Calibri" w:hAnsi="Times New Roman" w:cs="Times New Roman"/>
          <w:sz w:val="24"/>
          <w:szCs w:val="24"/>
          <w:lang w:val="en-GB"/>
        </w:rPr>
        <w:t>Process :</w:t>
      </w:r>
      <w:proofErr w:type="gramEnd"/>
      <w:r w:rsidRPr="00E915AA">
        <w:rPr>
          <w:rFonts w:ascii="Times New Roman" w:eastAsia="Calibri" w:hAnsi="Times New Roman" w:cs="Times New Roman"/>
          <w:sz w:val="24"/>
          <w:szCs w:val="24"/>
          <w:lang w:val="en-GB"/>
        </w:rPr>
        <w:t xml:space="preserve"> Interactions between the SEC and Companies ahead of Their IPO. The Review </w:t>
      </w:r>
      <w:proofErr w:type="gramStart"/>
      <w:r w:rsidRPr="00E915AA">
        <w:rPr>
          <w:rFonts w:ascii="Times New Roman" w:eastAsia="Calibri" w:hAnsi="Times New Roman" w:cs="Times New Roman"/>
          <w:sz w:val="24"/>
          <w:szCs w:val="24"/>
          <w:lang w:val="en-GB"/>
        </w:rPr>
        <w:t>of  Financial</w:t>
      </w:r>
      <w:proofErr w:type="gramEnd"/>
      <w:r w:rsidRPr="00E915AA">
        <w:rPr>
          <w:rFonts w:ascii="Times New Roman" w:eastAsia="Calibri" w:hAnsi="Times New Roman" w:cs="Times New Roman"/>
          <w:sz w:val="24"/>
          <w:szCs w:val="24"/>
          <w:lang w:val="en-GB"/>
        </w:rPr>
        <w:t xml:space="preserve"> Studies. Retrieved March 1, 2020, from https://doi.org/10.1093/rfs/hhaa007</w:t>
      </w:r>
    </w:p>
    <w:p w14:paraId="79AA35E5"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Marquardt, C. A., &amp; </w:t>
      </w:r>
      <w:proofErr w:type="spellStart"/>
      <w:r w:rsidRPr="00E915AA">
        <w:rPr>
          <w:rFonts w:ascii="Times New Roman" w:eastAsia="Calibri" w:hAnsi="Times New Roman" w:cs="Times New Roman"/>
          <w:sz w:val="24"/>
          <w:szCs w:val="24"/>
          <w:lang w:val="en-GB"/>
        </w:rPr>
        <w:t>Wiedman</w:t>
      </w:r>
      <w:proofErr w:type="spellEnd"/>
      <w:r w:rsidRPr="00E915AA">
        <w:rPr>
          <w:rFonts w:ascii="Times New Roman" w:eastAsia="Calibri" w:hAnsi="Times New Roman" w:cs="Times New Roman"/>
          <w:sz w:val="24"/>
          <w:szCs w:val="24"/>
          <w:lang w:val="en-GB"/>
        </w:rPr>
        <w:t>, C. I. (2005). How are Earnings Managed? An Examination of Specific Accruals. Contemporary Accounting Research, 21(2), 461–491.</w:t>
      </w:r>
    </w:p>
    <w:p w14:paraId="11E2867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Morsfield</w:t>
      </w:r>
      <w:proofErr w:type="spellEnd"/>
      <w:r w:rsidRPr="00E915AA">
        <w:rPr>
          <w:rFonts w:ascii="Times New Roman" w:eastAsia="Calibri" w:hAnsi="Times New Roman" w:cs="Times New Roman"/>
          <w:sz w:val="24"/>
          <w:szCs w:val="24"/>
          <w:lang w:val="en-GB"/>
        </w:rPr>
        <w:t>, S. G., &amp; Tan, C. E. L. (2006). Do venture capitalists influence the decision to manage earnings in initial public offerings? Accounting Review, 81(5), 1119–1150.</w:t>
      </w:r>
    </w:p>
    <w:p w14:paraId="3A4DF2ED" w14:textId="77777777" w:rsidR="00E64881" w:rsidRPr="00E915AA" w:rsidRDefault="00E64881" w:rsidP="00C543CC">
      <w:pPr>
        <w:spacing w:line="240" w:lineRule="auto"/>
        <w:ind w:left="340" w:hanging="340"/>
        <w:jc w:val="both"/>
        <w:rPr>
          <w:rFonts w:ascii="Times New Roman" w:eastAsia="Calibri" w:hAnsi="Times New Roman" w:cs="Times New Roman"/>
          <w:color w:val="121212"/>
          <w:sz w:val="24"/>
          <w:lang w:val="en"/>
        </w:rPr>
      </w:pPr>
      <w:r w:rsidRPr="00E915AA">
        <w:rPr>
          <w:rFonts w:ascii="Times New Roman" w:eastAsia="Calibri" w:hAnsi="Times New Roman" w:cs="Times New Roman"/>
          <w:color w:val="121212"/>
          <w:sz w:val="24"/>
          <w:lang w:val="en"/>
        </w:rPr>
        <w:t xml:space="preserve">New York Times (2012). </w:t>
      </w:r>
      <w:r w:rsidRPr="00E915AA">
        <w:rPr>
          <w:rFonts w:ascii="Times New Roman" w:eastAsia="Calibri" w:hAnsi="Times New Roman" w:cs="Times New Roman"/>
          <w:iCs/>
          <w:color w:val="121212"/>
          <w:sz w:val="24"/>
          <w:lang w:val="en"/>
        </w:rPr>
        <w:t>They have very short memories</w:t>
      </w:r>
      <w:r w:rsidRPr="00E915AA">
        <w:rPr>
          <w:rFonts w:ascii="Times New Roman" w:eastAsia="Calibri" w:hAnsi="Times New Roman" w:cs="Times New Roman"/>
          <w:color w:val="121212"/>
          <w:sz w:val="24"/>
          <w:lang w:val="en"/>
        </w:rPr>
        <w:t>. [Online]. March 10</w:t>
      </w:r>
      <w:r w:rsidRPr="00E915AA">
        <w:rPr>
          <w:rFonts w:ascii="Times New Roman" w:eastAsia="Calibri" w:hAnsi="Times New Roman" w:cs="Times New Roman"/>
          <w:color w:val="121212"/>
          <w:sz w:val="24"/>
          <w:vertAlign w:val="superscript"/>
          <w:lang w:val="en"/>
        </w:rPr>
        <w:t>th</w:t>
      </w:r>
      <w:proofErr w:type="gramStart"/>
      <w:r w:rsidRPr="00E915AA">
        <w:rPr>
          <w:rFonts w:ascii="Times New Roman" w:eastAsia="Calibri" w:hAnsi="Times New Roman" w:cs="Times New Roman"/>
          <w:color w:val="121212"/>
          <w:sz w:val="24"/>
          <w:lang w:val="en"/>
        </w:rPr>
        <w:t xml:space="preserve"> 2012</w:t>
      </w:r>
      <w:proofErr w:type="gramEnd"/>
      <w:r w:rsidRPr="00E915AA">
        <w:rPr>
          <w:rFonts w:ascii="Times New Roman" w:eastAsia="Calibri" w:hAnsi="Times New Roman" w:cs="Times New Roman"/>
          <w:color w:val="121212"/>
          <w:sz w:val="24"/>
          <w:lang w:val="en"/>
        </w:rPr>
        <w:t xml:space="preserve">. Retrieved January 21, </w:t>
      </w:r>
      <w:proofErr w:type="gramStart"/>
      <w:r w:rsidRPr="00E915AA">
        <w:rPr>
          <w:rFonts w:ascii="Times New Roman" w:eastAsia="Calibri" w:hAnsi="Times New Roman" w:cs="Times New Roman"/>
          <w:color w:val="121212"/>
          <w:sz w:val="24"/>
          <w:lang w:val="en"/>
        </w:rPr>
        <w:t>2020</w:t>
      </w:r>
      <w:proofErr w:type="gramEnd"/>
      <w:r w:rsidRPr="00E915AA">
        <w:rPr>
          <w:rFonts w:ascii="Times New Roman" w:eastAsia="Calibri" w:hAnsi="Times New Roman" w:cs="Times New Roman"/>
          <w:color w:val="121212"/>
          <w:sz w:val="24"/>
          <w:lang w:val="en"/>
        </w:rPr>
        <w:t xml:space="preserve"> from </w:t>
      </w:r>
      <w:hyperlink r:id="rId16" w:history="1">
        <w:r w:rsidRPr="00E915AA">
          <w:rPr>
            <w:rFonts w:ascii="Times New Roman" w:eastAsia="Calibri" w:hAnsi="Times New Roman" w:cs="Times New Roman"/>
            <w:color w:val="0563C1"/>
            <w:sz w:val="24"/>
            <w:u w:val="single"/>
            <w:lang w:val="en"/>
          </w:rPr>
          <w:t>https://www.nytimes.com/2012/03/11/opinion/sunday/washington-has-a-very-short-memory.html</w:t>
        </w:r>
      </w:hyperlink>
      <w:r w:rsidRPr="00E915AA">
        <w:rPr>
          <w:rFonts w:ascii="Times New Roman" w:eastAsia="Calibri" w:hAnsi="Times New Roman" w:cs="Times New Roman"/>
          <w:color w:val="121212"/>
          <w:sz w:val="24"/>
          <w:lang w:val="en"/>
        </w:rPr>
        <w:t xml:space="preserve"> </w:t>
      </w:r>
    </w:p>
    <w:p w14:paraId="5B6D4A8F"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Petersen, M. A. (2009). Estimating standard errors in finance panel data sets: Comparing approaches. Review of Financial Studies, 22(1), 435–480.</w:t>
      </w:r>
    </w:p>
    <w:p w14:paraId="0AD22F56"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Robinson, J. R., </w:t>
      </w:r>
      <w:proofErr w:type="spellStart"/>
      <w:r w:rsidRPr="00E915AA">
        <w:rPr>
          <w:rFonts w:ascii="Times New Roman" w:eastAsia="Calibri" w:hAnsi="Times New Roman" w:cs="Times New Roman"/>
          <w:sz w:val="24"/>
          <w:szCs w:val="24"/>
          <w:lang w:val="en-GB"/>
        </w:rPr>
        <w:t>Xue</w:t>
      </w:r>
      <w:proofErr w:type="spellEnd"/>
      <w:r w:rsidRPr="00E915AA">
        <w:rPr>
          <w:rFonts w:ascii="Times New Roman" w:eastAsia="Calibri" w:hAnsi="Times New Roman" w:cs="Times New Roman"/>
          <w:sz w:val="24"/>
          <w:szCs w:val="24"/>
          <w:lang w:val="en-GB"/>
        </w:rPr>
        <w:t>, Y., &amp; Yu, Y. (2011). Determinants of disclosure noncompliance and the effect of the SEC review: Evidence from the 2006 mandated compensation disclosure regulations. Accounting Review, 86(4), 1415–1444.</w:t>
      </w:r>
    </w:p>
    <w:p w14:paraId="3C6EB27C"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lastRenderedPageBreak/>
        <w:t xml:space="preserve">Rock, S., </w:t>
      </w:r>
      <w:proofErr w:type="spellStart"/>
      <w:r w:rsidRPr="00E915AA">
        <w:rPr>
          <w:rFonts w:ascii="Times New Roman" w:eastAsia="Calibri" w:hAnsi="Times New Roman" w:cs="Times New Roman"/>
          <w:sz w:val="24"/>
          <w:szCs w:val="24"/>
          <w:lang w:val="en-GB" w:eastAsia="en-GB"/>
        </w:rPr>
        <w:t>Sedo</w:t>
      </w:r>
      <w:proofErr w:type="spellEnd"/>
      <w:r w:rsidRPr="00E915AA">
        <w:rPr>
          <w:rFonts w:ascii="Times New Roman" w:eastAsia="Calibri" w:hAnsi="Times New Roman" w:cs="Times New Roman"/>
          <w:sz w:val="24"/>
          <w:szCs w:val="24"/>
          <w:lang w:val="en-GB" w:eastAsia="en-GB"/>
        </w:rPr>
        <w:t xml:space="preserve">, S., &amp; </w:t>
      </w:r>
      <w:proofErr w:type="spellStart"/>
      <w:r w:rsidRPr="00E915AA">
        <w:rPr>
          <w:rFonts w:ascii="Times New Roman" w:eastAsia="Calibri" w:hAnsi="Times New Roman" w:cs="Times New Roman"/>
          <w:sz w:val="24"/>
          <w:szCs w:val="24"/>
          <w:lang w:val="en-GB" w:eastAsia="en-GB"/>
        </w:rPr>
        <w:t>Willenborg</w:t>
      </w:r>
      <w:proofErr w:type="spellEnd"/>
      <w:r w:rsidRPr="00E915AA">
        <w:rPr>
          <w:rFonts w:ascii="Times New Roman" w:eastAsia="Calibri" w:hAnsi="Times New Roman" w:cs="Times New Roman"/>
          <w:sz w:val="24"/>
          <w:szCs w:val="24"/>
          <w:lang w:val="en-GB" w:eastAsia="en-GB"/>
        </w:rPr>
        <w:t>, M. (2000). Analyst following and count-data econometrics. Journal of Accounting and Economics, 30(3), 351–373.</w:t>
      </w:r>
    </w:p>
    <w:p w14:paraId="7DC21A62"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Rogers, W. H. (1994). Regression standard errors in clustered samples. Stata Technical Bulletin (Vol. 3).</w:t>
      </w:r>
    </w:p>
    <w:p w14:paraId="1A7B0B8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Ronen, J., &amp; </w:t>
      </w:r>
      <w:proofErr w:type="spellStart"/>
      <w:r w:rsidRPr="00E915AA">
        <w:rPr>
          <w:rFonts w:ascii="Times New Roman" w:eastAsia="Calibri" w:hAnsi="Times New Roman" w:cs="Times New Roman"/>
          <w:sz w:val="24"/>
          <w:szCs w:val="24"/>
          <w:lang w:val="en-GB"/>
        </w:rPr>
        <w:t>Yaari</w:t>
      </w:r>
      <w:proofErr w:type="spellEnd"/>
      <w:r w:rsidRPr="00E915AA">
        <w:rPr>
          <w:rFonts w:ascii="Times New Roman" w:eastAsia="Calibri" w:hAnsi="Times New Roman" w:cs="Times New Roman"/>
          <w:sz w:val="24"/>
          <w:szCs w:val="24"/>
          <w:lang w:val="en-GB"/>
        </w:rPr>
        <w:t>, V. (2008). Earnings Management Emerging Insights in Theory, Practice, and Research. New York: Springer.</w:t>
      </w:r>
    </w:p>
    <w:p w14:paraId="7D76F41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Roychowdhury</w:t>
      </w:r>
      <w:proofErr w:type="spellEnd"/>
      <w:r w:rsidRPr="00E915AA">
        <w:rPr>
          <w:rFonts w:ascii="Times New Roman" w:eastAsia="Calibri" w:hAnsi="Times New Roman" w:cs="Times New Roman"/>
          <w:sz w:val="24"/>
          <w:szCs w:val="24"/>
          <w:lang w:val="en-GB"/>
        </w:rPr>
        <w:t>, S. (2006). Earnings management through real activities manipulation. Journal of Accounting and Economics, 42(3), 335–370.</w:t>
      </w:r>
    </w:p>
    <w:p w14:paraId="577E13D4" w14:textId="77777777" w:rsidR="00E64881" w:rsidRPr="00E915AA" w:rsidRDefault="00E64881" w:rsidP="00C543CC">
      <w:pPr>
        <w:spacing w:line="240" w:lineRule="auto"/>
        <w:ind w:left="340" w:hanging="340"/>
        <w:jc w:val="both"/>
        <w:rPr>
          <w:rFonts w:ascii="Times New Roman" w:eastAsia="Times New Roman" w:hAnsi="Times New Roman" w:cs="Times New Roman"/>
          <w:sz w:val="24"/>
          <w:szCs w:val="24"/>
          <w:lang w:val="en-GB" w:eastAsia="en-GB"/>
        </w:rPr>
      </w:pPr>
      <w:proofErr w:type="spellStart"/>
      <w:r w:rsidRPr="00E915AA">
        <w:rPr>
          <w:rFonts w:ascii="Times New Roman" w:eastAsia="Times New Roman" w:hAnsi="Times New Roman" w:cs="Times New Roman"/>
          <w:sz w:val="24"/>
          <w:szCs w:val="24"/>
          <w:lang w:val="en-GB" w:eastAsia="en-GB"/>
        </w:rPr>
        <w:t>Ryans</w:t>
      </w:r>
      <w:proofErr w:type="spellEnd"/>
      <w:r w:rsidRPr="00E915AA">
        <w:rPr>
          <w:rFonts w:ascii="Times New Roman" w:eastAsia="Times New Roman" w:hAnsi="Times New Roman" w:cs="Times New Roman"/>
          <w:sz w:val="24"/>
          <w:szCs w:val="24"/>
          <w:lang w:val="en-GB" w:eastAsia="en-GB"/>
        </w:rPr>
        <w:t>, J., (2019). Textual Classification of SEC Comment Letters. Review of Accounting Studies, 26, 37-80.</w:t>
      </w:r>
    </w:p>
    <w:p w14:paraId="1ACB9C56"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Schuldt, M., &amp; Vega, J. (2018). An examination of SEC revenue recognition comments and IPO earnings management. Accounting Research Journal, 31(1), 90–101.</w:t>
      </w:r>
    </w:p>
    <w:p w14:paraId="10394D70"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SEC (2001). Comment Letter Follow-Up (Audit 326). Retrieved May 12, 2018, from www.sec.gov/about/oig/audit/326fin.pdf</w:t>
      </w:r>
    </w:p>
    <w:p w14:paraId="015C6C0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Sletten, E., </w:t>
      </w:r>
      <w:proofErr w:type="spellStart"/>
      <w:r w:rsidRPr="00E915AA">
        <w:rPr>
          <w:rFonts w:ascii="Times New Roman" w:eastAsia="Calibri" w:hAnsi="Times New Roman" w:cs="Times New Roman"/>
          <w:sz w:val="24"/>
          <w:szCs w:val="24"/>
          <w:lang w:val="en-GB"/>
        </w:rPr>
        <w:t>Ertimur</w:t>
      </w:r>
      <w:proofErr w:type="spellEnd"/>
      <w:r w:rsidRPr="00E915AA">
        <w:rPr>
          <w:rFonts w:ascii="Times New Roman" w:eastAsia="Calibri" w:hAnsi="Times New Roman" w:cs="Times New Roman"/>
          <w:sz w:val="24"/>
          <w:szCs w:val="24"/>
          <w:lang w:val="en-GB"/>
        </w:rPr>
        <w:t>, Y., Sunder, J., &amp; Weber, J. (2018). When and why do IPO firms manage earnings? Review of Accounting Studies, 1–35.</w:t>
      </w:r>
    </w:p>
    <w:p w14:paraId="51A8EDB5"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Srivastava, A. (2019). Improving the Measures of Real Earnings Management. Review of Accounting Studies (forthcoming). Retrieved Jan 02, 2022, from https://ssrn.com/abstract=2848167 or </w:t>
      </w:r>
      <w:hyperlink r:id="rId17" w:history="1">
        <w:r w:rsidRPr="00E915AA">
          <w:rPr>
            <w:rStyle w:val="Hyperlink"/>
            <w:rFonts w:ascii="Times New Roman" w:eastAsia="Calibri" w:hAnsi="Times New Roman" w:cs="Times New Roman"/>
            <w:sz w:val="24"/>
            <w:szCs w:val="24"/>
            <w:lang w:val="en-GB" w:eastAsia="en-GB"/>
          </w:rPr>
          <w:t>http://dx.doi.org/10.2139/ssrn.2848167</w:t>
        </w:r>
      </w:hyperlink>
    </w:p>
    <w:p w14:paraId="58B41631"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Teoh, S. H., Welch, I., &amp; Wong, T. J. (1998b). Earnings management and the long-run market performance of initial public offerings. Journal of Finance, 53(6), 1935–1974.</w:t>
      </w:r>
    </w:p>
    <w:p w14:paraId="0FC42826"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Teoh, S.H., Wong, T. J. (2002). Earnings management and the long-run market performance of initial public offerings. The Journal of Finance, 53(6), 1935–1974.</w:t>
      </w:r>
    </w:p>
    <w:p w14:paraId="7345052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Teoh, S.H., Wong, T. J., &amp; Rao, G. R. (1998a). Are accruals during initial public offerings opportunistic? Review of Accounting Studies, 3(1/2), 175–208.</w:t>
      </w:r>
    </w:p>
    <w:p w14:paraId="39E4AB93" w14:textId="06D0E948"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Tran, V.N.K, Hemmings, D., Jaafar, A. (2022). De-burdening the IPO approval process? SEC reviews under the JOBS Act. Working paper.</w:t>
      </w:r>
      <w:r w:rsidR="00EC401F" w:rsidRPr="00E915AA">
        <w:rPr>
          <w:rFonts w:ascii="Times New Roman" w:eastAsia="Calibri" w:hAnsi="Times New Roman" w:cs="Times New Roman"/>
          <w:sz w:val="24"/>
          <w:szCs w:val="24"/>
          <w:lang w:val="en-GB"/>
        </w:rPr>
        <w:t xml:space="preserve"> Bangor Business School.</w:t>
      </w:r>
    </w:p>
    <w:p w14:paraId="1496F59B"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 xml:space="preserve">Venkataraman, R., Weber, J. P., &amp; </w:t>
      </w:r>
      <w:proofErr w:type="spellStart"/>
      <w:r w:rsidRPr="00E915AA">
        <w:rPr>
          <w:rFonts w:ascii="Times New Roman" w:eastAsia="Calibri" w:hAnsi="Times New Roman" w:cs="Times New Roman"/>
          <w:sz w:val="24"/>
          <w:szCs w:val="24"/>
          <w:lang w:val="en-GB"/>
        </w:rPr>
        <w:t>Willenborg</w:t>
      </w:r>
      <w:proofErr w:type="spellEnd"/>
      <w:r w:rsidRPr="00E915AA">
        <w:rPr>
          <w:rFonts w:ascii="Times New Roman" w:eastAsia="Calibri" w:hAnsi="Times New Roman" w:cs="Times New Roman"/>
          <w:sz w:val="24"/>
          <w:szCs w:val="24"/>
          <w:lang w:val="en-GB"/>
        </w:rPr>
        <w:t xml:space="preserve">, M. (2008). Litigation risk, audit quality, and audit fees: Evidence from initial public offerings. Accounting Review, 83(5), 1315–1345. </w:t>
      </w:r>
    </w:p>
    <w:p w14:paraId="7E58EE8E"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proofErr w:type="spellStart"/>
      <w:r w:rsidRPr="00E915AA">
        <w:rPr>
          <w:rFonts w:ascii="Times New Roman" w:eastAsia="Calibri" w:hAnsi="Times New Roman" w:cs="Times New Roman"/>
          <w:sz w:val="24"/>
          <w:szCs w:val="24"/>
          <w:lang w:val="en-GB"/>
        </w:rPr>
        <w:t>Wongsunwai</w:t>
      </w:r>
      <w:proofErr w:type="spellEnd"/>
      <w:r w:rsidRPr="00E915AA">
        <w:rPr>
          <w:rFonts w:ascii="Times New Roman" w:eastAsia="Calibri" w:hAnsi="Times New Roman" w:cs="Times New Roman"/>
          <w:sz w:val="24"/>
          <w:szCs w:val="24"/>
          <w:lang w:val="en-GB"/>
        </w:rPr>
        <w:t>, W. (2013). The effect of external monitoring on accrual-based and real earnings management: Evidence from venture-backed initial public offerings. Contemporary Accounting Research, 30(1), 296–324.</w:t>
      </w:r>
    </w:p>
    <w:p w14:paraId="34C4C715"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eastAsia="en-GB"/>
        </w:rPr>
      </w:pPr>
      <w:r w:rsidRPr="00E915AA">
        <w:rPr>
          <w:rFonts w:ascii="Times New Roman" w:eastAsia="Calibri" w:hAnsi="Times New Roman" w:cs="Times New Roman"/>
          <w:sz w:val="24"/>
          <w:szCs w:val="24"/>
          <w:lang w:eastAsia="en-GB"/>
        </w:rPr>
        <w:t xml:space="preserve">World Bank (2019). Finance in Transition: Unlocking capital markets for Vietnam’s future development. Retrieved at </w:t>
      </w:r>
      <w:hyperlink r:id="rId18" w:history="1">
        <w:r w:rsidRPr="00E915AA">
          <w:rPr>
            <w:rStyle w:val="Hyperlink"/>
            <w:rFonts w:ascii="Times New Roman" w:eastAsia="Calibri" w:hAnsi="Times New Roman" w:cs="Times New Roman"/>
            <w:sz w:val="24"/>
            <w:szCs w:val="24"/>
            <w:lang w:eastAsia="en-GB"/>
          </w:rPr>
          <w:t>https://documents1.worldbank.org/curated/en/971881576078190397/pdf/Finance-in-Transition-Unlocking-Capital-Markets-for-Vietnam-s-Future-Development.pdf</w:t>
        </w:r>
      </w:hyperlink>
      <w:r w:rsidRPr="00E915AA">
        <w:rPr>
          <w:rFonts w:ascii="Times New Roman" w:eastAsia="Calibri" w:hAnsi="Times New Roman" w:cs="Times New Roman"/>
          <w:sz w:val="24"/>
          <w:szCs w:val="24"/>
          <w:lang w:eastAsia="en-GB"/>
        </w:rPr>
        <w:t xml:space="preserve"> </w:t>
      </w:r>
    </w:p>
    <w:p w14:paraId="7C163017" w14:textId="77777777" w:rsidR="00E64881" w:rsidRPr="00E915AA" w:rsidRDefault="00E64881" w:rsidP="00C543CC">
      <w:pPr>
        <w:spacing w:line="240" w:lineRule="auto"/>
        <w:ind w:left="340" w:hanging="340"/>
        <w:jc w:val="both"/>
        <w:rPr>
          <w:rFonts w:ascii="Times New Roman" w:eastAsia="Calibri" w:hAnsi="Times New Roman" w:cs="Times New Roman"/>
          <w:sz w:val="24"/>
          <w:szCs w:val="24"/>
          <w:lang w:val="en-GB"/>
        </w:rPr>
      </w:pPr>
      <w:r w:rsidRPr="00E915AA">
        <w:rPr>
          <w:rFonts w:ascii="Times New Roman" w:eastAsia="Calibri" w:hAnsi="Times New Roman" w:cs="Times New Roman"/>
          <w:sz w:val="24"/>
          <w:szCs w:val="24"/>
          <w:lang w:val="en-GB"/>
        </w:rPr>
        <w:t>Zang, A. Y. (2012). Evidence on the trade-off between real activities manipulation and accrual-based earnings management. Accounting Review, 87(2), 675–703.</w:t>
      </w:r>
    </w:p>
    <w:p w14:paraId="7307826C" w14:textId="77777777" w:rsidR="006D6415" w:rsidRPr="00E915AA" w:rsidRDefault="00E64881" w:rsidP="00C543CC">
      <w:pPr>
        <w:spacing w:line="240" w:lineRule="auto"/>
        <w:ind w:left="340" w:hanging="340"/>
        <w:jc w:val="both"/>
        <w:rPr>
          <w:rFonts w:ascii="Times New Roman" w:eastAsia="Calibri" w:hAnsi="Times New Roman" w:cs="Times New Roman"/>
          <w:sz w:val="24"/>
          <w:szCs w:val="24"/>
          <w:lang w:val="en-GB"/>
        </w:rPr>
        <w:sectPr w:rsidR="006D6415" w:rsidRPr="00E915AA" w:rsidSect="0073176B">
          <w:pgSz w:w="11906" w:h="16838"/>
          <w:pgMar w:top="1440" w:right="1440" w:bottom="1440" w:left="1440" w:header="708" w:footer="708" w:gutter="0"/>
          <w:cols w:space="708"/>
          <w:docGrid w:linePitch="360"/>
        </w:sectPr>
      </w:pPr>
      <w:r w:rsidRPr="00E915AA">
        <w:rPr>
          <w:rFonts w:ascii="Times New Roman" w:eastAsia="Calibri" w:hAnsi="Times New Roman" w:cs="Times New Roman"/>
          <w:sz w:val="24"/>
          <w:szCs w:val="24"/>
          <w:lang w:val="en-GB"/>
        </w:rPr>
        <w:t>Zhang, X. (2006), ‘Information Uncertainty and Stock Returns’, Journal of Finance, Vol. 61, pp. 105–36.</w:t>
      </w:r>
    </w:p>
    <w:p w14:paraId="1C71E0A7" w14:textId="77777777" w:rsidR="00D955E0" w:rsidRPr="00E915AA" w:rsidRDefault="00D955E0" w:rsidP="00D955E0">
      <w:pPr>
        <w:spacing w:after="240" w:line="240" w:lineRule="auto"/>
        <w:rPr>
          <w:rFonts w:ascii="Times New Roman" w:eastAsia="Times New Roman" w:hAnsi="Times New Roman" w:cs="Times New Roman"/>
          <w:b/>
          <w:bCs/>
          <w:sz w:val="24"/>
          <w:szCs w:val="24"/>
          <w:lang w:val="en-GB" w:eastAsia="en-GB"/>
        </w:rPr>
      </w:pPr>
      <w:r w:rsidRPr="00E915AA">
        <w:rPr>
          <w:rFonts w:ascii="Times New Roman" w:eastAsia="Times New Roman" w:hAnsi="Times New Roman" w:cs="Times New Roman"/>
          <w:b/>
          <w:bCs/>
          <w:sz w:val="24"/>
          <w:szCs w:val="24"/>
          <w:lang w:val="en-GB" w:eastAsia="en-GB"/>
        </w:rPr>
        <w:lastRenderedPageBreak/>
        <w:t>Appendix A. Variable definitions</w:t>
      </w:r>
    </w:p>
    <w:tbl>
      <w:tblPr>
        <w:tblStyle w:val="TableGrid1"/>
        <w:tblW w:w="9036" w:type="dxa"/>
        <w:tblLook w:val="04A0" w:firstRow="1" w:lastRow="0" w:firstColumn="1" w:lastColumn="0" w:noHBand="0" w:noVBand="1"/>
      </w:tblPr>
      <w:tblGrid>
        <w:gridCol w:w="2502"/>
        <w:gridCol w:w="6534"/>
      </w:tblGrid>
      <w:tr w:rsidR="00D955E0" w:rsidRPr="00E915AA" w14:paraId="51D36980" w14:textId="77777777" w:rsidTr="009C015E">
        <w:trPr>
          <w:trHeight w:val="420"/>
        </w:trPr>
        <w:tc>
          <w:tcPr>
            <w:tcW w:w="2502" w:type="dxa"/>
            <w:tcBorders>
              <w:left w:val="single" w:sz="4" w:space="0" w:color="FFFFFF"/>
              <w:right w:val="single" w:sz="4" w:space="0" w:color="FFFFFF"/>
            </w:tcBorders>
          </w:tcPr>
          <w:p w14:paraId="57C4326B" w14:textId="77777777" w:rsidR="00D955E0" w:rsidRPr="00E915AA" w:rsidRDefault="00D955E0" w:rsidP="001520C5">
            <w:pPr>
              <w:spacing w:after="120"/>
            </w:pPr>
            <w:r w:rsidRPr="00E915AA">
              <w:rPr>
                <w:b/>
                <w:bCs/>
              </w:rPr>
              <w:t>Variable</w:t>
            </w:r>
          </w:p>
        </w:tc>
        <w:tc>
          <w:tcPr>
            <w:tcW w:w="6534" w:type="dxa"/>
            <w:tcBorders>
              <w:left w:val="single" w:sz="4" w:space="0" w:color="FFFFFF"/>
              <w:right w:val="single" w:sz="4" w:space="0" w:color="FFFFFF"/>
            </w:tcBorders>
          </w:tcPr>
          <w:p w14:paraId="1CCF2537" w14:textId="77777777" w:rsidR="00D955E0" w:rsidRPr="00E915AA" w:rsidRDefault="00D955E0" w:rsidP="001520C5">
            <w:pPr>
              <w:spacing w:after="120"/>
            </w:pPr>
            <w:r w:rsidRPr="00E915AA">
              <w:rPr>
                <w:b/>
                <w:bCs/>
              </w:rPr>
              <w:t>Definition</w:t>
            </w:r>
          </w:p>
        </w:tc>
      </w:tr>
      <w:tr w:rsidR="00D955E0" w:rsidRPr="00E915AA" w14:paraId="60A31D75" w14:textId="77777777" w:rsidTr="001520C5">
        <w:trPr>
          <w:trHeight w:val="20"/>
        </w:trPr>
        <w:tc>
          <w:tcPr>
            <w:tcW w:w="9036" w:type="dxa"/>
            <w:gridSpan w:val="2"/>
            <w:tcBorders>
              <w:left w:val="single" w:sz="4" w:space="0" w:color="FFFFFF"/>
              <w:bottom w:val="nil"/>
              <w:right w:val="single" w:sz="4" w:space="0" w:color="FFFFFF"/>
            </w:tcBorders>
          </w:tcPr>
          <w:p w14:paraId="36832805" w14:textId="77777777" w:rsidR="00D955E0" w:rsidRPr="00E915AA" w:rsidRDefault="00D955E0" w:rsidP="001520C5">
            <w:pPr>
              <w:spacing w:after="120"/>
            </w:pPr>
            <w:r w:rsidRPr="00E915AA">
              <w:rPr>
                <w:b/>
                <w:bCs/>
                <w:i/>
                <w:iCs/>
              </w:rPr>
              <w:t>Panel A. Earnings management proxies</w:t>
            </w:r>
          </w:p>
        </w:tc>
      </w:tr>
      <w:tr w:rsidR="00D955E0" w:rsidRPr="00E915AA" w14:paraId="106E989B" w14:textId="77777777" w:rsidTr="009C015E">
        <w:trPr>
          <w:trHeight w:val="20"/>
        </w:trPr>
        <w:tc>
          <w:tcPr>
            <w:tcW w:w="2502" w:type="dxa"/>
            <w:tcBorders>
              <w:top w:val="nil"/>
              <w:left w:val="nil"/>
              <w:bottom w:val="nil"/>
              <w:right w:val="nil"/>
            </w:tcBorders>
          </w:tcPr>
          <w:p w14:paraId="6CAE02F1" w14:textId="77777777" w:rsidR="00D955E0" w:rsidRPr="00E915AA" w:rsidRDefault="00D955E0" w:rsidP="001520C5">
            <w:pPr>
              <w:spacing w:after="120"/>
              <w:rPr>
                <w:i/>
                <w:iCs/>
              </w:rPr>
            </w:pPr>
            <w:r w:rsidRPr="00E915AA">
              <w:rPr>
                <w:i/>
                <w:iCs/>
              </w:rPr>
              <w:t>DACC</w:t>
            </w:r>
          </w:p>
        </w:tc>
        <w:tc>
          <w:tcPr>
            <w:tcW w:w="6534" w:type="dxa"/>
            <w:tcBorders>
              <w:top w:val="nil"/>
              <w:left w:val="nil"/>
              <w:bottom w:val="nil"/>
              <w:right w:val="nil"/>
            </w:tcBorders>
          </w:tcPr>
          <w:p w14:paraId="6AB3D7E7" w14:textId="77777777" w:rsidR="00D955E0" w:rsidRPr="00E915AA" w:rsidRDefault="00D955E0" w:rsidP="001520C5">
            <w:pPr>
              <w:spacing w:after="120"/>
              <w:jc w:val="both"/>
            </w:pPr>
            <w:r w:rsidRPr="00E915AA">
              <w:t xml:space="preserve">The level of abnormal accruals of firm </w:t>
            </w:r>
            <w:proofErr w:type="spellStart"/>
            <w:r w:rsidRPr="00E915AA">
              <w:t>i</w:t>
            </w:r>
            <w:proofErr w:type="spellEnd"/>
            <w:r w:rsidRPr="00E915AA">
              <w:t xml:space="preserve"> in year t-1, measured using the modified Jones (1991) model and adjusted for the abnormal accruals of a performance- matched non-IPO firm, following Kothari et al. (2005)</w:t>
            </w:r>
          </w:p>
        </w:tc>
      </w:tr>
      <w:tr w:rsidR="00D955E0" w:rsidRPr="00E915AA" w14:paraId="1A241948" w14:textId="77777777" w:rsidTr="009C015E">
        <w:trPr>
          <w:trHeight w:val="20"/>
        </w:trPr>
        <w:tc>
          <w:tcPr>
            <w:tcW w:w="2502" w:type="dxa"/>
            <w:tcBorders>
              <w:top w:val="nil"/>
              <w:left w:val="nil"/>
              <w:bottom w:val="nil"/>
              <w:right w:val="nil"/>
            </w:tcBorders>
          </w:tcPr>
          <w:p w14:paraId="7DE1240F" w14:textId="77777777" w:rsidR="00D955E0" w:rsidRPr="00E915AA" w:rsidRDefault="00D955E0" w:rsidP="001520C5">
            <w:pPr>
              <w:spacing w:after="120"/>
              <w:rPr>
                <w:i/>
                <w:iCs/>
              </w:rPr>
            </w:pPr>
            <w:r w:rsidRPr="00E915AA">
              <w:rPr>
                <w:i/>
                <w:iCs/>
              </w:rPr>
              <w:t>ACFO</w:t>
            </w:r>
          </w:p>
        </w:tc>
        <w:tc>
          <w:tcPr>
            <w:tcW w:w="6534" w:type="dxa"/>
            <w:tcBorders>
              <w:top w:val="nil"/>
              <w:left w:val="nil"/>
              <w:bottom w:val="nil"/>
              <w:right w:val="nil"/>
            </w:tcBorders>
          </w:tcPr>
          <w:p w14:paraId="413144AB" w14:textId="77777777" w:rsidR="00D955E0" w:rsidRPr="00E915AA" w:rsidRDefault="00D955E0" w:rsidP="001520C5">
            <w:pPr>
              <w:spacing w:after="120"/>
              <w:jc w:val="both"/>
            </w:pPr>
            <w:r w:rsidRPr="00E915AA">
              <w:t xml:space="preserve">The level of abnormal cash flow from operations of firm </w:t>
            </w:r>
            <w:proofErr w:type="spellStart"/>
            <w:r w:rsidRPr="00E915AA">
              <w:t>i</w:t>
            </w:r>
            <w:proofErr w:type="spellEnd"/>
            <w:r w:rsidRPr="00E915AA">
              <w:t xml:space="preserve"> in year t-1, which is measured by using the model developed by </w:t>
            </w:r>
            <w:proofErr w:type="spellStart"/>
            <w:r w:rsidRPr="00E915AA">
              <w:t>Dechow</w:t>
            </w:r>
            <w:proofErr w:type="spellEnd"/>
            <w:r w:rsidRPr="00E915AA">
              <w:t xml:space="preserve"> et al. (1998) and applied by </w:t>
            </w:r>
            <w:proofErr w:type="spellStart"/>
            <w:r w:rsidRPr="00E915AA">
              <w:t>Roychowdhury</w:t>
            </w:r>
            <w:proofErr w:type="spellEnd"/>
            <w:r w:rsidRPr="00E915AA">
              <w:t xml:space="preserve"> (2006)</w:t>
            </w:r>
          </w:p>
        </w:tc>
      </w:tr>
      <w:tr w:rsidR="00D955E0" w:rsidRPr="00E915AA" w14:paraId="7845D983" w14:textId="77777777" w:rsidTr="009C015E">
        <w:trPr>
          <w:trHeight w:val="20"/>
        </w:trPr>
        <w:tc>
          <w:tcPr>
            <w:tcW w:w="2502" w:type="dxa"/>
            <w:tcBorders>
              <w:top w:val="nil"/>
              <w:left w:val="nil"/>
              <w:bottom w:val="nil"/>
              <w:right w:val="nil"/>
            </w:tcBorders>
            <w:vAlign w:val="center"/>
          </w:tcPr>
          <w:p w14:paraId="75EAABBB" w14:textId="77777777" w:rsidR="00D955E0" w:rsidRPr="00E915AA" w:rsidRDefault="00D955E0" w:rsidP="001520C5">
            <w:pPr>
              <w:spacing w:after="120"/>
              <w:rPr>
                <w:i/>
                <w:iCs/>
              </w:rPr>
            </w:pPr>
            <w:r w:rsidRPr="00E915AA">
              <w:rPr>
                <w:i/>
                <w:iCs/>
              </w:rPr>
              <w:t>ADISEXP</w:t>
            </w:r>
          </w:p>
        </w:tc>
        <w:tc>
          <w:tcPr>
            <w:tcW w:w="6534" w:type="dxa"/>
            <w:tcBorders>
              <w:top w:val="nil"/>
              <w:left w:val="nil"/>
              <w:bottom w:val="nil"/>
              <w:right w:val="nil"/>
            </w:tcBorders>
            <w:vAlign w:val="center"/>
          </w:tcPr>
          <w:p w14:paraId="46CB1733" w14:textId="77777777" w:rsidR="00D955E0" w:rsidRPr="00E915AA" w:rsidRDefault="00D955E0" w:rsidP="001520C5">
            <w:pPr>
              <w:spacing w:after="120"/>
              <w:jc w:val="both"/>
            </w:pPr>
            <w:r w:rsidRPr="00E915AA">
              <w:t xml:space="preserve">The level of abnormal discretionary expenses of firm </w:t>
            </w:r>
            <w:proofErr w:type="spellStart"/>
            <w:r w:rsidRPr="00E915AA">
              <w:t>i</w:t>
            </w:r>
            <w:proofErr w:type="spellEnd"/>
            <w:r w:rsidRPr="00E915AA">
              <w:t xml:space="preserve"> in year t-1, which is measured by using the model developed by </w:t>
            </w:r>
            <w:proofErr w:type="spellStart"/>
            <w:r w:rsidRPr="00E915AA">
              <w:t>Dechow</w:t>
            </w:r>
            <w:proofErr w:type="spellEnd"/>
            <w:r w:rsidRPr="00E915AA">
              <w:t xml:space="preserve"> et al. (1998) and applied by </w:t>
            </w:r>
            <w:proofErr w:type="spellStart"/>
            <w:r w:rsidRPr="00E915AA">
              <w:t>Roychowdhury</w:t>
            </w:r>
            <w:proofErr w:type="spellEnd"/>
            <w:r w:rsidRPr="00E915AA">
              <w:t xml:space="preserve"> (2006)</w:t>
            </w:r>
          </w:p>
        </w:tc>
      </w:tr>
      <w:tr w:rsidR="00D955E0" w:rsidRPr="00E915AA" w14:paraId="586E8AD7" w14:textId="77777777" w:rsidTr="009C015E">
        <w:trPr>
          <w:trHeight w:val="20"/>
        </w:trPr>
        <w:tc>
          <w:tcPr>
            <w:tcW w:w="2502" w:type="dxa"/>
            <w:tcBorders>
              <w:top w:val="nil"/>
              <w:left w:val="nil"/>
              <w:bottom w:val="nil"/>
              <w:right w:val="nil"/>
            </w:tcBorders>
            <w:vAlign w:val="center"/>
          </w:tcPr>
          <w:p w14:paraId="2AB67C90" w14:textId="77777777" w:rsidR="00D955E0" w:rsidRPr="00E915AA" w:rsidRDefault="00D955E0" w:rsidP="001520C5">
            <w:pPr>
              <w:spacing w:after="120"/>
              <w:rPr>
                <w:i/>
                <w:iCs/>
              </w:rPr>
            </w:pPr>
            <w:proofErr w:type="spellStart"/>
            <w:r w:rsidRPr="00E915AA">
              <w:rPr>
                <w:rFonts w:eastAsia="Yu Mincho"/>
                <w:i/>
                <w:iCs/>
                <w:sz w:val="24"/>
                <w:szCs w:val="24"/>
              </w:rPr>
              <w:t>DACC_abs</w:t>
            </w:r>
            <w:proofErr w:type="spellEnd"/>
          </w:p>
        </w:tc>
        <w:tc>
          <w:tcPr>
            <w:tcW w:w="6534" w:type="dxa"/>
            <w:tcBorders>
              <w:top w:val="nil"/>
              <w:left w:val="nil"/>
              <w:bottom w:val="nil"/>
              <w:right w:val="nil"/>
            </w:tcBorders>
            <w:vAlign w:val="center"/>
          </w:tcPr>
          <w:p w14:paraId="35D57176" w14:textId="77777777" w:rsidR="00D955E0" w:rsidRPr="00E915AA" w:rsidRDefault="00D955E0" w:rsidP="001520C5">
            <w:pPr>
              <w:spacing w:after="120"/>
              <w:jc w:val="both"/>
            </w:pPr>
            <w:r w:rsidRPr="00E915AA">
              <w:t xml:space="preserve">The absolute value of abnormal accruals of firm </w:t>
            </w:r>
            <w:proofErr w:type="spellStart"/>
            <w:r w:rsidRPr="00E915AA">
              <w:t>i</w:t>
            </w:r>
            <w:proofErr w:type="spellEnd"/>
            <w:r w:rsidRPr="00E915AA">
              <w:t xml:space="preserve"> in year t-1</w:t>
            </w:r>
          </w:p>
        </w:tc>
      </w:tr>
      <w:tr w:rsidR="00D955E0" w:rsidRPr="00E915AA" w14:paraId="774122BB" w14:textId="77777777" w:rsidTr="009C015E">
        <w:trPr>
          <w:trHeight w:val="20"/>
        </w:trPr>
        <w:tc>
          <w:tcPr>
            <w:tcW w:w="2502" w:type="dxa"/>
            <w:tcBorders>
              <w:top w:val="nil"/>
              <w:left w:val="nil"/>
              <w:bottom w:val="nil"/>
              <w:right w:val="nil"/>
            </w:tcBorders>
            <w:vAlign w:val="center"/>
          </w:tcPr>
          <w:p w14:paraId="23D1452E" w14:textId="77777777" w:rsidR="00D955E0" w:rsidRPr="00E915AA" w:rsidRDefault="00D955E0" w:rsidP="001520C5">
            <w:pPr>
              <w:spacing w:after="120"/>
              <w:rPr>
                <w:i/>
                <w:iCs/>
              </w:rPr>
            </w:pPr>
            <w:proofErr w:type="spellStart"/>
            <w:r w:rsidRPr="00E915AA">
              <w:rPr>
                <w:rFonts w:eastAsia="Yu Mincho"/>
                <w:i/>
                <w:iCs/>
                <w:sz w:val="24"/>
                <w:szCs w:val="24"/>
              </w:rPr>
              <w:t>ACFO_abs</w:t>
            </w:r>
            <w:proofErr w:type="spellEnd"/>
          </w:p>
        </w:tc>
        <w:tc>
          <w:tcPr>
            <w:tcW w:w="6534" w:type="dxa"/>
            <w:tcBorders>
              <w:top w:val="nil"/>
              <w:left w:val="nil"/>
              <w:bottom w:val="nil"/>
              <w:right w:val="nil"/>
            </w:tcBorders>
            <w:vAlign w:val="center"/>
          </w:tcPr>
          <w:p w14:paraId="2E57BED8" w14:textId="77777777" w:rsidR="00D955E0" w:rsidRPr="00E915AA" w:rsidRDefault="00D955E0" w:rsidP="001520C5">
            <w:pPr>
              <w:spacing w:after="120"/>
              <w:jc w:val="both"/>
            </w:pPr>
            <w:r w:rsidRPr="00E915AA">
              <w:t xml:space="preserve">The absolute value of abnormal cash flow from operations of firm </w:t>
            </w:r>
            <w:proofErr w:type="spellStart"/>
            <w:r w:rsidRPr="00E915AA">
              <w:t>i</w:t>
            </w:r>
            <w:proofErr w:type="spellEnd"/>
            <w:r w:rsidRPr="00E915AA">
              <w:t xml:space="preserve"> in year t-1</w:t>
            </w:r>
          </w:p>
        </w:tc>
      </w:tr>
      <w:tr w:rsidR="00D955E0" w:rsidRPr="00E915AA" w14:paraId="7490A043" w14:textId="77777777" w:rsidTr="009C015E">
        <w:trPr>
          <w:trHeight w:val="20"/>
        </w:trPr>
        <w:tc>
          <w:tcPr>
            <w:tcW w:w="2502" w:type="dxa"/>
            <w:tcBorders>
              <w:top w:val="nil"/>
              <w:left w:val="nil"/>
              <w:bottom w:val="nil"/>
              <w:right w:val="nil"/>
            </w:tcBorders>
            <w:vAlign w:val="center"/>
          </w:tcPr>
          <w:p w14:paraId="18DE5DF7" w14:textId="77777777" w:rsidR="00D955E0" w:rsidRPr="00E915AA" w:rsidRDefault="00D955E0" w:rsidP="001520C5">
            <w:pPr>
              <w:spacing w:after="120"/>
              <w:rPr>
                <w:i/>
                <w:iCs/>
              </w:rPr>
            </w:pPr>
            <w:proofErr w:type="spellStart"/>
            <w:r w:rsidRPr="00E915AA">
              <w:rPr>
                <w:rFonts w:eastAsia="Yu Mincho"/>
                <w:i/>
                <w:iCs/>
                <w:sz w:val="24"/>
                <w:szCs w:val="24"/>
              </w:rPr>
              <w:t>ADISEXP_abs</w:t>
            </w:r>
            <w:proofErr w:type="spellEnd"/>
          </w:p>
        </w:tc>
        <w:tc>
          <w:tcPr>
            <w:tcW w:w="6534" w:type="dxa"/>
            <w:tcBorders>
              <w:top w:val="nil"/>
              <w:left w:val="nil"/>
              <w:bottom w:val="nil"/>
              <w:right w:val="nil"/>
            </w:tcBorders>
            <w:vAlign w:val="center"/>
          </w:tcPr>
          <w:p w14:paraId="25C7944A" w14:textId="77777777" w:rsidR="00D955E0" w:rsidRPr="00E915AA" w:rsidRDefault="00D955E0" w:rsidP="001520C5">
            <w:pPr>
              <w:spacing w:after="120"/>
              <w:jc w:val="both"/>
            </w:pPr>
            <w:r w:rsidRPr="00E915AA">
              <w:t xml:space="preserve">The absolute value of abnormal discretionary expenses of firm </w:t>
            </w:r>
            <w:proofErr w:type="spellStart"/>
            <w:r w:rsidRPr="00E915AA">
              <w:t>i</w:t>
            </w:r>
            <w:proofErr w:type="spellEnd"/>
            <w:r w:rsidRPr="00E915AA">
              <w:t xml:space="preserve"> in year t-1</w:t>
            </w:r>
          </w:p>
        </w:tc>
      </w:tr>
      <w:tr w:rsidR="00D955E0" w:rsidRPr="00E915AA" w14:paraId="464DA3CE" w14:textId="77777777" w:rsidTr="009C015E">
        <w:trPr>
          <w:trHeight w:val="20"/>
        </w:trPr>
        <w:tc>
          <w:tcPr>
            <w:tcW w:w="2502" w:type="dxa"/>
            <w:tcBorders>
              <w:top w:val="nil"/>
              <w:left w:val="nil"/>
              <w:bottom w:val="nil"/>
              <w:right w:val="nil"/>
            </w:tcBorders>
            <w:vAlign w:val="center"/>
          </w:tcPr>
          <w:p w14:paraId="6B61322F" w14:textId="77777777" w:rsidR="00D955E0" w:rsidRPr="00E915AA" w:rsidRDefault="00D955E0" w:rsidP="001520C5">
            <w:pPr>
              <w:spacing w:after="120"/>
              <w:rPr>
                <w:i/>
                <w:iCs/>
              </w:rPr>
            </w:pPr>
            <w:r w:rsidRPr="00E915AA">
              <w:rPr>
                <w:rFonts w:eastAsia="Calibri"/>
                <w:i/>
                <w:iCs/>
              </w:rPr>
              <w:t>DACC_ACFO</w:t>
            </w:r>
          </w:p>
        </w:tc>
        <w:tc>
          <w:tcPr>
            <w:tcW w:w="6534" w:type="dxa"/>
            <w:tcBorders>
              <w:top w:val="nil"/>
              <w:left w:val="nil"/>
              <w:bottom w:val="nil"/>
              <w:right w:val="nil"/>
            </w:tcBorders>
            <w:vAlign w:val="center"/>
          </w:tcPr>
          <w:p w14:paraId="0ACF1B0E" w14:textId="77777777" w:rsidR="00D955E0" w:rsidRPr="00E915AA" w:rsidRDefault="00D955E0" w:rsidP="001520C5">
            <w:pPr>
              <w:spacing w:after="120"/>
              <w:jc w:val="both"/>
            </w:pPr>
            <w:r w:rsidRPr="00E915AA">
              <w:rPr>
                <w:rFonts w:eastAsia="Calibri"/>
              </w:rPr>
              <w:t xml:space="preserve">The sum of abnormal accruals and abnormal cash flows from operations of firm </w:t>
            </w:r>
            <w:proofErr w:type="spellStart"/>
            <w:r w:rsidRPr="00E915AA">
              <w:rPr>
                <w:rFonts w:eastAsia="Calibri"/>
              </w:rPr>
              <w:t>i</w:t>
            </w:r>
            <w:proofErr w:type="spellEnd"/>
            <w:r w:rsidRPr="00E915AA">
              <w:rPr>
                <w:rFonts w:eastAsia="Calibri"/>
              </w:rPr>
              <w:t xml:space="preserve"> in year t-1</w:t>
            </w:r>
          </w:p>
        </w:tc>
      </w:tr>
      <w:tr w:rsidR="00D955E0" w:rsidRPr="00E915AA" w14:paraId="39B43BB8" w14:textId="77777777" w:rsidTr="009C015E">
        <w:trPr>
          <w:trHeight w:val="20"/>
        </w:trPr>
        <w:tc>
          <w:tcPr>
            <w:tcW w:w="2502" w:type="dxa"/>
            <w:tcBorders>
              <w:top w:val="nil"/>
              <w:left w:val="nil"/>
              <w:bottom w:val="single" w:sz="4" w:space="0" w:color="auto"/>
              <w:right w:val="nil"/>
            </w:tcBorders>
            <w:vAlign w:val="center"/>
          </w:tcPr>
          <w:p w14:paraId="2B91E6C3" w14:textId="77777777" w:rsidR="00D955E0" w:rsidRPr="00E915AA" w:rsidRDefault="00D955E0" w:rsidP="001520C5">
            <w:pPr>
              <w:spacing w:after="120"/>
              <w:rPr>
                <w:i/>
                <w:iCs/>
              </w:rPr>
            </w:pPr>
            <w:r w:rsidRPr="00E915AA">
              <w:rPr>
                <w:rFonts w:eastAsia="Calibri"/>
                <w:i/>
                <w:iCs/>
              </w:rPr>
              <w:t>ADISEXP_ACFO</w:t>
            </w:r>
          </w:p>
        </w:tc>
        <w:tc>
          <w:tcPr>
            <w:tcW w:w="6534" w:type="dxa"/>
            <w:tcBorders>
              <w:top w:val="nil"/>
              <w:left w:val="nil"/>
              <w:bottom w:val="single" w:sz="4" w:space="0" w:color="auto"/>
              <w:right w:val="nil"/>
            </w:tcBorders>
            <w:vAlign w:val="center"/>
          </w:tcPr>
          <w:p w14:paraId="174E80E9" w14:textId="77777777" w:rsidR="00D955E0" w:rsidRPr="00E915AA" w:rsidRDefault="00D955E0" w:rsidP="001520C5">
            <w:pPr>
              <w:spacing w:after="120"/>
              <w:jc w:val="both"/>
            </w:pPr>
            <w:r w:rsidRPr="00E915AA">
              <w:rPr>
                <w:rFonts w:eastAsia="Calibri"/>
              </w:rPr>
              <w:t xml:space="preserve">The sum of abnormal discretionary expense and abnormal cash flows from operations of firm </w:t>
            </w:r>
            <w:proofErr w:type="spellStart"/>
            <w:r w:rsidRPr="00E915AA">
              <w:rPr>
                <w:rFonts w:eastAsia="Calibri"/>
              </w:rPr>
              <w:t>i</w:t>
            </w:r>
            <w:proofErr w:type="spellEnd"/>
            <w:r w:rsidRPr="00E915AA">
              <w:rPr>
                <w:rFonts w:eastAsia="Calibri"/>
              </w:rPr>
              <w:t xml:space="preserve"> in year t-1</w:t>
            </w:r>
          </w:p>
        </w:tc>
      </w:tr>
      <w:tr w:rsidR="00D955E0" w:rsidRPr="00E915AA" w14:paraId="59437906" w14:textId="77777777" w:rsidTr="00C543CC">
        <w:trPr>
          <w:trHeight w:val="20"/>
        </w:trPr>
        <w:tc>
          <w:tcPr>
            <w:tcW w:w="9036" w:type="dxa"/>
            <w:gridSpan w:val="2"/>
            <w:tcBorders>
              <w:top w:val="single" w:sz="4" w:space="0" w:color="auto"/>
              <w:left w:val="single" w:sz="4" w:space="0" w:color="FFFFFF"/>
              <w:bottom w:val="single" w:sz="4" w:space="0" w:color="FFFFFF"/>
              <w:right w:val="single" w:sz="4" w:space="0" w:color="FFFFFF"/>
            </w:tcBorders>
          </w:tcPr>
          <w:p w14:paraId="5263C9D9" w14:textId="77777777" w:rsidR="00D955E0" w:rsidRPr="00E915AA" w:rsidRDefault="00D955E0" w:rsidP="001520C5">
            <w:pPr>
              <w:spacing w:after="120"/>
            </w:pPr>
            <w:r w:rsidRPr="00E915AA">
              <w:rPr>
                <w:b/>
                <w:bCs/>
                <w:i/>
                <w:iCs/>
              </w:rPr>
              <w:t>Panel B. SEC review attributes</w:t>
            </w:r>
          </w:p>
        </w:tc>
      </w:tr>
      <w:tr w:rsidR="00D955E0" w:rsidRPr="00E915AA" w14:paraId="1D15D7C0"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0C86CA4D" w14:textId="77777777" w:rsidR="00D955E0" w:rsidRPr="00E915AA" w:rsidRDefault="00D955E0" w:rsidP="001520C5">
            <w:pPr>
              <w:spacing w:after="120"/>
              <w:rPr>
                <w:i/>
                <w:iCs/>
              </w:rPr>
            </w:pPr>
            <w:r w:rsidRPr="00E915AA">
              <w:rPr>
                <w:i/>
                <w:iCs/>
              </w:rPr>
              <w:t>Duration</w:t>
            </w:r>
          </w:p>
        </w:tc>
        <w:tc>
          <w:tcPr>
            <w:tcW w:w="6534" w:type="dxa"/>
            <w:tcBorders>
              <w:top w:val="single" w:sz="4" w:space="0" w:color="FFFFFF"/>
              <w:left w:val="single" w:sz="4" w:space="0" w:color="FFFFFF"/>
              <w:bottom w:val="single" w:sz="4" w:space="0" w:color="FFFFFF"/>
              <w:right w:val="single" w:sz="4" w:space="0" w:color="FFFFFF"/>
            </w:tcBorders>
          </w:tcPr>
          <w:p w14:paraId="2A0BADC3" w14:textId="77777777" w:rsidR="00D955E0" w:rsidRPr="00E915AA" w:rsidRDefault="00D955E0" w:rsidP="001520C5">
            <w:pPr>
              <w:autoSpaceDE w:val="0"/>
              <w:autoSpaceDN w:val="0"/>
              <w:adjustRightInd w:val="0"/>
              <w:spacing w:after="120"/>
            </w:pPr>
            <w:r w:rsidRPr="00E915AA">
              <w:t>The number of days from the filing date of the initial S-1 to the IPO effective date. (Source: Refinitiv Eikon)</w:t>
            </w:r>
          </w:p>
        </w:tc>
      </w:tr>
      <w:tr w:rsidR="00D955E0" w:rsidRPr="00E915AA" w14:paraId="02D97011"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6A02A648" w14:textId="77777777" w:rsidR="00D955E0" w:rsidRPr="00E915AA" w:rsidRDefault="00D955E0" w:rsidP="001520C5">
            <w:pPr>
              <w:spacing w:after="120"/>
              <w:rPr>
                <w:i/>
                <w:iCs/>
              </w:rPr>
            </w:pPr>
            <w:r w:rsidRPr="00E915AA">
              <w:rPr>
                <w:i/>
                <w:iCs/>
              </w:rPr>
              <w:t>#Letters</w:t>
            </w:r>
          </w:p>
        </w:tc>
        <w:tc>
          <w:tcPr>
            <w:tcW w:w="6534" w:type="dxa"/>
            <w:tcBorders>
              <w:top w:val="single" w:sz="4" w:space="0" w:color="FFFFFF"/>
              <w:left w:val="single" w:sz="4" w:space="0" w:color="FFFFFF"/>
              <w:bottom w:val="single" w:sz="4" w:space="0" w:color="FFFFFF"/>
              <w:right w:val="single" w:sz="4" w:space="0" w:color="FFFFFF"/>
            </w:tcBorders>
          </w:tcPr>
          <w:p w14:paraId="02B20794" w14:textId="77777777" w:rsidR="00D955E0" w:rsidRPr="00E915AA" w:rsidRDefault="00D955E0" w:rsidP="001520C5">
            <w:pPr>
              <w:autoSpaceDE w:val="0"/>
              <w:autoSpaceDN w:val="0"/>
              <w:adjustRightInd w:val="0"/>
              <w:spacing w:after="120"/>
            </w:pPr>
            <w:r w:rsidRPr="00E915AA">
              <w:t xml:space="preserve">The number of comment letters that the SEC issues for firm </w:t>
            </w:r>
            <w:proofErr w:type="spellStart"/>
            <w:r w:rsidRPr="00E915AA">
              <w:t>i</w:t>
            </w:r>
            <w:proofErr w:type="spellEnd"/>
            <w:r w:rsidRPr="00E915AA">
              <w:t xml:space="preserve"> during the IPO review process. (Source: EDGAR)</w:t>
            </w:r>
          </w:p>
        </w:tc>
      </w:tr>
      <w:tr w:rsidR="00D955E0" w:rsidRPr="00E915AA" w14:paraId="0BBD0D72"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6AACF19A" w14:textId="77777777" w:rsidR="00D955E0" w:rsidRPr="00E915AA" w:rsidRDefault="00D955E0" w:rsidP="001520C5">
            <w:pPr>
              <w:spacing w:after="120"/>
              <w:rPr>
                <w:i/>
                <w:iCs/>
              </w:rPr>
            </w:pPr>
            <w:r w:rsidRPr="00E915AA">
              <w:rPr>
                <w:i/>
                <w:iCs/>
              </w:rPr>
              <w:t>#Comments</w:t>
            </w:r>
          </w:p>
        </w:tc>
        <w:tc>
          <w:tcPr>
            <w:tcW w:w="6534" w:type="dxa"/>
            <w:tcBorders>
              <w:top w:val="single" w:sz="4" w:space="0" w:color="FFFFFF"/>
              <w:left w:val="single" w:sz="4" w:space="0" w:color="FFFFFF"/>
              <w:bottom w:val="single" w:sz="4" w:space="0" w:color="FFFFFF"/>
              <w:right w:val="single" w:sz="4" w:space="0" w:color="FFFFFF"/>
            </w:tcBorders>
          </w:tcPr>
          <w:p w14:paraId="07BD7EFB" w14:textId="77777777" w:rsidR="00D955E0" w:rsidRPr="00E915AA" w:rsidRDefault="00D955E0" w:rsidP="001520C5">
            <w:pPr>
              <w:autoSpaceDE w:val="0"/>
              <w:autoSpaceDN w:val="0"/>
              <w:adjustRightInd w:val="0"/>
              <w:spacing w:after="120"/>
            </w:pPr>
            <w:r w:rsidRPr="00E915AA">
              <w:t xml:space="preserve">The number of comments in the initial SEC comment letter for firm </w:t>
            </w:r>
            <w:proofErr w:type="spellStart"/>
            <w:r w:rsidRPr="00E915AA">
              <w:t>i</w:t>
            </w:r>
            <w:proofErr w:type="spellEnd"/>
            <w:r w:rsidRPr="00E915AA">
              <w:t xml:space="preserve"> during the IPO review process. If no SEC comment letters are issued, #</w:t>
            </w:r>
            <w:r w:rsidRPr="00E915AA">
              <w:rPr>
                <w:i/>
                <w:iCs/>
              </w:rPr>
              <w:t xml:space="preserve">Comments </w:t>
            </w:r>
            <w:r w:rsidRPr="00E915AA">
              <w:t>is set equal to 0. (Source: EDGAR)</w:t>
            </w:r>
          </w:p>
        </w:tc>
      </w:tr>
      <w:tr w:rsidR="00D955E0" w:rsidRPr="00E915AA" w14:paraId="4E332C1C"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6EB992F9" w14:textId="77777777" w:rsidR="00D955E0" w:rsidRPr="00E915AA" w:rsidRDefault="00D955E0" w:rsidP="001520C5">
            <w:pPr>
              <w:spacing w:after="120"/>
              <w:rPr>
                <w:i/>
                <w:iCs/>
              </w:rPr>
            </w:pPr>
            <w:r w:rsidRPr="00E915AA">
              <w:rPr>
                <w:i/>
                <w:iCs/>
              </w:rPr>
              <w:t>#Themes</w:t>
            </w:r>
          </w:p>
        </w:tc>
        <w:tc>
          <w:tcPr>
            <w:tcW w:w="6534" w:type="dxa"/>
            <w:tcBorders>
              <w:top w:val="single" w:sz="4" w:space="0" w:color="FFFFFF"/>
              <w:left w:val="single" w:sz="4" w:space="0" w:color="FFFFFF"/>
              <w:bottom w:val="single" w:sz="4" w:space="0" w:color="FFFFFF"/>
              <w:right w:val="single" w:sz="4" w:space="0" w:color="FFFFFF"/>
            </w:tcBorders>
          </w:tcPr>
          <w:p w14:paraId="60483C03" w14:textId="08C0278C" w:rsidR="00D955E0" w:rsidRPr="00E915AA" w:rsidRDefault="00D955E0" w:rsidP="001520C5">
            <w:pPr>
              <w:autoSpaceDE w:val="0"/>
              <w:autoSpaceDN w:val="0"/>
              <w:adjustRightInd w:val="0"/>
              <w:spacing w:after="120"/>
            </w:pPr>
            <w:r w:rsidRPr="00E915AA">
              <w:t xml:space="preserve">The number of different types of issues identified in the SEC’s initial comment letter for firm </w:t>
            </w:r>
            <w:proofErr w:type="spellStart"/>
            <w:r w:rsidRPr="00E915AA">
              <w:t>i</w:t>
            </w:r>
            <w:proofErr w:type="spellEnd"/>
            <w:r w:rsidRPr="00E915AA">
              <w:t xml:space="preserve"> during the IPO review process. Individual themes are identified using the coding scheme and process described in section 4.2. If no SEC comment letters are issued, </w:t>
            </w:r>
            <w:r w:rsidRPr="00E915AA">
              <w:rPr>
                <w:i/>
                <w:iCs/>
              </w:rPr>
              <w:t xml:space="preserve">#Themes </w:t>
            </w:r>
            <w:r w:rsidRPr="00E915AA">
              <w:t xml:space="preserve">is set equal to 0. (Source: </w:t>
            </w:r>
            <w:r w:rsidR="009C015E" w:rsidRPr="00E915AA">
              <w:t>self-conducted coding</w:t>
            </w:r>
            <w:r w:rsidRPr="00E915AA">
              <w:t>)</w:t>
            </w:r>
          </w:p>
        </w:tc>
      </w:tr>
      <w:tr w:rsidR="009C015E" w:rsidRPr="00E915AA" w14:paraId="40EC882A" w14:textId="77777777" w:rsidTr="00E915AA">
        <w:trPr>
          <w:trHeight w:val="20"/>
        </w:trPr>
        <w:tc>
          <w:tcPr>
            <w:tcW w:w="2502" w:type="dxa"/>
            <w:tcBorders>
              <w:top w:val="single" w:sz="4" w:space="0" w:color="FFFFFF"/>
              <w:left w:val="single" w:sz="4" w:space="0" w:color="FFFFFF"/>
              <w:bottom w:val="single" w:sz="4" w:space="0" w:color="FFFFFF"/>
              <w:right w:val="single" w:sz="4" w:space="0" w:color="FFFFFF"/>
            </w:tcBorders>
            <w:vAlign w:val="center"/>
          </w:tcPr>
          <w:p w14:paraId="20ACC1BD" w14:textId="326B0171" w:rsidR="009C015E" w:rsidRPr="00E915AA" w:rsidRDefault="009C015E" w:rsidP="009C015E">
            <w:pPr>
              <w:spacing w:after="120"/>
              <w:rPr>
                <w:i/>
                <w:iCs/>
              </w:rPr>
            </w:pPr>
            <w:r w:rsidRPr="00E915AA">
              <w:rPr>
                <w:lang w:eastAsia="en-US"/>
              </w:rPr>
              <w:t>#</w:t>
            </w:r>
            <w:r w:rsidRPr="00E915AA">
              <w:rPr>
                <w:i/>
                <w:iCs/>
                <w:lang w:eastAsia="en-US"/>
              </w:rPr>
              <w:t>Core-accounting issues</w:t>
            </w:r>
          </w:p>
        </w:tc>
        <w:tc>
          <w:tcPr>
            <w:tcW w:w="6534" w:type="dxa"/>
            <w:tcBorders>
              <w:top w:val="single" w:sz="4" w:space="0" w:color="FFFFFF"/>
              <w:left w:val="single" w:sz="4" w:space="0" w:color="FFFFFF"/>
              <w:bottom w:val="single" w:sz="4" w:space="0" w:color="FFFFFF"/>
              <w:right w:val="single" w:sz="4" w:space="0" w:color="FFFFFF"/>
            </w:tcBorders>
            <w:vAlign w:val="center"/>
          </w:tcPr>
          <w:p w14:paraId="1E9122B0" w14:textId="4E231C00" w:rsidR="009C015E" w:rsidRPr="00E915AA" w:rsidRDefault="009C015E" w:rsidP="009C015E">
            <w:pPr>
              <w:autoSpaceDE w:val="0"/>
              <w:autoSpaceDN w:val="0"/>
              <w:adjustRightInd w:val="0"/>
              <w:spacing w:after="120"/>
            </w:pPr>
            <w:r w:rsidRPr="00E915AA">
              <w:rPr>
                <w:lang w:eastAsia="en-US"/>
              </w:rPr>
              <w:t xml:space="preserve">The number of comments mentioned in initial SEC comment letters about core-accounting issues in initial S-1 filings prepared by firm </w:t>
            </w:r>
            <w:proofErr w:type="spellStart"/>
            <w:r w:rsidRPr="00E915AA">
              <w:rPr>
                <w:lang w:eastAsia="en-US"/>
              </w:rPr>
              <w:t>i</w:t>
            </w:r>
            <w:proofErr w:type="spellEnd"/>
            <w:r w:rsidRPr="00E915AA">
              <w:rPr>
                <w:lang w:eastAsia="en-US"/>
              </w:rPr>
              <w:t>. If IPO issuers do not receive initial SEC comment letter, #</w:t>
            </w:r>
            <w:r w:rsidRPr="00E915AA">
              <w:rPr>
                <w:i/>
                <w:lang w:eastAsia="en-US"/>
              </w:rPr>
              <w:t xml:space="preserve">Core-accounting issues </w:t>
            </w:r>
            <w:r w:rsidRPr="00E915AA">
              <w:rPr>
                <w:lang w:eastAsia="en-US"/>
              </w:rPr>
              <w:t>equal to 0. (Source: self-conducted coding)</w:t>
            </w:r>
          </w:p>
        </w:tc>
      </w:tr>
      <w:tr w:rsidR="009C015E" w:rsidRPr="00E915AA" w14:paraId="54FEA656" w14:textId="77777777" w:rsidTr="00E915AA">
        <w:trPr>
          <w:trHeight w:val="20"/>
        </w:trPr>
        <w:tc>
          <w:tcPr>
            <w:tcW w:w="2502" w:type="dxa"/>
            <w:tcBorders>
              <w:top w:val="single" w:sz="4" w:space="0" w:color="FFFFFF"/>
              <w:left w:val="single" w:sz="4" w:space="0" w:color="FFFFFF"/>
              <w:bottom w:val="single" w:sz="4" w:space="0" w:color="FFFFFF"/>
              <w:right w:val="single" w:sz="4" w:space="0" w:color="FFFFFF"/>
            </w:tcBorders>
            <w:vAlign w:val="center"/>
          </w:tcPr>
          <w:p w14:paraId="192EDFEA" w14:textId="33F5FE92" w:rsidR="009C015E" w:rsidRPr="00E915AA" w:rsidRDefault="009C015E" w:rsidP="009C015E">
            <w:pPr>
              <w:spacing w:after="120"/>
              <w:rPr>
                <w:i/>
                <w:iCs/>
              </w:rPr>
            </w:pPr>
            <w:r w:rsidRPr="00E915AA">
              <w:rPr>
                <w:i/>
                <w:iCs/>
                <w:lang w:eastAsia="en-US"/>
              </w:rPr>
              <w:t>#Non-core accounting issues</w:t>
            </w:r>
          </w:p>
        </w:tc>
        <w:tc>
          <w:tcPr>
            <w:tcW w:w="6534" w:type="dxa"/>
            <w:tcBorders>
              <w:top w:val="single" w:sz="4" w:space="0" w:color="FFFFFF"/>
              <w:left w:val="single" w:sz="4" w:space="0" w:color="FFFFFF"/>
              <w:bottom w:val="single" w:sz="4" w:space="0" w:color="FFFFFF"/>
              <w:right w:val="single" w:sz="4" w:space="0" w:color="FFFFFF"/>
            </w:tcBorders>
            <w:vAlign w:val="center"/>
          </w:tcPr>
          <w:p w14:paraId="3650CE14" w14:textId="02F3FD17" w:rsidR="009C015E" w:rsidRPr="00E915AA" w:rsidRDefault="009C015E" w:rsidP="009C015E">
            <w:pPr>
              <w:autoSpaceDE w:val="0"/>
              <w:autoSpaceDN w:val="0"/>
              <w:adjustRightInd w:val="0"/>
              <w:spacing w:after="120"/>
            </w:pPr>
            <w:r w:rsidRPr="00E915AA">
              <w:rPr>
                <w:lang w:eastAsia="en-US"/>
              </w:rPr>
              <w:t xml:space="preserve">The number of comments mentioned in initial SEC comment letters about non-core-accounting issues in initial S-1 filings prepared by firm </w:t>
            </w:r>
            <w:proofErr w:type="spellStart"/>
            <w:r w:rsidRPr="00E915AA">
              <w:rPr>
                <w:lang w:eastAsia="en-US"/>
              </w:rPr>
              <w:t>i</w:t>
            </w:r>
            <w:proofErr w:type="spellEnd"/>
            <w:r w:rsidRPr="00E915AA">
              <w:rPr>
                <w:lang w:eastAsia="en-US"/>
              </w:rPr>
              <w:t xml:space="preserve">. If IPO issuers do not receive initial SEC comment letter, </w:t>
            </w:r>
            <w:r w:rsidR="005D3229" w:rsidRPr="00E915AA">
              <w:rPr>
                <w:i/>
                <w:iCs/>
                <w:lang w:eastAsia="en-US"/>
              </w:rPr>
              <w:t>None-core-a</w:t>
            </w:r>
            <w:r w:rsidRPr="00E915AA">
              <w:rPr>
                <w:i/>
                <w:lang w:eastAsia="en-US"/>
              </w:rPr>
              <w:t xml:space="preserve">ccounting issues </w:t>
            </w:r>
            <w:r w:rsidRPr="00E915AA">
              <w:rPr>
                <w:lang w:eastAsia="en-US"/>
              </w:rPr>
              <w:t>equal to 0. (Source: self-conducted coding)</w:t>
            </w:r>
          </w:p>
        </w:tc>
      </w:tr>
      <w:tr w:rsidR="009C015E" w:rsidRPr="00E915AA" w14:paraId="7B56B9BF" w14:textId="77777777" w:rsidTr="001520C5">
        <w:trPr>
          <w:trHeight w:val="20"/>
        </w:trPr>
        <w:tc>
          <w:tcPr>
            <w:tcW w:w="9036" w:type="dxa"/>
            <w:gridSpan w:val="2"/>
            <w:tcBorders>
              <w:left w:val="single" w:sz="4" w:space="0" w:color="FFFFFF"/>
              <w:bottom w:val="single" w:sz="4" w:space="0" w:color="FFFFFF"/>
              <w:right w:val="single" w:sz="4" w:space="0" w:color="FFFFFF"/>
            </w:tcBorders>
          </w:tcPr>
          <w:p w14:paraId="1C301307" w14:textId="3824F93D" w:rsidR="009C015E" w:rsidRPr="00E915AA" w:rsidRDefault="009C015E" w:rsidP="009C015E">
            <w:pPr>
              <w:autoSpaceDE w:val="0"/>
              <w:autoSpaceDN w:val="0"/>
              <w:adjustRightInd w:val="0"/>
              <w:spacing w:after="120"/>
            </w:pPr>
            <w:r w:rsidRPr="00E915AA">
              <w:rPr>
                <w:b/>
                <w:bCs/>
                <w:i/>
                <w:iCs/>
              </w:rPr>
              <w:t xml:space="preserve">Panel </w:t>
            </w:r>
            <w:r w:rsidR="00C709C8" w:rsidRPr="00E915AA">
              <w:rPr>
                <w:b/>
                <w:bCs/>
                <w:i/>
                <w:iCs/>
              </w:rPr>
              <w:t>C</w:t>
            </w:r>
            <w:r w:rsidRPr="00E915AA">
              <w:rPr>
                <w:b/>
                <w:bCs/>
                <w:i/>
                <w:iCs/>
              </w:rPr>
              <w:t>. JOBS Act</w:t>
            </w:r>
          </w:p>
        </w:tc>
      </w:tr>
      <w:tr w:rsidR="009C015E" w:rsidRPr="00E915AA" w14:paraId="0EFFB965" w14:textId="77777777" w:rsidTr="009C015E">
        <w:trPr>
          <w:trHeight w:val="20"/>
        </w:trPr>
        <w:tc>
          <w:tcPr>
            <w:tcW w:w="2502" w:type="dxa"/>
            <w:tcBorders>
              <w:top w:val="single" w:sz="4" w:space="0" w:color="FFFFFF"/>
              <w:left w:val="single" w:sz="4" w:space="0" w:color="FFFFFF"/>
              <w:right w:val="single" w:sz="4" w:space="0" w:color="FFFFFF"/>
            </w:tcBorders>
          </w:tcPr>
          <w:p w14:paraId="4920DC28" w14:textId="77777777" w:rsidR="009C015E" w:rsidRPr="00E915AA" w:rsidRDefault="009C015E" w:rsidP="009C015E">
            <w:pPr>
              <w:spacing w:after="120"/>
              <w:rPr>
                <w:i/>
                <w:iCs/>
              </w:rPr>
            </w:pPr>
            <w:r w:rsidRPr="00E915AA">
              <w:rPr>
                <w:i/>
                <w:iCs/>
              </w:rPr>
              <w:lastRenderedPageBreak/>
              <w:t>JOBS Act</w:t>
            </w:r>
          </w:p>
        </w:tc>
        <w:tc>
          <w:tcPr>
            <w:tcW w:w="6534" w:type="dxa"/>
            <w:tcBorders>
              <w:top w:val="single" w:sz="4" w:space="0" w:color="FFFFFF"/>
              <w:left w:val="single" w:sz="4" w:space="0" w:color="FFFFFF"/>
              <w:right w:val="single" w:sz="4" w:space="0" w:color="FFFFFF"/>
            </w:tcBorders>
          </w:tcPr>
          <w:p w14:paraId="0CAAC978" w14:textId="77777777" w:rsidR="009C015E" w:rsidRPr="00E915AA" w:rsidRDefault="009C015E" w:rsidP="009C015E">
            <w:pPr>
              <w:autoSpaceDE w:val="0"/>
              <w:autoSpaceDN w:val="0"/>
              <w:adjustRightInd w:val="0"/>
              <w:spacing w:after="120"/>
            </w:pPr>
            <w:r w:rsidRPr="00E915AA">
              <w:t xml:space="preserve">An indicator variable equals to 1 if filing </w:t>
            </w:r>
            <w:proofErr w:type="gramStart"/>
            <w:r w:rsidRPr="00E915AA">
              <w:t>year  of</w:t>
            </w:r>
            <w:proofErr w:type="gramEnd"/>
            <w:r w:rsidRPr="00E915AA">
              <w:t xml:space="preserve"> firm i’s S-1 is from 2012, when the JOBS Act was enacted, to 2017, and 0 otherwise (Source: Thomson Reuters Eikon)</w:t>
            </w:r>
          </w:p>
        </w:tc>
      </w:tr>
      <w:tr w:rsidR="009C015E" w:rsidRPr="00E915AA" w14:paraId="2D7F973F" w14:textId="77777777" w:rsidTr="001520C5">
        <w:trPr>
          <w:trHeight w:val="20"/>
        </w:trPr>
        <w:tc>
          <w:tcPr>
            <w:tcW w:w="9036" w:type="dxa"/>
            <w:gridSpan w:val="2"/>
            <w:tcBorders>
              <w:left w:val="single" w:sz="4" w:space="0" w:color="FFFFFF"/>
              <w:bottom w:val="single" w:sz="4" w:space="0" w:color="FFFFFF"/>
              <w:right w:val="single" w:sz="4" w:space="0" w:color="FFFFFF"/>
            </w:tcBorders>
          </w:tcPr>
          <w:p w14:paraId="0377FF08" w14:textId="5A89DBFA" w:rsidR="009C015E" w:rsidRPr="00E915AA" w:rsidRDefault="009C015E" w:rsidP="009C015E">
            <w:pPr>
              <w:autoSpaceDE w:val="0"/>
              <w:autoSpaceDN w:val="0"/>
              <w:adjustRightInd w:val="0"/>
              <w:spacing w:after="120"/>
            </w:pPr>
            <w:r w:rsidRPr="00E915AA">
              <w:rPr>
                <w:b/>
                <w:bCs/>
                <w:i/>
                <w:iCs/>
              </w:rPr>
              <w:t xml:space="preserve">Panel </w:t>
            </w:r>
            <w:r w:rsidR="00C709C8" w:rsidRPr="00E915AA">
              <w:rPr>
                <w:b/>
                <w:bCs/>
                <w:i/>
                <w:iCs/>
              </w:rPr>
              <w:t>D</w:t>
            </w:r>
            <w:r w:rsidRPr="00E915AA">
              <w:rPr>
                <w:b/>
                <w:bCs/>
                <w:i/>
                <w:iCs/>
              </w:rPr>
              <w:t>. Control variables</w:t>
            </w:r>
          </w:p>
        </w:tc>
      </w:tr>
      <w:tr w:rsidR="009C015E" w:rsidRPr="00E915AA" w14:paraId="12EB7007"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12DA0E5A" w14:textId="77777777" w:rsidR="009C015E" w:rsidRPr="00E915AA" w:rsidRDefault="009C015E" w:rsidP="009C015E">
            <w:pPr>
              <w:spacing w:after="120"/>
              <w:rPr>
                <w:i/>
                <w:iCs/>
              </w:rPr>
            </w:pPr>
            <w:r w:rsidRPr="00E915AA">
              <w:rPr>
                <w:i/>
                <w:iCs/>
              </w:rPr>
              <w:t>Size</w:t>
            </w:r>
          </w:p>
        </w:tc>
        <w:tc>
          <w:tcPr>
            <w:tcW w:w="6534" w:type="dxa"/>
            <w:tcBorders>
              <w:top w:val="single" w:sz="4" w:space="0" w:color="FFFFFF"/>
              <w:left w:val="single" w:sz="4" w:space="0" w:color="FFFFFF"/>
              <w:bottom w:val="single" w:sz="4" w:space="0" w:color="FFFFFF"/>
              <w:right w:val="single" w:sz="4" w:space="0" w:color="FFFFFF"/>
            </w:tcBorders>
          </w:tcPr>
          <w:p w14:paraId="52654A97" w14:textId="77777777" w:rsidR="009C015E" w:rsidRPr="00E915AA" w:rsidRDefault="009C015E" w:rsidP="009C015E">
            <w:pPr>
              <w:autoSpaceDE w:val="0"/>
              <w:autoSpaceDN w:val="0"/>
              <w:adjustRightInd w:val="0"/>
              <w:spacing w:after="120"/>
            </w:pPr>
            <w:r w:rsidRPr="00E915AA">
              <w:t xml:space="preserve">Firm size, the natural logarithm of total assets of firm </w:t>
            </w:r>
            <w:proofErr w:type="spellStart"/>
            <w:r w:rsidRPr="00E915AA">
              <w:t>i</w:t>
            </w:r>
            <w:proofErr w:type="spellEnd"/>
            <w:r w:rsidRPr="00E915AA">
              <w:t xml:space="preserve"> in year t-1. (Source: </w:t>
            </w:r>
            <w:proofErr w:type="spellStart"/>
            <w:r w:rsidRPr="00E915AA">
              <w:t>Compustat</w:t>
            </w:r>
            <w:proofErr w:type="spellEnd"/>
            <w:r w:rsidRPr="00E915AA">
              <w:t>)</w:t>
            </w:r>
          </w:p>
        </w:tc>
      </w:tr>
      <w:tr w:rsidR="009C015E" w:rsidRPr="00E915AA" w14:paraId="26CFEF78"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6D3588F8" w14:textId="77777777" w:rsidR="009C015E" w:rsidRPr="00E915AA" w:rsidRDefault="009C015E" w:rsidP="009C015E">
            <w:pPr>
              <w:spacing w:after="120"/>
              <w:rPr>
                <w:i/>
                <w:iCs/>
              </w:rPr>
            </w:pPr>
            <w:r w:rsidRPr="00E915AA">
              <w:rPr>
                <w:i/>
                <w:iCs/>
              </w:rPr>
              <w:t>Leverage</w:t>
            </w:r>
          </w:p>
        </w:tc>
        <w:tc>
          <w:tcPr>
            <w:tcW w:w="6534" w:type="dxa"/>
            <w:tcBorders>
              <w:top w:val="single" w:sz="4" w:space="0" w:color="FFFFFF"/>
              <w:left w:val="single" w:sz="4" w:space="0" w:color="FFFFFF"/>
              <w:bottom w:val="single" w:sz="4" w:space="0" w:color="FFFFFF"/>
              <w:right w:val="single" w:sz="4" w:space="0" w:color="FFFFFF"/>
            </w:tcBorders>
          </w:tcPr>
          <w:p w14:paraId="39D4766C" w14:textId="77777777" w:rsidR="009C015E" w:rsidRPr="00E915AA" w:rsidRDefault="009C015E" w:rsidP="009C015E">
            <w:pPr>
              <w:autoSpaceDE w:val="0"/>
              <w:autoSpaceDN w:val="0"/>
              <w:adjustRightInd w:val="0"/>
              <w:spacing w:after="120"/>
            </w:pPr>
            <w:r w:rsidRPr="00E915AA">
              <w:t xml:space="preserve">Leverage ratio of firm </w:t>
            </w:r>
            <w:proofErr w:type="spellStart"/>
            <w:r w:rsidRPr="00E915AA">
              <w:t>i</w:t>
            </w:r>
            <w:proofErr w:type="spellEnd"/>
            <w:r w:rsidRPr="00E915AA">
              <w:t xml:space="preserve"> in year t-1, calculated as total liabilities divided by total equity. (Source: </w:t>
            </w:r>
            <w:proofErr w:type="spellStart"/>
            <w:r w:rsidRPr="00E915AA">
              <w:t>Compustat</w:t>
            </w:r>
            <w:proofErr w:type="spellEnd"/>
            <w:r w:rsidRPr="00E915AA">
              <w:t>)</w:t>
            </w:r>
          </w:p>
        </w:tc>
      </w:tr>
      <w:tr w:rsidR="009C015E" w:rsidRPr="00E915AA" w14:paraId="4ECFADAE"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12228718" w14:textId="77777777" w:rsidR="009C015E" w:rsidRPr="00E915AA" w:rsidRDefault="009C015E" w:rsidP="009C015E">
            <w:pPr>
              <w:spacing w:after="120"/>
              <w:rPr>
                <w:i/>
                <w:iCs/>
              </w:rPr>
            </w:pPr>
            <w:r w:rsidRPr="00E915AA">
              <w:rPr>
                <w:i/>
                <w:iCs/>
              </w:rPr>
              <w:t>Firm age</w:t>
            </w:r>
          </w:p>
        </w:tc>
        <w:tc>
          <w:tcPr>
            <w:tcW w:w="6534" w:type="dxa"/>
            <w:tcBorders>
              <w:top w:val="single" w:sz="4" w:space="0" w:color="FFFFFF"/>
              <w:left w:val="single" w:sz="4" w:space="0" w:color="FFFFFF"/>
              <w:bottom w:val="single" w:sz="4" w:space="0" w:color="FFFFFF"/>
              <w:right w:val="single" w:sz="4" w:space="0" w:color="FFFFFF"/>
            </w:tcBorders>
          </w:tcPr>
          <w:p w14:paraId="51A5558C" w14:textId="77777777" w:rsidR="009C015E" w:rsidRPr="00E915AA" w:rsidRDefault="009C015E" w:rsidP="009C015E">
            <w:pPr>
              <w:autoSpaceDE w:val="0"/>
              <w:autoSpaceDN w:val="0"/>
              <w:adjustRightInd w:val="0"/>
              <w:spacing w:after="120"/>
            </w:pPr>
            <w:r w:rsidRPr="00E915AA">
              <w:t xml:space="preserve">Firm age as at year t-1, calculated as the number of years since firm </w:t>
            </w:r>
            <w:proofErr w:type="spellStart"/>
            <w:r w:rsidRPr="00E915AA">
              <w:t>i</w:t>
            </w:r>
            <w:proofErr w:type="spellEnd"/>
            <w:r w:rsidRPr="00E915AA">
              <w:t xml:space="preserve">’ founding date provided by Jay Ritter’s </w:t>
            </w:r>
            <w:proofErr w:type="gramStart"/>
            <w:r w:rsidRPr="00E915AA">
              <w:t>website .</w:t>
            </w:r>
            <w:proofErr w:type="gramEnd"/>
            <w:r w:rsidRPr="00E915AA">
              <w:t>(Source: Jay Ritter’s website)</w:t>
            </w:r>
          </w:p>
        </w:tc>
      </w:tr>
      <w:tr w:rsidR="009C015E" w:rsidRPr="00E915AA" w14:paraId="6BD31A66"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1046D38A" w14:textId="77777777" w:rsidR="009C015E" w:rsidRPr="00E915AA" w:rsidRDefault="009C015E" w:rsidP="009C015E">
            <w:pPr>
              <w:spacing w:after="120"/>
              <w:rPr>
                <w:i/>
                <w:iCs/>
              </w:rPr>
            </w:pPr>
            <w:r w:rsidRPr="00E915AA">
              <w:rPr>
                <w:i/>
                <w:iCs/>
              </w:rPr>
              <w:t>Segments</w:t>
            </w:r>
          </w:p>
        </w:tc>
        <w:tc>
          <w:tcPr>
            <w:tcW w:w="6534" w:type="dxa"/>
            <w:tcBorders>
              <w:top w:val="single" w:sz="4" w:space="0" w:color="FFFFFF"/>
              <w:left w:val="single" w:sz="4" w:space="0" w:color="FFFFFF"/>
              <w:bottom w:val="single" w:sz="4" w:space="0" w:color="FFFFFF"/>
              <w:right w:val="single" w:sz="4" w:space="0" w:color="FFFFFF"/>
            </w:tcBorders>
          </w:tcPr>
          <w:p w14:paraId="082E1B1F" w14:textId="77777777" w:rsidR="009C015E" w:rsidRPr="00E915AA" w:rsidRDefault="009C015E" w:rsidP="009C015E">
            <w:pPr>
              <w:autoSpaceDE w:val="0"/>
              <w:autoSpaceDN w:val="0"/>
              <w:adjustRightInd w:val="0"/>
              <w:spacing w:after="120"/>
            </w:pPr>
            <w:r w:rsidRPr="00E915AA">
              <w:t xml:space="preserve">The number of unique segment industry codes for firm </w:t>
            </w:r>
            <w:proofErr w:type="spellStart"/>
            <w:r w:rsidRPr="00E915AA">
              <w:t>i</w:t>
            </w:r>
            <w:proofErr w:type="spellEnd"/>
            <w:r w:rsidRPr="00E915AA">
              <w:t xml:space="preserve"> in year t-1 (</w:t>
            </w:r>
            <w:proofErr w:type="spellStart"/>
            <w:r w:rsidRPr="00E915AA">
              <w:t>Duro</w:t>
            </w:r>
            <w:proofErr w:type="spellEnd"/>
            <w:r w:rsidRPr="00E915AA">
              <w:t xml:space="preserve"> et al., 2017). (Source: </w:t>
            </w:r>
            <w:proofErr w:type="spellStart"/>
            <w:r w:rsidRPr="00E915AA">
              <w:t>Compustat</w:t>
            </w:r>
            <w:proofErr w:type="spellEnd"/>
            <w:r w:rsidRPr="00E915AA">
              <w:t>)</w:t>
            </w:r>
          </w:p>
        </w:tc>
      </w:tr>
      <w:tr w:rsidR="009C015E" w:rsidRPr="00E915AA" w14:paraId="3A0FE633"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1CA8A65B" w14:textId="77777777" w:rsidR="009C015E" w:rsidRPr="00E915AA" w:rsidRDefault="009C015E" w:rsidP="009C015E">
            <w:pPr>
              <w:spacing w:after="120"/>
              <w:rPr>
                <w:i/>
                <w:iCs/>
              </w:rPr>
            </w:pPr>
            <w:proofErr w:type="spellStart"/>
            <w:r w:rsidRPr="00E915AA">
              <w:rPr>
                <w:i/>
                <w:iCs/>
              </w:rPr>
              <w:t>Zscore</w:t>
            </w:r>
            <w:proofErr w:type="spellEnd"/>
          </w:p>
        </w:tc>
        <w:tc>
          <w:tcPr>
            <w:tcW w:w="6534" w:type="dxa"/>
            <w:tcBorders>
              <w:top w:val="single" w:sz="4" w:space="0" w:color="FFFFFF"/>
              <w:left w:val="single" w:sz="4" w:space="0" w:color="FFFFFF"/>
              <w:bottom w:val="single" w:sz="4" w:space="0" w:color="FFFFFF"/>
              <w:right w:val="single" w:sz="4" w:space="0" w:color="FFFFFF"/>
            </w:tcBorders>
          </w:tcPr>
          <w:p w14:paraId="0D02A8BC" w14:textId="77777777" w:rsidR="009C015E" w:rsidRPr="00E915AA" w:rsidRDefault="009C015E" w:rsidP="009C015E">
            <w:pPr>
              <w:autoSpaceDE w:val="0"/>
              <w:autoSpaceDN w:val="0"/>
              <w:adjustRightInd w:val="0"/>
              <w:spacing w:after="120"/>
            </w:pPr>
            <w:proofErr w:type="spellStart"/>
            <w:r w:rsidRPr="00E915AA">
              <w:t>Zscore</w:t>
            </w:r>
            <w:proofErr w:type="spellEnd"/>
            <w:r w:rsidRPr="00E915AA">
              <w:t xml:space="preserve"> of firm </w:t>
            </w:r>
            <w:proofErr w:type="spellStart"/>
            <w:r w:rsidRPr="00E915AA">
              <w:t>i</w:t>
            </w:r>
            <w:proofErr w:type="spellEnd"/>
            <w:r w:rsidRPr="00E915AA">
              <w:t xml:space="preserve">, equal to 3.25 + 6.56*[net working capital/total assets] + 3.26*[retained earnings/total assets] + 6.72*[earnings before interest and taxes/total assets] + 1.05*[book value of equity/book value of liabilities] in year t-1 (Altman, 2013). (Source: </w:t>
            </w:r>
            <w:proofErr w:type="spellStart"/>
            <w:r w:rsidRPr="00E915AA">
              <w:t>Compustat</w:t>
            </w:r>
            <w:proofErr w:type="spellEnd"/>
            <w:r w:rsidRPr="00E915AA">
              <w:t>).</w:t>
            </w:r>
          </w:p>
        </w:tc>
      </w:tr>
      <w:tr w:rsidR="009C015E" w:rsidRPr="00E915AA" w14:paraId="707EDE35"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0EFF0B52" w14:textId="525C281B" w:rsidR="009C015E" w:rsidRPr="00E915AA" w:rsidRDefault="009C015E" w:rsidP="009C015E">
            <w:pPr>
              <w:spacing w:after="120"/>
              <w:rPr>
                <w:i/>
                <w:iCs/>
              </w:rPr>
            </w:pPr>
            <w:r w:rsidRPr="00E915AA">
              <w:rPr>
                <w:i/>
                <w:iCs/>
              </w:rPr>
              <w:t>Big4</w:t>
            </w:r>
          </w:p>
        </w:tc>
        <w:tc>
          <w:tcPr>
            <w:tcW w:w="6534" w:type="dxa"/>
            <w:tcBorders>
              <w:top w:val="single" w:sz="4" w:space="0" w:color="FFFFFF"/>
              <w:left w:val="single" w:sz="4" w:space="0" w:color="FFFFFF"/>
              <w:bottom w:val="single" w:sz="4" w:space="0" w:color="FFFFFF"/>
              <w:right w:val="single" w:sz="4" w:space="0" w:color="FFFFFF"/>
            </w:tcBorders>
          </w:tcPr>
          <w:p w14:paraId="696205A1" w14:textId="77777777" w:rsidR="009C015E" w:rsidRPr="00E915AA" w:rsidRDefault="009C015E" w:rsidP="009C015E">
            <w:pPr>
              <w:autoSpaceDE w:val="0"/>
              <w:autoSpaceDN w:val="0"/>
              <w:adjustRightInd w:val="0"/>
              <w:spacing w:after="120"/>
            </w:pPr>
            <w:r w:rsidRPr="00E915AA">
              <w:t xml:space="preserve">An indicator variable equals to 1 if firm </w:t>
            </w:r>
            <w:proofErr w:type="spellStart"/>
            <w:r w:rsidRPr="00E915AA">
              <w:t>i</w:t>
            </w:r>
            <w:proofErr w:type="spellEnd"/>
            <w:r w:rsidRPr="00E915AA">
              <w:t xml:space="preserve"> is audited by one of the big four audit firms (EY, Deloitte, KPMG, PwC) in year t-1, and 0 Otherwise. (Source: </w:t>
            </w:r>
            <w:proofErr w:type="spellStart"/>
            <w:r w:rsidRPr="00E915AA">
              <w:t>Compustat</w:t>
            </w:r>
            <w:proofErr w:type="spellEnd"/>
            <w:r w:rsidRPr="00E915AA">
              <w:t>)</w:t>
            </w:r>
          </w:p>
        </w:tc>
      </w:tr>
      <w:tr w:rsidR="009C015E" w:rsidRPr="00E915AA" w14:paraId="5CE18714"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4E1F8699" w14:textId="77777777" w:rsidR="009C015E" w:rsidRPr="00E915AA" w:rsidRDefault="009C015E" w:rsidP="009C015E">
            <w:pPr>
              <w:spacing w:after="120"/>
              <w:rPr>
                <w:i/>
                <w:iCs/>
              </w:rPr>
            </w:pPr>
            <w:r w:rsidRPr="00E915AA">
              <w:rPr>
                <w:i/>
                <w:iCs/>
              </w:rPr>
              <w:t>Restructuring</w:t>
            </w:r>
          </w:p>
        </w:tc>
        <w:tc>
          <w:tcPr>
            <w:tcW w:w="6534" w:type="dxa"/>
            <w:tcBorders>
              <w:top w:val="single" w:sz="4" w:space="0" w:color="FFFFFF"/>
              <w:left w:val="single" w:sz="4" w:space="0" w:color="FFFFFF"/>
              <w:bottom w:val="single" w:sz="4" w:space="0" w:color="FFFFFF"/>
              <w:right w:val="single" w:sz="4" w:space="0" w:color="FFFFFF"/>
            </w:tcBorders>
          </w:tcPr>
          <w:p w14:paraId="2A7B726D" w14:textId="77777777" w:rsidR="009C015E" w:rsidRPr="00E915AA" w:rsidRDefault="009C015E" w:rsidP="009C015E">
            <w:pPr>
              <w:autoSpaceDE w:val="0"/>
              <w:autoSpaceDN w:val="0"/>
              <w:adjustRightInd w:val="0"/>
              <w:spacing w:after="120"/>
            </w:pPr>
            <w:r w:rsidRPr="00E915AA">
              <w:t xml:space="preserve">An indicator variable equal to 1 if firm </w:t>
            </w:r>
            <w:proofErr w:type="spellStart"/>
            <w:r w:rsidRPr="00E915AA">
              <w:t>i</w:t>
            </w:r>
            <w:proofErr w:type="spellEnd"/>
            <w:r w:rsidRPr="00E915AA">
              <w:t xml:space="preserve"> has non-zero restructuring cost on a pre-tax basis in year t-1, and 0 otherwise (Cassell et al., 2013; Hesse et al., 2017). (Source: </w:t>
            </w:r>
            <w:proofErr w:type="spellStart"/>
            <w:r w:rsidRPr="00E915AA">
              <w:t>Compustat</w:t>
            </w:r>
            <w:proofErr w:type="spellEnd"/>
            <w:r w:rsidRPr="00E915AA">
              <w:t>)</w:t>
            </w:r>
          </w:p>
        </w:tc>
      </w:tr>
      <w:tr w:rsidR="009C015E" w:rsidRPr="00E915AA" w14:paraId="75BBF91B"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5307EF0B" w14:textId="77777777" w:rsidR="009C015E" w:rsidRPr="00E915AA" w:rsidRDefault="009C015E" w:rsidP="009C015E">
            <w:pPr>
              <w:spacing w:after="120"/>
              <w:rPr>
                <w:i/>
                <w:iCs/>
              </w:rPr>
            </w:pPr>
            <w:r w:rsidRPr="00E915AA">
              <w:rPr>
                <w:i/>
                <w:iCs/>
              </w:rPr>
              <w:t>M&amp;A</w:t>
            </w:r>
          </w:p>
        </w:tc>
        <w:tc>
          <w:tcPr>
            <w:tcW w:w="6534" w:type="dxa"/>
            <w:tcBorders>
              <w:top w:val="single" w:sz="4" w:space="0" w:color="FFFFFF"/>
              <w:left w:val="single" w:sz="4" w:space="0" w:color="FFFFFF"/>
              <w:bottom w:val="single" w:sz="4" w:space="0" w:color="FFFFFF"/>
              <w:right w:val="single" w:sz="4" w:space="0" w:color="FFFFFF"/>
            </w:tcBorders>
          </w:tcPr>
          <w:p w14:paraId="726A5E99" w14:textId="77777777" w:rsidR="009C015E" w:rsidRPr="00E915AA" w:rsidRDefault="009C015E" w:rsidP="009C015E">
            <w:pPr>
              <w:autoSpaceDE w:val="0"/>
              <w:autoSpaceDN w:val="0"/>
              <w:adjustRightInd w:val="0"/>
              <w:spacing w:after="120"/>
            </w:pPr>
            <w:r w:rsidRPr="00E915AA">
              <w:t xml:space="preserve">An indicator variable equal to 1 if firm </w:t>
            </w:r>
            <w:proofErr w:type="spellStart"/>
            <w:r w:rsidRPr="00E915AA">
              <w:t>i</w:t>
            </w:r>
            <w:proofErr w:type="spellEnd"/>
            <w:r w:rsidRPr="00E915AA">
              <w:t xml:space="preserve"> has non-zero acquisition or merger costs on a pre-tax basis in year t-1, and 0 otherwise (Cassell et al., 2013; Hesse et al., 2017). (Source: </w:t>
            </w:r>
            <w:proofErr w:type="spellStart"/>
            <w:r w:rsidRPr="00E915AA">
              <w:t>Compustat</w:t>
            </w:r>
            <w:proofErr w:type="spellEnd"/>
            <w:r w:rsidRPr="00E915AA">
              <w:t>)</w:t>
            </w:r>
          </w:p>
        </w:tc>
      </w:tr>
      <w:tr w:rsidR="009C015E" w:rsidRPr="00E915AA" w14:paraId="2523681B"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475085CE" w14:textId="017749C3" w:rsidR="009C015E" w:rsidRPr="00E915AA" w:rsidRDefault="009C015E" w:rsidP="009C015E">
            <w:pPr>
              <w:spacing w:after="120"/>
              <w:rPr>
                <w:i/>
                <w:iCs/>
              </w:rPr>
            </w:pPr>
            <w:proofErr w:type="spellStart"/>
            <w:r w:rsidRPr="00E915AA">
              <w:rPr>
                <w:i/>
                <w:iCs/>
              </w:rPr>
              <w:t>CEOchairperson</w:t>
            </w:r>
            <w:proofErr w:type="spellEnd"/>
          </w:p>
        </w:tc>
        <w:tc>
          <w:tcPr>
            <w:tcW w:w="6534" w:type="dxa"/>
            <w:tcBorders>
              <w:top w:val="single" w:sz="4" w:space="0" w:color="FFFFFF"/>
              <w:left w:val="single" w:sz="4" w:space="0" w:color="FFFFFF"/>
              <w:bottom w:val="single" w:sz="4" w:space="0" w:color="FFFFFF"/>
              <w:right w:val="single" w:sz="4" w:space="0" w:color="FFFFFF"/>
            </w:tcBorders>
          </w:tcPr>
          <w:p w14:paraId="772A198F" w14:textId="6286EF79" w:rsidR="009C015E" w:rsidRPr="00E915AA" w:rsidRDefault="009C015E" w:rsidP="009C015E">
            <w:pPr>
              <w:autoSpaceDE w:val="0"/>
              <w:autoSpaceDN w:val="0"/>
              <w:adjustRightInd w:val="0"/>
              <w:spacing w:after="120"/>
            </w:pPr>
            <w:r w:rsidRPr="00E915AA">
              <w:t xml:space="preserve">An indicator variable equal to 1 if the CEO of firm </w:t>
            </w:r>
            <w:proofErr w:type="spellStart"/>
            <w:r w:rsidRPr="00E915AA">
              <w:t>i</w:t>
            </w:r>
            <w:proofErr w:type="spellEnd"/>
            <w:r w:rsidRPr="00E915AA">
              <w:t xml:space="preserve"> is also the chair of the board of directors in year t-1. (Source: Refinitiv Eikon)</w:t>
            </w:r>
          </w:p>
        </w:tc>
      </w:tr>
      <w:tr w:rsidR="009C015E" w:rsidRPr="00E915AA" w14:paraId="7169FDF1"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5A5D8FAD" w14:textId="7867BBF2" w:rsidR="009C015E" w:rsidRPr="00E915AA" w:rsidRDefault="009C015E" w:rsidP="009C015E">
            <w:pPr>
              <w:spacing w:after="120"/>
              <w:rPr>
                <w:i/>
                <w:iCs/>
              </w:rPr>
            </w:pPr>
            <w:proofErr w:type="spellStart"/>
            <w:r w:rsidRPr="00E915AA">
              <w:rPr>
                <w:rFonts w:eastAsia="Calibri"/>
                <w:i/>
                <w:iCs/>
              </w:rPr>
              <w:t>Draftfiling</w:t>
            </w:r>
            <w:proofErr w:type="spellEnd"/>
          </w:p>
        </w:tc>
        <w:tc>
          <w:tcPr>
            <w:tcW w:w="6534" w:type="dxa"/>
            <w:tcBorders>
              <w:top w:val="single" w:sz="4" w:space="0" w:color="FFFFFF"/>
              <w:left w:val="single" w:sz="4" w:space="0" w:color="FFFFFF"/>
              <w:bottom w:val="single" w:sz="4" w:space="0" w:color="FFFFFF"/>
              <w:right w:val="single" w:sz="4" w:space="0" w:color="FFFFFF"/>
            </w:tcBorders>
          </w:tcPr>
          <w:p w14:paraId="525DBEB5" w14:textId="1DDA0A3F" w:rsidR="009C015E" w:rsidRPr="00E915AA" w:rsidRDefault="009C015E" w:rsidP="009C015E">
            <w:pPr>
              <w:autoSpaceDE w:val="0"/>
              <w:autoSpaceDN w:val="0"/>
              <w:adjustRightInd w:val="0"/>
              <w:spacing w:after="120"/>
            </w:pPr>
            <w:r w:rsidRPr="00E915AA">
              <w:t xml:space="preserve">An indicator variable </w:t>
            </w:r>
            <w:r w:rsidRPr="00E915AA">
              <w:rPr>
                <w:rFonts w:eastAsia="Calibri"/>
              </w:rPr>
              <w:t>equal to 1 if the issuing firm has filed a draft registration statement under the “de-risking” provision of the JOBS Act, and 0 otherwise.</w:t>
            </w:r>
          </w:p>
        </w:tc>
      </w:tr>
      <w:tr w:rsidR="009C015E" w:rsidRPr="00E915AA" w14:paraId="5EA7151B" w14:textId="77777777" w:rsidTr="009C015E">
        <w:trPr>
          <w:trHeight w:val="20"/>
        </w:trPr>
        <w:tc>
          <w:tcPr>
            <w:tcW w:w="2502" w:type="dxa"/>
            <w:tcBorders>
              <w:top w:val="single" w:sz="4" w:space="0" w:color="FFFFFF"/>
              <w:left w:val="single" w:sz="4" w:space="0" w:color="FFFFFF"/>
              <w:bottom w:val="single" w:sz="4" w:space="0" w:color="FFFFFF"/>
              <w:right w:val="single" w:sz="4" w:space="0" w:color="FFFFFF"/>
            </w:tcBorders>
          </w:tcPr>
          <w:p w14:paraId="0A3FFEBD" w14:textId="28AA67E6" w:rsidR="009C015E" w:rsidRPr="00E915AA" w:rsidRDefault="009C015E" w:rsidP="009C015E">
            <w:pPr>
              <w:spacing w:after="120"/>
              <w:rPr>
                <w:i/>
                <w:iCs/>
              </w:rPr>
            </w:pPr>
          </w:p>
        </w:tc>
        <w:tc>
          <w:tcPr>
            <w:tcW w:w="6534" w:type="dxa"/>
            <w:tcBorders>
              <w:top w:val="single" w:sz="4" w:space="0" w:color="FFFFFF"/>
              <w:left w:val="single" w:sz="4" w:space="0" w:color="FFFFFF"/>
              <w:bottom w:val="single" w:sz="4" w:space="0" w:color="FFFFFF"/>
              <w:right w:val="single" w:sz="4" w:space="0" w:color="FFFFFF"/>
            </w:tcBorders>
          </w:tcPr>
          <w:p w14:paraId="541C599F" w14:textId="4CF9E49F" w:rsidR="009C015E" w:rsidRPr="00E915AA" w:rsidRDefault="009C015E" w:rsidP="009C015E">
            <w:pPr>
              <w:autoSpaceDE w:val="0"/>
              <w:autoSpaceDN w:val="0"/>
              <w:adjustRightInd w:val="0"/>
              <w:spacing w:after="120"/>
            </w:pPr>
          </w:p>
        </w:tc>
      </w:tr>
    </w:tbl>
    <w:p w14:paraId="4AE19FAC" w14:textId="77777777" w:rsidR="00D955E0" w:rsidRPr="00E915AA" w:rsidRDefault="00D955E0" w:rsidP="00D955E0">
      <w:pPr>
        <w:spacing w:after="0" w:line="240" w:lineRule="auto"/>
        <w:rPr>
          <w:rFonts w:ascii="Times New Roman" w:eastAsia="Calibri" w:hAnsi="Times New Roman" w:cs="Times New Roman"/>
          <w:sz w:val="24"/>
          <w:szCs w:val="24"/>
          <w:lang w:val="en-GB" w:eastAsia="en-GB"/>
        </w:rPr>
      </w:pPr>
    </w:p>
    <w:p w14:paraId="4CB774C8" w14:textId="77777777" w:rsidR="00D955E0" w:rsidRPr="00E915AA" w:rsidRDefault="00D955E0" w:rsidP="00D955E0">
      <w:pPr>
        <w:spacing w:after="0" w:line="240" w:lineRule="auto"/>
        <w:rPr>
          <w:rFonts w:ascii="Times New Roman" w:eastAsia="Calibri" w:hAnsi="Times New Roman" w:cs="Times New Roman"/>
          <w:sz w:val="24"/>
          <w:szCs w:val="24"/>
          <w:lang w:val="en-GB" w:eastAsia="en-GB"/>
        </w:rPr>
        <w:sectPr w:rsidR="00D955E0" w:rsidRPr="00E915AA">
          <w:pgSz w:w="11906" w:h="16838"/>
          <w:pgMar w:top="1440" w:right="1440" w:bottom="1440" w:left="1440" w:header="708" w:footer="708" w:gutter="0"/>
          <w:cols w:space="708"/>
          <w:docGrid w:linePitch="360"/>
        </w:sectPr>
      </w:pPr>
    </w:p>
    <w:p w14:paraId="3507FAB1" w14:textId="77777777" w:rsidR="00D955E0" w:rsidRPr="00E915AA" w:rsidRDefault="00D955E0" w:rsidP="00D955E0">
      <w:pPr>
        <w:spacing w:after="240" w:line="240" w:lineRule="auto"/>
        <w:rPr>
          <w:rFonts w:ascii="Times New Roman" w:eastAsia="Times New Roman" w:hAnsi="Times New Roman" w:cs="Times New Roman"/>
          <w:b/>
          <w:bCs/>
          <w:sz w:val="24"/>
          <w:szCs w:val="24"/>
          <w:lang w:val="en-GB" w:eastAsia="en-GB"/>
        </w:rPr>
      </w:pPr>
      <w:r w:rsidRPr="00E915AA">
        <w:rPr>
          <w:rFonts w:ascii="Times New Roman" w:eastAsia="Times New Roman" w:hAnsi="Times New Roman" w:cs="Times New Roman"/>
          <w:b/>
          <w:bCs/>
          <w:sz w:val="24"/>
          <w:szCs w:val="24"/>
          <w:lang w:val="en-GB" w:eastAsia="en-GB"/>
        </w:rPr>
        <w:lastRenderedPageBreak/>
        <w:t>Appendix B. Coding scheme of issue types mentioned in initial SEC comment letters</w:t>
      </w:r>
    </w:p>
    <w:tbl>
      <w:tblPr>
        <w:tblStyle w:val="TableGrid1"/>
        <w:tblW w:w="0" w:type="auto"/>
        <w:tblLook w:val="04A0" w:firstRow="1" w:lastRow="0" w:firstColumn="1" w:lastColumn="0" w:noHBand="0" w:noVBand="1"/>
      </w:tblPr>
      <w:tblGrid>
        <w:gridCol w:w="810"/>
        <w:gridCol w:w="2171"/>
        <w:gridCol w:w="6035"/>
      </w:tblGrid>
      <w:tr w:rsidR="00D955E0" w:rsidRPr="00E915AA" w14:paraId="0A90C20C" w14:textId="77777777" w:rsidTr="001520C5">
        <w:tc>
          <w:tcPr>
            <w:tcW w:w="810" w:type="dxa"/>
            <w:vAlign w:val="center"/>
          </w:tcPr>
          <w:p w14:paraId="0E293092" w14:textId="77777777" w:rsidR="00D955E0" w:rsidRPr="00E915AA" w:rsidRDefault="00D955E0" w:rsidP="001520C5">
            <w:pPr>
              <w:spacing w:after="240"/>
              <w:rPr>
                <w:b/>
                <w:sz w:val="20"/>
                <w:szCs w:val="20"/>
              </w:rPr>
            </w:pPr>
            <w:r w:rsidRPr="00E915AA">
              <w:rPr>
                <w:b/>
                <w:sz w:val="20"/>
                <w:szCs w:val="20"/>
              </w:rPr>
              <w:t>Code</w:t>
            </w:r>
          </w:p>
        </w:tc>
        <w:tc>
          <w:tcPr>
            <w:tcW w:w="2171" w:type="dxa"/>
            <w:vAlign w:val="center"/>
          </w:tcPr>
          <w:p w14:paraId="5D390377" w14:textId="77777777" w:rsidR="00D955E0" w:rsidRPr="00E915AA" w:rsidRDefault="00D955E0" w:rsidP="001520C5">
            <w:pPr>
              <w:spacing w:after="240"/>
              <w:rPr>
                <w:b/>
                <w:sz w:val="20"/>
                <w:szCs w:val="20"/>
              </w:rPr>
            </w:pPr>
            <w:r w:rsidRPr="00E915AA">
              <w:rPr>
                <w:b/>
                <w:sz w:val="20"/>
                <w:szCs w:val="20"/>
              </w:rPr>
              <w:t>Issue types</w:t>
            </w:r>
          </w:p>
        </w:tc>
        <w:tc>
          <w:tcPr>
            <w:tcW w:w="6035" w:type="dxa"/>
            <w:vAlign w:val="center"/>
          </w:tcPr>
          <w:p w14:paraId="6F46CF6F" w14:textId="77777777" w:rsidR="00D955E0" w:rsidRPr="00E915AA" w:rsidRDefault="00D955E0" w:rsidP="001520C5">
            <w:pPr>
              <w:spacing w:after="240"/>
              <w:rPr>
                <w:b/>
                <w:sz w:val="20"/>
                <w:szCs w:val="20"/>
              </w:rPr>
            </w:pPr>
            <w:r w:rsidRPr="00E915AA">
              <w:rPr>
                <w:b/>
                <w:sz w:val="20"/>
                <w:szCs w:val="20"/>
              </w:rPr>
              <w:t>Descriptions</w:t>
            </w:r>
          </w:p>
        </w:tc>
      </w:tr>
      <w:tr w:rsidR="00D955E0" w:rsidRPr="00E915AA" w14:paraId="18DCD490" w14:textId="77777777" w:rsidTr="001520C5">
        <w:trPr>
          <w:trHeight w:val="841"/>
        </w:trPr>
        <w:tc>
          <w:tcPr>
            <w:tcW w:w="2981" w:type="dxa"/>
            <w:gridSpan w:val="2"/>
            <w:vAlign w:val="center"/>
          </w:tcPr>
          <w:p w14:paraId="6E710F69" w14:textId="77777777" w:rsidR="00D955E0" w:rsidRPr="00E915AA" w:rsidRDefault="00D955E0" w:rsidP="001520C5">
            <w:pPr>
              <w:spacing w:after="240"/>
              <w:jc w:val="both"/>
              <w:rPr>
                <w:b/>
                <w:sz w:val="20"/>
                <w:szCs w:val="20"/>
              </w:rPr>
            </w:pPr>
            <w:r w:rsidRPr="00E915AA">
              <w:rPr>
                <w:b/>
                <w:sz w:val="20"/>
                <w:szCs w:val="20"/>
              </w:rPr>
              <w:t>A. Core Accounting Issues</w:t>
            </w:r>
          </w:p>
        </w:tc>
        <w:tc>
          <w:tcPr>
            <w:tcW w:w="6035" w:type="dxa"/>
            <w:vAlign w:val="center"/>
          </w:tcPr>
          <w:p w14:paraId="0269332C" w14:textId="77777777" w:rsidR="00D955E0" w:rsidRPr="00E915AA" w:rsidRDefault="00D955E0" w:rsidP="001520C5">
            <w:pPr>
              <w:autoSpaceDE w:val="0"/>
              <w:autoSpaceDN w:val="0"/>
              <w:adjustRightInd w:val="0"/>
              <w:jc w:val="both"/>
              <w:rPr>
                <w:b/>
                <w:bCs/>
                <w:sz w:val="20"/>
                <w:szCs w:val="20"/>
              </w:rPr>
            </w:pPr>
            <w:r w:rsidRPr="00E915AA">
              <w:rPr>
                <w:b/>
                <w:bCs/>
                <w:sz w:val="20"/>
                <w:szCs w:val="20"/>
              </w:rPr>
              <w:t>Comments regarding issuers’ choice of accounting method, application of accounting method and issues about accounting transactions or actions.</w:t>
            </w:r>
          </w:p>
        </w:tc>
      </w:tr>
      <w:tr w:rsidR="00D955E0" w:rsidRPr="00E915AA" w14:paraId="571225CC" w14:textId="77777777" w:rsidTr="001520C5">
        <w:tc>
          <w:tcPr>
            <w:tcW w:w="810" w:type="dxa"/>
            <w:vAlign w:val="center"/>
          </w:tcPr>
          <w:p w14:paraId="6AD346EB" w14:textId="77777777" w:rsidR="00D955E0" w:rsidRPr="00E915AA" w:rsidRDefault="00D955E0" w:rsidP="001520C5">
            <w:pPr>
              <w:spacing w:after="240"/>
              <w:rPr>
                <w:sz w:val="20"/>
                <w:szCs w:val="20"/>
              </w:rPr>
            </w:pPr>
            <w:r w:rsidRPr="00E915AA">
              <w:rPr>
                <w:sz w:val="20"/>
                <w:szCs w:val="20"/>
              </w:rPr>
              <w:t>A1</w:t>
            </w:r>
          </w:p>
        </w:tc>
        <w:tc>
          <w:tcPr>
            <w:tcW w:w="2171" w:type="dxa"/>
            <w:vAlign w:val="center"/>
          </w:tcPr>
          <w:p w14:paraId="46549577" w14:textId="77777777" w:rsidR="00D955E0" w:rsidRPr="00E915AA" w:rsidRDefault="00D955E0" w:rsidP="001520C5">
            <w:pPr>
              <w:spacing w:after="240"/>
              <w:rPr>
                <w:sz w:val="20"/>
                <w:szCs w:val="20"/>
              </w:rPr>
            </w:pPr>
            <w:r w:rsidRPr="00E915AA">
              <w:rPr>
                <w:sz w:val="20"/>
                <w:szCs w:val="20"/>
              </w:rPr>
              <w:t>Assets</w:t>
            </w:r>
          </w:p>
        </w:tc>
        <w:tc>
          <w:tcPr>
            <w:tcW w:w="6035" w:type="dxa"/>
            <w:vAlign w:val="center"/>
          </w:tcPr>
          <w:p w14:paraId="35F6C5E1"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choice of accounting methods (accounting principles, accounting literature) as well as application of accounting methods (estimates, assumptions, timing, classification, calculation, recording) of total assets, current assets (e.g. receivables, inventories, cash or cash equivalents, marketable securities, trading securities), non-current assets (e.g. property, plants and equipment, valuation allowance, deferred tax assets, plan assets, long-term securities), including choice and application of accounting methods of contra account (e.g. depreciation and amortization)</w:t>
            </w:r>
          </w:p>
        </w:tc>
      </w:tr>
      <w:tr w:rsidR="00D955E0" w:rsidRPr="00E915AA" w14:paraId="1B904265" w14:textId="77777777" w:rsidTr="001520C5">
        <w:tc>
          <w:tcPr>
            <w:tcW w:w="810" w:type="dxa"/>
            <w:vAlign w:val="center"/>
          </w:tcPr>
          <w:p w14:paraId="6E40F3E0" w14:textId="77777777" w:rsidR="00D955E0" w:rsidRPr="00E915AA" w:rsidRDefault="00D955E0" w:rsidP="001520C5">
            <w:pPr>
              <w:spacing w:after="240"/>
              <w:rPr>
                <w:sz w:val="20"/>
                <w:szCs w:val="20"/>
              </w:rPr>
            </w:pPr>
            <w:r w:rsidRPr="00E915AA">
              <w:rPr>
                <w:sz w:val="20"/>
                <w:szCs w:val="20"/>
              </w:rPr>
              <w:t>A2</w:t>
            </w:r>
          </w:p>
        </w:tc>
        <w:tc>
          <w:tcPr>
            <w:tcW w:w="2171" w:type="dxa"/>
            <w:vAlign w:val="center"/>
          </w:tcPr>
          <w:p w14:paraId="4CD8C060" w14:textId="77777777" w:rsidR="00D955E0" w:rsidRPr="00E915AA" w:rsidRDefault="00D955E0" w:rsidP="001520C5">
            <w:pPr>
              <w:spacing w:after="240"/>
              <w:jc w:val="both"/>
              <w:rPr>
                <w:sz w:val="20"/>
                <w:szCs w:val="20"/>
              </w:rPr>
            </w:pPr>
            <w:r w:rsidRPr="00E915AA">
              <w:rPr>
                <w:sz w:val="20"/>
                <w:szCs w:val="20"/>
              </w:rPr>
              <w:t>Liabilities</w:t>
            </w:r>
          </w:p>
        </w:tc>
        <w:tc>
          <w:tcPr>
            <w:tcW w:w="6035" w:type="dxa"/>
            <w:vAlign w:val="center"/>
          </w:tcPr>
          <w:p w14:paraId="32590136"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choice of accounting methods (accounting standards, accounting principles, accounting literature) as well as application of accounting methods (estimates, assumptions, timing, classification, calculation, recording) of total liabilities, current liabilities (e.g. payables, tax payables, current portion of long-term debt, accrued warranty) and non-current liabilities (e.g. long-term debt, deferred tax liabilities), including choice and application of accounting methods of contra accounts</w:t>
            </w:r>
          </w:p>
        </w:tc>
      </w:tr>
      <w:tr w:rsidR="00D955E0" w:rsidRPr="00E915AA" w14:paraId="06ADFCE3" w14:textId="77777777" w:rsidTr="001520C5">
        <w:tc>
          <w:tcPr>
            <w:tcW w:w="810" w:type="dxa"/>
            <w:vAlign w:val="center"/>
          </w:tcPr>
          <w:p w14:paraId="084FE500" w14:textId="77777777" w:rsidR="00D955E0" w:rsidRPr="00E915AA" w:rsidRDefault="00D955E0" w:rsidP="001520C5">
            <w:pPr>
              <w:spacing w:after="240"/>
              <w:rPr>
                <w:sz w:val="20"/>
                <w:szCs w:val="20"/>
              </w:rPr>
            </w:pPr>
            <w:r w:rsidRPr="00E915AA">
              <w:rPr>
                <w:sz w:val="20"/>
                <w:szCs w:val="20"/>
              </w:rPr>
              <w:t>A3</w:t>
            </w:r>
          </w:p>
        </w:tc>
        <w:tc>
          <w:tcPr>
            <w:tcW w:w="2171" w:type="dxa"/>
            <w:vAlign w:val="center"/>
          </w:tcPr>
          <w:p w14:paraId="7C10EF56" w14:textId="77777777" w:rsidR="00D955E0" w:rsidRPr="00E915AA" w:rsidRDefault="00D955E0" w:rsidP="001520C5">
            <w:pPr>
              <w:spacing w:after="240"/>
              <w:rPr>
                <w:sz w:val="20"/>
                <w:szCs w:val="20"/>
              </w:rPr>
            </w:pPr>
            <w:r w:rsidRPr="00E915AA">
              <w:rPr>
                <w:sz w:val="20"/>
                <w:szCs w:val="20"/>
              </w:rPr>
              <w:t>Equity</w:t>
            </w:r>
          </w:p>
        </w:tc>
        <w:tc>
          <w:tcPr>
            <w:tcW w:w="6035" w:type="dxa"/>
            <w:vAlign w:val="center"/>
          </w:tcPr>
          <w:p w14:paraId="30BABB3E"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critiques and requests regarding choice of accounting methods (accounting principles, accounting literature) as well as application of accounting methods (estimates, assumptions, timing, classification, calculation, recording) of (historical) equity (not including the valuation of stock in the offering), </w:t>
            </w:r>
            <w:proofErr w:type="gramStart"/>
            <w:r w:rsidRPr="00E915AA">
              <w:rPr>
                <w:sz w:val="20"/>
                <w:szCs w:val="20"/>
              </w:rPr>
              <w:t>e.g.</w:t>
            </w:r>
            <w:proofErr w:type="gramEnd"/>
            <w:r w:rsidRPr="00E915AA">
              <w:rPr>
                <w:sz w:val="20"/>
                <w:szCs w:val="20"/>
              </w:rPr>
              <w:t xml:space="preserve"> common stock, preferred stock, stock warranty (including contra account, e.g. treasury stock)</w:t>
            </w:r>
          </w:p>
        </w:tc>
      </w:tr>
      <w:tr w:rsidR="00D955E0" w:rsidRPr="00E915AA" w14:paraId="2BE025ED" w14:textId="77777777" w:rsidTr="001520C5">
        <w:tc>
          <w:tcPr>
            <w:tcW w:w="810" w:type="dxa"/>
            <w:vAlign w:val="center"/>
          </w:tcPr>
          <w:p w14:paraId="5BCB4F41" w14:textId="77777777" w:rsidR="00D955E0" w:rsidRPr="00E915AA" w:rsidRDefault="00D955E0" w:rsidP="001520C5">
            <w:pPr>
              <w:spacing w:after="240"/>
              <w:rPr>
                <w:sz w:val="20"/>
                <w:szCs w:val="20"/>
              </w:rPr>
            </w:pPr>
            <w:r w:rsidRPr="00E915AA">
              <w:rPr>
                <w:sz w:val="20"/>
                <w:szCs w:val="20"/>
              </w:rPr>
              <w:t>A4</w:t>
            </w:r>
          </w:p>
        </w:tc>
        <w:tc>
          <w:tcPr>
            <w:tcW w:w="2171" w:type="dxa"/>
            <w:vAlign w:val="center"/>
          </w:tcPr>
          <w:p w14:paraId="21AC52B2" w14:textId="77777777" w:rsidR="00D955E0" w:rsidRPr="00E915AA" w:rsidRDefault="00D955E0" w:rsidP="001520C5">
            <w:pPr>
              <w:spacing w:after="240"/>
              <w:rPr>
                <w:sz w:val="20"/>
                <w:szCs w:val="20"/>
              </w:rPr>
            </w:pPr>
            <w:r w:rsidRPr="00E915AA">
              <w:rPr>
                <w:sz w:val="20"/>
                <w:szCs w:val="20"/>
              </w:rPr>
              <w:t>Income</w:t>
            </w:r>
          </w:p>
        </w:tc>
        <w:tc>
          <w:tcPr>
            <w:tcW w:w="6035" w:type="dxa"/>
            <w:vAlign w:val="center"/>
          </w:tcPr>
          <w:p w14:paraId="6AED4796"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choice of accounting methods (accounting principles, accounting literature) as well as application of accounting methods (estimates, assumptions, timing, classification, calculation, recording) of revenue recognition and other income (</w:t>
            </w:r>
            <w:proofErr w:type="gramStart"/>
            <w:r w:rsidRPr="00E915AA">
              <w:rPr>
                <w:sz w:val="20"/>
                <w:szCs w:val="20"/>
              </w:rPr>
              <w:t>e.g.</w:t>
            </w:r>
            <w:proofErr w:type="gramEnd"/>
            <w:r w:rsidRPr="00E915AA">
              <w:rPr>
                <w:sz w:val="20"/>
                <w:szCs w:val="20"/>
              </w:rPr>
              <w:t xml:space="preserve"> interest income, deemed dividend, reimbursement)</w:t>
            </w:r>
          </w:p>
        </w:tc>
      </w:tr>
      <w:tr w:rsidR="00D955E0" w:rsidRPr="00E915AA" w14:paraId="769F6EC4" w14:textId="77777777" w:rsidTr="001520C5">
        <w:tc>
          <w:tcPr>
            <w:tcW w:w="810" w:type="dxa"/>
            <w:vAlign w:val="center"/>
          </w:tcPr>
          <w:p w14:paraId="511BC63F" w14:textId="77777777" w:rsidR="00D955E0" w:rsidRPr="00E915AA" w:rsidRDefault="00D955E0" w:rsidP="001520C5">
            <w:pPr>
              <w:spacing w:after="240"/>
              <w:rPr>
                <w:sz w:val="20"/>
                <w:szCs w:val="20"/>
              </w:rPr>
            </w:pPr>
            <w:r w:rsidRPr="00E915AA">
              <w:rPr>
                <w:sz w:val="20"/>
                <w:szCs w:val="20"/>
              </w:rPr>
              <w:t>A5</w:t>
            </w:r>
          </w:p>
        </w:tc>
        <w:tc>
          <w:tcPr>
            <w:tcW w:w="2171" w:type="dxa"/>
            <w:vAlign w:val="center"/>
          </w:tcPr>
          <w:p w14:paraId="31912DDD" w14:textId="77777777" w:rsidR="00D955E0" w:rsidRPr="00E915AA" w:rsidRDefault="00D955E0" w:rsidP="001520C5">
            <w:pPr>
              <w:spacing w:after="240"/>
              <w:rPr>
                <w:sz w:val="20"/>
                <w:szCs w:val="20"/>
              </w:rPr>
            </w:pPr>
            <w:r w:rsidRPr="00E915AA">
              <w:rPr>
                <w:sz w:val="20"/>
                <w:szCs w:val="20"/>
              </w:rPr>
              <w:t>Expense</w:t>
            </w:r>
          </w:p>
        </w:tc>
        <w:tc>
          <w:tcPr>
            <w:tcW w:w="6035" w:type="dxa"/>
            <w:vAlign w:val="center"/>
          </w:tcPr>
          <w:p w14:paraId="29993BFF"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critiques and requests regarding choice of accounting methods (accounting principle, accounting literature) as well as application of accounting methods (estimates, assumptions, timing, classification, calculation, recording) of cost of good </w:t>
            </w:r>
            <w:proofErr w:type="spellStart"/>
            <w:r w:rsidRPr="00E915AA">
              <w:rPr>
                <w:sz w:val="20"/>
                <w:szCs w:val="20"/>
              </w:rPr>
              <w:t>solds</w:t>
            </w:r>
            <w:proofErr w:type="spellEnd"/>
            <w:r w:rsidRPr="00E915AA">
              <w:rPr>
                <w:sz w:val="20"/>
                <w:szCs w:val="20"/>
              </w:rPr>
              <w:t>, R&amp;D expense, advertising expense, compensation expense (e.g. valuation of stock option grant) and other expenses (e.g. Selling, general and administration expense, Benefit expense, contribution margin, customer acquisition cost, income tax, provision for income tax), including choice and application of accounting methods of contra-account (e.g. tax benefit)</w:t>
            </w:r>
          </w:p>
        </w:tc>
      </w:tr>
      <w:tr w:rsidR="00D955E0" w:rsidRPr="00E915AA" w14:paraId="694045E7" w14:textId="77777777" w:rsidTr="001520C5">
        <w:tc>
          <w:tcPr>
            <w:tcW w:w="810" w:type="dxa"/>
            <w:vAlign w:val="center"/>
          </w:tcPr>
          <w:p w14:paraId="5D6939D5" w14:textId="77777777" w:rsidR="00D955E0" w:rsidRPr="00E915AA" w:rsidRDefault="00D955E0" w:rsidP="001520C5">
            <w:pPr>
              <w:spacing w:after="240"/>
              <w:rPr>
                <w:sz w:val="20"/>
                <w:szCs w:val="20"/>
              </w:rPr>
            </w:pPr>
            <w:r w:rsidRPr="00E915AA">
              <w:rPr>
                <w:sz w:val="20"/>
                <w:szCs w:val="20"/>
              </w:rPr>
              <w:t>A6</w:t>
            </w:r>
          </w:p>
        </w:tc>
        <w:tc>
          <w:tcPr>
            <w:tcW w:w="2171" w:type="dxa"/>
            <w:vAlign w:val="center"/>
          </w:tcPr>
          <w:p w14:paraId="28DC781F" w14:textId="77777777" w:rsidR="00D955E0" w:rsidRPr="00E915AA" w:rsidRDefault="00D955E0" w:rsidP="001520C5">
            <w:pPr>
              <w:spacing w:after="240"/>
              <w:rPr>
                <w:sz w:val="20"/>
                <w:szCs w:val="20"/>
              </w:rPr>
            </w:pPr>
            <w:r w:rsidRPr="00E915AA">
              <w:rPr>
                <w:sz w:val="20"/>
                <w:szCs w:val="20"/>
              </w:rPr>
              <w:t>Earnings</w:t>
            </w:r>
          </w:p>
        </w:tc>
        <w:tc>
          <w:tcPr>
            <w:tcW w:w="6035" w:type="dxa"/>
            <w:vAlign w:val="center"/>
          </w:tcPr>
          <w:p w14:paraId="2CF90BA3"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choice of accounting methods (accounting principles, accounting literature) as well as application of accounting methods (estimates, assumptions, timing, classification, calculation, recording) of earning numbers (</w:t>
            </w:r>
            <w:proofErr w:type="gramStart"/>
            <w:r w:rsidRPr="00E915AA">
              <w:rPr>
                <w:sz w:val="20"/>
                <w:szCs w:val="20"/>
              </w:rPr>
              <w:t>e.g.</w:t>
            </w:r>
            <w:proofErr w:type="gramEnd"/>
            <w:r w:rsidRPr="00E915AA">
              <w:rPr>
                <w:sz w:val="20"/>
                <w:szCs w:val="20"/>
              </w:rPr>
              <w:t xml:space="preserve"> net income, other comprehensive income, EBIT, EBITDA) earning-related ratio (e.g. ROA, EPS), including choice and application of accounting methods of Extraordinary items and discontinued operation</w:t>
            </w:r>
          </w:p>
        </w:tc>
      </w:tr>
      <w:tr w:rsidR="00D955E0" w:rsidRPr="00E915AA" w14:paraId="757B7363" w14:textId="77777777" w:rsidTr="001520C5">
        <w:trPr>
          <w:trHeight w:val="2397"/>
        </w:trPr>
        <w:tc>
          <w:tcPr>
            <w:tcW w:w="810" w:type="dxa"/>
            <w:vAlign w:val="center"/>
          </w:tcPr>
          <w:p w14:paraId="61C69904" w14:textId="77777777" w:rsidR="00D955E0" w:rsidRPr="00E915AA" w:rsidRDefault="00D955E0" w:rsidP="001520C5">
            <w:pPr>
              <w:spacing w:after="240"/>
              <w:rPr>
                <w:sz w:val="20"/>
                <w:szCs w:val="20"/>
              </w:rPr>
            </w:pPr>
            <w:r w:rsidRPr="00E915AA">
              <w:rPr>
                <w:sz w:val="20"/>
                <w:szCs w:val="20"/>
              </w:rPr>
              <w:lastRenderedPageBreak/>
              <w:t>A7</w:t>
            </w:r>
          </w:p>
        </w:tc>
        <w:tc>
          <w:tcPr>
            <w:tcW w:w="2171" w:type="dxa"/>
            <w:vAlign w:val="center"/>
          </w:tcPr>
          <w:p w14:paraId="1AE91016" w14:textId="77777777" w:rsidR="00D955E0" w:rsidRPr="00E915AA" w:rsidRDefault="00D955E0" w:rsidP="001520C5">
            <w:pPr>
              <w:spacing w:after="240"/>
              <w:rPr>
                <w:sz w:val="20"/>
                <w:szCs w:val="20"/>
              </w:rPr>
            </w:pPr>
            <w:r w:rsidRPr="00E915AA">
              <w:rPr>
                <w:sz w:val="20"/>
                <w:szCs w:val="20"/>
              </w:rPr>
              <w:t>Other financial items</w:t>
            </w:r>
          </w:p>
        </w:tc>
        <w:tc>
          <w:tcPr>
            <w:tcW w:w="6035" w:type="dxa"/>
            <w:vAlign w:val="center"/>
          </w:tcPr>
          <w:p w14:paraId="7A1AE977"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choice of accounting methods (accounting principles, accounting literature) as well as application of accounting methods (estimates, assumptions, timing, classification, calculation, recording) of aggregated financial items (e.g. working capital, capitalization, securities, cash flows, free cash flows, off-balance sheets items), or more than one financial items coded from A1-A6 (e.g. whole financial statements), or other components of financial statement (e.g. segment reporting, reporting currency, fiscal year-end), including new accounting announcements and auditors report about firms' financial statements.</w:t>
            </w:r>
          </w:p>
        </w:tc>
      </w:tr>
      <w:tr w:rsidR="00D955E0" w:rsidRPr="00E915AA" w14:paraId="284991BB" w14:textId="77777777" w:rsidTr="001520C5">
        <w:tc>
          <w:tcPr>
            <w:tcW w:w="810" w:type="dxa"/>
            <w:vAlign w:val="center"/>
          </w:tcPr>
          <w:p w14:paraId="1C06923B" w14:textId="77777777" w:rsidR="00D955E0" w:rsidRPr="00E915AA" w:rsidRDefault="00D955E0" w:rsidP="001520C5">
            <w:pPr>
              <w:spacing w:after="240"/>
              <w:rPr>
                <w:sz w:val="20"/>
                <w:szCs w:val="20"/>
              </w:rPr>
            </w:pPr>
            <w:r w:rsidRPr="00E915AA">
              <w:rPr>
                <w:sz w:val="20"/>
                <w:szCs w:val="20"/>
              </w:rPr>
              <w:t>A8</w:t>
            </w:r>
          </w:p>
        </w:tc>
        <w:tc>
          <w:tcPr>
            <w:tcW w:w="2171" w:type="dxa"/>
            <w:vAlign w:val="center"/>
          </w:tcPr>
          <w:p w14:paraId="43249F40" w14:textId="77777777" w:rsidR="00D955E0" w:rsidRPr="00E915AA" w:rsidRDefault="00D955E0" w:rsidP="001520C5">
            <w:pPr>
              <w:autoSpaceDE w:val="0"/>
              <w:autoSpaceDN w:val="0"/>
              <w:adjustRightInd w:val="0"/>
              <w:rPr>
                <w:sz w:val="20"/>
                <w:szCs w:val="20"/>
              </w:rPr>
            </w:pPr>
            <w:r w:rsidRPr="00E915AA">
              <w:rPr>
                <w:sz w:val="20"/>
                <w:szCs w:val="20"/>
              </w:rPr>
              <w:t>Accounting-related transactions/events</w:t>
            </w:r>
          </w:p>
        </w:tc>
        <w:tc>
          <w:tcPr>
            <w:tcW w:w="6035" w:type="dxa"/>
            <w:vAlign w:val="center"/>
          </w:tcPr>
          <w:p w14:paraId="6EFE2E78"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asset acquisitions and dispositions (e.g., when and how specific R&amp;D activities or maintenance activities or sales of PPE or shipment of merchandise are conducted as well as when and how specific compensation expenses are paid) and firm’s other accounting-related transactions/actions which are often presented in section of "Note to Financial Statements" in S-1 filings (e.g. related-party (board members, other insiders) transaction, M&amp;A activities, investment activities, acquisitions, leasing activities, off-balance sheet arrangement) , including accounting treatments for subsequent events.</w:t>
            </w:r>
          </w:p>
        </w:tc>
      </w:tr>
      <w:tr w:rsidR="00D955E0" w:rsidRPr="00E915AA" w14:paraId="385967B1" w14:textId="77777777" w:rsidTr="001520C5">
        <w:trPr>
          <w:trHeight w:val="1458"/>
        </w:trPr>
        <w:tc>
          <w:tcPr>
            <w:tcW w:w="2981" w:type="dxa"/>
            <w:gridSpan w:val="2"/>
            <w:vAlign w:val="center"/>
          </w:tcPr>
          <w:p w14:paraId="29686836" w14:textId="58AE16F3" w:rsidR="00D955E0" w:rsidRPr="00E915AA" w:rsidRDefault="00D955E0" w:rsidP="001520C5">
            <w:pPr>
              <w:autoSpaceDE w:val="0"/>
              <w:autoSpaceDN w:val="0"/>
              <w:adjustRightInd w:val="0"/>
              <w:rPr>
                <w:b/>
                <w:bCs/>
                <w:sz w:val="20"/>
                <w:szCs w:val="20"/>
              </w:rPr>
            </w:pPr>
            <w:r w:rsidRPr="00E915AA">
              <w:rPr>
                <w:b/>
                <w:bCs/>
                <w:sz w:val="20"/>
                <w:szCs w:val="20"/>
              </w:rPr>
              <w:t>B. Non-core</w:t>
            </w:r>
            <w:r w:rsidR="009C015E" w:rsidRPr="00E915AA">
              <w:rPr>
                <w:b/>
                <w:bCs/>
                <w:sz w:val="20"/>
                <w:szCs w:val="20"/>
              </w:rPr>
              <w:t>-</w:t>
            </w:r>
            <w:r w:rsidRPr="00E915AA">
              <w:rPr>
                <w:b/>
                <w:bCs/>
                <w:sz w:val="20"/>
                <w:szCs w:val="20"/>
              </w:rPr>
              <w:t>accounting Issues</w:t>
            </w:r>
          </w:p>
        </w:tc>
        <w:tc>
          <w:tcPr>
            <w:tcW w:w="6035" w:type="dxa"/>
            <w:vAlign w:val="center"/>
          </w:tcPr>
          <w:p w14:paraId="257298B7" w14:textId="77777777" w:rsidR="00D955E0" w:rsidRPr="00E915AA" w:rsidRDefault="00D955E0" w:rsidP="001520C5">
            <w:pPr>
              <w:spacing w:after="240"/>
              <w:jc w:val="both"/>
              <w:rPr>
                <w:b/>
                <w:bCs/>
                <w:sz w:val="20"/>
                <w:szCs w:val="20"/>
              </w:rPr>
            </w:pPr>
            <w:r w:rsidRPr="00E915AA">
              <w:rPr>
                <w:b/>
                <w:bCs/>
                <w:sz w:val="20"/>
                <w:szCs w:val="20"/>
              </w:rPr>
              <w:t>These items represent the SEC' comments relating to non-EM-related accounting issues including accounting method choice, accounting method application for specific items or related accounting transaction. All comments on section "Note to Financial Statements" about a specific transaction/event should be categorized into this item or the item of “Core accounting issues".</w:t>
            </w:r>
          </w:p>
        </w:tc>
      </w:tr>
      <w:tr w:rsidR="00D955E0" w:rsidRPr="00E915AA" w14:paraId="74B95C34" w14:textId="77777777" w:rsidTr="001520C5">
        <w:tc>
          <w:tcPr>
            <w:tcW w:w="810" w:type="dxa"/>
            <w:vAlign w:val="center"/>
          </w:tcPr>
          <w:p w14:paraId="58EBC884" w14:textId="77777777" w:rsidR="00D955E0" w:rsidRPr="00E915AA" w:rsidRDefault="00D955E0" w:rsidP="001520C5">
            <w:pPr>
              <w:spacing w:after="240"/>
              <w:rPr>
                <w:sz w:val="20"/>
                <w:szCs w:val="20"/>
              </w:rPr>
            </w:pPr>
            <w:r w:rsidRPr="00E915AA">
              <w:rPr>
                <w:sz w:val="20"/>
                <w:szCs w:val="20"/>
              </w:rPr>
              <w:t>B1</w:t>
            </w:r>
          </w:p>
        </w:tc>
        <w:tc>
          <w:tcPr>
            <w:tcW w:w="2171" w:type="dxa"/>
            <w:vAlign w:val="center"/>
          </w:tcPr>
          <w:p w14:paraId="68785A46" w14:textId="77777777" w:rsidR="00D955E0" w:rsidRPr="00E915AA" w:rsidRDefault="00D955E0" w:rsidP="001520C5">
            <w:pPr>
              <w:autoSpaceDE w:val="0"/>
              <w:autoSpaceDN w:val="0"/>
              <w:adjustRightInd w:val="0"/>
              <w:rPr>
                <w:sz w:val="20"/>
                <w:szCs w:val="20"/>
              </w:rPr>
            </w:pPr>
            <w:r w:rsidRPr="00E915AA">
              <w:rPr>
                <w:sz w:val="20"/>
                <w:szCs w:val="20"/>
              </w:rPr>
              <w:t>Pro forma financial information</w:t>
            </w:r>
          </w:p>
        </w:tc>
        <w:tc>
          <w:tcPr>
            <w:tcW w:w="6035" w:type="dxa"/>
            <w:vAlign w:val="center"/>
          </w:tcPr>
          <w:p w14:paraId="6C2C25F7"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pro forma financial information derived from effects of changes in the firm’s capital structure based on the offering or effects of a merger transaction. Pro forma financial item presents historical balance sheet and income statement information adjusted as if a transaction had occurred in the latest fiscal year or subsequent interim period</w:t>
            </w:r>
          </w:p>
        </w:tc>
      </w:tr>
      <w:tr w:rsidR="00D955E0" w:rsidRPr="00E915AA" w14:paraId="6D660924" w14:textId="77777777" w:rsidTr="001520C5">
        <w:tc>
          <w:tcPr>
            <w:tcW w:w="810" w:type="dxa"/>
            <w:vAlign w:val="center"/>
          </w:tcPr>
          <w:p w14:paraId="06133141" w14:textId="77777777" w:rsidR="00D955E0" w:rsidRPr="00E915AA" w:rsidRDefault="00D955E0" w:rsidP="001520C5">
            <w:pPr>
              <w:spacing w:after="240"/>
              <w:rPr>
                <w:sz w:val="20"/>
                <w:szCs w:val="20"/>
              </w:rPr>
            </w:pPr>
            <w:r w:rsidRPr="00E915AA">
              <w:rPr>
                <w:sz w:val="20"/>
                <w:szCs w:val="20"/>
              </w:rPr>
              <w:t>B2</w:t>
            </w:r>
          </w:p>
        </w:tc>
        <w:tc>
          <w:tcPr>
            <w:tcW w:w="2171" w:type="dxa"/>
            <w:vAlign w:val="center"/>
          </w:tcPr>
          <w:p w14:paraId="29552F8E" w14:textId="77777777" w:rsidR="00D955E0" w:rsidRPr="00E915AA" w:rsidRDefault="00D955E0" w:rsidP="001520C5">
            <w:pPr>
              <w:spacing w:after="240"/>
              <w:rPr>
                <w:sz w:val="20"/>
                <w:szCs w:val="20"/>
              </w:rPr>
            </w:pPr>
            <w:r w:rsidRPr="00E915AA">
              <w:rPr>
                <w:sz w:val="20"/>
                <w:szCs w:val="20"/>
              </w:rPr>
              <w:t>Non-GAAP measure</w:t>
            </w:r>
          </w:p>
        </w:tc>
        <w:tc>
          <w:tcPr>
            <w:tcW w:w="6035" w:type="dxa"/>
            <w:vAlign w:val="center"/>
          </w:tcPr>
          <w:p w14:paraId="440E231E"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non-GAAP financial information. Non-GAAP financial measure is a numerical measure of a registrant's historical or future financial performance, financial position, or cash flow that excludes (or includes) </w:t>
            </w:r>
            <w:proofErr w:type="gramStart"/>
            <w:r w:rsidRPr="00E915AA">
              <w:rPr>
                <w:sz w:val="20"/>
                <w:szCs w:val="20"/>
              </w:rPr>
              <w:t>amounts, or</w:t>
            </w:r>
            <w:proofErr w:type="gramEnd"/>
            <w:r w:rsidRPr="00E915AA">
              <w:rPr>
                <w:sz w:val="20"/>
                <w:szCs w:val="20"/>
              </w:rPr>
              <w:t xml:space="preserve"> is subject to adjustments that have the effect of excluding amounts, that are included (or excluded) in the most directly comparable GAAP measure.</w:t>
            </w:r>
          </w:p>
        </w:tc>
      </w:tr>
      <w:tr w:rsidR="00D955E0" w:rsidRPr="00E915AA" w14:paraId="2461DE2E" w14:textId="77777777" w:rsidTr="001520C5">
        <w:tc>
          <w:tcPr>
            <w:tcW w:w="810" w:type="dxa"/>
            <w:vAlign w:val="center"/>
          </w:tcPr>
          <w:p w14:paraId="7E79A2B6" w14:textId="77777777" w:rsidR="00D955E0" w:rsidRPr="00E915AA" w:rsidRDefault="00D955E0" w:rsidP="001520C5">
            <w:pPr>
              <w:spacing w:after="240"/>
              <w:rPr>
                <w:sz w:val="20"/>
                <w:szCs w:val="20"/>
              </w:rPr>
            </w:pPr>
            <w:r w:rsidRPr="00E915AA">
              <w:rPr>
                <w:sz w:val="20"/>
                <w:szCs w:val="20"/>
              </w:rPr>
              <w:t>B3</w:t>
            </w:r>
          </w:p>
        </w:tc>
        <w:tc>
          <w:tcPr>
            <w:tcW w:w="2171" w:type="dxa"/>
            <w:vAlign w:val="center"/>
          </w:tcPr>
          <w:p w14:paraId="1B640B0B" w14:textId="77777777" w:rsidR="00D955E0" w:rsidRPr="00E915AA" w:rsidRDefault="00D955E0" w:rsidP="001520C5">
            <w:pPr>
              <w:spacing w:after="240"/>
              <w:rPr>
                <w:sz w:val="20"/>
                <w:szCs w:val="20"/>
              </w:rPr>
            </w:pPr>
            <w:r w:rsidRPr="00E915AA">
              <w:rPr>
                <w:sz w:val="20"/>
                <w:szCs w:val="20"/>
              </w:rPr>
              <w:t>Internal controls</w:t>
            </w:r>
          </w:p>
        </w:tc>
        <w:tc>
          <w:tcPr>
            <w:tcW w:w="6035" w:type="dxa"/>
            <w:vAlign w:val="center"/>
          </w:tcPr>
          <w:p w14:paraId="68086043" w14:textId="77777777" w:rsidR="00D955E0" w:rsidRPr="00E915AA" w:rsidRDefault="00D955E0" w:rsidP="001520C5">
            <w:pPr>
              <w:autoSpaceDE w:val="0"/>
              <w:autoSpaceDN w:val="0"/>
              <w:adjustRightInd w:val="0"/>
              <w:jc w:val="both"/>
              <w:rPr>
                <w:sz w:val="20"/>
                <w:szCs w:val="20"/>
              </w:rPr>
            </w:pPr>
            <w:r w:rsidRPr="00E915AA">
              <w:rPr>
                <w:sz w:val="20"/>
                <w:szCs w:val="20"/>
              </w:rPr>
              <w:t>Questions about the firm’s internal control systems and the testing, if any, of controls as well as reportable conditions or other irregularity that was identified by management related to the firm’s internal controls</w:t>
            </w:r>
          </w:p>
        </w:tc>
      </w:tr>
      <w:tr w:rsidR="00D955E0" w:rsidRPr="00E915AA" w14:paraId="12D7E74C" w14:textId="77777777" w:rsidTr="001520C5">
        <w:tc>
          <w:tcPr>
            <w:tcW w:w="810" w:type="dxa"/>
            <w:vAlign w:val="center"/>
          </w:tcPr>
          <w:p w14:paraId="59955D81" w14:textId="77777777" w:rsidR="00D955E0" w:rsidRPr="00E915AA" w:rsidRDefault="00D955E0" w:rsidP="001520C5">
            <w:pPr>
              <w:spacing w:after="240"/>
              <w:rPr>
                <w:sz w:val="20"/>
                <w:szCs w:val="20"/>
              </w:rPr>
            </w:pPr>
            <w:r w:rsidRPr="00E915AA">
              <w:rPr>
                <w:sz w:val="20"/>
                <w:szCs w:val="20"/>
              </w:rPr>
              <w:t>B4</w:t>
            </w:r>
          </w:p>
        </w:tc>
        <w:tc>
          <w:tcPr>
            <w:tcW w:w="2171" w:type="dxa"/>
            <w:vAlign w:val="center"/>
          </w:tcPr>
          <w:p w14:paraId="5231130D" w14:textId="77777777" w:rsidR="00D955E0" w:rsidRPr="00E915AA" w:rsidRDefault="00D955E0" w:rsidP="001520C5">
            <w:pPr>
              <w:autoSpaceDE w:val="0"/>
              <w:autoSpaceDN w:val="0"/>
              <w:adjustRightInd w:val="0"/>
              <w:rPr>
                <w:sz w:val="20"/>
                <w:szCs w:val="20"/>
              </w:rPr>
            </w:pPr>
            <w:r w:rsidRPr="00E915AA">
              <w:rPr>
                <w:sz w:val="20"/>
                <w:szCs w:val="20"/>
              </w:rPr>
              <w:t>Claims, Commitments and Contingencies</w:t>
            </w:r>
          </w:p>
        </w:tc>
        <w:tc>
          <w:tcPr>
            <w:tcW w:w="6035" w:type="dxa"/>
            <w:vAlign w:val="center"/>
          </w:tcPr>
          <w:p w14:paraId="3FB4B6DC" w14:textId="77777777" w:rsidR="00D955E0" w:rsidRPr="00E915AA" w:rsidRDefault="00D955E0" w:rsidP="001520C5">
            <w:pPr>
              <w:autoSpaceDE w:val="0"/>
              <w:autoSpaceDN w:val="0"/>
              <w:adjustRightInd w:val="0"/>
              <w:jc w:val="both"/>
              <w:rPr>
                <w:sz w:val="20"/>
                <w:szCs w:val="20"/>
              </w:rPr>
            </w:pPr>
            <w:r w:rsidRPr="00E915AA">
              <w:rPr>
                <w:sz w:val="20"/>
                <w:szCs w:val="20"/>
              </w:rPr>
              <w:t>Issues or comments raised about the firm’s accounting for and disclosure of its obligations and long-term commitments, including legal matters Issues or comments raised about the firm’s accounting for and disclosure of its obligations and long-term commitments, including legal matters</w:t>
            </w:r>
          </w:p>
        </w:tc>
      </w:tr>
      <w:tr w:rsidR="00D955E0" w:rsidRPr="00E915AA" w14:paraId="34BEDB7F" w14:textId="77777777" w:rsidTr="001520C5">
        <w:tc>
          <w:tcPr>
            <w:tcW w:w="2981" w:type="dxa"/>
            <w:gridSpan w:val="2"/>
            <w:vAlign w:val="center"/>
          </w:tcPr>
          <w:p w14:paraId="7FD10C1F" w14:textId="77777777" w:rsidR="00D955E0" w:rsidRPr="00E915AA" w:rsidRDefault="00D955E0" w:rsidP="001520C5">
            <w:pPr>
              <w:autoSpaceDE w:val="0"/>
              <w:autoSpaceDN w:val="0"/>
              <w:adjustRightInd w:val="0"/>
              <w:rPr>
                <w:sz w:val="20"/>
                <w:szCs w:val="20"/>
              </w:rPr>
            </w:pPr>
            <w:r w:rsidRPr="00E915AA">
              <w:rPr>
                <w:b/>
                <w:bCs/>
                <w:sz w:val="20"/>
                <w:szCs w:val="20"/>
              </w:rPr>
              <w:t>C. Offering-related issues</w:t>
            </w:r>
          </w:p>
        </w:tc>
        <w:tc>
          <w:tcPr>
            <w:tcW w:w="6035" w:type="dxa"/>
            <w:vAlign w:val="center"/>
          </w:tcPr>
          <w:p w14:paraId="11CB0656" w14:textId="77777777" w:rsidR="00D955E0" w:rsidRPr="00E915AA" w:rsidRDefault="00D955E0" w:rsidP="001520C5">
            <w:pPr>
              <w:autoSpaceDE w:val="0"/>
              <w:autoSpaceDN w:val="0"/>
              <w:adjustRightInd w:val="0"/>
              <w:jc w:val="both"/>
              <w:rPr>
                <w:b/>
                <w:bCs/>
                <w:sz w:val="20"/>
                <w:szCs w:val="20"/>
              </w:rPr>
            </w:pPr>
            <w:r w:rsidRPr="00E915AA">
              <w:rPr>
                <w:b/>
                <w:bCs/>
                <w:sz w:val="20"/>
                <w:szCs w:val="20"/>
              </w:rPr>
              <w:t>These items represent the SEC' comments relating to the issuers' initial public offering including offering attributes, offering procedures, offering effect, regulations, offering documents and S-1 filing's sections</w:t>
            </w:r>
          </w:p>
        </w:tc>
      </w:tr>
      <w:tr w:rsidR="00D955E0" w:rsidRPr="00E915AA" w14:paraId="0338B118" w14:textId="77777777" w:rsidTr="001520C5">
        <w:trPr>
          <w:trHeight w:val="417"/>
        </w:trPr>
        <w:tc>
          <w:tcPr>
            <w:tcW w:w="810" w:type="dxa"/>
            <w:vAlign w:val="center"/>
          </w:tcPr>
          <w:p w14:paraId="18F77134" w14:textId="77777777" w:rsidR="00D955E0" w:rsidRPr="00E915AA" w:rsidRDefault="00D955E0" w:rsidP="001520C5">
            <w:pPr>
              <w:spacing w:after="240"/>
              <w:rPr>
                <w:sz w:val="20"/>
                <w:szCs w:val="20"/>
              </w:rPr>
            </w:pPr>
            <w:r w:rsidRPr="00E915AA">
              <w:rPr>
                <w:sz w:val="20"/>
                <w:szCs w:val="20"/>
              </w:rPr>
              <w:t>C1</w:t>
            </w:r>
          </w:p>
        </w:tc>
        <w:tc>
          <w:tcPr>
            <w:tcW w:w="2171" w:type="dxa"/>
            <w:vAlign w:val="center"/>
          </w:tcPr>
          <w:p w14:paraId="67BE981A" w14:textId="77777777" w:rsidR="00D955E0" w:rsidRPr="00E915AA" w:rsidRDefault="00D955E0" w:rsidP="001520C5">
            <w:pPr>
              <w:autoSpaceDE w:val="0"/>
              <w:autoSpaceDN w:val="0"/>
              <w:adjustRightInd w:val="0"/>
              <w:rPr>
                <w:sz w:val="20"/>
                <w:szCs w:val="20"/>
              </w:rPr>
            </w:pPr>
            <w:r w:rsidRPr="00E915AA">
              <w:rPr>
                <w:sz w:val="20"/>
                <w:szCs w:val="20"/>
              </w:rPr>
              <w:t>Characteristics of offering</w:t>
            </w:r>
          </w:p>
        </w:tc>
        <w:tc>
          <w:tcPr>
            <w:tcW w:w="6035" w:type="dxa"/>
            <w:vAlign w:val="center"/>
          </w:tcPr>
          <w:p w14:paraId="15DE10D6" w14:textId="77777777" w:rsidR="00D955E0" w:rsidRPr="00E915AA" w:rsidRDefault="00D955E0" w:rsidP="001520C5">
            <w:pPr>
              <w:autoSpaceDE w:val="0"/>
              <w:autoSpaceDN w:val="0"/>
              <w:adjustRightInd w:val="0"/>
              <w:jc w:val="both"/>
              <w:rPr>
                <w:sz w:val="20"/>
                <w:szCs w:val="20"/>
              </w:rPr>
            </w:pPr>
            <w:r w:rsidRPr="00E915AA">
              <w:rPr>
                <w:sz w:val="20"/>
                <w:szCs w:val="20"/>
              </w:rPr>
              <w:t xml:space="preserve">Requests for information about stock characteristics (e.g. type of stocks, number of stocks, stock price and stock value relating to issuers' initial public offering), symbol used to list on stock exchange, timing of offering (e.g. a point of time or duration of the issuer's initial public offering or other offering-related transactions), dividends to pay in the future, actions affecting stocks' value (e.g. conversion of stocks, split of stocks, redemption of stocks, offering fee (e.g. registration fee), offering-related transactions/actions ( e.g. listing, sale, transfer, or other disposition of stocks by the original firm's member to a third party or Exit event), </w:t>
            </w:r>
            <w:r w:rsidRPr="00E915AA">
              <w:rPr>
                <w:sz w:val="20"/>
                <w:szCs w:val="20"/>
              </w:rPr>
              <w:lastRenderedPageBreak/>
              <w:t>offering-related regulation (e.g. the JOBS Act), reasons why the firm is undergoing an initial public offering as well as why they are filing S-1.</w:t>
            </w:r>
          </w:p>
        </w:tc>
      </w:tr>
      <w:tr w:rsidR="00D955E0" w:rsidRPr="00E915AA" w14:paraId="2DBB16FB" w14:textId="77777777" w:rsidTr="001520C5">
        <w:tc>
          <w:tcPr>
            <w:tcW w:w="810" w:type="dxa"/>
            <w:vAlign w:val="center"/>
          </w:tcPr>
          <w:p w14:paraId="30EEA6E8" w14:textId="77777777" w:rsidR="00D955E0" w:rsidRPr="00E915AA" w:rsidRDefault="00D955E0" w:rsidP="001520C5">
            <w:pPr>
              <w:autoSpaceDE w:val="0"/>
              <w:autoSpaceDN w:val="0"/>
              <w:adjustRightInd w:val="0"/>
              <w:rPr>
                <w:sz w:val="20"/>
                <w:szCs w:val="20"/>
              </w:rPr>
            </w:pPr>
            <w:r w:rsidRPr="00E915AA">
              <w:rPr>
                <w:sz w:val="20"/>
                <w:szCs w:val="20"/>
              </w:rPr>
              <w:lastRenderedPageBreak/>
              <w:t>C2</w:t>
            </w:r>
          </w:p>
        </w:tc>
        <w:tc>
          <w:tcPr>
            <w:tcW w:w="2171" w:type="dxa"/>
            <w:vAlign w:val="center"/>
          </w:tcPr>
          <w:p w14:paraId="4E85ED2C" w14:textId="77777777" w:rsidR="00D955E0" w:rsidRPr="00E915AA" w:rsidRDefault="00D955E0" w:rsidP="001520C5">
            <w:pPr>
              <w:autoSpaceDE w:val="0"/>
              <w:autoSpaceDN w:val="0"/>
              <w:adjustRightInd w:val="0"/>
              <w:rPr>
                <w:sz w:val="20"/>
                <w:szCs w:val="20"/>
              </w:rPr>
            </w:pPr>
            <w:r w:rsidRPr="00E915AA">
              <w:rPr>
                <w:sz w:val="20"/>
                <w:szCs w:val="20"/>
              </w:rPr>
              <w:t>Proceed</w:t>
            </w:r>
          </w:p>
        </w:tc>
        <w:tc>
          <w:tcPr>
            <w:tcW w:w="6035" w:type="dxa"/>
            <w:vAlign w:val="center"/>
          </w:tcPr>
          <w:p w14:paraId="02E88821" w14:textId="77777777" w:rsidR="00D955E0" w:rsidRPr="00E915AA" w:rsidRDefault="00D955E0" w:rsidP="001520C5">
            <w:pPr>
              <w:autoSpaceDE w:val="0"/>
              <w:autoSpaceDN w:val="0"/>
              <w:adjustRightInd w:val="0"/>
              <w:jc w:val="both"/>
              <w:rPr>
                <w:sz w:val="20"/>
                <w:szCs w:val="20"/>
              </w:rPr>
            </w:pPr>
            <w:r w:rsidRPr="00E915AA">
              <w:rPr>
                <w:sz w:val="20"/>
                <w:szCs w:val="20"/>
              </w:rPr>
              <w:t>Requests for information about amount of proceed from their initial public offering, how issuer raised the proceeds as well as how they will use this proceed.</w:t>
            </w:r>
          </w:p>
        </w:tc>
      </w:tr>
      <w:tr w:rsidR="00D955E0" w:rsidRPr="00E915AA" w14:paraId="5313E204" w14:textId="77777777" w:rsidTr="001520C5">
        <w:tc>
          <w:tcPr>
            <w:tcW w:w="810" w:type="dxa"/>
            <w:vAlign w:val="center"/>
          </w:tcPr>
          <w:p w14:paraId="7D6D6F7A" w14:textId="77777777" w:rsidR="00D955E0" w:rsidRPr="00E915AA" w:rsidRDefault="00D955E0" w:rsidP="001520C5">
            <w:pPr>
              <w:autoSpaceDE w:val="0"/>
              <w:autoSpaceDN w:val="0"/>
              <w:adjustRightInd w:val="0"/>
              <w:rPr>
                <w:sz w:val="20"/>
                <w:szCs w:val="20"/>
              </w:rPr>
            </w:pPr>
            <w:r w:rsidRPr="00E915AA">
              <w:rPr>
                <w:sz w:val="20"/>
                <w:szCs w:val="20"/>
              </w:rPr>
              <w:t>C3</w:t>
            </w:r>
          </w:p>
        </w:tc>
        <w:tc>
          <w:tcPr>
            <w:tcW w:w="2171" w:type="dxa"/>
            <w:vAlign w:val="center"/>
          </w:tcPr>
          <w:p w14:paraId="6A5A996C" w14:textId="77777777" w:rsidR="00D955E0" w:rsidRPr="00E915AA" w:rsidRDefault="00D955E0" w:rsidP="001520C5">
            <w:pPr>
              <w:autoSpaceDE w:val="0"/>
              <w:autoSpaceDN w:val="0"/>
              <w:adjustRightInd w:val="0"/>
              <w:rPr>
                <w:sz w:val="20"/>
                <w:szCs w:val="20"/>
              </w:rPr>
            </w:pPr>
            <w:r w:rsidRPr="00E915AA">
              <w:rPr>
                <w:sz w:val="20"/>
                <w:szCs w:val="20"/>
              </w:rPr>
              <w:t>Parties of offering</w:t>
            </w:r>
          </w:p>
        </w:tc>
        <w:tc>
          <w:tcPr>
            <w:tcW w:w="6035" w:type="dxa"/>
            <w:vAlign w:val="center"/>
          </w:tcPr>
          <w:p w14:paraId="30BCB90D"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and requests regarding principal and selling stockholders (including their identifications, their control indicated by the number/percentage of stocks held, their consents, tax status, rights as and communication with the issuer), underwriters (including their identification, obligation, compensation, underwriting procedures and underwriters' agreements) and other parties, </w:t>
            </w:r>
            <w:proofErr w:type="gramStart"/>
            <w:r w:rsidRPr="00E915AA">
              <w:rPr>
                <w:sz w:val="20"/>
                <w:szCs w:val="20"/>
              </w:rPr>
              <w:t>e.g.</w:t>
            </w:r>
            <w:proofErr w:type="gramEnd"/>
            <w:r w:rsidRPr="00E915AA">
              <w:rPr>
                <w:sz w:val="20"/>
                <w:szCs w:val="20"/>
              </w:rPr>
              <w:t xml:space="preserve"> sponsor, consultant, NASDAQ representative (including their identification, obligation and transactions)</w:t>
            </w:r>
          </w:p>
        </w:tc>
      </w:tr>
      <w:tr w:rsidR="00D955E0" w:rsidRPr="00E915AA" w14:paraId="13C856FE" w14:textId="77777777" w:rsidTr="001520C5">
        <w:tc>
          <w:tcPr>
            <w:tcW w:w="810" w:type="dxa"/>
            <w:vAlign w:val="center"/>
          </w:tcPr>
          <w:p w14:paraId="3CD2996E" w14:textId="77777777" w:rsidR="00D955E0" w:rsidRPr="00E915AA" w:rsidRDefault="00D955E0" w:rsidP="001520C5">
            <w:pPr>
              <w:autoSpaceDE w:val="0"/>
              <w:autoSpaceDN w:val="0"/>
              <w:adjustRightInd w:val="0"/>
              <w:rPr>
                <w:sz w:val="20"/>
                <w:szCs w:val="20"/>
              </w:rPr>
            </w:pPr>
            <w:r w:rsidRPr="00E915AA">
              <w:rPr>
                <w:sz w:val="20"/>
                <w:szCs w:val="20"/>
              </w:rPr>
              <w:t>C4</w:t>
            </w:r>
          </w:p>
        </w:tc>
        <w:tc>
          <w:tcPr>
            <w:tcW w:w="2171" w:type="dxa"/>
            <w:vAlign w:val="center"/>
          </w:tcPr>
          <w:p w14:paraId="7654F2F7" w14:textId="77777777" w:rsidR="00D955E0" w:rsidRPr="00E915AA" w:rsidRDefault="00D955E0" w:rsidP="001520C5">
            <w:pPr>
              <w:autoSpaceDE w:val="0"/>
              <w:autoSpaceDN w:val="0"/>
              <w:adjustRightInd w:val="0"/>
              <w:rPr>
                <w:sz w:val="20"/>
                <w:szCs w:val="20"/>
              </w:rPr>
            </w:pPr>
            <w:r w:rsidRPr="00E915AA">
              <w:rPr>
                <w:sz w:val="20"/>
                <w:szCs w:val="20"/>
              </w:rPr>
              <w:t>Effect of offering</w:t>
            </w:r>
          </w:p>
        </w:tc>
        <w:tc>
          <w:tcPr>
            <w:tcW w:w="6035" w:type="dxa"/>
            <w:vAlign w:val="center"/>
          </w:tcPr>
          <w:p w14:paraId="33F9DE0D" w14:textId="77777777" w:rsidR="00D955E0" w:rsidRPr="00E915AA" w:rsidRDefault="00D955E0" w:rsidP="001520C5">
            <w:pPr>
              <w:autoSpaceDE w:val="0"/>
              <w:autoSpaceDN w:val="0"/>
              <w:adjustRightInd w:val="0"/>
              <w:jc w:val="both"/>
              <w:rPr>
                <w:sz w:val="20"/>
                <w:szCs w:val="20"/>
              </w:rPr>
            </w:pPr>
            <w:r w:rsidRPr="00E915AA">
              <w:rPr>
                <w:sz w:val="20"/>
                <w:szCs w:val="20"/>
              </w:rPr>
              <w:t>Critiques and requests regarding effects of the issuer's initial public offering (</w:t>
            </w:r>
            <w:proofErr w:type="gramStart"/>
            <w:r w:rsidRPr="00E915AA">
              <w:rPr>
                <w:sz w:val="20"/>
                <w:szCs w:val="20"/>
              </w:rPr>
              <w:t>e.g.</w:t>
            </w:r>
            <w:proofErr w:type="gramEnd"/>
            <w:r w:rsidRPr="00E915AA">
              <w:rPr>
                <w:sz w:val="20"/>
                <w:szCs w:val="20"/>
              </w:rPr>
              <w:t xml:space="preserve"> dilution effect, costs of being a public company)</w:t>
            </w:r>
          </w:p>
        </w:tc>
      </w:tr>
      <w:tr w:rsidR="00D955E0" w:rsidRPr="00E915AA" w14:paraId="7FDC2E77" w14:textId="77777777" w:rsidTr="001520C5">
        <w:tc>
          <w:tcPr>
            <w:tcW w:w="810" w:type="dxa"/>
            <w:vAlign w:val="center"/>
          </w:tcPr>
          <w:p w14:paraId="07BDFF94" w14:textId="77777777" w:rsidR="00D955E0" w:rsidRPr="00E915AA" w:rsidRDefault="00D955E0" w:rsidP="001520C5">
            <w:pPr>
              <w:autoSpaceDE w:val="0"/>
              <w:autoSpaceDN w:val="0"/>
              <w:adjustRightInd w:val="0"/>
              <w:rPr>
                <w:sz w:val="20"/>
                <w:szCs w:val="20"/>
              </w:rPr>
            </w:pPr>
            <w:r w:rsidRPr="00E915AA">
              <w:rPr>
                <w:sz w:val="20"/>
                <w:szCs w:val="20"/>
              </w:rPr>
              <w:t>C5</w:t>
            </w:r>
          </w:p>
        </w:tc>
        <w:tc>
          <w:tcPr>
            <w:tcW w:w="2171" w:type="dxa"/>
            <w:vAlign w:val="center"/>
          </w:tcPr>
          <w:p w14:paraId="1F02982D" w14:textId="77777777" w:rsidR="00D955E0" w:rsidRPr="00E915AA" w:rsidRDefault="00D955E0" w:rsidP="001520C5">
            <w:pPr>
              <w:autoSpaceDE w:val="0"/>
              <w:autoSpaceDN w:val="0"/>
              <w:adjustRightInd w:val="0"/>
              <w:rPr>
                <w:sz w:val="20"/>
                <w:szCs w:val="20"/>
              </w:rPr>
            </w:pPr>
            <w:r w:rsidRPr="00E915AA">
              <w:rPr>
                <w:sz w:val="20"/>
                <w:szCs w:val="20"/>
              </w:rPr>
              <w:t>Risk factors (offering)</w:t>
            </w:r>
          </w:p>
        </w:tc>
        <w:tc>
          <w:tcPr>
            <w:tcW w:w="6035" w:type="dxa"/>
            <w:vAlign w:val="center"/>
          </w:tcPr>
          <w:p w14:paraId="4194ADCB" w14:textId="77777777" w:rsidR="00D955E0" w:rsidRPr="00E915AA" w:rsidRDefault="00D955E0" w:rsidP="001520C5">
            <w:pPr>
              <w:autoSpaceDE w:val="0"/>
              <w:autoSpaceDN w:val="0"/>
              <w:adjustRightInd w:val="0"/>
              <w:jc w:val="both"/>
              <w:rPr>
                <w:sz w:val="20"/>
                <w:szCs w:val="20"/>
              </w:rPr>
            </w:pPr>
            <w:r w:rsidRPr="00E915AA">
              <w:rPr>
                <w:sz w:val="20"/>
                <w:szCs w:val="20"/>
              </w:rPr>
              <w:t>Questions and requests regarding characteristics and impact of risk factors on the issuers' initial public offering as well as their risk management</w:t>
            </w:r>
          </w:p>
        </w:tc>
      </w:tr>
      <w:tr w:rsidR="00D955E0" w:rsidRPr="00E915AA" w14:paraId="1AD6CF2B" w14:textId="77777777" w:rsidTr="001520C5">
        <w:tc>
          <w:tcPr>
            <w:tcW w:w="810" w:type="dxa"/>
            <w:vAlign w:val="center"/>
          </w:tcPr>
          <w:p w14:paraId="3CEF96BF" w14:textId="77777777" w:rsidR="00D955E0" w:rsidRPr="00E915AA" w:rsidRDefault="00D955E0" w:rsidP="001520C5">
            <w:pPr>
              <w:autoSpaceDE w:val="0"/>
              <w:autoSpaceDN w:val="0"/>
              <w:adjustRightInd w:val="0"/>
              <w:rPr>
                <w:sz w:val="20"/>
                <w:szCs w:val="20"/>
              </w:rPr>
            </w:pPr>
            <w:r w:rsidRPr="00E915AA">
              <w:rPr>
                <w:sz w:val="20"/>
                <w:szCs w:val="20"/>
              </w:rPr>
              <w:t>C6</w:t>
            </w:r>
          </w:p>
        </w:tc>
        <w:tc>
          <w:tcPr>
            <w:tcW w:w="2171" w:type="dxa"/>
            <w:vAlign w:val="center"/>
          </w:tcPr>
          <w:p w14:paraId="4E76FF9E" w14:textId="77777777" w:rsidR="00D955E0" w:rsidRPr="00E915AA" w:rsidRDefault="00D955E0" w:rsidP="001520C5">
            <w:pPr>
              <w:autoSpaceDE w:val="0"/>
              <w:autoSpaceDN w:val="0"/>
              <w:adjustRightInd w:val="0"/>
              <w:rPr>
                <w:sz w:val="20"/>
                <w:szCs w:val="20"/>
              </w:rPr>
            </w:pPr>
            <w:r w:rsidRPr="00E915AA">
              <w:rPr>
                <w:sz w:val="20"/>
                <w:szCs w:val="20"/>
              </w:rPr>
              <w:t>Offering-related document</w:t>
            </w:r>
          </w:p>
        </w:tc>
        <w:tc>
          <w:tcPr>
            <w:tcW w:w="6035" w:type="dxa"/>
            <w:vAlign w:val="center"/>
          </w:tcPr>
          <w:p w14:paraId="46392F42"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the use, style and content of exhibits, undertakings, consent letters and other offering-related document (</w:t>
            </w:r>
            <w:proofErr w:type="gramStart"/>
            <w:r w:rsidRPr="00E915AA">
              <w:rPr>
                <w:sz w:val="20"/>
                <w:szCs w:val="20"/>
              </w:rPr>
              <w:t>e.g.</w:t>
            </w:r>
            <w:proofErr w:type="gramEnd"/>
            <w:r w:rsidRPr="00E915AA">
              <w:rPr>
                <w:sz w:val="20"/>
                <w:szCs w:val="20"/>
              </w:rPr>
              <w:t xml:space="preserve"> written communication with potential investors, research reports)</w:t>
            </w:r>
          </w:p>
        </w:tc>
      </w:tr>
      <w:tr w:rsidR="00D955E0" w:rsidRPr="00E915AA" w14:paraId="4F36B339" w14:textId="77777777" w:rsidTr="001520C5">
        <w:tc>
          <w:tcPr>
            <w:tcW w:w="2981" w:type="dxa"/>
            <w:gridSpan w:val="2"/>
            <w:vAlign w:val="center"/>
          </w:tcPr>
          <w:p w14:paraId="3DD67671" w14:textId="77777777" w:rsidR="00D955E0" w:rsidRPr="00E915AA" w:rsidRDefault="00D955E0" w:rsidP="001520C5">
            <w:pPr>
              <w:autoSpaceDE w:val="0"/>
              <w:autoSpaceDN w:val="0"/>
              <w:adjustRightInd w:val="0"/>
              <w:rPr>
                <w:sz w:val="20"/>
                <w:szCs w:val="20"/>
              </w:rPr>
            </w:pPr>
            <w:r w:rsidRPr="00E915AA">
              <w:rPr>
                <w:b/>
                <w:bCs/>
                <w:sz w:val="20"/>
                <w:szCs w:val="20"/>
              </w:rPr>
              <w:t>D. Business-related issues</w:t>
            </w:r>
          </w:p>
        </w:tc>
        <w:tc>
          <w:tcPr>
            <w:tcW w:w="6035" w:type="dxa"/>
            <w:vAlign w:val="center"/>
          </w:tcPr>
          <w:p w14:paraId="678AB460" w14:textId="77777777" w:rsidR="00D955E0" w:rsidRPr="00E915AA" w:rsidRDefault="00D955E0" w:rsidP="001520C5">
            <w:pPr>
              <w:autoSpaceDE w:val="0"/>
              <w:autoSpaceDN w:val="0"/>
              <w:adjustRightInd w:val="0"/>
              <w:jc w:val="both"/>
              <w:rPr>
                <w:b/>
                <w:bCs/>
                <w:sz w:val="20"/>
                <w:szCs w:val="20"/>
              </w:rPr>
            </w:pPr>
            <w:r w:rsidRPr="00E915AA">
              <w:rPr>
                <w:b/>
                <w:bCs/>
                <w:sz w:val="20"/>
                <w:szCs w:val="20"/>
              </w:rPr>
              <w:t>These items represent SEC's comments relating to issuer's manufacturing, operating, R&amp;D, marketing &amp; selling activities</w:t>
            </w:r>
          </w:p>
        </w:tc>
      </w:tr>
      <w:tr w:rsidR="00D955E0" w:rsidRPr="00E915AA" w14:paraId="4626FCB5" w14:textId="77777777" w:rsidTr="001520C5">
        <w:tc>
          <w:tcPr>
            <w:tcW w:w="810" w:type="dxa"/>
            <w:vAlign w:val="center"/>
          </w:tcPr>
          <w:p w14:paraId="00865E37" w14:textId="77777777" w:rsidR="00D955E0" w:rsidRPr="00E915AA" w:rsidRDefault="00D955E0" w:rsidP="001520C5">
            <w:pPr>
              <w:autoSpaceDE w:val="0"/>
              <w:autoSpaceDN w:val="0"/>
              <w:adjustRightInd w:val="0"/>
              <w:rPr>
                <w:sz w:val="20"/>
                <w:szCs w:val="20"/>
              </w:rPr>
            </w:pPr>
            <w:r w:rsidRPr="00E915AA">
              <w:rPr>
                <w:sz w:val="20"/>
                <w:szCs w:val="20"/>
              </w:rPr>
              <w:t>D1</w:t>
            </w:r>
          </w:p>
        </w:tc>
        <w:tc>
          <w:tcPr>
            <w:tcW w:w="2171" w:type="dxa"/>
            <w:vAlign w:val="center"/>
          </w:tcPr>
          <w:p w14:paraId="3DD9028D" w14:textId="77777777" w:rsidR="00D955E0" w:rsidRPr="00E915AA" w:rsidRDefault="00D955E0" w:rsidP="001520C5">
            <w:pPr>
              <w:autoSpaceDE w:val="0"/>
              <w:autoSpaceDN w:val="0"/>
              <w:adjustRightInd w:val="0"/>
              <w:rPr>
                <w:sz w:val="20"/>
                <w:szCs w:val="20"/>
              </w:rPr>
            </w:pPr>
            <w:r w:rsidRPr="00E915AA">
              <w:rPr>
                <w:sz w:val="20"/>
                <w:szCs w:val="20"/>
              </w:rPr>
              <w:t>Products/Services</w:t>
            </w:r>
          </w:p>
        </w:tc>
        <w:tc>
          <w:tcPr>
            <w:tcW w:w="6035" w:type="dxa"/>
            <w:vAlign w:val="center"/>
          </w:tcPr>
          <w:p w14:paraId="4943B942"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and requests regarding definition, number, pricing of firms' products/services, including firms' operating segments (including identification, </w:t>
            </w:r>
            <w:proofErr w:type="gramStart"/>
            <w:r w:rsidRPr="00E915AA">
              <w:rPr>
                <w:sz w:val="20"/>
                <w:szCs w:val="20"/>
              </w:rPr>
              <w:t>aggregation</w:t>
            </w:r>
            <w:proofErr w:type="gramEnd"/>
            <w:r w:rsidRPr="00E915AA">
              <w:rPr>
                <w:sz w:val="20"/>
                <w:szCs w:val="20"/>
              </w:rPr>
              <w:t xml:space="preserve"> or disaggregation of operating segments)</w:t>
            </w:r>
          </w:p>
        </w:tc>
      </w:tr>
      <w:tr w:rsidR="00D955E0" w:rsidRPr="00E915AA" w14:paraId="5761AF08" w14:textId="77777777" w:rsidTr="001520C5">
        <w:tc>
          <w:tcPr>
            <w:tcW w:w="810" w:type="dxa"/>
            <w:vAlign w:val="center"/>
          </w:tcPr>
          <w:p w14:paraId="60B97C86" w14:textId="77777777" w:rsidR="00D955E0" w:rsidRPr="00E915AA" w:rsidRDefault="00D955E0" w:rsidP="001520C5">
            <w:pPr>
              <w:autoSpaceDE w:val="0"/>
              <w:autoSpaceDN w:val="0"/>
              <w:adjustRightInd w:val="0"/>
              <w:rPr>
                <w:sz w:val="20"/>
                <w:szCs w:val="20"/>
              </w:rPr>
            </w:pPr>
            <w:r w:rsidRPr="00E915AA">
              <w:rPr>
                <w:sz w:val="20"/>
                <w:szCs w:val="20"/>
              </w:rPr>
              <w:t>D2</w:t>
            </w:r>
          </w:p>
        </w:tc>
        <w:tc>
          <w:tcPr>
            <w:tcW w:w="2171" w:type="dxa"/>
            <w:vAlign w:val="center"/>
          </w:tcPr>
          <w:p w14:paraId="46EB198A" w14:textId="77777777" w:rsidR="00D955E0" w:rsidRPr="00E915AA" w:rsidRDefault="00D955E0" w:rsidP="001520C5">
            <w:pPr>
              <w:autoSpaceDE w:val="0"/>
              <w:autoSpaceDN w:val="0"/>
              <w:adjustRightInd w:val="0"/>
              <w:rPr>
                <w:sz w:val="20"/>
                <w:szCs w:val="20"/>
              </w:rPr>
            </w:pPr>
            <w:r w:rsidRPr="00E915AA">
              <w:rPr>
                <w:sz w:val="20"/>
                <w:szCs w:val="20"/>
              </w:rPr>
              <w:t>External stakeholders</w:t>
            </w:r>
          </w:p>
        </w:tc>
        <w:tc>
          <w:tcPr>
            <w:tcW w:w="6035" w:type="dxa"/>
            <w:vAlign w:val="center"/>
          </w:tcPr>
          <w:p w14:paraId="443F9C73" w14:textId="77777777" w:rsidR="00D955E0" w:rsidRPr="00E915AA" w:rsidRDefault="00D955E0" w:rsidP="001520C5">
            <w:pPr>
              <w:autoSpaceDE w:val="0"/>
              <w:autoSpaceDN w:val="0"/>
              <w:adjustRightInd w:val="0"/>
              <w:jc w:val="both"/>
              <w:rPr>
                <w:sz w:val="20"/>
                <w:szCs w:val="20"/>
              </w:rPr>
            </w:pPr>
            <w:r w:rsidRPr="00E915AA">
              <w:rPr>
                <w:sz w:val="20"/>
                <w:szCs w:val="20"/>
              </w:rPr>
              <w:t>Request for information about identifications, behaviours, related activities of customers (including current customers, potential customers, website members and market, suppliers (including current and potential suppliers), holding company and other external stockholders (</w:t>
            </w:r>
            <w:proofErr w:type="gramStart"/>
            <w:r w:rsidRPr="00E915AA">
              <w:rPr>
                <w:sz w:val="20"/>
                <w:szCs w:val="20"/>
              </w:rPr>
              <w:t>e.g.</w:t>
            </w:r>
            <w:proofErr w:type="gramEnd"/>
            <w:r w:rsidRPr="00E915AA">
              <w:rPr>
                <w:sz w:val="20"/>
                <w:szCs w:val="20"/>
              </w:rPr>
              <w:t xml:space="preserve"> regulators, supporters, partners, vendors), including business-related (e.g. environmental law, tax rate, legal proceedings), and characteristics or trends of industry (e.g. Key Performance Indicators of industry)</w:t>
            </w:r>
          </w:p>
        </w:tc>
      </w:tr>
      <w:tr w:rsidR="00D955E0" w:rsidRPr="00E915AA" w14:paraId="32F94F2E" w14:textId="77777777" w:rsidTr="001520C5">
        <w:tc>
          <w:tcPr>
            <w:tcW w:w="810" w:type="dxa"/>
            <w:vAlign w:val="center"/>
          </w:tcPr>
          <w:p w14:paraId="5984BC24" w14:textId="77777777" w:rsidR="00D955E0" w:rsidRPr="00E915AA" w:rsidRDefault="00D955E0" w:rsidP="001520C5">
            <w:pPr>
              <w:autoSpaceDE w:val="0"/>
              <w:autoSpaceDN w:val="0"/>
              <w:adjustRightInd w:val="0"/>
              <w:rPr>
                <w:sz w:val="20"/>
                <w:szCs w:val="20"/>
              </w:rPr>
            </w:pPr>
            <w:r w:rsidRPr="00E915AA">
              <w:rPr>
                <w:sz w:val="20"/>
                <w:szCs w:val="20"/>
              </w:rPr>
              <w:t>D3</w:t>
            </w:r>
          </w:p>
        </w:tc>
        <w:tc>
          <w:tcPr>
            <w:tcW w:w="2171" w:type="dxa"/>
            <w:vAlign w:val="center"/>
          </w:tcPr>
          <w:p w14:paraId="5432A30B" w14:textId="77777777" w:rsidR="00D955E0" w:rsidRPr="00E915AA" w:rsidRDefault="00D955E0" w:rsidP="001520C5">
            <w:pPr>
              <w:autoSpaceDE w:val="0"/>
              <w:autoSpaceDN w:val="0"/>
              <w:adjustRightInd w:val="0"/>
              <w:rPr>
                <w:sz w:val="20"/>
                <w:szCs w:val="20"/>
              </w:rPr>
            </w:pPr>
            <w:r w:rsidRPr="00E915AA">
              <w:rPr>
                <w:sz w:val="20"/>
                <w:szCs w:val="20"/>
              </w:rPr>
              <w:t>Business activities</w:t>
            </w:r>
          </w:p>
        </w:tc>
        <w:tc>
          <w:tcPr>
            <w:tcW w:w="6035" w:type="dxa"/>
            <w:vAlign w:val="center"/>
          </w:tcPr>
          <w:p w14:paraId="35A5C167" w14:textId="77777777" w:rsidR="00D955E0" w:rsidRPr="00E915AA" w:rsidRDefault="00D955E0" w:rsidP="001520C5">
            <w:pPr>
              <w:autoSpaceDE w:val="0"/>
              <w:autoSpaceDN w:val="0"/>
              <w:adjustRightInd w:val="0"/>
              <w:jc w:val="both"/>
              <w:rPr>
                <w:sz w:val="20"/>
                <w:szCs w:val="20"/>
              </w:rPr>
            </w:pPr>
            <w:r w:rsidRPr="00E915AA">
              <w:rPr>
                <w:sz w:val="20"/>
                <w:szCs w:val="20"/>
              </w:rPr>
              <w:t>Question , critiques and requests regarding the issuers' operating activities (including manufacturing, R&amp;D, distributing, marketing, selling a product or service (e.g. terms of sale, backlog, reimbursement, warranty)), financing activities (including activities of historical/current stockholders, historical/current dividends, credit facility, partnership distribution, market capitalization, indebtedness), investment activities (e.g. investment in stocks and bonds, purchase/sale of fixed assets, capital expenditure), M&amp;A activities, restructuring activities, business plan, and firm’s ability and capacity to continue as a going concern</w:t>
            </w:r>
          </w:p>
        </w:tc>
      </w:tr>
      <w:tr w:rsidR="00D955E0" w:rsidRPr="00E915AA" w14:paraId="35D23AEE" w14:textId="77777777" w:rsidTr="001520C5">
        <w:tc>
          <w:tcPr>
            <w:tcW w:w="810" w:type="dxa"/>
            <w:vAlign w:val="center"/>
          </w:tcPr>
          <w:p w14:paraId="215F6B7C" w14:textId="77777777" w:rsidR="00D955E0" w:rsidRPr="00E915AA" w:rsidRDefault="00D955E0" w:rsidP="001520C5">
            <w:pPr>
              <w:autoSpaceDE w:val="0"/>
              <w:autoSpaceDN w:val="0"/>
              <w:adjustRightInd w:val="0"/>
              <w:rPr>
                <w:sz w:val="20"/>
                <w:szCs w:val="20"/>
              </w:rPr>
            </w:pPr>
            <w:r w:rsidRPr="00E915AA">
              <w:rPr>
                <w:sz w:val="20"/>
                <w:szCs w:val="20"/>
              </w:rPr>
              <w:t>D4</w:t>
            </w:r>
          </w:p>
        </w:tc>
        <w:tc>
          <w:tcPr>
            <w:tcW w:w="2171" w:type="dxa"/>
            <w:vAlign w:val="center"/>
          </w:tcPr>
          <w:p w14:paraId="64AB2A5E" w14:textId="77777777" w:rsidR="00D955E0" w:rsidRPr="00E915AA" w:rsidRDefault="00D955E0" w:rsidP="001520C5">
            <w:pPr>
              <w:autoSpaceDE w:val="0"/>
              <w:autoSpaceDN w:val="0"/>
              <w:adjustRightInd w:val="0"/>
              <w:rPr>
                <w:sz w:val="20"/>
                <w:szCs w:val="20"/>
              </w:rPr>
            </w:pPr>
            <w:r w:rsidRPr="00E915AA">
              <w:rPr>
                <w:sz w:val="20"/>
                <w:szCs w:val="20"/>
              </w:rPr>
              <w:t>Competition</w:t>
            </w:r>
          </w:p>
        </w:tc>
        <w:tc>
          <w:tcPr>
            <w:tcW w:w="6035" w:type="dxa"/>
            <w:vAlign w:val="center"/>
          </w:tcPr>
          <w:p w14:paraId="15854C71"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firm's competitive strength</w:t>
            </w:r>
          </w:p>
        </w:tc>
      </w:tr>
      <w:tr w:rsidR="00D955E0" w:rsidRPr="00E915AA" w14:paraId="26594A34" w14:textId="77777777" w:rsidTr="001520C5">
        <w:tc>
          <w:tcPr>
            <w:tcW w:w="810" w:type="dxa"/>
            <w:vAlign w:val="center"/>
          </w:tcPr>
          <w:p w14:paraId="5D2B98EC" w14:textId="77777777" w:rsidR="00D955E0" w:rsidRPr="00E915AA" w:rsidRDefault="00D955E0" w:rsidP="001520C5">
            <w:pPr>
              <w:autoSpaceDE w:val="0"/>
              <w:autoSpaceDN w:val="0"/>
              <w:adjustRightInd w:val="0"/>
              <w:rPr>
                <w:sz w:val="20"/>
                <w:szCs w:val="20"/>
              </w:rPr>
            </w:pPr>
            <w:r w:rsidRPr="00E915AA">
              <w:rPr>
                <w:sz w:val="20"/>
                <w:szCs w:val="20"/>
              </w:rPr>
              <w:t>D5</w:t>
            </w:r>
          </w:p>
        </w:tc>
        <w:tc>
          <w:tcPr>
            <w:tcW w:w="2171" w:type="dxa"/>
            <w:vAlign w:val="center"/>
          </w:tcPr>
          <w:p w14:paraId="6C96751E" w14:textId="77777777" w:rsidR="00D955E0" w:rsidRPr="00E915AA" w:rsidRDefault="00D955E0" w:rsidP="001520C5">
            <w:pPr>
              <w:autoSpaceDE w:val="0"/>
              <w:autoSpaceDN w:val="0"/>
              <w:adjustRightInd w:val="0"/>
              <w:rPr>
                <w:sz w:val="20"/>
                <w:szCs w:val="20"/>
              </w:rPr>
            </w:pPr>
            <w:r w:rsidRPr="00E915AA">
              <w:rPr>
                <w:sz w:val="20"/>
                <w:szCs w:val="20"/>
              </w:rPr>
              <w:t>Material Agreements</w:t>
            </w:r>
          </w:p>
        </w:tc>
        <w:tc>
          <w:tcPr>
            <w:tcW w:w="6035" w:type="dxa"/>
            <w:vAlign w:val="center"/>
          </w:tcPr>
          <w:p w14:paraId="6317E281" w14:textId="77777777" w:rsidR="00D955E0" w:rsidRPr="00E915AA" w:rsidRDefault="00D955E0" w:rsidP="001520C5">
            <w:pPr>
              <w:autoSpaceDE w:val="0"/>
              <w:autoSpaceDN w:val="0"/>
              <w:adjustRightInd w:val="0"/>
              <w:jc w:val="both"/>
              <w:rPr>
                <w:sz w:val="20"/>
                <w:szCs w:val="20"/>
              </w:rPr>
            </w:pPr>
            <w:r w:rsidRPr="00E915AA">
              <w:rPr>
                <w:sz w:val="20"/>
                <w:szCs w:val="20"/>
              </w:rPr>
              <w:t>Question, critiques and requests regarding material contracts/agreements (</w:t>
            </w:r>
            <w:proofErr w:type="gramStart"/>
            <w:r w:rsidRPr="00E915AA">
              <w:rPr>
                <w:sz w:val="20"/>
                <w:szCs w:val="20"/>
              </w:rPr>
              <w:t>e.g.</w:t>
            </w:r>
            <w:proofErr w:type="gramEnd"/>
            <w:r w:rsidRPr="00E915AA">
              <w:rPr>
                <w:sz w:val="20"/>
                <w:szCs w:val="20"/>
              </w:rPr>
              <w:t xml:space="preserve"> lease agreements, </w:t>
            </w:r>
            <w:proofErr w:type="spellStart"/>
            <w:r w:rsidRPr="00E915AA">
              <w:rPr>
                <w:sz w:val="20"/>
                <w:szCs w:val="20"/>
              </w:rPr>
              <w:t>debt</w:t>
            </w:r>
            <w:proofErr w:type="spellEnd"/>
            <w:r w:rsidRPr="00E915AA">
              <w:rPr>
                <w:sz w:val="20"/>
                <w:szCs w:val="20"/>
              </w:rPr>
              <w:t>/credit agreement, debt covenants, contractual obligation) and their terms</w:t>
            </w:r>
          </w:p>
        </w:tc>
      </w:tr>
      <w:tr w:rsidR="00D955E0" w:rsidRPr="00E915AA" w14:paraId="3089E908" w14:textId="77777777" w:rsidTr="001520C5">
        <w:tc>
          <w:tcPr>
            <w:tcW w:w="810" w:type="dxa"/>
            <w:vAlign w:val="center"/>
          </w:tcPr>
          <w:p w14:paraId="4A80707A" w14:textId="77777777" w:rsidR="00D955E0" w:rsidRPr="00E915AA" w:rsidRDefault="00D955E0" w:rsidP="001520C5">
            <w:pPr>
              <w:autoSpaceDE w:val="0"/>
              <w:autoSpaceDN w:val="0"/>
              <w:adjustRightInd w:val="0"/>
              <w:rPr>
                <w:sz w:val="20"/>
                <w:szCs w:val="20"/>
              </w:rPr>
            </w:pPr>
            <w:r w:rsidRPr="00E915AA">
              <w:rPr>
                <w:sz w:val="20"/>
                <w:szCs w:val="20"/>
              </w:rPr>
              <w:t>D6</w:t>
            </w:r>
          </w:p>
        </w:tc>
        <w:tc>
          <w:tcPr>
            <w:tcW w:w="2171" w:type="dxa"/>
            <w:vAlign w:val="center"/>
          </w:tcPr>
          <w:p w14:paraId="3C67CC04" w14:textId="77777777" w:rsidR="00D955E0" w:rsidRPr="00E915AA" w:rsidRDefault="00D955E0" w:rsidP="001520C5">
            <w:pPr>
              <w:autoSpaceDE w:val="0"/>
              <w:autoSpaceDN w:val="0"/>
              <w:adjustRightInd w:val="0"/>
              <w:rPr>
                <w:sz w:val="20"/>
                <w:szCs w:val="20"/>
              </w:rPr>
            </w:pPr>
            <w:r w:rsidRPr="00E915AA">
              <w:rPr>
                <w:sz w:val="20"/>
                <w:szCs w:val="20"/>
              </w:rPr>
              <w:t>Properties and Facilities</w:t>
            </w:r>
          </w:p>
        </w:tc>
        <w:tc>
          <w:tcPr>
            <w:tcW w:w="6035" w:type="dxa"/>
            <w:vAlign w:val="center"/>
          </w:tcPr>
          <w:p w14:paraId="750A8B2B" w14:textId="77777777" w:rsidR="00D955E0" w:rsidRPr="00E915AA" w:rsidRDefault="00D955E0" w:rsidP="001520C5">
            <w:pPr>
              <w:autoSpaceDE w:val="0"/>
              <w:autoSpaceDN w:val="0"/>
              <w:adjustRightInd w:val="0"/>
              <w:jc w:val="both"/>
              <w:rPr>
                <w:sz w:val="20"/>
                <w:szCs w:val="20"/>
              </w:rPr>
            </w:pPr>
            <w:r w:rsidRPr="00E915AA">
              <w:rPr>
                <w:sz w:val="20"/>
                <w:szCs w:val="20"/>
              </w:rPr>
              <w:t>Question, critiques and requests regarding firm's operating location, technology infrastructure, intellectual property (including terms of and claims against intellectual property)</w:t>
            </w:r>
          </w:p>
        </w:tc>
      </w:tr>
      <w:tr w:rsidR="00D955E0" w:rsidRPr="00E915AA" w14:paraId="5EABA1C9" w14:textId="77777777" w:rsidTr="001520C5">
        <w:tc>
          <w:tcPr>
            <w:tcW w:w="810" w:type="dxa"/>
            <w:vAlign w:val="center"/>
          </w:tcPr>
          <w:p w14:paraId="35BDADDA" w14:textId="77777777" w:rsidR="00D955E0" w:rsidRPr="00E915AA" w:rsidRDefault="00D955E0" w:rsidP="001520C5">
            <w:pPr>
              <w:autoSpaceDE w:val="0"/>
              <w:autoSpaceDN w:val="0"/>
              <w:adjustRightInd w:val="0"/>
              <w:rPr>
                <w:sz w:val="20"/>
                <w:szCs w:val="20"/>
              </w:rPr>
            </w:pPr>
            <w:r w:rsidRPr="00E915AA">
              <w:rPr>
                <w:sz w:val="20"/>
                <w:szCs w:val="20"/>
              </w:rPr>
              <w:t>D7</w:t>
            </w:r>
          </w:p>
        </w:tc>
        <w:tc>
          <w:tcPr>
            <w:tcW w:w="2171" w:type="dxa"/>
            <w:vAlign w:val="center"/>
          </w:tcPr>
          <w:p w14:paraId="48C344C9" w14:textId="77777777" w:rsidR="00D955E0" w:rsidRPr="00E915AA" w:rsidRDefault="00D955E0" w:rsidP="001520C5">
            <w:pPr>
              <w:autoSpaceDE w:val="0"/>
              <w:autoSpaceDN w:val="0"/>
              <w:adjustRightInd w:val="0"/>
              <w:rPr>
                <w:sz w:val="20"/>
                <w:szCs w:val="20"/>
              </w:rPr>
            </w:pPr>
            <w:r w:rsidRPr="00E915AA">
              <w:rPr>
                <w:sz w:val="20"/>
                <w:szCs w:val="20"/>
              </w:rPr>
              <w:t>Risk factors (business)</w:t>
            </w:r>
          </w:p>
        </w:tc>
        <w:tc>
          <w:tcPr>
            <w:tcW w:w="6035" w:type="dxa"/>
            <w:vAlign w:val="center"/>
          </w:tcPr>
          <w:p w14:paraId="06329C87" w14:textId="77777777" w:rsidR="00D955E0" w:rsidRPr="00E915AA" w:rsidRDefault="00D955E0" w:rsidP="001520C5">
            <w:pPr>
              <w:autoSpaceDE w:val="0"/>
              <w:autoSpaceDN w:val="0"/>
              <w:adjustRightInd w:val="0"/>
              <w:jc w:val="both"/>
              <w:rPr>
                <w:sz w:val="20"/>
                <w:szCs w:val="20"/>
              </w:rPr>
            </w:pPr>
            <w:r w:rsidRPr="00E915AA">
              <w:rPr>
                <w:sz w:val="20"/>
                <w:szCs w:val="20"/>
              </w:rPr>
              <w:t>Questions and requests regarding characteristics and impact of risk factors on the issuers' business as well as risk management, e.g. self-insurance program</w:t>
            </w:r>
          </w:p>
        </w:tc>
      </w:tr>
      <w:tr w:rsidR="00D955E0" w:rsidRPr="00E915AA" w14:paraId="03B052D1" w14:textId="77777777" w:rsidTr="001520C5">
        <w:tc>
          <w:tcPr>
            <w:tcW w:w="810" w:type="dxa"/>
            <w:vAlign w:val="center"/>
          </w:tcPr>
          <w:p w14:paraId="796A8571" w14:textId="77777777" w:rsidR="00D955E0" w:rsidRPr="00E915AA" w:rsidRDefault="00D955E0" w:rsidP="001520C5">
            <w:pPr>
              <w:autoSpaceDE w:val="0"/>
              <w:autoSpaceDN w:val="0"/>
              <w:adjustRightInd w:val="0"/>
              <w:rPr>
                <w:sz w:val="20"/>
                <w:szCs w:val="20"/>
              </w:rPr>
            </w:pPr>
            <w:r w:rsidRPr="00E915AA">
              <w:rPr>
                <w:sz w:val="20"/>
                <w:szCs w:val="20"/>
              </w:rPr>
              <w:t>D8</w:t>
            </w:r>
          </w:p>
        </w:tc>
        <w:tc>
          <w:tcPr>
            <w:tcW w:w="2171" w:type="dxa"/>
            <w:vAlign w:val="center"/>
          </w:tcPr>
          <w:p w14:paraId="068E2FB3" w14:textId="77777777" w:rsidR="00D955E0" w:rsidRPr="00E915AA" w:rsidRDefault="00D955E0" w:rsidP="001520C5">
            <w:pPr>
              <w:autoSpaceDE w:val="0"/>
              <w:autoSpaceDN w:val="0"/>
              <w:adjustRightInd w:val="0"/>
              <w:rPr>
                <w:sz w:val="20"/>
                <w:szCs w:val="20"/>
              </w:rPr>
            </w:pPr>
            <w:r w:rsidRPr="00E915AA">
              <w:rPr>
                <w:sz w:val="20"/>
                <w:szCs w:val="20"/>
              </w:rPr>
              <w:t>Results of operation</w:t>
            </w:r>
          </w:p>
        </w:tc>
        <w:tc>
          <w:tcPr>
            <w:tcW w:w="6035" w:type="dxa"/>
            <w:vAlign w:val="center"/>
          </w:tcPr>
          <w:p w14:paraId="17C88C05"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issuer's results from operations (e.g. liquidity, probability, capital resource, gross margin, key business metrics, segment reporting) which are often presented by the disclosure of amount of accounting item, determinants/trends of the results as well as the firm's plans to achieve the results, including critiques regarding the issuer's business strength</w:t>
            </w:r>
          </w:p>
        </w:tc>
      </w:tr>
      <w:tr w:rsidR="00D955E0" w:rsidRPr="00E915AA" w14:paraId="6193C245" w14:textId="77777777" w:rsidTr="001520C5">
        <w:tc>
          <w:tcPr>
            <w:tcW w:w="810" w:type="dxa"/>
            <w:vAlign w:val="center"/>
          </w:tcPr>
          <w:p w14:paraId="1E65DBD8" w14:textId="77777777" w:rsidR="00D955E0" w:rsidRPr="00E915AA" w:rsidRDefault="00D955E0" w:rsidP="001520C5">
            <w:pPr>
              <w:autoSpaceDE w:val="0"/>
              <w:autoSpaceDN w:val="0"/>
              <w:adjustRightInd w:val="0"/>
              <w:rPr>
                <w:sz w:val="20"/>
                <w:szCs w:val="20"/>
              </w:rPr>
            </w:pPr>
            <w:r w:rsidRPr="00E915AA">
              <w:rPr>
                <w:sz w:val="20"/>
                <w:szCs w:val="20"/>
              </w:rPr>
              <w:lastRenderedPageBreak/>
              <w:t>D9</w:t>
            </w:r>
          </w:p>
        </w:tc>
        <w:tc>
          <w:tcPr>
            <w:tcW w:w="2171" w:type="dxa"/>
            <w:vAlign w:val="center"/>
          </w:tcPr>
          <w:p w14:paraId="44AF9E9F" w14:textId="77777777" w:rsidR="00D955E0" w:rsidRPr="00E915AA" w:rsidRDefault="00D955E0" w:rsidP="001520C5">
            <w:pPr>
              <w:autoSpaceDE w:val="0"/>
              <w:autoSpaceDN w:val="0"/>
              <w:adjustRightInd w:val="0"/>
              <w:rPr>
                <w:sz w:val="20"/>
                <w:szCs w:val="20"/>
              </w:rPr>
            </w:pPr>
            <w:r w:rsidRPr="00E915AA">
              <w:rPr>
                <w:sz w:val="20"/>
                <w:szCs w:val="20"/>
              </w:rPr>
              <w:t>External reports</w:t>
            </w:r>
          </w:p>
        </w:tc>
        <w:tc>
          <w:tcPr>
            <w:tcW w:w="6035" w:type="dxa"/>
            <w:vAlign w:val="center"/>
          </w:tcPr>
          <w:p w14:paraId="20651999" w14:textId="77777777" w:rsidR="00D955E0" w:rsidRPr="00E915AA" w:rsidRDefault="00D955E0" w:rsidP="001520C5">
            <w:pPr>
              <w:autoSpaceDE w:val="0"/>
              <w:autoSpaceDN w:val="0"/>
              <w:adjustRightInd w:val="0"/>
              <w:jc w:val="both"/>
              <w:rPr>
                <w:sz w:val="20"/>
                <w:szCs w:val="20"/>
              </w:rPr>
            </w:pPr>
            <w:r w:rsidRPr="00E915AA">
              <w:rPr>
                <w:sz w:val="20"/>
                <w:szCs w:val="20"/>
              </w:rPr>
              <w:t>Question, critiques and requests regarding information from reports prepared by external parties, data cited from these reports as well as the identification of the parties who prepared these reports</w:t>
            </w:r>
          </w:p>
        </w:tc>
      </w:tr>
      <w:tr w:rsidR="00D955E0" w:rsidRPr="00E915AA" w14:paraId="21F51B18" w14:textId="77777777" w:rsidTr="001520C5">
        <w:tc>
          <w:tcPr>
            <w:tcW w:w="810" w:type="dxa"/>
            <w:vAlign w:val="center"/>
          </w:tcPr>
          <w:p w14:paraId="7C90BA0A" w14:textId="77777777" w:rsidR="00D955E0" w:rsidRPr="00E915AA" w:rsidRDefault="00D955E0" w:rsidP="001520C5">
            <w:pPr>
              <w:autoSpaceDE w:val="0"/>
              <w:autoSpaceDN w:val="0"/>
              <w:adjustRightInd w:val="0"/>
              <w:rPr>
                <w:sz w:val="20"/>
                <w:szCs w:val="20"/>
              </w:rPr>
            </w:pPr>
            <w:r w:rsidRPr="00E915AA">
              <w:rPr>
                <w:sz w:val="20"/>
                <w:szCs w:val="20"/>
              </w:rPr>
              <w:t>D10</w:t>
            </w:r>
          </w:p>
        </w:tc>
        <w:tc>
          <w:tcPr>
            <w:tcW w:w="2171" w:type="dxa"/>
            <w:vAlign w:val="center"/>
          </w:tcPr>
          <w:p w14:paraId="573DFDD4" w14:textId="77777777" w:rsidR="00D955E0" w:rsidRPr="00E915AA" w:rsidRDefault="00D955E0" w:rsidP="001520C5">
            <w:pPr>
              <w:autoSpaceDE w:val="0"/>
              <w:autoSpaceDN w:val="0"/>
              <w:adjustRightInd w:val="0"/>
              <w:rPr>
                <w:sz w:val="20"/>
                <w:szCs w:val="20"/>
              </w:rPr>
            </w:pPr>
            <w:r w:rsidRPr="00E915AA">
              <w:rPr>
                <w:sz w:val="20"/>
                <w:szCs w:val="20"/>
              </w:rPr>
              <w:t>Status</w:t>
            </w:r>
          </w:p>
        </w:tc>
        <w:tc>
          <w:tcPr>
            <w:tcW w:w="6035" w:type="dxa"/>
            <w:vAlign w:val="center"/>
          </w:tcPr>
          <w:p w14:paraId="003F92F3"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firm's status e.g. limited liability company, Delaware corporation, emerging growth company</w:t>
            </w:r>
          </w:p>
        </w:tc>
      </w:tr>
      <w:tr w:rsidR="00D955E0" w:rsidRPr="00E915AA" w14:paraId="2BDFBF46" w14:textId="77777777" w:rsidTr="001520C5">
        <w:tc>
          <w:tcPr>
            <w:tcW w:w="2981" w:type="dxa"/>
            <w:gridSpan w:val="2"/>
            <w:vAlign w:val="center"/>
          </w:tcPr>
          <w:p w14:paraId="531D1EA4" w14:textId="77777777" w:rsidR="00D955E0" w:rsidRPr="00E915AA" w:rsidRDefault="00D955E0" w:rsidP="001520C5">
            <w:pPr>
              <w:autoSpaceDE w:val="0"/>
              <w:autoSpaceDN w:val="0"/>
              <w:adjustRightInd w:val="0"/>
              <w:rPr>
                <w:b/>
                <w:bCs/>
                <w:sz w:val="20"/>
                <w:szCs w:val="20"/>
              </w:rPr>
            </w:pPr>
            <w:r w:rsidRPr="00E915AA">
              <w:rPr>
                <w:b/>
                <w:bCs/>
                <w:sz w:val="20"/>
                <w:szCs w:val="20"/>
              </w:rPr>
              <w:t>E. Corporate governance issues</w:t>
            </w:r>
          </w:p>
        </w:tc>
        <w:tc>
          <w:tcPr>
            <w:tcW w:w="6035" w:type="dxa"/>
            <w:vAlign w:val="center"/>
          </w:tcPr>
          <w:p w14:paraId="1F2D6747" w14:textId="77777777" w:rsidR="00D955E0" w:rsidRPr="00E915AA" w:rsidRDefault="00D955E0" w:rsidP="001520C5">
            <w:pPr>
              <w:autoSpaceDE w:val="0"/>
              <w:autoSpaceDN w:val="0"/>
              <w:adjustRightInd w:val="0"/>
              <w:jc w:val="both"/>
              <w:rPr>
                <w:b/>
                <w:bCs/>
                <w:sz w:val="20"/>
                <w:szCs w:val="20"/>
              </w:rPr>
            </w:pPr>
            <w:r w:rsidRPr="00E915AA">
              <w:rPr>
                <w:b/>
                <w:bCs/>
                <w:sz w:val="20"/>
                <w:szCs w:val="20"/>
              </w:rPr>
              <w:t>These items represent the SEC's comments relating to the issuers' corporate governance mechanism</w:t>
            </w:r>
          </w:p>
        </w:tc>
      </w:tr>
      <w:tr w:rsidR="00D955E0" w:rsidRPr="00E915AA" w14:paraId="532A0545" w14:textId="77777777" w:rsidTr="001520C5">
        <w:trPr>
          <w:trHeight w:val="1213"/>
        </w:trPr>
        <w:tc>
          <w:tcPr>
            <w:tcW w:w="810" w:type="dxa"/>
            <w:vAlign w:val="center"/>
          </w:tcPr>
          <w:p w14:paraId="41B9A7E9" w14:textId="77777777" w:rsidR="00D955E0" w:rsidRPr="00E915AA" w:rsidRDefault="00D955E0" w:rsidP="001520C5">
            <w:pPr>
              <w:autoSpaceDE w:val="0"/>
              <w:autoSpaceDN w:val="0"/>
              <w:adjustRightInd w:val="0"/>
              <w:rPr>
                <w:sz w:val="20"/>
                <w:szCs w:val="20"/>
              </w:rPr>
            </w:pPr>
            <w:r w:rsidRPr="00E915AA">
              <w:rPr>
                <w:sz w:val="20"/>
                <w:szCs w:val="20"/>
              </w:rPr>
              <w:t>E1</w:t>
            </w:r>
          </w:p>
        </w:tc>
        <w:tc>
          <w:tcPr>
            <w:tcW w:w="2171" w:type="dxa"/>
            <w:vAlign w:val="center"/>
          </w:tcPr>
          <w:p w14:paraId="0A6B7A6D" w14:textId="77777777" w:rsidR="00D955E0" w:rsidRPr="00E915AA" w:rsidRDefault="00D955E0" w:rsidP="001520C5">
            <w:pPr>
              <w:autoSpaceDE w:val="0"/>
              <w:autoSpaceDN w:val="0"/>
              <w:adjustRightInd w:val="0"/>
              <w:rPr>
                <w:sz w:val="20"/>
                <w:szCs w:val="20"/>
              </w:rPr>
            </w:pPr>
            <w:r w:rsidRPr="00E915AA">
              <w:rPr>
                <w:sz w:val="20"/>
                <w:szCs w:val="20"/>
              </w:rPr>
              <w:t>Managers</w:t>
            </w:r>
          </w:p>
        </w:tc>
        <w:tc>
          <w:tcPr>
            <w:tcW w:w="6035" w:type="dxa"/>
            <w:vAlign w:val="center"/>
          </w:tcPr>
          <w:p w14:paraId="584466D6" w14:textId="77777777" w:rsidR="00D955E0" w:rsidRPr="00E915AA" w:rsidRDefault="00D955E0" w:rsidP="001520C5">
            <w:pPr>
              <w:autoSpaceDE w:val="0"/>
              <w:autoSpaceDN w:val="0"/>
              <w:adjustRightInd w:val="0"/>
              <w:jc w:val="both"/>
              <w:rPr>
                <w:sz w:val="20"/>
                <w:szCs w:val="20"/>
              </w:rPr>
            </w:pPr>
            <w:r w:rsidRPr="00E915AA">
              <w:rPr>
                <w:sz w:val="20"/>
                <w:szCs w:val="20"/>
              </w:rPr>
              <w:t xml:space="preserve">Requests about information about identifications of the issuer's managers, their agreement, the </w:t>
            </w:r>
            <w:proofErr w:type="gramStart"/>
            <w:r w:rsidRPr="00E915AA">
              <w:rPr>
                <w:sz w:val="20"/>
                <w:szCs w:val="20"/>
              </w:rPr>
              <w:t>time</w:t>
            </w:r>
            <w:proofErr w:type="gramEnd"/>
            <w:r w:rsidRPr="00E915AA">
              <w:rPr>
                <w:sz w:val="20"/>
                <w:szCs w:val="20"/>
              </w:rPr>
              <w:t xml:space="preserve"> and resources they have been devoting to the firm as well as their right &amp; obligation (e.g., issues on the firms' status as controlled company), including key performance measure applied to the managers, leadership structure and managers' signatures</w:t>
            </w:r>
          </w:p>
        </w:tc>
      </w:tr>
      <w:tr w:rsidR="00D955E0" w:rsidRPr="00E915AA" w14:paraId="682741E7" w14:textId="77777777" w:rsidTr="001520C5">
        <w:tc>
          <w:tcPr>
            <w:tcW w:w="810" w:type="dxa"/>
            <w:vAlign w:val="center"/>
          </w:tcPr>
          <w:p w14:paraId="0E1906A1" w14:textId="77777777" w:rsidR="00D955E0" w:rsidRPr="00E915AA" w:rsidRDefault="00D955E0" w:rsidP="001520C5">
            <w:pPr>
              <w:autoSpaceDE w:val="0"/>
              <w:autoSpaceDN w:val="0"/>
              <w:adjustRightInd w:val="0"/>
              <w:rPr>
                <w:sz w:val="20"/>
                <w:szCs w:val="20"/>
              </w:rPr>
            </w:pPr>
            <w:r w:rsidRPr="00E915AA">
              <w:rPr>
                <w:sz w:val="20"/>
                <w:szCs w:val="20"/>
              </w:rPr>
              <w:t>E2</w:t>
            </w:r>
          </w:p>
        </w:tc>
        <w:tc>
          <w:tcPr>
            <w:tcW w:w="2171" w:type="dxa"/>
            <w:vAlign w:val="center"/>
          </w:tcPr>
          <w:p w14:paraId="71200ACE" w14:textId="77777777" w:rsidR="00D955E0" w:rsidRPr="00E915AA" w:rsidRDefault="00D955E0" w:rsidP="001520C5">
            <w:pPr>
              <w:autoSpaceDE w:val="0"/>
              <w:autoSpaceDN w:val="0"/>
              <w:adjustRightInd w:val="0"/>
              <w:rPr>
                <w:sz w:val="20"/>
                <w:szCs w:val="20"/>
              </w:rPr>
            </w:pPr>
            <w:r w:rsidRPr="00E915AA">
              <w:rPr>
                <w:sz w:val="20"/>
                <w:szCs w:val="20"/>
              </w:rPr>
              <w:t>Related parties' transactions</w:t>
            </w:r>
          </w:p>
        </w:tc>
        <w:tc>
          <w:tcPr>
            <w:tcW w:w="6035" w:type="dxa"/>
            <w:vAlign w:val="center"/>
          </w:tcPr>
          <w:p w14:paraId="754B6324" w14:textId="77777777" w:rsidR="00D955E0" w:rsidRPr="00E915AA" w:rsidRDefault="00D955E0" w:rsidP="001520C5">
            <w:pPr>
              <w:autoSpaceDE w:val="0"/>
              <w:autoSpaceDN w:val="0"/>
              <w:adjustRightInd w:val="0"/>
              <w:jc w:val="both"/>
              <w:rPr>
                <w:sz w:val="20"/>
                <w:szCs w:val="20"/>
              </w:rPr>
            </w:pPr>
            <w:r w:rsidRPr="00E915AA">
              <w:rPr>
                <w:sz w:val="20"/>
                <w:szCs w:val="20"/>
              </w:rPr>
              <w:t>Questions and requests regarding transactions of related parties, including anti-takeover provisions that are included in firm’s by-laws</w:t>
            </w:r>
          </w:p>
        </w:tc>
      </w:tr>
      <w:tr w:rsidR="00D955E0" w:rsidRPr="00E915AA" w14:paraId="51BBCBCB" w14:textId="77777777" w:rsidTr="001520C5">
        <w:tc>
          <w:tcPr>
            <w:tcW w:w="810" w:type="dxa"/>
            <w:vAlign w:val="center"/>
          </w:tcPr>
          <w:p w14:paraId="4518356D" w14:textId="77777777" w:rsidR="00D955E0" w:rsidRPr="00E915AA" w:rsidRDefault="00D955E0" w:rsidP="001520C5">
            <w:pPr>
              <w:autoSpaceDE w:val="0"/>
              <w:autoSpaceDN w:val="0"/>
              <w:adjustRightInd w:val="0"/>
              <w:rPr>
                <w:sz w:val="20"/>
                <w:szCs w:val="20"/>
              </w:rPr>
            </w:pPr>
            <w:r w:rsidRPr="00E915AA">
              <w:rPr>
                <w:sz w:val="20"/>
                <w:szCs w:val="20"/>
              </w:rPr>
              <w:t>E3</w:t>
            </w:r>
          </w:p>
        </w:tc>
        <w:tc>
          <w:tcPr>
            <w:tcW w:w="2171" w:type="dxa"/>
            <w:vAlign w:val="center"/>
          </w:tcPr>
          <w:p w14:paraId="4CC66FC3" w14:textId="77777777" w:rsidR="00D955E0" w:rsidRPr="00E915AA" w:rsidRDefault="00D955E0" w:rsidP="001520C5">
            <w:pPr>
              <w:autoSpaceDE w:val="0"/>
              <w:autoSpaceDN w:val="0"/>
              <w:adjustRightInd w:val="0"/>
              <w:rPr>
                <w:sz w:val="20"/>
                <w:szCs w:val="20"/>
              </w:rPr>
            </w:pPr>
            <w:r w:rsidRPr="00E915AA">
              <w:rPr>
                <w:sz w:val="20"/>
                <w:szCs w:val="20"/>
              </w:rPr>
              <w:t>Organizational structure</w:t>
            </w:r>
          </w:p>
        </w:tc>
        <w:tc>
          <w:tcPr>
            <w:tcW w:w="6035" w:type="dxa"/>
            <w:vAlign w:val="center"/>
          </w:tcPr>
          <w:p w14:paraId="73BA6B85"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and requests regarding the issuers' organizational structure and ownership structure (including identifications, </w:t>
            </w:r>
            <w:proofErr w:type="gramStart"/>
            <w:r w:rsidRPr="00E915AA">
              <w:rPr>
                <w:sz w:val="20"/>
                <w:szCs w:val="20"/>
              </w:rPr>
              <w:t>control</w:t>
            </w:r>
            <w:proofErr w:type="gramEnd"/>
            <w:r w:rsidRPr="00E915AA">
              <w:rPr>
                <w:sz w:val="20"/>
                <w:szCs w:val="20"/>
              </w:rPr>
              <w:t xml:space="preserve"> and interest of the owners)</w:t>
            </w:r>
          </w:p>
        </w:tc>
      </w:tr>
      <w:tr w:rsidR="00D955E0" w:rsidRPr="00E915AA" w14:paraId="3D0441CB" w14:textId="77777777" w:rsidTr="001520C5">
        <w:tc>
          <w:tcPr>
            <w:tcW w:w="810" w:type="dxa"/>
            <w:vAlign w:val="center"/>
          </w:tcPr>
          <w:p w14:paraId="2C861BF7" w14:textId="77777777" w:rsidR="00D955E0" w:rsidRPr="00E915AA" w:rsidRDefault="00D955E0" w:rsidP="001520C5">
            <w:pPr>
              <w:autoSpaceDE w:val="0"/>
              <w:autoSpaceDN w:val="0"/>
              <w:adjustRightInd w:val="0"/>
              <w:rPr>
                <w:sz w:val="20"/>
                <w:szCs w:val="20"/>
              </w:rPr>
            </w:pPr>
            <w:r w:rsidRPr="00E915AA">
              <w:rPr>
                <w:sz w:val="20"/>
                <w:szCs w:val="20"/>
              </w:rPr>
              <w:t>E4</w:t>
            </w:r>
          </w:p>
        </w:tc>
        <w:tc>
          <w:tcPr>
            <w:tcW w:w="2171" w:type="dxa"/>
            <w:vAlign w:val="center"/>
          </w:tcPr>
          <w:p w14:paraId="2FEB97D1" w14:textId="77777777" w:rsidR="00D955E0" w:rsidRPr="00E915AA" w:rsidRDefault="00D955E0" w:rsidP="001520C5">
            <w:pPr>
              <w:autoSpaceDE w:val="0"/>
              <w:autoSpaceDN w:val="0"/>
              <w:adjustRightInd w:val="0"/>
              <w:rPr>
                <w:sz w:val="20"/>
                <w:szCs w:val="20"/>
              </w:rPr>
            </w:pPr>
            <w:r w:rsidRPr="00E915AA">
              <w:rPr>
                <w:sz w:val="20"/>
                <w:szCs w:val="20"/>
              </w:rPr>
              <w:t>Compensation</w:t>
            </w:r>
          </w:p>
        </w:tc>
        <w:tc>
          <w:tcPr>
            <w:tcW w:w="6035" w:type="dxa"/>
            <w:vAlign w:val="center"/>
          </w:tcPr>
          <w:p w14:paraId="7C2BF288"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amount of non- or stock-based compensation which was paid as well as the compensation plans for the firm’s executives and employees, metrics that the firm (typically through its board of directors) uses to assess management performance, in order to determine annual bonuses</w:t>
            </w:r>
          </w:p>
        </w:tc>
      </w:tr>
      <w:tr w:rsidR="00D955E0" w:rsidRPr="00E915AA" w14:paraId="287397CC" w14:textId="77777777" w:rsidTr="001520C5">
        <w:tc>
          <w:tcPr>
            <w:tcW w:w="810" w:type="dxa"/>
            <w:vAlign w:val="center"/>
          </w:tcPr>
          <w:p w14:paraId="675CE249" w14:textId="77777777" w:rsidR="00D955E0" w:rsidRPr="00E915AA" w:rsidRDefault="00D955E0" w:rsidP="001520C5">
            <w:pPr>
              <w:autoSpaceDE w:val="0"/>
              <w:autoSpaceDN w:val="0"/>
              <w:adjustRightInd w:val="0"/>
              <w:rPr>
                <w:sz w:val="20"/>
                <w:szCs w:val="20"/>
              </w:rPr>
            </w:pPr>
            <w:r w:rsidRPr="00E915AA">
              <w:rPr>
                <w:sz w:val="20"/>
                <w:szCs w:val="20"/>
              </w:rPr>
              <w:t>E5</w:t>
            </w:r>
          </w:p>
        </w:tc>
        <w:tc>
          <w:tcPr>
            <w:tcW w:w="2171" w:type="dxa"/>
            <w:vAlign w:val="center"/>
          </w:tcPr>
          <w:p w14:paraId="7161E6AE" w14:textId="77777777" w:rsidR="00D955E0" w:rsidRPr="00E915AA" w:rsidRDefault="00D955E0" w:rsidP="001520C5">
            <w:pPr>
              <w:autoSpaceDE w:val="0"/>
              <w:autoSpaceDN w:val="0"/>
              <w:adjustRightInd w:val="0"/>
              <w:rPr>
                <w:sz w:val="20"/>
                <w:szCs w:val="20"/>
              </w:rPr>
            </w:pPr>
            <w:r w:rsidRPr="00E915AA">
              <w:rPr>
                <w:sz w:val="20"/>
                <w:szCs w:val="20"/>
              </w:rPr>
              <w:t>Employee</w:t>
            </w:r>
          </w:p>
        </w:tc>
        <w:tc>
          <w:tcPr>
            <w:tcW w:w="6035" w:type="dxa"/>
            <w:vAlign w:val="center"/>
          </w:tcPr>
          <w:p w14:paraId="53DB8B15"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employee-related matters, including salary, labour issues, employment contracts, pension and other employee benefit</w:t>
            </w:r>
          </w:p>
        </w:tc>
      </w:tr>
      <w:tr w:rsidR="00D955E0" w:rsidRPr="00E915AA" w14:paraId="12E6588F" w14:textId="77777777" w:rsidTr="001520C5">
        <w:tc>
          <w:tcPr>
            <w:tcW w:w="2981" w:type="dxa"/>
            <w:gridSpan w:val="2"/>
            <w:vAlign w:val="center"/>
          </w:tcPr>
          <w:p w14:paraId="7593278D" w14:textId="77777777" w:rsidR="00D955E0" w:rsidRPr="00E915AA" w:rsidRDefault="00D955E0" w:rsidP="001520C5">
            <w:pPr>
              <w:autoSpaceDE w:val="0"/>
              <w:autoSpaceDN w:val="0"/>
              <w:adjustRightInd w:val="0"/>
              <w:rPr>
                <w:sz w:val="20"/>
                <w:szCs w:val="20"/>
              </w:rPr>
            </w:pPr>
            <w:r w:rsidRPr="00E915AA">
              <w:rPr>
                <w:b/>
                <w:bCs/>
                <w:sz w:val="20"/>
                <w:szCs w:val="20"/>
              </w:rPr>
              <w:t>F. Disclosure issues</w:t>
            </w:r>
          </w:p>
        </w:tc>
        <w:tc>
          <w:tcPr>
            <w:tcW w:w="6035" w:type="dxa"/>
            <w:vAlign w:val="center"/>
          </w:tcPr>
          <w:p w14:paraId="29614023" w14:textId="77777777" w:rsidR="00D955E0" w:rsidRPr="00E915AA" w:rsidRDefault="00D955E0" w:rsidP="001520C5">
            <w:pPr>
              <w:autoSpaceDE w:val="0"/>
              <w:autoSpaceDN w:val="0"/>
              <w:adjustRightInd w:val="0"/>
              <w:jc w:val="both"/>
              <w:rPr>
                <w:b/>
                <w:bCs/>
                <w:sz w:val="20"/>
                <w:szCs w:val="20"/>
              </w:rPr>
            </w:pPr>
            <w:r w:rsidRPr="00E915AA">
              <w:rPr>
                <w:b/>
                <w:bCs/>
                <w:sz w:val="20"/>
                <w:szCs w:val="20"/>
              </w:rPr>
              <w:t>These items represent the SEC's comments relating to language used in the S-1 filings as well as the qualitative characteristics of the information disclosed in the S-1 filings. These items also represent the SEC's request for additional documents. In addition, these items represent the SEC's comments on the issuer's undertaking relating to the filing and disclosure of S-1, amended S-1 and other related documents</w:t>
            </w:r>
          </w:p>
        </w:tc>
      </w:tr>
      <w:tr w:rsidR="00D955E0" w:rsidRPr="00E915AA" w14:paraId="64C3BCA0" w14:textId="77777777" w:rsidTr="001520C5">
        <w:tc>
          <w:tcPr>
            <w:tcW w:w="810" w:type="dxa"/>
            <w:vAlign w:val="center"/>
          </w:tcPr>
          <w:p w14:paraId="29E01142" w14:textId="77777777" w:rsidR="00D955E0" w:rsidRPr="00E915AA" w:rsidRDefault="00D955E0" w:rsidP="001520C5">
            <w:pPr>
              <w:autoSpaceDE w:val="0"/>
              <w:autoSpaceDN w:val="0"/>
              <w:adjustRightInd w:val="0"/>
              <w:rPr>
                <w:sz w:val="20"/>
                <w:szCs w:val="20"/>
              </w:rPr>
            </w:pPr>
            <w:r w:rsidRPr="00E915AA">
              <w:rPr>
                <w:sz w:val="20"/>
                <w:szCs w:val="20"/>
              </w:rPr>
              <w:t>F1</w:t>
            </w:r>
          </w:p>
        </w:tc>
        <w:tc>
          <w:tcPr>
            <w:tcW w:w="2171" w:type="dxa"/>
            <w:vAlign w:val="center"/>
          </w:tcPr>
          <w:p w14:paraId="1402EA5E" w14:textId="77777777" w:rsidR="00D955E0" w:rsidRPr="00E915AA" w:rsidRDefault="00D955E0" w:rsidP="001520C5">
            <w:pPr>
              <w:autoSpaceDE w:val="0"/>
              <w:autoSpaceDN w:val="0"/>
              <w:adjustRightInd w:val="0"/>
              <w:rPr>
                <w:sz w:val="20"/>
                <w:szCs w:val="20"/>
              </w:rPr>
            </w:pPr>
            <w:r w:rsidRPr="00E915AA">
              <w:rPr>
                <w:sz w:val="20"/>
                <w:szCs w:val="20"/>
              </w:rPr>
              <w:t>Technical information</w:t>
            </w:r>
          </w:p>
        </w:tc>
        <w:tc>
          <w:tcPr>
            <w:tcW w:w="6035" w:type="dxa"/>
            <w:vAlign w:val="center"/>
          </w:tcPr>
          <w:p w14:paraId="4EE5E65F"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meaning and use of industry specific terms, jargons, defined terms in S-1 filing</w:t>
            </w:r>
          </w:p>
        </w:tc>
      </w:tr>
      <w:tr w:rsidR="00D955E0" w:rsidRPr="00E915AA" w14:paraId="26FE45BB" w14:textId="77777777" w:rsidTr="001520C5">
        <w:tc>
          <w:tcPr>
            <w:tcW w:w="810" w:type="dxa"/>
            <w:vAlign w:val="center"/>
          </w:tcPr>
          <w:p w14:paraId="44283877" w14:textId="77777777" w:rsidR="00D955E0" w:rsidRPr="00E915AA" w:rsidRDefault="00D955E0" w:rsidP="001520C5">
            <w:pPr>
              <w:autoSpaceDE w:val="0"/>
              <w:autoSpaceDN w:val="0"/>
              <w:adjustRightInd w:val="0"/>
              <w:rPr>
                <w:sz w:val="20"/>
                <w:szCs w:val="20"/>
              </w:rPr>
            </w:pPr>
            <w:r w:rsidRPr="00E915AA">
              <w:rPr>
                <w:sz w:val="20"/>
                <w:szCs w:val="20"/>
              </w:rPr>
              <w:t xml:space="preserve">F2 </w:t>
            </w:r>
          </w:p>
        </w:tc>
        <w:tc>
          <w:tcPr>
            <w:tcW w:w="2171" w:type="dxa"/>
            <w:vAlign w:val="center"/>
          </w:tcPr>
          <w:p w14:paraId="560B0E1D" w14:textId="77777777" w:rsidR="00D955E0" w:rsidRPr="00E915AA" w:rsidRDefault="00D955E0" w:rsidP="001520C5">
            <w:pPr>
              <w:autoSpaceDE w:val="0"/>
              <w:autoSpaceDN w:val="0"/>
              <w:adjustRightInd w:val="0"/>
              <w:rPr>
                <w:sz w:val="20"/>
                <w:szCs w:val="20"/>
              </w:rPr>
            </w:pPr>
            <w:r w:rsidRPr="00E915AA">
              <w:rPr>
                <w:sz w:val="20"/>
                <w:szCs w:val="20"/>
              </w:rPr>
              <w:t>Abstract word</w:t>
            </w:r>
          </w:p>
        </w:tc>
        <w:tc>
          <w:tcPr>
            <w:tcW w:w="6035" w:type="dxa"/>
            <w:vAlign w:val="center"/>
          </w:tcPr>
          <w:p w14:paraId="0129430F"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use of abstract words</w:t>
            </w:r>
          </w:p>
        </w:tc>
      </w:tr>
      <w:tr w:rsidR="00D955E0" w:rsidRPr="00E915AA" w14:paraId="5DD665B3" w14:textId="77777777" w:rsidTr="001520C5">
        <w:tc>
          <w:tcPr>
            <w:tcW w:w="810" w:type="dxa"/>
            <w:vAlign w:val="center"/>
          </w:tcPr>
          <w:p w14:paraId="03C5E204" w14:textId="77777777" w:rsidR="00D955E0" w:rsidRPr="00E915AA" w:rsidRDefault="00D955E0" w:rsidP="001520C5">
            <w:pPr>
              <w:autoSpaceDE w:val="0"/>
              <w:autoSpaceDN w:val="0"/>
              <w:adjustRightInd w:val="0"/>
              <w:rPr>
                <w:sz w:val="20"/>
                <w:szCs w:val="20"/>
              </w:rPr>
            </w:pPr>
            <w:r w:rsidRPr="00E915AA">
              <w:rPr>
                <w:sz w:val="20"/>
                <w:szCs w:val="20"/>
              </w:rPr>
              <w:t>F3</w:t>
            </w:r>
          </w:p>
        </w:tc>
        <w:tc>
          <w:tcPr>
            <w:tcW w:w="2171" w:type="dxa"/>
            <w:vAlign w:val="center"/>
          </w:tcPr>
          <w:p w14:paraId="597C7294" w14:textId="77777777" w:rsidR="00D955E0" w:rsidRPr="00E915AA" w:rsidRDefault="00D955E0" w:rsidP="001520C5">
            <w:pPr>
              <w:autoSpaceDE w:val="0"/>
              <w:autoSpaceDN w:val="0"/>
              <w:adjustRightInd w:val="0"/>
              <w:rPr>
                <w:sz w:val="20"/>
                <w:szCs w:val="20"/>
              </w:rPr>
            </w:pPr>
            <w:r w:rsidRPr="00E915AA">
              <w:rPr>
                <w:sz w:val="20"/>
                <w:szCs w:val="20"/>
              </w:rPr>
              <w:t>Tone</w:t>
            </w:r>
          </w:p>
        </w:tc>
        <w:tc>
          <w:tcPr>
            <w:tcW w:w="6035" w:type="dxa"/>
            <w:vAlign w:val="center"/>
          </w:tcPr>
          <w:p w14:paraId="16448607" w14:textId="77777777" w:rsidR="00D955E0" w:rsidRPr="00E915AA" w:rsidRDefault="00D955E0" w:rsidP="001520C5">
            <w:pPr>
              <w:autoSpaceDE w:val="0"/>
              <w:autoSpaceDN w:val="0"/>
              <w:adjustRightInd w:val="0"/>
              <w:jc w:val="both"/>
              <w:rPr>
                <w:sz w:val="20"/>
                <w:szCs w:val="20"/>
              </w:rPr>
            </w:pPr>
            <w:r w:rsidRPr="00E915AA">
              <w:rPr>
                <w:sz w:val="20"/>
                <w:szCs w:val="20"/>
              </w:rPr>
              <w:t xml:space="preserve">Critiques and requests regarding word tone in S-1 filings, </w:t>
            </w:r>
            <w:proofErr w:type="gramStart"/>
            <w:r w:rsidRPr="00E915AA">
              <w:rPr>
                <w:sz w:val="20"/>
                <w:szCs w:val="20"/>
              </w:rPr>
              <w:t>e.g.</w:t>
            </w:r>
            <w:proofErr w:type="gramEnd"/>
            <w:r w:rsidRPr="00E915AA">
              <w:rPr>
                <w:sz w:val="20"/>
                <w:szCs w:val="20"/>
              </w:rPr>
              <w:t xml:space="preserve"> over-positive tone (including hype or overstating information), uncertain tone</w:t>
            </w:r>
          </w:p>
        </w:tc>
      </w:tr>
      <w:tr w:rsidR="00D955E0" w:rsidRPr="00E915AA" w14:paraId="5E0AC1D2" w14:textId="77777777" w:rsidTr="001520C5">
        <w:tc>
          <w:tcPr>
            <w:tcW w:w="810" w:type="dxa"/>
            <w:vAlign w:val="center"/>
          </w:tcPr>
          <w:p w14:paraId="050875D9" w14:textId="77777777" w:rsidR="00D955E0" w:rsidRPr="00E915AA" w:rsidRDefault="00D955E0" w:rsidP="001520C5">
            <w:pPr>
              <w:autoSpaceDE w:val="0"/>
              <w:autoSpaceDN w:val="0"/>
              <w:adjustRightInd w:val="0"/>
              <w:rPr>
                <w:sz w:val="20"/>
                <w:szCs w:val="20"/>
              </w:rPr>
            </w:pPr>
            <w:r w:rsidRPr="00E915AA">
              <w:rPr>
                <w:sz w:val="20"/>
                <w:szCs w:val="20"/>
              </w:rPr>
              <w:t>F4</w:t>
            </w:r>
          </w:p>
        </w:tc>
        <w:tc>
          <w:tcPr>
            <w:tcW w:w="2171" w:type="dxa"/>
            <w:vAlign w:val="center"/>
          </w:tcPr>
          <w:p w14:paraId="309DB5F0" w14:textId="77777777" w:rsidR="00D955E0" w:rsidRPr="00E915AA" w:rsidRDefault="00D955E0" w:rsidP="001520C5">
            <w:pPr>
              <w:autoSpaceDE w:val="0"/>
              <w:autoSpaceDN w:val="0"/>
              <w:adjustRightInd w:val="0"/>
              <w:rPr>
                <w:sz w:val="20"/>
                <w:szCs w:val="20"/>
              </w:rPr>
            </w:pPr>
            <w:r w:rsidRPr="00E915AA">
              <w:rPr>
                <w:sz w:val="20"/>
                <w:szCs w:val="20"/>
              </w:rPr>
              <w:t>Selective disclosure</w:t>
            </w:r>
          </w:p>
        </w:tc>
        <w:tc>
          <w:tcPr>
            <w:tcW w:w="6035" w:type="dxa"/>
            <w:vAlign w:val="center"/>
          </w:tcPr>
          <w:p w14:paraId="2D598331" w14:textId="77777777" w:rsidR="00D955E0" w:rsidRPr="00E915AA" w:rsidRDefault="00D955E0" w:rsidP="001520C5">
            <w:pPr>
              <w:autoSpaceDE w:val="0"/>
              <w:autoSpaceDN w:val="0"/>
              <w:adjustRightInd w:val="0"/>
              <w:jc w:val="both"/>
              <w:rPr>
                <w:sz w:val="20"/>
                <w:szCs w:val="20"/>
              </w:rPr>
            </w:pPr>
            <w:r w:rsidRPr="00E915AA">
              <w:rPr>
                <w:sz w:val="20"/>
                <w:szCs w:val="20"/>
              </w:rPr>
              <w:t>Critiques and requests selective disclosure S-1 filing, for example, the disclosure focus on upside or 'good' information with lack of discussion of the risk s and downside of their business and operating environment</w:t>
            </w:r>
          </w:p>
        </w:tc>
      </w:tr>
      <w:tr w:rsidR="00D955E0" w:rsidRPr="00E915AA" w14:paraId="292F8A03" w14:textId="77777777" w:rsidTr="001520C5">
        <w:tc>
          <w:tcPr>
            <w:tcW w:w="810" w:type="dxa"/>
            <w:vAlign w:val="center"/>
          </w:tcPr>
          <w:p w14:paraId="5DBA7904" w14:textId="77777777" w:rsidR="00D955E0" w:rsidRPr="00E915AA" w:rsidRDefault="00D955E0" w:rsidP="001520C5">
            <w:pPr>
              <w:autoSpaceDE w:val="0"/>
              <w:autoSpaceDN w:val="0"/>
              <w:adjustRightInd w:val="0"/>
              <w:rPr>
                <w:sz w:val="20"/>
                <w:szCs w:val="20"/>
              </w:rPr>
            </w:pPr>
            <w:r w:rsidRPr="00E915AA">
              <w:rPr>
                <w:sz w:val="20"/>
                <w:szCs w:val="20"/>
              </w:rPr>
              <w:t>F5</w:t>
            </w:r>
          </w:p>
        </w:tc>
        <w:tc>
          <w:tcPr>
            <w:tcW w:w="2171" w:type="dxa"/>
            <w:vAlign w:val="center"/>
          </w:tcPr>
          <w:p w14:paraId="55C18597" w14:textId="77777777" w:rsidR="00D955E0" w:rsidRPr="00E915AA" w:rsidRDefault="00D955E0" w:rsidP="001520C5">
            <w:pPr>
              <w:autoSpaceDE w:val="0"/>
              <w:autoSpaceDN w:val="0"/>
              <w:adjustRightInd w:val="0"/>
              <w:rPr>
                <w:sz w:val="20"/>
                <w:szCs w:val="20"/>
              </w:rPr>
            </w:pPr>
            <w:r w:rsidRPr="00E915AA">
              <w:rPr>
                <w:sz w:val="20"/>
                <w:szCs w:val="20"/>
              </w:rPr>
              <w:t>Completeness</w:t>
            </w:r>
          </w:p>
        </w:tc>
        <w:tc>
          <w:tcPr>
            <w:tcW w:w="6035" w:type="dxa"/>
            <w:vAlign w:val="center"/>
          </w:tcPr>
          <w:p w14:paraId="7C2EC459" w14:textId="77777777" w:rsidR="00D955E0" w:rsidRPr="00E915AA" w:rsidRDefault="00D955E0" w:rsidP="001520C5">
            <w:pPr>
              <w:autoSpaceDE w:val="0"/>
              <w:autoSpaceDN w:val="0"/>
              <w:adjustRightInd w:val="0"/>
              <w:jc w:val="both"/>
              <w:rPr>
                <w:sz w:val="20"/>
                <w:szCs w:val="20"/>
              </w:rPr>
            </w:pPr>
            <w:r w:rsidRPr="00E915AA">
              <w:rPr>
                <w:sz w:val="20"/>
                <w:szCs w:val="20"/>
              </w:rPr>
              <w:t>Critiques and requests regarding lack of necessary or important information required by specific rules (</w:t>
            </w:r>
            <w:proofErr w:type="gramStart"/>
            <w:r w:rsidRPr="00E915AA">
              <w:rPr>
                <w:sz w:val="20"/>
                <w:szCs w:val="20"/>
              </w:rPr>
              <w:t>e.g.</w:t>
            </w:r>
            <w:proofErr w:type="gramEnd"/>
            <w:r w:rsidRPr="00E915AA">
              <w:rPr>
                <w:sz w:val="20"/>
                <w:szCs w:val="20"/>
              </w:rPr>
              <w:t xml:space="preserve"> Regulation S-K), request of including information which is disclosed in other sections in S-1 filings or other document, requests for including additional statement.</w:t>
            </w:r>
          </w:p>
        </w:tc>
      </w:tr>
      <w:tr w:rsidR="00D955E0" w:rsidRPr="00E915AA" w14:paraId="201BA3F7" w14:textId="77777777" w:rsidTr="001520C5">
        <w:tc>
          <w:tcPr>
            <w:tcW w:w="810" w:type="dxa"/>
            <w:vAlign w:val="center"/>
          </w:tcPr>
          <w:p w14:paraId="1FCE5C59" w14:textId="77777777" w:rsidR="00D955E0" w:rsidRPr="00E915AA" w:rsidRDefault="00D955E0" w:rsidP="001520C5">
            <w:pPr>
              <w:autoSpaceDE w:val="0"/>
              <w:autoSpaceDN w:val="0"/>
              <w:adjustRightInd w:val="0"/>
              <w:rPr>
                <w:sz w:val="20"/>
                <w:szCs w:val="20"/>
              </w:rPr>
            </w:pPr>
            <w:r w:rsidRPr="00E915AA">
              <w:rPr>
                <w:sz w:val="20"/>
                <w:szCs w:val="20"/>
              </w:rPr>
              <w:t>F6</w:t>
            </w:r>
          </w:p>
        </w:tc>
        <w:tc>
          <w:tcPr>
            <w:tcW w:w="2171" w:type="dxa"/>
            <w:vAlign w:val="center"/>
          </w:tcPr>
          <w:p w14:paraId="4AB99235" w14:textId="77777777" w:rsidR="00D955E0" w:rsidRPr="00E915AA" w:rsidRDefault="00D955E0" w:rsidP="001520C5">
            <w:pPr>
              <w:autoSpaceDE w:val="0"/>
              <w:autoSpaceDN w:val="0"/>
              <w:adjustRightInd w:val="0"/>
              <w:rPr>
                <w:sz w:val="20"/>
                <w:szCs w:val="20"/>
              </w:rPr>
            </w:pPr>
            <w:r w:rsidRPr="00E915AA">
              <w:rPr>
                <w:sz w:val="20"/>
                <w:szCs w:val="20"/>
              </w:rPr>
              <w:t>General information</w:t>
            </w:r>
          </w:p>
        </w:tc>
        <w:tc>
          <w:tcPr>
            <w:tcW w:w="6035" w:type="dxa"/>
            <w:vAlign w:val="center"/>
          </w:tcPr>
          <w:p w14:paraId="4C2AC6DB"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general, unclear or unintelligible, unnoticeable information in S-1 filing which are often required to clarify by a specific rule, requests for highlight unnoticeable information or including more clear statement.</w:t>
            </w:r>
          </w:p>
        </w:tc>
      </w:tr>
      <w:tr w:rsidR="00D955E0" w:rsidRPr="00E915AA" w14:paraId="07EB3401" w14:textId="77777777" w:rsidTr="001520C5">
        <w:tc>
          <w:tcPr>
            <w:tcW w:w="810" w:type="dxa"/>
            <w:vAlign w:val="center"/>
          </w:tcPr>
          <w:p w14:paraId="5F6DFD7D" w14:textId="77777777" w:rsidR="00D955E0" w:rsidRPr="00E915AA" w:rsidRDefault="00D955E0" w:rsidP="001520C5">
            <w:pPr>
              <w:autoSpaceDE w:val="0"/>
              <w:autoSpaceDN w:val="0"/>
              <w:adjustRightInd w:val="0"/>
              <w:rPr>
                <w:sz w:val="20"/>
                <w:szCs w:val="20"/>
              </w:rPr>
            </w:pPr>
            <w:r w:rsidRPr="00E915AA">
              <w:rPr>
                <w:sz w:val="20"/>
                <w:szCs w:val="20"/>
              </w:rPr>
              <w:t>F7</w:t>
            </w:r>
          </w:p>
        </w:tc>
        <w:tc>
          <w:tcPr>
            <w:tcW w:w="2171" w:type="dxa"/>
            <w:vAlign w:val="center"/>
          </w:tcPr>
          <w:p w14:paraId="19A29E8C" w14:textId="77777777" w:rsidR="00D955E0" w:rsidRPr="00E915AA" w:rsidRDefault="00D955E0" w:rsidP="001520C5">
            <w:pPr>
              <w:autoSpaceDE w:val="0"/>
              <w:autoSpaceDN w:val="0"/>
              <w:adjustRightInd w:val="0"/>
              <w:rPr>
                <w:sz w:val="20"/>
                <w:szCs w:val="20"/>
              </w:rPr>
            </w:pPr>
            <w:r w:rsidRPr="00E915AA">
              <w:rPr>
                <w:sz w:val="20"/>
                <w:szCs w:val="20"/>
              </w:rPr>
              <w:t>Inaccurate/inappropriate disclosure</w:t>
            </w:r>
          </w:p>
        </w:tc>
        <w:tc>
          <w:tcPr>
            <w:tcW w:w="6035" w:type="dxa"/>
            <w:vAlign w:val="center"/>
          </w:tcPr>
          <w:p w14:paraId="0EA91730"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(could-be) inaccurate or (could-be) inappropriate disclosures of information (</w:t>
            </w:r>
            <w:proofErr w:type="gramStart"/>
            <w:r w:rsidRPr="00E915AA">
              <w:rPr>
                <w:sz w:val="20"/>
                <w:szCs w:val="20"/>
              </w:rPr>
              <w:t>e.g.</w:t>
            </w:r>
            <w:proofErr w:type="gramEnd"/>
            <w:r w:rsidRPr="00E915AA">
              <w:rPr>
                <w:sz w:val="20"/>
                <w:szCs w:val="20"/>
              </w:rPr>
              <w:t xml:space="preserve"> disclaimer, incorrect grammar) as well as (could-be) inappropriate position of the information in S-1 filing, including images, graphics or artworks used in the S-1 filing</w:t>
            </w:r>
          </w:p>
        </w:tc>
      </w:tr>
      <w:tr w:rsidR="00D955E0" w:rsidRPr="00E915AA" w14:paraId="0274DF25" w14:textId="77777777" w:rsidTr="001520C5">
        <w:tc>
          <w:tcPr>
            <w:tcW w:w="810" w:type="dxa"/>
            <w:vAlign w:val="center"/>
          </w:tcPr>
          <w:p w14:paraId="6536BA3E" w14:textId="77777777" w:rsidR="00D955E0" w:rsidRPr="00E915AA" w:rsidRDefault="00D955E0" w:rsidP="001520C5">
            <w:pPr>
              <w:autoSpaceDE w:val="0"/>
              <w:autoSpaceDN w:val="0"/>
              <w:adjustRightInd w:val="0"/>
              <w:rPr>
                <w:sz w:val="20"/>
                <w:szCs w:val="20"/>
              </w:rPr>
            </w:pPr>
            <w:r w:rsidRPr="00E915AA">
              <w:rPr>
                <w:sz w:val="20"/>
                <w:szCs w:val="20"/>
              </w:rPr>
              <w:t>F8</w:t>
            </w:r>
          </w:p>
        </w:tc>
        <w:tc>
          <w:tcPr>
            <w:tcW w:w="2171" w:type="dxa"/>
            <w:vAlign w:val="center"/>
          </w:tcPr>
          <w:p w14:paraId="7F93B8FB" w14:textId="77777777" w:rsidR="00D955E0" w:rsidRPr="00E915AA" w:rsidRDefault="00D955E0" w:rsidP="001520C5">
            <w:pPr>
              <w:autoSpaceDE w:val="0"/>
              <w:autoSpaceDN w:val="0"/>
              <w:adjustRightInd w:val="0"/>
              <w:rPr>
                <w:sz w:val="20"/>
                <w:szCs w:val="20"/>
              </w:rPr>
            </w:pPr>
            <w:r w:rsidRPr="00E915AA">
              <w:rPr>
                <w:sz w:val="20"/>
                <w:szCs w:val="20"/>
              </w:rPr>
              <w:t>Disclosure too outdated, generic, or too detailed</w:t>
            </w:r>
          </w:p>
        </w:tc>
        <w:tc>
          <w:tcPr>
            <w:tcW w:w="6035" w:type="dxa"/>
            <w:vAlign w:val="center"/>
          </w:tcPr>
          <w:p w14:paraId="612C7AEE" w14:textId="77777777" w:rsidR="00D955E0" w:rsidRPr="00E915AA" w:rsidRDefault="00D955E0" w:rsidP="001520C5">
            <w:pPr>
              <w:autoSpaceDE w:val="0"/>
              <w:autoSpaceDN w:val="0"/>
              <w:adjustRightInd w:val="0"/>
              <w:jc w:val="both"/>
              <w:rPr>
                <w:sz w:val="20"/>
                <w:szCs w:val="20"/>
              </w:rPr>
            </w:pPr>
            <w:r w:rsidRPr="00E915AA">
              <w:rPr>
                <w:sz w:val="20"/>
                <w:szCs w:val="20"/>
              </w:rPr>
              <w:t>Critiques regarding the degree to which the information disclosed in S-1 filing are outdated, or not unique/specific to issuer, or too much detail and lengthy</w:t>
            </w:r>
          </w:p>
        </w:tc>
      </w:tr>
      <w:tr w:rsidR="00D955E0" w:rsidRPr="00E915AA" w14:paraId="5DA5FC66" w14:textId="77777777" w:rsidTr="001520C5">
        <w:tc>
          <w:tcPr>
            <w:tcW w:w="810" w:type="dxa"/>
            <w:vAlign w:val="center"/>
          </w:tcPr>
          <w:p w14:paraId="58A14A62" w14:textId="77777777" w:rsidR="00D955E0" w:rsidRPr="00E915AA" w:rsidRDefault="00D955E0" w:rsidP="001520C5">
            <w:pPr>
              <w:autoSpaceDE w:val="0"/>
              <w:autoSpaceDN w:val="0"/>
              <w:adjustRightInd w:val="0"/>
              <w:rPr>
                <w:sz w:val="20"/>
                <w:szCs w:val="20"/>
              </w:rPr>
            </w:pPr>
            <w:r w:rsidRPr="00E915AA">
              <w:rPr>
                <w:sz w:val="20"/>
                <w:szCs w:val="20"/>
              </w:rPr>
              <w:t>F9</w:t>
            </w:r>
          </w:p>
        </w:tc>
        <w:tc>
          <w:tcPr>
            <w:tcW w:w="2171" w:type="dxa"/>
            <w:vAlign w:val="center"/>
          </w:tcPr>
          <w:p w14:paraId="3EAF776F" w14:textId="77777777" w:rsidR="00D955E0" w:rsidRPr="00E915AA" w:rsidRDefault="00D955E0" w:rsidP="001520C5">
            <w:pPr>
              <w:autoSpaceDE w:val="0"/>
              <w:autoSpaceDN w:val="0"/>
              <w:adjustRightInd w:val="0"/>
              <w:rPr>
                <w:sz w:val="20"/>
                <w:szCs w:val="20"/>
              </w:rPr>
            </w:pPr>
            <w:r w:rsidRPr="00E915AA">
              <w:rPr>
                <w:sz w:val="20"/>
                <w:szCs w:val="20"/>
              </w:rPr>
              <w:t>Relevance</w:t>
            </w:r>
          </w:p>
        </w:tc>
        <w:tc>
          <w:tcPr>
            <w:tcW w:w="6035" w:type="dxa"/>
            <w:vAlign w:val="center"/>
          </w:tcPr>
          <w:p w14:paraId="6C85A208" w14:textId="77777777" w:rsidR="00D955E0" w:rsidRPr="00E915AA" w:rsidRDefault="00D955E0" w:rsidP="001520C5">
            <w:pPr>
              <w:autoSpaceDE w:val="0"/>
              <w:autoSpaceDN w:val="0"/>
              <w:adjustRightInd w:val="0"/>
              <w:jc w:val="both"/>
              <w:rPr>
                <w:sz w:val="20"/>
                <w:szCs w:val="20"/>
              </w:rPr>
            </w:pPr>
            <w:r w:rsidRPr="00E915AA">
              <w:rPr>
                <w:sz w:val="20"/>
                <w:szCs w:val="20"/>
              </w:rPr>
              <w:t>Questions regarding information in S-1 filings that conflict with other, unnecessarily repeated information and methods of matching information</w:t>
            </w:r>
          </w:p>
        </w:tc>
      </w:tr>
      <w:tr w:rsidR="00D955E0" w:rsidRPr="00E915AA" w14:paraId="6F8FAB45" w14:textId="77777777" w:rsidTr="001520C5">
        <w:tc>
          <w:tcPr>
            <w:tcW w:w="810" w:type="dxa"/>
            <w:vAlign w:val="center"/>
          </w:tcPr>
          <w:p w14:paraId="43D0B9AF" w14:textId="77777777" w:rsidR="00D955E0" w:rsidRPr="00E915AA" w:rsidRDefault="00D955E0" w:rsidP="001520C5">
            <w:pPr>
              <w:autoSpaceDE w:val="0"/>
              <w:autoSpaceDN w:val="0"/>
              <w:adjustRightInd w:val="0"/>
              <w:rPr>
                <w:sz w:val="20"/>
                <w:szCs w:val="20"/>
              </w:rPr>
            </w:pPr>
            <w:r w:rsidRPr="00E915AA">
              <w:rPr>
                <w:sz w:val="20"/>
                <w:szCs w:val="20"/>
              </w:rPr>
              <w:lastRenderedPageBreak/>
              <w:t>F10</w:t>
            </w:r>
          </w:p>
        </w:tc>
        <w:tc>
          <w:tcPr>
            <w:tcW w:w="2171" w:type="dxa"/>
            <w:vAlign w:val="center"/>
          </w:tcPr>
          <w:p w14:paraId="3970463E" w14:textId="77777777" w:rsidR="00D955E0" w:rsidRPr="00E915AA" w:rsidRDefault="00D955E0" w:rsidP="001520C5">
            <w:pPr>
              <w:autoSpaceDE w:val="0"/>
              <w:autoSpaceDN w:val="0"/>
              <w:adjustRightInd w:val="0"/>
              <w:rPr>
                <w:sz w:val="20"/>
                <w:szCs w:val="20"/>
              </w:rPr>
            </w:pPr>
            <w:r w:rsidRPr="00E915AA">
              <w:rPr>
                <w:sz w:val="20"/>
                <w:szCs w:val="20"/>
              </w:rPr>
              <w:t>References</w:t>
            </w:r>
          </w:p>
        </w:tc>
        <w:tc>
          <w:tcPr>
            <w:tcW w:w="6035" w:type="dxa"/>
            <w:vAlign w:val="center"/>
          </w:tcPr>
          <w:p w14:paraId="23437FEF" w14:textId="77777777" w:rsidR="00D955E0" w:rsidRPr="00E915AA" w:rsidRDefault="00D955E0" w:rsidP="001520C5">
            <w:pPr>
              <w:autoSpaceDE w:val="0"/>
              <w:autoSpaceDN w:val="0"/>
              <w:adjustRightInd w:val="0"/>
              <w:jc w:val="both"/>
              <w:rPr>
                <w:sz w:val="20"/>
                <w:szCs w:val="20"/>
              </w:rPr>
            </w:pPr>
            <w:r w:rsidRPr="00E915AA">
              <w:rPr>
                <w:sz w:val="20"/>
                <w:szCs w:val="20"/>
              </w:rPr>
              <w:t>Questions, critiques and requests regarding use, style of references as well as requests for adding references in S-1 filings</w:t>
            </w:r>
          </w:p>
        </w:tc>
      </w:tr>
      <w:tr w:rsidR="00D955E0" w:rsidRPr="00E915AA" w14:paraId="16A1BFE2" w14:textId="77777777" w:rsidTr="001520C5">
        <w:tc>
          <w:tcPr>
            <w:tcW w:w="810" w:type="dxa"/>
            <w:vAlign w:val="center"/>
          </w:tcPr>
          <w:p w14:paraId="75AA5FCA" w14:textId="77777777" w:rsidR="00D955E0" w:rsidRPr="00E915AA" w:rsidRDefault="00D955E0" w:rsidP="001520C5">
            <w:pPr>
              <w:autoSpaceDE w:val="0"/>
              <w:autoSpaceDN w:val="0"/>
              <w:adjustRightInd w:val="0"/>
              <w:rPr>
                <w:sz w:val="20"/>
                <w:szCs w:val="20"/>
              </w:rPr>
            </w:pPr>
            <w:r w:rsidRPr="00E915AA">
              <w:rPr>
                <w:sz w:val="20"/>
                <w:szCs w:val="20"/>
              </w:rPr>
              <w:t>F11</w:t>
            </w:r>
          </w:p>
        </w:tc>
        <w:tc>
          <w:tcPr>
            <w:tcW w:w="2171" w:type="dxa"/>
            <w:vAlign w:val="center"/>
          </w:tcPr>
          <w:p w14:paraId="2429AD9D" w14:textId="77777777" w:rsidR="00D955E0" w:rsidRPr="00E915AA" w:rsidRDefault="00D955E0" w:rsidP="001520C5">
            <w:pPr>
              <w:autoSpaceDE w:val="0"/>
              <w:autoSpaceDN w:val="0"/>
              <w:adjustRightInd w:val="0"/>
              <w:rPr>
                <w:sz w:val="20"/>
                <w:szCs w:val="20"/>
              </w:rPr>
            </w:pPr>
            <w:r w:rsidRPr="00E915AA">
              <w:rPr>
                <w:sz w:val="20"/>
                <w:szCs w:val="20"/>
              </w:rPr>
              <w:t>Format</w:t>
            </w:r>
          </w:p>
        </w:tc>
        <w:tc>
          <w:tcPr>
            <w:tcW w:w="6035" w:type="dxa"/>
            <w:vAlign w:val="center"/>
          </w:tcPr>
          <w:p w14:paraId="6DF622CB" w14:textId="77777777" w:rsidR="00D955E0" w:rsidRPr="00E915AA" w:rsidRDefault="00D955E0" w:rsidP="001520C5">
            <w:pPr>
              <w:autoSpaceDE w:val="0"/>
              <w:autoSpaceDN w:val="0"/>
              <w:adjustRightInd w:val="0"/>
              <w:jc w:val="both"/>
              <w:rPr>
                <w:sz w:val="20"/>
                <w:szCs w:val="20"/>
              </w:rPr>
            </w:pPr>
            <w:r w:rsidRPr="00E915AA">
              <w:rPr>
                <w:sz w:val="20"/>
                <w:szCs w:val="20"/>
              </w:rPr>
              <w:t xml:space="preserve">Questions, </w:t>
            </w:r>
            <w:proofErr w:type="gramStart"/>
            <w:r w:rsidRPr="00E915AA">
              <w:rPr>
                <w:sz w:val="20"/>
                <w:szCs w:val="20"/>
              </w:rPr>
              <w:t>critiques</w:t>
            </w:r>
            <w:proofErr w:type="gramEnd"/>
            <w:r w:rsidRPr="00E915AA">
              <w:rPr>
                <w:sz w:val="20"/>
                <w:szCs w:val="20"/>
              </w:rPr>
              <w:t xml:space="preserve"> and requests regarding pictures, graphic and artworks used in S-1 filing as well as format (design or layout) of financial statements and other disclosure in S-1 filings which is inappropriate or difficult to follow</w:t>
            </w:r>
          </w:p>
        </w:tc>
      </w:tr>
      <w:tr w:rsidR="00D955E0" w:rsidRPr="00E915AA" w14:paraId="06AC64B5" w14:textId="77777777" w:rsidTr="001520C5">
        <w:tc>
          <w:tcPr>
            <w:tcW w:w="2981" w:type="dxa"/>
            <w:gridSpan w:val="2"/>
            <w:vAlign w:val="center"/>
          </w:tcPr>
          <w:p w14:paraId="564AF793" w14:textId="77777777" w:rsidR="00D955E0" w:rsidRPr="00E915AA" w:rsidRDefault="00D955E0" w:rsidP="001520C5">
            <w:pPr>
              <w:autoSpaceDE w:val="0"/>
              <w:autoSpaceDN w:val="0"/>
              <w:adjustRightInd w:val="0"/>
              <w:rPr>
                <w:sz w:val="20"/>
                <w:szCs w:val="20"/>
              </w:rPr>
            </w:pPr>
            <w:r w:rsidRPr="00E915AA">
              <w:rPr>
                <w:b/>
                <w:bCs/>
                <w:sz w:val="20"/>
                <w:szCs w:val="20"/>
              </w:rPr>
              <w:t>G. Other issues</w:t>
            </w:r>
          </w:p>
        </w:tc>
        <w:tc>
          <w:tcPr>
            <w:tcW w:w="6035" w:type="dxa"/>
            <w:vAlign w:val="center"/>
          </w:tcPr>
          <w:p w14:paraId="15089E44" w14:textId="77777777" w:rsidR="00D955E0" w:rsidRPr="00E915AA" w:rsidRDefault="00D955E0" w:rsidP="001520C5">
            <w:pPr>
              <w:autoSpaceDE w:val="0"/>
              <w:autoSpaceDN w:val="0"/>
              <w:adjustRightInd w:val="0"/>
              <w:jc w:val="both"/>
              <w:rPr>
                <w:b/>
                <w:bCs/>
                <w:sz w:val="20"/>
                <w:szCs w:val="20"/>
              </w:rPr>
            </w:pPr>
            <w:r w:rsidRPr="00E915AA">
              <w:rPr>
                <w:b/>
                <w:bCs/>
                <w:sz w:val="20"/>
                <w:szCs w:val="20"/>
              </w:rPr>
              <w:t>Comments on matters other than those identified above.</w:t>
            </w:r>
          </w:p>
        </w:tc>
      </w:tr>
    </w:tbl>
    <w:p w14:paraId="1EA02A9B" w14:textId="77777777" w:rsidR="00D955E0" w:rsidRPr="00E915AA" w:rsidRDefault="00D955E0" w:rsidP="00D955E0">
      <w:pPr>
        <w:spacing w:after="0" w:line="240" w:lineRule="auto"/>
        <w:rPr>
          <w:rFonts w:ascii="Times New Roman" w:eastAsia="Calibri" w:hAnsi="Times New Roman" w:cs="Times New Roman"/>
          <w:sz w:val="24"/>
          <w:szCs w:val="24"/>
          <w:lang w:val="en-GB" w:eastAsia="en-GB"/>
        </w:rPr>
      </w:pPr>
    </w:p>
    <w:p w14:paraId="018F2E4A" w14:textId="77777777" w:rsidR="00D955E0" w:rsidRPr="00E915AA" w:rsidRDefault="00D955E0" w:rsidP="00D955E0">
      <w:pPr>
        <w:spacing w:after="0" w:line="240" w:lineRule="auto"/>
        <w:rPr>
          <w:rFonts w:ascii="Times New Roman" w:eastAsia="Calibri" w:hAnsi="Times New Roman" w:cs="Times New Roman"/>
          <w:sz w:val="24"/>
          <w:szCs w:val="24"/>
          <w:lang w:val="en-GB" w:eastAsia="en-GB"/>
        </w:rPr>
      </w:pPr>
    </w:p>
    <w:p w14:paraId="6CEF8647" w14:textId="77777777"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sectPr w:rsidR="00D955E0" w:rsidRPr="00E915AA" w:rsidSect="0073176B">
          <w:pgSz w:w="11906" w:h="16838"/>
          <w:pgMar w:top="1440" w:right="1440" w:bottom="1440" w:left="1440" w:header="708" w:footer="708" w:gutter="0"/>
          <w:cols w:space="708"/>
          <w:docGrid w:linePitch="360"/>
        </w:sectPr>
      </w:pPr>
    </w:p>
    <w:p w14:paraId="3BFF30E1" w14:textId="77777777" w:rsidR="00D955E0" w:rsidRPr="00E915AA" w:rsidRDefault="00D955E0" w:rsidP="00D955E0">
      <w:pPr>
        <w:spacing w:before="240" w:after="240" w:line="360" w:lineRule="auto"/>
        <w:jc w:val="both"/>
        <w:rPr>
          <w:rFonts w:ascii="Times New Roman" w:eastAsia="Times New Roman" w:hAnsi="Times New Roman" w:cs="Times New Roman"/>
          <w:b/>
          <w:bCs/>
          <w:sz w:val="24"/>
          <w:szCs w:val="24"/>
          <w:lang w:val="en-GB" w:eastAsia="en-GB"/>
        </w:rPr>
      </w:pPr>
      <w:r w:rsidRPr="00E915AA">
        <w:rPr>
          <w:rFonts w:ascii="Times New Roman" w:eastAsia="Times New Roman" w:hAnsi="Times New Roman" w:cs="Times New Roman"/>
          <w:b/>
          <w:bCs/>
          <w:sz w:val="24"/>
          <w:szCs w:val="24"/>
          <w:lang w:val="en-GB" w:eastAsia="en-GB"/>
        </w:rPr>
        <w:lastRenderedPageBreak/>
        <w:t>Appendix C. Application of Naïve Bayesian algorithm</w:t>
      </w:r>
    </w:p>
    <w:p w14:paraId="4802FA16" w14:textId="77777777"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Times New Roman" w:hAnsi="Times New Roman" w:cs="Times New Roman"/>
          <w:sz w:val="24"/>
          <w:szCs w:val="24"/>
          <w:lang w:val="en-GB" w:eastAsia="en-GB"/>
        </w:rPr>
        <w:t>Applying the Naïve Bayesian algorithm, we categorize each comment as relating to one of the 45 individual headings of our coding scheme. Under the Naïve Bayes algorithm, each comment is first converted into a set of words or word phrases (</w:t>
      </w:r>
      <w:r w:rsidRPr="00E915AA">
        <w:rPr>
          <w:rFonts w:ascii="Times New Roman" w:eastAsia="Times New Roman" w:hAnsi="Times New Roman" w:cs="Times New Roman"/>
          <w:i/>
          <w:iCs/>
          <w:sz w:val="24"/>
          <w:szCs w:val="24"/>
          <w:lang w:val="en-GB" w:eastAsia="en-GB"/>
        </w:rPr>
        <w:t>vector of words or phrases</w:t>
      </w:r>
      <w:r w:rsidRPr="00E915AA">
        <w:rPr>
          <w:rFonts w:ascii="Times New Roman" w:eastAsia="Times New Roman" w:hAnsi="Times New Roman" w:cs="Times New Roman"/>
          <w:sz w:val="24"/>
          <w:szCs w:val="24"/>
          <w:lang w:val="en-GB" w:eastAsia="en-GB"/>
        </w:rPr>
        <w:t>). The Bayes theorem is then applied to determine the type of comment as that with the highest conditional probability given the words and/or phrases contained in the comment, as follows:</w:t>
      </w:r>
    </w:p>
    <w:p w14:paraId="3540E95F" w14:textId="77777777" w:rsidR="00D955E0" w:rsidRPr="00E915AA" w:rsidRDefault="00E915AA" w:rsidP="00D955E0">
      <w:pPr>
        <w:spacing w:line="360" w:lineRule="auto"/>
        <w:rPr>
          <w:rFonts w:ascii="Times New Roman" w:eastAsia="Calibri" w:hAnsi="Times New Roman" w:cs="Times New Roman"/>
          <w:sz w:val="24"/>
          <w:szCs w:val="24"/>
          <w:lang w:val="en-GB" w:eastAsia="en-GB"/>
        </w:rPr>
      </w:pPr>
      <m:oMath>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j</m:t>
            </m:r>
          </m:sub>
        </m:sSub>
        <m:r>
          <m:rPr>
            <m:nor/>
          </m:rPr>
          <w:rPr>
            <w:rFonts w:ascii="Times New Roman" w:eastAsia="Calibri" w:hAnsi="Times New Roman" w:cs="Times New Roman"/>
            <w:sz w:val="24"/>
            <w:szCs w:val="24"/>
            <w:lang w:val="en-GB" w:eastAsia="en-GB"/>
          </w:rPr>
          <m:t xml:space="preserve"> =</m:t>
        </m:r>
        <m:limLow>
          <m:limLowPr>
            <m:ctrlPr>
              <w:rPr>
                <w:rFonts w:ascii="Cambria Math" w:eastAsia="Calibri" w:hAnsi="Cambria Math" w:cs="Times New Roman"/>
                <w:sz w:val="24"/>
                <w:szCs w:val="24"/>
                <w:lang w:val="en-GB"/>
              </w:rPr>
            </m:ctrlPr>
          </m:limLowPr>
          <m:e>
            <m:r>
              <m:rPr>
                <m:nor/>
              </m:rPr>
              <w:rPr>
                <w:rFonts w:ascii="Times New Roman" w:eastAsia="Calibri" w:hAnsi="Times New Roman" w:cs="Times New Roman"/>
                <w:sz w:val="24"/>
                <w:szCs w:val="24"/>
                <w:lang w:val="en-GB" w:eastAsia="en-GB"/>
              </w:rPr>
              <m:t>arg</m:t>
            </m:r>
            <m:r>
              <m:rPr>
                <m:nor/>
              </m:rPr>
              <w:rPr>
                <w:rFonts w:ascii="Times New Roman" w:eastAsia="Calibri" w:hAnsi="Times New Roman" w:cs="Times New Roman"/>
                <w:sz w:val="24"/>
                <w:szCs w:val="24"/>
                <w:lang w:val="en-GB"/>
              </w:rPr>
              <m:t>max</m:t>
            </m:r>
          </m:e>
          <m:lim>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i</m:t>
                </m:r>
              </m:sub>
            </m:sSub>
            <m:r>
              <m:rPr>
                <m:nor/>
              </m:rPr>
              <w:rPr>
                <w:rFonts w:ascii="Times New Roman" w:eastAsia="Calibri" w:hAnsi="Times New Roman" w:cs="Times New Roman"/>
                <w:sz w:val="24"/>
                <w:szCs w:val="24"/>
                <w:lang w:val="en-GB" w:eastAsia="en-GB"/>
              </w:rPr>
              <m:t xml:space="preserve"> </m:t>
            </m:r>
            <m:r>
              <m:rPr>
                <m:nor/>
              </m:rPr>
              <w:rPr>
                <w:rFonts w:ascii="Cambria Math" w:eastAsia="Calibri" w:hAnsi="Cambria Math" w:cs="Cambria Math"/>
                <w:sz w:val="24"/>
                <w:szCs w:val="24"/>
                <w:lang w:val="en-GB" w:eastAsia="en-GB"/>
              </w:rPr>
              <m:t>∈</m:t>
            </m:r>
            <m:r>
              <m:rPr>
                <m:nor/>
              </m:rPr>
              <w:rPr>
                <w:rFonts w:ascii="Times New Roman" w:eastAsia="Calibri" w:hAnsi="Times New Roman" w:cs="Times New Roman"/>
                <w:sz w:val="24"/>
                <w:szCs w:val="24"/>
                <w:lang w:val="en-GB" w:eastAsia="en-GB"/>
              </w:rPr>
              <m:t xml:space="preserve">  45 issue types </m:t>
            </m:r>
          </m:lim>
        </m:limLow>
        <m:r>
          <m:rPr>
            <m:nor/>
          </m:rPr>
          <w:rPr>
            <w:rFonts w:ascii="Times New Roman" w:eastAsia="Calibri" w:hAnsi="Times New Roman" w:cs="Times New Roman"/>
            <w:sz w:val="24"/>
            <w:szCs w:val="24"/>
            <w:lang w:val="en-GB" w:eastAsia="en-GB"/>
          </w:rPr>
          <m:t xml:space="preserve"> P</m:t>
        </m:r>
        <m:d>
          <m:dPr>
            <m:ctrlPr>
              <w:rPr>
                <w:rFonts w:ascii="Cambria Math" w:eastAsia="Calibri" w:hAnsi="Cambria Math" w:cs="Times New Roman"/>
                <w:sz w:val="24"/>
                <w:szCs w:val="24"/>
                <w:lang w:val="en-GB" w:eastAsia="en-GB"/>
              </w:rPr>
            </m:ctrlPr>
          </m:dPr>
          <m:e>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i</m:t>
                </m:r>
              </m:sub>
            </m:sSub>
          </m:e>
          <m:e>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vector of words or phrases</m:t>
                </m:r>
              </m:e>
              <m:sub>
                <m:r>
                  <m:rPr>
                    <m:nor/>
                  </m:rPr>
                  <w:rPr>
                    <w:rFonts w:ascii="Times New Roman" w:eastAsia="Calibri" w:hAnsi="Times New Roman" w:cs="Times New Roman"/>
                    <w:sz w:val="24"/>
                    <w:szCs w:val="24"/>
                    <w:lang w:val="en-GB" w:eastAsia="en-GB"/>
                  </w:rPr>
                  <m:t>j</m:t>
                </m:r>
              </m:sub>
            </m:sSub>
          </m:e>
        </m:d>
      </m:oMath>
      <w:r w:rsidR="00D955E0" w:rsidRPr="00E915AA">
        <w:rPr>
          <w:rFonts w:ascii="Times New Roman" w:eastAsia="Calibri" w:hAnsi="Times New Roman" w:cs="Times New Roman"/>
          <w:sz w:val="24"/>
          <w:szCs w:val="24"/>
          <w:lang w:val="en-GB" w:eastAsia="en-GB"/>
        </w:rPr>
        <w:t xml:space="preserve"> </w:t>
      </w:r>
    </w:p>
    <w:p w14:paraId="1645B103" w14:textId="77777777" w:rsidR="00D955E0" w:rsidRPr="00E915AA" w:rsidRDefault="00E915AA" w:rsidP="00D955E0">
      <w:pPr>
        <w:spacing w:line="360" w:lineRule="auto"/>
        <w:ind w:left="567"/>
        <w:rPr>
          <w:rFonts w:ascii="Times New Roman" w:eastAsia="Calibri" w:hAnsi="Times New Roman" w:cs="Times New Roman"/>
          <w:sz w:val="24"/>
          <w:szCs w:val="24"/>
          <w:lang w:val="en-GB" w:eastAsia="en-GB"/>
        </w:rPr>
      </w:pPr>
      <m:oMathPara>
        <m:oMath>
          <m:func>
            <m:funcPr>
              <m:ctrlPr>
                <w:rPr>
                  <w:rFonts w:ascii="Cambria Math" w:eastAsia="Calibri" w:hAnsi="Cambria Math" w:cs="Times New Roman"/>
                  <w:sz w:val="24"/>
                  <w:szCs w:val="24"/>
                  <w:lang w:val="en-GB"/>
                </w:rPr>
              </m:ctrlPr>
            </m:funcPr>
            <m:fName>
              <m:r>
                <m:rPr>
                  <m:nor/>
                </m:rPr>
                <w:rPr>
                  <w:rFonts w:ascii="Times New Roman" w:eastAsia="Calibri" w:hAnsi="Times New Roman" w:cs="Times New Roman"/>
                  <w:sz w:val="24"/>
                  <w:szCs w:val="24"/>
                  <w:lang w:val="en-GB"/>
                </w:rPr>
                <m:t>=</m:t>
              </m:r>
              <m:limLow>
                <m:limLowPr>
                  <m:ctrlPr>
                    <w:rPr>
                      <w:rFonts w:ascii="Cambria Math" w:eastAsia="Calibri" w:hAnsi="Cambria Math" w:cs="Times New Roman"/>
                      <w:sz w:val="24"/>
                      <w:szCs w:val="24"/>
                      <w:lang w:val="en-GB"/>
                    </w:rPr>
                  </m:ctrlPr>
                </m:limLowPr>
                <m:e>
                  <m:r>
                    <m:rPr>
                      <m:nor/>
                    </m:rPr>
                    <w:rPr>
                      <w:rFonts w:ascii="Times New Roman" w:eastAsia="Calibri" w:hAnsi="Times New Roman" w:cs="Times New Roman"/>
                      <w:sz w:val="24"/>
                      <w:szCs w:val="24"/>
                      <w:lang w:val="en-GB" w:eastAsia="en-GB"/>
                    </w:rPr>
                    <m:t>arg</m:t>
                  </m:r>
                  <m:r>
                    <m:rPr>
                      <m:nor/>
                    </m:rPr>
                    <w:rPr>
                      <w:rFonts w:ascii="Times New Roman" w:eastAsia="Calibri" w:hAnsi="Times New Roman" w:cs="Times New Roman"/>
                      <w:sz w:val="24"/>
                      <w:szCs w:val="24"/>
                      <w:lang w:val="en-GB"/>
                    </w:rPr>
                    <m:t>max</m:t>
                  </m:r>
                </m:e>
                <m:lim>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i</m:t>
                      </m:r>
                    </m:sub>
                  </m:sSub>
                  <m:r>
                    <m:rPr>
                      <m:nor/>
                    </m:rPr>
                    <w:rPr>
                      <w:rFonts w:ascii="Times New Roman" w:eastAsia="Calibri" w:hAnsi="Times New Roman" w:cs="Times New Roman"/>
                      <w:sz w:val="24"/>
                      <w:szCs w:val="24"/>
                      <w:lang w:val="en-GB" w:eastAsia="en-GB"/>
                    </w:rPr>
                    <m:t xml:space="preserve"> </m:t>
                  </m:r>
                  <m:r>
                    <m:rPr>
                      <m:nor/>
                    </m:rPr>
                    <w:rPr>
                      <w:rFonts w:ascii="Cambria Math" w:eastAsia="Calibri" w:hAnsi="Cambria Math" w:cs="Cambria Math"/>
                      <w:sz w:val="24"/>
                      <w:szCs w:val="24"/>
                      <w:lang w:val="en-GB" w:eastAsia="en-GB"/>
                    </w:rPr>
                    <m:t>∈</m:t>
                  </m:r>
                  <m:r>
                    <m:rPr>
                      <m:nor/>
                    </m:rPr>
                    <w:rPr>
                      <w:rFonts w:ascii="Times New Roman" w:eastAsia="Calibri" w:hAnsi="Times New Roman" w:cs="Times New Roman"/>
                      <w:sz w:val="24"/>
                      <w:szCs w:val="24"/>
                      <w:lang w:val="en-GB" w:eastAsia="en-GB"/>
                    </w:rPr>
                    <m:t xml:space="preserve"> 45 issue types</m:t>
                  </m:r>
                </m:lim>
              </m:limLow>
            </m:fName>
            <m:e>
              <m:f>
                <m:fPr>
                  <m:ctrlPr>
                    <w:rPr>
                      <w:rFonts w:ascii="Cambria Math" w:eastAsia="Calibri" w:hAnsi="Cambria Math" w:cs="Times New Roman"/>
                      <w:sz w:val="24"/>
                      <w:szCs w:val="24"/>
                      <w:lang w:val="en-GB" w:eastAsia="en-GB"/>
                    </w:rPr>
                  </m:ctrlPr>
                </m:fPr>
                <m:num>
                  <m:r>
                    <m:rPr>
                      <m:nor/>
                    </m:rPr>
                    <w:rPr>
                      <w:rFonts w:ascii="Times New Roman" w:eastAsia="Calibri" w:hAnsi="Times New Roman" w:cs="Times New Roman"/>
                      <w:sz w:val="24"/>
                      <w:szCs w:val="24"/>
                      <w:lang w:val="en-GB" w:eastAsia="en-GB"/>
                    </w:rPr>
                    <m:t>P</m:t>
                  </m:r>
                  <m:d>
                    <m:dPr>
                      <m:ctrlPr>
                        <w:rPr>
                          <w:rFonts w:ascii="Cambria Math" w:eastAsia="Calibri" w:hAnsi="Cambria Math" w:cs="Times New Roman"/>
                          <w:sz w:val="24"/>
                          <w:szCs w:val="24"/>
                          <w:lang w:val="en-GB" w:eastAsia="en-GB"/>
                        </w:rPr>
                      </m:ctrlPr>
                    </m:dPr>
                    <m:e>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vector of words or phrases</m:t>
                          </m:r>
                        </m:e>
                        <m:sub>
                          <m:r>
                            <m:rPr>
                              <m:nor/>
                            </m:rPr>
                            <w:rPr>
                              <w:rFonts w:ascii="Times New Roman" w:eastAsia="Calibri" w:hAnsi="Times New Roman" w:cs="Times New Roman"/>
                              <w:sz w:val="24"/>
                              <w:szCs w:val="24"/>
                              <w:lang w:val="en-GB" w:eastAsia="en-GB"/>
                            </w:rPr>
                            <m:t>j</m:t>
                          </m:r>
                        </m:sub>
                      </m:sSub>
                    </m:e>
                    <m:e>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i</m:t>
                          </m:r>
                        </m:sub>
                      </m:sSub>
                    </m:e>
                  </m:d>
                  <m:r>
                    <m:rPr>
                      <m:nor/>
                    </m:rPr>
                    <w:rPr>
                      <w:rFonts w:ascii="Times New Roman" w:eastAsia="Calibri" w:hAnsi="Times New Roman" w:cs="Times New Roman"/>
                      <w:sz w:val="24"/>
                      <w:szCs w:val="24"/>
                      <w:lang w:val="en-GB" w:eastAsia="en-GB"/>
                    </w:rPr>
                    <m:t>*P(</m:t>
                  </m:r>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issue type</m:t>
                      </m:r>
                    </m:e>
                    <m:sub>
                      <m:r>
                        <m:rPr>
                          <m:nor/>
                        </m:rPr>
                        <w:rPr>
                          <w:rFonts w:ascii="Times New Roman" w:eastAsia="Calibri" w:hAnsi="Times New Roman" w:cs="Times New Roman"/>
                          <w:sz w:val="24"/>
                          <w:szCs w:val="24"/>
                          <w:lang w:val="en-GB" w:eastAsia="en-GB"/>
                        </w:rPr>
                        <m:t>i</m:t>
                      </m:r>
                    </m:sub>
                  </m:sSub>
                  <m:r>
                    <m:rPr>
                      <m:nor/>
                    </m:rPr>
                    <w:rPr>
                      <w:rFonts w:ascii="Times New Roman" w:eastAsia="Calibri" w:hAnsi="Times New Roman" w:cs="Times New Roman"/>
                      <w:sz w:val="24"/>
                      <w:szCs w:val="24"/>
                      <w:lang w:val="en-GB" w:eastAsia="en-GB"/>
                    </w:rPr>
                    <m:t>)</m:t>
                  </m:r>
                </m:num>
                <m:den>
                  <m:r>
                    <m:rPr>
                      <m:nor/>
                    </m:rPr>
                    <w:rPr>
                      <w:rFonts w:ascii="Times New Roman" w:eastAsia="Calibri" w:hAnsi="Times New Roman" w:cs="Times New Roman"/>
                      <w:sz w:val="24"/>
                      <w:szCs w:val="24"/>
                      <w:lang w:val="en-GB" w:eastAsia="en-GB"/>
                    </w:rPr>
                    <m:t>P(</m:t>
                  </m:r>
                  <m:sSub>
                    <m:sSubPr>
                      <m:ctrlPr>
                        <w:rPr>
                          <w:rFonts w:ascii="Cambria Math" w:eastAsia="Calibri" w:hAnsi="Cambria Math" w:cs="Times New Roman"/>
                          <w:sz w:val="24"/>
                          <w:szCs w:val="24"/>
                          <w:lang w:val="en-GB" w:eastAsia="en-GB"/>
                        </w:rPr>
                      </m:ctrlPr>
                    </m:sSubPr>
                    <m:e>
                      <m:r>
                        <m:rPr>
                          <m:nor/>
                        </m:rPr>
                        <w:rPr>
                          <w:rFonts w:ascii="Times New Roman" w:eastAsia="Calibri" w:hAnsi="Times New Roman" w:cs="Times New Roman"/>
                          <w:sz w:val="24"/>
                          <w:szCs w:val="24"/>
                          <w:lang w:val="en-GB" w:eastAsia="en-GB"/>
                        </w:rPr>
                        <m:t>vector of words or phrases</m:t>
                      </m:r>
                    </m:e>
                    <m:sub>
                      <m:r>
                        <m:rPr>
                          <m:nor/>
                        </m:rPr>
                        <w:rPr>
                          <w:rFonts w:ascii="Times New Roman" w:eastAsia="Calibri" w:hAnsi="Times New Roman" w:cs="Times New Roman"/>
                          <w:sz w:val="24"/>
                          <w:szCs w:val="24"/>
                          <w:lang w:val="en-GB" w:eastAsia="en-GB"/>
                        </w:rPr>
                        <m:t>j</m:t>
                      </m:r>
                    </m:sub>
                  </m:sSub>
                  <m:r>
                    <m:rPr>
                      <m:nor/>
                    </m:rPr>
                    <w:rPr>
                      <w:rFonts w:ascii="Times New Roman" w:eastAsia="Calibri" w:hAnsi="Times New Roman" w:cs="Times New Roman"/>
                      <w:sz w:val="24"/>
                      <w:szCs w:val="24"/>
                      <w:lang w:val="en-GB" w:eastAsia="en-GB"/>
                    </w:rPr>
                    <m:t>)</m:t>
                  </m:r>
                </m:den>
              </m:f>
            </m:e>
          </m:func>
          <m:r>
            <w:rPr>
              <w:rFonts w:ascii="Cambria Math" w:eastAsia="Calibri" w:hAnsi="Cambria Math" w:cs="Times New Roman"/>
              <w:sz w:val="24"/>
              <w:szCs w:val="24"/>
              <w:lang w:val="en-GB" w:eastAsia="en-GB"/>
            </w:rPr>
            <m:t xml:space="preserve">    (1)</m:t>
          </m:r>
        </m:oMath>
      </m:oMathPara>
    </w:p>
    <w:p w14:paraId="0AA48F38" w14:textId="77777777" w:rsidR="00D955E0" w:rsidRPr="00E915AA" w:rsidRDefault="00D955E0" w:rsidP="00D955E0">
      <w:pPr>
        <w:spacing w:before="240" w:after="240" w:line="360" w:lineRule="auto"/>
        <w:jc w:val="both"/>
        <w:rPr>
          <w:rFonts w:ascii="Times New Roman" w:eastAsia="Times New Roman" w:hAnsi="Times New Roman" w:cs="Times New Roman"/>
          <w:sz w:val="24"/>
          <w:szCs w:val="24"/>
          <w:lang w:val="en-GB" w:eastAsia="en-GB"/>
        </w:rPr>
        <w:sectPr w:rsidR="00D955E0" w:rsidRPr="00E915AA" w:rsidSect="0073176B">
          <w:pgSz w:w="11906" w:h="16838"/>
          <w:pgMar w:top="1440" w:right="1440" w:bottom="1440" w:left="1440" w:header="708" w:footer="708" w:gutter="0"/>
          <w:cols w:space="708"/>
          <w:docGrid w:linePitch="360"/>
        </w:sectPr>
      </w:pPr>
      <w:r w:rsidRPr="00E915AA">
        <w:rPr>
          <w:rFonts w:ascii="Times New Roman" w:eastAsia="Calibri" w:hAnsi="Times New Roman" w:cs="Times New Roman"/>
          <w:sz w:val="24"/>
          <w:szCs w:val="24"/>
          <w:lang w:val="en-GB" w:eastAsia="en-GB"/>
        </w:rPr>
        <w:t xml:space="preserve">where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issue type</m:t>
            </m:r>
          </m:e>
          <m:sub>
            <m:r>
              <m:rPr>
                <m:nor/>
              </m:rPr>
              <w:rPr>
                <w:rFonts w:ascii="Times New Roman" w:eastAsia="Calibri" w:hAnsi="Times New Roman" w:cs="Times New Roman"/>
                <w:i/>
                <w:sz w:val="24"/>
                <w:szCs w:val="24"/>
                <w:lang w:val="en-GB" w:eastAsia="en-GB"/>
              </w:rPr>
              <m:t>i</m:t>
            </m:r>
          </m:sub>
        </m:sSub>
      </m:oMath>
      <w:r w:rsidRPr="00E915AA">
        <w:rPr>
          <w:rFonts w:ascii="Times New Roman" w:eastAsia="Calibri" w:hAnsi="Times New Roman" w:cs="Times New Roman"/>
          <w:sz w:val="24"/>
          <w:szCs w:val="24"/>
          <w:lang w:val="en-GB" w:eastAsia="en-GB"/>
        </w:rPr>
        <w:t xml:space="preserve"> is notation of issue type </w:t>
      </w:r>
      <w:proofErr w:type="spellStart"/>
      <w:r w:rsidRPr="00E915AA">
        <w:rPr>
          <w:rFonts w:ascii="Times New Roman" w:eastAsia="Calibri" w:hAnsi="Times New Roman" w:cs="Times New Roman"/>
          <w:sz w:val="24"/>
          <w:szCs w:val="24"/>
          <w:lang w:val="en-GB" w:eastAsia="en-GB"/>
        </w:rPr>
        <w:t>i</w:t>
      </w:r>
      <w:proofErr w:type="spellEnd"/>
      <w:r w:rsidRPr="00E915AA">
        <w:rPr>
          <w:rFonts w:ascii="Times New Roman" w:eastAsia="Calibri" w:hAnsi="Times New Roman" w:cs="Times New Roman"/>
          <w:sz w:val="24"/>
          <w:szCs w:val="24"/>
          <w:lang w:val="en-GB" w:eastAsia="en-GB"/>
        </w:rPr>
        <w:t xml:space="preserve"> developed from the training dataset (</w:t>
      </w:r>
      <m:oMath>
        <m:r>
          <w:rPr>
            <w:rFonts w:ascii="Cambria Math" w:eastAsia="Calibri" w:hAnsi="Cambria Math" w:cs="Times New Roman"/>
            <w:sz w:val="24"/>
            <w:szCs w:val="24"/>
            <w:lang w:val="en-GB" w:eastAsia="en-GB"/>
          </w:rPr>
          <m:t>i∈{A1, A2, …, B1, B2, …, G1})</m:t>
        </m:r>
      </m:oMath>
      <w:r w:rsidRPr="00E915AA">
        <w:rPr>
          <w:rFonts w:ascii="Times New Roman" w:eastAsia="Calibri" w:hAnsi="Times New Roman" w:cs="Times New Roman"/>
          <w:sz w:val="24"/>
          <w:szCs w:val="24"/>
          <w:lang w:val="en-GB" w:eastAsia="en-GB"/>
        </w:rPr>
        <w:t xml:space="preserv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vector of words or phrases</m:t>
            </m:r>
          </m:e>
          <m:sub>
            <m:r>
              <m:rPr>
                <m:nor/>
              </m:rPr>
              <w:rPr>
                <w:rFonts w:ascii="Times New Roman" w:eastAsia="Calibri" w:hAnsi="Times New Roman" w:cs="Times New Roman"/>
                <w:i/>
                <w:sz w:val="24"/>
                <w:szCs w:val="24"/>
                <w:lang w:val="en-GB" w:eastAsia="en-GB"/>
              </w:rPr>
              <m:t>j</m:t>
            </m:r>
          </m:sub>
        </m:sSub>
        <m:r>
          <w:rPr>
            <w:rFonts w:ascii="Cambria Math" w:eastAsia="Calibri" w:hAnsi="Cambria Math" w:cs="Times New Roman"/>
            <w:sz w:val="24"/>
            <w:szCs w:val="24"/>
            <w:lang w:val="en-GB" w:eastAsia="en-GB"/>
          </w:rPr>
          <m:t xml:space="preserve"> </m:t>
        </m:r>
      </m:oMath>
      <w:r w:rsidRPr="00E915AA">
        <w:rPr>
          <w:rFonts w:ascii="Times New Roman" w:eastAsia="Calibri" w:hAnsi="Times New Roman" w:cs="Times New Roman"/>
          <w:sz w:val="24"/>
          <w:szCs w:val="24"/>
          <w:lang w:val="en-GB" w:eastAsia="en-GB"/>
        </w:rPr>
        <w:t xml:space="preserve">is vector of words or phrase in “unknown” comment </w:t>
      </w:r>
      <w:r w:rsidRPr="00E915AA">
        <w:rPr>
          <w:rFonts w:ascii="Times New Roman" w:eastAsia="Calibri" w:hAnsi="Times New Roman" w:cs="Times New Roman"/>
          <w:i/>
          <w:sz w:val="24"/>
          <w:szCs w:val="24"/>
          <w:lang w:val="en-GB" w:eastAsia="en-GB"/>
        </w:rPr>
        <w:t xml:space="preserve">j </w:t>
      </w:r>
      <w:r w:rsidRPr="00E915AA">
        <w:rPr>
          <w:rFonts w:ascii="Times New Roman" w:eastAsia="Calibri" w:hAnsi="Times New Roman" w:cs="Times New Roman"/>
          <w:sz w:val="24"/>
          <w:szCs w:val="24"/>
          <w:lang w:val="en-GB" w:eastAsia="en-GB"/>
        </w:rPr>
        <w:t>in the remaining dataset</w:t>
      </w:r>
      <w:r w:rsidRPr="00E915AA">
        <w:rPr>
          <w:rFonts w:ascii="Times New Roman" w:eastAsia="Calibri" w:hAnsi="Times New Roman" w:cs="Times New Roman"/>
          <w:i/>
          <w:sz w:val="24"/>
          <w:szCs w:val="24"/>
          <w:lang w:val="en-GB" w:eastAsia="en-GB"/>
        </w:rPr>
        <w:t xml:space="preserve"> </w:t>
      </w:r>
      <w:r w:rsidRPr="00E915AA">
        <w:rPr>
          <w:rFonts w:ascii="Times New Roman" w:eastAsia="Calibri" w:hAnsi="Times New Roman" w:cs="Times New Roman"/>
          <w:sz w:val="24"/>
          <w:szCs w:val="24"/>
          <w:lang w:val="en-GB" w:eastAsia="en-GB"/>
        </w:rPr>
        <w:t xml:space="preserve"> (</w:t>
      </w:r>
      <m:oMath>
        <m:r>
          <w:rPr>
            <w:rFonts w:ascii="Cambria Math" w:eastAsia="Calibri" w:hAnsi="Cambria Math" w:cs="Times New Roman"/>
            <w:sz w:val="24"/>
            <w:szCs w:val="24"/>
            <w:lang w:val="en-GB" w:eastAsia="en-GB"/>
          </w:rPr>
          <m:t>j∈{1, 2, 3, …, 16440}</m:t>
        </m:r>
      </m:oMath>
      <w:r w:rsidRPr="00E915AA">
        <w:rPr>
          <w:rFonts w:ascii="Times New Roman" w:eastAsia="Calibri" w:hAnsi="Times New Roman" w:cs="Times New Roman"/>
          <w:sz w:val="24"/>
          <w:szCs w:val="24"/>
          <w:lang w:val="en-GB" w:eastAsia="en-GB"/>
        </w:rPr>
        <w:t xml:space="preserv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i/>
                <w:sz w:val="24"/>
                <w:szCs w:val="24"/>
                <w:lang w:val="en-GB" w:eastAsia="en-GB"/>
              </w:rPr>
              <m:t>issue type</m:t>
            </m:r>
          </m:e>
          <m:sub>
            <m:r>
              <m:rPr>
                <m:nor/>
              </m:rPr>
              <w:rPr>
                <w:rFonts w:ascii="Times New Roman" w:eastAsia="Calibri" w:hAnsi="Times New Roman" w:cs="Times New Roman"/>
                <w:i/>
                <w:sz w:val="24"/>
                <w:szCs w:val="24"/>
                <w:lang w:val="en-GB" w:eastAsia="en-GB"/>
              </w:rPr>
              <m:t>j</m:t>
            </m:r>
          </m:sub>
        </m:sSub>
      </m:oMath>
      <w:r w:rsidRPr="00E915AA">
        <w:rPr>
          <w:rFonts w:ascii="Times New Roman" w:eastAsia="Calibri" w:hAnsi="Times New Roman" w:cs="Times New Roman"/>
          <w:sz w:val="24"/>
          <w:szCs w:val="24"/>
          <w:lang w:val="en-GB" w:eastAsia="en-GB"/>
        </w:rPr>
        <w:t xml:space="preserve"> is notation of </w:t>
      </w:r>
      <w:r w:rsidRPr="00E915AA">
        <w:rPr>
          <w:rFonts w:ascii="Times New Roman" w:eastAsia="Times New Roman" w:hAnsi="Times New Roman" w:cs="Times New Roman"/>
          <w:sz w:val="24"/>
          <w:szCs w:val="24"/>
          <w:lang w:val="en-GB" w:eastAsia="en-GB"/>
        </w:rPr>
        <w:t xml:space="preserve">issue type categorized for comment </w:t>
      </w:r>
      <w:r w:rsidRPr="00E915AA">
        <w:rPr>
          <w:rFonts w:ascii="Times New Roman" w:eastAsia="Times New Roman" w:hAnsi="Times New Roman" w:cs="Times New Roman"/>
          <w:i/>
          <w:iCs/>
          <w:sz w:val="24"/>
          <w:szCs w:val="24"/>
          <w:lang w:val="en-GB" w:eastAsia="en-GB"/>
        </w:rPr>
        <w:t>j</w:t>
      </w:r>
      <w:r w:rsidRPr="00E915AA">
        <w:rPr>
          <w:rFonts w:ascii="Times New Roman" w:eastAsia="Times New Roman" w:hAnsi="Times New Roman" w:cs="Times New Roman"/>
          <w:sz w:val="24"/>
          <w:szCs w:val="24"/>
          <w:lang w:val="en-GB" w:eastAsia="en-GB"/>
        </w:rPr>
        <w:t xml:space="preserve"> in the remaining dataset. An important assumption in Naïve Bayes algorithm, where the adjective “Naïve” comes from, is that the probability of a feature does not affect the probability of other features in a dataset. This assumption makes the calculation of the algorithm simpler and mitigates the “curse of dimensionality” issue (Bellman, 1961). Therefore, it is assumed that the probability of occurrence of each word or phrase is mutually independent.</w:t>
      </w:r>
    </w:p>
    <w:p w14:paraId="661703A0" w14:textId="77777777" w:rsidR="00D955E0" w:rsidRPr="00E915AA" w:rsidRDefault="00D955E0" w:rsidP="00D955E0">
      <w:pPr>
        <w:spacing w:before="240" w:after="240" w:line="360" w:lineRule="auto"/>
        <w:rPr>
          <w:rFonts w:ascii="Times New Roman" w:eastAsia="Calibri" w:hAnsi="Times New Roman" w:cs="Times New Roman"/>
          <w:b/>
          <w:iCs/>
          <w:sz w:val="24"/>
          <w:szCs w:val="24"/>
          <w:lang w:val="en-GB" w:eastAsia="en-GB"/>
        </w:rPr>
      </w:pPr>
      <w:r w:rsidRPr="00E915AA">
        <w:rPr>
          <w:rFonts w:ascii="Times New Roman" w:eastAsia="Calibri" w:hAnsi="Times New Roman" w:cs="Times New Roman"/>
          <w:b/>
          <w:iCs/>
          <w:sz w:val="24"/>
          <w:szCs w:val="24"/>
          <w:lang w:val="en-GB" w:eastAsia="en-GB"/>
        </w:rPr>
        <w:lastRenderedPageBreak/>
        <w:t>Appendix D. Measurement of earnings management</w:t>
      </w:r>
    </w:p>
    <w:p w14:paraId="1BF2F861" w14:textId="77777777" w:rsidR="00D955E0" w:rsidRPr="00E915AA" w:rsidRDefault="00D955E0" w:rsidP="00D955E0">
      <w:pPr>
        <w:spacing w:before="240" w:after="240" w:line="360" w:lineRule="auto"/>
        <w:rPr>
          <w:rFonts w:ascii="Times New Roman" w:eastAsia="Calibri" w:hAnsi="Times New Roman" w:cs="Times New Roman"/>
          <w:bCs/>
          <w:i/>
          <w:sz w:val="24"/>
          <w:szCs w:val="24"/>
          <w:lang w:val="en-GB" w:eastAsia="en-GB"/>
        </w:rPr>
      </w:pPr>
      <w:r w:rsidRPr="00E915AA">
        <w:rPr>
          <w:rFonts w:ascii="Times New Roman" w:eastAsia="Calibri" w:hAnsi="Times New Roman" w:cs="Times New Roman"/>
          <w:bCs/>
          <w:i/>
          <w:sz w:val="24"/>
          <w:szCs w:val="24"/>
          <w:lang w:val="en-GB" w:eastAsia="en-GB"/>
        </w:rPr>
        <w:t>Accruals-based earnings management</w:t>
      </w:r>
    </w:p>
    <w:p w14:paraId="532F6041" w14:textId="7EAF8D35" w:rsidR="00D955E0" w:rsidRPr="00E915AA" w:rsidRDefault="00D3084D" w:rsidP="00D955E0">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W</w:t>
      </w:r>
      <w:r w:rsidR="00D955E0" w:rsidRPr="00E915AA">
        <w:rPr>
          <w:rFonts w:ascii="Times New Roman" w:eastAsia="Calibri" w:hAnsi="Times New Roman" w:cs="Times New Roman"/>
          <w:bCs/>
          <w:iCs/>
          <w:sz w:val="24"/>
          <w:szCs w:val="24"/>
          <w:lang w:val="en-GB" w:eastAsia="en-GB"/>
        </w:rPr>
        <w:t xml:space="preserve">e concentrate on </w:t>
      </w:r>
      <w:r w:rsidR="00D955E0" w:rsidRPr="00E915AA">
        <w:rPr>
          <w:rFonts w:ascii="Times New Roman" w:eastAsia="Calibri" w:hAnsi="Times New Roman" w:cs="Times New Roman"/>
          <w:sz w:val="24"/>
          <w:szCs w:val="24"/>
          <w:lang w:val="en-GB" w:eastAsia="en-GB"/>
        </w:rPr>
        <w:t xml:space="preserve">total accruals (TACC) </w:t>
      </w:r>
      <w:r w:rsidR="00D955E0" w:rsidRPr="00E915AA">
        <w:rPr>
          <w:rFonts w:ascii="Times New Roman" w:eastAsia="Calibri" w:hAnsi="Times New Roman" w:cs="Times New Roman"/>
          <w:bCs/>
          <w:iCs/>
          <w:sz w:val="24"/>
          <w:szCs w:val="24"/>
          <w:lang w:val="en-GB" w:eastAsia="en-GB"/>
        </w:rPr>
        <w:t xml:space="preserve">in order to  gain a comprehensive picture of managers’ discretionary accounting behaviour </w:t>
      </w:r>
      <w:r w:rsidR="00D955E0" w:rsidRPr="00E915AA">
        <w:rPr>
          <w:rFonts w:ascii="Times New Roman" w:eastAsia="Calibri" w:hAnsi="Times New Roman" w:cs="Times New Roman"/>
          <w:bCs/>
          <w:iCs/>
          <w:sz w:val="24"/>
          <w:szCs w:val="24"/>
          <w:lang w:val="en-GB" w:eastAsia="en-GB"/>
        </w:rPr>
        <w:fldChar w:fldCharType="begin" w:fldLock="1"/>
      </w:r>
      <w:r w:rsidR="00D955E0" w:rsidRPr="00E915AA">
        <w:rPr>
          <w:rFonts w:ascii="Times New Roman" w:eastAsia="Calibri" w:hAnsi="Times New Roman" w:cs="Times New Roman"/>
          <w:bCs/>
          <w:iCs/>
          <w:sz w:val="24"/>
          <w:szCs w:val="24"/>
          <w:lang w:val="en-GB" w:eastAsia="en-GB"/>
        </w:rPr>
        <w:instrText>ADDIN CSL_CITATION {"citationItems":[{"id":"ITEM-1","itemData":{"abstract":"We examine whether initial public offering (IPO) firms exercise discretion over an individual accrual account on the balance sheet—the allowance for uncollectible accounts—and an individual accrual account on the income statement—bad debt expense. Our research design exploits a unique disclosure requirement related to these accounts (i.e., the ex post disclosure of write-offs of uncollectible accounts), which enables us to develop refined expectation models. We provide evidence that IPO firms have conservative, not aggressive, allowances in the annual periods adjacent to their stock offerings. In fact, the average IPO firm has an allowance that is over four-times leading write-offs. We also provide evidence that IPO firms record larger, not smaller, bad debt expense and are less likely to record income - increasing bad debt expense than matched non-IPO firms. These results challenge the view that IPO firms understate receivables-related accrual accounts.","author":[{"dropping-particle":"","family":"Cecchini","given":"M.","non-dropping-particle":"","parse-names":false,"suffix":""},{"dropping-particle":"","family":"Jackson","given":"S. B.","non-dropping-particle":"","parse-names":false,"suffix":""},{"dropping-particle":"","family":"Liu","given":"X.","non-dropping-particle":"","parse-names":false,"suffix":""}],"container-title":"Review of Accounting Studies","id":"ITEM-1","issue":"1","issued":{"date-parts":[["2012"]]},"note":"4","page":"22-40","title":"Do initial public offering firms manage accruals? Evidence from individual accounts","type":"article-journal","volume":"17"},"uris":["http://www.mendeley.com/documents/?uuid=623a337f-4d1f-45d2-88c4-bef04bdb8ea9"]}],"mendeley":{"formattedCitation":"(Cecchini, Jackson, &amp; Liu, 2012)","manualFormatting":"(Cecchini et al., 2012)","plainTextFormattedCitation":"(Cecchini, Jackson, &amp; Liu, 2012)","previouslyFormattedCitation":"(Cecchini, Jackson, &amp; Liu, 2012)"},"properties":{"noteIndex":0},"schema":"https://github.com/citation-style-language/schema/raw/master/csl-citation.json"}</w:instrText>
      </w:r>
      <w:r w:rsidR="00D955E0" w:rsidRPr="00E915AA">
        <w:rPr>
          <w:rFonts w:ascii="Times New Roman" w:eastAsia="Calibri" w:hAnsi="Times New Roman" w:cs="Times New Roman"/>
          <w:bCs/>
          <w:iCs/>
          <w:sz w:val="24"/>
          <w:szCs w:val="24"/>
          <w:lang w:val="en-GB" w:eastAsia="en-GB"/>
        </w:rPr>
        <w:fldChar w:fldCharType="separate"/>
      </w:r>
      <w:r w:rsidR="00D955E0" w:rsidRPr="00E915AA">
        <w:rPr>
          <w:rFonts w:ascii="Times New Roman" w:eastAsia="Calibri" w:hAnsi="Times New Roman" w:cs="Times New Roman"/>
          <w:bCs/>
          <w:iCs/>
          <w:noProof/>
          <w:sz w:val="24"/>
          <w:szCs w:val="24"/>
          <w:lang w:val="en-GB" w:eastAsia="en-GB"/>
        </w:rPr>
        <w:t>(Cecchini et al., 2012)</w:t>
      </w:r>
      <w:r w:rsidR="00D955E0" w:rsidRPr="00E915AA">
        <w:rPr>
          <w:rFonts w:ascii="Times New Roman" w:eastAsia="Calibri" w:hAnsi="Times New Roman" w:cs="Times New Roman"/>
          <w:bCs/>
          <w:iCs/>
          <w:sz w:val="24"/>
          <w:szCs w:val="24"/>
          <w:lang w:val="en-GB" w:eastAsia="en-GB"/>
        </w:rPr>
        <w:fldChar w:fldCharType="end"/>
      </w:r>
      <w:r w:rsidR="00D955E0" w:rsidRPr="00E915AA">
        <w:rPr>
          <w:rFonts w:ascii="Times New Roman" w:eastAsia="Calibri" w:hAnsi="Times New Roman" w:cs="Times New Roman"/>
          <w:bCs/>
          <w:iCs/>
          <w:sz w:val="24"/>
          <w:szCs w:val="24"/>
          <w:lang w:val="en-GB" w:eastAsia="en-GB"/>
        </w:rPr>
        <w:t xml:space="preserve">. This proxy is also employed in the majority of studies on accruals earnings management within the IPO context </w:t>
      </w:r>
      <w:r w:rsidR="00D955E0" w:rsidRPr="00E915AA">
        <w:rPr>
          <w:rFonts w:ascii="Times New Roman" w:eastAsia="Calibri" w:hAnsi="Times New Roman" w:cs="Times New Roman"/>
          <w:bCs/>
          <w:iCs/>
          <w:sz w:val="24"/>
          <w:szCs w:val="24"/>
          <w:lang w:val="en-GB" w:eastAsia="en-GB"/>
        </w:rPr>
        <w:fldChar w:fldCharType="begin" w:fldLock="1"/>
      </w:r>
      <w:r w:rsidR="00D955E0" w:rsidRPr="00E915AA">
        <w:rPr>
          <w:rFonts w:ascii="Times New Roman" w:eastAsia="Calibri" w:hAnsi="Times New Roman" w:cs="Times New Roman"/>
          <w:bCs/>
          <w:iCs/>
          <w:sz w:val="24"/>
          <w:szCs w:val="24"/>
          <w:lang w:val="en-GB" w:eastAsia="en-GB"/>
        </w:rPr>
        <w:instrText>ADDIN CSL_CITATION {"citationItems":[{"id":"ITEM-1","itemData":{"ISBN":"0165-4101","ISSN":"01654101","abstract":"We show that, contrary to popular belief, initial public offering (IPO) firms report more conservatively. We attribute this to the higher quality reporting demanded of public firms by financial statement users and consequentially higher monitoring by auditors, boards, analysts, rating agencies, press, and litigants, and to greater regulatory scrutiny [Ball, R., Shivakumar, L., 2005. Earnings quality in UK private firms: comparative loss recognition timeliness. Journal of Accounting and Economics 39, 83-128]. We also question the evidence of Teoh et al. [1998b. Earnings management and the subsequent market performance of initial public offerings. Journal of Finance 53, 1935-1974] supporting the alternative hypothesis that managers opportunistically inflate earnings to influence IPO pricing. We conjecture that upward-biased estimates of \"discretionary\" accruals occur in a broad genre of studies on earnings management around similar large transactions and events. © 2008 Elsevier B.V. All rights reserved.","author":[{"dropping-particle":"","family":"Ball","given":"R.","non-dropping-particle":"","parse-names":false,"suffix":""},{"dropping-particle":"","family":"Shivakumar","given":"L.","non-dropping-particle":"","parse-names":false,"suffix":""}],"container-title":"Journal of Accounting and Economics","id":"ITEM-1","issue":"2-3","issued":{"date-parts":[["2008"]]},"note":"4*","page":"324-349","title":"Earnings quality at initial public offerings","type":"article-journal","volume":"45"},"uris":["http://www.mendeley.com/documents/?uuid=58d200ff-d8c3-4469-b74e-446df74096e8"]},{"id":"ITEM-2","itemData":{"ISSN":"0001-4826","author":[{"dropping-particle":"","family":"Fan","given":"Qintao","non-dropping-particle":"","parse-names":false,"suffix":""}],"container-title":"The Accounting Review","id":"ITEM-2","issue":"1","issued":{"date-parts":[["2007"]]},"note":"4*","page":"27","title":"Earnings Management and Ownership Retention for Initial Public Oering Firms : Theory and Evidence","type":"article-journal","volume":"82"},"uris":["http://www.mendeley.com/documents/?uuid=97217288-d7a8-42db-aa8a-812ec4e07f6b"]},{"id":"ITEM-3","itemData":{"abstract":"We find evidence that initial public offering (IPO) firms, on average, have high positive issue-year earnings and abnormal accruals, followed by poor long-run earnings and negative abnormal accruals. The IPO year abnormal, and not expected. accruals explain the cross-sectional variation in post-issue earnings and stock returns. The results are robust with respect to alternative abnormal accruals and earnings performance measures. IPO firms adopt more income-increasing depreciation policies when they deviate from similar prior performance same industry non-issuers. and they provide significantly less for uncollectible accounts receivable than their matched non-issuers. The results taken together suggest opportunistic earnings management partially explains the new issues anomaly. [ABSTRACT FROM AUTHOR] Copyright of Review of Accounting Studies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Abstracts.)","author":[{"dropping-particle":"","family":"Teoh","given":"S.H.","non-dropping-particle":"","parse-names":false,"suffix":""},{"dropping-particle":"","family":"Wong","given":"T. J.","non-dropping-particle":"","parse-names":false,"suffix":""},{"dropping-particle":"","family":"Rao","given":"G. R.","non-dropping-particle":"","parse-names":false,"suffix":""}],"container-title":"Review of Accounting Studies","id":"ITEM-3","issue":"1/2","issued":{"date-parts":[["1998"]]},"note":"4","page":"175-208","title":"Are accruals during initial public offerings opportunistic?","type":"article-journal","volume":"3"},"uris":["http://www.mendeley.com/documents/?uuid=9bcab135-1c2b-43e9-8eea-d49b3292ed4a"]},{"id":"ITEM-4","itemData":{"DOI":"10.1016/j.jacceco.2016.09.002","ISBN":"6048228430","ISSN":"01654101","abstract":"We explore how the readability of annual reports varies with earnings management. Using the Fog Index to measure readability (Li, 2008), and focusing on the management discussion and analysis section of the annual report (MD&amp;A), we predict and find that firms most likely to have managed earnings to beat the prior year's earnings have MD&amp;As that are more complex. This disruption of the overall pattern of readability increasing with the level of earnings found in Li (2008) challenges the ontological explanation that good news is inherently easier to communicate, and shows that obfuscation contributes to making disclosures more complex.","author":[{"dropping-particle":"","family":"Lo","given":"Kin","non-dropping-particle":"","parse-names":false,"suffix":""},{"dropping-particle":"","family":"Ramos","given":"Felipe","non-dropping-particle":"","parse-names":false,"suffix":""},{"dropping-particle":"","family":"Rogo","given":"Rafael","non-dropping-particle":"","parse-names":false,"suffix":""}],"container-title":"Journal of Accounting and Economics","id":"ITEM-4","issue":"1","issued":{"date-parts":[["2017"]]},"page":"1-25","publisher":"Elsevier B.V.","title":"Earnings management and annual report readability","type":"article-journal","volume":"63"},"uris":["http://www.mendeley.com/documents/?uuid=62b3f555-718f-4b0b-ac1c-d8bbb030999e"]},{"id":"ITEM-5","itemData":{"abstract":"This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Accounting","id":"ITEM-5","issue":"1-2","issued":{"date-parts":[["2017"]]},"note":"3","page":"154-195","title":"Credit Ratings and Earnings Management around IPOs","type":"article-journal","volume":"44"},"uris":["http://www.mendeley.com/documents/?uuid=1acea3cc-a27d-47fe-ad6b-11463a303827"]},{"id":"ITEM-6","itemData":{"abstract":"This study examines the association between financial expert CEOs and earnings management (EM) around initial public offerings. We identify financial expert CEOs as those having past experience in either banking or investment firms, large auditing firms, or finance-related roles. We find strong evidence that newly listed firms with financial expert CEOs are less likely to engage in either accrual-based or real EM in the offering year than those with non-financial expert CEOs. In particular, our results are robust after controlling for the potential selection issue that occurs due to non-random matching of CEOs to firms. In addition, we employ alternative measures of financial expertise, including past experience in a CFO position, financial experience variety, and professional qualifications. We document that CEOs who used to work as CFOs and those who gained varied financial experience are less likely to manage earnings through both accruals and real activities. Moreover, CEOs who have a professional qualification in finance and/or accounting are also associated with lower accrual-based EM.","author":[{"dropping-particle":"","family":"Gounopoulos","given":"D.","non-dropping-particle":"","parse-names":false,"suffix":""},{"dropping-particle":"","family":"Pham","given":"H.","non-dropping-particle":"","parse-names":false,"suffix":""}],"container-title":"International Journal of Accounting","id":"ITEM-6","issued":{"date-parts":[["2018"]]},"note":"3","page":"1-45","title":"Financial Expert CEOs and Earnings Management Around Initial Public Offerings","type":"article-journal"},"uris":["http://www.mendeley.com/documents/?uuid=121b5e7e-5536-477c-b47c-8d666c47085e"]},{"id":"ITEM-7","itemData":{"DOI":"10.1016/j.jcorpfin.2011.04.012","ISBN":"0929-1199","ISSN":"09291199","abstract":"This study investigates whether financial intermediaries (FIs) participating in the IPO process play a significant role in restraining earnings management (EM). Specifically, we examine whether EM around IPOs is negatively related to investment banks (IBs) and venture capital (VC) investor reputations. In general, we do not find evidence that VCs as a group significantly restrain EM by IPO issuers. However, we uncover strong evidence that more reputable VCs and IBs are associated with significantly less EM, which is consistent with them implicitly certifying the quality of issuer financial reports. Moreover, a stronger reduction in EM is found when more reputable IBs are matched with more reputable VCs, which indicates that VC and IB reputation are complements rather than substitutes. These conclusions are invariant to adjustments for potential endogeneity of underwriter reputation and VC-backing or reputation. © 2011 Elsevier B.V.","author":[{"dropping-particle":"","family":"Lee","given":"G.","non-dropping-particle":"","parse-names":false,"suffix":""},{"dropping-particle":"","family":"Masulis","given":"R. W.","non-dropping-particle":"","parse-names":false,"suffix":""}],"container-title":"Journal of Corporate Finance","id":"ITEM-7","issue":"4","issued":{"date-parts":[["2011"]]},"note":"4","page":"982-1000","publisher":"Elsevier B.V.","title":"Do more reputable financial institutions reduce earnings management by IPO issuers?","type":"article-journal","volume":"17"},"uris":["http://www.mendeley.com/documents/?uuid=1eadbd2e-49f9-4828-8d9d-61bcf3a4a165"]}],"mendeley":{"formattedCitation":"(Ball &amp; Shivakumar, 2008; Fan, 2007; Gounopoulos &amp; Pham, 2017, 2018; G. Lee &amp; Masulis, 2011; Kin Lo, Ramos, &amp; Rogo, 2017; S.H. Teoh et al., 1998)","manualFormatting":"(Ball &amp; Shivakumar, 2008; Fan, 2007; Gounopoulos &amp; Pham, 2017, 2018; Lee &amp; Masulis, 2011; K. Lo et al., 2017; Teoh et al., 1998a)","plainTextFormattedCitation":"(Ball &amp; Shivakumar, 2008; Fan, 2007; Gounopoulos &amp; Pham, 2017, 2018; G. Lee &amp; Masulis, 2011; Kin Lo, Ramos, &amp; Rogo, 2017; S.H. Teoh et al., 1998)","previouslyFormattedCitation":"(Ball &amp; Shivakumar, 2008; Fan, 2007; Gounopoulos &amp; Pham, 2017, 2018; G. Lee &amp; Masulis, 2011; Kin Lo, Ramos, &amp; Rogo, 2017; S.H. Teoh et al., 1998)"},"properties":{"noteIndex":0},"schema":"https://github.com/citation-style-language/schema/raw/master/csl-citation.json"}</w:instrText>
      </w:r>
      <w:r w:rsidR="00D955E0" w:rsidRPr="00E915AA">
        <w:rPr>
          <w:rFonts w:ascii="Times New Roman" w:eastAsia="Calibri" w:hAnsi="Times New Roman" w:cs="Times New Roman"/>
          <w:bCs/>
          <w:iCs/>
          <w:sz w:val="24"/>
          <w:szCs w:val="24"/>
          <w:lang w:val="en-GB" w:eastAsia="en-GB"/>
        </w:rPr>
        <w:fldChar w:fldCharType="separate"/>
      </w:r>
      <w:r w:rsidR="00D955E0" w:rsidRPr="00E915AA">
        <w:rPr>
          <w:rFonts w:ascii="Times New Roman" w:eastAsia="Calibri" w:hAnsi="Times New Roman" w:cs="Times New Roman"/>
          <w:bCs/>
          <w:iCs/>
          <w:noProof/>
          <w:sz w:val="24"/>
          <w:szCs w:val="24"/>
          <w:lang w:val="en-GB" w:eastAsia="en-GB"/>
        </w:rPr>
        <w:t>(Ball &amp; Shivakumar, 2008; Fan, 2007; Gounopoulos &amp; Pham, 2017, 2018; Lee &amp; Masulis, 2011; K. Lo et al., 2017; Teoh et al., 1998a)</w:t>
      </w:r>
      <w:r w:rsidR="00D955E0" w:rsidRPr="00E915AA">
        <w:rPr>
          <w:rFonts w:ascii="Times New Roman" w:eastAsia="Calibri" w:hAnsi="Times New Roman" w:cs="Times New Roman"/>
          <w:bCs/>
          <w:iCs/>
          <w:sz w:val="24"/>
          <w:szCs w:val="24"/>
          <w:lang w:val="en-GB" w:eastAsia="en-GB"/>
        </w:rPr>
        <w:fldChar w:fldCharType="end"/>
      </w:r>
      <w:r w:rsidR="00D955E0" w:rsidRPr="00E915AA">
        <w:rPr>
          <w:rFonts w:ascii="Times New Roman" w:eastAsia="Calibri" w:hAnsi="Times New Roman" w:cs="Times New Roman"/>
          <w:bCs/>
          <w:iCs/>
          <w:sz w:val="24"/>
          <w:szCs w:val="24"/>
          <w:lang w:val="en-GB" w:eastAsia="en-GB"/>
        </w:rPr>
        <w:t xml:space="preserve">. Following prior studies </w:t>
      </w:r>
      <w:r w:rsidR="00D955E0" w:rsidRPr="00E915AA">
        <w:rPr>
          <w:rFonts w:ascii="Times New Roman" w:eastAsia="Calibri" w:hAnsi="Times New Roman" w:cs="Times New Roman"/>
          <w:bCs/>
          <w:iCs/>
          <w:sz w:val="24"/>
          <w:szCs w:val="24"/>
          <w:lang w:val="en-GB" w:eastAsia="en-GB"/>
        </w:rPr>
        <w:fldChar w:fldCharType="begin" w:fldLock="1"/>
      </w:r>
      <w:r w:rsidR="00D955E0" w:rsidRPr="00E915AA">
        <w:rPr>
          <w:rFonts w:ascii="Times New Roman" w:eastAsia="Calibri" w:hAnsi="Times New Roman" w:cs="Times New Roman"/>
          <w:bCs/>
          <w:iCs/>
          <w:sz w:val="24"/>
          <w:szCs w:val="24"/>
          <w:lang w:val="en-GB" w:eastAsia="en-GB"/>
        </w:rPr>
        <w:instrText>ADDIN CSL_CITATION {"citationItems":[{"id":"ITEM-1","itemData":{"abstract":"This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Accounting","id":"ITEM-1","issue":"1-2","issued":{"date-parts":[["2017"]]},"note":"3","page":"154-195","title":"Credit Ratings and Earnings Management around IPOs","type":"article-journal","volume":"44"},"uris":["http://www.mendeley.com/documents/?uuid=1acea3cc-a27d-47fe-ad6b-11463a303827"]},{"id":"ITEM-2","itemData":{"abstract":"This study examines the association between financial expert CEOs and earnings management (EM) around initial public offerings. We identify financial expert CEOs as those having past experience in either banking or investment firms, large auditing firms, or finance-related roles. We find strong evidence that newly listed firms with financial expert CEOs are less likely to engage in either accrual-based or real EM in the offering year than those with non-financial expert CEOs. In particular, our results are robust after controlling for the potential selection issue that occurs due to non-random matching of CEOs to firms. In addition, we employ alternative measures of financial expertise, including past experience in a CFO position, financial experience variety, and professional qualifications. We document that CEOs who used to work as CFOs and those who gained varied financial experience are less likely to manage earnings through both accruals and real activities. Moreover, CEOs who have a professional qualification in finance and/or accounting are also associated with lower accrual-based EM.","author":[{"dropping-particle":"","family":"Gounopoulos","given":"D.","non-dropping-particle":"","parse-names":false,"suffix":""},{"dropping-particle":"","family":"Pham","given":"H.","non-dropping-particle":"","parse-names":false,"suffix":""}],"container-title":"International Journal of Accounting","id":"ITEM-2","issued":{"date-parts":[["2018"]]},"note":"3","page":"1-45","title":"Financial Expert CEOs and Earnings Management Around Initial Public Offerings","type":"article-journal"},"uris":["http://www.mendeley.com/documents/?uuid=121b5e7e-5536-477c-b47c-8d666c47085e"]},{"id":"ITEM-3","itemData":{"abstract":"This study investigates the dual roles of institutional investors in earnings management during initial public offerings (IPOs). Research suggests that institutional investors play a monitoring role in the corporate governance of firms by mitigating earnings management to reduce agency problems. However, institutional investors have incentives to opportunistically maximize their wealth by manipulating earnings when firms engage in IPOs. Results suggest that institutional investors facilitate accrual-based earnings management before IPOs but restrain earnings management after their issuance. We also find that firms with high institutional ownership experience superior post-IPO stock returns and operating performance, thereby suggesting that the capital market positively prices the monitoring function of institutional investors after IPOs, and the performance of these firms is improved. Our results are robust to controlling the endogeneity problem of institutional investors and further identifying active institutional investors.","author":[{"dropping-particle":"","family":"Lo","given":"H.C.","non-dropping-particle":"","parse-names":false,"suffix":""},{"dropping-particle":"","family":"Wu","given":"R.S.","non-dropping-particle":"","parse-names":false,"suffix":""},{"dropping-particle":"","family":"Kweh","given":"Q.L.","non-dropping-particle":"","parse-names":false,"suffix":""}],"container-title":"International Review of Financial Analysis","id":"ITEM-3","issued":{"date-parts":[["2017"]]},"page":"62-76","publisher":"Elsevier Inc.","title":"Do institutional investors reinforce or reduce agency problems? Earnings management and the post-IPO performance","type":"article-journal","volume":"52"},"uris":["http://www.mendeley.com/documents/?uuid=2864429a-2189-4522-9de1-fa0e43d4565b"]}],"mendeley":{"formattedCitation":"(Gounopoulos &amp; Pham, 2017, 2018; H. C. Lo, Wu, &amp; Kweh, 2017)","manualFormatting":"(Gounopoulos &amp; Pham, 2017, 2018; Lo et al., 2017)","plainTextFormattedCitation":"(Gounopoulos &amp; Pham, 2017, 2018; H. C. Lo, Wu, &amp; Kweh, 2017)","previouslyFormattedCitation":"(Gounopoulos &amp; Pham, 2017, 2018; H. C. Lo, Wu, &amp; Kweh, 2017)"},"properties":{"noteIndex":0},"schema":"https://github.com/citation-style-language/schema/raw/master/csl-citation.json"}</w:instrText>
      </w:r>
      <w:r w:rsidR="00D955E0" w:rsidRPr="00E915AA">
        <w:rPr>
          <w:rFonts w:ascii="Times New Roman" w:eastAsia="Calibri" w:hAnsi="Times New Roman" w:cs="Times New Roman"/>
          <w:bCs/>
          <w:iCs/>
          <w:sz w:val="24"/>
          <w:szCs w:val="24"/>
          <w:lang w:val="en-GB" w:eastAsia="en-GB"/>
        </w:rPr>
        <w:fldChar w:fldCharType="separate"/>
      </w:r>
      <w:r w:rsidR="00D955E0" w:rsidRPr="00E915AA">
        <w:rPr>
          <w:rFonts w:ascii="Times New Roman" w:eastAsia="Calibri" w:hAnsi="Times New Roman" w:cs="Times New Roman"/>
          <w:bCs/>
          <w:iCs/>
          <w:noProof/>
          <w:sz w:val="24"/>
          <w:szCs w:val="24"/>
          <w:lang w:val="en-GB" w:eastAsia="en-GB"/>
        </w:rPr>
        <w:t>(Gounopoulos &amp; Pham, 2017, 2018; Lo et al., 2017)</w:t>
      </w:r>
      <w:r w:rsidR="00D955E0" w:rsidRPr="00E915AA">
        <w:rPr>
          <w:rFonts w:ascii="Times New Roman" w:eastAsia="Calibri" w:hAnsi="Times New Roman" w:cs="Times New Roman"/>
          <w:bCs/>
          <w:iCs/>
          <w:sz w:val="24"/>
          <w:szCs w:val="24"/>
          <w:lang w:val="en-GB" w:eastAsia="en-GB"/>
        </w:rPr>
        <w:fldChar w:fldCharType="end"/>
      </w:r>
      <w:r w:rsidR="00D955E0" w:rsidRPr="00E915AA">
        <w:rPr>
          <w:rFonts w:ascii="Times New Roman" w:eastAsia="Calibri" w:hAnsi="Times New Roman" w:cs="Times New Roman"/>
          <w:bCs/>
          <w:iCs/>
          <w:sz w:val="24"/>
          <w:szCs w:val="24"/>
          <w:lang w:val="en-GB" w:eastAsia="en-GB"/>
        </w:rPr>
        <w:t xml:space="preserve">, abnormal accruals are estimated using the modified </w:t>
      </w:r>
      <w:r w:rsidR="00D955E0" w:rsidRPr="00E915AA">
        <w:rPr>
          <w:rFonts w:ascii="Times New Roman" w:eastAsia="Calibri" w:hAnsi="Times New Roman" w:cs="Times New Roman"/>
          <w:bCs/>
          <w:iCs/>
          <w:sz w:val="24"/>
          <w:szCs w:val="24"/>
          <w:lang w:val="en-GB" w:eastAsia="en-GB"/>
        </w:rPr>
        <w:fldChar w:fldCharType="begin" w:fldLock="1"/>
      </w:r>
      <w:r w:rsidR="00D955E0" w:rsidRPr="00E915AA">
        <w:rPr>
          <w:rFonts w:ascii="Times New Roman" w:eastAsia="Calibri" w:hAnsi="Times New Roman" w:cs="Times New Roman"/>
          <w:bCs/>
          <w:iCs/>
          <w:sz w:val="24"/>
          <w:szCs w:val="24"/>
          <w:lang w:val="en-GB" w:eastAsia="en-GB"/>
        </w:rPr>
        <w:instrText>ADDIN CSL_CITATION {"citationItems":[{"id":"ITEM-1","itemData":{"ISBN":"00218456","ISSN":"00218456","PMID":"6415303","abstract":"This study tests whether firms that would benefit from import relief (e.g., tariff increases and quota reductions) attempt to decrease earnings through earnings management during import relief investigations by the United States International Trade Commission (ITC). The import relief determination made by the ITC is based on several factors that are specified in the federal trade acts, including the profitability of the industry. Explicit use of accounting numbers in import relief regulation provides incentives for managers to manage earnings in order to increase the likelihood of obtaining import relief and/or increase the amount of relief granted.","author":[{"dropping-particle":"","family":"Jones","given":"Jennifer J.","non-dropping-particle":"","parse-names":false,"suffix":""}],"container-title":"Journal of Accounting Research","id":"ITEM-1","issue":"2","issued":{"date-parts":[["1991"]]},"page":"193","title":"Earnings Management During Import Relief Investigations","type":"article-journal","volume":"29"},"uris":["http://www.mendeley.com/documents/?uuid=892e4e9b-6165-408f-bfdd-423018d46ec5"]}],"mendeley":{"formattedCitation":"(Jones, 1991)","manualFormatting":"Jones (1991)","plainTextFormattedCitation":"(Jones, 1991)","previouslyFormattedCitation":"(Jones, 1991)"},"properties":{"noteIndex":0},"schema":"https://github.com/citation-style-language/schema/raw/master/csl-citation.json"}</w:instrText>
      </w:r>
      <w:r w:rsidR="00D955E0" w:rsidRPr="00E915AA">
        <w:rPr>
          <w:rFonts w:ascii="Times New Roman" w:eastAsia="Calibri" w:hAnsi="Times New Roman" w:cs="Times New Roman"/>
          <w:bCs/>
          <w:iCs/>
          <w:sz w:val="24"/>
          <w:szCs w:val="24"/>
          <w:lang w:val="en-GB" w:eastAsia="en-GB"/>
        </w:rPr>
        <w:fldChar w:fldCharType="separate"/>
      </w:r>
      <w:r w:rsidR="00D955E0" w:rsidRPr="00E915AA">
        <w:rPr>
          <w:rFonts w:ascii="Times New Roman" w:eastAsia="Calibri" w:hAnsi="Times New Roman" w:cs="Times New Roman"/>
          <w:bCs/>
          <w:iCs/>
          <w:noProof/>
          <w:sz w:val="24"/>
          <w:szCs w:val="24"/>
          <w:lang w:val="en-GB" w:eastAsia="en-GB"/>
        </w:rPr>
        <w:t>Jones (1991)</w:t>
      </w:r>
      <w:r w:rsidR="00D955E0" w:rsidRPr="00E915AA">
        <w:rPr>
          <w:rFonts w:ascii="Times New Roman" w:eastAsia="Calibri" w:hAnsi="Times New Roman" w:cs="Times New Roman"/>
          <w:bCs/>
          <w:iCs/>
          <w:sz w:val="24"/>
          <w:szCs w:val="24"/>
          <w:lang w:val="en-GB" w:eastAsia="en-GB"/>
        </w:rPr>
        <w:fldChar w:fldCharType="end"/>
      </w:r>
      <w:r w:rsidR="00D955E0" w:rsidRPr="00E915AA">
        <w:rPr>
          <w:rFonts w:ascii="Times New Roman" w:eastAsia="Calibri" w:hAnsi="Times New Roman" w:cs="Times New Roman"/>
          <w:bCs/>
          <w:iCs/>
          <w:sz w:val="24"/>
          <w:szCs w:val="24"/>
          <w:lang w:val="en-GB" w:eastAsia="en-GB"/>
        </w:rPr>
        <w:t xml:space="preserve"> model developed by </w:t>
      </w:r>
      <w:r w:rsidR="00D955E0" w:rsidRPr="00E915AA">
        <w:rPr>
          <w:rFonts w:ascii="Times New Roman" w:eastAsia="Calibri" w:hAnsi="Times New Roman" w:cs="Times New Roman"/>
          <w:bCs/>
          <w:iCs/>
          <w:sz w:val="24"/>
          <w:szCs w:val="24"/>
          <w:lang w:val="en-GB" w:eastAsia="en-GB"/>
        </w:rPr>
        <w:fldChar w:fldCharType="begin" w:fldLock="1"/>
      </w:r>
      <w:r w:rsidR="00D955E0" w:rsidRPr="00E915AA">
        <w:rPr>
          <w:rFonts w:ascii="Times New Roman" w:eastAsia="Calibri" w:hAnsi="Times New Roman" w:cs="Times New Roman"/>
          <w:bCs/>
          <w:iCs/>
          <w:sz w:val="24"/>
          <w:szCs w:val="24"/>
          <w:lang w:val="en-GB" w:eastAsia="en-GB"/>
        </w:rPr>
        <w:instrText>ADDIN CSL_CITATION {"citationItems":[{"id":"ITEM-1","itemData":{"ISBN":"00014826","ISSN":"0001-4826","PMID":"9505096112","abstract":"This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Management","type":"article-journal","volume":"70"},"uris":["http://www.mendeley.com/documents/?uuid=5273b88f-a57a-4d8a-93c4-a79af3749863"]}],"mendeley":{"formattedCitation":"(Patricia M. Dechow et al., 1995)","manualFormatting":"Dechow et al. (1995)","plainTextFormattedCitation":"(Patricia M. Dechow et al., 1995)","previouslyFormattedCitation":"(Patricia M. Dechow et al., 1995)"},"properties":{"noteIndex":0},"schema":"https://github.com/citation-style-language/schema/raw/master/csl-citation.json"}</w:instrText>
      </w:r>
      <w:r w:rsidR="00D955E0" w:rsidRPr="00E915AA">
        <w:rPr>
          <w:rFonts w:ascii="Times New Roman" w:eastAsia="Calibri" w:hAnsi="Times New Roman" w:cs="Times New Roman"/>
          <w:bCs/>
          <w:iCs/>
          <w:sz w:val="24"/>
          <w:szCs w:val="24"/>
          <w:lang w:val="en-GB" w:eastAsia="en-GB"/>
        </w:rPr>
        <w:fldChar w:fldCharType="separate"/>
      </w:r>
      <w:r w:rsidR="00D955E0" w:rsidRPr="00E915AA">
        <w:rPr>
          <w:rFonts w:ascii="Times New Roman" w:eastAsia="Calibri" w:hAnsi="Times New Roman" w:cs="Times New Roman"/>
          <w:bCs/>
          <w:iCs/>
          <w:noProof/>
          <w:sz w:val="24"/>
          <w:szCs w:val="24"/>
          <w:lang w:val="en-GB" w:eastAsia="en-GB"/>
        </w:rPr>
        <w:t>Dechow et al. (1995)</w:t>
      </w:r>
      <w:r w:rsidR="00D955E0" w:rsidRPr="00E915AA">
        <w:rPr>
          <w:rFonts w:ascii="Times New Roman" w:eastAsia="Calibri" w:hAnsi="Times New Roman" w:cs="Times New Roman"/>
          <w:bCs/>
          <w:iCs/>
          <w:sz w:val="24"/>
          <w:szCs w:val="24"/>
          <w:lang w:val="en-GB" w:eastAsia="en-GB"/>
        </w:rPr>
        <w:fldChar w:fldCharType="end"/>
      </w:r>
      <w:r w:rsidR="00D955E0" w:rsidRPr="00E915AA">
        <w:rPr>
          <w:rFonts w:ascii="Times New Roman" w:eastAsia="Calibri" w:hAnsi="Times New Roman" w:cs="Times New Roman"/>
          <w:bCs/>
          <w:iCs/>
          <w:sz w:val="24"/>
          <w:szCs w:val="24"/>
          <w:lang w:val="en-GB" w:eastAsia="en-GB"/>
        </w:rPr>
        <w:t xml:space="preserve">. </w:t>
      </w:r>
    </w:p>
    <w:p w14:paraId="5B8C6E3C" w14:textId="77777777"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We employ the cross-sectional version of the modified Jones model. Specifically, as outlined in</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{"citationItems":[{"id":"ITEM-1","itemData":{"ISBN":"00218456","ISSN":"00218456","PMID":"6415303","abstract":"This study tests whether firms that would benefit from import relief (e.g., tariff increases and quota reductions) attempt to decrease earnings through earnings management during import relief investigations by the United States International Trade Commission (ITC). The import relief determination made by the ITC is based on several factors that are specified in the federal trade acts, including the profitability of the industry. Explicit use of accounting numbers in import relief regulation provides incentives for managers to manage earnings in order to increase the likelihood of obtaining import relief and/or increase the amount of relief granted.","author":[{"dropping-particle":"","family":"Jones","given":"Jennifer J.","non-dropping-particle":"","parse-names":false,"suffix":""}],"container-title":"Journal of Accounting Research","id":"ITEM-1","issue":"2","issued":{"date-parts":[["1991"]]},"page":"193","title":"Earnings Management During Import Relief Investigations","type":"article-journal","volume":"29"},"uris":["http://www.mendeley.com/documents/?uuid=892e4e9b-6165-408f-bfdd-423018d46ec5"]}],"mendeley":{"formattedCitation":"(Jones, 1991)","manualFormatting":" Jones (1991)","plainTextFormattedCitation":"(Jones, 1991)","previouslyFormattedCitation":"(Jones, 1991)"},"properties":{"noteIndex":0},"schema":"https://github.com/citation-style-language/schema/raw/master/csl-citation.json"}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 xml:space="preserve"> Jones (1991)</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xml:space="preserve">, total accruals </w:t>
      </w:r>
      <w:r w:rsidRPr="00E915AA">
        <w:rPr>
          <w:rFonts w:ascii="Times New Roman" w:eastAsia="Calibri" w:hAnsi="Times New Roman" w:cs="Times New Roman"/>
          <w:noProof/>
          <w:sz w:val="24"/>
          <w:szCs w:val="24"/>
          <w:lang w:val="en-GB" w:eastAsia="en-GB"/>
        </w:rPr>
        <w:t>consists</w:t>
      </w:r>
      <w:r w:rsidRPr="00E915AA">
        <w:rPr>
          <w:rFonts w:ascii="Times New Roman" w:eastAsia="Calibri" w:hAnsi="Times New Roman" w:cs="Times New Roman"/>
          <w:sz w:val="24"/>
          <w:szCs w:val="24"/>
          <w:lang w:val="en-GB" w:eastAsia="en-GB"/>
        </w:rPr>
        <w:t xml:space="preserve"> of two components, namely discretionary accruals (DACC) and non-discretionary accruals (NDACC) as shown in Equation 1. NDACC reflect company performance and is forecasted by measuring the change in sales and gross property, </w:t>
      </w:r>
      <w:proofErr w:type="gramStart"/>
      <w:r w:rsidRPr="00E915AA">
        <w:rPr>
          <w:rFonts w:ascii="Times New Roman" w:eastAsia="Calibri" w:hAnsi="Times New Roman" w:cs="Times New Roman"/>
          <w:sz w:val="24"/>
          <w:szCs w:val="24"/>
          <w:lang w:val="en-GB" w:eastAsia="en-GB"/>
        </w:rPr>
        <w:t>plant</w:t>
      </w:r>
      <w:proofErr w:type="gramEnd"/>
      <w:r w:rsidRPr="00E915AA">
        <w:rPr>
          <w:rFonts w:ascii="Times New Roman" w:eastAsia="Calibri" w:hAnsi="Times New Roman" w:cs="Times New Roman"/>
          <w:sz w:val="24"/>
          <w:szCs w:val="24"/>
          <w:lang w:val="en-GB" w:eastAsia="en-GB"/>
        </w:rPr>
        <w:t xml:space="preserve"> and equipment. DACC reflect managers’ discretionary accounting choices and is estimated as the difference between TACC and NDACC.</w:t>
      </w:r>
      <w:r w:rsidRPr="00E915AA">
        <w:rPr>
          <w:rFonts w:ascii="Times New Roman" w:eastAsia="Calibri" w:hAnsi="Times New Roman" w:cs="Times New Roman"/>
          <w:sz w:val="24"/>
          <w:szCs w:val="24"/>
          <w:vertAlign w:val="superscript"/>
          <w:lang w:val="en-GB" w:eastAsia="en-GB"/>
        </w:rPr>
        <w:footnoteReference w:id="19"/>
      </w:r>
      <w:r w:rsidRPr="00E915AA">
        <w:rPr>
          <w:rFonts w:ascii="Times New Roman" w:eastAsia="Calibri" w:hAnsi="Times New Roman" w:cs="Times New Roman"/>
          <w:sz w:val="24"/>
          <w:szCs w:val="24"/>
          <w:lang w:val="en-GB" w:eastAsia="en-GB"/>
        </w:rPr>
        <w:t xml:space="preserve"> </w:t>
      </w:r>
    </w:p>
    <w:p w14:paraId="356DDEB8" w14:textId="77777777" w:rsidR="00D955E0" w:rsidRPr="00E915AA" w:rsidRDefault="00D955E0" w:rsidP="00D955E0">
      <w:pPr>
        <w:spacing w:before="240" w:after="240" w:line="360" w:lineRule="auto"/>
        <w:ind w:left="426" w:firstLine="294"/>
        <w:jc w:val="center"/>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TACC = DACC + NDACC        </w:t>
      </w:r>
      <w:r w:rsidRPr="00E915AA">
        <w:rPr>
          <w:rFonts w:ascii="Times New Roman" w:eastAsia="Calibri" w:hAnsi="Times New Roman" w:cs="Times New Roman"/>
          <w:sz w:val="24"/>
          <w:szCs w:val="24"/>
          <w:lang w:val="en-GB" w:eastAsia="en-GB"/>
        </w:rPr>
        <w:tab/>
        <w:t xml:space="preserve"> (1)</w:t>
      </w:r>
    </w:p>
    <w:p w14:paraId="53061A66" w14:textId="1F2BB520"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Following</w:t>
      </w:r>
      <w:r w:rsidRPr="00E915AA">
        <w:rPr>
          <w:rFonts w:ascii="Times New Roman" w:eastAsia="Calibri" w:hAnsi="Times New Roman" w:cs="Times New Roman"/>
          <w:sz w:val="24"/>
          <w:szCs w:val="24"/>
          <w:lang w:val="en-GB" w:eastAsia="en-GB"/>
        </w:rPr>
        <w:fldChar w:fldCharType="begin" w:fldLock="1"/>
      </w:r>
      <w:r w:rsidRPr="00E915AA">
        <w:rPr>
          <w:rFonts w:ascii="Times New Roman" w:eastAsia="Calibri" w:hAnsi="Times New Roman" w:cs="Times New Roman"/>
          <w:sz w:val="24"/>
          <w:szCs w:val="24"/>
          <w:lang w:val="en-GB" w:eastAsia="en-GB"/>
        </w:rPr>
        <w:instrText>ADDIN CSL_CITATION {"citationItems":[{"id":"ITEM-1","itemData":{"abstract":"This study examines the impact of having a credit rating on earnings management (EM) through accruals and real activities manipulation by initial public offering (IPO) firms. We find that firms going public with a credit rating are less likely to engage in income-enhancing accrual-based and real EM in the offering year. The monitoring by a credit rating agency (CRA) and the reduced information asymmetry due to the provision of a credit rating disincentivise rated issuers from managing earnings. We also suggest that the participation of a reputable auditing firm is crucial for CRAs to effectively restrain EM. Moreover, we document that for unrated issuers, at-issue income-increasing EM is not linked to future earnings and is negatively related to post-issue long-run stock performance. However, for rated issuers, at-issue income-increasing EM is positively associated with subsequent accounting performance and is unrelated to long-run stock performance following the offering. The evidence indicates that managers in unrated firms generally manipulate earnings to mislead investors, while managers in rated firms tend to exercise their accounting and operating discretion for informative purposes.","author":[{"dropping-particle":"","family":"Gounopoulos","given":"D.","non-dropping-particle":"","parse-names":false,"suffix":""},{"dropping-particle":"","family":"Pham","given":"H.","non-dropping-particle":"","parse-names":false,"suffix":""}],"container-title":"Journal of Business Finance and Accounting","id":"ITEM-1","issue":"1-2","issued":{"date-parts":[["2017"]]},"note":"3","page":"154-195","title":"Credit Ratings and Earnings Management around IPOs","type":"article-journal","volume":"44"},"uris":["http://www.mendeley.com/documents/?uuid=1acea3cc-a27d-47fe-ad6b-11463a303827"]},{"id":"ITEM-2","itemData":{"abstract":"This study examines the association between financial expert CEOs and earnings management (EM) around initial public offerings. We identify financial expert CEOs as those having past experience in either banking or investment firms, large auditing firms, or finance-related roles. We find strong evidence that newly listed firms with financial expert CEOs are less likely to engage in either accrual-based or real EM in the offering year than those with non-financial expert CEOs. In particular, our results are robust after controlling for the potential selection issue that occurs due to non-random matching of CEOs to firms. In addition, we employ alternative measures of financial expertise, including past experience in a CFO position, financial experience variety, and professional qualifications. We document that CEOs who used to work as CFOs and those who gained varied financial experience are less likely to manage earnings through both accruals and real activities. Moreover, CEOs who have a professional qualification in finance and/or accounting are also associated with lower accrual-based EM.","author":[{"dropping-particle":"","family":"Gounopoulos","given":"D.","non-dropping-particle":"","parse-names":false,"suffix":""},{"dropping-particle":"","family":"Pham","given":"H.","non-dropping-particle":"","parse-names":false,"suffix":""}],"container-title":"International Journal of Accounting","id":"ITEM-2","issued":{"date-parts":[["2018"]]},"note":"3","page":"1-45","title":"Financial Expert CEOs and Earnings Management Around Initial Public Offerings","type":"article-journal"},"uris":["http://www.mendeley.com/documents/?uuid=121b5e7e-5536-477c-b47c-8d666c47085e"]},{"id":"ITEM-3","itemData":{"ISBN":"1540-6261","ISSN":"00221082","PMID":"1311802","abstract":"Issuers of initial public offerings (IPOs) can report earnings in excess of cash flows by taking positive accruals. This paper provides evidence that issuers with unusu- ally high accruals in the IPO year experience poor stock return performance in the three years thereafter. IPO issuers in the most “aggressive” quartile of earnings managers have a three-year aftermarket stock return of approximately 20 percent less than IPO issuers in the most “conservative” quartile. They also issue about 20 percent fewer seasoned equity offerings. These differences are statistically and economically significant in a variety of specifications.","author":[{"dropping-particle":"","family":"Teoh","given":"Siew Hong","non-dropping-particle":"","parse-names":false,"suffix":""},{"dropping-particle":"","family":"Welch","given":"Ivo","non-dropping-particle":"","parse-names":false,"suffix":""},{"dropping-particle":"","family":"Wong","given":"T.J.","non-dropping-particle":"","parse-names":false,"suffix":""}],"container-title":"The Journal of Finance","id":"ITEM-3","issue":"6","issued":{"date-parts":[["1998"]]},"note":"4*","page":"1935-1974","title":"Earnings management and the long-run market performance of Initial Public Offerings","type":"article-journal","volume":"53"},"uris":["http://www.mendeley.com/documents/?uuid=df119c60-80fa-4e3c-9236-cb84a3060fd4"]},{"id":"ITEM-4","itemData":{"abstract":"We examine the relation between audit quality and the earnings management activities of IPO firms. The impact of high quality auditors on real earnings management has been researched in a number of settings e.g. SEOs. However, to date, there has been no work on the effect of high quality auditors on real activities-based manipulation around IPOs. We examine UK IPOs between 1998 and 2008 and find evidence that high quality auditors constrain the use of real activities manipulation that occurs via the management of discretionary expenses. We also find evidence, consistent with prior research, that high quality auditors constrain the manipulation of discretionary accruals. Crucially, we find IPO firms audited by high quality auditors undertake sales-based manipulation in order to manage earnings upward at the end of the IPO year. The presence of high quality auditors is not, therefore, sufficient to constrain all forms of earnings management.","author":[{"dropping-particle":"","family":"Alhadab","given":"M.","non-dropping-particle":"","parse-names":false,"suffix":""},{"dropping-particle":"","family":"Clacher","given":"I.","non-dropping-particle":"","parse-names":false,"suffix":""}],"container-title":"British Accounting Review","id":"ITEM-4","issue":"4","issued":{"date-parts":[["2018"]]},"note":"3","page":"442-461","publisher":"Elsevier","title":"The impact of audit quality on real and accrual earnings management around IPOs","type":"article-journal","volume":"50"},"uris":["http://www.mendeley.com/documents/?uuid=0828aec0-76a8-4a5d-833a-65cf5ae333e5"]},{"id":"ITEM-5","itemData":{"ISSN":"0001-4826","author":[{"dropping-particle":"","family":"Fan","given":"Qintao","non-dropping-particle":"","parse-names":false,"suffix":""}],"container-title":"The Accounting Review","id":"ITEM-5","issue":"1","issued":{"date-parts":[["2007"]]},"note":"4*","page":"27","title":"Earnings Management and Ownership Retention for Initial Public Oering Firms : Theory and Evidence","type":"article-journal","volume":"82"},"uris":["http://www.mendeley.com/documents/?uuid=97217288-d7a8-42db-aa8a-812ec4e07f6b"]}],"mendeley":{"formattedCitation":"(Alhadab &amp; Clacher, 2018; Fan, 2007; Gounopoulos &amp; Pham, 2017, 2018; Siew Hong Teoh et al., 1998b)","manualFormatting":" Alhadab &amp; Clacher (2018); Fan (2007); Gounopoulos &amp; Pham (2017, 2018); Teoh et al. (1998a)","plainTextFormattedCitation":"(Alhadab &amp; Clacher, 2018; Fan, 2007; Gounopoulos &amp; Pham, 2017, 2018; Siew Hong Teoh et al., 1998b)","previouslyFormattedCitation":"(Alhadab &amp; Clacher, 2018; Fan, 2007; Gounopoulos &amp; Pham, 2017, 2018; Siew Hong Teoh et al., 1998b)"},"properties":{"noteIndex":0},"schema":"https://github.com/citation-style-language/schema/raw/master/csl-citation.json"}</w:instrText>
      </w:r>
      <w:r w:rsidRPr="00E915AA">
        <w:rPr>
          <w:rFonts w:ascii="Times New Roman" w:eastAsia="Calibri" w:hAnsi="Times New Roman" w:cs="Times New Roman"/>
          <w:sz w:val="24"/>
          <w:szCs w:val="24"/>
          <w:lang w:val="en-GB" w:eastAsia="en-GB"/>
        </w:rPr>
        <w:fldChar w:fldCharType="separate"/>
      </w:r>
      <w:r w:rsidRPr="00E915AA">
        <w:rPr>
          <w:rFonts w:ascii="Times New Roman" w:eastAsia="Calibri" w:hAnsi="Times New Roman" w:cs="Times New Roman"/>
          <w:noProof/>
          <w:sz w:val="24"/>
          <w:szCs w:val="24"/>
          <w:lang w:val="en-GB" w:eastAsia="en-GB"/>
        </w:rPr>
        <w:t xml:space="preserve"> Alhadab &amp; Clacher (2018)</w:t>
      </w:r>
      <w:r w:rsidR="00D3084D" w:rsidRPr="00E915AA">
        <w:rPr>
          <w:rFonts w:ascii="Times New Roman" w:eastAsia="Calibri" w:hAnsi="Times New Roman" w:cs="Times New Roman"/>
          <w:noProof/>
          <w:sz w:val="24"/>
          <w:szCs w:val="24"/>
          <w:lang w:val="en-GB" w:eastAsia="en-GB"/>
        </w:rPr>
        <w:t>,</w:t>
      </w:r>
      <w:r w:rsidRPr="00E915AA">
        <w:rPr>
          <w:rFonts w:ascii="Times New Roman" w:eastAsia="Calibri" w:hAnsi="Times New Roman" w:cs="Times New Roman"/>
          <w:noProof/>
          <w:sz w:val="24"/>
          <w:szCs w:val="24"/>
          <w:lang w:val="en-GB" w:eastAsia="en-GB"/>
        </w:rPr>
        <w:t xml:space="preserve"> Fan (2007)</w:t>
      </w:r>
      <w:r w:rsidR="00D3084D" w:rsidRPr="00E915AA">
        <w:rPr>
          <w:rFonts w:ascii="Times New Roman" w:eastAsia="Calibri" w:hAnsi="Times New Roman" w:cs="Times New Roman"/>
          <w:noProof/>
          <w:sz w:val="24"/>
          <w:szCs w:val="24"/>
          <w:lang w:val="en-GB" w:eastAsia="en-GB"/>
        </w:rPr>
        <w:t>,</w:t>
      </w:r>
      <w:r w:rsidRPr="00E915AA">
        <w:rPr>
          <w:rFonts w:ascii="Times New Roman" w:eastAsia="Calibri" w:hAnsi="Times New Roman" w:cs="Times New Roman"/>
          <w:noProof/>
          <w:sz w:val="24"/>
          <w:szCs w:val="24"/>
          <w:lang w:val="en-GB" w:eastAsia="en-GB"/>
        </w:rPr>
        <w:t xml:space="preserve"> Gounopoulos &amp; Pham (2017, 2018)</w:t>
      </w:r>
      <w:r w:rsidR="00D3084D" w:rsidRPr="00E915AA">
        <w:rPr>
          <w:rFonts w:ascii="Times New Roman" w:eastAsia="Calibri" w:hAnsi="Times New Roman" w:cs="Times New Roman"/>
          <w:noProof/>
          <w:sz w:val="24"/>
          <w:szCs w:val="24"/>
          <w:lang w:val="en-GB" w:eastAsia="en-GB"/>
        </w:rPr>
        <w:t>,</w:t>
      </w:r>
      <w:r w:rsidRPr="00E915AA">
        <w:rPr>
          <w:rFonts w:ascii="Times New Roman" w:eastAsia="Calibri" w:hAnsi="Times New Roman" w:cs="Times New Roman"/>
          <w:noProof/>
          <w:sz w:val="24"/>
          <w:szCs w:val="24"/>
          <w:lang w:val="en-GB" w:eastAsia="en-GB"/>
        </w:rPr>
        <w:t xml:space="preserve"> Teoh et al. (1998a)</w:t>
      </w:r>
      <w:r w:rsidRPr="00E915AA">
        <w:rPr>
          <w:rFonts w:ascii="Times New Roman" w:eastAsia="Calibri" w:hAnsi="Times New Roman" w:cs="Times New Roman"/>
          <w:sz w:val="24"/>
          <w:szCs w:val="24"/>
          <w:lang w:val="en-GB" w:eastAsia="en-GB"/>
        </w:rPr>
        <w:fldChar w:fldCharType="end"/>
      </w:r>
      <w:r w:rsidRPr="00E915AA">
        <w:rPr>
          <w:rFonts w:ascii="Times New Roman" w:eastAsia="Calibri" w:hAnsi="Times New Roman" w:cs="Times New Roman"/>
          <w:sz w:val="24"/>
          <w:szCs w:val="24"/>
          <w:lang w:val="en-GB" w:eastAsia="en-GB"/>
        </w:rPr>
        <w:t>, we employ the statement-of-cash-flows method to calculate the total accruals (</w:t>
      </w:r>
      <w:r w:rsidRPr="00E915AA">
        <w:rPr>
          <w:rFonts w:ascii="Times New Roman" w:eastAsia="Calibri" w:hAnsi="Times New Roman" w:cs="Times New Roman"/>
          <w:noProof/>
          <w:sz w:val="24"/>
          <w:szCs w:val="24"/>
          <w:lang w:val="en-GB" w:eastAsia="en-GB"/>
        </w:rPr>
        <w:t>TACC</w:t>
      </w:r>
      <w:r w:rsidRPr="00E915AA">
        <w:rPr>
          <w:rFonts w:ascii="Times New Roman" w:eastAsia="Calibri" w:hAnsi="Times New Roman" w:cs="Times New Roman"/>
          <w:noProof/>
          <w:sz w:val="24"/>
          <w:szCs w:val="24"/>
          <w:vertAlign w:val="subscript"/>
          <w:lang w:val="en-GB" w:eastAsia="en-GB"/>
        </w:rPr>
        <w:t>i</w:t>
      </w:r>
      <w:r w:rsidRPr="00E915AA">
        <w:rPr>
          <w:rFonts w:ascii="Times New Roman" w:eastAsia="Calibri" w:hAnsi="Times New Roman" w:cs="Times New Roman"/>
          <w:sz w:val="24"/>
          <w:szCs w:val="24"/>
          <w:vertAlign w:val="subscript"/>
          <w:lang w:val="en-GB" w:eastAsia="en-GB"/>
        </w:rPr>
        <w:t>,t-1</w:t>
      </w:r>
      <w:r w:rsidRPr="00E915AA">
        <w:rPr>
          <w:rFonts w:ascii="Times New Roman" w:eastAsia="Calibri" w:hAnsi="Times New Roman" w:cs="Times New Roman"/>
          <w:sz w:val="24"/>
          <w:szCs w:val="24"/>
          <w:lang w:val="en-GB" w:eastAsia="en-GB"/>
        </w:rPr>
        <w:t xml:space="preserve">) of firm </w:t>
      </w:r>
      <w:r w:rsidRPr="00E915AA">
        <w:rPr>
          <w:rFonts w:ascii="Times New Roman" w:eastAsia="Calibri" w:hAnsi="Times New Roman" w:cs="Times New Roman"/>
          <w:noProof/>
          <w:sz w:val="24"/>
          <w:szCs w:val="24"/>
          <w:lang w:val="en-GB" w:eastAsia="en-GB"/>
        </w:rPr>
        <w:t>i</w:t>
      </w:r>
      <w:r w:rsidRPr="00E915AA">
        <w:rPr>
          <w:rFonts w:ascii="Times New Roman" w:eastAsia="Calibri" w:hAnsi="Times New Roman" w:cs="Times New Roman"/>
          <w:sz w:val="24"/>
          <w:szCs w:val="24"/>
          <w:lang w:val="en-GB" w:eastAsia="en-GB"/>
        </w:rPr>
        <w:t xml:space="preserve"> in year </w:t>
      </w:r>
      <w:proofErr w:type="spellStart"/>
      <w:r w:rsidRPr="00E915AA">
        <w:rPr>
          <w:rFonts w:ascii="Times New Roman" w:eastAsia="Calibri" w:hAnsi="Times New Roman" w:cs="Times New Roman"/>
          <w:sz w:val="24"/>
          <w:szCs w:val="24"/>
          <w:lang w:val="en-GB" w:eastAsia="en-GB"/>
        </w:rPr>
        <w:t>t</w:t>
      </w:r>
      <w:proofErr w:type="spellEnd"/>
      <w:r w:rsidRPr="00E915AA">
        <w:rPr>
          <w:rFonts w:ascii="Times New Roman" w:eastAsia="Calibri" w:hAnsi="Times New Roman" w:cs="Times New Roman"/>
          <w:sz w:val="24"/>
          <w:szCs w:val="24"/>
          <w:lang w:val="en-GB" w:eastAsia="en-GB"/>
        </w:rPr>
        <w:t xml:space="preserve"> -1 (t is filing year of S-1 form) as shown in Equation 2 below:</w:t>
      </w:r>
      <w:r w:rsidRPr="00E915AA">
        <w:rPr>
          <w:rFonts w:ascii="Times New Roman" w:eastAsia="Calibri" w:hAnsi="Times New Roman" w:cs="Times New Roman"/>
          <w:sz w:val="24"/>
          <w:szCs w:val="24"/>
          <w:vertAlign w:val="superscript"/>
          <w:lang w:val="en-GB" w:eastAsia="en-GB"/>
        </w:rPr>
        <w:footnoteReference w:id="20"/>
      </w:r>
    </w:p>
    <w:p w14:paraId="2C2FA7ED" w14:textId="77777777" w:rsidR="00D955E0" w:rsidRPr="00E915AA" w:rsidRDefault="00E915AA" w:rsidP="00D955E0">
      <w:pPr>
        <w:spacing w:before="240" w:after="240" w:line="360" w:lineRule="auto"/>
        <w:ind w:left="1276" w:firstLine="294"/>
        <w:jc w:val="both"/>
        <w:rPr>
          <w:rFonts w:ascii="Times New Roman" w:eastAsia="Calibri" w:hAnsi="Times New Roman" w:cs="Times New Roman"/>
          <w:sz w:val="24"/>
          <w:szCs w:val="24"/>
          <w:lang w:val="en-GB" w:eastAsia="en-GB"/>
        </w:rPr>
      </w:pPr>
      <m:oMath>
        <m:sSub>
          <m:sSubPr>
            <m:ctrlPr>
              <w:rPr>
                <w:rFonts w:ascii="Cambria Math" w:eastAsia="Calibri" w:hAnsi="Cambria Math" w:cs="Times New Roman"/>
                <w:iCs/>
                <w:sz w:val="24"/>
                <w:szCs w:val="24"/>
                <w:lang w:val="en-GB" w:eastAsia="en-GB"/>
              </w:rPr>
            </m:ctrlPr>
          </m:sSubPr>
          <m:e>
            <m:r>
              <m:rPr>
                <m:sty m:val="p"/>
              </m:rPr>
              <w:rPr>
                <w:rFonts w:ascii="Cambria Math" w:eastAsia="Calibri" w:hAnsi="Cambria Math" w:cs="Times New Roman"/>
                <w:sz w:val="24"/>
                <w:szCs w:val="24"/>
                <w:lang w:val="en-GB" w:eastAsia="en-GB"/>
              </w:rPr>
              <m:t>TACC</m:t>
            </m:r>
          </m:e>
          <m:sub>
            <m:r>
              <m:rPr>
                <m:sty m:val="p"/>
              </m:rPr>
              <w:rPr>
                <w:rFonts w:ascii="Cambria Math" w:eastAsia="Calibri" w:hAnsi="Cambria Math" w:cs="Times New Roman"/>
                <w:sz w:val="24"/>
                <w:szCs w:val="24"/>
                <w:lang w:val="en-GB" w:eastAsia="en-GB"/>
              </w:rPr>
              <m:t>i,t-1</m:t>
            </m:r>
          </m:sub>
        </m:sSub>
        <m:r>
          <m:rPr>
            <m:sty m:val="p"/>
          </m:rPr>
          <w:rPr>
            <w:rFonts w:ascii="Cambria Math" w:eastAsia="Calibri" w:hAnsi="Cambria Math" w:cs="Times New Roman"/>
            <w:sz w:val="24"/>
            <w:szCs w:val="24"/>
            <w:lang w:val="en-GB" w:eastAsia="en-GB"/>
          </w:rPr>
          <m:t xml:space="preserve"> = </m:t>
        </m:r>
        <m:sSub>
          <m:sSubPr>
            <m:ctrlPr>
              <w:rPr>
                <w:rFonts w:ascii="Cambria Math" w:eastAsia="Calibri" w:hAnsi="Cambria Math" w:cs="Times New Roman"/>
                <w:iCs/>
                <w:sz w:val="24"/>
                <w:szCs w:val="24"/>
                <w:lang w:val="en-GB" w:eastAsia="en-GB"/>
              </w:rPr>
            </m:ctrlPr>
          </m:sSubPr>
          <m:e>
            <m:r>
              <m:rPr>
                <m:sty m:val="p"/>
              </m:rPr>
              <w:rPr>
                <w:rFonts w:ascii="Cambria Math" w:eastAsia="Calibri" w:hAnsi="Cambria Math" w:cs="Times New Roman"/>
                <w:sz w:val="24"/>
                <w:szCs w:val="24"/>
                <w:lang w:val="en-GB" w:eastAsia="en-GB"/>
              </w:rPr>
              <m:t>EBXI</m:t>
            </m:r>
          </m:e>
          <m:sub>
            <m:r>
              <m:rPr>
                <m:sty m:val="p"/>
              </m:rPr>
              <w:rPr>
                <w:rFonts w:ascii="Cambria Math" w:eastAsia="Calibri" w:hAnsi="Cambria Math" w:cs="Times New Roman"/>
                <w:sz w:val="24"/>
                <w:szCs w:val="24"/>
                <w:lang w:val="en-GB" w:eastAsia="en-GB"/>
              </w:rPr>
              <m:t>i,t-1</m:t>
            </m:r>
          </m:sub>
        </m:sSub>
        <m:r>
          <m:rPr>
            <m:sty m:val="p"/>
          </m:rPr>
          <w:rPr>
            <w:rFonts w:ascii="Cambria Math" w:eastAsia="Calibri" w:hAnsi="Cambria Math" w:cs="Times New Roman"/>
            <w:sz w:val="24"/>
            <w:szCs w:val="24"/>
            <w:lang w:val="en-GB" w:eastAsia="en-GB"/>
          </w:rPr>
          <m:t xml:space="preserve"> - </m:t>
        </m:r>
        <m:d>
          <m:dPr>
            <m:ctrlPr>
              <w:rPr>
                <w:rFonts w:ascii="Cambria Math" w:eastAsia="Calibri" w:hAnsi="Cambria Math" w:cs="Times New Roman"/>
                <w:iCs/>
                <w:sz w:val="24"/>
                <w:szCs w:val="24"/>
                <w:lang w:val="en-GB" w:eastAsia="en-GB"/>
              </w:rPr>
            </m:ctrlPr>
          </m:dPr>
          <m:e>
            <m:sSub>
              <m:sSubPr>
                <m:ctrlPr>
                  <w:rPr>
                    <w:rFonts w:ascii="Cambria Math" w:eastAsia="Calibri" w:hAnsi="Cambria Math" w:cs="Times New Roman"/>
                    <w:iCs/>
                    <w:sz w:val="24"/>
                    <w:szCs w:val="24"/>
                    <w:lang w:val="en-GB" w:eastAsia="en-GB"/>
                  </w:rPr>
                </m:ctrlPr>
              </m:sSubPr>
              <m:e>
                <m:r>
                  <m:rPr>
                    <m:sty m:val="p"/>
                  </m:rPr>
                  <w:rPr>
                    <w:rFonts w:ascii="Cambria Math" w:eastAsia="Calibri" w:hAnsi="Cambria Math" w:cs="Times New Roman"/>
                    <w:sz w:val="24"/>
                    <w:szCs w:val="24"/>
                    <w:lang w:val="en-GB" w:eastAsia="en-GB"/>
                  </w:rPr>
                  <m:t>CFO</m:t>
                </m:r>
              </m:e>
              <m:sub>
                <m:r>
                  <m:rPr>
                    <m:sty m:val="p"/>
                  </m:rPr>
                  <w:rPr>
                    <w:rFonts w:ascii="Cambria Math" w:eastAsia="Calibri" w:hAnsi="Cambria Math" w:cs="Times New Roman"/>
                    <w:sz w:val="24"/>
                    <w:szCs w:val="24"/>
                    <w:lang w:val="en-GB" w:eastAsia="en-GB"/>
                  </w:rPr>
                  <m:t xml:space="preserve">i,t-1 </m:t>
                </m:r>
              </m:sub>
            </m:sSub>
            <m:r>
              <m:rPr>
                <m:sty m:val="p"/>
              </m:rPr>
              <w:rPr>
                <w:rFonts w:ascii="Cambria Math" w:eastAsia="Calibri" w:hAnsi="Cambria Math" w:cs="Times New Roman"/>
                <w:sz w:val="24"/>
                <w:szCs w:val="24"/>
                <w:lang w:val="en-GB" w:eastAsia="en-GB"/>
              </w:rPr>
              <m:t>-</m:t>
            </m:r>
            <m:r>
              <m:rPr>
                <m:sty m:val="p"/>
              </m:rPr>
              <w:rPr>
                <w:rFonts w:ascii="Cambria Math" w:eastAsia="Calibri" w:hAnsi="Cambria Math" w:cs="Times New Roman"/>
                <w:sz w:val="24"/>
                <w:szCs w:val="24"/>
                <w:lang w:val="en-GB" w:eastAsia="en-GB"/>
              </w:rPr>
              <m:t xml:space="preserve"> </m:t>
            </m:r>
            <m:sSub>
              <m:sSubPr>
                <m:ctrlPr>
                  <w:rPr>
                    <w:rFonts w:ascii="Cambria Math" w:eastAsia="Calibri" w:hAnsi="Cambria Math" w:cs="Times New Roman"/>
                    <w:iCs/>
                    <w:sz w:val="24"/>
                    <w:szCs w:val="24"/>
                    <w:lang w:val="en-GB" w:eastAsia="en-GB"/>
                  </w:rPr>
                </m:ctrlPr>
              </m:sSubPr>
              <m:e>
                <m:r>
                  <m:rPr>
                    <m:sty m:val="p"/>
                  </m:rPr>
                  <w:rPr>
                    <w:rFonts w:ascii="Cambria Math" w:eastAsia="Calibri" w:hAnsi="Cambria Math" w:cs="Times New Roman"/>
                    <w:sz w:val="24"/>
                    <w:szCs w:val="24"/>
                    <w:lang w:val="en-GB" w:eastAsia="en-GB"/>
                  </w:rPr>
                  <m:t>XI</m:t>
                </m:r>
              </m:e>
              <m:sub>
                <m:r>
                  <m:rPr>
                    <m:sty m:val="p"/>
                  </m:rPr>
                  <w:rPr>
                    <w:rFonts w:ascii="Cambria Math" w:eastAsia="Calibri" w:hAnsi="Cambria Math" w:cs="Times New Roman"/>
                    <w:sz w:val="24"/>
                    <w:szCs w:val="24"/>
                    <w:lang w:val="en-GB" w:eastAsia="en-GB"/>
                  </w:rPr>
                  <m:t>i,t-1</m:t>
                </m:r>
              </m:sub>
            </m:sSub>
          </m:e>
        </m:d>
      </m:oMath>
      <w:r w:rsidR="00D955E0" w:rsidRPr="00E915AA">
        <w:rPr>
          <w:rFonts w:ascii="Times New Roman" w:eastAsia="Yu Mincho" w:hAnsi="Times New Roman" w:cs="Times New Roman"/>
          <w:sz w:val="24"/>
          <w:szCs w:val="24"/>
          <w:lang w:val="en-GB" w:eastAsia="en-GB"/>
        </w:rPr>
        <w:t xml:space="preserve">         </w:t>
      </w:r>
      <w:r w:rsidR="00D955E0" w:rsidRPr="00E915AA">
        <w:rPr>
          <w:rFonts w:ascii="Times New Roman" w:eastAsia="Calibri" w:hAnsi="Times New Roman" w:cs="Times New Roman"/>
          <w:sz w:val="24"/>
          <w:szCs w:val="24"/>
          <w:lang w:val="en-GB" w:eastAsia="en-GB"/>
        </w:rPr>
        <w:t>(2)</w:t>
      </w:r>
    </w:p>
    <w:p w14:paraId="3B4A0604" w14:textId="77777777"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pPr>
      <w:r w:rsidRPr="00E915AA">
        <w:rPr>
          <w:rFonts w:ascii="Times New Roman" w:eastAsia="Calibri" w:hAnsi="Times New Roman" w:cs="Times New Roman"/>
          <w:sz w:val="24"/>
          <w:szCs w:val="24"/>
          <w:lang w:val="en-GB" w:eastAsia="en-GB"/>
        </w:rPr>
        <w:t xml:space="preserve">where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sz w:val="24"/>
                <w:szCs w:val="24"/>
                <w:lang w:val="en-GB" w:eastAsia="en-GB"/>
              </w:rPr>
              <m:t>EBXI</m:t>
            </m:r>
          </m:e>
          <m:sub>
            <m:r>
              <m:rPr>
                <m:nor/>
              </m:rPr>
              <w:rPr>
                <w:rFonts w:ascii="Times New Roman" w:eastAsia="Calibri" w:hAnsi="Times New Roman" w:cs="Times New Roman"/>
                <w:sz w:val="24"/>
                <w:szCs w:val="24"/>
                <w:lang w:val="en-GB" w:eastAsia="en-GB"/>
              </w:rPr>
              <m:t>i,t-1</m:t>
            </m:r>
          </m:sub>
        </m:sSub>
      </m:oMath>
      <w:r w:rsidRPr="00E915AA">
        <w:rPr>
          <w:rFonts w:ascii="Times New Roman" w:eastAsia="Calibri" w:hAnsi="Times New Roman" w:cs="Times New Roman"/>
          <w:sz w:val="24"/>
          <w:szCs w:val="24"/>
          <w:lang w:val="en-GB" w:eastAsia="en-GB"/>
        </w:rPr>
        <w:t xml:space="preserve"> denotes earnings before extraordinary items and discontinued operations of firm </w:t>
      </w:r>
      <w:proofErr w:type="spellStart"/>
      <w:r w:rsidRPr="00E915AA">
        <w:rPr>
          <w:rFonts w:ascii="Times New Roman" w:eastAsia="Calibri" w:hAnsi="Times New Roman" w:cs="Times New Roman"/>
          <w:sz w:val="24"/>
          <w:szCs w:val="24"/>
          <w:lang w:val="en-GB" w:eastAsia="en-GB"/>
        </w:rPr>
        <w:t>i</w:t>
      </w:r>
      <w:proofErr w:type="spellEnd"/>
      <w:r w:rsidRPr="00E915AA">
        <w:rPr>
          <w:rFonts w:ascii="Times New Roman" w:eastAsia="Calibri" w:hAnsi="Times New Roman" w:cs="Times New Roman"/>
          <w:sz w:val="24"/>
          <w:szCs w:val="24"/>
          <w:lang w:val="en-GB" w:eastAsia="en-GB"/>
        </w:rPr>
        <w:t xml:space="preserve"> in year t-1;</w:t>
      </w:r>
      <m:oMath>
        <m:r>
          <w:rPr>
            <w:rFonts w:ascii="Cambria Math" w:eastAsia="Calibri" w:hAnsi="Cambria Math" w:cs="Times New Roman"/>
            <w:sz w:val="24"/>
            <w:szCs w:val="24"/>
            <w:lang w:val="en-GB" w:eastAsia="en-GB"/>
          </w:rPr>
          <m:t xml:space="preserve"> </m:t>
        </m:r>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sz w:val="24"/>
                <w:szCs w:val="24"/>
                <w:lang w:val="en-GB" w:eastAsia="en-GB"/>
              </w:rPr>
              <m:t>CFO</m:t>
            </m:r>
          </m:e>
          <m:sub>
            <m:r>
              <m:rPr>
                <m:nor/>
              </m:rPr>
              <w:rPr>
                <w:rFonts w:ascii="Times New Roman" w:eastAsia="Calibri" w:hAnsi="Times New Roman" w:cs="Times New Roman"/>
                <w:sz w:val="24"/>
                <w:szCs w:val="24"/>
                <w:lang w:val="en-GB" w:eastAsia="en-GB"/>
              </w:rPr>
              <m:t>i,t-1</m:t>
            </m:r>
          </m:sub>
        </m:sSub>
      </m:oMath>
      <w:r w:rsidRPr="00E915AA">
        <w:rPr>
          <w:rFonts w:ascii="Times New Roman" w:eastAsia="Yu Mincho" w:hAnsi="Times New Roman" w:cs="Times New Roman"/>
          <w:sz w:val="24"/>
          <w:szCs w:val="24"/>
          <w:lang w:val="en-GB" w:eastAsia="en-GB"/>
        </w:rPr>
        <w:t xml:space="preserve"> is total cash flow from operations of firm </w:t>
      </w:r>
      <w:proofErr w:type="spellStart"/>
      <w:r w:rsidRPr="00E915AA">
        <w:rPr>
          <w:rFonts w:ascii="Times New Roman" w:eastAsia="Yu Mincho" w:hAnsi="Times New Roman" w:cs="Times New Roman"/>
          <w:sz w:val="24"/>
          <w:szCs w:val="24"/>
          <w:lang w:val="en-GB" w:eastAsia="en-GB"/>
        </w:rPr>
        <w:t>i</w:t>
      </w:r>
      <w:proofErr w:type="spellEnd"/>
      <w:r w:rsidRPr="00E915AA">
        <w:rPr>
          <w:rFonts w:ascii="Times New Roman" w:eastAsia="Yu Mincho" w:hAnsi="Times New Roman" w:cs="Times New Roman"/>
          <w:sz w:val="24"/>
          <w:szCs w:val="24"/>
          <w:lang w:val="en-GB" w:eastAsia="en-GB"/>
        </w:rPr>
        <w:t xml:space="preserve"> in year t-1; and </w:t>
      </w:r>
      <m:oMath>
        <m:sSub>
          <m:sSubPr>
            <m:ctrlPr>
              <w:rPr>
                <w:rFonts w:ascii="Cambria Math" w:eastAsia="Calibri" w:hAnsi="Cambria Math" w:cs="Times New Roman"/>
                <w:i/>
                <w:sz w:val="24"/>
                <w:szCs w:val="24"/>
                <w:lang w:val="en-GB" w:eastAsia="en-GB"/>
              </w:rPr>
            </m:ctrlPr>
          </m:sSubPr>
          <m:e>
            <m:r>
              <m:rPr>
                <m:nor/>
              </m:rPr>
              <w:rPr>
                <w:rFonts w:ascii="Times New Roman" w:eastAsia="Calibri" w:hAnsi="Times New Roman" w:cs="Times New Roman"/>
                <w:sz w:val="24"/>
                <w:szCs w:val="24"/>
                <w:lang w:val="en-GB" w:eastAsia="en-GB"/>
              </w:rPr>
              <m:t>XI</m:t>
            </m:r>
          </m:e>
          <m:sub>
            <m:r>
              <m:rPr>
                <m:nor/>
              </m:rPr>
              <w:rPr>
                <w:rFonts w:ascii="Times New Roman" w:eastAsia="Calibri" w:hAnsi="Times New Roman" w:cs="Times New Roman"/>
                <w:sz w:val="24"/>
                <w:szCs w:val="24"/>
                <w:lang w:val="en-GB" w:eastAsia="en-GB"/>
              </w:rPr>
              <m:t>i,t-1</m:t>
            </m:r>
          </m:sub>
        </m:sSub>
      </m:oMath>
      <w:r w:rsidRPr="00E915AA">
        <w:rPr>
          <w:rFonts w:ascii="Times New Roman" w:eastAsia="Yu Mincho" w:hAnsi="Times New Roman" w:cs="Times New Roman"/>
          <w:sz w:val="24"/>
          <w:szCs w:val="24"/>
          <w:lang w:val="en-GB" w:eastAsia="en-GB"/>
        </w:rPr>
        <w:t xml:space="preserve"> is discontinued operations and extraordinary items</w:t>
      </w:r>
      <w:r w:rsidRPr="00E915AA">
        <w:rPr>
          <w:rFonts w:ascii="Times New Roman" w:eastAsia="Calibri" w:hAnsi="Times New Roman" w:cs="Times New Roman"/>
          <w:sz w:val="24"/>
          <w:szCs w:val="24"/>
          <w:lang w:val="en-GB" w:eastAsia="en-GB"/>
        </w:rPr>
        <w:t xml:space="preserve"> of firm </w:t>
      </w:r>
      <w:proofErr w:type="spellStart"/>
      <w:r w:rsidRPr="00E915AA">
        <w:rPr>
          <w:rFonts w:ascii="Times New Roman" w:eastAsia="Calibri" w:hAnsi="Times New Roman" w:cs="Times New Roman"/>
          <w:sz w:val="24"/>
          <w:szCs w:val="24"/>
          <w:lang w:val="en-GB" w:eastAsia="en-GB"/>
        </w:rPr>
        <w:t>i</w:t>
      </w:r>
      <w:proofErr w:type="spellEnd"/>
      <w:r w:rsidRPr="00E915AA">
        <w:rPr>
          <w:rFonts w:ascii="Times New Roman" w:eastAsia="Calibri" w:hAnsi="Times New Roman" w:cs="Times New Roman"/>
          <w:sz w:val="24"/>
          <w:szCs w:val="24"/>
          <w:lang w:val="en-GB" w:eastAsia="en-GB"/>
        </w:rPr>
        <w:t xml:space="preserve"> in year t-1.</w:t>
      </w:r>
    </w:p>
    <w:p w14:paraId="21D595E8" w14:textId="245FA56F" w:rsidR="00D955E0" w:rsidRPr="00E915AA" w:rsidRDefault="00D955E0" w:rsidP="00D955E0">
      <w:pPr>
        <w:spacing w:before="240" w:after="240" w:line="360" w:lineRule="auto"/>
        <w:jc w:val="both"/>
        <w:rPr>
          <w:rFonts w:ascii="Times New Roman" w:eastAsia="SimSun" w:hAnsi="Times New Roman" w:cs="Times New Roman"/>
          <w:color w:val="000000"/>
          <w:sz w:val="24"/>
          <w:szCs w:val="24"/>
          <w:lang w:val="en-GB" w:eastAsia="en-GB"/>
        </w:rPr>
      </w:pPr>
      <w:r w:rsidRPr="00E915AA">
        <w:rPr>
          <w:rFonts w:ascii="Times New Roman" w:eastAsia="Calibri" w:hAnsi="Times New Roman" w:cs="Times New Roman"/>
          <w:sz w:val="24"/>
          <w:szCs w:val="24"/>
          <w:lang w:val="en-GB" w:eastAsia="en-GB"/>
        </w:rPr>
        <w:lastRenderedPageBreak/>
        <w:t xml:space="preserve">NDACC is then estimated by running the cross-sectional version of </w:t>
      </w:r>
      <w:r w:rsidR="00D3084D" w:rsidRPr="00E915AA">
        <w:rPr>
          <w:rFonts w:ascii="Times New Roman" w:eastAsia="Calibri" w:hAnsi="Times New Roman" w:cs="Times New Roman"/>
          <w:sz w:val="24"/>
          <w:szCs w:val="24"/>
          <w:lang w:val="en-GB" w:eastAsia="en-GB"/>
        </w:rPr>
        <w:t xml:space="preserve">the </w:t>
      </w:r>
      <w:r w:rsidRPr="00E915AA">
        <w:rPr>
          <w:rFonts w:ascii="Times New Roman" w:eastAsia="Calibri" w:hAnsi="Times New Roman" w:cs="Times New Roman"/>
          <w:sz w:val="24"/>
          <w:szCs w:val="24"/>
          <w:lang w:val="en-GB" w:eastAsia="en-GB"/>
        </w:rPr>
        <w:t xml:space="preserve">modified Jones model for all firms on </w:t>
      </w:r>
      <w:proofErr w:type="spellStart"/>
      <w:r w:rsidRPr="00E915AA">
        <w:rPr>
          <w:rFonts w:ascii="Times New Roman" w:eastAsia="Calibri" w:hAnsi="Times New Roman" w:cs="Times New Roman"/>
          <w:sz w:val="24"/>
          <w:szCs w:val="24"/>
          <w:lang w:val="en-GB" w:eastAsia="en-GB"/>
        </w:rPr>
        <w:t>Compustat</w:t>
      </w:r>
      <w:proofErr w:type="spellEnd"/>
      <w:r w:rsidRPr="00E915AA">
        <w:rPr>
          <w:rFonts w:ascii="Times New Roman" w:eastAsia="Calibri" w:hAnsi="Times New Roman" w:cs="Times New Roman"/>
          <w:sz w:val="24"/>
          <w:szCs w:val="24"/>
          <w:lang w:val="en-GB" w:eastAsia="en-GB"/>
        </w:rPr>
        <w:t xml:space="preserve"> in the same filing year and two-digit SIC code industry. The model is run for each year and each two-digit SIC industry, where there are at least ten observations.</w:t>
      </w:r>
      <w:r w:rsidRPr="00E915AA">
        <w:rPr>
          <w:rFonts w:ascii="Times New Roman" w:eastAsia="Calibri" w:hAnsi="Times New Roman" w:cs="Times New Roman"/>
          <w:sz w:val="24"/>
          <w:szCs w:val="24"/>
          <w:vertAlign w:val="superscript"/>
          <w:lang w:val="en-GB" w:eastAsia="en-GB"/>
        </w:rPr>
        <w:footnoteReference w:id="21"/>
      </w:r>
      <w:r w:rsidRPr="00E915AA">
        <w:rPr>
          <w:rFonts w:ascii="Times New Roman" w:eastAsia="Calibri" w:hAnsi="Times New Roman" w:cs="Times New Roman"/>
          <w:color w:val="000000"/>
          <w:sz w:val="24"/>
          <w:szCs w:val="24"/>
          <w:lang w:val="en-GB" w:eastAsia="en-GB"/>
        </w:rPr>
        <w:t xml:space="preserve"> </w:t>
      </w:r>
      <w:r w:rsidRPr="00E915AA">
        <w:rPr>
          <w:rFonts w:ascii="Times New Roman" w:eastAsia="Calibri" w:hAnsi="Times New Roman" w:cs="Times New Roman"/>
          <w:color w:val="000000"/>
          <w:sz w:val="24"/>
          <w:szCs w:val="24"/>
          <w:lang w:val="en-GB" w:eastAsia="en-GB"/>
        </w:rPr>
        <w:fldChar w:fldCharType="begin" w:fldLock="1"/>
      </w:r>
      <w:r w:rsidRPr="00E915AA">
        <w:rPr>
          <w:rFonts w:ascii="Times New Roman" w:eastAsia="Calibri" w:hAnsi="Times New Roman" w:cs="Times New Roman"/>
          <w:color w:val="000000"/>
          <w:sz w:val="24"/>
          <w:szCs w:val="24"/>
          <w:lang w:val="en-GB" w:eastAsia="en-GB"/>
        </w:rPr>
        <w:instrText>ADDIN CSL_CITATION {"citationItems":[{"id":"ITEM-1","itemData":{"ISBN":"00218456","ISSN":"00218456","PMID":"6415303","abstract":"This study tests whether firms that would benefit from import relief (e.g., tariff increases and quota reductions) attempt to decrease earnings through earnings management during import relief investigations by the United States International Trade Commission (ITC). The import relief determination made by the ITC is based on several factors that are specified in the federal trade acts, including the profitability of the industry. Explicit use of accounting numbers in import relief regulation provides incentives for managers to manage earnings in order to increase the likelihood of obtaining import relief and/or increase the amount of relief granted.","author":[{"dropping-particle":"","family":"Jones","given":"Jennifer J.","non-dropping-particle":"","parse-names":false,"suffix":""}],"container-title":"Journal of Accounting Research","id":"ITEM-1","issue":"2","issued":{"date-parts":[["1991"]]},"page":"193","title":"Earnings Management During Import Relief Investigations","type":"article-journal","volume":"29"},"uris":["http://www.mendeley.com/documents/?uuid=892e4e9b-6165-408f-bfdd-423018d46ec5"]}],"mendeley":{"formattedCitation":"(Jones, 1991)","manualFormatting":"Jones (1991)","plainTextFormattedCitation":"(Jones, 1991)","previouslyFormattedCitation":"(Jones, 1991)"},"properties":{"noteIndex":0},"schema":"https://github.com/citation-style-language/schema/raw/master/csl-citation.json"}</w:instrText>
      </w:r>
      <w:r w:rsidRPr="00E915AA">
        <w:rPr>
          <w:rFonts w:ascii="Times New Roman" w:eastAsia="Calibri" w:hAnsi="Times New Roman" w:cs="Times New Roman"/>
          <w:color w:val="000000"/>
          <w:sz w:val="24"/>
          <w:szCs w:val="24"/>
          <w:lang w:val="en-GB" w:eastAsia="en-GB"/>
        </w:rPr>
        <w:fldChar w:fldCharType="separate"/>
      </w:r>
      <w:r w:rsidRPr="00E915AA">
        <w:rPr>
          <w:rFonts w:ascii="Times New Roman" w:eastAsia="Calibri" w:hAnsi="Times New Roman" w:cs="Times New Roman"/>
          <w:noProof/>
          <w:color w:val="000000"/>
          <w:sz w:val="24"/>
          <w:szCs w:val="24"/>
          <w:lang w:val="en-GB" w:eastAsia="en-GB"/>
        </w:rPr>
        <w:t>Jones (1991)</w:t>
      </w:r>
      <w:r w:rsidRPr="00E915AA">
        <w:rPr>
          <w:rFonts w:ascii="Times New Roman" w:eastAsia="Calibri" w:hAnsi="Times New Roman" w:cs="Times New Roman"/>
          <w:color w:val="000000"/>
          <w:sz w:val="24"/>
          <w:szCs w:val="24"/>
          <w:lang w:val="en-GB" w:eastAsia="en-GB"/>
        </w:rPr>
        <w:fldChar w:fldCharType="end"/>
      </w:r>
      <w:r w:rsidRPr="00E915AA">
        <w:rPr>
          <w:rFonts w:ascii="Times New Roman" w:eastAsia="Calibri" w:hAnsi="Times New Roman" w:cs="Times New Roman"/>
          <w:color w:val="000000"/>
          <w:sz w:val="24"/>
          <w:szCs w:val="24"/>
          <w:lang w:val="en-GB" w:eastAsia="en-GB"/>
        </w:rPr>
        <w:t xml:space="preserve"> suggests that the change in </w:t>
      </w:r>
      <w:r w:rsidR="00D3084D" w:rsidRPr="00E915AA">
        <w:rPr>
          <w:rFonts w:ascii="Times New Roman" w:eastAsia="Calibri" w:hAnsi="Times New Roman" w:cs="Times New Roman"/>
          <w:color w:val="000000"/>
          <w:sz w:val="24"/>
          <w:szCs w:val="24"/>
          <w:lang w:val="en-GB" w:eastAsia="en-GB"/>
        </w:rPr>
        <w:t>S</w:t>
      </w:r>
      <w:r w:rsidRPr="00E915AA">
        <w:rPr>
          <w:rFonts w:ascii="Times New Roman" w:eastAsia="Calibri" w:hAnsi="Times New Roman" w:cs="Times New Roman"/>
          <w:color w:val="000000"/>
          <w:sz w:val="24"/>
          <w:szCs w:val="24"/>
          <w:lang w:val="en-GB" w:eastAsia="en-GB"/>
        </w:rPr>
        <w:t xml:space="preserve">ales and gross Property, Plant and Equipment (PPE) are two major factors explaining differences in accrual levels, and therefore, these two factors are included into the model. Each variable is deflated by the lagged total assets of firm </w:t>
      </w:r>
      <w:r w:rsidRPr="00E915AA">
        <w:rPr>
          <w:rFonts w:ascii="Times New Roman" w:eastAsia="Calibri" w:hAnsi="Times New Roman" w:cs="Times New Roman"/>
          <w:noProof/>
          <w:color w:val="000000"/>
          <w:sz w:val="24"/>
          <w:szCs w:val="24"/>
          <w:lang w:val="en-GB" w:eastAsia="en-GB"/>
        </w:rPr>
        <w:t>i</w:t>
      </w:r>
      <w:r w:rsidRPr="00E915AA">
        <w:rPr>
          <w:rFonts w:ascii="Times New Roman" w:eastAsia="Calibri" w:hAnsi="Times New Roman" w:cs="Times New Roman"/>
          <w:color w:val="000000"/>
          <w:sz w:val="24"/>
          <w:szCs w:val="24"/>
          <w:lang w:val="en-GB" w:eastAsia="en-GB"/>
        </w:rPr>
        <w:t xml:space="preserve"> in year t-2 (</w:t>
      </w:r>
      <m:oMath>
        <m:sSub>
          <m:sSubPr>
            <m:ctrlPr>
              <w:rPr>
                <w:rFonts w:ascii="Cambria Math" w:eastAsia="Calibri" w:hAnsi="Cambria Math" w:cs="Times New Roman"/>
                <w:i/>
                <w:color w:val="000000"/>
                <w:sz w:val="24"/>
                <w:szCs w:val="24"/>
                <w:lang w:val="en-GB" w:eastAsia="en-GB"/>
              </w:rPr>
            </m:ctrlPr>
          </m:sSubPr>
          <m:e>
            <m:r>
              <w:rPr>
                <w:rFonts w:ascii="Cambria Math" w:eastAsia="Calibri" w:hAnsi="Cambria Math" w:cs="Times New Roman"/>
                <w:color w:val="000000"/>
                <w:sz w:val="24"/>
                <w:szCs w:val="24"/>
                <w:lang w:val="en-GB" w:eastAsia="en-GB"/>
              </w:rPr>
              <m:t>TA</m:t>
            </m:r>
          </m:e>
          <m:sub>
            <m:r>
              <w:rPr>
                <w:rFonts w:ascii="Cambria Math" w:eastAsia="Calibri" w:hAnsi="Cambria Math" w:cs="Times New Roman"/>
                <w:color w:val="000000"/>
                <w:sz w:val="24"/>
                <w:szCs w:val="24"/>
                <w:lang w:val="en-GB" w:eastAsia="en-GB"/>
              </w:rPr>
              <m:t>i, t-2</m:t>
            </m:r>
          </m:sub>
        </m:sSub>
      </m:oMath>
      <w:r w:rsidRPr="00E915AA">
        <w:rPr>
          <w:rFonts w:ascii="Times New Roman" w:eastAsia="SimSun" w:hAnsi="Times New Roman" w:cs="Times New Roman"/>
          <w:color w:val="000000"/>
          <w:sz w:val="24"/>
          <w:szCs w:val="24"/>
          <w:lang w:val="en-GB" w:eastAsia="en-GB"/>
        </w:rPr>
        <w:t>) as a correction for heteroscedasticity. All variables are winsori</w:t>
      </w:r>
      <w:r w:rsidR="00D3084D" w:rsidRPr="00E915AA">
        <w:rPr>
          <w:rFonts w:ascii="Times New Roman" w:eastAsia="SimSun" w:hAnsi="Times New Roman" w:cs="Times New Roman"/>
          <w:color w:val="000000"/>
          <w:sz w:val="24"/>
          <w:szCs w:val="24"/>
          <w:lang w:val="en-GB" w:eastAsia="en-GB"/>
        </w:rPr>
        <w:t>z</w:t>
      </w:r>
      <w:r w:rsidRPr="00E915AA">
        <w:rPr>
          <w:rFonts w:ascii="Times New Roman" w:eastAsia="SimSun" w:hAnsi="Times New Roman" w:cs="Times New Roman"/>
          <w:color w:val="000000"/>
          <w:sz w:val="24"/>
          <w:szCs w:val="24"/>
          <w:lang w:val="en-GB" w:eastAsia="en-GB"/>
        </w:rPr>
        <w:t>ed at the 1</w:t>
      </w:r>
      <w:r w:rsidRPr="00E915AA">
        <w:rPr>
          <w:rFonts w:ascii="Times New Roman" w:eastAsia="SimSun" w:hAnsi="Times New Roman" w:cs="Times New Roman"/>
          <w:color w:val="000000"/>
          <w:sz w:val="24"/>
          <w:szCs w:val="24"/>
          <w:vertAlign w:val="superscript"/>
          <w:lang w:val="en-GB" w:eastAsia="en-GB"/>
        </w:rPr>
        <w:t>st</w:t>
      </w:r>
      <w:r w:rsidRPr="00E915AA">
        <w:rPr>
          <w:rFonts w:ascii="Times New Roman" w:eastAsia="SimSun" w:hAnsi="Times New Roman" w:cs="Times New Roman"/>
          <w:color w:val="000000"/>
          <w:sz w:val="24"/>
          <w:szCs w:val="24"/>
          <w:lang w:val="en-GB" w:eastAsia="en-GB"/>
        </w:rPr>
        <w:t xml:space="preserve"> and 99</w:t>
      </w:r>
      <w:r w:rsidRPr="00E915AA">
        <w:rPr>
          <w:rFonts w:ascii="Times New Roman" w:eastAsia="SimSun" w:hAnsi="Times New Roman" w:cs="Times New Roman"/>
          <w:color w:val="000000"/>
          <w:sz w:val="24"/>
          <w:szCs w:val="24"/>
          <w:vertAlign w:val="superscript"/>
          <w:lang w:val="en-GB" w:eastAsia="en-GB"/>
        </w:rPr>
        <w:t>th</w:t>
      </w:r>
      <w:r w:rsidRPr="00E915AA">
        <w:rPr>
          <w:rFonts w:ascii="Times New Roman" w:eastAsia="SimSun" w:hAnsi="Times New Roman" w:cs="Times New Roman"/>
          <w:color w:val="000000"/>
          <w:sz w:val="24"/>
          <w:szCs w:val="24"/>
          <w:lang w:val="en-GB" w:eastAsia="en-GB"/>
        </w:rPr>
        <w:t xml:space="preserve"> percentiles to mitigate the effects of outliers. The model is presented in Equation 3 below:</w:t>
      </w:r>
    </w:p>
    <w:p w14:paraId="19E49F94" w14:textId="77777777" w:rsidR="00D955E0" w:rsidRPr="00E915AA" w:rsidRDefault="00E915AA" w:rsidP="00D955E0">
      <w:pPr>
        <w:spacing w:before="240" w:after="240" w:line="360" w:lineRule="auto"/>
        <w:jc w:val="center"/>
        <w:rPr>
          <w:rFonts w:ascii="Times New Roman" w:eastAsia="Calibri" w:hAnsi="Times New Roman" w:cs="Times New Roman"/>
          <w:color w:val="000000"/>
          <w:sz w:val="24"/>
          <w:szCs w:val="24"/>
          <w:lang w:val="en-GB" w:eastAsia="en-GB"/>
        </w:rPr>
      </w:pPr>
      <m:oMath>
        <m:f>
          <m:fPr>
            <m:ctrlPr>
              <w:rPr>
                <w:rFonts w:ascii="Cambria Math" w:eastAsia="Calibri" w:hAnsi="Cambria Math" w:cs="Times New Roman"/>
                <w:iCs/>
                <w:color w:val="000000"/>
                <w:sz w:val="28"/>
                <w:szCs w:val="28"/>
                <w:lang w:val="en-GB" w:eastAsia="en-GB"/>
              </w:rPr>
            </m:ctrlPr>
          </m:fPr>
          <m:num>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TACC</m:t>
                </m:r>
              </m:e>
              <m:sub>
                <m:r>
                  <m:rPr>
                    <m:sty m:val="p"/>
                  </m:rPr>
                  <w:rPr>
                    <w:rFonts w:ascii="Cambria Math" w:eastAsia="Calibri" w:hAnsi="Cambria Math" w:cs="Times New Roman"/>
                    <w:color w:val="000000"/>
                    <w:sz w:val="28"/>
                    <w:szCs w:val="28"/>
                    <w:lang w:val="en-GB" w:eastAsia="en-GB"/>
                  </w:rPr>
                  <m:t>i,t-1</m:t>
                </m:r>
              </m:sub>
            </m:sSub>
          </m:num>
          <m:den>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TA</m:t>
                </m:r>
              </m:e>
              <m:sub>
                <m:r>
                  <m:rPr>
                    <m:sty m:val="p"/>
                  </m:rPr>
                  <w:rPr>
                    <w:rFonts w:ascii="Cambria Math" w:eastAsia="Calibri" w:hAnsi="Cambria Math" w:cs="Times New Roman"/>
                    <w:color w:val="000000"/>
                    <w:sz w:val="28"/>
                    <w:szCs w:val="28"/>
                    <w:lang w:val="en-GB" w:eastAsia="en-GB"/>
                  </w:rPr>
                  <m:t>i,t-2</m:t>
                </m:r>
              </m:sub>
            </m:sSub>
          </m:den>
        </m:f>
        <m:r>
          <m:rPr>
            <m:sty m:val="p"/>
          </m:rPr>
          <w:rPr>
            <w:rFonts w:ascii="Cambria Math" w:eastAsia="Calibri" w:hAnsi="Cambria Math" w:cs="Times New Roman"/>
            <w:color w:val="000000"/>
            <w:sz w:val="28"/>
            <w:szCs w:val="28"/>
            <w:lang w:val="en-GB" w:eastAsia="en-GB"/>
          </w:rPr>
          <m:t xml:space="preserve"> =  </m:t>
        </m:r>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α</m:t>
            </m:r>
          </m:e>
          <m:sub>
            <m:r>
              <m:rPr>
                <m:sty m:val="p"/>
              </m:rPr>
              <w:rPr>
                <w:rFonts w:ascii="Cambria Math" w:eastAsia="Calibri" w:hAnsi="Cambria Math" w:cs="Times New Roman"/>
                <w:color w:val="000000"/>
                <w:sz w:val="28"/>
                <w:szCs w:val="28"/>
                <w:lang w:val="en-GB" w:eastAsia="en-GB"/>
              </w:rPr>
              <m:t>1</m:t>
            </m:r>
          </m:sub>
        </m:sSub>
        <m:d>
          <m:dPr>
            <m:ctrlPr>
              <w:rPr>
                <w:rFonts w:ascii="Cambria Math" w:eastAsia="Calibri" w:hAnsi="Cambria Math" w:cs="Times New Roman"/>
                <w:iCs/>
                <w:color w:val="000000"/>
                <w:sz w:val="28"/>
                <w:szCs w:val="28"/>
                <w:lang w:val="en-GB" w:eastAsia="en-GB"/>
              </w:rPr>
            </m:ctrlPr>
          </m:dPr>
          <m:e>
            <m:f>
              <m:fPr>
                <m:ctrlPr>
                  <w:rPr>
                    <w:rFonts w:ascii="Cambria Math" w:eastAsia="Calibri" w:hAnsi="Cambria Math" w:cs="Times New Roman"/>
                    <w:iCs/>
                    <w:color w:val="000000"/>
                    <w:sz w:val="28"/>
                    <w:szCs w:val="28"/>
                    <w:lang w:val="en-GB" w:eastAsia="en-GB"/>
                  </w:rPr>
                </m:ctrlPr>
              </m:fPr>
              <m:num>
                <m:r>
                  <m:rPr>
                    <m:sty m:val="p"/>
                  </m:rPr>
                  <w:rPr>
                    <w:rFonts w:ascii="Cambria Math" w:eastAsia="Calibri" w:hAnsi="Cambria Math" w:cs="Times New Roman"/>
                    <w:color w:val="000000"/>
                    <w:sz w:val="28"/>
                    <w:szCs w:val="28"/>
                    <w:lang w:val="en-GB" w:eastAsia="en-GB"/>
                  </w:rPr>
                  <m:t>1</m:t>
                </m:r>
              </m:num>
              <m:den>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TA</m:t>
                    </m:r>
                  </m:e>
                  <m:sub>
                    <m:r>
                      <m:rPr>
                        <m:sty m:val="p"/>
                      </m:rPr>
                      <w:rPr>
                        <w:rFonts w:ascii="Cambria Math" w:eastAsia="Calibri" w:hAnsi="Cambria Math" w:cs="Times New Roman"/>
                        <w:color w:val="000000"/>
                        <w:sz w:val="28"/>
                        <w:szCs w:val="28"/>
                        <w:lang w:val="en-GB" w:eastAsia="en-GB"/>
                      </w:rPr>
                      <m:t>i,t-2</m:t>
                    </m:r>
                  </m:sub>
                </m:sSub>
              </m:den>
            </m:f>
          </m:e>
        </m:d>
        <m:r>
          <m:rPr>
            <m:sty m:val="p"/>
          </m:rPr>
          <w:rPr>
            <w:rFonts w:ascii="Cambria Math" w:eastAsia="Calibri" w:hAnsi="Cambria Math" w:cs="Times New Roman"/>
            <w:color w:val="000000"/>
            <w:sz w:val="28"/>
            <w:szCs w:val="28"/>
            <w:lang w:val="en-GB" w:eastAsia="en-GB"/>
          </w:rPr>
          <m:t xml:space="preserve">+ </m:t>
        </m:r>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α</m:t>
            </m:r>
          </m:e>
          <m:sub>
            <m:r>
              <m:rPr>
                <m:sty m:val="p"/>
              </m:rPr>
              <w:rPr>
                <w:rFonts w:ascii="Cambria Math" w:eastAsia="Calibri" w:hAnsi="Cambria Math" w:cs="Times New Roman"/>
                <w:color w:val="000000"/>
                <w:sz w:val="28"/>
                <w:szCs w:val="28"/>
                <w:lang w:val="en-GB" w:eastAsia="en-GB"/>
              </w:rPr>
              <m:t>2</m:t>
            </m:r>
          </m:sub>
        </m:sSub>
        <m:d>
          <m:dPr>
            <m:ctrlPr>
              <w:rPr>
                <w:rFonts w:ascii="Cambria Math" w:eastAsia="Calibri" w:hAnsi="Cambria Math" w:cs="Times New Roman"/>
                <w:iCs/>
                <w:color w:val="000000"/>
                <w:sz w:val="28"/>
                <w:szCs w:val="28"/>
                <w:lang w:val="en-GB" w:eastAsia="en-GB"/>
              </w:rPr>
            </m:ctrlPr>
          </m:dPr>
          <m:e>
            <m:f>
              <m:fPr>
                <m:ctrlPr>
                  <w:rPr>
                    <w:rFonts w:ascii="Cambria Math" w:eastAsia="Calibri" w:hAnsi="Cambria Math" w:cs="Times New Roman"/>
                    <w:iCs/>
                    <w:color w:val="000000"/>
                    <w:sz w:val="28"/>
                    <w:szCs w:val="28"/>
                    <w:lang w:val="en-GB" w:eastAsia="en-GB"/>
                  </w:rPr>
                </m:ctrlPr>
              </m:fPr>
              <m:num>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m:t>
                    </m:r>
                    <m:r>
                      <m:rPr>
                        <m:sty m:val="p"/>
                      </m:rPr>
                      <w:rPr>
                        <w:rFonts w:ascii="Cambria Math" w:eastAsia="Calibri" w:hAnsi="Cambria Math" w:cs="Times New Roman"/>
                        <w:color w:val="000000"/>
                        <w:sz w:val="28"/>
                        <w:szCs w:val="28"/>
                        <w:lang w:val="en-GB" w:eastAsia="en-GB"/>
                      </w:rPr>
                      <m:t>REV</m:t>
                    </m:r>
                  </m:e>
                  <m:sub>
                    <m:r>
                      <m:rPr>
                        <m:sty m:val="p"/>
                      </m:rPr>
                      <w:rPr>
                        <w:rFonts w:ascii="Cambria Math" w:eastAsia="Calibri" w:hAnsi="Cambria Math" w:cs="Times New Roman"/>
                        <w:color w:val="000000"/>
                        <w:sz w:val="28"/>
                        <w:szCs w:val="28"/>
                        <w:lang w:val="en-GB" w:eastAsia="en-GB"/>
                      </w:rPr>
                      <m:t>i,t-1</m:t>
                    </m:r>
                  </m:sub>
                </m:sSub>
              </m:num>
              <m:den>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TA</m:t>
                    </m:r>
                  </m:e>
                  <m:sub>
                    <m:r>
                      <m:rPr>
                        <m:sty m:val="p"/>
                      </m:rPr>
                      <w:rPr>
                        <w:rFonts w:ascii="Cambria Math" w:eastAsia="Calibri" w:hAnsi="Cambria Math" w:cs="Times New Roman"/>
                        <w:color w:val="000000"/>
                        <w:sz w:val="28"/>
                        <w:szCs w:val="28"/>
                        <w:lang w:val="en-GB" w:eastAsia="en-GB"/>
                      </w:rPr>
                      <m:t>i,t-2</m:t>
                    </m:r>
                  </m:sub>
                </m:sSub>
              </m:den>
            </m:f>
          </m:e>
        </m:d>
        <m:r>
          <m:rPr>
            <m:sty m:val="p"/>
          </m:rPr>
          <w:rPr>
            <w:rFonts w:ascii="Cambria Math" w:eastAsia="Calibri" w:hAnsi="Cambria Math" w:cs="Times New Roman"/>
            <w:color w:val="000000"/>
            <w:sz w:val="28"/>
            <w:szCs w:val="28"/>
            <w:lang w:val="en-GB" w:eastAsia="en-GB"/>
          </w:rPr>
          <m:t xml:space="preserve">+ </m:t>
        </m:r>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α</m:t>
            </m:r>
          </m:e>
          <m:sub>
            <m:r>
              <m:rPr>
                <m:sty m:val="p"/>
              </m:rPr>
              <w:rPr>
                <w:rFonts w:ascii="Cambria Math" w:eastAsia="Calibri" w:hAnsi="Cambria Math" w:cs="Times New Roman"/>
                <w:color w:val="000000"/>
                <w:sz w:val="28"/>
                <w:szCs w:val="28"/>
                <w:lang w:val="en-GB" w:eastAsia="en-GB"/>
              </w:rPr>
              <m:t>3</m:t>
            </m:r>
          </m:sub>
        </m:sSub>
        <m:d>
          <m:dPr>
            <m:ctrlPr>
              <w:rPr>
                <w:rFonts w:ascii="Cambria Math" w:eastAsia="Calibri" w:hAnsi="Cambria Math" w:cs="Times New Roman"/>
                <w:iCs/>
                <w:color w:val="000000"/>
                <w:sz w:val="28"/>
                <w:szCs w:val="28"/>
                <w:lang w:val="en-GB" w:eastAsia="en-GB"/>
              </w:rPr>
            </m:ctrlPr>
          </m:dPr>
          <m:e>
            <m:f>
              <m:fPr>
                <m:ctrlPr>
                  <w:rPr>
                    <w:rFonts w:ascii="Cambria Math" w:eastAsia="Calibri" w:hAnsi="Cambria Math" w:cs="Times New Roman"/>
                    <w:iCs/>
                    <w:color w:val="000000"/>
                    <w:sz w:val="28"/>
                    <w:szCs w:val="28"/>
                    <w:lang w:val="en-GB" w:eastAsia="en-GB"/>
                  </w:rPr>
                </m:ctrlPr>
              </m:fPr>
              <m:num>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PPE</m:t>
                    </m:r>
                  </m:e>
                  <m:sub>
                    <m:r>
                      <m:rPr>
                        <m:sty m:val="p"/>
                      </m:rPr>
                      <w:rPr>
                        <w:rFonts w:ascii="Cambria Math" w:eastAsia="Calibri" w:hAnsi="Cambria Math" w:cs="Times New Roman"/>
                        <w:color w:val="000000"/>
                        <w:sz w:val="28"/>
                        <w:szCs w:val="28"/>
                        <w:lang w:val="en-GB" w:eastAsia="en-GB"/>
                      </w:rPr>
                      <m:t>i,t-1</m:t>
                    </m:r>
                  </m:sub>
                </m:sSub>
              </m:num>
              <m:den>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TA</m:t>
                    </m:r>
                  </m:e>
                  <m:sub>
                    <m:r>
                      <m:rPr>
                        <m:sty m:val="p"/>
                      </m:rPr>
                      <w:rPr>
                        <w:rFonts w:ascii="Cambria Math" w:eastAsia="Calibri" w:hAnsi="Cambria Math" w:cs="Times New Roman"/>
                        <w:color w:val="000000"/>
                        <w:sz w:val="28"/>
                        <w:szCs w:val="28"/>
                        <w:lang w:val="en-GB" w:eastAsia="en-GB"/>
                      </w:rPr>
                      <m:t>i,t-2</m:t>
                    </m:r>
                  </m:sub>
                </m:sSub>
              </m:den>
            </m:f>
          </m:e>
        </m:d>
        <m:r>
          <m:rPr>
            <m:sty m:val="p"/>
          </m:rPr>
          <w:rPr>
            <w:rFonts w:ascii="Cambria Math" w:eastAsia="Calibri" w:hAnsi="Cambria Math" w:cs="Times New Roman"/>
            <w:color w:val="000000"/>
            <w:sz w:val="28"/>
            <w:szCs w:val="28"/>
            <w:lang w:val="en-GB" w:eastAsia="en-GB"/>
          </w:rPr>
          <m:t xml:space="preserve">+ </m:t>
        </m:r>
        <m:sSub>
          <m:sSubPr>
            <m:ctrlPr>
              <w:rPr>
                <w:rFonts w:ascii="Cambria Math" w:eastAsia="Calibri" w:hAnsi="Cambria Math" w:cs="Times New Roman"/>
                <w:iCs/>
                <w:color w:val="000000"/>
                <w:sz w:val="28"/>
                <w:szCs w:val="28"/>
                <w:lang w:val="en-GB" w:eastAsia="en-GB"/>
              </w:rPr>
            </m:ctrlPr>
          </m:sSubPr>
          <m:e>
            <m:r>
              <m:rPr>
                <m:sty m:val="p"/>
              </m:rPr>
              <w:rPr>
                <w:rFonts w:ascii="Cambria Math" w:eastAsia="Calibri" w:hAnsi="Cambria Math" w:cs="Times New Roman"/>
                <w:color w:val="000000"/>
                <w:sz w:val="28"/>
                <w:szCs w:val="28"/>
                <w:lang w:val="en-GB" w:eastAsia="en-GB"/>
              </w:rPr>
              <m:t>ε</m:t>
            </m:r>
          </m:e>
          <m:sub>
            <m:r>
              <m:rPr>
                <m:sty m:val="p"/>
              </m:rPr>
              <w:rPr>
                <w:rFonts w:ascii="Cambria Math" w:eastAsia="Calibri" w:hAnsi="Cambria Math" w:cs="Times New Roman"/>
                <w:color w:val="000000"/>
                <w:sz w:val="28"/>
                <w:szCs w:val="28"/>
                <w:lang w:val="en-GB" w:eastAsia="en-GB"/>
              </w:rPr>
              <m:t>i,t-1</m:t>
            </m:r>
          </m:sub>
        </m:sSub>
      </m:oMath>
      <w:r w:rsidR="00D955E0" w:rsidRPr="00E915AA">
        <w:rPr>
          <w:rFonts w:ascii="Times New Roman" w:eastAsia="Yu Mincho" w:hAnsi="Times New Roman" w:cs="Times New Roman"/>
          <w:iCs/>
          <w:color w:val="000000"/>
          <w:sz w:val="28"/>
          <w:szCs w:val="28"/>
          <w:lang w:val="en-GB" w:eastAsia="en-GB"/>
        </w:rPr>
        <w:t xml:space="preserve">  </w:t>
      </w:r>
      <w:r w:rsidR="00D955E0" w:rsidRPr="00E915AA">
        <w:rPr>
          <w:rFonts w:ascii="Times New Roman" w:eastAsia="Yu Mincho" w:hAnsi="Times New Roman" w:cs="Times New Roman"/>
          <w:iCs/>
          <w:color w:val="000000"/>
          <w:sz w:val="24"/>
          <w:szCs w:val="24"/>
          <w:lang w:val="en-GB" w:eastAsia="en-GB"/>
        </w:rPr>
        <w:t xml:space="preserve"> </w:t>
      </w:r>
      <w:r w:rsidR="00D955E0" w:rsidRPr="00E915AA">
        <w:rPr>
          <w:rFonts w:ascii="Times New Roman" w:eastAsia="Yu Mincho" w:hAnsi="Times New Roman" w:cs="Times New Roman"/>
          <w:color w:val="000000"/>
          <w:sz w:val="24"/>
          <w:szCs w:val="24"/>
          <w:lang w:val="en-GB" w:eastAsia="en-GB"/>
        </w:rPr>
        <w:t>(3)</w:t>
      </w:r>
    </w:p>
    <w:p w14:paraId="72CAB061" w14:textId="77777777" w:rsidR="00D955E0" w:rsidRPr="00E915AA" w:rsidRDefault="00D955E0" w:rsidP="00D955E0">
      <w:pPr>
        <w:spacing w:before="240" w:after="240" w:line="360" w:lineRule="auto"/>
        <w:jc w:val="both"/>
        <w:rPr>
          <w:rFonts w:ascii="Times New Roman" w:eastAsia="Yu Mincho" w:hAnsi="Times New Roman" w:cs="Times New Roman"/>
          <w:color w:val="000000"/>
          <w:sz w:val="24"/>
          <w:szCs w:val="24"/>
          <w:lang w:val="en-GB" w:eastAsia="en-GB"/>
        </w:rPr>
      </w:pPr>
      <w:r w:rsidRPr="00E915AA">
        <w:rPr>
          <w:rFonts w:ascii="Times New Roman" w:eastAsia="Yu Mincho" w:hAnsi="Times New Roman" w:cs="Times New Roman"/>
          <w:color w:val="000000"/>
          <w:sz w:val="24"/>
          <w:szCs w:val="24"/>
          <w:lang w:val="en-GB" w:eastAsia="en-GB"/>
        </w:rPr>
        <w:t xml:space="preserve">where  </w:t>
      </w:r>
      <m:oMath>
        <m:sSub>
          <m:sSubPr>
            <m:ctrlPr>
              <w:rPr>
                <w:rFonts w:ascii="Cambria Math" w:eastAsia="Calibri" w:hAnsi="Cambria Math" w:cs="Times New Roman"/>
                <w:i/>
                <w:color w:val="000000"/>
                <w:sz w:val="24"/>
                <w:szCs w:val="24"/>
                <w:lang w:val="en-GB" w:eastAsia="en-GB"/>
              </w:rPr>
            </m:ctrlPr>
          </m:sSubPr>
          <m:e>
            <m:r>
              <m:rPr>
                <m:nor/>
              </m:rPr>
              <w:rPr>
                <w:rFonts w:ascii="Times New Roman" w:eastAsia="Calibri" w:hAnsi="Times New Roman" w:cs="Times New Roman"/>
                <w:color w:val="000000"/>
                <w:sz w:val="24"/>
                <w:szCs w:val="24"/>
                <w:lang w:val="en-GB" w:eastAsia="en-GB"/>
              </w:rPr>
              <m:t>∆REV</m:t>
            </m:r>
          </m:e>
          <m:sub>
            <m:r>
              <m:rPr>
                <m:nor/>
              </m:rPr>
              <w:rPr>
                <w:rFonts w:ascii="Times New Roman" w:eastAsia="Calibri" w:hAnsi="Times New Roman" w:cs="Times New Roman"/>
                <w:color w:val="000000"/>
                <w:sz w:val="24"/>
                <w:szCs w:val="24"/>
                <w:lang w:val="en-GB" w:eastAsia="en-GB"/>
              </w:rPr>
              <m:t>i,t</m:t>
            </m:r>
          </m:sub>
        </m:sSub>
      </m:oMath>
      <w:r w:rsidRPr="00E915AA">
        <w:rPr>
          <w:rFonts w:ascii="Times New Roman" w:eastAsia="Yu Mincho" w:hAnsi="Times New Roman" w:cs="Times New Roman"/>
          <w:color w:val="000000"/>
          <w:sz w:val="24"/>
          <w:szCs w:val="24"/>
          <w:lang w:val="en-GB" w:eastAsia="en-GB"/>
        </w:rPr>
        <w:t xml:space="preserve"> is the change in total sales of firm </w:t>
      </w:r>
      <w:proofErr w:type="spellStart"/>
      <w:r w:rsidRPr="00E915AA">
        <w:rPr>
          <w:rFonts w:ascii="Times New Roman" w:eastAsia="Yu Mincho" w:hAnsi="Times New Roman" w:cs="Times New Roman"/>
          <w:color w:val="000000"/>
          <w:sz w:val="24"/>
          <w:szCs w:val="24"/>
          <w:lang w:val="en-GB" w:eastAsia="en-GB"/>
        </w:rPr>
        <w:t>i</w:t>
      </w:r>
      <w:proofErr w:type="spellEnd"/>
      <w:r w:rsidRPr="00E915AA">
        <w:rPr>
          <w:rFonts w:ascii="Times New Roman" w:eastAsia="Yu Mincho" w:hAnsi="Times New Roman" w:cs="Times New Roman"/>
          <w:color w:val="000000"/>
          <w:sz w:val="24"/>
          <w:szCs w:val="24"/>
          <w:lang w:val="en-GB" w:eastAsia="en-GB"/>
        </w:rPr>
        <w:t xml:space="preserve"> from year t-2 to year t-1; </w:t>
      </w:r>
      <m:oMath>
        <m:sSub>
          <m:sSubPr>
            <m:ctrlPr>
              <w:rPr>
                <w:rFonts w:ascii="Cambria Math" w:eastAsia="Calibri" w:hAnsi="Cambria Math" w:cs="Times New Roman"/>
                <w:i/>
                <w:color w:val="000000"/>
                <w:sz w:val="24"/>
                <w:szCs w:val="24"/>
                <w:lang w:val="en-GB" w:eastAsia="en-GB"/>
              </w:rPr>
            </m:ctrlPr>
          </m:sSubPr>
          <m:e>
            <m:r>
              <w:rPr>
                <w:rFonts w:ascii="Cambria Math" w:eastAsia="Calibri" w:hAnsi="Cambria Math" w:cs="Times New Roman"/>
                <w:color w:val="000000"/>
                <w:sz w:val="24"/>
                <w:szCs w:val="24"/>
                <w:lang w:val="en-GB" w:eastAsia="en-GB"/>
              </w:rPr>
              <m:t>PPE</m:t>
            </m:r>
          </m:e>
          <m:sub>
            <m:r>
              <m:rPr>
                <m:nor/>
              </m:rPr>
              <w:rPr>
                <w:rFonts w:ascii="Times New Roman" w:eastAsia="Calibri" w:hAnsi="Times New Roman" w:cs="Times New Roman"/>
                <w:color w:val="000000"/>
                <w:sz w:val="24"/>
                <w:szCs w:val="24"/>
                <w:lang w:val="en-GB" w:eastAsia="en-GB"/>
              </w:rPr>
              <m:t>i,t</m:t>
            </m:r>
          </m:sub>
        </m:sSub>
      </m:oMath>
      <w:r w:rsidRPr="00E915AA">
        <w:rPr>
          <w:rFonts w:ascii="Times New Roman" w:eastAsia="Yu Mincho" w:hAnsi="Times New Roman" w:cs="Times New Roman"/>
          <w:color w:val="000000"/>
          <w:sz w:val="24"/>
          <w:szCs w:val="24"/>
          <w:lang w:val="en-GB" w:eastAsia="en-GB"/>
        </w:rPr>
        <w:t xml:space="preserve"> is the gross value of property, plant and equipment of firm </w:t>
      </w:r>
      <w:proofErr w:type="spellStart"/>
      <w:r w:rsidRPr="00E915AA">
        <w:rPr>
          <w:rFonts w:ascii="Times New Roman" w:eastAsia="Yu Mincho" w:hAnsi="Times New Roman" w:cs="Times New Roman"/>
          <w:color w:val="000000"/>
          <w:sz w:val="24"/>
          <w:szCs w:val="24"/>
          <w:lang w:val="en-GB" w:eastAsia="en-GB"/>
        </w:rPr>
        <w:t>i</w:t>
      </w:r>
      <w:proofErr w:type="spellEnd"/>
      <w:r w:rsidRPr="00E915AA">
        <w:rPr>
          <w:rFonts w:ascii="Times New Roman" w:eastAsia="Yu Mincho" w:hAnsi="Times New Roman" w:cs="Times New Roman"/>
          <w:color w:val="000000"/>
          <w:sz w:val="24"/>
          <w:szCs w:val="24"/>
          <w:lang w:val="en-GB" w:eastAsia="en-GB"/>
        </w:rPr>
        <w:t xml:space="preserve"> in year t-1. </w:t>
      </w:r>
    </w:p>
    <w:p w14:paraId="64DD5B3E" w14:textId="77777777" w:rsidR="00D955E0" w:rsidRPr="00E915AA" w:rsidRDefault="00D955E0" w:rsidP="00D955E0">
      <w:pPr>
        <w:spacing w:before="240" w:after="240" w:line="360" w:lineRule="auto"/>
        <w:jc w:val="both"/>
        <w:rPr>
          <w:rFonts w:ascii="Times New Roman" w:eastAsia="SimSun" w:hAnsi="Times New Roman" w:cs="Times New Roman"/>
          <w:color w:val="000000"/>
          <w:sz w:val="24"/>
          <w:szCs w:val="24"/>
          <w:lang w:val="en-GB" w:eastAsia="en-GB"/>
        </w:rPr>
      </w:pPr>
      <w:r w:rsidRPr="00E915AA">
        <w:rPr>
          <w:rFonts w:ascii="Times New Roman" w:eastAsia="SimSun" w:hAnsi="Times New Roman" w:cs="Times New Roman"/>
          <w:color w:val="000000"/>
          <w:sz w:val="24"/>
          <w:szCs w:val="24"/>
          <w:lang w:val="en-GB" w:eastAsia="en-GB"/>
        </w:rPr>
        <w:t xml:space="preserve">Non-discretionary accruals </w:t>
      </w:r>
      <m:oMath>
        <m:sSub>
          <m:sSubPr>
            <m:ctrlPr>
              <w:rPr>
                <w:rFonts w:ascii="Cambria Math" w:eastAsia="SimSun" w:hAnsi="Cambria Math" w:cs="Times New Roman"/>
                <w:i/>
                <w:color w:val="000000"/>
                <w:sz w:val="24"/>
                <w:szCs w:val="24"/>
                <w:lang w:val="en-GB" w:eastAsia="en-GB"/>
              </w:rPr>
            </m:ctrlPr>
          </m:sSubPr>
          <m:e>
            <m:r>
              <m:rPr>
                <m:nor/>
              </m:rPr>
              <w:rPr>
                <w:rFonts w:ascii="Times New Roman" w:eastAsia="SimSun" w:hAnsi="Times New Roman" w:cs="Times New Roman"/>
                <w:color w:val="000000"/>
                <w:sz w:val="24"/>
                <w:szCs w:val="24"/>
                <w:lang w:val="en-GB" w:eastAsia="en-GB"/>
              </w:rPr>
              <m:t>(NDA</m:t>
            </m:r>
            <m:r>
              <m:rPr>
                <m:nor/>
              </m:rPr>
              <w:rPr>
                <w:rFonts w:ascii="Cambria Math" w:eastAsia="SimSun" w:hAnsi="Times New Roman" w:cs="Times New Roman"/>
                <w:color w:val="000000"/>
                <w:sz w:val="24"/>
                <w:szCs w:val="24"/>
                <w:lang w:val="en-GB" w:eastAsia="en-GB"/>
              </w:rPr>
              <m:t>CC</m:t>
            </m:r>
          </m:e>
          <m:sub>
            <m:r>
              <m:rPr>
                <m:nor/>
              </m:rPr>
              <w:rPr>
                <w:rFonts w:ascii="Times New Roman" w:eastAsia="SimSun" w:hAnsi="Times New Roman" w:cs="Times New Roman"/>
                <w:color w:val="000000"/>
                <w:sz w:val="24"/>
                <w:szCs w:val="24"/>
                <w:lang w:val="en-GB" w:eastAsia="en-GB"/>
              </w:rPr>
              <m:t>i,t</m:t>
            </m:r>
          </m:sub>
        </m:sSub>
        <m:r>
          <w:rPr>
            <w:rFonts w:ascii="Cambria Math" w:eastAsia="SimSun" w:hAnsi="Cambria Math" w:cs="Times New Roman"/>
            <w:color w:val="000000"/>
            <w:sz w:val="24"/>
            <w:szCs w:val="24"/>
            <w:lang w:val="en-GB" w:eastAsia="en-GB"/>
          </w:rPr>
          <m:t xml:space="preserve">) </m:t>
        </m:r>
      </m:oMath>
      <w:r w:rsidRPr="00E915AA">
        <w:rPr>
          <w:rFonts w:ascii="Times New Roman" w:eastAsia="SimSun" w:hAnsi="Times New Roman" w:cs="Times New Roman"/>
          <w:color w:val="000000"/>
          <w:sz w:val="24"/>
          <w:szCs w:val="24"/>
          <w:lang w:val="en-GB" w:eastAsia="en-GB"/>
        </w:rPr>
        <w:t xml:space="preserve">of firm i in year t-1 are calculated by multiplying </w:t>
      </w:r>
      <m:oMath>
        <m:sSub>
          <m:sSubPr>
            <m:ctrlPr>
              <w:rPr>
                <w:rFonts w:ascii="Cambria Math" w:eastAsia="SimSun" w:hAnsi="Cambria Math" w:cs="Times New Roman"/>
                <w:i/>
                <w:color w:val="000000"/>
                <w:sz w:val="24"/>
                <w:szCs w:val="24"/>
                <w:lang w:val="en-GB" w:eastAsia="en-GB"/>
              </w:rPr>
            </m:ctrlPr>
          </m:sSubPr>
          <m:e>
            <m:r>
              <m:rPr>
                <m:nor/>
              </m:rPr>
              <w:rPr>
                <w:rFonts w:ascii="Times New Roman" w:eastAsia="SimSun" w:hAnsi="Times New Roman" w:cs="Times New Roman"/>
                <w:color w:val="000000"/>
                <w:sz w:val="24"/>
                <w:szCs w:val="24"/>
                <w:lang w:val="en-GB" w:eastAsia="en-GB"/>
              </w:rPr>
              <m:t>α</m:t>
            </m:r>
          </m:e>
          <m:sub>
            <m:r>
              <m:rPr>
                <m:nor/>
              </m:rPr>
              <w:rPr>
                <w:rFonts w:ascii="Times New Roman" w:eastAsia="SimSun" w:hAnsi="Times New Roman" w:cs="Times New Roman"/>
                <w:color w:val="000000"/>
                <w:sz w:val="24"/>
                <w:szCs w:val="24"/>
                <w:lang w:val="en-GB" w:eastAsia="en-GB"/>
              </w:rPr>
              <m:t>1</m:t>
            </m:r>
          </m:sub>
        </m:sSub>
      </m:oMath>
      <w:r w:rsidRPr="00E915AA">
        <w:rPr>
          <w:rFonts w:ascii="Times New Roman" w:eastAsia="SimSun" w:hAnsi="Times New Roman" w:cs="Times New Roman"/>
          <w:color w:val="000000"/>
          <w:sz w:val="24"/>
          <w:szCs w:val="24"/>
          <w:lang w:val="en-GB" w:eastAsia="en-GB"/>
        </w:rPr>
        <w:t xml:space="preserve">, </w:t>
      </w:r>
      <m:oMath>
        <m:sSub>
          <m:sSubPr>
            <m:ctrlPr>
              <w:rPr>
                <w:rFonts w:ascii="Cambria Math" w:eastAsia="SimSun" w:hAnsi="Cambria Math" w:cs="Times New Roman"/>
                <w:i/>
                <w:color w:val="000000"/>
                <w:sz w:val="24"/>
                <w:szCs w:val="24"/>
                <w:lang w:val="en-GB" w:eastAsia="en-GB"/>
              </w:rPr>
            </m:ctrlPr>
          </m:sSubPr>
          <m:e>
            <m:r>
              <m:rPr>
                <m:nor/>
              </m:rPr>
              <w:rPr>
                <w:rFonts w:ascii="Times New Roman" w:eastAsia="SimSun" w:hAnsi="Times New Roman" w:cs="Times New Roman"/>
                <w:color w:val="000000"/>
                <w:sz w:val="24"/>
                <w:szCs w:val="24"/>
                <w:lang w:val="en-GB" w:eastAsia="en-GB"/>
              </w:rPr>
              <m:t>α</m:t>
            </m:r>
          </m:e>
          <m:sub>
            <m:r>
              <m:rPr>
                <m:nor/>
              </m:rPr>
              <w:rPr>
                <w:rFonts w:ascii="Times New Roman" w:eastAsia="SimSun" w:hAnsi="Times New Roman" w:cs="Times New Roman"/>
                <w:color w:val="000000"/>
                <w:sz w:val="24"/>
                <w:szCs w:val="24"/>
                <w:lang w:val="en-GB" w:eastAsia="en-GB"/>
              </w:rPr>
              <m:t xml:space="preserve">2 </m:t>
            </m:r>
          </m:sub>
        </m:sSub>
        <m:r>
          <m:rPr>
            <m:nor/>
          </m:rPr>
          <w:rPr>
            <w:rFonts w:ascii="Times New Roman" w:eastAsia="SimSun" w:hAnsi="Times New Roman" w:cs="Times New Roman"/>
            <w:color w:val="000000"/>
            <w:sz w:val="24"/>
            <w:szCs w:val="24"/>
            <w:lang w:val="en-GB" w:eastAsia="en-GB"/>
          </w:rPr>
          <m:t>,</m:t>
        </m:r>
        <m:sSub>
          <m:sSubPr>
            <m:ctrlPr>
              <w:rPr>
                <w:rFonts w:ascii="Cambria Math" w:eastAsia="SimSun" w:hAnsi="Cambria Math" w:cs="Times New Roman"/>
                <w:i/>
                <w:color w:val="000000"/>
                <w:sz w:val="24"/>
                <w:szCs w:val="24"/>
                <w:lang w:val="en-GB" w:eastAsia="en-GB"/>
              </w:rPr>
            </m:ctrlPr>
          </m:sSubPr>
          <m:e>
            <m:r>
              <m:rPr>
                <m:nor/>
              </m:rPr>
              <w:rPr>
                <w:rFonts w:ascii="Times New Roman" w:eastAsia="SimSun" w:hAnsi="Times New Roman" w:cs="Times New Roman"/>
                <w:color w:val="000000"/>
                <w:sz w:val="24"/>
                <w:szCs w:val="24"/>
                <w:lang w:val="en-GB" w:eastAsia="en-GB"/>
              </w:rPr>
              <m:t>α</m:t>
            </m:r>
          </m:e>
          <m:sub>
            <m:r>
              <m:rPr>
                <m:nor/>
              </m:rPr>
              <w:rPr>
                <w:rFonts w:ascii="Times New Roman" w:eastAsia="SimSun" w:hAnsi="Times New Roman" w:cs="Times New Roman"/>
                <w:color w:val="000000"/>
                <w:sz w:val="24"/>
                <w:szCs w:val="24"/>
                <w:lang w:val="en-GB" w:eastAsia="en-GB"/>
              </w:rPr>
              <m:t xml:space="preserve">3 </m:t>
            </m:r>
          </m:sub>
        </m:sSub>
      </m:oMath>
      <w:r w:rsidRPr="00E915AA">
        <w:rPr>
          <w:rFonts w:ascii="Times New Roman" w:eastAsia="SimSun" w:hAnsi="Times New Roman" w:cs="Times New Roman"/>
          <w:color w:val="000000"/>
          <w:sz w:val="24"/>
          <w:szCs w:val="24"/>
          <w:lang w:val="en-GB" w:eastAsia="en-GB"/>
        </w:rPr>
        <w:t>estimated in Equation 3 by the reciprocal of the total assets in the prior yea</w:t>
      </w:r>
      <w:r w:rsidRPr="00E915AA">
        <w:rPr>
          <w:rFonts w:ascii="Times New Roman" w:eastAsia="SimSun" w:hAnsi="Times New Roman" w:cs="Times New Roman"/>
          <w:noProof/>
          <w:color w:val="000000"/>
          <w:sz w:val="24"/>
          <w:szCs w:val="24"/>
          <w:lang w:val="en-GB" w:eastAsia="en-GB"/>
        </w:rPr>
        <w:t>r, th</w:t>
      </w:r>
      <w:r w:rsidRPr="00E915AA">
        <w:rPr>
          <w:rFonts w:ascii="Times New Roman" w:eastAsia="SimSun" w:hAnsi="Times New Roman" w:cs="Times New Roman"/>
          <w:color w:val="000000"/>
          <w:sz w:val="24"/>
          <w:szCs w:val="24"/>
          <w:lang w:val="en-GB" w:eastAsia="en-GB"/>
        </w:rPr>
        <w:t xml:space="preserve">e scaled change in cash sales (the change in revenues minus the change in account receivables), and the </w:t>
      </w:r>
      <w:r w:rsidRPr="00E915AA">
        <w:rPr>
          <w:rFonts w:ascii="Times New Roman" w:eastAsia="Yu Mincho" w:hAnsi="Times New Roman" w:cs="Times New Roman"/>
          <w:color w:val="000000"/>
          <w:sz w:val="24"/>
          <w:szCs w:val="24"/>
          <w:lang w:val="en-GB" w:eastAsia="en-GB"/>
        </w:rPr>
        <w:t>gross value of PPE</w:t>
      </w:r>
      <w:r w:rsidRPr="00E915AA">
        <w:rPr>
          <w:rFonts w:ascii="Times New Roman" w:eastAsia="SimSun" w:hAnsi="Times New Roman" w:cs="Times New Roman"/>
          <w:color w:val="000000"/>
          <w:sz w:val="24"/>
          <w:szCs w:val="24"/>
          <w:lang w:val="en-GB" w:eastAsia="en-GB"/>
        </w:rPr>
        <w:t xml:space="preserve"> in the prior yea</w:t>
      </w:r>
      <w:r w:rsidRPr="00E915AA">
        <w:rPr>
          <w:rFonts w:ascii="Times New Roman" w:eastAsia="SimSun" w:hAnsi="Times New Roman" w:cs="Times New Roman"/>
          <w:noProof/>
          <w:color w:val="000000"/>
          <w:sz w:val="24"/>
          <w:szCs w:val="24"/>
          <w:lang w:val="en-GB" w:eastAsia="en-GB"/>
        </w:rPr>
        <w:t>r, re</w:t>
      </w:r>
      <w:r w:rsidRPr="00E915AA">
        <w:rPr>
          <w:rFonts w:ascii="Times New Roman" w:eastAsia="SimSun" w:hAnsi="Times New Roman" w:cs="Times New Roman"/>
          <w:color w:val="000000"/>
          <w:sz w:val="24"/>
          <w:szCs w:val="24"/>
          <w:lang w:val="en-GB" w:eastAsia="en-GB"/>
        </w:rPr>
        <w:t>spectively, as shown in Equation 4.</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D955E0" w:rsidRPr="00E915AA" w14:paraId="0861A119" w14:textId="77777777" w:rsidTr="001520C5">
        <w:tc>
          <w:tcPr>
            <w:tcW w:w="8500" w:type="dxa"/>
            <w:vAlign w:val="center"/>
          </w:tcPr>
          <w:p w14:paraId="1B0249D8" w14:textId="77777777" w:rsidR="00D955E0" w:rsidRPr="00E915AA" w:rsidRDefault="00E915AA" w:rsidP="001520C5">
            <w:pPr>
              <w:spacing w:before="240" w:after="240" w:line="360" w:lineRule="auto"/>
              <w:jc w:val="center"/>
              <w:rPr>
                <w:rFonts w:ascii="Times New Roman" w:eastAsia="SimSun" w:hAnsi="Times New Roman" w:cs="Times New Roman"/>
                <w:color w:val="000000"/>
                <w:sz w:val="26"/>
                <w:szCs w:val="26"/>
                <w:lang w:eastAsia="en-GB"/>
              </w:rPr>
            </w:pPr>
            <m:oMathPara>
              <m:oMath>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NDACC</m:t>
                    </m:r>
                  </m:e>
                  <m:sub>
                    <m:r>
                      <m:rPr>
                        <m:nor/>
                      </m:rPr>
                      <w:rPr>
                        <w:rFonts w:ascii="Times New Roman" w:eastAsia="Calibri" w:hAnsi="Times New Roman" w:cs="Times New Roman"/>
                        <w:color w:val="000000"/>
                        <w:sz w:val="24"/>
                        <w:szCs w:val="24"/>
                        <w:lang w:eastAsia="en-GB"/>
                      </w:rPr>
                      <m:t>i,t-1</m:t>
                    </m:r>
                  </m:sub>
                </m:sSub>
                <m:r>
                  <m:rPr>
                    <m:nor/>
                  </m:rPr>
                  <w:rPr>
                    <w:rFonts w:ascii="Times New Roman" w:eastAsia="Calibri" w:hAnsi="Times New Roman" w:cs="Times New Roman"/>
                    <w:color w:val="000000"/>
                    <w:sz w:val="24"/>
                    <w:szCs w:val="24"/>
                    <w:lang w:eastAsia="en-GB"/>
                  </w:rPr>
                  <m:t xml:space="preserve"> =  </m:t>
                </m:r>
                <m:acc>
                  <m:accPr>
                    <m:ctrlPr>
                      <w:rPr>
                        <w:rFonts w:ascii="Cambria Math" w:eastAsia="Calibri" w:hAnsi="Cambria Math" w:cs="Times New Roman"/>
                        <w:i/>
                        <w:color w:val="000000"/>
                        <w:sz w:val="24"/>
                        <w:szCs w:val="24"/>
                        <w:lang w:eastAsia="en-GB"/>
                      </w:rPr>
                    </m:ctrlPr>
                  </m:accPr>
                  <m:e>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α</m:t>
                        </m:r>
                      </m:e>
                      <m:sub>
                        <m:r>
                          <m:rPr>
                            <m:nor/>
                          </m:rPr>
                          <w:rPr>
                            <w:rFonts w:ascii="Times New Roman" w:eastAsia="Calibri" w:hAnsi="Times New Roman" w:cs="Times New Roman"/>
                            <w:color w:val="000000"/>
                            <w:sz w:val="24"/>
                            <w:szCs w:val="24"/>
                            <w:lang w:eastAsia="en-GB"/>
                          </w:rPr>
                          <m:t>1</m:t>
                        </m:r>
                      </m:sub>
                    </m:sSub>
                  </m:e>
                </m:acc>
                <m:d>
                  <m:dPr>
                    <m:ctrlPr>
                      <w:rPr>
                        <w:rFonts w:ascii="Cambria Math" w:eastAsia="Calibri" w:hAnsi="Cambria Math" w:cs="Times New Roman"/>
                        <w:i/>
                        <w:color w:val="000000"/>
                        <w:sz w:val="24"/>
                        <w:szCs w:val="24"/>
                        <w:lang w:eastAsia="en-GB"/>
                      </w:rPr>
                    </m:ctrlPr>
                  </m:dPr>
                  <m:e>
                    <m:f>
                      <m:fPr>
                        <m:ctrlPr>
                          <w:rPr>
                            <w:rFonts w:ascii="Cambria Math" w:eastAsia="Calibri" w:hAnsi="Cambria Math" w:cs="Times New Roman"/>
                            <w:i/>
                            <w:color w:val="000000"/>
                            <w:sz w:val="24"/>
                            <w:szCs w:val="24"/>
                            <w:lang w:eastAsia="en-GB"/>
                          </w:rPr>
                        </m:ctrlPr>
                      </m:fPr>
                      <m:num>
                        <m:r>
                          <m:rPr>
                            <m:nor/>
                          </m:rPr>
                          <w:rPr>
                            <w:rFonts w:ascii="Times New Roman" w:eastAsia="Calibri" w:hAnsi="Times New Roman" w:cs="Times New Roman"/>
                            <w:color w:val="000000"/>
                            <w:sz w:val="24"/>
                            <w:szCs w:val="24"/>
                            <w:lang w:eastAsia="en-GB"/>
                          </w:rPr>
                          <m:t>1</m:t>
                        </m:r>
                      </m:num>
                      <m:den>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TA</m:t>
                            </m:r>
                          </m:e>
                          <m:sub>
                            <m:r>
                              <m:rPr>
                                <m:nor/>
                              </m:rPr>
                              <w:rPr>
                                <w:rFonts w:ascii="Times New Roman" w:eastAsia="Calibri" w:hAnsi="Times New Roman" w:cs="Times New Roman"/>
                                <w:color w:val="000000"/>
                                <w:sz w:val="24"/>
                                <w:szCs w:val="24"/>
                                <w:lang w:eastAsia="en-GB"/>
                              </w:rPr>
                              <m:t>i,t-2</m:t>
                            </m:r>
                          </m:sub>
                        </m:sSub>
                      </m:den>
                    </m:f>
                  </m:e>
                </m:d>
                <m:r>
                  <m:rPr>
                    <m:nor/>
                  </m:rPr>
                  <w:rPr>
                    <w:rFonts w:ascii="Times New Roman" w:eastAsia="Calibri" w:hAnsi="Times New Roman" w:cs="Times New Roman"/>
                    <w:color w:val="000000"/>
                    <w:sz w:val="24"/>
                    <w:szCs w:val="24"/>
                    <w:lang w:eastAsia="en-GB"/>
                  </w:rPr>
                  <m:t xml:space="preserve">+ </m:t>
                </m:r>
                <m:acc>
                  <m:accPr>
                    <m:ctrlPr>
                      <w:rPr>
                        <w:rFonts w:ascii="Cambria Math" w:eastAsia="Calibri" w:hAnsi="Cambria Math" w:cs="Times New Roman"/>
                        <w:i/>
                        <w:color w:val="000000"/>
                        <w:sz w:val="24"/>
                        <w:szCs w:val="24"/>
                        <w:lang w:eastAsia="en-GB"/>
                      </w:rPr>
                    </m:ctrlPr>
                  </m:accPr>
                  <m:e>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α</m:t>
                        </m:r>
                      </m:e>
                      <m:sub>
                        <m:r>
                          <m:rPr>
                            <m:nor/>
                          </m:rPr>
                          <w:rPr>
                            <w:rFonts w:ascii="Times New Roman" w:eastAsia="Calibri" w:hAnsi="Times New Roman" w:cs="Times New Roman"/>
                            <w:color w:val="000000"/>
                            <w:sz w:val="24"/>
                            <w:szCs w:val="24"/>
                            <w:lang w:eastAsia="en-GB"/>
                          </w:rPr>
                          <m:t>2</m:t>
                        </m:r>
                      </m:sub>
                    </m:sSub>
                  </m:e>
                </m:acc>
                <m:d>
                  <m:dPr>
                    <m:ctrlPr>
                      <w:rPr>
                        <w:rFonts w:ascii="Cambria Math" w:eastAsia="Calibri" w:hAnsi="Cambria Math" w:cs="Times New Roman"/>
                        <w:i/>
                        <w:color w:val="000000"/>
                        <w:sz w:val="24"/>
                        <w:szCs w:val="24"/>
                        <w:lang w:eastAsia="en-GB"/>
                      </w:rPr>
                    </m:ctrlPr>
                  </m:dPr>
                  <m:e>
                    <m:f>
                      <m:fPr>
                        <m:ctrlPr>
                          <w:rPr>
                            <w:rFonts w:ascii="Cambria Math" w:eastAsia="Calibri" w:hAnsi="Cambria Math" w:cs="Times New Roman"/>
                            <w:i/>
                            <w:color w:val="000000"/>
                            <w:sz w:val="24"/>
                            <w:szCs w:val="24"/>
                            <w:lang w:eastAsia="en-GB"/>
                          </w:rPr>
                        </m:ctrlPr>
                      </m:fPr>
                      <m:num>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m:t>
                            </m:r>
                            <m:r>
                              <m:rPr>
                                <m:nor/>
                              </m:rPr>
                              <w:rPr>
                                <w:rFonts w:ascii="Times New Roman" w:eastAsia="Calibri" w:hAnsi="Times New Roman" w:cs="Times New Roman"/>
                                <w:color w:val="000000"/>
                                <w:sz w:val="24"/>
                                <w:szCs w:val="24"/>
                                <w:lang w:eastAsia="en-GB"/>
                              </w:rPr>
                              <m:t>REV</m:t>
                            </m:r>
                          </m:e>
                          <m:sub>
                            <m:r>
                              <m:rPr>
                                <m:nor/>
                              </m:rPr>
                              <w:rPr>
                                <w:rFonts w:ascii="Times New Roman" w:eastAsia="Calibri" w:hAnsi="Times New Roman" w:cs="Times New Roman"/>
                                <w:color w:val="000000"/>
                                <w:sz w:val="24"/>
                                <w:szCs w:val="24"/>
                                <w:lang w:eastAsia="en-GB"/>
                              </w:rPr>
                              <m:t>i,t-1</m:t>
                            </m:r>
                          </m:sub>
                        </m:sSub>
                        <m:r>
                          <m:rPr>
                            <m:nor/>
                          </m:rPr>
                          <w:rPr>
                            <w:rFonts w:ascii="Times New Roman" w:eastAsia="Calibri" w:hAnsi="Times New Roman" w:cs="Times New Roman"/>
                            <w:color w:val="000000"/>
                            <w:sz w:val="24"/>
                            <w:szCs w:val="24"/>
                            <w:lang w:eastAsia="en-GB"/>
                          </w:rPr>
                          <m:t xml:space="preserve"> - </m:t>
                        </m:r>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m:t>
                            </m:r>
                            <m:r>
                              <m:rPr>
                                <m:nor/>
                              </m:rPr>
                              <w:rPr>
                                <w:rFonts w:ascii="Times New Roman" w:eastAsia="Calibri" w:hAnsi="Times New Roman" w:cs="Times New Roman"/>
                                <w:color w:val="000000"/>
                                <w:sz w:val="24"/>
                                <w:szCs w:val="24"/>
                                <w:lang w:eastAsia="en-GB"/>
                              </w:rPr>
                              <m:t>AR</m:t>
                            </m:r>
                          </m:e>
                          <m:sub>
                            <m:r>
                              <m:rPr>
                                <m:nor/>
                              </m:rPr>
                              <w:rPr>
                                <w:rFonts w:ascii="Times New Roman" w:eastAsia="Calibri" w:hAnsi="Times New Roman" w:cs="Times New Roman"/>
                                <w:color w:val="000000"/>
                                <w:sz w:val="24"/>
                                <w:szCs w:val="24"/>
                                <w:lang w:eastAsia="en-GB"/>
                              </w:rPr>
                              <m:t>i,t-1</m:t>
                            </m:r>
                          </m:sub>
                        </m:sSub>
                      </m:num>
                      <m:den>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TA</m:t>
                            </m:r>
                          </m:e>
                          <m:sub>
                            <m:r>
                              <m:rPr>
                                <m:nor/>
                              </m:rPr>
                              <w:rPr>
                                <w:rFonts w:ascii="Times New Roman" w:eastAsia="Calibri" w:hAnsi="Times New Roman" w:cs="Times New Roman"/>
                                <w:color w:val="000000"/>
                                <w:sz w:val="24"/>
                                <w:szCs w:val="24"/>
                                <w:lang w:eastAsia="en-GB"/>
                              </w:rPr>
                              <m:t>i,t-2</m:t>
                            </m:r>
                          </m:sub>
                        </m:sSub>
                      </m:den>
                    </m:f>
                  </m:e>
                </m:d>
                <m:r>
                  <m:rPr>
                    <m:nor/>
                  </m:rPr>
                  <w:rPr>
                    <w:rFonts w:ascii="Times New Roman" w:eastAsia="Calibri" w:hAnsi="Times New Roman" w:cs="Times New Roman"/>
                    <w:color w:val="000000"/>
                    <w:sz w:val="24"/>
                    <w:szCs w:val="24"/>
                    <w:lang w:eastAsia="en-GB"/>
                  </w:rPr>
                  <m:t xml:space="preserve">+ </m:t>
                </m:r>
                <m:acc>
                  <m:accPr>
                    <m:ctrlPr>
                      <w:rPr>
                        <w:rFonts w:ascii="Cambria Math" w:eastAsia="Calibri" w:hAnsi="Cambria Math" w:cs="Times New Roman"/>
                        <w:i/>
                        <w:color w:val="000000"/>
                        <w:sz w:val="24"/>
                        <w:szCs w:val="24"/>
                        <w:lang w:eastAsia="en-GB"/>
                      </w:rPr>
                    </m:ctrlPr>
                  </m:accPr>
                  <m:e>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α</m:t>
                        </m:r>
                      </m:e>
                      <m:sub>
                        <m:r>
                          <m:rPr>
                            <m:nor/>
                          </m:rPr>
                          <w:rPr>
                            <w:rFonts w:ascii="Times New Roman" w:eastAsia="Calibri" w:hAnsi="Times New Roman" w:cs="Times New Roman"/>
                            <w:color w:val="000000"/>
                            <w:sz w:val="24"/>
                            <w:szCs w:val="24"/>
                            <w:lang w:eastAsia="en-GB"/>
                          </w:rPr>
                          <m:t>3</m:t>
                        </m:r>
                      </m:sub>
                    </m:sSub>
                  </m:e>
                </m:acc>
                <m:d>
                  <m:dPr>
                    <m:ctrlPr>
                      <w:rPr>
                        <w:rFonts w:ascii="Cambria Math" w:eastAsia="Calibri" w:hAnsi="Cambria Math" w:cs="Times New Roman"/>
                        <w:i/>
                        <w:color w:val="000000"/>
                        <w:sz w:val="24"/>
                        <w:szCs w:val="24"/>
                        <w:lang w:eastAsia="en-GB"/>
                      </w:rPr>
                    </m:ctrlPr>
                  </m:dPr>
                  <m:e>
                    <m:f>
                      <m:fPr>
                        <m:ctrlPr>
                          <w:rPr>
                            <w:rFonts w:ascii="Cambria Math" w:eastAsia="Calibri" w:hAnsi="Cambria Math" w:cs="Times New Roman"/>
                            <w:i/>
                            <w:color w:val="000000"/>
                            <w:sz w:val="24"/>
                            <w:szCs w:val="24"/>
                            <w:lang w:eastAsia="en-GB"/>
                          </w:rPr>
                        </m:ctrlPr>
                      </m:fPr>
                      <m:num>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PPE</m:t>
                            </m:r>
                          </m:e>
                          <m:sub>
                            <m:r>
                              <m:rPr>
                                <m:nor/>
                              </m:rPr>
                              <w:rPr>
                                <w:rFonts w:ascii="Times New Roman" w:eastAsia="Calibri" w:hAnsi="Times New Roman" w:cs="Times New Roman"/>
                                <w:color w:val="000000"/>
                                <w:sz w:val="24"/>
                                <w:szCs w:val="24"/>
                                <w:lang w:eastAsia="en-GB"/>
                              </w:rPr>
                              <m:t>i,t-1</m:t>
                            </m:r>
                          </m:sub>
                        </m:sSub>
                      </m:num>
                      <m:den>
                        <m:sSub>
                          <m:sSubPr>
                            <m:ctrlPr>
                              <w:rPr>
                                <w:rFonts w:ascii="Cambria Math" w:eastAsia="Calibri" w:hAnsi="Cambria Math" w:cs="Times New Roman"/>
                                <w:i/>
                                <w:color w:val="000000"/>
                                <w:sz w:val="24"/>
                                <w:szCs w:val="24"/>
                                <w:lang w:eastAsia="en-GB"/>
                              </w:rPr>
                            </m:ctrlPr>
                          </m:sSubPr>
                          <m:e>
                            <m:r>
                              <m:rPr>
                                <m:nor/>
                              </m:rPr>
                              <w:rPr>
                                <w:rFonts w:ascii="Times New Roman" w:eastAsia="Calibri" w:hAnsi="Times New Roman" w:cs="Times New Roman"/>
                                <w:color w:val="000000"/>
                                <w:sz w:val="24"/>
                                <w:szCs w:val="24"/>
                                <w:lang w:eastAsia="en-GB"/>
                              </w:rPr>
                              <m:t>TA</m:t>
                            </m:r>
                          </m:e>
                          <m:sub>
                            <m:r>
                              <m:rPr>
                                <m:nor/>
                              </m:rPr>
                              <w:rPr>
                                <w:rFonts w:ascii="Times New Roman" w:eastAsia="Calibri" w:hAnsi="Times New Roman" w:cs="Times New Roman"/>
                                <w:color w:val="000000"/>
                                <w:sz w:val="24"/>
                                <w:szCs w:val="24"/>
                                <w:lang w:eastAsia="en-GB"/>
                              </w:rPr>
                              <m:t>i,t-2</m:t>
                            </m:r>
                          </m:sub>
                        </m:sSub>
                      </m:den>
                    </m:f>
                  </m:e>
                </m:d>
              </m:oMath>
            </m:oMathPara>
          </w:p>
        </w:tc>
        <w:tc>
          <w:tcPr>
            <w:tcW w:w="516" w:type="dxa"/>
            <w:vAlign w:val="center"/>
          </w:tcPr>
          <w:p w14:paraId="41D7A1A9" w14:textId="77777777" w:rsidR="00D955E0" w:rsidRPr="00E915AA" w:rsidRDefault="00D955E0" w:rsidP="001520C5">
            <w:pPr>
              <w:spacing w:before="240" w:after="240" w:line="360" w:lineRule="auto"/>
              <w:jc w:val="center"/>
              <w:rPr>
                <w:rFonts w:ascii="Times New Roman" w:eastAsia="SimSun" w:hAnsi="Times New Roman" w:cs="Times New Roman"/>
                <w:color w:val="000000"/>
                <w:sz w:val="24"/>
                <w:szCs w:val="24"/>
                <w:lang w:eastAsia="en-GB"/>
              </w:rPr>
            </w:pPr>
            <w:r w:rsidRPr="00E915AA">
              <w:rPr>
                <w:rFonts w:ascii="Times New Roman" w:eastAsia="SimSun" w:hAnsi="Times New Roman" w:cs="Times New Roman"/>
                <w:color w:val="000000"/>
                <w:sz w:val="24"/>
                <w:szCs w:val="24"/>
                <w:lang w:eastAsia="en-GB"/>
              </w:rPr>
              <w:t>(4)</w:t>
            </w:r>
          </w:p>
        </w:tc>
      </w:tr>
    </w:tbl>
    <w:p w14:paraId="246DE140" w14:textId="77777777" w:rsidR="00D955E0" w:rsidRPr="00E915AA" w:rsidRDefault="00D955E0" w:rsidP="00D955E0">
      <w:pPr>
        <w:tabs>
          <w:tab w:val="left" w:pos="8222"/>
        </w:tabs>
        <w:spacing w:before="240" w:after="240" w:line="360" w:lineRule="auto"/>
        <w:jc w:val="both"/>
        <w:rPr>
          <w:rFonts w:ascii="Times New Roman" w:eastAsia="SimSun" w:hAnsi="Times New Roman" w:cs="Times New Roman"/>
          <w:color w:val="000000"/>
          <w:sz w:val="24"/>
          <w:szCs w:val="24"/>
          <w:lang w:val="en-GB" w:eastAsia="en-GB"/>
        </w:rPr>
      </w:pPr>
      <w:r w:rsidRPr="00E915AA">
        <w:rPr>
          <w:rFonts w:ascii="Times New Roman" w:eastAsia="SimSun" w:hAnsi="Times New Roman" w:cs="Times New Roman"/>
          <w:color w:val="000000"/>
          <w:sz w:val="24"/>
          <w:szCs w:val="24"/>
          <w:lang w:val="en-GB" w:eastAsia="en-GB"/>
        </w:rPr>
        <w:t xml:space="preserve">where:  </w:t>
      </w:r>
      <m:oMath>
        <m:sSub>
          <m:sSubPr>
            <m:ctrlPr>
              <w:rPr>
                <w:rFonts w:ascii="Cambria Math" w:eastAsia="SimSun" w:hAnsi="Cambria Math" w:cs="Times New Roman"/>
                <w:i/>
                <w:color w:val="000000"/>
                <w:sz w:val="24"/>
                <w:szCs w:val="24"/>
                <w:lang w:val="en-GB" w:eastAsia="en-GB"/>
              </w:rPr>
            </m:ctrlPr>
          </m:sSubPr>
          <m:e>
            <m:r>
              <m:rPr>
                <m:nor/>
              </m:rPr>
              <w:rPr>
                <w:rFonts w:ascii="Cambria Math" w:eastAsia="SimSun" w:hAnsi="Cambria Math" w:cs="Times New Roman"/>
                <w:color w:val="000000"/>
                <w:sz w:val="24"/>
                <w:szCs w:val="24"/>
                <w:lang w:val="en-GB" w:eastAsia="en-GB"/>
              </w:rPr>
              <m:t>∆AR</m:t>
            </m:r>
          </m:e>
          <m:sub>
            <m:r>
              <m:rPr>
                <m:nor/>
              </m:rPr>
              <w:rPr>
                <w:rFonts w:ascii="Cambria Math" w:eastAsia="SimSun" w:hAnsi="Cambria Math" w:cs="Times New Roman"/>
                <w:color w:val="000000"/>
                <w:sz w:val="24"/>
                <w:szCs w:val="24"/>
                <w:lang w:val="en-GB" w:eastAsia="en-GB"/>
              </w:rPr>
              <m:t>i,t-1</m:t>
            </m:r>
          </m:sub>
        </m:sSub>
      </m:oMath>
      <w:r w:rsidRPr="00E915AA">
        <w:rPr>
          <w:rFonts w:ascii="Times New Roman" w:eastAsia="SimSun" w:hAnsi="Times New Roman" w:cs="Times New Roman"/>
          <w:color w:val="000000"/>
          <w:sz w:val="24"/>
          <w:szCs w:val="24"/>
          <w:lang w:val="en-GB" w:eastAsia="en-GB"/>
        </w:rPr>
        <w:t xml:space="preserve"> is the change in accounts receivable of firm </w:t>
      </w:r>
      <w:proofErr w:type="spellStart"/>
      <w:r w:rsidRPr="00E915AA">
        <w:rPr>
          <w:rFonts w:ascii="Times New Roman" w:eastAsia="SimSun" w:hAnsi="Times New Roman" w:cs="Times New Roman"/>
          <w:color w:val="000000"/>
          <w:sz w:val="24"/>
          <w:szCs w:val="24"/>
          <w:lang w:val="en-GB" w:eastAsia="en-GB"/>
        </w:rPr>
        <w:t>i</w:t>
      </w:r>
      <w:proofErr w:type="spellEnd"/>
      <w:r w:rsidRPr="00E915AA">
        <w:rPr>
          <w:rFonts w:ascii="Times New Roman" w:eastAsia="SimSun" w:hAnsi="Times New Roman" w:cs="Times New Roman"/>
          <w:color w:val="000000"/>
          <w:sz w:val="24"/>
          <w:szCs w:val="24"/>
          <w:lang w:val="en-GB" w:eastAsia="en-GB"/>
        </w:rPr>
        <w:t xml:space="preserve"> from year t-2 to year t-1. </w:t>
      </w:r>
      <w:r w:rsidRPr="00E915AA">
        <w:rPr>
          <w:rFonts w:ascii="Times New Roman" w:eastAsia="SimSun" w:hAnsi="Times New Roman" w:cs="Times New Roman"/>
          <w:color w:val="000000"/>
          <w:sz w:val="24"/>
          <w:szCs w:val="24"/>
          <w:lang w:val="en-GB" w:eastAsia="en-GB"/>
        </w:rPr>
        <w:fldChar w:fldCharType="begin" w:fldLock="1"/>
      </w:r>
      <w:r w:rsidRPr="00E915AA">
        <w:rPr>
          <w:rFonts w:ascii="Times New Roman" w:eastAsia="SimSun" w:hAnsi="Times New Roman" w:cs="Times New Roman"/>
          <w:color w:val="000000"/>
          <w:sz w:val="24"/>
          <w:szCs w:val="24"/>
          <w:lang w:val="en-GB" w:eastAsia="en-GB"/>
        </w:rPr>
        <w:instrText>ADDIN CSL_CITATION {"citationItems":[{"id":"ITEM-1","itemData":{"ISBN":"00014826","ISSN":"0001-4826","PMID":"9505096112","abstract":"This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Management","type":"article-journal","volume":"70"},"uris":["http://www.mendeley.com/documents/?uuid=f06118b9-deab-4721-af07-ad5c836b81d0"]}],"mendeley":{"formattedCitation":"(Patricia M. Dechow et al., 1995)","manualFormatting":" Dechow et al (1995)","plainTextFormattedCitation":"(Patricia M. Dechow et al., 1995)","previouslyFormattedCitation":"(Patricia M. Dechow et al., 1995)"},"properties":{"noteIndex":0},"schema":"https://github.com/citation-style-language/schema/raw/master/csl-citation.json"}</w:instrText>
      </w:r>
      <w:r w:rsidRPr="00E915AA">
        <w:rPr>
          <w:rFonts w:ascii="Times New Roman" w:eastAsia="SimSun" w:hAnsi="Times New Roman" w:cs="Times New Roman"/>
          <w:color w:val="000000"/>
          <w:sz w:val="24"/>
          <w:szCs w:val="24"/>
          <w:lang w:val="en-GB" w:eastAsia="en-GB"/>
        </w:rPr>
        <w:fldChar w:fldCharType="separate"/>
      </w:r>
      <w:r w:rsidRPr="00E915AA">
        <w:rPr>
          <w:rFonts w:ascii="Times New Roman" w:eastAsia="SimSun" w:hAnsi="Times New Roman" w:cs="Times New Roman"/>
          <w:noProof/>
          <w:color w:val="000000"/>
          <w:sz w:val="24"/>
          <w:szCs w:val="24"/>
          <w:lang w:val="en-GB" w:eastAsia="en-GB"/>
        </w:rPr>
        <w:t xml:space="preserve"> Dechow et al (1995)</w:t>
      </w:r>
      <w:r w:rsidRPr="00E915AA">
        <w:rPr>
          <w:rFonts w:ascii="Times New Roman" w:eastAsia="SimSun" w:hAnsi="Times New Roman" w:cs="Times New Roman"/>
          <w:color w:val="000000"/>
          <w:sz w:val="24"/>
          <w:szCs w:val="24"/>
          <w:lang w:val="en-GB" w:eastAsia="en-GB"/>
        </w:rPr>
        <w:fldChar w:fldCharType="end"/>
      </w:r>
      <w:r w:rsidRPr="00E915AA">
        <w:rPr>
          <w:rFonts w:ascii="Times New Roman" w:eastAsia="SimSun" w:hAnsi="Times New Roman" w:cs="Times New Roman"/>
          <w:color w:val="000000"/>
          <w:sz w:val="24"/>
          <w:szCs w:val="24"/>
          <w:lang w:val="en-GB" w:eastAsia="en-GB"/>
        </w:rPr>
        <w:t xml:space="preserve"> argue that managers might easily exercise their discretion to manage earnings over their choices of credit sales policies. Therefore, </w:t>
      </w:r>
      <w:proofErr w:type="gramStart"/>
      <w:r w:rsidRPr="00E915AA">
        <w:rPr>
          <w:rFonts w:ascii="Times New Roman" w:eastAsia="SimSun" w:hAnsi="Times New Roman" w:cs="Times New Roman"/>
          <w:color w:val="000000"/>
          <w:sz w:val="24"/>
          <w:szCs w:val="24"/>
          <w:lang w:val="en-GB" w:eastAsia="en-GB"/>
        </w:rPr>
        <w:t>in order to</w:t>
      </w:r>
      <w:proofErr w:type="gramEnd"/>
      <w:r w:rsidRPr="00E915AA">
        <w:rPr>
          <w:rFonts w:ascii="Times New Roman" w:eastAsia="SimSun" w:hAnsi="Times New Roman" w:cs="Times New Roman"/>
          <w:color w:val="000000"/>
          <w:sz w:val="24"/>
          <w:szCs w:val="24"/>
          <w:lang w:val="en-GB" w:eastAsia="en-GB"/>
        </w:rPr>
        <w:t xml:space="preserve"> avoid bias in the Jones model, the change in accounts receivable should be deducted from the change in sales in order to filter out any changes in sales which result from earnings management. </w:t>
      </w:r>
    </w:p>
    <w:p w14:paraId="26670B53" w14:textId="77777777" w:rsidR="00D955E0" w:rsidRPr="00E915AA" w:rsidRDefault="00D955E0" w:rsidP="00D955E0">
      <w:pPr>
        <w:spacing w:before="240" w:after="240" w:line="360" w:lineRule="auto"/>
        <w:jc w:val="both"/>
        <w:rPr>
          <w:rFonts w:ascii="Times New Roman" w:eastAsia="SimSun" w:hAnsi="Times New Roman" w:cs="Times New Roman"/>
          <w:color w:val="000000"/>
          <w:sz w:val="24"/>
          <w:szCs w:val="24"/>
          <w:lang w:val="en-GB" w:eastAsia="en-GB"/>
        </w:rPr>
      </w:pPr>
      <w:r w:rsidRPr="00E915AA">
        <w:rPr>
          <w:rFonts w:ascii="Times New Roman" w:eastAsia="SimSun" w:hAnsi="Times New Roman" w:cs="Times New Roman"/>
          <w:color w:val="000000"/>
          <w:sz w:val="24"/>
          <w:szCs w:val="24"/>
          <w:lang w:val="en-GB" w:eastAsia="en-GB"/>
        </w:rPr>
        <w:t>The discretionary accruals (</w:t>
      </w:r>
      <m:oMath>
        <m:sSub>
          <m:sSubPr>
            <m:ctrlPr>
              <w:rPr>
                <w:rFonts w:ascii="Cambria Math" w:eastAsia="SimSun" w:hAnsi="Cambria Math" w:cs="Times New Roman"/>
                <w:i/>
                <w:color w:val="000000"/>
                <w:sz w:val="24"/>
                <w:szCs w:val="24"/>
                <w:lang w:val="en-GB" w:eastAsia="en-GB"/>
              </w:rPr>
            </m:ctrlPr>
          </m:sSubPr>
          <m:e>
            <m:r>
              <w:rPr>
                <w:rFonts w:ascii="Cambria Math" w:eastAsia="SimSun" w:hAnsi="Cambria Math" w:cs="Times New Roman"/>
                <w:color w:val="000000"/>
                <w:sz w:val="24"/>
                <w:szCs w:val="24"/>
                <w:lang w:val="en-GB" w:eastAsia="en-GB"/>
              </w:rPr>
              <m:t>DACC</m:t>
            </m:r>
          </m:e>
          <m:sub>
            <m:r>
              <w:rPr>
                <w:rFonts w:ascii="Cambria Math" w:eastAsia="SimSun" w:hAnsi="Cambria Math" w:cs="Times New Roman"/>
                <w:color w:val="000000"/>
                <w:sz w:val="24"/>
                <w:szCs w:val="24"/>
                <w:lang w:val="en-GB" w:eastAsia="en-GB"/>
              </w:rPr>
              <m:t xml:space="preserve">i,t </m:t>
            </m:r>
          </m:sub>
        </m:sSub>
        <m:r>
          <w:rPr>
            <w:rFonts w:ascii="Cambria Math" w:eastAsia="SimSun" w:hAnsi="Cambria Math" w:cs="Times New Roman"/>
            <w:color w:val="000000"/>
            <w:sz w:val="24"/>
            <w:szCs w:val="24"/>
            <w:lang w:val="en-GB" w:eastAsia="en-GB"/>
          </w:rPr>
          <m:t>)</m:t>
        </m:r>
      </m:oMath>
      <w:r w:rsidRPr="00E915AA">
        <w:rPr>
          <w:rFonts w:ascii="Times New Roman" w:eastAsia="SimSun" w:hAnsi="Times New Roman" w:cs="Times New Roman"/>
          <w:color w:val="000000"/>
          <w:sz w:val="24"/>
          <w:szCs w:val="24"/>
          <w:lang w:val="en-GB" w:eastAsia="en-GB"/>
        </w:rPr>
        <w:t xml:space="preserve"> of firm i in year t-1 are then calculated as per Equation 5:</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D955E0" w:rsidRPr="00E915AA" w14:paraId="48D6BBF7" w14:textId="77777777" w:rsidTr="001520C5">
        <w:trPr>
          <w:trHeight w:val="684"/>
        </w:trPr>
        <w:tc>
          <w:tcPr>
            <w:tcW w:w="7366" w:type="dxa"/>
            <w:vAlign w:val="center"/>
          </w:tcPr>
          <w:p w14:paraId="5A2A3609" w14:textId="77777777" w:rsidR="00D955E0" w:rsidRPr="00E915AA" w:rsidRDefault="00E915AA" w:rsidP="001520C5">
            <w:pPr>
              <w:spacing w:before="240" w:after="240" w:line="360" w:lineRule="auto"/>
              <w:jc w:val="center"/>
              <w:rPr>
                <w:rFonts w:ascii="Times New Roman" w:eastAsia="Calibri" w:hAnsi="Times New Roman" w:cs="Times New Roman"/>
                <w:bCs/>
                <w:iCs/>
                <w:sz w:val="24"/>
                <w:szCs w:val="24"/>
                <w:lang w:eastAsia="en-GB"/>
              </w:rPr>
            </w:pPr>
            <m:oMathPara>
              <m:oMath>
                <m:sSub>
                  <m:sSubPr>
                    <m:ctrlPr>
                      <w:rPr>
                        <w:rFonts w:ascii="Cambria Math" w:eastAsia="Calibri" w:hAnsi="Cambria Math" w:cs="Times New Roman"/>
                        <w:bCs/>
                        <w:i/>
                        <w:iCs/>
                        <w:sz w:val="24"/>
                        <w:szCs w:val="24"/>
                        <w:lang w:eastAsia="en-GB"/>
                      </w:rPr>
                    </m:ctrlPr>
                  </m:sSubPr>
                  <m:e>
                    <m:r>
                      <m:rPr>
                        <m:nor/>
                      </m:rPr>
                      <w:rPr>
                        <w:rFonts w:ascii="Times New Roman" w:eastAsia="Calibri" w:hAnsi="Times New Roman" w:cs="Times New Roman"/>
                        <w:bCs/>
                        <w:iCs/>
                        <w:sz w:val="24"/>
                        <w:szCs w:val="24"/>
                        <w:lang w:eastAsia="en-GB"/>
                      </w:rPr>
                      <m:t>DACC</m:t>
                    </m:r>
                  </m:e>
                  <m:sub>
                    <m:r>
                      <m:rPr>
                        <m:nor/>
                      </m:rPr>
                      <w:rPr>
                        <w:rFonts w:ascii="Times New Roman" w:eastAsia="Calibri" w:hAnsi="Times New Roman" w:cs="Times New Roman"/>
                        <w:bCs/>
                        <w:iCs/>
                        <w:sz w:val="24"/>
                        <w:szCs w:val="24"/>
                        <w:lang w:eastAsia="en-GB"/>
                      </w:rPr>
                      <m:t>i,t-1</m:t>
                    </m:r>
                  </m:sub>
                </m:sSub>
                <m:r>
                  <m:rPr>
                    <m:nor/>
                  </m:rPr>
                  <w:rPr>
                    <w:rFonts w:ascii="Cambria Math" w:eastAsia="Calibri" w:hAnsi="Times New Roman" w:cs="Times New Roman"/>
                    <w:bCs/>
                    <w:iCs/>
                    <w:sz w:val="24"/>
                    <w:szCs w:val="24"/>
                    <w:lang w:eastAsia="en-GB"/>
                  </w:rPr>
                  <m:t xml:space="preserve"> </m:t>
                </m:r>
                <m:r>
                  <m:rPr>
                    <m:nor/>
                  </m:rPr>
                  <w:rPr>
                    <w:rFonts w:ascii="Times New Roman" w:eastAsia="Calibri" w:hAnsi="Times New Roman" w:cs="Times New Roman"/>
                    <w:bCs/>
                    <w:iCs/>
                    <w:sz w:val="24"/>
                    <w:szCs w:val="24"/>
                    <w:lang w:eastAsia="en-GB"/>
                  </w:rPr>
                  <m:t>=</m:t>
                </m:r>
                <m:r>
                  <m:rPr>
                    <m:nor/>
                  </m:rPr>
                  <w:rPr>
                    <w:rFonts w:ascii="Cambria Math" w:eastAsia="Calibri" w:hAnsi="Times New Roman" w:cs="Times New Roman"/>
                    <w:bCs/>
                    <w:iCs/>
                    <w:sz w:val="24"/>
                    <w:szCs w:val="24"/>
                    <w:lang w:eastAsia="en-GB"/>
                  </w:rPr>
                  <m:t xml:space="preserve"> </m:t>
                </m:r>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Times New Roman" w:eastAsia="Calibri" w:hAnsi="Times New Roman" w:cs="Times New Roman"/>
                            <w:bCs/>
                            <w:iCs/>
                            <w:sz w:val="24"/>
                            <w:szCs w:val="24"/>
                            <w:lang w:eastAsia="en-GB"/>
                          </w:rPr>
                          <m:t>TACC</m:t>
                        </m:r>
                      </m:e>
                      <m:sub>
                        <m:r>
                          <m:rPr>
                            <m:nor/>
                          </m:rPr>
                          <w:rPr>
                            <w:rFonts w:ascii="Times New Roman" w:eastAsia="Calibri" w:hAnsi="Times New Roman"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Times New Roman" w:eastAsia="Calibri" w:hAnsi="Times New Roman" w:cs="Times New Roman"/>
                            <w:bCs/>
                            <w:iCs/>
                            <w:sz w:val="24"/>
                            <w:szCs w:val="24"/>
                            <w:lang w:eastAsia="en-GB"/>
                          </w:rPr>
                          <m:t>TA</m:t>
                        </m:r>
                      </m:e>
                      <m:sub>
                        <m:r>
                          <m:rPr>
                            <m:nor/>
                          </m:rPr>
                          <w:rPr>
                            <w:rFonts w:ascii="Times New Roman" w:eastAsia="Calibri" w:hAnsi="Times New Roman" w:cs="Times New Roman"/>
                            <w:bCs/>
                            <w:iCs/>
                            <w:sz w:val="24"/>
                            <w:szCs w:val="24"/>
                            <w:lang w:eastAsia="en-GB"/>
                          </w:rPr>
                          <m:t>i,t-2</m:t>
                        </m:r>
                      </m:sub>
                    </m:sSub>
                  </m:den>
                </m:f>
                <m:r>
                  <w:rPr>
                    <w:rFonts w:ascii="Cambria Math" w:eastAsia="Calibri" w:hAnsi="Cambria Math" w:cs="Times New Roman"/>
                    <w:sz w:val="24"/>
                    <w:szCs w:val="24"/>
                    <w:lang w:eastAsia="en-GB"/>
                  </w:rPr>
                  <m:t xml:space="preserve"> </m:t>
                </m:r>
                <m:r>
                  <m:rPr>
                    <m:nor/>
                  </m:rPr>
                  <w:rPr>
                    <w:rFonts w:ascii="Times New Roman" w:eastAsia="Calibri" w:hAnsi="Times New Roman" w:cs="Times New Roman"/>
                    <w:bCs/>
                    <w:iCs/>
                    <w:sz w:val="24"/>
                    <w:szCs w:val="24"/>
                    <w:lang w:eastAsia="en-GB"/>
                  </w:rPr>
                  <m:t>-</m:t>
                </m:r>
                <m:r>
                  <m:rPr>
                    <m:nor/>
                  </m:rPr>
                  <w:rPr>
                    <w:rFonts w:ascii="Cambria Math" w:eastAsia="Calibri" w:hAnsi="Times New Roman" w:cs="Times New Roman"/>
                    <w:bCs/>
                    <w:iCs/>
                    <w:sz w:val="24"/>
                    <w:szCs w:val="24"/>
                    <w:lang w:eastAsia="en-GB"/>
                  </w:rPr>
                  <m:t xml:space="preserve"> </m:t>
                </m:r>
                <m:sSub>
                  <m:sSubPr>
                    <m:ctrlPr>
                      <w:rPr>
                        <w:rFonts w:ascii="Cambria Math" w:eastAsia="Calibri" w:hAnsi="Cambria Math" w:cs="Times New Roman"/>
                        <w:bCs/>
                        <w:i/>
                        <w:iCs/>
                        <w:sz w:val="24"/>
                        <w:szCs w:val="24"/>
                        <w:lang w:eastAsia="en-GB"/>
                      </w:rPr>
                    </m:ctrlPr>
                  </m:sSubPr>
                  <m:e>
                    <m:r>
                      <m:rPr>
                        <m:nor/>
                      </m:rPr>
                      <w:rPr>
                        <w:rFonts w:ascii="Times New Roman" w:eastAsia="Calibri" w:hAnsi="Times New Roman" w:cs="Times New Roman"/>
                        <w:bCs/>
                        <w:iCs/>
                        <w:sz w:val="24"/>
                        <w:szCs w:val="24"/>
                        <w:lang w:eastAsia="en-GB"/>
                      </w:rPr>
                      <m:t>NDACC</m:t>
                    </m:r>
                  </m:e>
                  <m:sub>
                    <m:r>
                      <m:rPr>
                        <m:nor/>
                      </m:rPr>
                      <w:rPr>
                        <w:rFonts w:ascii="Times New Roman" w:eastAsia="Calibri" w:hAnsi="Times New Roman" w:cs="Times New Roman"/>
                        <w:bCs/>
                        <w:iCs/>
                        <w:sz w:val="24"/>
                        <w:szCs w:val="24"/>
                        <w:lang w:eastAsia="en-GB"/>
                      </w:rPr>
                      <m:t>i,t-1</m:t>
                    </m:r>
                  </m:sub>
                </m:sSub>
              </m:oMath>
            </m:oMathPara>
          </w:p>
        </w:tc>
        <w:tc>
          <w:tcPr>
            <w:tcW w:w="1650" w:type="dxa"/>
            <w:vAlign w:val="center"/>
          </w:tcPr>
          <w:p w14:paraId="2067CAAB" w14:textId="77777777" w:rsidR="00D955E0" w:rsidRPr="00E915AA" w:rsidRDefault="00D955E0" w:rsidP="001520C5">
            <w:pPr>
              <w:spacing w:before="240" w:after="240" w:line="360" w:lineRule="auto"/>
              <w:jc w:val="center"/>
              <w:rPr>
                <w:rFonts w:ascii="Times New Roman" w:eastAsia="Calibri" w:hAnsi="Times New Roman" w:cs="Times New Roman"/>
                <w:bCs/>
                <w:iCs/>
                <w:sz w:val="24"/>
                <w:szCs w:val="24"/>
                <w:lang w:eastAsia="en-GB"/>
              </w:rPr>
            </w:pPr>
            <w:r w:rsidRPr="00E915AA">
              <w:rPr>
                <w:rFonts w:ascii="Times New Roman" w:eastAsia="Calibri" w:hAnsi="Times New Roman" w:cs="Times New Roman"/>
                <w:bCs/>
                <w:iCs/>
                <w:sz w:val="24"/>
                <w:szCs w:val="24"/>
                <w:lang w:eastAsia="en-GB"/>
              </w:rPr>
              <w:t>(5)</w:t>
            </w:r>
          </w:p>
        </w:tc>
      </w:tr>
    </w:tbl>
    <w:p w14:paraId="70F5D542" w14:textId="0A4DD657" w:rsidR="00D955E0" w:rsidRPr="00E915AA" w:rsidRDefault="00D955E0" w:rsidP="00D955E0">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Prior studies express concern about the misspecification of the modified Jones model due to the correlation between abnormal accruals and firm performance, as identified by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{"citationItems":[{"id":"ITEM-1","itemData":{"ISBN":"00014826","ISSN":"0001-4826","PMID":"9505096112","abstract":"This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Management","type":"article-journal","volume":"70"},"uris":["http://www.mendeley.com/documents/?uuid=5273b88f-a57a-4d8a-93c4-a79af3749863"]}],"mendeley":{"formattedCitation":"(Patricia M. Dechow et al., 1995)","manualFormatting":"Dechow et al. (1995)","plainTextFormattedCitation":"(Patricia M. Dechow et al., 1995)","previouslyFormattedCitation":"(Patricia M. Dechow et al., 1995)"},"properties":{"noteIndex":0},"schema":"https://github.com/citation-style-language/schema/raw/master/csl-citation.json"}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Dechow et al. (1995)</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Therefore, to avoid this issue, we also adjust for the abnormal accruals of performance-matched non-IPO firms by applying </w:t>
      </w:r>
      <w:r w:rsidR="00D3084D" w:rsidRPr="00E915AA">
        <w:rPr>
          <w:rFonts w:ascii="Times New Roman" w:eastAsia="Calibri" w:hAnsi="Times New Roman" w:cs="Times New Roman"/>
          <w:bCs/>
          <w:iCs/>
          <w:sz w:val="24"/>
          <w:szCs w:val="24"/>
          <w:lang w:val="en-GB" w:eastAsia="en-GB"/>
        </w:rPr>
        <w:t xml:space="preserve">the </w:t>
      </w:r>
      <w:r w:rsidRPr="00E915AA">
        <w:rPr>
          <w:rFonts w:ascii="Times New Roman" w:eastAsia="Calibri" w:hAnsi="Times New Roman" w:cs="Times New Roman"/>
          <w:bCs/>
          <w:iCs/>
          <w:sz w:val="24"/>
          <w:szCs w:val="24"/>
          <w:lang w:val="en-GB" w:eastAsia="en-GB"/>
        </w:rPr>
        <w:t xml:space="preserve">procedure developed by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{"citationItems":[{"id":"ITEM-1","itemData":{"ISBN":"0165-4101","ISSN":"01654101","PMID":"213054875","abstract":"We examine the specification and power of tests based on performance-matched discretionary accruals, and make comparisons with tests using traditional discretionary accrual measures (e.g., Jones and modified-Jones models). Performance matching on return on assets controls for the effect of performance on measured discretionary accruals. The results suggest that performance-matched discretionary accrual measures enhance the reliability of inferences from earnings management research when the hypothesis being tested does not imply that earnings management will vary with performance, or where the control firms are not expected to have engaged in earnings management. © 2004 Elsevier B.V. All rights reserved.","author":[{"dropping-particle":"","family":"Kothari","given":"S. P.","non-dropping-particle":"","parse-names":false,"suffix":""},{"dropping-particle":"","family":"Leone","given":"Andrew J.","non-dropping-particle":"","parse-names":false,"suffix":""},{"dropping-particle":"","family":"Wasley","given":"Charles E.","non-dropping-particle":"","parse-names":false,"suffix":""}],"container-title":"Journal of Accounting and Economics","id":"ITEM-1","issue":"1","issued":{"date-parts":[["2005"]]},"page":"163-197","title":"Performance matched discretionary accrual measures","type":"article-journal","volume":"39"},"uris":["http://www.mendeley.com/documents/?uuid=ea0b1ea4-f460-4f25-b321-d53b49fbca32"]}],"mendeley":{"formattedCitation":"(Kothari et al., 2005)","manualFormatting":"Kothari et al. (2005)","plainTextFormattedCitation":"(Kothari et al., 2005)","previouslyFormattedCitation":"(Kothari et al., 2005)"},"properties":{"noteIndex":0},"schema":"https://github.com/citation-style-language/schema/raw/master/csl-citation.json"}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Kothari et al. (2005)</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Specifically, we match the abnormal accruals of the issuers in the sample to those of a non-IPO peer who is in the same two-digit SIC industry and year and has the closest return on assets (ROA). The matched peer’s abnormal accruals </w:t>
      </w:r>
      <w:proofErr w:type="gramStart"/>
      <w:r w:rsidRPr="00E915AA">
        <w:rPr>
          <w:rFonts w:ascii="Times New Roman" w:eastAsia="Calibri" w:hAnsi="Times New Roman" w:cs="Times New Roman"/>
          <w:bCs/>
          <w:iCs/>
          <w:sz w:val="24"/>
          <w:szCs w:val="24"/>
          <w:lang w:val="en-GB" w:eastAsia="en-GB"/>
        </w:rPr>
        <w:t>is</w:t>
      </w:r>
      <w:proofErr w:type="gramEnd"/>
      <w:r w:rsidRPr="00E915AA">
        <w:rPr>
          <w:rFonts w:ascii="Times New Roman" w:eastAsia="Calibri" w:hAnsi="Times New Roman" w:cs="Times New Roman"/>
          <w:bCs/>
          <w:iCs/>
          <w:sz w:val="24"/>
          <w:szCs w:val="24"/>
          <w:lang w:val="en-GB" w:eastAsia="en-GB"/>
        </w:rPr>
        <w:t xml:space="preserve"> then deducted from the issuer’s abnormal accruals to obtain the performance-matched abnormal accruals for the issuer (denoted DACC in the analyses that follow).</w:t>
      </w:r>
    </w:p>
    <w:p w14:paraId="22033FB6" w14:textId="77777777" w:rsidR="00D955E0" w:rsidRPr="00E915AA" w:rsidRDefault="00D955E0" w:rsidP="00D955E0">
      <w:pPr>
        <w:spacing w:before="240" w:after="240" w:line="360" w:lineRule="auto"/>
        <w:rPr>
          <w:rFonts w:ascii="Times New Roman" w:eastAsia="Calibri" w:hAnsi="Times New Roman" w:cs="Times New Roman"/>
          <w:bCs/>
          <w:i/>
          <w:sz w:val="24"/>
          <w:szCs w:val="24"/>
          <w:lang w:val="en-GB" w:eastAsia="en-GB"/>
        </w:rPr>
      </w:pPr>
      <w:r w:rsidRPr="00E915AA">
        <w:rPr>
          <w:rFonts w:ascii="Times New Roman" w:eastAsia="Calibri" w:hAnsi="Times New Roman" w:cs="Times New Roman"/>
          <w:bCs/>
          <w:i/>
          <w:sz w:val="24"/>
          <w:szCs w:val="24"/>
          <w:lang w:val="en-GB" w:eastAsia="en-GB"/>
        </w:rPr>
        <w:t>Real earnings management</w:t>
      </w:r>
    </w:p>
    <w:p w14:paraId="71AFF0F9" w14:textId="77777777" w:rsidR="00D955E0" w:rsidRPr="00E915AA" w:rsidRDefault="00D955E0" w:rsidP="00D955E0">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We use two proxies of REM, which are abnormal cash flow from operation and abnormal discretionary expense using the specification of the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{"citationItems":[{"id":"ITEM-1","itemData":{"abstract":"A model of earnings, cash flows and accruals is developed assuming a random walk sales process, variable and fixed costs, and that the only accruals are accounts receivable and payable, and inventory. The model implies earnings better predict future operating cash flows than current operating cash flows and the difference varies with the operating cash cycle. Also, the model is used to predict serial and cross-correlations of each firm’s series. The implications and predictions are tested on a 1337 firm sample over 1963—1992. Both earnings and cash flow forecast implications and correlation predictions are generally consistent with the data.","author":[{"dropping-particle":"","family":"Dechow","given":"P. M.","non-dropping-particle":"","parse-names":false,"suffix":""},{"dropping-particle":"","family":"Kothari","given":"S. P.","non-dropping-particle":"","parse-names":false,"suffix":""},{"dropping-particle":"","family":"Watts","given":"R. L.","non-dropping-particle":"","parse-names":false,"suffix":""}],"container-title":"Journal of Accounting and Economics","id":"ITEM-1","issued":{"date-parts":[["1998"]]},"page":"133-168","title":"The relation between earnings and cash flows","type":"article-journal","volume":"25"},"uris":["http://www.mendeley.com/documents/?uuid=978c82fd-0e49-4f23-8b6d-b5d606b99caf"]}],"mendeley":{"formattedCitation":"(P. M. Dechow et al., 1998)","manualFormatting":"Dechow et al. (1998)","plainTextFormattedCitation":"(P. M. Dechow et al., 1998)","previouslyFormattedCitation":"(P. M. Dechow et al., 1998)"},"properties":{"noteIndex":0},"schema":"https://github.com/citation-style-language/schema/raw/master/csl-citation.json"}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Dechow et al. (1998)</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model, as developed by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{"citationItems":[{"id":"ITEM-1","itemData":{"ISBN":"0165-4101","ISSN":"01654101","abstract":"I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reserved.","author":[{"dropping-particle":"","family":"Roychowdhury","given":"S.","non-dropping-particle":"","parse-names":false,"suffix":""}],"container-title":"Journal of Accounting and Economics","id":"ITEM-1","issue":"3","issued":{"date-parts":[["2006"]]},"page":"335-370","title":"Earnings management through real activities manipulation","type":"article-journal","volume":"42"},"uris":["http://www.mendeley.com/documents/?uuid=4ab7e38d-7b68-44ca-a2d2-d046c565fdbd"]}],"mendeley":{"formattedCitation":"(Roychowdhury, 2006)","manualFormatting":"Roychowdhury (2006)","plainTextFormattedCitation":"(Roychowdhury, 2006)","previouslyFormattedCitation":"(Roychowdhury, 2006)"},"properties":{"noteIndex":0},"schema":"https://github.com/citation-style-language/schema/raw/master/csl-citation.json"}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Roychowdhury (2006)</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w:t>
      </w:r>
    </w:p>
    <w:p w14:paraId="05BC61B8" w14:textId="043F0E44" w:rsidR="00D955E0" w:rsidRPr="00E915AA" w:rsidRDefault="00D955E0" w:rsidP="00D955E0">
      <w:pPr>
        <w:spacing w:before="240" w:after="240" w:line="360" w:lineRule="auto"/>
        <w:jc w:val="both"/>
        <w:rPr>
          <w:rFonts w:ascii="Times New Roman" w:eastAsia="Calibri" w:hAnsi="Times New Roman" w:cs="Times New Roman"/>
          <w:bCs/>
          <w:iCs/>
          <w:sz w:val="24"/>
          <w:szCs w:val="24"/>
          <w:lang w:val="en-GB" w:eastAsia="en-GB"/>
        </w:rPr>
      </w:pPr>
      <w:r w:rsidRPr="00E915AA">
        <w:rPr>
          <w:rFonts w:ascii="Times New Roman" w:eastAsia="Calibri" w:hAnsi="Times New Roman" w:cs="Times New Roman"/>
          <w:bCs/>
          <w:iCs/>
          <w:sz w:val="24"/>
          <w:szCs w:val="24"/>
          <w:lang w:val="en-GB" w:eastAsia="en-GB"/>
        </w:rPr>
        <w:t xml:space="preserve">Normal cash flow from operations and discretionary expenses are estimated for all firms on </w:t>
      </w:r>
      <w:proofErr w:type="spellStart"/>
      <w:r w:rsidRPr="00E915AA">
        <w:rPr>
          <w:rFonts w:ascii="Times New Roman" w:eastAsia="Calibri" w:hAnsi="Times New Roman" w:cs="Times New Roman"/>
          <w:bCs/>
          <w:iCs/>
          <w:sz w:val="24"/>
          <w:szCs w:val="24"/>
          <w:lang w:val="en-GB" w:eastAsia="en-GB"/>
        </w:rPr>
        <w:t>Compustat</w:t>
      </w:r>
      <w:proofErr w:type="spellEnd"/>
      <w:r w:rsidRPr="00E915AA">
        <w:rPr>
          <w:rFonts w:ascii="Times New Roman" w:eastAsia="Calibri" w:hAnsi="Times New Roman" w:cs="Times New Roman"/>
          <w:bCs/>
          <w:iCs/>
          <w:sz w:val="24"/>
          <w:szCs w:val="24"/>
          <w:lang w:val="en-GB" w:eastAsia="en-GB"/>
        </w:rPr>
        <w:t xml:space="preserve"> in the same filing year and two-digit SIC code industry, using linear models, as shown in Equations 6 and 7, respectively. We also employ the cross-sectional approach to estimate these models with the restriction that there must be least ten observations in each industry-year group. All variables are </w:t>
      </w:r>
      <w:proofErr w:type="spellStart"/>
      <w:r w:rsidRPr="00E915AA">
        <w:rPr>
          <w:rFonts w:ascii="Times New Roman" w:eastAsia="Calibri" w:hAnsi="Times New Roman" w:cs="Times New Roman"/>
          <w:bCs/>
          <w:iCs/>
          <w:sz w:val="24"/>
          <w:szCs w:val="24"/>
          <w:lang w:val="en-GB" w:eastAsia="en-GB"/>
        </w:rPr>
        <w:t>winsori</w:t>
      </w:r>
      <w:r w:rsidR="00D3084D" w:rsidRPr="00E915AA">
        <w:rPr>
          <w:rFonts w:ascii="Times New Roman" w:eastAsia="Calibri" w:hAnsi="Times New Roman" w:cs="Times New Roman"/>
          <w:bCs/>
          <w:iCs/>
          <w:sz w:val="24"/>
          <w:szCs w:val="24"/>
          <w:lang w:val="en-GB" w:eastAsia="en-GB"/>
        </w:rPr>
        <w:t>z</w:t>
      </w:r>
      <w:r w:rsidRPr="00E915AA">
        <w:rPr>
          <w:rFonts w:ascii="Times New Roman" w:eastAsia="Calibri" w:hAnsi="Times New Roman" w:cs="Times New Roman"/>
          <w:bCs/>
          <w:iCs/>
          <w:sz w:val="24"/>
          <w:szCs w:val="24"/>
          <w:lang w:val="en-GB" w:eastAsia="en-GB"/>
        </w:rPr>
        <w:t>ed</w:t>
      </w:r>
      <w:proofErr w:type="spellEnd"/>
      <w:r w:rsidRPr="00E915AA">
        <w:rPr>
          <w:rFonts w:ascii="Times New Roman" w:eastAsia="Calibri" w:hAnsi="Times New Roman" w:cs="Times New Roman"/>
          <w:bCs/>
          <w:iCs/>
          <w:sz w:val="24"/>
          <w:szCs w:val="24"/>
          <w:lang w:val="en-GB" w:eastAsia="en-GB"/>
        </w:rPr>
        <w:t xml:space="preserve"> at the 1</w:t>
      </w:r>
      <w:r w:rsidRPr="00E915AA">
        <w:rPr>
          <w:rFonts w:ascii="Times New Roman" w:eastAsia="Calibri" w:hAnsi="Times New Roman" w:cs="Times New Roman"/>
          <w:bCs/>
          <w:iCs/>
          <w:sz w:val="24"/>
          <w:szCs w:val="24"/>
          <w:vertAlign w:val="superscript"/>
          <w:lang w:val="en-GB" w:eastAsia="en-GB"/>
        </w:rPr>
        <w:t>st</w:t>
      </w:r>
      <w:r w:rsidRPr="00E915AA">
        <w:rPr>
          <w:rFonts w:ascii="Times New Roman" w:eastAsia="Calibri" w:hAnsi="Times New Roman" w:cs="Times New Roman"/>
          <w:bCs/>
          <w:iCs/>
          <w:sz w:val="24"/>
          <w:szCs w:val="24"/>
          <w:lang w:val="en-GB" w:eastAsia="en-GB"/>
        </w:rPr>
        <w:t xml:space="preserve"> and 99</w:t>
      </w:r>
      <w:r w:rsidRPr="00E915AA">
        <w:rPr>
          <w:rFonts w:ascii="Times New Roman" w:eastAsia="Calibri" w:hAnsi="Times New Roman" w:cs="Times New Roman"/>
          <w:bCs/>
          <w:iCs/>
          <w:sz w:val="24"/>
          <w:szCs w:val="24"/>
          <w:vertAlign w:val="superscript"/>
          <w:lang w:val="en-GB" w:eastAsia="en-GB"/>
        </w:rPr>
        <w:t>th</w:t>
      </w:r>
      <w:r w:rsidRPr="00E915AA">
        <w:rPr>
          <w:rFonts w:ascii="Times New Roman" w:eastAsia="Calibri" w:hAnsi="Times New Roman" w:cs="Times New Roman"/>
          <w:bCs/>
          <w:iCs/>
          <w:sz w:val="24"/>
          <w:szCs w:val="24"/>
          <w:lang w:val="en-GB" w:eastAsia="en-GB"/>
        </w:rPr>
        <w:t xml:space="preserve"> percentiles </w:t>
      </w:r>
      <w:r w:rsidRPr="00E915AA">
        <w:rPr>
          <w:rFonts w:ascii="Times New Roman" w:eastAsia="SimSun" w:hAnsi="Times New Roman" w:cs="Times New Roman"/>
          <w:color w:val="000000"/>
          <w:sz w:val="24"/>
          <w:szCs w:val="24"/>
          <w:lang w:val="en-GB" w:eastAsia="en-GB"/>
        </w:rPr>
        <w:t>to mitigate the effects of outliers</w:t>
      </w:r>
      <w:r w:rsidRPr="00E915AA">
        <w:rPr>
          <w:rFonts w:ascii="Times New Roman" w:eastAsia="Calibri" w:hAnsi="Times New Roman" w:cs="Times New Roman"/>
          <w:bCs/>
          <w:iCs/>
          <w:sz w:val="24"/>
          <w:szCs w:val="24"/>
          <w:lang w:val="en-GB" w:eastAsia="en-GB"/>
        </w:rPr>
        <w:t xml:space="preserve">. </w:t>
      </w:r>
    </w:p>
    <w:tbl>
      <w:tblPr>
        <w:tblStyle w:val="TableGrid2"/>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34"/>
      </w:tblGrid>
      <w:tr w:rsidR="00D955E0" w:rsidRPr="00E915AA" w14:paraId="391A36F1" w14:textId="77777777" w:rsidTr="001520C5">
        <w:trPr>
          <w:trHeight w:val="1074"/>
          <w:jc w:val="center"/>
        </w:trPr>
        <w:tc>
          <w:tcPr>
            <w:tcW w:w="7513" w:type="dxa"/>
            <w:vAlign w:val="center"/>
          </w:tcPr>
          <w:p w14:paraId="26FD7AA1" w14:textId="77777777" w:rsidR="00D955E0" w:rsidRPr="00E915AA" w:rsidRDefault="00E915AA" w:rsidP="001520C5">
            <w:pPr>
              <w:spacing w:before="240" w:after="240" w:line="360" w:lineRule="auto"/>
              <w:jc w:val="center"/>
              <w:rPr>
                <w:rFonts w:ascii="Times New Roman" w:eastAsia="Calibri" w:hAnsi="Times New Roman" w:cs="Times New Roman"/>
                <w:bCs/>
                <w:iCs/>
                <w:sz w:val="24"/>
                <w:szCs w:val="24"/>
                <w:lang w:eastAsia="en-GB"/>
              </w:rPr>
            </w:pPr>
            <m:oMathPara>
              <m:oMath>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CFO</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m:t>
                </m:r>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 xml:space="preserve"> β</m:t>
                    </m:r>
                  </m:e>
                  <m:sub>
                    <m:r>
                      <m:rPr>
                        <m:nor/>
                      </m:rPr>
                      <w:rPr>
                        <w:rFonts w:ascii="Cambria Math" w:eastAsia="Calibri" w:hAnsi="Cambria Math" w:cs="Times New Roman"/>
                        <w:bCs/>
                        <w:iCs/>
                        <w:sz w:val="24"/>
                        <w:szCs w:val="24"/>
                        <w:lang w:eastAsia="en-GB"/>
                      </w:rPr>
                      <m:t>1</m:t>
                    </m:r>
                  </m:sub>
                </m:sSub>
                <m:f>
                  <m:fPr>
                    <m:ctrlPr>
                      <w:rPr>
                        <w:rFonts w:ascii="Cambria Math" w:eastAsia="Calibri" w:hAnsi="Cambria Math" w:cs="Times New Roman"/>
                        <w:bCs/>
                        <w:i/>
                        <w:iCs/>
                        <w:sz w:val="24"/>
                        <w:szCs w:val="24"/>
                        <w:lang w:eastAsia="en-GB"/>
                      </w:rPr>
                    </m:ctrlPr>
                  </m:fPr>
                  <m:num>
                    <m:r>
                      <m:rPr>
                        <m:nor/>
                      </m:rPr>
                      <w:rPr>
                        <w:rFonts w:ascii="Cambria Math" w:eastAsia="Calibri" w:hAnsi="Cambria Math" w:cs="Times New Roman"/>
                        <w:bCs/>
                        <w:iCs/>
                        <w:sz w:val="24"/>
                        <w:szCs w:val="24"/>
                        <w:lang w:eastAsia="en-GB"/>
                      </w:rPr>
                      <m:t>1</m:t>
                    </m:r>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m:t>
                </m:r>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 xml:space="preserve"> β</m:t>
                    </m:r>
                  </m:e>
                  <m:sub>
                    <m:r>
                      <m:rPr>
                        <m:nor/>
                      </m:rPr>
                      <w:rPr>
                        <w:rFonts w:ascii="Cambria Math" w:eastAsia="Calibri" w:hAnsi="Cambria Math" w:cs="Times New Roman"/>
                        <w:bCs/>
                        <w:iCs/>
                        <w:sz w:val="24"/>
                        <w:szCs w:val="24"/>
                        <w:lang w:eastAsia="en-GB"/>
                      </w:rPr>
                      <m:t>2</m:t>
                    </m:r>
                  </m:sub>
                </m:sSub>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m:t>
                </m:r>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 xml:space="preserve"> β</m:t>
                    </m:r>
                  </m:e>
                  <m:sub>
                    <m:r>
                      <m:rPr>
                        <m:nor/>
                      </m:rPr>
                      <w:rPr>
                        <w:rFonts w:ascii="Cambria Math" w:eastAsia="Calibri" w:hAnsi="Cambria Math" w:cs="Times New Roman"/>
                        <w:bCs/>
                        <w:iCs/>
                        <w:sz w:val="24"/>
                        <w:szCs w:val="24"/>
                        <w:lang w:eastAsia="en-GB"/>
                      </w:rPr>
                      <m:t>3</m:t>
                    </m:r>
                  </m:sub>
                </m:sSub>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m:t>
                        </m:r>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Yu Mincho" w:hAnsi="Cambria Math" w:cs="Times New Roman"/>
                    <w:bCs/>
                    <w:iCs/>
                    <w:sz w:val="24"/>
                    <w:szCs w:val="24"/>
                    <w:lang w:eastAsia="en-GB"/>
                  </w:rPr>
                  <m:t xml:space="preserve"> + </m:t>
                </m:r>
                <m:sSub>
                  <m:sSubPr>
                    <m:ctrlPr>
                      <w:rPr>
                        <w:rFonts w:ascii="Cambria Math" w:eastAsia="Yu Mincho" w:hAnsi="Cambria Math" w:cs="Times New Roman"/>
                        <w:bCs/>
                        <w:i/>
                        <w:iCs/>
                        <w:sz w:val="24"/>
                        <w:szCs w:val="24"/>
                        <w:lang w:eastAsia="en-GB"/>
                      </w:rPr>
                    </m:ctrlPr>
                  </m:sSubPr>
                  <m:e>
                    <m:r>
                      <m:rPr>
                        <m:nor/>
                      </m:rPr>
                      <w:rPr>
                        <w:rFonts w:ascii="Cambria Math" w:eastAsia="Yu Mincho" w:hAnsi="Cambria Math" w:cs="Times New Roman"/>
                        <w:bCs/>
                        <w:iCs/>
                        <w:sz w:val="24"/>
                        <w:szCs w:val="24"/>
                        <w:lang w:eastAsia="en-GB"/>
                      </w:rPr>
                      <m:t>ε</m:t>
                    </m:r>
                  </m:e>
                  <m:sub>
                    <m:r>
                      <m:rPr>
                        <m:nor/>
                      </m:rPr>
                      <w:rPr>
                        <w:rFonts w:ascii="Cambria Math" w:eastAsia="Yu Mincho" w:hAnsi="Cambria Math" w:cs="Times New Roman"/>
                        <w:bCs/>
                        <w:iCs/>
                        <w:sz w:val="24"/>
                        <w:szCs w:val="24"/>
                        <w:lang w:eastAsia="en-GB"/>
                      </w:rPr>
                      <m:t>i,t-1</m:t>
                    </m:r>
                  </m:sub>
                </m:sSub>
              </m:oMath>
            </m:oMathPara>
          </w:p>
        </w:tc>
        <w:tc>
          <w:tcPr>
            <w:tcW w:w="1134" w:type="dxa"/>
            <w:vAlign w:val="center"/>
          </w:tcPr>
          <w:p w14:paraId="65564176" w14:textId="77777777" w:rsidR="00D955E0" w:rsidRPr="00E915AA" w:rsidRDefault="00D955E0" w:rsidP="001520C5">
            <w:pPr>
              <w:spacing w:before="240" w:after="240" w:line="360" w:lineRule="auto"/>
              <w:jc w:val="center"/>
              <w:rPr>
                <w:rFonts w:ascii="Times New Roman" w:eastAsia="Calibri" w:hAnsi="Times New Roman" w:cs="Times New Roman"/>
                <w:bCs/>
                <w:iCs/>
                <w:sz w:val="24"/>
                <w:szCs w:val="24"/>
                <w:lang w:eastAsia="en-GB"/>
              </w:rPr>
            </w:pPr>
            <w:r w:rsidRPr="00E915AA">
              <w:rPr>
                <w:rFonts w:ascii="Times New Roman" w:eastAsia="Calibri" w:hAnsi="Times New Roman" w:cs="Times New Roman"/>
                <w:bCs/>
                <w:iCs/>
                <w:sz w:val="24"/>
                <w:szCs w:val="24"/>
                <w:lang w:eastAsia="en-GB"/>
              </w:rPr>
              <w:t>(6)</w:t>
            </w:r>
          </w:p>
        </w:tc>
      </w:tr>
      <w:tr w:rsidR="00D955E0" w:rsidRPr="00E915AA" w14:paraId="67E46EC5" w14:textId="77777777" w:rsidTr="001520C5">
        <w:trPr>
          <w:trHeight w:val="1184"/>
          <w:jc w:val="center"/>
        </w:trPr>
        <w:tc>
          <w:tcPr>
            <w:tcW w:w="7513" w:type="dxa"/>
            <w:vAlign w:val="center"/>
          </w:tcPr>
          <w:p w14:paraId="3DBA84AE" w14:textId="77777777" w:rsidR="00D955E0" w:rsidRPr="00E915AA" w:rsidRDefault="00E915AA" w:rsidP="001520C5">
            <w:pPr>
              <w:spacing w:before="240" w:after="240" w:line="360" w:lineRule="auto"/>
              <w:jc w:val="center"/>
              <w:rPr>
                <w:rFonts w:ascii="Times New Roman" w:eastAsia="Calibri" w:hAnsi="Times New Roman" w:cs="Times New Roman"/>
                <w:bCs/>
                <w:iCs/>
                <w:sz w:val="24"/>
                <w:szCs w:val="24"/>
                <w:lang w:eastAsia="en-GB"/>
              </w:rPr>
            </w:pPr>
            <m:oMathPara>
              <m:oMath>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DISEXP</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 </m:t>
                </m:r>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β</m:t>
                    </m:r>
                  </m:e>
                  <m:sub>
                    <m:r>
                      <m:rPr>
                        <m:nor/>
                      </m:rPr>
                      <w:rPr>
                        <w:rFonts w:ascii="Cambria Math" w:eastAsia="Calibri" w:hAnsi="Cambria Math" w:cs="Times New Roman"/>
                        <w:bCs/>
                        <w:iCs/>
                        <w:sz w:val="24"/>
                        <w:szCs w:val="24"/>
                        <w:lang w:eastAsia="en-GB"/>
                      </w:rPr>
                      <m:t>1</m:t>
                    </m:r>
                  </m:sub>
                </m:sSub>
                <m:f>
                  <m:fPr>
                    <m:ctrlPr>
                      <w:rPr>
                        <w:rFonts w:ascii="Cambria Math" w:eastAsia="Calibri" w:hAnsi="Cambria Math" w:cs="Times New Roman"/>
                        <w:bCs/>
                        <w:i/>
                        <w:iCs/>
                        <w:sz w:val="24"/>
                        <w:szCs w:val="24"/>
                        <w:lang w:eastAsia="en-GB"/>
                      </w:rPr>
                    </m:ctrlPr>
                  </m:fPr>
                  <m:num>
                    <m:r>
                      <m:rPr>
                        <m:nor/>
                      </m:rPr>
                      <w:rPr>
                        <w:rFonts w:ascii="Cambria Math" w:eastAsia="Calibri" w:hAnsi="Cambria Math" w:cs="Times New Roman"/>
                        <w:bCs/>
                        <w:iCs/>
                        <w:sz w:val="24"/>
                        <w:szCs w:val="24"/>
                        <w:lang w:eastAsia="en-GB"/>
                      </w:rPr>
                      <m:t>1</m:t>
                    </m:r>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m:t>
                </m:r>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 xml:space="preserve"> β</m:t>
                    </m:r>
                  </m:e>
                  <m:sub>
                    <m:r>
                      <m:rPr>
                        <m:nor/>
                      </m:rPr>
                      <w:rPr>
                        <w:rFonts w:ascii="Cambria Math" w:eastAsia="Calibri" w:hAnsi="Cambria Math" w:cs="Times New Roman"/>
                        <w:bCs/>
                        <w:iCs/>
                        <w:sz w:val="24"/>
                        <w:szCs w:val="24"/>
                        <w:lang w:eastAsia="en-GB"/>
                      </w:rPr>
                      <m:t>2</m:t>
                    </m:r>
                  </m:sub>
                </m:sSub>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i,t-2</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Yu Mincho" w:hAnsi="Cambria Math" w:cs="Times New Roman"/>
                    <w:bCs/>
                    <w:iCs/>
                    <w:sz w:val="24"/>
                    <w:szCs w:val="24"/>
                    <w:lang w:eastAsia="en-GB"/>
                  </w:rPr>
                  <m:t>+</m:t>
                </m:r>
                <m:sSub>
                  <m:sSubPr>
                    <m:ctrlPr>
                      <w:rPr>
                        <w:rFonts w:ascii="Cambria Math" w:eastAsia="Yu Mincho" w:hAnsi="Cambria Math" w:cs="Times New Roman"/>
                        <w:bCs/>
                        <w:i/>
                        <w:iCs/>
                        <w:sz w:val="24"/>
                        <w:szCs w:val="24"/>
                        <w:lang w:eastAsia="en-GB"/>
                      </w:rPr>
                    </m:ctrlPr>
                  </m:sSubPr>
                  <m:e>
                    <m:r>
                      <m:rPr>
                        <m:nor/>
                      </m:rPr>
                      <w:rPr>
                        <w:rFonts w:ascii="Cambria Math" w:eastAsia="Yu Mincho" w:hAnsi="Cambria Math" w:cs="Times New Roman"/>
                        <w:bCs/>
                        <w:iCs/>
                        <w:sz w:val="24"/>
                        <w:szCs w:val="24"/>
                        <w:lang w:eastAsia="en-GB"/>
                      </w:rPr>
                      <m:t xml:space="preserve"> ε</m:t>
                    </m:r>
                  </m:e>
                  <m:sub>
                    <m:r>
                      <m:rPr>
                        <m:nor/>
                      </m:rPr>
                      <w:rPr>
                        <w:rFonts w:ascii="Cambria Math" w:eastAsia="Yu Mincho" w:hAnsi="Cambria Math" w:cs="Times New Roman"/>
                        <w:bCs/>
                        <w:iCs/>
                        <w:sz w:val="24"/>
                        <w:szCs w:val="24"/>
                        <w:lang w:eastAsia="en-GB"/>
                      </w:rPr>
                      <m:t>i,t-1</m:t>
                    </m:r>
                  </m:sub>
                </m:sSub>
              </m:oMath>
            </m:oMathPara>
          </w:p>
        </w:tc>
        <w:tc>
          <w:tcPr>
            <w:tcW w:w="1134" w:type="dxa"/>
            <w:vAlign w:val="center"/>
          </w:tcPr>
          <w:p w14:paraId="3780EBD7" w14:textId="77777777" w:rsidR="00D955E0" w:rsidRPr="00E915AA" w:rsidRDefault="00D955E0" w:rsidP="001520C5">
            <w:pPr>
              <w:spacing w:before="240" w:after="240" w:line="360" w:lineRule="auto"/>
              <w:jc w:val="center"/>
              <w:rPr>
                <w:rFonts w:ascii="Times New Roman" w:eastAsia="Calibri" w:hAnsi="Times New Roman" w:cs="Times New Roman"/>
                <w:bCs/>
                <w:iCs/>
                <w:sz w:val="24"/>
                <w:szCs w:val="24"/>
                <w:lang w:eastAsia="en-GB"/>
              </w:rPr>
            </w:pPr>
            <w:r w:rsidRPr="00E915AA">
              <w:rPr>
                <w:rFonts w:ascii="Times New Roman" w:eastAsia="Calibri" w:hAnsi="Times New Roman" w:cs="Times New Roman"/>
                <w:bCs/>
                <w:iCs/>
                <w:sz w:val="24"/>
                <w:szCs w:val="24"/>
                <w:lang w:eastAsia="en-GB"/>
              </w:rPr>
              <w:t>(7)</w:t>
            </w:r>
          </w:p>
        </w:tc>
      </w:tr>
    </w:tbl>
    <w:p w14:paraId="417A6956" w14:textId="77777777" w:rsidR="00D955E0" w:rsidRPr="00E915AA" w:rsidRDefault="00E915AA" w:rsidP="00D955E0">
      <w:pPr>
        <w:spacing w:before="240" w:after="240" w:line="360" w:lineRule="auto"/>
        <w:jc w:val="both"/>
        <w:rPr>
          <w:rFonts w:ascii="Times New Roman" w:eastAsia="Yu Mincho" w:hAnsi="Times New Roman" w:cs="Times New Roman"/>
          <w:bCs/>
          <w:iCs/>
          <w:sz w:val="24"/>
          <w:szCs w:val="24"/>
          <w:lang w:val="en-GB" w:eastAsia="en-GB"/>
        </w:rPr>
      </w:pP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CFO</m:t>
            </m:r>
          </m:e>
          <m:sub>
            <m:r>
              <m:rPr>
                <m:nor/>
              </m:rPr>
              <w:rPr>
                <w:rFonts w:ascii="Cambria Math" w:eastAsia="Calibri" w:hAnsi="Cambria Math" w:cs="Times New Roman"/>
                <w:bCs/>
                <w:iCs/>
                <w:sz w:val="24"/>
                <w:szCs w:val="24"/>
                <w:lang w:val="en-GB" w:eastAsia="en-GB"/>
              </w:rPr>
              <m:t>i,t-1</m:t>
            </m:r>
          </m:sub>
        </m:sSub>
      </m:oMath>
      <w:r w:rsidR="00D955E0" w:rsidRPr="00E915AA">
        <w:rPr>
          <w:rFonts w:ascii="Times New Roman" w:eastAsia="Yu Mincho" w:hAnsi="Times New Roman" w:cs="Times New Roman"/>
          <w:bCs/>
          <w:iCs/>
          <w:sz w:val="24"/>
          <w:szCs w:val="24"/>
          <w:lang w:val="en-GB" w:eastAsia="en-GB"/>
        </w:rPr>
        <w:t xml:space="preserve"> is cash flow from operations of firm </w:t>
      </w:r>
      <w:proofErr w:type="spellStart"/>
      <w:r w:rsidR="00D955E0" w:rsidRPr="00E915AA">
        <w:rPr>
          <w:rFonts w:ascii="Times New Roman" w:eastAsia="Yu Mincho" w:hAnsi="Times New Roman" w:cs="Times New Roman"/>
          <w:bCs/>
          <w:iCs/>
          <w:sz w:val="24"/>
          <w:szCs w:val="24"/>
          <w:lang w:val="en-GB" w:eastAsia="en-GB"/>
        </w:rPr>
        <w:t>i</w:t>
      </w:r>
      <w:proofErr w:type="spellEnd"/>
      <w:r w:rsidR="00D955E0" w:rsidRPr="00E915AA">
        <w:rPr>
          <w:rFonts w:ascii="Times New Roman" w:eastAsia="Yu Mincho" w:hAnsi="Times New Roman" w:cs="Times New Roman"/>
          <w:bCs/>
          <w:iCs/>
          <w:sz w:val="24"/>
          <w:szCs w:val="24"/>
          <w:lang w:val="en-GB" w:eastAsia="en-GB"/>
        </w:rPr>
        <w:t xml:space="preserve"> in year t-1</w:t>
      </w:r>
      <m:oMath>
        <m:r>
          <w:rPr>
            <w:rFonts w:ascii="Cambria Math" w:eastAsia="Yu Mincho" w:hAnsi="Cambria Math" w:cs="Times New Roman"/>
            <w:sz w:val="24"/>
            <w:szCs w:val="24"/>
            <w:lang w:val="en-GB" w:eastAsia="en-GB"/>
          </w:rPr>
          <m:t>;</m:t>
        </m:r>
        <m:r>
          <w:rPr>
            <w:rFonts w:ascii="Cambria Math" w:eastAsia="Calibri" w:hAnsi="Cambria Math" w:cs="Times New Roman"/>
            <w:sz w:val="24"/>
            <w:szCs w:val="24"/>
            <w:lang w:val="en-GB" w:eastAsia="en-GB"/>
          </w:rPr>
          <m:t xml:space="preserve"> </m:t>
        </m:r>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DISEXP</m:t>
            </m:r>
          </m:e>
          <m:sub>
            <m:r>
              <m:rPr>
                <m:nor/>
              </m:rPr>
              <w:rPr>
                <w:rFonts w:ascii="Cambria Math" w:eastAsia="Calibri" w:hAnsi="Cambria Math" w:cs="Times New Roman"/>
                <w:bCs/>
                <w:iCs/>
                <w:sz w:val="24"/>
                <w:szCs w:val="24"/>
                <w:lang w:val="en-GB" w:eastAsia="en-GB"/>
              </w:rPr>
              <m:t>i,t-1</m:t>
            </m:r>
          </m:sub>
        </m:sSub>
      </m:oMath>
      <w:r w:rsidR="00D955E0" w:rsidRPr="00E915AA">
        <w:rPr>
          <w:rFonts w:ascii="Times New Roman" w:eastAsia="Yu Mincho" w:hAnsi="Times New Roman" w:cs="Times New Roman"/>
          <w:bCs/>
          <w:iCs/>
          <w:sz w:val="24"/>
          <w:szCs w:val="24"/>
          <w:lang w:val="en-GB" w:eastAsia="en-GB"/>
        </w:rPr>
        <w:t xml:space="preserve">is discretionary expenses, being the sum of selling, general and administrative (SG&amp;A) expense, R&amp;D expense and </w:t>
      </w:r>
      <w:r w:rsidR="00D955E0" w:rsidRPr="00E915AA">
        <w:rPr>
          <w:rFonts w:ascii="Times New Roman" w:eastAsia="Yu Mincho" w:hAnsi="Times New Roman" w:cs="Times New Roman"/>
          <w:bCs/>
          <w:iCs/>
          <w:sz w:val="24"/>
          <w:szCs w:val="24"/>
          <w:lang w:val="en-GB" w:eastAsia="en-GB"/>
        </w:rPr>
        <w:lastRenderedPageBreak/>
        <w:t xml:space="preserve">advertising expense; </w:t>
      </w: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TA</m:t>
            </m:r>
          </m:e>
          <m:sub>
            <m:r>
              <m:rPr>
                <m:nor/>
              </m:rPr>
              <w:rPr>
                <w:rFonts w:ascii="Cambria Math" w:eastAsia="Calibri" w:hAnsi="Cambria Math" w:cs="Times New Roman"/>
                <w:bCs/>
                <w:iCs/>
                <w:sz w:val="24"/>
                <w:szCs w:val="24"/>
                <w:lang w:val="en-GB" w:eastAsia="en-GB"/>
              </w:rPr>
              <m:t>i,t-2</m:t>
            </m:r>
          </m:sub>
        </m:sSub>
      </m:oMath>
      <w:r w:rsidR="00D955E0" w:rsidRPr="00E915AA">
        <w:rPr>
          <w:rFonts w:ascii="Times New Roman" w:eastAsia="Yu Mincho" w:hAnsi="Times New Roman" w:cs="Times New Roman"/>
          <w:bCs/>
          <w:iCs/>
          <w:sz w:val="24"/>
          <w:szCs w:val="24"/>
          <w:lang w:val="en-GB" w:eastAsia="en-GB"/>
        </w:rPr>
        <w:t xml:space="preserve"> is lagged total assets of firm </w:t>
      </w:r>
      <w:proofErr w:type="spellStart"/>
      <w:r w:rsidR="00D955E0" w:rsidRPr="00E915AA">
        <w:rPr>
          <w:rFonts w:ascii="Times New Roman" w:eastAsia="Yu Mincho" w:hAnsi="Times New Roman" w:cs="Times New Roman"/>
          <w:bCs/>
          <w:iCs/>
          <w:sz w:val="24"/>
          <w:szCs w:val="24"/>
          <w:lang w:val="en-GB" w:eastAsia="en-GB"/>
        </w:rPr>
        <w:t>i</w:t>
      </w:r>
      <w:proofErr w:type="spellEnd"/>
      <w:r w:rsidR="00D955E0" w:rsidRPr="00E915AA">
        <w:rPr>
          <w:rFonts w:ascii="Times New Roman" w:eastAsia="Yu Mincho" w:hAnsi="Times New Roman" w:cs="Times New Roman"/>
          <w:bCs/>
          <w:iCs/>
          <w:sz w:val="24"/>
          <w:szCs w:val="24"/>
          <w:lang w:val="en-GB" w:eastAsia="en-GB"/>
        </w:rPr>
        <w:t xml:space="preserve"> in year t-2; </w:t>
      </w: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REV</m:t>
            </m:r>
          </m:e>
          <m:sub>
            <m:r>
              <m:rPr>
                <m:nor/>
              </m:rPr>
              <w:rPr>
                <w:rFonts w:ascii="Cambria Math" w:eastAsia="Calibri" w:hAnsi="Cambria Math" w:cs="Times New Roman"/>
                <w:bCs/>
                <w:iCs/>
                <w:sz w:val="24"/>
                <w:szCs w:val="24"/>
                <w:lang w:val="en-GB" w:eastAsia="en-GB"/>
              </w:rPr>
              <m:t>i,t-1</m:t>
            </m:r>
          </m:sub>
        </m:sSub>
      </m:oMath>
      <w:r w:rsidR="00D955E0" w:rsidRPr="00E915AA">
        <w:rPr>
          <w:rFonts w:ascii="Times New Roman" w:eastAsia="Yu Mincho" w:hAnsi="Times New Roman" w:cs="Times New Roman"/>
          <w:bCs/>
          <w:iCs/>
          <w:sz w:val="24"/>
          <w:szCs w:val="24"/>
          <w:lang w:val="en-GB" w:eastAsia="en-GB"/>
        </w:rPr>
        <w:t xml:space="preserve"> is total sales of firm </w:t>
      </w:r>
      <w:proofErr w:type="spellStart"/>
      <w:r w:rsidR="00D955E0" w:rsidRPr="00E915AA">
        <w:rPr>
          <w:rFonts w:ascii="Times New Roman" w:eastAsia="Yu Mincho" w:hAnsi="Times New Roman" w:cs="Times New Roman"/>
          <w:bCs/>
          <w:iCs/>
          <w:sz w:val="24"/>
          <w:szCs w:val="24"/>
          <w:lang w:val="en-GB" w:eastAsia="en-GB"/>
        </w:rPr>
        <w:t>i</w:t>
      </w:r>
      <w:proofErr w:type="spellEnd"/>
      <w:r w:rsidR="00D955E0" w:rsidRPr="00E915AA">
        <w:rPr>
          <w:rFonts w:ascii="Times New Roman" w:eastAsia="Yu Mincho" w:hAnsi="Times New Roman" w:cs="Times New Roman"/>
          <w:bCs/>
          <w:iCs/>
          <w:sz w:val="24"/>
          <w:szCs w:val="24"/>
          <w:lang w:val="en-GB" w:eastAsia="en-GB"/>
        </w:rPr>
        <w:t xml:space="preserve"> in year t-1; and </w:t>
      </w: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m:t>
            </m:r>
            <m:r>
              <m:rPr>
                <m:nor/>
              </m:rPr>
              <w:rPr>
                <w:rFonts w:ascii="Cambria Math" w:eastAsia="Calibri" w:hAnsi="Cambria Math" w:cs="Times New Roman"/>
                <w:bCs/>
                <w:iCs/>
                <w:sz w:val="24"/>
                <w:szCs w:val="24"/>
                <w:lang w:val="en-GB" w:eastAsia="en-GB"/>
              </w:rPr>
              <m:t>REV</m:t>
            </m:r>
          </m:e>
          <m:sub>
            <m:r>
              <m:rPr>
                <m:nor/>
              </m:rPr>
              <w:rPr>
                <w:rFonts w:ascii="Cambria Math" w:eastAsia="Calibri" w:hAnsi="Cambria Math" w:cs="Times New Roman"/>
                <w:bCs/>
                <w:iCs/>
                <w:sz w:val="24"/>
                <w:szCs w:val="24"/>
                <w:lang w:val="en-GB" w:eastAsia="en-GB"/>
              </w:rPr>
              <m:t>i,t-1</m:t>
            </m:r>
          </m:sub>
        </m:sSub>
      </m:oMath>
      <w:r w:rsidR="00D955E0" w:rsidRPr="00E915AA">
        <w:rPr>
          <w:rFonts w:ascii="Times New Roman" w:eastAsia="Yu Mincho" w:hAnsi="Times New Roman" w:cs="Times New Roman"/>
          <w:bCs/>
          <w:iCs/>
          <w:sz w:val="24"/>
          <w:szCs w:val="24"/>
          <w:lang w:val="en-GB" w:eastAsia="en-GB"/>
        </w:rPr>
        <w:t xml:space="preserve"> is change in total sales of firm </w:t>
      </w:r>
      <w:proofErr w:type="spellStart"/>
      <w:r w:rsidR="00D955E0" w:rsidRPr="00E915AA">
        <w:rPr>
          <w:rFonts w:ascii="Times New Roman" w:eastAsia="Yu Mincho" w:hAnsi="Times New Roman" w:cs="Times New Roman"/>
          <w:bCs/>
          <w:iCs/>
          <w:sz w:val="24"/>
          <w:szCs w:val="24"/>
          <w:lang w:val="en-GB" w:eastAsia="en-GB"/>
        </w:rPr>
        <w:t>i</w:t>
      </w:r>
      <w:proofErr w:type="spellEnd"/>
      <w:r w:rsidR="00D955E0" w:rsidRPr="00E915AA">
        <w:rPr>
          <w:rFonts w:ascii="Times New Roman" w:eastAsia="Yu Mincho" w:hAnsi="Times New Roman" w:cs="Times New Roman"/>
          <w:bCs/>
          <w:iCs/>
          <w:sz w:val="24"/>
          <w:szCs w:val="24"/>
          <w:lang w:val="en-GB" w:eastAsia="en-GB"/>
        </w:rPr>
        <w:t xml:space="preserve"> from year t-2 to year t-1.</w:t>
      </w:r>
      <w:r w:rsidR="00D955E0" w:rsidRPr="00E915AA">
        <w:rPr>
          <w:rFonts w:ascii="Times New Roman" w:eastAsia="Yu Mincho" w:hAnsi="Times New Roman" w:cs="Times New Roman"/>
          <w:bCs/>
          <w:iCs/>
          <w:sz w:val="24"/>
          <w:szCs w:val="24"/>
          <w:vertAlign w:val="superscript"/>
          <w:lang w:val="en-GB" w:eastAsia="en-GB"/>
        </w:rPr>
        <w:footnoteReference w:id="22"/>
      </w:r>
    </w:p>
    <w:p w14:paraId="1027E60E" w14:textId="77777777" w:rsidR="00D955E0" w:rsidRPr="00E915AA" w:rsidRDefault="00D955E0" w:rsidP="00D955E0">
      <w:pPr>
        <w:spacing w:before="240" w:after="240" w:line="360" w:lineRule="auto"/>
        <w:jc w:val="both"/>
        <w:rPr>
          <w:rFonts w:ascii="Times New Roman" w:eastAsia="Yu Mincho" w:hAnsi="Times New Roman" w:cs="Times New Roman"/>
          <w:bCs/>
          <w:iCs/>
          <w:sz w:val="24"/>
          <w:szCs w:val="24"/>
          <w:lang w:val="en-GB" w:eastAsia="en-GB"/>
        </w:rPr>
      </w:pPr>
      <w:r w:rsidRPr="00E915AA">
        <w:rPr>
          <w:rFonts w:ascii="Times New Roman" w:eastAsia="Yu Mincho" w:hAnsi="Times New Roman" w:cs="Times New Roman"/>
          <w:bCs/>
          <w:iCs/>
          <w:sz w:val="24"/>
          <w:szCs w:val="24"/>
          <w:lang w:val="en-GB" w:eastAsia="en-GB"/>
        </w:rPr>
        <w:t xml:space="preserve">The abnormal values of cash flow from operation </w:t>
      </w: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(ACFO</m:t>
            </m:r>
          </m:e>
          <m:sub>
            <m:r>
              <m:rPr>
                <m:nor/>
              </m:rPr>
              <w:rPr>
                <w:rFonts w:ascii="Cambria Math" w:eastAsia="Calibri" w:hAnsi="Cambria Math" w:cs="Times New Roman"/>
                <w:bCs/>
                <w:iCs/>
                <w:sz w:val="24"/>
                <w:szCs w:val="24"/>
                <w:lang w:val="en-GB" w:eastAsia="en-GB"/>
              </w:rPr>
              <m:t>i,t-1</m:t>
            </m:r>
          </m:sub>
        </m:sSub>
        <m:r>
          <w:rPr>
            <w:rFonts w:ascii="Cambria Math" w:eastAsia="Calibri" w:hAnsi="Cambria Math" w:cs="Times New Roman"/>
            <w:sz w:val="24"/>
            <w:szCs w:val="24"/>
            <w:lang w:val="en-GB" w:eastAsia="en-GB"/>
          </w:rPr>
          <m:t>)</m:t>
        </m:r>
      </m:oMath>
      <w:r w:rsidRPr="00E915AA">
        <w:rPr>
          <w:rFonts w:ascii="Times New Roman" w:eastAsia="Yu Mincho" w:hAnsi="Times New Roman" w:cs="Times New Roman"/>
          <w:bCs/>
          <w:iCs/>
          <w:sz w:val="24"/>
          <w:szCs w:val="24"/>
          <w:lang w:val="en-GB" w:eastAsia="en-GB"/>
        </w:rPr>
        <w:t xml:space="preserve"> and discretionary expense </w:t>
      </w:r>
      <m:oMath>
        <m:sSub>
          <m:sSubPr>
            <m:ctrlPr>
              <w:rPr>
                <w:rFonts w:ascii="Cambria Math" w:eastAsia="Calibri" w:hAnsi="Cambria Math" w:cs="Times New Roman"/>
                <w:bCs/>
                <w:i/>
                <w:iCs/>
                <w:sz w:val="24"/>
                <w:szCs w:val="24"/>
                <w:lang w:val="en-GB" w:eastAsia="en-GB"/>
              </w:rPr>
            </m:ctrlPr>
          </m:sSubPr>
          <m:e>
            <m:r>
              <m:rPr>
                <m:nor/>
              </m:rPr>
              <w:rPr>
                <w:rFonts w:ascii="Cambria Math" w:eastAsia="Calibri" w:hAnsi="Cambria Math" w:cs="Times New Roman"/>
                <w:bCs/>
                <w:iCs/>
                <w:sz w:val="24"/>
                <w:szCs w:val="24"/>
                <w:lang w:val="en-GB" w:eastAsia="en-GB"/>
              </w:rPr>
              <m:t>(ADISEXP</m:t>
            </m:r>
          </m:e>
          <m:sub>
            <m:r>
              <m:rPr>
                <m:nor/>
              </m:rPr>
              <w:rPr>
                <w:rFonts w:ascii="Cambria Math" w:eastAsia="Calibri" w:hAnsi="Cambria Math" w:cs="Times New Roman"/>
                <w:bCs/>
                <w:iCs/>
                <w:sz w:val="24"/>
                <w:szCs w:val="24"/>
                <w:lang w:val="en-GB" w:eastAsia="en-GB"/>
              </w:rPr>
              <m:t>i,t-1</m:t>
            </m:r>
          </m:sub>
        </m:sSub>
        <m:r>
          <w:rPr>
            <w:rFonts w:ascii="Cambria Math" w:eastAsia="Calibri" w:hAnsi="Cambria Math" w:cs="Times New Roman"/>
            <w:sz w:val="24"/>
            <w:szCs w:val="24"/>
            <w:lang w:val="en-GB" w:eastAsia="en-GB"/>
          </w:rPr>
          <m:t>)</m:t>
        </m:r>
      </m:oMath>
      <w:r w:rsidRPr="00E915AA">
        <w:rPr>
          <w:rFonts w:ascii="Times New Roman" w:eastAsia="Yu Mincho" w:hAnsi="Times New Roman" w:cs="Times New Roman"/>
          <w:bCs/>
          <w:iCs/>
          <w:sz w:val="24"/>
          <w:szCs w:val="24"/>
          <w:lang w:val="en-GB" w:eastAsia="en-GB"/>
        </w:rPr>
        <w:t xml:space="preserve"> are calculated as the actual values of CFO and DISEXP minus the normal values estimated using the coefficients estimated from Equation 6 and 7, as shown in Equations 8 and 9 below:</w:t>
      </w:r>
    </w:p>
    <w:tbl>
      <w:tblPr>
        <w:tblStyle w:val="TableGrid2"/>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34"/>
      </w:tblGrid>
      <w:tr w:rsidR="00D955E0" w:rsidRPr="00E915AA" w14:paraId="51B0A8C2" w14:textId="77777777" w:rsidTr="001520C5">
        <w:trPr>
          <w:trHeight w:val="1074"/>
          <w:jc w:val="center"/>
        </w:trPr>
        <w:tc>
          <w:tcPr>
            <w:tcW w:w="7513" w:type="dxa"/>
            <w:vAlign w:val="center"/>
          </w:tcPr>
          <w:p w14:paraId="65B16A72" w14:textId="77777777" w:rsidR="00D955E0" w:rsidRPr="00E915AA" w:rsidRDefault="00E915AA" w:rsidP="001520C5">
            <w:pPr>
              <w:spacing w:before="240" w:after="240" w:line="360" w:lineRule="auto"/>
              <w:jc w:val="center"/>
              <w:rPr>
                <w:rFonts w:ascii="Times New Roman" w:eastAsia="Calibri" w:hAnsi="Times New Roman" w:cs="Times New Roman"/>
                <w:bCs/>
                <w:iCs/>
                <w:sz w:val="24"/>
                <w:szCs w:val="24"/>
                <w:lang w:eastAsia="en-GB"/>
              </w:rPr>
            </w:pPr>
            <m:oMathPara>
              <m:oMath>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ACFO</m:t>
                    </m:r>
                  </m:e>
                  <m:sub>
                    <m:r>
                      <m:rPr>
                        <m:nor/>
                      </m:rPr>
                      <w:rPr>
                        <w:rFonts w:ascii="Cambria Math" w:eastAsia="Calibri" w:hAnsi="Cambria Math" w:cs="Times New Roman"/>
                        <w:bCs/>
                        <w:iCs/>
                        <w:sz w:val="24"/>
                        <w:szCs w:val="24"/>
                        <w:lang w:eastAsia="en-GB"/>
                      </w:rPr>
                      <m:t>i,t-1</m:t>
                    </m:r>
                  </m:sub>
                </m:sSub>
                <m:r>
                  <w:rPr>
                    <w:rFonts w:ascii="Cambria Math" w:eastAsia="Calibri" w:hAnsi="Cambria Math" w:cs="Times New Roman"/>
                    <w:sz w:val="24"/>
                    <w:szCs w:val="24"/>
                    <w:lang w:eastAsia="en-GB"/>
                  </w:rPr>
                  <m:t>=</m:t>
                </m:r>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CFO</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 (</m:t>
                </m:r>
                <m:acc>
                  <m:accPr>
                    <m:ctrlPr>
                      <w:rPr>
                        <w:rFonts w:ascii="Cambria Math" w:eastAsia="Calibri" w:hAnsi="Cambria Math" w:cs="Times New Roman"/>
                        <w:bCs/>
                        <w:i/>
                        <w:iCs/>
                        <w:sz w:val="24"/>
                        <w:szCs w:val="24"/>
                        <w:lang w:eastAsia="en-GB"/>
                      </w:rPr>
                    </m:ctrlPr>
                  </m:accPr>
                  <m:e>
                    <m:sSub>
                      <m:sSubPr>
                        <m:ctrlPr>
                          <w:rPr>
                            <w:rFonts w:ascii="Cambria Math" w:eastAsia="Calibri" w:hAnsi="Cambria Math" w:cs="Times New Roman"/>
                            <w:bCs/>
                            <w:i/>
                            <w:iCs/>
                            <w:sz w:val="24"/>
                            <w:szCs w:val="24"/>
                            <w:lang w:eastAsia="en-GB"/>
                          </w:rPr>
                        </m:ctrlPr>
                      </m:sSubPr>
                      <m:e>
                        <m:r>
                          <w:rPr>
                            <w:rFonts w:ascii="Cambria Math" w:eastAsia="Calibri" w:hAnsi="Cambria Math" w:cs="Times New Roman"/>
                            <w:sz w:val="24"/>
                            <w:szCs w:val="24"/>
                            <w:lang w:eastAsia="en-GB"/>
                          </w:rPr>
                          <m:t>β</m:t>
                        </m:r>
                      </m:e>
                      <m:sub>
                        <m:r>
                          <w:rPr>
                            <w:rFonts w:ascii="Cambria Math" w:eastAsia="Calibri" w:hAnsi="Cambria Math" w:cs="Times New Roman"/>
                            <w:sz w:val="24"/>
                            <w:szCs w:val="24"/>
                            <w:lang w:eastAsia="en-GB"/>
                          </w:rPr>
                          <m:t>1</m:t>
                        </m:r>
                      </m:sub>
                    </m:sSub>
                  </m:e>
                </m:acc>
                <m:f>
                  <m:fPr>
                    <m:ctrlPr>
                      <w:rPr>
                        <w:rFonts w:ascii="Cambria Math" w:eastAsia="Calibri" w:hAnsi="Cambria Math" w:cs="Times New Roman"/>
                        <w:bCs/>
                        <w:i/>
                        <w:iCs/>
                        <w:sz w:val="24"/>
                        <w:szCs w:val="24"/>
                        <w:lang w:eastAsia="en-GB"/>
                      </w:rPr>
                    </m:ctrlPr>
                  </m:fPr>
                  <m:num>
                    <m:r>
                      <m:rPr>
                        <m:nor/>
                      </m:rPr>
                      <w:rPr>
                        <w:rFonts w:ascii="Cambria Math" w:eastAsia="Calibri" w:hAnsi="Cambria Math" w:cs="Times New Roman"/>
                        <w:bCs/>
                        <w:iCs/>
                        <w:sz w:val="24"/>
                        <w:szCs w:val="24"/>
                        <w:lang w:eastAsia="en-GB"/>
                      </w:rPr>
                      <m:t>1</m:t>
                    </m:r>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m:t>
                </m:r>
                <m:acc>
                  <m:accPr>
                    <m:ctrlPr>
                      <w:rPr>
                        <w:rFonts w:ascii="Cambria Math" w:eastAsia="Calibri" w:hAnsi="Cambria Math" w:cs="Times New Roman"/>
                        <w:bCs/>
                        <w:i/>
                        <w:iCs/>
                        <w:sz w:val="24"/>
                        <w:szCs w:val="24"/>
                        <w:lang w:eastAsia="en-GB"/>
                      </w:rPr>
                    </m:ctrlPr>
                  </m:accPr>
                  <m:e>
                    <m:sSub>
                      <m:sSubPr>
                        <m:ctrlPr>
                          <w:rPr>
                            <w:rFonts w:ascii="Cambria Math" w:eastAsia="Calibri" w:hAnsi="Cambria Math" w:cs="Times New Roman"/>
                            <w:bCs/>
                            <w:i/>
                            <w:iCs/>
                            <w:sz w:val="24"/>
                            <w:szCs w:val="24"/>
                            <w:lang w:eastAsia="en-GB"/>
                          </w:rPr>
                        </m:ctrlPr>
                      </m:sSubPr>
                      <m:e>
                        <m:r>
                          <w:rPr>
                            <w:rFonts w:ascii="Cambria Math" w:eastAsia="Calibri" w:hAnsi="Cambria Math" w:cs="Times New Roman"/>
                            <w:sz w:val="24"/>
                            <w:szCs w:val="24"/>
                            <w:lang w:eastAsia="en-GB"/>
                          </w:rPr>
                          <m:t xml:space="preserve"> </m:t>
                        </m:r>
                        <m:r>
                          <w:rPr>
                            <w:rFonts w:ascii="Cambria Math" w:eastAsia="Calibri" w:hAnsi="Cambria Math" w:cs="Times New Roman"/>
                            <w:sz w:val="24"/>
                            <w:szCs w:val="24"/>
                            <w:lang w:eastAsia="en-GB"/>
                          </w:rPr>
                          <m:t>β</m:t>
                        </m:r>
                      </m:e>
                      <m:sub>
                        <m:r>
                          <w:rPr>
                            <w:rFonts w:ascii="Cambria Math" w:eastAsia="Calibri" w:hAnsi="Cambria Math" w:cs="Times New Roman"/>
                            <w:sz w:val="24"/>
                            <w:szCs w:val="24"/>
                            <w:lang w:eastAsia="en-GB"/>
                          </w:rPr>
                          <m:t>2</m:t>
                        </m:r>
                      </m:sub>
                    </m:sSub>
                  </m:e>
                </m:acc>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m:t>
                </m:r>
                <m:acc>
                  <m:accPr>
                    <m:ctrlPr>
                      <w:rPr>
                        <w:rFonts w:ascii="Cambria Math" w:eastAsia="Calibri" w:hAnsi="Cambria Math" w:cs="Times New Roman"/>
                        <w:bCs/>
                        <w:i/>
                        <w:iCs/>
                        <w:sz w:val="24"/>
                        <w:szCs w:val="24"/>
                        <w:lang w:eastAsia="en-GB"/>
                      </w:rPr>
                    </m:ctrlPr>
                  </m:accPr>
                  <m:e>
                    <m:sSub>
                      <m:sSubPr>
                        <m:ctrlPr>
                          <w:rPr>
                            <w:rFonts w:ascii="Cambria Math" w:eastAsia="Calibri" w:hAnsi="Cambria Math" w:cs="Times New Roman"/>
                            <w:bCs/>
                            <w:i/>
                            <w:iCs/>
                            <w:sz w:val="24"/>
                            <w:szCs w:val="24"/>
                            <w:lang w:eastAsia="en-GB"/>
                          </w:rPr>
                        </m:ctrlPr>
                      </m:sSubPr>
                      <m:e>
                        <m:r>
                          <w:rPr>
                            <w:rFonts w:ascii="Cambria Math" w:eastAsia="Calibri" w:hAnsi="Cambria Math" w:cs="Times New Roman"/>
                            <w:sz w:val="24"/>
                            <w:szCs w:val="24"/>
                            <w:lang w:eastAsia="en-GB"/>
                          </w:rPr>
                          <m:t xml:space="preserve"> </m:t>
                        </m:r>
                        <m:r>
                          <w:rPr>
                            <w:rFonts w:ascii="Cambria Math" w:eastAsia="Calibri" w:hAnsi="Cambria Math" w:cs="Times New Roman"/>
                            <w:sz w:val="24"/>
                            <w:szCs w:val="24"/>
                            <w:lang w:eastAsia="en-GB"/>
                          </w:rPr>
                          <m:t>β</m:t>
                        </m:r>
                      </m:e>
                      <m:sub>
                        <m:r>
                          <w:rPr>
                            <w:rFonts w:ascii="Cambria Math" w:eastAsia="Calibri" w:hAnsi="Cambria Math" w:cs="Times New Roman"/>
                            <w:sz w:val="24"/>
                            <w:szCs w:val="24"/>
                            <w:lang w:eastAsia="en-GB"/>
                          </w:rPr>
                          <m:t>3</m:t>
                        </m:r>
                      </m:sub>
                    </m:sSub>
                  </m:e>
                </m:acc>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m:t>
                        </m:r>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Yu Mincho" w:hAnsi="Cambria Math" w:cs="Times New Roman"/>
                    <w:bCs/>
                    <w:iCs/>
                    <w:sz w:val="24"/>
                    <w:szCs w:val="24"/>
                    <w:lang w:eastAsia="en-GB"/>
                  </w:rPr>
                  <m:t xml:space="preserve">) </m:t>
                </m:r>
              </m:oMath>
            </m:oMathPara>
          </w:p>
        </w:tc>
        <w:tc>
          <w:tcPr>
            <w:tcW w:w="1134" w:type="dxa"/>
            <w:vAlign w:val="center"/>
          </w:tcPr>
          <w:p w14:paraId="624D7C91" w14:textId="77777777" w:rsidR="00D955E0" w:rsidRPr="00E915AA" w:rsidRDefault="00D955E0" w:rsidP="001520C5">
            <w:pPr>
              <w:spacing w:before="240" w:after="240" w:line="360" w:lineRule="auto"/>
              <w:jc w:val="center"/>
              <w:rPr>
                <w:rFonts w:ascii="Times New Roman" w:eastAsia="Calibri" w:hAnsi="Times New Roman" w:cs="Times New Roman"/>
                <w:bCs/>
                <w:iCs/>
                <w:sz w:val="24"/>
                <w:szCs w:val="24"/>
                <w:lang w:eastAsia="en-GB"/>
              </w:rPr>
            </w:pPr>
            <w:r w:rsidRPr="00E915AA">
              <w:rPr>
                <w:rFonts w:ascii="Times New Roman" w:eastAsia="Calibri" w:hAnsi="Times New Roman" w:cs="Times New Roman"/>
                <w:bCs/>
                <w:iCs/>
                <w:sz w:val="24"/>
                <w:szCs w:val="24"/>
                <w:lang w:eastAsia="en-GB"/>
              </w:rPr>
              <w:t>(8)</w:t>
            </w:r>
          </w:p>
        </w:tc>
      </w:tr>
      <w:tr w:rsidR="00D955E0" w:rsidRPr="00E915AA" w14:paraId="539DF47C" w14:textId="77777777" w:rsidTr="001520C5">
        <w:trPr>
          <w:trHeight w:val="1184"/>
          <w:jc w:val="center"/>
        </w:trPr>
        <w:tc>
          <w:tcPr>
            <w:tcW w:w="7513" w:type="dxa"/>
            <w:vAlign w:val="center"/>
          </w:tcPr>
          <w:p w14:paraId="0146EB67" w14:textId="77777777" w:rsidR="00D955E0" w:rsidRPr="00E915AA" w:rsidRDefault="00E915AA" w:rsidP="001520C5">
            <w:pPr>
              <w:spacing w:before="240" w:after="240" w:line="360" w:lineRule="auto"/>
              <w:jc w:val="center"/>
              <w:rPr>
                <w:rFonts w:ascii="Times New Roman" w:eastAsia="Calibri" w:hAnsi="Times New Roman" w:cs="Times New Roman"/>
                <w:bCs/>
                <w:iCs/>
                <w:sz w:val="24"/>
                <w:szCs w:val="24"/>
                <w:lang w:eastAsia="en-GB"/>
              </w:rPr>
            </w:pPr>
            <m:oMathPara>
              <m:oMath>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ADISEXP</m:t>
                    </m:r>
                  </m:e>
                  <m:sub>
                    <m:r>
                      <m:rPr>
                        <m:nor/>
                      </m:rPr>
                      <w:rPr>
                        <w:rFonts w:ascii="Cambria Math" w:eastAsia="Calibri" w:hAnsi="Cambria Math" w:cs="Times New Roman"/>
                        <w:bCs/>
                        <w:iCs/>
                        <w:sz w:val="24"/>
                        <w:szCs w:val="24"/>
                        <w:lang w:eastAsia="en-GB"/>
                      </w:rPr>
                      <m:t>i,t-1</m:t>
                    </m:r>
                  </m:sub>
                </m:sSub>
                <m:r>
                  <w:rPr>
                    <w:rFonts w:ascii="Cambria Math" w:eastAsia="Calibri" w:hAnsi="Cambria Math" w:cs="Times New Roman"/>
                    <w:sz w:val="24"/>
                    <w:szCs w:val="24"/>
                    <w:lang w:eastAsia="en-GB"/>
                  </w:rPr>
                  <m:t>=</m:t>
                </m:r>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DISEXP</m:t>
                        </m:r>
                      </m:e>
                      <m:sub>
                        <m:r>
                          <m:rPr>
                            <m:nor/>
                          </m:rPr>
                          <w:rPr>
                            <w:rFonts w:ascii="Cambria Math" w:eastAsia="Calibri" w:hAnsi="Cambria Math" w:cs="Times New Roman"/>
                            <w:bCs/>
                            <w:iCs/>
                            <w:sz w:val="24"/>
                            <w:szCs w:val="24"/>
                            <w:lang w:eastAsia="en-GB"/>
                          </w:rPr>
                          <m:t>i,t-1</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 xml:space="preserve"> - (</m:t>
                </m:r>
                <m:acc>
                  <m:accPr>
                    <m:ctrlPr>
                      <w:rPr>
                        <w:rFonts w:ascii="Cambria Math" w:eastAsia="Calibri" w:hAnsi="Cambria Math" w:cs="Times New Roman"/>
                        <w:bCs/>
                        <w:i/>
                        <w:iCs/>
                        <w:sz w:val="24"/>
                        <w:szCs w:val="24"/>
                        <w:lang w:eastAsia="en-GB"/>
                      </w:rPr>
                    </m:ctrlPr>
                  </m:accPr>
                  <m:e>
                    <m:sSub>
                      <m:sSubPr>
                        <m:ctrlPr>
                          <w:rPr>
                            <w:rFonts w:ascii="Cambria Math" w:eastAsia="Calibri" w:hAnsi="Cambria Math" w:cs="Times New Roman"/>
                            <w:bCs/>
                            <w:i/>
                            <w:iCs/>
                            <w:sz w:val="24"/>
                            <w:szCs w:val="24"/>
                            <w:lang w:eastAsia="en-GB"/>
                          </w:rPr>
                        </m:ctrlPr>
                      </m:sSubPr>
                      <m:e>
                        <m:r>
                          <w:rPr>
                            <w:rFonts w:ascii="Cambria Math" w:eastAsia="Calibri" w:hAnsi="Cambria Math" w:cs="Times New Roman"/>
                            <w:sz w:val="24"/>
                            <w:szCs w:val="24"/>
                            <w:lang w:eastAsia="en-GB"/>
                          </w:rPr>
                          <m:t>β</m:t>
                        </m:r>
                      </m:e>
                      <m:sub>
                        <m:r>
                          <w:rPr>
                            <w:rFonts w:ascii="Cambria Math" w:eastAsia="Calibri" w:hAnsi="Cambria Math" w:cs="Times New Roman"/>
                            <w:sz w:val="24"/>
                            <w:szCs w:val="24"/>
                            <w:lang w:eastAsia="en-GB"/>
                          </w:rPr>
                          <m:t>1</m:t>
                        </m:r>
                      </m:sub>
                    </m:sSub>
                  </m:e>
                </m:acc>
                <m:f>
                  <m:fPr>
                    <m:ctrlPr>
                      <w:rPr>
                        <w:rFonts w:ascii="Cambria Math" w:eastAsia="Calibri" w:hAnsi="Cambria Math" w:cs="Times New Roman"/>
                        <w:bCs/>
                        <w:i/>
                        <w:iCs/>
                        <w:sz w:val="24"/>
                        <w:szCs w:val="24"/>
                        <w:lang w:eastAsia="en-GB"/>
                      </w:rPr>
                    </m:ctrlPr>
                  </m:fPr>
                  <m:num>
                    <m:r>
                      <m:rPr>
                        <m:nor/>
                      </m:rPr>
                      <w:rPr>
                        <w:rFonts w:ascii="Cambria Math" w:eastAsia="Calibri" w:hAnsi="Cambria Math" w:cs="Times New Roman"/>
                        <w:bCs/>
                        <w:iCs/>
                        <w:sz w:val="24"/>
                        <w:szCs w:val="24"/>
                        <w:lang w:eastAsia="en-GB"/>
                      </w:rPr>
                      <m:t>1</m:t>
                    </m:r>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m:rPr>
                    <m:nor/>
                  </m:rPr>
                  <w:rPr>
                    <w:rFonts w:ascii="Cambria Math" w:eastAsia="Calibri" w:hAnsi="Cambria Math" w:cs="Times New Roman"/>
                    <w:bCs/>
                    <w:iCs/>
                    <w:sz w:val="24"/>
                    <w:szCs w:val="24"/>
                    <w:lang w:eastAsia="en-GB"/>
                  </w:rPr>
                  <m:t>+</m:t>
                </m:r>
                <m:acc>
                  <m:accPr>
                    <m:ctrlPr>
                      <w:rPr>
                        <w:rFonts w:ascii="Cambria Math" w:eastAsia="Calibri" w:hAnsi="Cambria Math" w:cs="Times New Roman"/>
                        <w:bCs/>
                        <w:i/>
                        <w:iCs/>
                        <w:sz w:val="24"/>
                        <w:szCs w:val="24"/>
                        <w:lang w:eastAsia="en-GB"/>
                      </w:rPr>
                    </m:ctrlPr>
                  </m:accPr>
                  <m:e>
                    <m:sSub>
                      <m:sSubPr>
                        <m:ctrlPr>
                          <w:rPr>
                            <w:rFonts w:ascii="Cambria Math" w:eastAsia="Calibri" w:hAnsi="Cambria Math" w:cs="Times New Roman"/>
                            <w:bCs/>
                            <w:i/>
                            <w:iCs/>
                            <w:sz w:val="24"/>
                            <w:szCs w:val="24"/>
                            <w:lang w:eastAsia="en-GB"/>
                          </w:rPr>
                        </m:ctrlPr>
                      </m:sSubPr>
                      <m:e>
                        <m:r>
                          <w:rPr>
                            <w:rFonts w:ascii="Cambria Math" w:eastAsia="Calibri" w:hAnsi="Cambria Math" w:cs="Times New Roman"/>
                            <w:sz w:val="24"/>
                            <w:szCs w:val="24"/>
                            <w:lang w:eastAsia="en-GB"/>
                          </w:rPr>
                          <m:t xml:space="preserve"> </m:t>
                        </m:r>
                        <m:r>
                          <w:rPr>
                            <w:rFonts w:ascii="Cambria Math" w:eastAsia="Calibri" w:hAnsi="Cambria Math" w:cs="Times New Roman"/>
                            <w:sz w:val="24"/>
                            <w:szCs w:val="24"/>
                            <w:lang w:eastAsia="en-GB"/>
                          </w:rPr>
                          <m:t>β</m:t>
                        </m:r>
                      </m:e>
                      <m:sub>
                        <m:r>
                          <w:rPr>
                            <w:rFonts w:ascii="Cambria Math" w:eastAsia="Calibri" w:hAnsi="Cambria Math" w:cs="Times New Roman"/>
                            <w:sz w:val="24"/>
                            <w:szCs w:val="24"/>
                            <w:lang w:eastAsia="en-GB"/>
                          </w:rPr>
                          <m:t>2</m:t>
                        </m:r>
                      </m:sub>
                    </m:sSub>
                  </m:e>
                </m:acc>
                <m:f>
                  <m:fPr>
                    <m:ctrlPr>
                      <w:rPr>
                        <w:rFonts w:ascii="Cambria Math" w:eastAsia="Calibri" w:hAnsi="Cambria Math" w:cs="Times New Roman"/>
                        <w:bCs/>
                        <w:i/>
                        <w:iCs/>
                        <w:sz w:val="24"/>
                        <w:szCs w:val="24"/>
                        <w:lang w:eastAsia="en-GB"/>
                      </w:rPr>
                    </m:ctrlPr>
                  </m:fPr>
                  <m:num>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REV</m:t>
                        </m:r>
                      </m:e>
                      <m:sub>
                        <m:r>
                          <m:rPr>
                            <m:nor/>
                          </m:rPr>
                          <w:rPr>
                            <w:rFonts w:ascii="Cambria Math" w:eastAsia="Calibri" w:hAnsi="Cambria Math" w:cs="Times New Roman"/>
                            <w:bCs/>
                            <w:iCs/>
                            <w:sz w:val="24"/>
                            <w:szCs w:val="24"/>
                            <w:lang w:eastAsia="en-GB"/>
                          </w:rPr>
                          <m:t>i,t-2</m:t>
                        </m:r>
                      </m:sub>
                    </m:sSub>
                  </m:num>
                  <m:den>
                    <m:sSub>
                      <m:sSubPr>
                        <m:ctrlPr>
                          <w:rPr>
                            <w:rFonts w:ascii="Cambria Math" w:eastAsia="Calibri" w:hAnsi="Cambria Math" w:cs="Times New Roman"/>
                            <w:bCs/>
                            <w:i/>
                            <w:iCs/>
                            <w:sz w:val="24"/>
                            <w:szCs w:val="24"/>
                            <w:lang w:eastAsia="en-GB"/>
                          </w:rPr>
                        </m:ctrlPr>
                      </m:sSubPr>
                      <m:e>
                        <m:r>
                          <m:rPr>
                            <m:nor/>
                          </m:rPr>
                          <w:rPr>
                            <w:rFonts w:ascii="Cambria Math" w:eastAsia="Calibri" w:hAnsi="Cambria Math" w:cs="Times New Roman"/>
                            <w:bCs/>
                            <w:iCs/>
                            <w:sz w:val="24"/>
                            <w:szCs w:val="24"/>
                            <w:lang w:eastAsia="en-GB"/>
                          </w:rPr>
                          <m:t>TA</m:t>
                        </m:r>
                      </m:e>
                      <m:sub>
                        <m:r>
                          <m:rPr>
                            <m:nor/>
                          </m:rPr>
                          <w:rPr>
                            <w:rFonts w:ascii="Cambria Math" w:eastAsia="Calibri" w:hAnsi="Cambria Math" w:cs="Times New Roman"/>
                            <w:bCs/>
                            <w:iCs/>
                            <w:sz w:val="24"/>
                            <w:szCs w:val="24"/>
                            <w:lang w:eastAsia="en-GB"/>
                          </w:rPr>
                          <m:t>i,t-2</m:t>
                        </m:r>
                      </m:sub>
                    </m:sSub>
                  </m:den>
                </m:f>
                <m:r>
                  <w:rPr>
                    <w:rFonts w:ascii="Cambria Math" w:eastAsia="Calibri" w:hAnsi="Cambria Math" w:cs="Times New Roman"/>
                    <w:sz w:val="24"/>
                    <w:szCs w:val="24"/>
                    <w:lang w:eastAsia="en-GB"/>
                  </w:rPr>
                  <m:t>)</m:t>
                </m:r>
              </m:oMath>
            </m:oMathPara>
          </w:p>
        </w:tc>
        <w:tc>
          <w:tcPr>
            <w:tcW w:w="1134" w:type="dxa"/>
            <w:vAlign w:val="center"/>
          </w:tcPr>
          <w:p w14:paraId="18C1887D" w14:textId="77777777" w:rsidR="00D955E0" w:rsidRPr="00E915AA" w:rsidRDefault="00D955E0" w:rsidP="001520C5">
            <w:pPr>
              <w:spacing w:before="240" w:after="240" w:line="360" w:lineRule="auto"/>
              <w:jc w:val="center"/>
              <w:rPr>
                <w:rFonts w:ascii="Times New Roman" w:eastAsia="Calibri" w:hAnsi="Times New Roman" w:cs="Times New Roman"/>
                <w:bCs/>
                <w:iCs/>
                <w:sz w:val="24"/>
                <w:szCs w:val="24"/>
                <w:lang w:eastAsia="en-GB"/>
              </w:rPr>
            </w:pPr>
            <w:r w:rsidRPr="00E915AA">
              <w:rPr>
                <w:rFonts w:ascii="Times New Roman" w:eastAsia="Calibri" w:hAnsi="Times New Roman" w:cs="Times New Roman"/>
                <w:bCs/>
                <w:iCs/>
                <w:sz w:val="24"/>
                <w:szCs w:val="24"/>
                <w:lang w:eastAsia="en-GB"/>
              </w:rPr>
              <w:t>(9)</w:t>
            </w:r>
          </w:p>
        </w:tc>
      </w:tr>
    </w:tbl>
    <w:p w14:paraId="6DB90C8D" w14:textId="77777777" w:rsidR="00D955E0" w:rsidRPr="00E915AA" w:rsidRDefault="00D955E0" w:rsidP="00D955E0">
      <w:pPr>
        <w:spacing w:before="240" w:after="240" w:line="360" w:lineRule="auto"/>
        <w:jc w:val="both"/>
        <w:rPr>
          <w:rFonts w:ascii="Times New Roman" w:eastAsia="Yu Mincho" w:hAnsi="Times New Roman" w:cs="Times New Roman"/>
          <w:bCs/>
          <w:iCs/>
          <w:sz w:val="24"/>
          <w:szCs w:val="24"/>
          <w:lang w:val="en-GB" w:eastAsia="en-GB"/>
        </w:rPr>
      </w:pPr>
      <w:r w:rsidRPr="00E915AA">
        <w:rPr>
          <w:rFonts w:ascii="Times New Roman" w:eastAsia="Yu Mincho" w:hAnsi="Times New Roman" w:cs="Times New Roman"/>
          <w:bCs/>
          <w:iCs/>
          <w:sz w:val="24"/>
          <w:szCs w:val="24"/>
          <w:lang w:val="en-GB" w:eastAsia="en-GB"/>
        </w:rPr>
        <w:t xml:space="preserve">Furthermore, we also match abnormal cash flow from operations and abnormal discretionary expenses of issuers in the sample to those of a </w:t>
      </w:r>
      <w:r w:rsidRPr="00E915AA">
        <w:rPr>
          <w:rFonts w:ascii="Times New Roman" w:eastAsia="Calibri" w:hAnsi="Times New Roman" w:cs="Times New Roman"/>
          <w:bCs/>
          <w:iCs/>
          <w:sz w:val="24"/>
          <w:szCs w:val="24"/>
          <w:lang w:val="en-GB" w:eastAsia="en-GB"/>
        </w:rPr>
        <w:t xml:space="preserve">non-IPO peer that is in the same two-digit SIC industry and year and has the closest ROA, to calculate performance-matched measures of abnormal </w:t>
      </w:r>
      <w:r w:rsidRPr="00E915AA">
        <w:rPr>
          <w:rFonts w:ascii="Times New Roman" w:eastAsia="Yu Mincho" w:hAnsi="Times New Roman" w:cs="Times New Roman"/>
          <w:bCs/>
          <w:iCs/>
          <w:sz w:val="24"/>
          <w:szCs w:val="24"/>
          <w:lang w:val="en-GB" w:eastAsia="en-GB"/>
        </w:rPr>
        <w:t>cash flow from operations and abnormal discretionary expenses</w:t>
      </w:r>
      <w:r w:rsidRPr="00E915AA">
        <w:rPr>
          <w:rFonts w:ascii="Times New Roman" w:eastAsia="Calibri" w:hAnsi="Times New Roman" w:cs="Times New Roman"/>
          <w:bCs/>
          <w:iCs/>
          <w:sz w:val="24"/>
          <w:szCs w:val="24"/>
          <w:lang w:val="en-GB" w:eastAsia="en-GB"/>
        </w:rPr>
        <w:t xml:space="preserve"> (denoted ACFO and ADISEXP in the analyses that follow).</w:t>
      </w:r>
    </w:p>
    <w:p w14:paraId="6F237B1A" w14:textId="77777777" w:rsidR="00D955E0" w:rsidRPr="00E915AA" w:rsidRDefault="00D955E0" w:rsidP="00D955E0">
      <w:pPr>
        <w:spacing w:before="240" w:after="240" w:line="360" w:lineRule="auto"/>
        <w:jc w:val="both"/>
        <w:rPr>
          <w:rFonts w:ascii="Times New Roman" w:eastAsia="Yu Mincho" w:hAnsi="Times New Roman" w:cs="Times New Roman"/>
          <w:b/>
          <w:bCs/>
          <w:iCs/>
          <w:sz w:val="24"/>
          <w:szCs w:val="24"/>
          <w:lang w:val="en-GB" w:eastAsia="en-GB"/>
        </w:rPr>
      </w:pPr>
      <w:r w:rsidRPr="00E915AA">
        <w:rPr>
          <w:rFonts w:ascii="Times New Roman" w:eastAsia="Calibri" w:hAnsi="Times New Roman" w:cs="Times New Roman"/>
          <w:bCs/>
          <w:iCs/>
          <w:sz w:val="24"/>
          <w:szCs w:val="24"/>
          <w:lang w:val="en-GB" w:eastAsia="en-GB"/>
        </w:rPr>
        <w:t xml:space="preserve">Abnormal production costs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{"citationItems":[{"id":"ITEM-1","itemData":{"ISBN":"0165-4101","ISSN":"01654101","abstract":"I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reserved.","author":[{"dropping-particle":"","family":"Roychowdhury","given":"S.","non-dropping-particle":"","parse-names":false,"suffix":""}],"container-title":"Journal of Accounting and Economics","id":"ITEM-1","issue":"3","issued":{"date-parts":[["2006"]]},"page":"335-370","title":"Earnings management through real activities manipulation","type":"article-journal","volume":"42"},"uris":["http://www.mendeley.com/documents/?uuid=4ab7e38d-7b68-44ca-a2d2-d046c565fdbd"]},{"id":"ITEM-2","itemData":{"ISSN":"00014826","abstract":"We document that accrual-based earnings management increased steadily from 1987 until the passage of the Sarbanes-Oxley Act (SOX) in 2002, followed by a significant decline after the passage of SOX. Conversely, the level of real earnings management activities declined prior to SOX and increased significantly after the passage of SOX, suggesting that firms switched from accrual-based to real earnings management methods after the passage of SOX. We also document that the accrual-based earnings management activities were particularly high in the period immediately preceding SOX. Consistent with these results, we find that firms that just achieved important earnings benchmarks used less accruals and more real earnings management after SOX when compared to similar firms before SOX. In addition, our analysis provides evidence that the increases in accrual-based earnings management in the period preceding SOX were concurrent with increases in equity-based compensation. Our results suggest that stock-option components provide a differential set of incentives with regard to accrual-based earnings management. We document that while new options granted during the current period are negatively associated with income-increasing accrual-based earnings management, unexercised options are positively associated with income-increasing accrual-based earnings management.","author":[{"dropping-particle":"","family":"Cohen","given":"D. A.","non-dropping-particle":"","parse-names":false,"suffix":""},{"dropping-particle":"","family":"Dey","given":"A.","non-dropping-particle":"","parse-names":false,"suffix":""},{"dropping-particle":"","family":"Lys","given":"T. Z.","non-dropping-particle":"","parse-names":false,"suffix":""}],"container-title":"Accounting Review","id":"ITEM-2","issue":"3","issued":{"date-parts":[["2008"]]},"page":"757-787","title":"Real and accrual-based earnings management in the pre- and post-sarbanes-oxley periods","type":"article-journal","volume":"83"},"uris":["http://www.mendeley.com/documents/?uuid=aa1edd23-e00b-45cc-9f1e-1ff54eff2803","http://www.mendeley.com/documents/?uuid=346283e1-f09f-45fa-964a-dbab6e249247"]}],"mendeley":{"formattedCitation":"(Cohen et al., 2008; Roychowdhury, 2006)","manualFormatting":"(Roychowdhury, 2006; Cohen et al., 2008)","plainTextFormattedCitation":"(Cohen et al., 2008; Roychowdhury, 2006)","previouslyFormattedCitation":"(Cohen et al., 2008; Roychowdhury, 2006)"},"properties":{"noteIndex":0},"schema":"https://github.com/citation-style-language/schema/raw/master/csl-citation.json"}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(Roychowdhury, 2006; Cohen et al., 2008)</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are not employed as a proxy of REM within our study  for three reasons. First, it is less probable that IPO firms tend to manage earnings by manipulating production costs since they are in the early phases of their life cycles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{"citationItems":[{"id":"ITEM-1","itemData":{"ISSN":"08239150","abstract":"This paper investigates the effect of venture capitalist (VC) quality on earnings management in firms conducting initial public offerings of their equity stock, focusing on manipulation of both accruals and real activities. I develop a measure of VC quality based on a principal components factor analysis using data that are obtainable for virtually all VC firms. This metric is highly correlated with VC funds' financial returns, and with the likelihood of successful exits through initial public offerings or trade sales. After going public, companies backed by higher quality VCs have lower abnormal accruals, lower earnings management through real activities manipulation, and a lower likelihood of financial restatement. Companies backed by top-quartile VCs do not appear to engage in real activities manipulation as a substitute for accruals manipulation. Companies backed by lower-tier VCs exhibit earnings management behaviors which are indistinguishable from those of non-VC-backed companies. The results continue to hold when controlling for endogeneity. Overall, the results suggest that higher quality VCs are better able to constrain opportunistic financial reporting by their portfolio companies going public. © 2012 The Canadian Academic Accounting Association.","author":[{"dropping-particle":"","family":"Wongsunwai","given":"W.","non-dropping-particle":"","parse-names":false,"suffix":""}],"container-title":"Contemporary Accounting Research","id":"ITEM-1","issue":"1","issued":{"date-parts":[["2013"]]},"page":"296-324","title":"The effect of external monitoring on accrual-based and real earnings management: Evidence from venture-backed initial public offerings","type":"article-journal","volume":"30"},"uris":["http://www.mendeley.com/documents/?uuid=23ff956c-a57d-44c6-8b40-1c4a903e7e1b","http://www.mendeley.com/documents/?uuid=9b7d0120-a760-48d3-a753-6c679552a41a"]}],"mendeley":{"formattedCitation":"(Wongsunwai, 2013)","plainTextFormattedCitation":"(Wongsunwai, 2013)","previouslyFormattedCitation":"(Wongsunwai, 2013)"},"properties":{"noteIndex":0},"schema":"https://github.com/citation-style-language/schema/raw/master/csl-citation.json"}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(Wongsunwai, 2013)</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Second, </w:t>
      </w:r>
      <w:r w:rsidRPr="00E915AA">
        <w:rPr>
          <w:rFonts w:ascii="Times New Roman" w:eastAsia="Calibri" w:hAnsi="Times New Roman" w:cs="Times New Roman"/>
          <w:bCs/>
          <w:iCs/>
          <w:sz w:val="24"/>
          <w:szCs w:val="24"/>
          <w:lang w:val="en-GB" w:eastAsia="en-GB"/>
        </w:rPr>
        <w:fldChar w:fldCharType="begin" w:fldLock="1"/>
      </w:r>
      <w:r w:rsidRPr="00E915AA">
        <w:rPr>
          <w:rFonts w:ascii="Times New Roman" w:eastAsia="Calibri" w:hAnsi="Times New Roman" w:cs="Times New Roman"/>
          <w:bCs/>
          <w:iCs/>
          <w:sz w:val="24"/>
          <w:szCs w:val="24"/>
          <w:lang w:val="en-GB" w:eastAsia="en-GB"/>
        </w:rPr>
        <w:instrText>ADDIN CSL_CITATION {"citationItems":[{"id":"ITEM-1","itemData":{"abstract":"We examine the relation between audit quality and the earnings management activities of IPO firms. The impact of high quality auditors on real earnings management has been researched in a number of settings e.g. SEOs. However, to date, there has been no work on the effect of high quality auditors on real activities-based manipulation around IPOs. We examine UK IPOs between 1998 and 2008 and find evidence that high quality auditors constrain the use of real activities manipulation that occurs via the management of discretionary expenses. We also find evidence, consistent with prior research, that high quality auditors constrain the manipulation of discretionary accruals. Crucially, we find IPO firms audited by high quality auditors undertake sales-based manipulation in order to manage earnings upward at the end of the IPO year. The presence of high quality auditors is not, therefore, sufficient to constrain all forms of earnings management.","author":[{"dropping-particle":"","family":"Alhadab","given":"M.","non-dropping-particle":"","parse-names":false,"suffix":""},{"dropping-particle":"","family":"Clacher","given":"I.","non-dropping-particle":"","parse-names":false,"suffix":""}],"container-title":"British Accounting Review","id":"ITEM-1","issue":"4","issued":{"date-parts":[["2018"]]},"note":"3","page":"442-461","publisher":"Elsevier","title":"The impact of audit quality on real and accrual earnings management around IPOs","type":"article-journal","volume":"50"},"uris":["http://www.mendeley.com/documents/?uuid=0828aec0-76a8-4a5d-833a-65cf5ae333e5"]}],"mendeley":{"formattedCitation":"(Alhadab &amp; Clacher, 2018)","manualFormatting":"Alhadab &amp; Clacher (2018)","plainTextFormattedCitation":"(Alhadab &amp; Clacher, 2018)","previouslyFormattedCitation":"(Alhadab &amp; Clacher, 2018)"},"properties":{"noteIndex":0},"schema":"https://github.com/citation-style-language/schema/raw/master/csl-citation.json"}</w:instrText>
      </w:r>
      <w:r w:rsidRPr="00E915AA">
        <w:rPr>
          <w:rFonts w:ascii="Times New Roman" w:eastAsia="Calibri" w:hAnsi="Times New Roman" w:cs="Times New Roman"/>
          <w:bCs/>
          <w:iCs/>
          <w:sz w:val="24"/>
          <w:szCs w:val="24"/>
          <w:lang w:val="en-GB" w:eastAsia="en-GB"/>
        </w:rPr>
        <w:fldChar w:fldCharType="separate"/>
      </w:r>
      <w:r w:rsidRPr="00E915AA">
        <w:rPr>
          <w:rFonts w:ascii="Times New Roman" w:eastAsia="Calibri" w:hAnsi="Times New Roman" w:cs="Times New Roman"/>
          <w:bCs/>
          <w:iCs/>
          <w:noProof/>
          <w:sz w:val="24"/>
          <w:szCs w:val="24"/>
          <w:lang w:val="en-GB" w:eastAsia="en-GB"/>
        </w:rPr>
        <w:t>Alhadab &amp; Clacher (2018)</w:t>
      </w:r>
      <w:r w:rsidRPr="00E915AA">
        <w:rPr>
          <w:rFonts w:ascii="Times New Roman" w:eastAsia="Calibri" w:hAnsi="Times New Roman" w:cs="Times New Roman"/>
          <w:bCs/>
          <w:iCs/>
          <w:sz w:val="24"/>
          <w:szCs w:val="24"/>
          <w:lang w:val="en-GB" w:eastAsia="en-GB"/>
        </w:rPr>
        <w:fldChar w:fldCharType="end"/>
      </w:r>
      <w:r w:rsidRPr="00E915AA">
        <w:rPr>
          <w:rFonts w:ascii="Times New Roman" w:eastAsia="Calibri" w:hAnsi="Times New Roman" w:cs="Times New Roman"/>
          <w:bCs/>
          <w:iCs/>
          <w:sz w:val="24"/>
          <w:szCs w:val="24"/>
          <w:lang w:val="en-GB" w:eastAsia="en-GB"/>
        </w:rPr>
        <w:t xml:space="preserve"> show that manipulating earnings via production costs is a tool that is mostly employed by managers of manufacturing firms, and only 45 IPOs accounting for 5.63% of the sample operate in this industry. Third, due to limitations in the availability of data for sales two years prior to IPO year (required to calculate </w:t>
      </w:r>
      <m:oMath>
        <m:sSub>
          <m:sSubPr>
            <m:ctrlPr>
              <w:rPr>
                <w:rFonts w:ascii="Cambria Math" w:eastAsia="Calibri" w:hAnsi="Cambria Math" w:cs="Times New Roman"/>
                <w:bCs/>
                <w:i/>
                <w:iCs/>
                <w:sz w:val="24"/>
                <w:szCs w:val="24"/>
                <w:lang w:val="en-GB" w:eastAsia="en-GB"/>
              </w:rPr>
            </m:ctrlPr>
          </m:sSubPr>
          <m:e>
            <m:r>
              <w:rPr>
                <w:rFonts w:ascii="Cambria Math" w:eastAsia="Calibri" w:hAnsi="Cambria Math" w:cs="Times New Roman"/>
                <w:sz w:val="24"/>
                <w:szCs w:val="24"/>
                <w:lang w:val="en-GB" w:eastAsia="en-GB"/>
              </w:rPr>
              <m:t>∆Sale</m:t>
            </m:r>
          </m:e>
          <m:sub>
            <m:r>
              <w:rPr>
                <w:rFonts w:ascii="Cambria Math" w:eastAsia="Calibri" w:hAnsi="Cambria Math" w:cs="Times New Roman"/>
                <w:sz w:val="24"/>
                <w:szCs w:val="24"/>
                <w:lang w:val="en-GB" w:eastAsia="en-GB"/>
              </w:rPr>
              <m:t>i,t-1</m:t>
            </m:r>
          </m:sub>
        </m:sSub>
      </m:oMath>
      <w:r w:rsidRPr="00E915AA">
        <w:rPr>
          <w:rFonts w:ascii="Times New Roman" w:eastAsia="Yu Mincho" w:hAnsi="Times New Roman" w:cs="Times New Roman"/>
          <w:bCs/>
          <w:iCs/>
          <w:sz w:val="24"/>
          <w:szCs w:val="24"/>
          <w:lang w:val="en-GB" w:eastAsia="en-GB"/>
        </w:rPr>
        <w:t>), we are unable to estimate abnormal production costs.</w:t>
      </w:r>
    </w:p>
    <w:p w14:paraId="3F367447" w14:textId="77777777" w:rsidR="00D955E0" w:rsidRPr="00E915AA" w:rsidRDefault="00D955E0" w:rsidP="00D955E0">
      <w:pPr>
        <w:spacing w:before="240" w:after="240" w:line="360" w:lineRule="auto"/>
        <w:jc w:val="both"/>
        <w:rPr>
          <w:rFonts w:ascii="Times New Roman" w:eastAsia="Calibri" w:hAnsi="Times New Roman" w:cs="Times New Roman"/>
          <w:sz w:val="24"/>
          <w:szCs w:val="24"/>
          <w:lang w:val="en-GB" w:eastAsia="en-GB"/>
        </w:rPr>
        <w:sectPr w:rsidR="00D955E0" w:rsidRPr="00E915AA" w:rsidSect="0073176B">
          <w:pgSz w:w="11906" w:h="16838"/>
          <w:pgMar w:top="1440" w:right="1440" w:bottom="1440" w:left="1440" w:header="708" w:footer="708" w:gutter="0"/>
          <w:cols w:space="708"/>
          <w:docGrid w:linePitch="360"/>
        </w:sectPr>
      </w:pPr>
    </w:p>
    <w:p w14:paraId="2717ADEC" w14:textId="77777777" w:rsidR="00D955E0" w:rsidRPr="00E915AA" w:rsidRDefault="00D955E0" w:rsidP="00D955E0">
      <w:pPr>
        <w:spacing w:before="240" w:after="240" w:line="360" w:lineRule="auto"/>
        <w:rPr>
          <w:rFonts w:ascii="Times New Roman" w:eastAsia="Calibri" w:hAnsi="Times New Roman" w:cs="Times New Roman"/>
          <w:iCs/>
          <w:sz w:val="24"/>
          <w:szCs w:val="24"/>
          <w:lang w:val="en-GB" w:eastAsia="en-GB"/>
        </w:rPr>
      </w:pPr>
      <w:bookmarkStart w:id="34" w:name="_Toc79333102"/>
      <w:r w:rsidRPr="00E915AA">
        <w:rPr>
          <w:rFonts w:ascii="Times New Roman" w:eastAsia="Calibri" w:hAnsi="Times New Roman" w:cs="Times New Roman"/>
          <w:b/>
          <w:iCs/>
          <w:color w:val="000000"/>
          <w:sz w:val="24"/>
          <w:szCs w:val="24"/>
          <w:lang w:val="en-GB" w:eastAsia="en-GB"/>
        </w:rPr>
        <w:lastRenderedPageBreak/>
        <w:t>Appendix E. The marginal effects of IPO firms' earnings management on the extensiveness of SEC reviews</w:t>
      </w:r>
      <w:bookmarkEnd w:id="34"/>
    </w:p>
    <w:tbl>
      <w:tblPr>
        <w:tblW w:w="14707" w:type="dxa"/>
        <w:tblLayout w:type="fixed"/>
        <w:tblLook w:val="0000" w:firstRow="0" w:lastRow="0" w:firstColumn="0" w:lastColumn="0" w:noHBand="0" w:noVBand="0"/>
      </w:tblPr>
      <w:tblGrid>
        <w:gridCol w:w="972"/>
        <w:gridCol w:w="236"/>
        <w:gridCol w:w="919"/>
        <w:gridCol w:w="992"/>
        <w:gridCol w:w="850"/>
        <w:gridCol w:w="284"/>
        <w:gridCol w:w="691"/>
        <w:gridCol w:w="705"/>
        <w:gridCol w:w="691"/>
        <w:gridCol w:w="405"/>
        <w:gridCol w:w="900"/>
        <w:gridCol w:w="727"/>
        <w:gridCol w:w="670"/>
        <w:gridCol w:w="414"/>
        <w:gridCol w:w="723"/>
        <w:gridCol w:w="720"/>
        <w:gridCol w:w="542"/>
        <w:gridCol w:w="437"/>
        <w:gridCol w:w="103"/>
        <w:gridCol w:w="180"/>
        <w:gridCol w:w="541"/>
        <w:gridCol w:w="437"/>
        <w:gridCol w:w="385"/>
        <w:gridCol w:w="439"/>
        <w:gridCol w:w="461"/>
        <w:gridCol w:w="275"/>
        <w:gridCol w:w="8"/>
      </w:tblGrid>
      <w:tr w:rsidR="00D955E0" w:rsidRPr="00E915AA" w14:paraId="04AB7937" w14:textId="77777777" w:rsidTr="001520C5">
        <w:trPr>
          <w:gridAfter w:val="1"/>
          <w:wAfter w:w="8" w:type="dxa"/>
          <w:trHeight w:val="298"/>
        </w:trPr>
        <w:tc>
          <w:tcPr>
            <w:tcW w:w="972" w:type="dxa"/>
            <w:tcBorders>
              <w:top w:val="single" w:sz="12" w:space="0" w:color="auto"/>
              <w:left w:val="nil"/>
              <w:bottom w:val="nil"/>
              <w:right w:val="nil"/>
            </w:tcBorders>
          </w:tcPr>
          <w:p w14:paraId="52780050"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p w14:paraId="60B0E523"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236" w:type="dxa"/>
            <w:tcBorders>
              <w:top w:val="single" w:sz="12" w:space="0" w:color="auto"/>
              <w:left w:val="nil"/>
              <w:bottom w:val="nil"/>
              <w:right w:val="nil"/>
            </w:tcBorders>
          </w:tcPr>
          <w:p w14:paraId="7D535504"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2761" w:type="dxa"/>
            <w:gridSpan w:val="3"/>
            <w:tcBorders>
              <w:top w:val="single" w:sz="12" w:space="0" w:color="auto"/>
              <w:left w:val="nil"/>
              <w:bottom w:val="single" w:sz="12" w:space="0" w:color="auto"/>
              <w:right w:val="nil"/>
            </w:tcBorders>
            <w:vAlign w:val="center"/>
          </w:tcPr>
          <w:p w14:paraId="00F16A7A"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Duration</w:t>
            </w:r>
          </w:p>
        </w:tc>
        <w:tc>
          <w:tcPr>
            <w:tcW w:w="284" w:type="dxa"/>
            <w:tcBorders>
              <w:top w:val="single" w:sz="12" w:space="0" w:color="auto"/>
              <w:left w:val="nil"/>
              <w:bottom w:val="nil"/>
              <w:right w:val="nil"/>
            </w:tcBorders>
          </w:tcPr>
          <w:p w14:paraId="488E6CB6"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2087" w:type="dxa"/>
            <w:gridSpan w:val="3"/>
            <w:tcBorders>
              <w:top w:val="single" w:sz="12" w:space="0" w:color="auto"/>
              <w:left w:val="nil"/>
              <w:bottom w:val="single" w:sz="12" w:space="0" w:color="auto"/>
              <w:right w:val="nil"/>
            </w:tcBorders>
            <w:vAlign w:val="center"/>
          </w:tcPr>
          <w:p w14:paraId="1AED6A45"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#Letters</w:t>
            </w:r>
          </w:p>
        </w:tc>
        <w:tc>
          <w:tcPr>
            <w:tcW w:w="405" w:type="dxa"/>
            <w:tcBorders>
              <w:top w:val="single" w:sz="12" w:space="0" w:color="auto"/>
              <w:left w:val="nil"/>
              <w:bottom w:val="nil"/>
              <w:right w:val="nil"/>
            </w:tcBorders>
          </w:tcPr>
          <w:p w14:paraId="2112AA71"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i/>
                <w:iCs/>
                <w:color w:val="000000"/>
                <w:sz w:val="12"/>
                <w:szCs w:val="12"/>
              </w:rPr>
            </w:pPr>
          </w:p>
        </w:tc>
        <w:tc>
          <w:tcPr>
            <w:tcW w:w="2297" w:type="dxa"/>
            <w:gridSpan w:val="3"/>
            <w:tcBorders>
              <w:top w:val="single" w:sz="12" w:space="0" w:color="auto"/>
              <w:left w:val="nil"/>
              <w:bottom w:val="single" w:sz="12" w:space="0" w:color="auto"/>
              <w:right w:val="nil"/>
            </w:tcBorders>
            <w:vAlign w:val="center"/>
          </w:tcPr>
          <w:p w14:paraId="64216E91"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#Themes</w:t>
            </w:r>
          </w:p>
        </w:tc>
        <w:tc>
          <w:tcPr>
            <w:tcW w:w="414" w:type="dxa"/>
            <w:tcBorders>
              <w:top w:val="single" w:sz="12" w:space="0" w:color="auto"/>
              <w:left w:val="nil"/>
              <w:bottom w:val="nil"/>
              <w:right w:val="nil"/>
            </w:tcBorders>
          </w:tcPr>
          <w:p w14:paraId="719B8F62"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i/>
                <w:iCs/>
                <w:color w:val="000000"/>
                <w:sz w:val="12"/>
                <w:szCs w:val="12"/>
              </w:rPr>
            </w:pPr>
          </w:p>
        </w:tc>
        <w:tc>
          <w:tcPr>
            <w:tcW w:w="2422" w:type="dxa"/>
            <w:gridSpan w:val="4"/>
            <w:tcBorders>
              <w:top w:val="single" w:sz="12" w:space="0" w:color="auto"/>
              <w:left w:val="nil"/>
              <w:bottom w:val="single" w:sz="12" w:space="0" w:color="auto"/>
              <w:right w:val="nil"/>
            </w:tcBorders>
            <w:vAlign w:val="center"/>
          </w:tcPr>
          <w:p w14:paraId="77D89337"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#Core-accounting issues</w:t>
            </w:r>
          </w:p>
        </w:tc>
        <w:tc>
          <w:tcPr>
            <w:tcW w:w="283" w:type="dxa"/>
            <w:gridSpan w:val="2"/>
            <w:tcBorders>
              <w:top w:val="single" w:sz="12" w:space="0" w:color="auto"/>
              <w:left w:val="nil"/>
              <w:bottom w:val="nil"/>
              <w:right w:val="nil"/>
            </w:tcBorders>
          </w:tcPr>
          <w:p w14:paraId="4A94A57B"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i/>
                <w:iCs/>
                <w:color w:val="000000"/>
                <w:sz w:val="12"/>
                <w:szCs w:val="12"/>
              </w:rPr>
            </w:pPr>
          </w:p>
        </w:tc>
        <w:tc>
          <w:tcPr>
            <w:tcW w:w="2538" w:type="dxa"/>
            <w:gridSpan w:val="6"/>
            <w:tcBorders>
              <w:top w:val="single" w:sz="12" w:space="0" w:color="auto"/>
              <w:left w:val="nil"/>
              <w:bottom w:val="single" w:sz="12" w:space="0" w:color="auto"/>
              <w:right w:val="nil"/>
            </w:tcBorders>
            <w:vAlign w:val="center"/>
          </w:tcPr>
          <w:p w14:paraId="439D4D4E"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#Non-core-accounting issues</w:t>
            </w:r>
          </w:p>
        </w:tc>
      </w:tr>
      <w:tr w:rsidR="00D955E0" w:rsidRPr="00E915AA" w14:paraId="5582034F" w14:textId="77777777" w:rsidTr="001520C5">
        <w:trPr>
          <w:gridAfter w:val="1"/>
          <w:wAfter w:w="8" w:type="dxa"/>
          <w:trHeight w:val="312"/>
        </w:trPr>
        <w:tc>
          <w:tcPr>
            <w:tcW w:w="972" w:type="dxa"/>
            <w:tcBorders>
              <w:top w:val="nil"/>
              <w:left w:val="nil"/>
              <w:bottom w:val="nil"/>
              <w:right w:val="nil"/>
            </w:tcBorders>
          </w:tcPr>
          <w:p w14:paraId="4155D83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DACC</w:t>
            </w:r>
          </w:p>
        </w:tc>
        <w:tc>
          <w:tcPr>
            <w:tcW w:w="236" w:type="dxa"/>
            <w:tcBorders>
              <w:top w:val="nil"/>
              <w:left w:val="nil"/>
              <w:bottom w:val="nil"/>
              <w:right w:val="nil"/>
            </w:tcBorders>
          </w:tcPr>
          <w:p w14:paraId="1554C0C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6F73488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2.361***</w:t>
            </w:r>
          </w:p>
          <w:p w14:paraId="34B19D5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(5.18)</w:t>
            </w:r>
          </w:p>
        </w:tc>
        <w:tc>
          <w:tcPr>
            <w:tcW w:w="992" w:type="dxa"/>
            <w:tcBorders>
              <w:top w:val="nil"/>
              <w:left w:val="nil"/>
              <w:bottom w:val="nil"/>
              <w:right w:val="nil"/>
            </w:tcBorders>
          </w:tcPr>
          <w:p w14:paraId="1CEEAF4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850" w:type="dxa"/>
            <w:tcBorders>
              <w:top w:val="nil"/>
              <w:left w:val="nil"/>
              <w:bottom w:val="nil"/>
              <w:right w:val="nil"/>
            </w:tcBorders>
          </w:tcPr>
          <w:p w14:paraId="0BC652D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4" w:type="dxa"/>
            <w:tcBorders>
              <w:top w:val="nil"/>
              <w:left w:val="nil"/>
              <w:bottom w:val="nil"/>
              <w:right w:val="nil"/>
            </w:tcBorders>
          </w:tcPr>
          <w:p w14:paraId="5264D01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090790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0.054**</w:t>
            </w:r>
          </w:p>
          <w:p w14:paraId="417F8D2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(1.96)</w:t>
            </w:r>
          </w:p>
        </w:tc>
        <w:tc>
          <w:tcPr>
            <w:tcW w:w="705" w:type="dxa"/>
            <w:tcBorders>
              <w:top w:val="nil"/>
              <w:left w:val="nil"/>
              <w:bottom w:val="nil"/>
              <w:right w:val="nil"/>
            </w:tcBorders>
          </w:tcPr>
          <w:p w14:paraId="5557174A"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9255C6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05" w:type="dxa"/>
            <w:tcBorders>
              <w:top w:val="nil"/>
              <w:left w:val="nil"/>
              <w:bottom w:val="nil"/>
              <w:right w:val="nil"/>
            </w:tcBorders>
          </w:tcPr>
          <w:p w14:paraId="7957CD0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3861D3B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0.111*</w:t>
            </w:r>
          </w:p>
          <w:p w14:paraId="1C051B6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(1.79)</w:t>
            </w:r>
          </w:p>
        </w:tc>
        <w:tc>
          <w:tcPr>
            <w:tcW w:w="727" w:type="dxa"/>
            <w:tcBorders>
              <w:top w:val="nil"/>
              <w:left w:val="nil"/>
              <w:bottom w:val="nil"/>
              <w:right w:val="nil"/>
            </w:tcBorders>
          </w:tcPr>
          <w:p w14:paraId="0AFA2B0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70" w:type="dxa"/>
            <w:tcBorders>
              <w:top w:val="nil"/>
              <w:left w:val="nil"/>
              <w:bottom w:val="nil"/>
              <w:right w:val="nil"/>
            </w:tcBorders>
          </w:tcPr>
          <w:p w14:paraId="3A51336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14" w:type="dxa"/>
            <w:tcBorders>
              <w:top w:val="nil"/>
              <w:left w:val="nil"/>
              <w:bottom w:val="nil"/>
              <w:right w:val="nil"/>
            </w:tcBorders>
          </w:tcPr>
          <w:p w14:paraId="582E1FC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7C851C6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0.153***</w:t>
            </w:r>
          </w:p>
          <w:p w14:paraId="19A0A8B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(3.82)</w:t>
            </w:r>
          </w:p>
        </w:tc>
        <w:tc>
          <w:tcPr>
            <w:tcW w:w="720" w:type="dxa"/>
            <w:tcBorders>
              <w:top w:val="nil"/>
              <w:left w:val="nil"/>
              <w:bottom w:val="nil"/>
              <w:right w:val="nil"/>
            </w:tcBorders>
          </w:tcPr>
          <w:p w14:paraId="4374442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9" w:type="dxa"/>
            <w:gridSpan w:val="2"/>
            <w:tcBorders>
              <w:top w:val="nil"/>
              <w:left w:val="nil"/>
              <w:bottom w:val="nil"/>
              <w:right w:val="nil"/>
            </w:tcBorders>
          </w:tcPr>
          <w:p w14:paraId="5E683CD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3" w:type="dxa"/>
            <w:gridSpan w:val="2"/>
            <w:tcBorders>
              <w:top w:val="nil"/>
              <w:left w:val="nil"/>
              <w:bottom w:val="nil"/>
              <w:right w:val="nil"/>
            </w:tcBorders>
          </w:tcPr>
          <w:p w14:paraId="5FF2599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6F6502F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1.155</w:t>
            </w:r>
          </w:p>
          <w:p w14:paraId="112FFEF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(1.29)</w:t>
            </w:r>
          </w:p>
        </w:tc>
        <w:tc>
          <w:tcPr>
            <w:tcW w:w="824" w:type="dxa"/>
            <w:gridSpan w:val="2"/>
            <w:tcBorders>
              <w:top w:val="nil"/>
              <w:left w:val="nil"/>
              <w:bottom w:val="nil"/>
              <w:right w:val="nil"/>
            </w:tcBorders>
          </w:tcPr>
          <w:p w14:paraId="79555B5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36" w:type="dxa"/>
            <w:gridSpan w:val="2"/>
            <w:tcBorders>
              <w:top w:val="nil"/>
              <w:left w:val="nil"/>
              <w:bottom w:val="nil"/>
              <w:right w:val="nil"/>
            </w:tcBorders>
          </w:tcPr>
          <w:p w14:paraId="5A9D097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r>
      <w:tr w:rsidR="00D955E0" w:rsidRPr="00E915AA" w14:paraId="7B955538" w14:textId="77777777" w:rsidTr="001520C5">
        <w:trPr>
          <w:gridAfter w:val="1"/>
          <w:wAfter w:w="8" w:type="dxa"/>
          <w:trHeight w:val="312"/>
        </w:trPr>
        <w:tc>
          <w:tcPr>
            <w:tcW w:w="972" w:type="dxa"/>
            <w:tcBorders>
              <w:top w:val="nil"/>
              <w:left w:val="nil"/>
              <w:bottom w:val="nil"/>
              <w:right w:val="nil"/>
            </w:tcBorders>
          </w:tcPr>
          <w:p w14:paraId="77C5D40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ACFO</w:t>
            </w:r>
          </w:p>
        </w:tc>
        <w:tc>
          <w:tcPr>
            <w:tcW w:w="236" w:type="dxa"/>
            <w:tcBorders>
              <w:top w:val="nil"/>
              <w:left w:val="nil"/>
              <w:bottom w:val="nil"/>
              <w:right w:val="nil"/>
            </w:tcBorders>
          </w:tcPr>
          <w:p w14:paraId="7B64D53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66542E0A"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842" w:type="dxa"/>
            <w:gridSpan w:val="2"/>
            <w:tcBorders>
              <w:top w:val="nil"/>
              <w:left w:val="nil"/>
              <w:bottom w:val="nil"/>
              <w:right w:val="nil"/>
            </w:tcBorders>
          </w:tcPr>
          <w:p w14:paraId="4677231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0.698*</w:t>
            </w:r>
          </w:p>
          <w:p w14:paraId="638A84B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(1.85)</w:t>
            </w:r>
          </w:p>
        </w:tc>
        <w:tc>
          <w:tcPr>
            <w:tcW w:w="284" w:type="dxa"/>
            <w:tcBorders>
              <w:top w:val="nil"/>
              <w:left w:val="nil"/>
              <w:bottom w:val="nil"/>
              <w:right w:val="nil"/>
            </w:tcBorders>
          </w:tcPr>
          <w:p w14:paraId="5413673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76C2618"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396" w:type="dxa"/>
            <w:gridSpan w:val="2"/>
            <w:tcBorders>
              <w:top w:val="nil"/>
              <w:left w:val="nil"/>
              <w:bottom w:val="nil"/>
              <w:right w:val="nil"/>
            </w:tcBorders>
          </w:tcPr>
          <w:p w14:paraId="5AFE0A2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0.016</w:t>
            </w:r>
          </w:p>
          <w:p w14:paraId="5ED89D8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(0.57)</w:t>
            </w:r>
          </w:p>
        </w:tc>
        <w:tc>
          <w:tcPr>
            <w:tcW w:w="405" w:type="dxa"/>
            <w:tcBorders>
              <w:top w:val="nil"/>
              <w:left w:val="nil"/>
              <w:bottom w:val="nil"/>
              <w:right w:val="nil"/>
            </w:tcBorders>
          </w:tcPr>
          <w:p w14:paraId="371F838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4F05C32F"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727" w:type="dxa"/>
            <w:tcBorders>
              <w:top w:val="nil"/>
              <w:left w:val="nil"/>
              <w:bottom w:val="nil"/>
              <w:right w:val="nil"/>
            </w:tcBorders>
          </w:tcPr>
          <w:p w14:paraId="2B1DC68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0.064</w:t>
            </w:r>
          </w:p>
          <w:p w14:paraId="3056FF5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w:t>
            </w:r>
          </w:p>
        </w:tc>
        <w:tc>
          <w:tcPr>
            <w:tcW w:w="670" w:type="dxa"/>
            <w:tcBorders>
              <w:top w:val="nil"/>
              <w:left w:val="nil"/>
              <w:bottom w:val="nil"/>
              <w:right w:val="nil"/>
            </w:tcBorders>
          </w:tcPr>
          <w:p w14:paraId="148D961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14" w:type="dxa"/>
            <w:tcBorders>
              <w:top w:val="nil"/>
              <w:left w:val="nil"/>
              <w:bottom w:val="nil"/>
              <w:right w:val="nil"/>
            </w:tcBorders>
          </w:tcPr>
          <w:p w14:paraId="16C333F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59AD5522"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699" w:type="dxa"/>
            <w:gridSpan w:val="3"/>
            <w:tcBorders>
              <w:top w:val="nil"/>
              <w:left w:val="nil"/>
              <w:bottom w:val="nil"/>
              <w:right w:val="nil"/>
            </w:tcBorders>
          </w:tcPr>
          <w:p w14:paraId="69A7E15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0.057</w:t>
            </w:r>
          </w:p>
          <w:p w14:paraId="687D180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(0.89)</w:t>
            </w:r>
          </w:p>
        </w:tc>
        <w:tc>
          <w:tcPr>
            <w:tcW w:w="283" w:type="dxa"/>
            <w:gridSpan w:val="2"/>
            <w:tcBorders>
              <w:top w:val="nil"/>
              <w:left w:val="nil"/>
              <w:bottom w:val="nil"/>
              <w:right w:val="nil"/>
            </w:tcBorders>
          </w:tcPr>
          <w:p w14:paraId="220FB8A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502CD9E1"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560" w:type="dxa"/>
            <w:gridSpan w:val="4"/>
            <w:tcBorders>
              <w:top w:val="nil"/>
              <w:left w:val="nil"/>
              <w:bottom w:val="nil"/>
              <w:right w:val="nil"/>
            </w:tcBorders>
          </w:tcPr>
          <w:p w14:paraId="63AF717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1.752*</w:t>
            </w:r>
          </w:p>
          <w:p w14:paraId="5C9FDAA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(1.64)</w:t>
            </w:r>
          </w:p>
        </w:tc>
      </w:tr>
      <w:tr w:rsidR="00D955E0" w:rsidRPr="00E915AA" w14:paraId="10F45A50" w14:textId="77777777" w:rsidTr="001520C5">
        <w:trPr>
          <w:gridAfter w:val="1"/>
          <w:wAfter w:w="8" w:type="dxa"/>
          <w:trHeight w:val="312"/>
        </w:trPr>
        <w:tc>
          <w:tcPr>
            <w:tcW w:w="972" w:type="dxa"/>
            <w:tcBorders>
              <w:top w:val="nil"/>
              <w:left w:val="nil"/>
              <w:bottom w:val="nil"/>
              <w:right w:val="nil"/>
            </w:tcBorders>
          </w:tcPr>
          <w:p w14:paraId="2AF349E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i/>
                <w:iCs/>
                <w:color w:val="000000"/>
                <w:sz w:val="12"/>
                <w:szCs w:val="12"/>
              </w:rPr>
            </w:pPr>
            <w:r w:rsidRPr="00E915AA">
              <w:rPr>
                <w:rFonts w:ascii="Times New Roman" w:eastAsia="Calibri" w:hAnsi="Times New Roman" w:cs="Times New Roman"/>
                <w:i/>
                <w:iCs/>
                <w:color w:val="000000"/>
                <w:sz w:val="12"/>
                <w:szCs w:val="12"/>
              </w:rPr>
              <w:t>ADISEXP</w:t>
            </w:r>
          </w:p>
        </w:tc>
        <w:tc>
          <w:tcPr>
            <w:tcW w:w="236" w:type="dxa"/>
            <w:tcBorders>
              <w:top w:val="nil"/>
              <w:left w:val="nil"/>
              <w:bottom w:val="nil"/>
              <w:right w:val="nil"/>
            </w:tcBorders>
          </w:tcPr>
          <w:p w14:paraId="5266961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44996153"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992" w:type="dxa"/>
            <w:tcBorders>
              <w:top w:val="nil"/>
              <w:left w:val="nil"/>
              <w:bottom w:val="nil"/>
              <w:right w:val="nil"/>
            </w:tcBorders>
          </w:tcPr>
          <w:p w14:paraId="4B378CFC"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134" w:type="dxa"/>
            <w:gridSpan w:val="2"/>
            <w:tcBorders>
              <w:top w:val="nil"/>
              <w:left w:val="nil"/>
              <w:bottom w:val="nil"/>
              <w:right w:val="nil"/>
            </w:tcBorders>
          </w:tcPr>
          <w:p w14:paraId="2D28859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-1.322***</w:t>
            </w:r>
          </w:p>
          <w:p w14:paraId="069A278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(-5.2)</w:t>
            </w:r>
          </w:p>
        </w:tc>
        <w:tc>
          <w:tcPr>
            <w:tcW w:w="691" w:type="dxa"/>
            <w:tcBorders>
              <w:top w:val="nil"/>
              <w:left w:val="nil"/>
              <w:bottom w:val="nil"/>
              <w:right w:val="nil"/>
            </w:tcBorders>
          </w:tcPr>
          <w:p w14:paraId="62EC5EC8"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705" w:type="dxa"/>
            <w:tcBorders>
              <w:top w:val="nil"/>
              <w:left w:val="nil"/>
              <w:bottom w:val="nil"/>
              <w:right w:val="nil"/>
            </w:tcBorders>
          </w:tcPr>
          <w:p w14:paraId="20FD0396"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096" w:type="dxa"/>
            <w:gridSpan w:val="2"/>
            <w:tcBorders>
              <w:top w:val="nil"/>
              <w:left w:val="nil"/>
              <w:bottom w:val="nil"/>
              <w:right w:val="nil"/>
            </w:tcBorders>
          </w:tcPr>
          <w:p w14:paraId="257F5EA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-0.012</w:t>
            </w:r>
          </w:p>
          <w:p w14:paraId="225FA36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(-0.81)</w:t>
            </w:r>
          </w:p>
        </w:tc>
        <w:tc>
          <w:tcPr>
            <w:tcW w:w="900" w:type="dxa"/>
            <w:tcBorders>
              <w:top w:val="nil"/>
              <w:left w:val="nil"/>
              <w:bottom w:val="nil"/>
              <w:right w:val="nil"/>
            </w:tcBorders>
          </w:tcPr>
          <w:p w14:paraId="4A0CAC17"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727" w:type="dxa"/>
            <w:tcBorders>
              <w:top w:val="nil"/>
              <w:left w:val="nil"/>
              <w:bottom w:val="nil"/>
              <w:right w:val="nil"/>
            </w:tcBorders>
          </w:tcPr>
          <w:p w14:paraId="6332C9FE"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084" w:type="dxa"/>
            <w:gridSpan w:val="2"/>
            <w:tcBorders>
              <w:top w:val="nil"/>
              <w:left w:val="nil"/>
              <w:bottom w:val="nil"/>
              <w:right w:val="nil"/>
            </w:tcBorders>
          </w:tcPr>
          <w:p w14:paraId="2E7BF4B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w:t>
            </w:r>
          </w:p>
          <w:p w14:paraId="6468938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(-0.61)</w:t>
            </w:r>
          </w:p>
        </w:tc>
        <w:tc>
          <w:tcPr>
            <w:tcW w:w="723" w:type="dxa"/>
            <w:tcBorders>
              <w:top w:val="nil"/>
              <w:left w:val="nil"/>
              <w:bottom w:val="nil"/>
              <w:right w:val="nil"/>
            </w:tcBorders>
          </w:tcPr>
          <w:p w14:paraId="1AEFB972"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720" w:type="dxa"/>
            <w:tcBorders>
              <w:top w:val="nil"/>
              <w:left w:val="nil"/>
              <w:bottom w:val="nil"/>
              <w:right w:val="nil"/>
            </w:tcBorders>
          </w:tcPr>
          <w:p w14:paraId="79AA0E5F"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1262" w:type="dxa"/>
            <w:gridSpan w:val="4"/>
            <w:tcBorders>
              <w:top w:val="nil"/>
              <w:left w:val="nil"/>
              <w:bottom w:val="nil"/>
              <w:right w:val="nil"/>
            </w:tcBorders>
          </w:tcPr>
          <w:p w14:paraId="0BF6490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-0.053</w:t>
            </w:r>
          </w:p>
          <w:p w14:paraId="025D38F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w:t>
            </w:r>
          </w:p>
        </w:tc>
        <w:tc>
          <w:tcPr>
            <w:tcW w:w="978" w:type="dxa"/>
            <w:gridSpan w:val="2"/>
            <w:tcBorders>
              <w:top w:val="nil"/>
              <w:left w:val="nil"/>
              <w:bottom w:val="nil"/>
              <w:right w:val="nil"/>
            </w:tcBorders>
          </w:tcPr>
          <w:p w14:paraId="4D5FFD67"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824" w:type="dxa"/>
            <w:gridSpan w:val="2"/>
            <w:tcBorders>
              <w:top w:val="nil"/>
              <w:left w:val="nil"/>
              <w:bottom w:val="nil"/>
              <w:right w:val="nil"/>
            </w:tcBorders>
          </w:tcPr>
          <w:p w14:paraId="76893ACC" w14:textId="77777777" w:rsidR="00D955E0" w:rsidRPr="00E915AA" w:rsidRDefault="00D955E0" w:rsidP="001520C5">
            <w:pPr>
              <w:autoSpaceDE w:val="0"/>
              <w:autoSpaceDN w:val="0"/>
              <w:adjustRightInd w:val="0"/>
              <w:spacing w:after="0" w:line="240" w:lineRule="auto"/>
              <w:jc w:val="right"/>
              <w:rPr>
                <w:rFonts w:ascii="Times New Roman" w:eastAsia="Calibri" w:hAnsi="Times New Roman" w:cs="Times New Roman"/>
                <w:color w:val="000000"/>
                <w:sz w:val="12"/>
                <w:szCs w:val="12"/>
              </w:rPr>
            </w:pPr>
          </w:p>
        </w:tc>
        <w:tc>
          <w:tcPr>
            <w:tcW w:w="736" w:type="dxa"/>
            <w:gridSpan w:val="2"/>
            <w:tcBorders>
              <w:top w:val="nil"/>
              <w:left w:val="nil"/>
              <w:bottom w:val="nil"/>
              <w:right w:val="nil"/>
            </w:tcBorders>
          </w:tcPr>
          <w:p w14:paraId="09A1A7E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-1.296</w:t>
            </w:r>
          </w:p>
          <w:p w14:paraId="19B35C9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(-1.45)</w:t>
            </w:r>
          </w:p>
        </w:tc>
      </w:tr>
      <w:tr w:rsidR="00D955E0" w:rsidRPr="00E915AA" w14:paraId="2CEEABA3" w14:textId="77777777" w:rsidTr="001520C5">
        <w:trPr>
          <w:gridAfter w:val="1"/>
          <w:wAfter w:w="8" w:type="dxa"/>
          <w:trHeight w:val="312"/>
        </w:trPr>
        <w:tc>
          <w:tcPr>
            <w:tcW w:w="972" w:type="dxa"/>
            <w:tcBorders>
              <w:top w:val="nil"/>
              <w:left w:val="nil"/>
              <w:bottom w:val="nil"/>
              <w:right w:val="nil"/>
            </w:tcBorders>
          </w:tcPr>
          <w:p w14:paraId="093964C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proofErr w:type="spellStart"/>
            <w:r w:rsidRPr="00E915AA">
              <w:rPr>
                <w:rFonts w:ascii="Times New Roman" w:eastAsia="Calibri" w:hAnsi="Times New Roman" w:cs="Times New Roman"/>
                <w:color w:val="000000"/>
                <w:sz w:val="12"/>
                <w:szCs w:val="12"/>
              </w:rPr>
              <w:t>LnSize</w:t>
            </w:r>
            <w:proofErr w:type="spellEnd"/>
          </w:p>
        </w:tc>
        <w:tc>
          <w:tcPr>
            <w:tcW w:w="236" w:type="dxa"/>
            <w:tcBorders>
              <w:top w:val="nil"/>
              <w:left w:val="nil"/>
              <w:bottom w:val="nil"/>
              <w:right w:val="nil"/>
            </w:tcBorders>
          </w:tcPr>
          <w:p w14:paraId="79DC55E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14D935F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-2.174</w:t>
            </w:r>
          </w:p>
          <w:p w14:paraId="6BF75E7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(-0.72)</w:t>
            </w:r>
          </w:p>
        </w:tc>
        <w:tc>
          <w:tcPr>
            <w:tcW w:w="992" w:type="dxa"/>
            <w:tcBorders>
              <w:top w:val="nil"/>
              <w:left w:val="nil"/>
              <w:bottom w:val="nil"/>
              <w:right w:val="nil"/>
            </w:tcBorders>
          </w:tcPr>
          <w:p w14:paraId="0BEF644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-2.428</w:t>
            </w:r>
          </w:p>
          <w:p w14:paraId="79E7C7F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(-0.79)</w:t>
            </w:r>
          </w:p>
        </w:tc>
        <w:tc>
          <w:tcPr>
            <w:tcW w:w="850" w:type="dxa"/>
            <w:tcBorders>
              <w:top w:val="nil"/>
              <w:left w:val="nil"/>
              <w:bottom w:val="nil"/>
              <w:right w:val="nil"/>
            </w:tcBorders>
          </w:tcPr>
          <w:p w14:paraId="4BF05C4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-2.228</w:t>
            </w:r>
          </w:p>
          <w:p w14:paraId="5F11C7B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(-0.81)</w:t>
            </w:r>
          </w:p>
        </w:tc>
        <w:tc>
          <w:tcPr>
            <w:tcW w:w="284" w:type="dxa"/>
            <w:tcBorders>
              <w:top w:val="nil"/>
              <w:left w:val="nil"/>
              <w:bottom w:val="nil"/>
              <w:right w:val="nil"/>
            </w:tcBorders>
          </w:tcPr>
          <w:p w14:paraId="4827BE3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37B89AF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-0.045</w:t>
            </w:r>
          </w:p>
          <w:p w14:paraId="401EF4C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(-0.45)</w:t>
            </w:r>
          </w:p>
        </w:tc>
        <w:tc>
          <w:tcPr>
            <w:tcW w:w="705" w:type="dxa"/>
            <w:tcBorders>
              <w:top w:val="nil"/>
              <w:left w:val="nil"/>
              <w:bottom w:val="nil"/>
              <w:right w:val="nil"/>
            </w:tcBorders>
          </w:tcPr>
          <w:p w14:paraId="7EA0CBA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-0.05</w:t>
            </w:r>
          </w:p>
          <w:p w14:paraId="79B1DEA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(-0.48)</w:t>
            </w:r>
          </w:p>
        </w:tc>
        <w:tc>
          <w:tcPr>
            <w:tcW w:w="691" w:type="dxa"/>
            <w:tcBorders>
              <w:top w:val="nil"/>
              <w:left w:val="nil"/>
              <w:bottom w:val="nil"/>
              <w:right w:val="nil"/>
            </w:tcBorders>
          </w:tcPr>
          <w:p w14:paraId="37B8430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-0.048</w:t>
            </w:r>
          </w:p>
          <w:p w14:paraId="32F0359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(-0.43)</w:t>
            </w:r>
          </w:p>
        </w:tc>
        <w:tc>
          <w:tcPr>
            <w:tcW w:w="405" w:type="dxa"/>
            <w:tcBorders>
              <w:top w:val="nil"/>
              <w:left w:val="nil"/>
              <w:bottom w:val="nil"/>
              <w:right w:val="nil"/>
            </w:tcBorders>
          </w:tcPr>
          <w:p w14:paraId="4444B7B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1B49143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0.047</w:t>
            </w:r>
          </w:p>
          <w:p w14:paraId="5D98696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(0.63)</w:t>
            </w:r>
          </w:p>
        </w:tc>
        <w:tc>
          <w:tcPr>
            <w:tcW w:w="727" w:type="dxa"/>
            <w:tcBorders>
              <w:top w:val="nil"/>
              <w:left w:val="nil"/>
              <w:bottom w:val="nil"/>
              <w:right w:val="nil"/>
            </w:tcBorders>
          </w:tcPr>
          <w:p w14:paraId="3B115B5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0.028</w:t>
            </w:r>
          </w:p>
          <w:p w14:paraId="23E9927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(0.35)</w:t>
            </w:r>
          </w:p>
        </w:tc>
        <w:tc>
          <w:tcPr>
            <w:tcW w:w="670" w:type="dxa"/>
            <w:tcBorders>
              <w:top w:val="nil"/>
              <w:left w:val="nil"/>
              <w:bottom w:val="nil"/>
              <w:right w:val="nil"/>
            </w:tcBorders>
          </w:tcPr>
          <w:p w14:paraId="52A496C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0.015</w:t>
            </w:r>
          </w:p>
          <w:p w14:paraId="0F38347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(0.13)</w:t>
            </w:r>
          </w:p>
        </w:tc>
        <w:tc>
          <w:tcPr>
            <w:tcW w:w="414" w:type="dxa"/>
            <w:tcBorders>
              <w:top w:val="nil"/>
              <w:left w:val="nil"/>
              <w:bottom w:val="nil"/>
              <w:right w:val="nil"/>
            </w:tcBorders>
          </w:tcPr>
          <w:p w14:paraId="7A40B41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1F496C1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0.25*</w:t>
            </w:r>
          </w:p>
          <w:p w14:paraId="5EC4558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(1.65)</w:t>
            </w:r>
          </w:p>
        </w:tc>
        <w:tc>
          <w:tcPr>
            <w:tcW w:w="720" w:type="dxa"/>
            <w:tcBorders>
              <w:top w:val="nil"/>
              <w:left w:val="nil"/>
              <w:bottom w:val="nil"/>
              <w:right w:val="nil"/>
            </w:tcBorders>
          </w:tcPr>
          <w:p w14:paraId="2D128F4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0.219</w:t>
            </w:r>
          </w:p>
          <w:p w14:paraId="3C0EC80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(1.53)</w:t>
            </w:r>
          </w:p>
        </w:tc>
        <w:tc>
          <w:tcPr>
            <w:tcW w:w="979" w:type="dxa"/>
            <w:gridSpan w:val="2"/>
            <w:tcBorders>
              <w:top w:val="nil"/>
              <w:left w:val="nil"/>
              <w:bottom w:val="nil"/>
              <w:right w:val="nil"/>
            </w:tcBorders>
          </w:tcPr>
          <w:p w14:paraId="1E1D2B8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0.111</w:t>
            </w:r>
          </w:p>
          <w:p w14:paraId="601AE81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(0.56)</w:t>
            </w:r>
          </w:p>
        </w:tc>
        <w:tc>
          <w:tcPr>
            <w:tcW w:w="283" w:type="dxa"/>
            <w:gridSpan w:val="2"/>
            <w:tcBorders>
              <w:top w:val="nil"/>
              <w:left w:val="nil"/>
              <w:bottom w:val="nil"/>
              <w:right w:val="nil"/>
            </w:tcBorders>
          </w:tcPr>
          <w:p w14:paraId="0346168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32DB8CB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1.841</w:t>
            </w:r>
          </w:p>
          <w:p w14:paraId="2BB2277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(1.62)</w:t>
            </w:r>
          </w:p>
        </w:tc>
        <w:tc>
          <w:tcPr>
            <w:tcW w:w="824" w:type="dxa"/>
            <w:gridSpan w:val="2"/>
            <w:tcBorders>
              <w:top w:val="nil"/>
              <w:left w:val="nil"/>
              <w:bottom w:val="nil"/>
              <w:right w:val="nil"/>
            </w:tcBorders>
          </w:tcPr>
          <w:p w14:paraId="6CA1E38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1.494</w:t>
            </w:r>
          </w:p>
          <w:p w14:paraId="19A30C0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(1.24)</w:t>
            </w:r>
          </w:p>
        </w:tc>
        <w:tc>
          <w:tcPr>
            <w:tcW w:w="736" w:type="dxa"/>
            <w:gridSpan w:val="2"/>
            <w:tcBorders>
              <w:top w:val="nil"/>
              <w:left w:val="nil"/>
              <w:bottom w:val="nil"/>
              <w:right w:val="nil"/>
            </w:tcBorders>
          </w:tcPr>
          <w:p w14:paraId="1F1091B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1.346</w:t>
            </w:r>
          </w:p>
          <w:p w14:paraId="59B26C3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(0.94)</w:t>
            </w:r>
          </w:p>
        </w:tc>
      </w:tr>
      <w:tr w:rsidR="00D955E0" w:rsidRPr="00E915AA" w14:paraId="6948FA39" w14:textId="77777777" w:rsidTr="001520C5">
        <w:trPr>
          <w:gridAfter w:val="1"/>
          <w:wAfter w:w="8" w:type="dxa"/>
          <w:trHeight w:val="312"/>
        </w:trPr>
        <w:tc>
          <w:tcPr>
            <w:tcW w:w="972" w:type="dxa"/>
            <w:tcBorders>
              <w:top w:val="nil"/>
              <w:left w:val="nil"/>
              <w:bottom w:val="nil"/>
              <w:right w:val="nil"/>
            </w:tcBorders>
          </w:tcPr>
          <w:p w14:paraId="5B3B596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Leverage</w:t>
            </w:r>
          </w:p>
        </w:tc>
        <w:tc>
          <w:tcPr>
            <w:tcW w:w="236" w:type="dxa"/>
            <w:tcBorders>
              <w:top w:val="nil"/>
              <w:left w:val="nil"/>
              <w:bottom w:val="nil"/>
              <w:right w:val="nil"/>
            </w:tcBorders>
          </w:tcPr>
          <w:p w14:paraId="0EE12E9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6FC61C5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-0.002</w:t>
            </w:r>
          </w:p>
          <w:p w14:paraId="1E3A379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w:t>
            </w:r>
          </w:p>
        </w:tc>
        <w:tc>
          <w:tcPr>
            <w:tcW w:w="992" w:type="dxa"/>
            <w:tcBorders>
              <w:top w:val="nil"/>
              <w:left w:val="nil"/>
              <w:bottom w:val="nil"/>
              <w:right w:val="nil"/>
            </w:tcBorders>
          </w:tcPr>
          <w:p w14:paraId="3A7414D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0.015</w:t>
            </w:r>
          </w:p>
          <w:p w14:paraId="12506CA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(0.06)</w:t>
            </w:r>
          </w:p>
        </w:tc>
        <w:tc>
          <w:tcPr>
            <w:tcW w:w="850" w:type="dxa"/>
            <w:tcBorders>
              <w:top w:val="nil"/>
              <w:left w:val="nil"/>
              <w:bottom w:val="nil"/>
              <w:right w:val="nil"/>
            </w:tcBorders>
          </w:tcPr>
          <w:p w14:paraId="3264EF6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-0.197</w:t>
            </w:r>
          </w:p>
          <w:p w14:paraId="654106C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(-0.96)</w:t>
            </w:r>
          </w:p>
        </w:tc>
        <w:tc>
          <w:tcPr>
            <w:tcW w:w="284" w:type="dxa"/>
            <w:tcBorders>
              <w:top w:val="nil"/>
              <w:left w:val="nil"/>
              <w:bottom w:val="nil"/>
              <w:right w:val="nil"/>
            </w:tcBorders>
          </w:tcPr>
          <w:p w14:paraId="0AACE6C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261DC01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0.003</w:t>
            </w:r>
          </w:p>
          <w:p w14:paraId="5E5E6EB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(1.14)</w:t>
            </w:r>
          </w:p>
        </w:tc>
        <w:tc>
          <w:tcPr>
            <w:tcW w:w="705" w:type="dxa"/>
            <w:tcBorders>
              <w:top w:val="nil"/>
              <w:left w:val="nil"/>
              <w:bottom w:val="nil"/>
              <w:right w:val="nil"/>
            </w:tcBorders>
          </w:tcPr>
          <w:p w14:paraId="67C97BA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0.003</w:t>
            </w:r>
          </w:p>
          <w:p w14:paraId="379A93F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(1.07)</w:t>
            </w:r>
          </w:p>
        </w:tc>
        <w:tc>
          <w:tcPr>
            <w:tcW w:w="691" w:type="dxa"/>
            <w:tcBorders>
              <w:top w:val="nil"/>
              <w:left w:val="nil"/>
              <w:bottom w:val="nil"/>
              <w:right w:val="nil"/>
            </w:tcBorders>
          </w:tcPr>
          <w:p w14:paraId="402AFE5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0.002</w:t>
            </w:r>
          </w:p>
          <w:p w14:paraId="4C6CFFE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(0.79)</w:t>
            </w:r>
          </w:p>
        </w:tc>
        <w:tc>
          <w:tcPr>
            <w:tcW w:w="405" w:type="dxa"/>
            <w:tcBorders>
              <w:top w:val="nil"/>
              <w:left w:val="nil"/>
              <w:bottom w:val="nil"/>
              <w:right w:val="nil"/>
            </w:tcBorders>
          </w:tcPr>
          <w:p w14:paraId="0CA199F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2E9C147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0.001</w:t>
            </w:r>
          </w:p>
          <w:p w14:paraId="34C9BF2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(0.17)</w:t>
            </w:r>
          </w:p>
        </w:tc>
        <w:tc>
          <w:tcPr>
            <w:tcW w:w="727" w:type="dxa"/>
            <w:tcBorders>
              <w:top w:val="nil"/>
              <w:left w:val="nil"/>
              <w:bottom w:val="nil"/>
              <w:right w:val="nil"/>
            </w:tcBorders>
          </w:tcPr>
          <w:p w14:paraId="3AB6C4D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0.002</w:t>
            </w:r>
          </w:p>
          <w:p w14:paraId="10AA09C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(0.43)</w:t>
            </w:r>
          </w:p>
        </w:tc>
        <w:tc>
          <w:tcPr>
            <w:tcW w:w="670" w:type="dxa"/>
            <w:tcBorders>
              <w:top w:val="nil"/>
              <w:left w:val="nil"/>
              <w:bottom w:val="nil"/>
              <w:right w:val="nil"/>
            </w:tcBorders>
          </w:tcPr>
          <w:p w14:paraId="6645EE6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0.001</w:t>
            </w:r>
          </w:p>
          <w:p w14:paraId="23D8FBA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(0.17)</w:t>
            </w:r>
          </w:p>
        </w:tc>
        <w:tc>
          <w:tcPr>
            <w:tcW w:w="414" w:type="dxa"/>
            <w:tcBorders>
              <w:top w:val="nil"/>
              <w:left w:val="nil"/>
              <w:bottom w:val="nil"/>
              <w:right w:val="nil"/>
            </w:tcBorders>
          </w:tcPr>
          <w:p w14:paraId="563C168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5A3839F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-0.006</w:t>
            </w:r>
          </w:p>
          <w:p w14:paraId="3A14902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(-0.39)</w:t>
            </w:r>
          </w:p>
        </w:tc>
        <w:tc>
          <w:tcPr>
            <w:tcW w:w="720" w:type="dxa"/>
            <w:tcBorders>
              <w:top w:val="nil"/>
              <w:left w:val="nil"/>
              <w:bottom w:val="nil"/>
              <w:right w:val="nil"/>
            </w:tcBorders>
          </w:tcPr>
          <w:p w14:paraId="41EBC0D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-0.002</w:t>
            </w:r>
          </w:p>
          <w:p w14:paraId="0C522F0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(-0.16)</w:t>
            </w:r>
          </w:p>
        </w:tc>
        <w:tc>
          <w:tcPr>
            <w:tcW w:w="979" w:type="dxa"/>
            <w:gridSpan w:val="2"/>
            <w:tcBorders>
              <w:top w:val="nil"/>
              <w:left w:val="nil"/>
              <w:bottom w:val="nil"/>
              <w:right w:val="nil"/>
            </w:tcBorders>
          </w:tcPr>
          <w:p w14:paraId="47E221F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0.004</w:t>
            </w:r>
          </w:p>
          <w:p w14:paraId="493DCA1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(0.23)</w:t>
            </w:r>
          </w:p>
        </w:tc>
        <w:tc>
          <w:tcPr>
            <w:tcW w:w="283" w:type="dxa"/>
            <w:gridSpan w:val="2"/>
            <w:tcBorders>
              <w:top w:val="nil"/>
              <w:left w:val="nil"/>
              <w:bottom w:val="nil"/>
              <w:right w:val="nil"/>
            </w:tcBorders>
          </w:tcPr>
          <w:p w14:paraId="627E812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2A2DF39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-0.027</w:t>
            </w:r>
          </w:p>
          <w:p w14:paraId="3FE5A3D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(-0.35)</w:t>
            </w:r>
          </w:p>
        </w:tc>
        <w:tc>
          <w:tcPr>
            <w:tcW w:w="824" w:type="dxa"/>
            <w:gridSpan w:val="2"/>
            <w:tcBorders>
              <w:top w:val="nil"/>
              <w:left w:val="nil"/>
              <w:bottom w:val="nil"/>
              <w:right w:val="nil"/>
            </w:tcBorders>
          </w:tcPr>
          <w:p w14:paraId="67CB68B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-0.015</w:t>
            </w:r>
          </w:p>
          <w:p w14:paraId="017D06C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(-0.22)</w:t>
            </w:r>
          </w:p>
        </w:tc>
        <w:tc>
          <w:tcPr>
            <w:tcW w:w="736" w:type="dxa"/>
            <w:gridSpan w:val="2"/>
            <w:tcBorders>
              <w:top w:val="nil"/>
              <w:left w:val="nil"/>
              <w:bottom w:val="nil"/>
              <w:right w:val="nil"/>
            </w:tcBorders>
          </w:tcPr>
          <w:p w14:paraId="3478DE8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-0.022</w:t>
            </w:r>
          </w:p>
          <w:p w14:paraId="1BFD8E4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(-0.26)</w:t>
            </w:r>
          </w:p>
        </w:tc>
      </w:tr>
      <w:tr w:rsidR="00D955E0" w:rsidRPr="00E915AA" w14:paraId="4CC854B3" w14:textId="77777777" w:rsidTr="001520C5">
        <w:trPr>
          <w:gridAfter w:val="1"/>
          <w:wAfter w:w="8" w:type="dxa"/>
          <w:trHeight w:val="312"/>
        </w:trPr>
        <w:tc>
          <w:tcPr>
            <w:tcW w:w="972" w:type="dxa"/>
            <w:tcBorders>
              <w:top w:val="nil"/>
              <w:left w:val="nil"/>
              <w:bottom w:val="nil"/>
              <w:right w:val="nil"/>
            </w:tcBorders>
          </w:tcPr>
          <w:p w14:paraId="2FB4418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Firm age</w:t>
            </w:r>
          </w:p>
        </w:tc>
        <w:tc>
          <w:tcPr>
            <w:tcW w:w="236" w:type="dxa"/>
            <w:tcBorders>
              <w:top w:val="nil"/>
              <w:left w:val="nil"/>
              <w:bottom w:val="nil"/>
              <w:right w:val="nil"/>
            </w:tcBorders>
          </w:tcPr>
          <w:p w14:paraId="3142878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6056E5D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2.446***</w:t>
            </w:r>
          </w:p>
          <w:p w14:paraId="00BC5D1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(3.31)</w:t>
            </w:r>
          </w:p>
        </w:tc>
        <w:tc>
          <w:tcPr>
            <w:tcW w:w="992" w:type="dxa"/>
            <w:tcBorders>
              <w:top w:val="nil"/>
              <w:left w:val="nil"/>
              <w:bottom w:val="nil"/>
              <w:right w:val="nil"/>
            </w:tcBorders>
          </w:tcPr>
          <w:p w14:paraId="554C427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2.4***</w:t>
            </w:r>
          </w:p>
          <w:p w14:paraId="699E22B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(3.25)</w:t>
            </w:r>
          </w:p>
        </w:tc>
        <w:tc>
          <w:tcPr>
            <w:tcW w:w="850" w:type="dxa"/>
            <w:tcBorders>
              <w:top w:val="nil"/>
              <w:left w:val="nil"/>
              <w:bottom w:val="nil"/>
              <w:right w:val="nil"/>
            </w:tcBorders>
          </w:tcPr>
          <w:p w14:paraId="72A6FC8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2.51***</w:t>
            </w:r>
          </w:p>
          <w:p w14:paraId="0B33BC4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(3.06)</w:t>
            </w:r>
          </w:p>
        </w:tc>
        <w:tc>
          <w:tcPr>
            <w:tcW w:w="284" w:type="dxa"/>
            <w:tcBorders>
              <w:top w:val="nil"/>
              <w:left w:val="nil"/>
              <w:bottom w:val="nil"/>
              <w:right w:val="nil"/>
            </w:tcBorders>
          </w:tcPr>
          <w:p w14:paraId="5ACA26B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183CF6A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0.034**</w:t>
            </w:r>
          </w:p>
          <w:p w14:paraId="75D038C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(2.25)</w:t>
            </w:r>
          </w:p>
        </w:tc>
        <w:tc>
          <w:tcPr>
            <w:tcW w:w="705" w:type="dxa"/>
            <w:tcBorders>
              <w:top w:val="nil"/>
              <w:left w:val="nil"/>
              <w:bottom w:val="nil"/>
              <w:right w:val="nil"/>
            </w:tcBorders>
          </w:tcPr>
          <w:p w14:paraId="501EA2F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0.035**</w:t>
            </w:r>
          </w:p>
          <w:p w14:paraId="425E25E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(2.43)</w:t>
            </w:r>
          </w:p>
        </w:tc>
        <w:tc>
          <w:tcPr>
            <w:tcW w:w="691" w:type="dxa"/>
            <w:tcBorders>
              <w:top w:val="nil"/>
              <w:left w:val="nil"/>
              <w:bottom w:val="nil"/>
              <w:right w:val="nil"/>
            </w:tcBorders>
          </w:tcPr>
          <w:p w14:paraId="30E1291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0.036**</w:t>
            </w:r>
          </w:p>
          <w:p w14:paraId="48F35D0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(2.39)</w:t>
            </w:r>
          </w:p>
        </w:tc>
        <w:tc>
          <w:tcPr>
            <w:tcW w:w="405" w:type="dxa"/>
            <w:tcBorders>
              <w:top w:val="nil"/>
              <w:left w:val="nil"/>
              <w:bottom w:val="nil"/>
              <w:right w:val="nil"/>
            </w:tcBorders>
          </w:tcPr>
          <w:p w14:paraId="3B45D74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0160759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0.016</w:t>
            </w:r>
          </w:p>
          <w:p w14:paraId="6C8B0D0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(1.53)</w:t>
            </w:r>
          </w:p>
        </w:tc>
        <w:tc>
          <w:tcPr>
            <w:tcW w:w="727" w:type="dxa"/>
            <w:tcBorders>
              <w:top w:val="nil"/>
              <w:left w:val="nil"/>
              <w:bottom w:val="nil"/>
              <w:right w:val="nil"/>
            </w:tcBorders>
          </w:tcPr>
          <w:p w14:paraId="2D80693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0.016</w:t>
            </w:r>
          </w:p>
          <w:p w14:paraId="3252337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(1.44)</w:t>
            </w:r>
          </w:p>
        </w:tc>
        <w:tc>
          <w:tcPr>
            <w:tcW w:w="670" w:type="dxa"/>
            <w:tcBorders>
              <w:top w:val="nil"/>
              <w:left w:val="nil"/>
              <w:bottom w:val="nil"/>
              <w:right w:val="nil"/>
            </w:tcBorders>
          </w:tcPr>
          <w:p w14:paraId="168DEC3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0.015</w:t>
            </w:r>
          </w:p>
          <w:p w14:paraId="5DAC07D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(1.36)</w:t>
            </w:r>
          </w:p>
        </w:tc>
        <w:tc>
          <w:tcPr>
            <w:tcW w:w="414" w:type="dxa"/>
            <w:tcBorders>
              <w:top w:val="nil"/>
              <w:left w:val="nil"/>
              <w:bottom w:val="nil"/>
              <w:right w:val="nil"/>
            </w:tcBorders>
          </w:tcPr>
          <w:p w14:paraId="2BB4D73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53B0F6E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0.042</w:t>
            </w:r>
          </w:p>
          <w:p w14:paraId="46FBDB6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(1.34)</w:t>
            </w:r>
          </w:p>
        </w:tc>
        <w:tc>
          <w:tcPr>
            <w:tcW w:w="720" w:type="dxa"/>
            <w:tcBorders>
              <w:top w:val="nil"/>
              <w:left w:val="nil"/>
              <w:bottom w:val="nil"/>
              <w:right w:val="nil"/>
            </w:tcBorders>
          </w:tcPr>
          <w:p w14:paraId="471D953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0.043</w:t>
            </w:r>
          </w:p>
          <w:p w14:paraId="54F2A77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(1.43)</w:t>
            </w:r>
          </w:p>
        </w:tc>
        <w:tc>
          <w:tcPr>
            <w:tcW w:w="979" w:type="dxa"/>
            <w:gridSpan w:val="2"/>
            <w:tcBorders>
              <w:top w:val="nil"/>
              <w:left w:val="nil"/>
              <w:bottom w:val="nil"/>
              <w:right w:val="nil"/>
            </w:tcBorders>
          </w:tcPr>
          <w:p w14:paraId="7C1042F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0.049</w:t>
            </w:r>
          </w:p>
          <w:p w14:paraId="16E5244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(1.53)</w:t>
            </w:r>
          </w:p>
        </w:tc>
        <w:tc>
          <w:tcPr>
            <w:tcW w:w="283" w:type="dxa"/>
            <w:gridSpan w:val="2"/>
            <w:tcBorders>
              <w:top w:val="nil"/>
              <w:left w:val="nil"/>
              <w:bottom w:val="nil"/>
              <w:right w:val="nil"/>
            </w:tcBorders>
          </w:tcPr>
          <w:p w14:paraId="6FAD235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603183E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0.151</w:t>
            </w:r>
          </w:p>
          <w:p w14:paraId="669DA02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(1.18)</w:t>
            </w:r>
          </w:p>
        </w:tc>
        <w:tc>
          <w:tcPr>
            <w:tcW w:w="824" w:type="dxa"/>
            <w:gridSpan w:val="2"/>
            <w:tcBorders>
              <w:top w:val="nil"/>
              <w:left w:val="nil"/>
              <w:bottom w:val="nil"/>
              <w:right w:val="nil"/>
            </w:tcBorders>
          </w:tcPr>
          <w:p w14:paraId="4816390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0.167</w:t>
            </w:r>
          </w:p>
          <w:p w14:paraId="1796D69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(1.29)</w:t>
            </w:r>
          </w:p>
        </w:tc>
        <w:tc>
          <w:tcPr>
            <w:tcW w:w="736" w:type="dxa"/>
            <w:gridSpan w:val="2"/>
            <w:tcBorders>
              <w:top w:val="nil"/>
              <w:left w:val="nil"/>
              <w:bottom w:val="nil"/>
              <w:right w:val="nil"/>
            </w:tcBorders>
          </w:tcPr>
          <w:p w14:paraId="10B2AA1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0.172</w:t>
            </w:r>
          </w:p>
          <w:p w14:paraId="3134AC7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(1.12)</w:t>
            </w:r>
          </w:p>
        </w:tc>
      </w:tr>
      <w:tr w:rsidR="00D955E0" w:rsidRPr="00E915AA" w14:paraId="72D74B36" w14:textId="77777777" w:rsidTr="001520C5">
        <w:trPr>
          <w:gridAfter w:val="1"/>
          <w:wAfter w:w="8" w:type="dxa"/>
          <w:trHeight w:val="312"/>
        </w:trPr>
        <w:tc>
          <w:tcPr>
            <w:tcW w:w="972" w:type="dxa"/>
            <w:tcBorders>
              <w:top w:val="nil"/>
              <w:left w:val="nil"/>
              <w:bottom w:val="nil"/>
              <w:right w:val="nil"/>
            </w:tcBorders>
          </w:tcPr>
          <w:p w14:paraId="3C66353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Segments</w:t>
            </w:r>
          </w:p>
        </w:tc>
        <w:tc>
          <w:tcPr>
            <w:tcW w:w="236" w:type="dxa"/>
            <w:tcBorders>
              <w:top w:val="nil"/>
              <w:left w:val="nil"/>
              <w:bottom w:val="nil"/>
              <w:right w:val="nil"/>
            </w:tcBorders>
          </w:tcPr>
          <w:p w14:paraId="38143ED2"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7BBACED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5.002**</w:t>
            </w:r>
          </w:p>
          <w:p w14:paraId="489DCBB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(2.06)</w:t>
            </w:r>
          </w:p>
        </w:tc>
        <w:tc>
          <w:tcPr>
            <w:tcW w:w="992" w:type="dxa"/>
            <w:tcBorders>
              <w:top w:val="nil"/>
              <w:left w:val="nil"/>
              <w:bottom w:val="nil"/>
              <w:right w:val="nil"/>
            </w:tcBorders>
          </w:tcPr>
          <w:p w14:paraId="689C517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4.83**</w:t>
            </w:r>
          </w:p>
          <w:p w14:paraId="4FEF22D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(2.02)</w:t>
            </w:r>
          </w:p>
        </w:tc>
        <w:tc>
          <w:tcPr>
            <w:tcW w:w="850" w:type="dxa"/>
            <w:tcBorders>
              <w:top w:val="nil"/>
              <w:left w:val="nil"/>
              <w:bottom w:val="nil"/>
              <w:right w:val="nil"/>
            </w:tcBorders>
          </w:tcPr>
          <w:p w14:paraId="24188AA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4.855*</w:t>
            </w:r>
          </w:p>
          <w:p w14:paraId="5C8C7F9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(1.87)</w:t>
            </w:r>
          </w:p>
        </w:tc>
        <w:tc>
          <w:tcPr>
            <w:tcW w:w="284" w:type="dxa"/>
            <w:tcBorders>
              <w:top w:val="nil"/>
              <w:left w:val="nil"/>
              <w:bottom w:val="nil"/>
              <w:right w:val="nil"/>
            </w:tcBorders>
          </w:tcPr>
          <w:p w14:paraId="15068F0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37AADA7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0.102</w:t>
            </w:r>
          </w:p>
          <w:p w14:paraId="308BBA8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w:t>
            </w:r>
          </w:p>
        </w:tc>
        <w:tc>
          <w:tcPr>
            <w:tcW w:w="705" w:type="dxa"/>
            <w:tcBorders>
              <w:top w:val="nil"/>
              <w:left w:val="nil"/>
              <w:bottom w:val="nil"/>
              <w:right w:val="nil"/>
            </w:tcBorders>
          </w:tcPr>
          <w:p w14:paraId="7B80C3A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0.095</w:t>
            </w:r>
          </w:p>
          <w:p w14:paraId="15DFF23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(1.44)</w:t>
            </w:r>
          </w:p>
        </w:tc>
        <w:tc>
          <w:tcPr>
            <w:tcW w:w="691" w:type="dxa"/>
            <w:tcBorders>
              <w:top w:val="nil"/>
              <w:left w:val="nil"/>
              <w:bottom w:val="nil"/>
              <w:right w:val="nil"/>
            </w:tcBorders>
          </w:tcPr>
          <w:p w14:paraId="4B5BA8C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0.09</w:t>
            </w:r>
          </w:p>
          <w:p w14:paraId="1667C09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(1.24)</w:t>
            </w:r>
          </w:p>
        </w:tc>
        <w:tc>
          <w:tcPr>
            <w:tcW w:w="405" w:type="dxa"/>
            <w:tcBorders>
              <w:top w:val="nil"/>
              <w:left w:val="nil"/>
              <w:bottom w:val="nil"/>
              <w:right w:val="nil"/>
            </w:tcBorders>
          </w:tcPr>
          <w:p w14:paraId="25549EA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3A5723D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0.093</w:t>
            </w:r>
          </w:p>
          <w:p w14:paraId="3C05D6C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(1.24)</w:t>
            </w:r>
          </w:p>
        </w:tc>
        <w:tc>
          <w:tcPr>
            <w:tcW w:w="727" w:type="dxa"/>
            <w:tcBorders>
              <w:top w:val="nil"/>
              <w:left w:val="nil"/>
              <w:bottom w:val="nil"/>
              <w:right w:val="nil"/>
            </w:tcBorders>
          </w:tcPr>
          <w:p w14:paraId="470D5F9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0.087</w:t>
            </w:r>
          </w:p>
          <w:p w14:paraId="67181E4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(1.19)</w:t>
            </w:r>
          </w:p>
        </w:tc>
        <w:tc>
          <w:tcPr>
            <w:tcW w:w="670" w:type="dxa"/>
            <w:tcBorders>
              <w:top w:val="nil"/>
              <w:left w:val="nil"/>
              <w:bottom w:val="nil"/>
              <w:right w:val="nil"/>
            </w:tcBorders>
          </w:tcPr>
          <w:p w14:paraId="234DA8F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0.077</w:t>
            </w:r>
          </w:p>
          <w:p w14:paraId="7558B1A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(0.93)</w:t>
            </w:r>
          </w:p>
        </w:tc>
        <w:tc>
          <w:tcPr>
            <w:tcW w:w="414" w:type="dxa"/>
            <w:tcBorders>
              <w:top w:val="nil"/>
              <w:left w:val="nil"/>
              <w:bottom w:val="nil"/>
              <w:right w:val="nil"/>
            </w:tcBorders>
          </w:tcPr>
          <w:p w14:paraId="66A5036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638154D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0.136</w:t>
            </w:r>
          </w:p>
          <w:p w14:paraId="739FEF8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(0.56)</w:t>
            </w:r>
          </w:p>
        </w:tc>
        <w:tc>
          <w:tcPr>
            <w:tcW w:w="720" w:type="dxa"/>
            <w:tcBorders>
              <w:top w:val="nil"/>
              <w:left w:val="nil"/>
              <w:bottom w:val="nil"/>
              <w:right w:val="nil"/>
            </w:tcBorders>
          </w:tcPr>
          <w:p w14:paraId="59B4F5D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0.137</w:t>
            </w:r>
          </w:p>
          <w:p w14:paraId="0E4742C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(0.58)</w:t>
            </w:r>
          </w:p>
        </w:tc>
        <w:tc>
          <w:tcPr>
            <w:tcW w:w="979" w:type="dxa"/>
            <w:gridSpan w:val="2"/>
            <w:tcBorders>
              <w:top w:val="nil"/>
              <w:left w:val="nil"/>
              <w:bottom w:val="nil"/>
              <w:right w:val="nil"/>
            </w:tcBorders>
          </w:tcPr>
          <w:p w14:paraId="5EDA46D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0.22</w:t>
            </w:r>
          </w:p>
          <w:p w14:paraId="76DD029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w:t>
            </w:r>
          </w:p>
        </w:tc>
        <w:tc>
          <w:tcPr>
            <w:tcW w:w="283" w:type="dxa"/>
            <w:gridSpan w:val="2"/>
            <w:tcBorders>
              <w:top w:val="nil"/>
              <w:left w:val="nil"/>
              <w:bottom w:val="nil"/>
              <w:right w:val="nil"/>
            </w:tcBorders>
          </w:tcPr>
          <w:p w14:paraId="17BA570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62AA0D5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0.989</w:t>
            </w:r>
          </w:p>
          <w:p w14:paraId="30CEECB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(0.92)</w:t>
            </w:r>
          </w:p>
        </w:tc>
        <w:tc>
          <w:tcPr>
            <w:tcW w:w="824" w:type="dxa"/>
            <w:gridSpan w:val="2"/>
            <w:tcBorders>
              <w:top w:val="nil"/>
              <w:left w:val="nil"/>
              <w:bottom w:val="nil"/>
              <w:right w:val="nil"/>
            </w:tcBorders>
          </w:tcPr>
          <w:p w14:paraId="0D5B289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0.907</w:t>
            </w:r>
          </w:p>
          <w:p w14:paraId="7D308D4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(0.84)</w:t>
            </w:r>
          </w:p>
        </w:tc>
        <w:tc>
          <w:tcPr>
            <w:tcW w:w="736" w:type="dxa"/>
            <w:gridSpan w:val="2"/>
            <w:tcBorders>
              <w:top w:val="nil"/>
              <w:left w:val="nil"/>
              <w:bottom w:val="nil"/>
              <w:right w:val="nil"/>
            </w:tcBorders>
          </w:tcPr>
          <w:p w14:paraId="4AA8E2F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0.807</w:t>
            </w:r>
          </w:p>
          <w:p w14:paraId="4C18EA0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(0.61)</w:t>
            </w:r>
          </w:p>
        </w:tc>
      </w:tr>
      <w:tr w:rsidR="00D955E0" w:rsidRPr="00E915AA" w14:paraId="32C7C0DF" w14:textId="77777777" w:rsidTr="001520C5">
        <w:trPr>
          <w:gridAfter w:val="1"/>
          <w:wAfter w:w="8" w:type="dxa"/>
          <w:trHeight w:val="312"/>
        </w:trPr>
        <w:tc>
          <w:tcPr>
            <w:tcW w:w="972" w:type="dxa"/>
            <w:tcBorders>
              <w:top w:val="nil"/>
              <w:left w:val="nil"/>
              <w:bottom w:val="nil"/>
              <w:right w:val="nil"/>
            </w:tcBorders>
          </w:tcPr>
          <w:p w14:paraId="486D3EB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proofErr w:type="spellStart"/>
            <w:r w:rsidRPr="00E915AA">
              <w:rPr>
                <w:rFonts w:ascii="Times New Roman" w:eastAsia="Calibri" w:hAnsi="Times New Roman" w:cs="Times New Roman"/>
                <w:color w:val="000000"/>
                <w:sz w:val="12"/>
                <w:szCs w:val="12"/>
              </w:rPr>
              <w:t>Zscore</w:t>
            </w:r>
            <w:proofErr w:type="spellEnd"/>
          </w:p>
        </w:tc>
        <w:tc>
          <w:tcPr>
            <w:tcW w:w="236" w:type="dxa"/>
            <w:tcBorders>
              <w:top w:val="nil"/>
              <w:left w:val="nil"/>
              <w:bottom w:val="nil"/>
              <w:right w:val="nil"/>
            </w:tcBorders>
          </w:tcPr>
          <w:p w14:paraId="220AF1A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18E670D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-0.038</w:t>
            </w:r>
          </w:p>
          <w:p w14:paraId="5B83864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(-1.18)</w:t>
            </w:r>
          </w:p>
        </w:tc>
        <w:tc>
          <w:tcPr>
            <w:tcW w:w="992" w:type="dxa"/>
            <w:tcBorders>
              <w:top w:val="nil"/>
              <w:left w:val="nil"/>
              <w:bottom w:val="nil"/>
              <w:right w:val="nil"/>
            </w:tcBorders>
          </w:tcPr>
          <w:p w14:paraId="5FC4198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-0.031</w:t>
            </w:r>
          </w:p>
          <w:p w14:paraId="01143CE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(-1.06)</w:t>
            </w:r>
          </w:p>
        </w:tc>
        <w:tc>
          <w:tcPr>
            <w:tcW w:w="850" w:type="dxa"/>
            <w:tcBorders>
              <w:top w:val="nil"/>
              <w:left w:val="nil"/>
              <w:bottom w:val="nil"/>
              <w:right w:val="nil"/>
            </w:tcBorders>
          </w:tcPr>
          <w:p w14:paraId="0071B3E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-0.041</w:t>
            </w:r>
          </w:p>
          <w:p w14:paraId="2510598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(-1.64)</w:t>
            </w:r>
          </w:p>
        </w:tc>
        <w:tc>
          <w:tcPr>
            <w:tcW w:w="284" w:type="dxa"/>
            <w:tcBorders>
              <w:top w:val="nil"/>
              <w:left w:val="nil"/>
              <w:bottom w:val="nil"/>
              <w:right w:val="nil"/>
            </w:tcBorders>
          </w:tcPr>
          <w:p w14:paraId="7F483C0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1133431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-0.001</w:t>
            </w:r>
          </w:p>
          <w:p w14:paraId="76A11B6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(-1.22)</w:t>
            </w:r>
          </w:p>
        </w:tc>
        <w:tc>
          <w:tcPr>
            <w:tcW w:w="705" w:type="dxa"/>
            <w:tcBorders>
              <w:top w:val="nil"/>
              <w:left w:val="nil"/>
              <w:bottom w:val="nil"/>
              <w:right w:val="nil"/>
            </w:tcBorders>
          </w:tcPr>
          <w:p w14:paraId="1DA5F12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-0.001</w:t>
            </w:r>
          </w:p>
          <w:p w14:paraId="0222176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(-1.37)</w:t>
            </w:r>
          </w:p>
        </w:tc>
        <w:tc>
          <w:tcPr>
            <w:tcW w:w="691" w:type="dxa"/>
            <w:tcBorders>
              <w:top w:val="nil"/>
              <w:left w:val="nil"/>
              <w:bottom w:val="nil"/>
              <w:right w:val="nil"/>
            </w:tcBorders>
          </w:tcPr>
          <w:p w14:paraId="70E88BE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-0.001</w:t>
            </w:r>
          </w:p>
          <w:p w14:paraId="244C13A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(-1.61)</w:t>
            </w:r>
          </w:p>
        </w:tc>
        <w:tc>
          <w:tcPr>
            <w:tcW w:w="405" w:type="dxa"/>
            <w:tcBorders>
              <w:top w:val="nil"/>
              <w:left w:val="nil"/>
              <w:bottom w:val="nil"/>
              <w:right w:val="nil"/>
            </w:tcBorders>
          </w:tcPr>
          <w:p w14:paraId="159BE73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1902A74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-0.003***</w:t>
            </w:r>
          </w:p>
          <w:p w14:paraId="15D8881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(-4.34)</w:t>
            </w:r>
          </w:p>
        </w:tc>
        <w:tc>
          <w:tcPr>
            <w:tcW w:w="727" w:type="dxa"/>
            <w:tcBorders>
              <w:top w:val="nil"/>
              <w:left w:val="nil"/>
              <w:bottom w:val="nil"/>
              <w:right w:val="nil"/>
            </w:tcBorders>
          </w:tcPr>
          <w:p w14:paraId="2EE9BBC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-0.003***</w:t>
            </w:r>
          </w:p>
          <w:p w14:paraId="57D506C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(-4.41)</w:t>
            </w:r>
          </w:p>
        </w:tc>
        <w:tc>
          <w:tcPr>
            <w:tcW w:w="1084" w:type="dxa"/>
            <w:gridSpan w:val="2"/>
            <w:tcBorders>
              <w:top w:val="nil"/>
              <w:left w:val="nil"/>
              <w:bottom w:val="nil"/>
              <w:right w:val="nil"/>
            </w:tcBorders>
          </w:tcPr>
          <w:p w14:paraId="2271B91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-0.003***</w:t>
            </w:r>
          </w:p>
          <w:p w14:paraId="7FD6750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(-3.44)</w:t>
            </w:r>
          </w:p>
        </w:tc>
        <w:tc>
          <w:tcPr>
            <w:tcW w:w="723" w:type="dxa"/>
            <w:tcBorders>
              <w:top w:val="nil"/>
              <w:left w:val="nil"/>
              <w:bottom w:val="nil"/>
              <w:right w:val="nil"/>
            </w:tcBorders>
          </w:tcPr>
          <w:p w14:paraId="615581C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-0.005**</w:t>
            </w:r>
          </w:p>
          <w:p w14:paraId="2860E4D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(-2.17)</w:t>
            </w:r>
          </w:p>
        </w:tc>
        <w:tc>
          <w:tcPr>
            <w:tcW w:w="720" w:type="dxa"/>
            <w:tcBorders>
              <w:top w:val="nil"/>
              <w:left w:val="nil"/>
              <w:bottom w:val="nil"/>
              <w:right w:val="nil"/>
            </w:tcBorders>
          </w:tcPr>
          <w:p w14:paraId="283810B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-0.004**</w:t>
            </w:r>
          </w:p>
          <w:p w14:paraId="09E69CB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(-2.34)</w:t>
            </w:r>
          </w:p>
        </w:tc>
        <w:tc>
          <w:tcPr>
            <w:tcW w:w="979" w:type="dxa"/>
            <w:gridSpan w:val="2"/>
            <w:tcBorders>
              <w:top w:val="nil"/>
              <w:left w:val="nil"/>
              <w:bottom w:val="nil"/>
              <w:right w:val="nil"/>
            </w:tcBorders>
          </w:tcPr>
          <w:p w14:paraId="6F17F17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-0.004*</w:t>
            </w:r>
          </w:p>
          <w:p w14:paraId="0496AD1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(-1.76)</w:t>
            </w:r>
          </w:p>
        </w:tc>
        <w:tc>
          <w:tcPr>
            <w:tcW w:w="283" w:type="dxa"/>
            <w:gridSpan w:val="2"/>
            <w:tcBorders>
              <w:top w:val="nil"/>
              <w:left w:val="nil"/>
              <w:bottom w:val="nil"/>
              <w:right w:val="nil"/>
            </w:tcBorders>
          </w:tcPr>
          <w:p w14:paraId="237BC70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5E8FA97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-0.027**</w:t>
            </w:r>
          </w:p>
          <w:p w14:paraId="48661EF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(-2.12)</w:t>
            </w:r>
          </w:p>
        </w:tc>
        <w:tc>
          <w:tcPr>
            <w:tcW w:w="824" w:type="dxa"/>
            <w:gridSpan w:val="2"/>
            <w:tcBorders>
              <w:top w:val="nil"/>
              <w:left w:val="nil"/>
              <w:bottom w:val="nil"/>
              <w:right w:val="nil"/>
            </w:tcBorders>
          </w:tcPr>
          <w:p w14:paraId="10BEBB8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-0.03***</w:t>
            </w:r>
          </w:p>
          <w:p w14:paraId="002DF78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(-2.75)</w:t>
            </w:r>
          </w:p>
        </w:tc>
        <w:tc>
          <w:tcPr>
            <w:tcW w:w="736" w:type="dxa"/>
            <w:gridSpan w:val="2"/>
            <w:tcBorders>
              <w:top w:val="nil"/>
              <w:left w:val="nil"/>
              <w:bottom w:val="nil"/>
              <w:right w:val="nil"/>
            </w:tcBorders>
          </w:tcPr>
          <w:p w14:paraId="7E7EA23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-0.028***</w:t>
            </w:r>
          </w:p>
          <w:p w14:paraId="5B2197C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(-2.65)</w:t>
            </w:r>
          </w:p>
        </w:tc>
      </w:tr>
      <w:tr w:rsidR="00D955E0" w:rsidRPr="00E915AA" w14:paraId="33D30669" w14:textId="77777777" w:rsidTr="001520C5">
        <w:trPr>
          <w:gridAfter w:val="1"/>
          <w:wAfter w:w="8" w:type="dxa"/>
          <w:trHeight w:val="312"/>
        </w:trPr>
        <w:tc>
          <w:tcPr>
            <w:tcW w:w="972" w:type="dxa"/>
            <w:tcBorders>
              <w:top w:val="nil"/>
              <w:left w:val="nil"/>
              <w:bottom w:val="nil"/>
              <w:right w:val="nil"/>
            </w:tcBorders>
          </w:tcPr>
          <w:p w14:paraId="343F0B3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Big4</w:t>
            </w:r>
          </w:p>
        </w:tc>
        <w:tc>
          <w:tcPr>
            <w:tcW w:w="236" w:type="dxa"/>
            <w:tcBorders>
              <w:top w:val="nil"/>
              <w:left w:val="nil"/>
              <w:bottom w:val="nil"/>
              <w:right w:val="nil"/>
            </w:tcBorders>
          </w:tcPr>
          <w:p w14:paraId="719E45D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5FEB76B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-11.791***</w:t>
            </w:r>
          </w:p>
          <w:p w14:paraId="6737453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(-2.9)</w:t>
            </w:r>
          </w:p>
        </w:tc>
        <w:tc>
          <w:tcPr>
            <w:tcW w:w="992" w:type="dxa"/>
            <w:tcBorders>
              <w:top w:val="nil"/>
              <w:left w:val="nil"/>
              <w:bottom w:val="nil"/>
              <w:right w:val="nil"/>
            </w:tcBorders>
          </w:tcPr>
          <w:p w14:paraId="4E683CC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-12.016***</w:t>
            </w:r>
          </w:p>
          <w:p w14:paraId="0FF095A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w:t>
            </w:r>
          </w:p>
        </w:tc>
        <w:tc>
          <w:tcPr>
            <w:tcW w:w="850" w:type="dxa"/>
            <w:tcBorders>
              <w:top w:val="nil"/>
              <w:left w:val="nil"/>
              <w:bottom w:val="nil"/>
              <w:right w:val="nil"/>
            </w:tcBorders>
          </w:tcPr>
          <w:p w14:paraId="1BAA0F1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-6.041</w:t>
            </w:r>
          </w:p>
          <w:p w14:paraId="6610F27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(-1.16)</w:t>
            </w:r>
          </w:p>
        </w:tc>
        <w:tc>
          <w:tcPr>
            <w:tcW w:w="284" w:type="dxa"/>
            <w:tcBorders>
              <w:top w:val="nil"/>
              <w:left w:val="nil"/>
              <w:bottom w:val="nil"/>
              <w:right w:val="nil"/>
            </w:tcBorders>
          </w:tcPr>
          <w:p w14:paraId="3333942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5CC787D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-0.244</w:t>
            </w:r>
          </w:p>
          <w:p w14:paraId="6DB31D9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(-0.91)</w:t>
            </w:r>
          </w:p>
        </w:tc>
        <w:tc>
          <w:tcPr>
            <w:tcW w:w="705" w:type="dxa"/>
            <w:tcBorders>
              <w:top w:val="nil"/>
              <w:left w:val="nil"/>
              <w:bottom w:val="nil"/>
              <w:right w:val="nil"/>
            </w:tcBorders>
          </w:tcPr>
          <w:p w14:paraId="0B84206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-0.219</w:t>
            </w:r>
          </w:p>
          <w:p w14:paraId="66DCA9F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(-0.81)</w:t>
            </w:r>
          </w:p>
        </w:tc>
        <w:tc>
          <w:tcPr>
            <w:tcW w:w="691" w:type="dxa"/>
            <w:tcBorders>
              <w:top w:val="nil"/>
              <w:left w:val="nil"/>
              <w:bottom w:val="nil"/>
              <w:right w:val="nil"/>
            </w:tcBorders>
          </w:tcPr>
          <w:p w14:paraId="3A718E0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-0.228</w:t>
            </w:r>
          </w:p>
          <w:p w14:paraId="31624A7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(-0.74)</w:t>
            </w:r>
          </w:p>
        </w:tc>
        <w:tc>
          <w:tcPr>
            <w:tcW w:w="405" w:type="dxa"/>
            <w:tcBorders>
              <w:top w:val="nil"/>
              <w:left w:val="nil"/>
              <w:bottom w:val="nil"/>
              <w:right w:val="nil"/>
            </w:tcBorders>
          </w:tcPr>
          <w:p w14:paraId="22D0236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25EB14A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-0.181</w:t>
            </w:r>
          </w:p>
          <w:p w14:paraId="4683927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(-0.53)</w:t>
            </w:r>
          </w:p>
        </w:tc>
        <w:tc>
          <w:tcPr>
            <w:tcW w:w="727" w:type="dxa"/>
            <w:tcBorders>
              <w:top w:val="nil"/>
              <w:left w:val="nil"/>
              <w:bottom w:val="nil"/>
              <w:right w:val="nil"/>
            </w:tcBorders>
          </w:tcPr>
          <w:p w14:paraId="4096FCF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-0.155</w:t>
            </w:r>
          </w:p>
          <w:p w14:paraId="7B73040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(-0.44)</w:t>
            </w:r>
          </w:p>
        </w:tc>
        <w:tc>
          <w:tcPr>
            <w:tcW w:w="670" w:type="dxa"/>
            <w:tcBorders>
              <w:top w:val="nil"/>
              <w:left w:val="nil"/>
              <w:bottom w:val="nil"/>
              <w:right w:val="nil"/>
            </w:tcBorders>
          </w:tcPr>
          <w:p w14:paraId="066EE6F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-0.137</w:t>
            </w:r>
          </w:p>
          <w:p w14:paraId="679EC0B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(-0.33)</w:t>
            </w:r>
          </w:p>
        </w:tc>
        <w:tc>
          <w:tcPr>
            <w:tcW w:w="414" w:type="dxa"/>
            <w:tcBorders>
              <w:top w:val="nil"/>
              <w:left w:val="nil"/>
              <w:bottom w:val="nil"/>
              <w:right w:val="nil"/>
            </w:tcBorders>
          </w:tcPr>
          <w:p w14:paraId="5054B89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5D39B5C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-1.365***</w:t>
            </w:r>
          </w:p>
          <w:p w14:paraId="0A00172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(-3.12)</w:t>
            </w:r>
          </w:p>
        </w:tc>
        <w:tc>
          <w:tcPr>
            <w:tcW w:w="720" w:type="dxa"/>
            <w:tcBorders>
              <w:top w:val="nil"/>
              <w:left w:val="nil"/>
              <w:bottom w:val="nil"/>
              <w:right w:val="nil"/>
            </w:tcBorders>
          </w:tcPr>
          <w:p w14:paraId="4084BD9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-1.386***</w:t>
            </w:r>
          </w:p>
          <w:p w14:paraId="3F69E07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(-3.2)</w:t>
            </w:r>
          </w:p>
        </w:tc>
        <w:tc>
          <w:tcPr>
            <w:tcW w:w="979" w:type="dxa"/>
            <w:gridSpan w:val="2"/>
            <w:tcBorders>
              <w:top w:val="nil"/>
              <w:left w:val="nil"/>
              <w:bottom w:val="nil"/>
              <w:right w:val="nil"/>
            </w:tcBorders>
          </w:tcPr>
          <w:p w14:paraId="5BD5C95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-1.566**</w:t>
            </w:r>
          </w:p>
          <w:p w14:paraId="3399F5B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(-2.55)</w:t>
            </w:r>
          </w:p>
        </w:tc>
        <w:tc>
          <w:tcPr>
            <w:tcW w:w="283" w:type="dxa"/>
            <w:gridSpan w:val="2"/>
            <w:tcBorders>
              <w:top w:val="nil"/>
              <w:left w:val="nil"/>
              <w:bottom w:val="nil"/>
              <w:right w:val="nil"/>
            </w:tcBorders>
          </w:tcPr>
          <w:p w14:paraId="3473F832"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60056F0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-9.407***</w:t>
            </w:r>
          </w:p>
          <w:p w14:paraId="4B8149B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(-3.14)</w:t>
            </w:r>
          </w:p>
        </w:tc>
        <w:tc>
          <w:tcPr>
            <w:tcW w:w="824" w:type="dxa"/>
            <w:gridSpan w:val="2"/>
            <w:tcBorders>
              <w:top w:val="nil"/>
              <w:left w:val="nil"/>
              <w:bottom w:val="nil"/>
              <w:right w:val="nil"/>
            </w:tcBorders>
          </w:tcPr>
          <w:p w14:paraId="39F5DA1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-9.651***</w:t>
            </w:r>
          </w:p>
          <w:p w14:paraId="27BC20F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(-2.97)</w:t>
            </w:r>
          </w:p>
        </w:tc>
        <w:tc>
          <w:tcPr>
            <w:tcW w:w="736" w:type="dxa"/>
            <w:gridSpan w:val="2"/>
            <w:tcBorders>
              <w:top w:val="nil"/>
              <w:left w:val="nil"/>
              <w:bottom w:val="nil"/>
              <w:right w:val="nil"/>
            </w:tcBorders>
          </w:tcPr>
          <w:p w14:paraId="774A36B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-10.96**</w:t>
            </w:r>
          </w:p>
          <w:p w14:paraId="7521FC2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(-2.34)</w:t>
            </w:r>
          </w:p>
        </w:tc>
      </w:tr>
      <w:tr w:rsidR="00D955E0" w:rsidRPr="00E915AA" w14:paraId="4C8AA563" w14:textId="77777777" w:rsidTr="001520C5">
        <w:trPr>
          <w:gridAfter w:val="1"/>
          <w:wAfter w:w="8" w:type="dxa"/>
          <w:trHeight w:val="312"/>
        </w:trPr>
        <w:tc>
          <w:tcPr>
            <w:tcW w:w="972" w:type="dxa"/>
            <w:tcBorders>
              <w:top w:val="nil"/>
              <w:left w:val="nil"/>
              <w:bottom w:val="nil"/>
              <w:right w:val="nil"/>
            </w:tcBorders>
          </w:tcPr>
          <w:p w14:paraId="41A9C46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Restructuring</w:t>
            </w:r>
          </w:p>
        </w:tc>
        <w:tc>
          <w:tcPr>
            <w:tcW w:w="236" w:type="dxa"/>
            <w:tcBorders>
              <w:top w:val="nil"/>
              <w:left w:val="nil"/>
              <w:bottom w:val="nil"/>
              <w:right w:val="nil"/>
            </w:tcBorders>
          </w:tcPr>
          <w:p w14:paraId="28E1AB72"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747AF51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20.607***</w:t>
            </w:r>
          </w:p>
          <w:p w14:paraId="2C18D0B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(3.72)</w:t>
            </w:r>
          </w:p>
        </w:tc>
        <w:tc>
          <w:tcPr>
            <w:tcW w:w="992" w:type="dxa"/>
            <w:tcBorders>
              <w:top w:val="nil"/>
              <w:left w:val="nil"/>
              <w:bottom w:val="nil"/>
              <w:right w:val="nil"/>
            </w:tcBorders>
          </w:tcPr>
          <w:p w14:paraId="4F0CBFC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23.222***</w:t>
            </w:r>
          </w:p>
          <w:p w14:paraId="3726C67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(4.32)</w:t>
            </w:r>
          </w:p>
        </w:tc>
        <w:tc>
          <w:tcPr>
            <w:tcW w:w="850" w:type="dxa"/>
            <w:tcBorders>
              <w:top w:val="nil"/>
              <w:left w:val="nil"/>
              <w:bottom w:val="nil"/>
              <w:right w:val="nil"/>
            </w:tcBorders>
          </w:tcPr>
          <w:p w14:paraId="6599409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23.621***</w:t>
            </w:r>
          </w:p>
          <w:p w14:paraId="434EB30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(3.21)</w:t>
            </w:r>
          </w:p>
        </w:tc>
        <w:tc>
          <w:tcPr>
            <w:tcW w:w="284" w:type="dxa"/>
            <w:tcBorders>
              <w:top w:val="nil"/>
              <w:left w:val="nil"/>
              <w:bottom w:val="nil"/>
              <w:right w:val="nil"/>
            </w:tcBorders>
          </w:tcPr>
          <w:p w14:paraId="3D36B76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7727F76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0.614***</w:t>
            </w:r>
          </w:p>
          <w:p w14:paraId="534A778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(2.81)</w:t>
            </w:r>
          </w:p>
        </w:tc>
        <w:tc>
          <w:tcPr>
            <w:tcW w:w="705" w:type="dxa"/>
            <w:tcBorders>
              <w:top w:val="nil"/>
              <w:left w:val="nil"/>
              <w:bottom w:val="nil"/>
              <w:right w:val="nil"/>
            </w:tcBorders>
          </w:tcPr>
          <w:p w14:paraId="6AD8DC9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0.659***</w:t>
            </w:r>
          </w:p>
          <w:p w14:paraId="1C93AFE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(3.11)</w:t>
            </w:r>
          </w:p>
        </w:tc>
        <w:tc>
          <w:tcPr>
            <w:tcW w:w="691" w:type="dxa"/>
            <w:tcBorders>
              <w:top w:val="nil"/>
              <w:left w:val="nil"/>
              <w:bottom w:val="nil"/>
              <w:right w:val="nil"/>
            </w:tcBorders>
          </w:tcPr>
          <w:p w14:paraId="68CFEDF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0.684**</w:t>
            </w:r>
          </w:p>
          <w:p w14:paraId="0BE9B7D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(2.41)</w:t>
            </w:r>
          </w:p>
        </w:tc>
        <w:tc>
          <w:tcPr>
            <w:tcW w:w="405" w:type="dxa"/>
            <w:tcBorders>
              <w:top w:val="nil"/>
              <w:left w:val="nil"/>
              <w:bottom w:val="nil"/>
              <w:right w:val="nil"/>
            </w:tcBorders>
          </w:tcPr>
          <w:p w14:paraId="203D632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6E12B38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1.038***</w:t>
            </w:r>
          </w:p>
          <w:p w14:paraId="5E7E176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(6.59)</w:t>
            </w:r>
          </w:p>
        </w:tc>
        <w:tc>
          <w:tcPr>
            <w:tcW w:w="727" w:type="dxa"/>
            <w:tcBorders>
              <w:top w:val="nil"/>
              <w:left w:val="nil"/>
              <w:bottom w:val="nil"/>
              <w:right w:val="nil"/>
            </w:tcBorders>
          </w:tcPr>
          <w:p w14:paraId="2654069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1.15***</w:t>
            </w:r>
          </w:p>
          <w:p w14:paraId="008E59C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(7)</w:t>
            </w:r>
          </w:p>
        </w:tc>
        <w:tc>
          <w:tcPr>
            <w:tcW w:w="670" w:type="dxa"/>
            <w:tcBorders>
              <w:top w:val="nil"/>
              <w:left w:val="nil"/>
              <w:bottom w:val="nil"/>
              <w:right w:val="nil"/>
            </w:tcBorders>
          </w:tcPr>
          <w:p w14:paraId="7015F4B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1.395***</w:t>
            </w:r>
          </w:p>
          <w:p w14:paraId="155AD64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(5.07)</w:t>
            </w:r>
          </w:p>
        </w:tc>
        <w:tc>
          <w:tcPr>
            <w:tcW w:w="414" w:type="dxa"/>
            <w:tcBorders>
              <w:top w:val="nil"/>
              <w:left w:val="nil"/>
              <w:bottom w:val="nil"/>
              <w:right w:val="nil"/>
            </w:tcBorders>
          </w:tcPr>
          <w:p w14:paraId="58DAF1C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6279470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2.517***</w:t>
            </w:r>
          </w:p>
          <w:p w14:paraId="61A720E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(2.98)</w:t>
            </w:r>
          </w:p>
        </w:tc>
        <w:tc>
          <w:tcPr>
            <w:tcW w:w="720" w:type="dxa"/>
            <w:tcBorders>
              <w:top w:val="nil"/>
              <w:left w:val="nil"/>
              <w:bottom w:val="nil"/>
              <w:right w:val="nil"/>
            </w:tcBorders>
          </w:tcPr>
          <w:p w14:paraId="63A50DD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2.727***</w:t>
            </w:r>
          </w:p>
          <w:p w14:paraId="4E10AA2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(3.2)</w:t>
            </w:r>
          </w:p>
        </w:tc>
        <w:tc>
          <w:tcPr>
            <w:tcW w:w="979" w:type="dxa"/>
            <w:gridSpan w:val="2"/>
            <w:tcBorders>
              <w:top w:val="nil"/>
              <w:left w:val="nil"/>
              <w:bottom w:val="nil"/>
              <w:right w:val="nil"/>
            </w:tcBorders>
          </w:tcPr>
          <w:p w14:paraId="705B703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3.435***</w:t>
            </w:r>
          </w:p>
          <w:p w14:paraId="7EED62C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(2.57)</w:t>
            </w:r>
          </w:p>
        </w:tc>
        <w:tc>
          <w:tcPr>
            <w:tcW w:w="283" w:type="dxa"/>
            <w:gridSpan w:val="2"/>
            <w:tcBorders>
              <w:top w:val="nil"/>
              <w:left w:val="nil"/>
              <w:bottom w:val="nil"/>
              <w:right w:val="nil"/>
            </w:tcBorders>
          </w:tcPr>
          <w:p w14:paraId="73F3099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4DC3C09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16.149***</w:t>
            </w:r>
          </w:p>
          <w:p w14:paraId="69C05FD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(4.73)</w:t>
            </w:r>
          </w:p>
        </w:tc>
        <w:tc>
          <w:tcPr>
            <w:tcW w:w="824" w:type="dxa"/>
            <w:gridSpan w:val="2"/>
            <w:tcBorders>
              <w:top w:val="nil"/>
              <w:left w:val="nil"/>
              <w:bottom w:val="nil"/>
              <w:right w:val="nil"/>
            </w:tcBorders>
          </w:tcPr>
          <w:p w14:paraId="142A503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16.949***</w:t>
            </w:r>
          </w:p>
          <w:p w14:paraId="3653366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(5.05)</w:t>
            </w:r>
          </w:p>
        </w:tc>
        <w:tc>
          <w:tcPr>
            <w:tcW w:w="736" w:type="dxa"/>
            <w:gridSpan w:val="2"/>
            <w:tcBorders>
              <w:top w:val="nil"/>
              <w:left w:val="nil"/>
              <w:bottom w:val="nil"/>
              <w:right w:val="nil"/>
            </w:tcBorders>
          </w:tcPr>
          <w:p w14:paraId="315AD5A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21.485***</w:t>
            </w:r>
          </w:p>
          <w:p w14:paraId="04C31F0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(3.67)</w:t>
            </w:r>
          </w:p>
        </w:tc>
      </w:tr>
      <w:tr w:rsidR="00D955E0" w:rsidRPr="00E915AA" w14:paraId="7FAAA5F4" w14:textId="77777777" w:rsidTr="001520C5">
        <w:trPr>
          <w:gridAfter w:val="1"/>
          <w:wAfter w:w="8" w:type="dxa"/>
          <w:trHeight w:val="312"/>
        </w:trPr>
        <w:tc>
          <w:tcPr>
            <w:tcW w:w="972" w:type="dxa"/>
            <w:tcBorders>
              <w:top w:val="nil"/>
              <w:left w:val="nil"/>
              <w:bottom w:val="nil"/>
              <w:right w:val="nil"/>
            </w:tcBorders>
          </w:tcPr>
          <w:p w14:paraId="7DF7B03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M&amp;A</w:t>
            </w:r>
          </w:p>
        </w:tc>
        <w:tc>
          <w:tcPr>
            <w:tcW w:w="236" w:type="dxa"/>
            <w:tcBorders>
              <w:top w:val="nil"/>
              <w:left w:val="nil"/>
              <w:bottom w:val="nil"/>
              <w:right w:val="nil"/>
            </w:tcBorders>
          </w:tcPr>
          <w:p w14:paraId="2230F5D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4B551A1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8.727</w:t>
            </w:r>
          </w:p>
          <w:p w14:paraId="1AD6D96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(1.3)</w:t>
            </w:r>
          </w:p>
        </w:tc>
        <w:tc>
          <w:tcPr>
            <w:tcW w:w="992" w:type="dxa"/>
            <w:tcBorders>
              <w:top w:val="nil"/>
              <w:left w:val="nil"/>
              <w:bottom w:val="nil"/>
              <w:right w:val="nil"/>
            </w:tcBorders>
          </w:tcPr>
          <w:p w14:paraId="3F5EC6E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8.818</w:t>
            </w:r>
          </w:p>
          <w:p w14:paraId="3200F27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(1.27)</w:t>
            </w:r>
          </w:p>
        </w:tc>
        <w:tc>
          <w:tcPr>
            <w:tcW w:w="850" w:type="dxa"/>
            <w:tcBorders>
              <w:top w:val="nil"/>
              <w:left w:val="nil"/>
              <w:bottom w:val="nil"/>
              <w:right w:val="nil"/>
            </w:tcBorders>
          </w:tcPr>
          <w:p w14:paraId="6961BC2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6.071</w:t>
            </w:r>
          </w:p>
          <w:p w14:paraId="657D167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(1.11)</w:t>
            </w:r>
          </w:p>
        </w:tc>
        <w:tc>
          <w:tcPr>
            <w:tcW w:w="284" w:type="dxa"/>
            <w:tcBorders>
              <w:top w:val="nil"/>
              <w:left w:val="nil"/>
              <w:bottom w:val="nil"/>
              <w:right w:val="nil"/>
            </w:tcBorders>
          </w:tcPr>
          <w:p w14:paraId="0AD3A05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73BAB33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0.189*</w:t>
            </w:r>
          </w:p>
          <w:p w14:paraId="5C79689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(1.89)</w:t>
            </w:r>
          </w:p>
        </w:tc>
        <w:tc>
          <w:tcPr>
            <w:tcW w:w="705" w:type="dxa"/>
            <w:tcBorders>
              <w:top w:val="nil"/>
              <w:left w:val="nil"/>
              <w:bottom w:val="nil"/>
              <w:right w:val="nil"/>
            </w:tcBorders>
          </w:tcPr>
          <w:p w14:paraId="38AE6A8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0.183*</w:t>
            </w:r>
          </w:p>
          <w:p w14:paraId="163AB38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(1.89)</w:t>
            </w:r>
          </w:p>
        </w:tc>
        <w:tc>
          <w:tcPr>
            <w:tcW w:w="691" w:type="dxa"/>
            <w:tcBorders>
              <w:top w:val="nil"/>
              <w:left w:val="nil"/>
              <w:bottom w:val="nil"/>
              <w:right w:val="nil"/>
            </w:tcBorders>
          </w:tcPr>
          <w:p w14:paraId="6506627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0.154</w:t>
            </w:r>
          </w:p>
          <w:p w14:paraId="40FC44F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(1.47)</w:t>
            </w:r>
          </w:p>
        </w:tc>
        <w:tc>
          <w:tcPr>
            <w:tcW w:w="405" w:type="dxa"/>
            <w:tcBorders>
              <w:top w:val="nil"/>
              <w:left w:val="nil"/>
              <w:bottom w:val="nil"/>
              <w:right w:val="nil"/>
            </w:tcBorders>
          </w:tcPr>
          <w:p w14:paraId="28EDF05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4B29760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0.609***</w:t>
            </w:r>
          </w:p>
          <w:p w14:paraId="10A17DC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(3.38)</w:t>
            </w:r>
          </w:p>
        </w:tc>
        <w:tc>
          <w:tcPr>
            <w:tcW w:w="727" w:type="dxa"/>
            <w:tcBorders>
              <w:top w:val="nil"/>
              <w:left w:val="nil"/>
              <w:bottom w:val="nil"/>
              <w:right w:val="nil"/>
            </w:tcBorders>
          </w:tcPr>
          <w:p w14:paraId="1E63EF1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0.596***</w:t>
            </w:r>
          </w:p>
          <w:p w14:paraId="7AD872D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(3.1)</w:t>
            </w:r>
          </w:p>
        </w:tc>
        <w:tc>
          <w:tcPr>
            <w:tcW w:w="670" w:type="dxa"/>
            <w:tcBorders>
              <w:top w:val="nil"/>
              <w:left w:val="nil"/>
              <w:bottom w:val="nil"/>
              <w:right w:val="nil"/>
            </w:tcBorders>
          </w:tcPr>
          <w:p w14:paraId="5CB9828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0.507***</w:t>
            </w:r>
          </w:p>
          <w:p w14:paraId="53D0934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(3.32)</w:t>
            </w:r>
          </w:p>
        </w:tc>
        <w:tc>
          <w:tcPr>
            <w:tcW w:w="414" w:type="dxa"/>
            <w:tcBorders>
              <w:top w:val="nil"/>
              <w:left w:val="nil"/>
              <w:bottom w:val="nil"/>
              <w:right w:val="nil"/>
            </w:tcBorders>
          </w:tcPr>
          <w:p w14:paraId="03AE499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504A981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0.879</w:t>
            </w:r>
          </w:p>
          <w:p w14:paraId="58B9DA4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(1.11)</w:t>
            </w:r>
          </w:p>
        </w:tc>
        <w:tc>
          <w:tcPr>
            <w:tcW w:w="720" w:type="dxa"/>
            <w:tcBorders>
              <w:top w:val="nil"/>
              <w:left w:val="nil"/>
              <w:bottom w:val="nil"/>
              <w:right w:val="nil"/>
            </w:tcBorders>
          </w:tcPr>
          <w:p w14:paraId="6CF80F3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0.827</w:t>
            </w:r>
          </w:p>
          <w:p w14:paraId="036D868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w:t>
            </w:r>
          </w:p>
        </w:tc>
        <w:tc>
          <w:tcPr>
            <w:tcW w:w="979" w:type="dxa"/>
            <w:gridSpan w:val="2"/>
            <w:tcBorders>
              <w:top w:val="nil"/>
              <w:left w:val="nil"/>
              <w:bottom w:val="nil"/>
              <w:right w:val="nil"/>
            </w:tcBorders>
          </w:tcPr>
          <w:p w14:paraId="1BCDD9B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0.586</w:t>
            </w:r>
          </w:p>
          <w:p w14:paraId="4325BC3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(0.63)</w:t>
            </w:r>
          </w:p>
        </w:tc>
        <w:tc>
          <w:tcPr>
            <w:tcW w:w="283" w:type="dxa"/>
            <w:gridSpan w:val="2"/>
            <w:tcBorders>
              <w:top w:val="nil"/>
              <w:left w:val="nil"/>
              <w:bottom w:val="nil"/>
              <w:right w:val="nil"/>
            </w:tcBorders>
          </w:tcPr>
          <w:p w14:paraId="19B32E9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0A0EA30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7.272**</w:t>
            </w:r>
          </w:p>
          <w:p w14:paraId="6E9042E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(2.09)</w:t>
            </w:r>
          </w:p>
        </w:tc>
        <w:tc>
          <w:tcPr>
            <w:tcW w:w="824" w:type="dxa"/>
            <w:gridSpan w:val="2"/>
            <w:tcBorders>
              <w:top w:val="nil"/>
              <w:left w:val="nil"/>
              <w:bottom w:val="nil"/>
              <w:right w:val="nil"/>
            </w:tcBorders>
          </w:tcPr>
          <w:p w14:paraId="2F63036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7.383*</w:t>
            </w:r>
          </w:p>
          <w:p w14:paraId="0485CFC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(1.95)</w:t>
            </w:r>
          </w:p>
        </w:tc>
        <w:tc>
          <w:tcPr>
            <w:tcW w:w="736" w:type="dxa"/>
            <w:gridSpan w:val="2"/>
            <w:tcBorders>
              <w:top w:val="nil"/>
              <w:left w:val="nil"/>
              <w:bottom w:val="nil"/>
              <w:right w:val="nil"/>
            </w:tcBorders>
          </w:tcPr>
          <w:p w14:paraId="1C818EF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6.751*</w:t>
            </w:r>
          </w:p>
          <w:p w14:paraId="31575D7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(1.73)</w:t>
            </w:r>
          </w:p>
        </w:tc>
      </w:tr>
      <w:tr w:rsidR="00D955E0" w:rsidRPr="00E915AA" w14:paraId="28C83922" w14:textId="77777777" w:rsidTr="001520C5">
        <w:trPr>
          <w:gridAfter w:val="1"/>
          <w:wAfter w:w="8" w:type="dxa"/>
          <w:trHeight w:val="312"/>
        </w:trPr>
        <w:tc>
          <w:tcPr>
            <w:tcW w:w="1208" w:type="dxa"/>
            <w:gridSpan w:val="2"/>
            <w:tcBorders>
              <w:top w:val="nil"/>
              <w:left w:val="nil"/>
              <w:bottom w:val="nil"/>
              <w:right w:val="nil"/>
            </w:tcBorders>
          </w:tcPr>
          <w:p w14:paraId="50AD732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proofErr w:type="spellStart"/>
            <w:r w:rsidRPr="00E915AA">
              <w:rPr>
                <w:rFonts w:ascii="Times New Roman" w:eastAsia="Calibri" w:hAnsi="Times New Roman" w:cs="Times New Roman"/>
                <w:color w:val="000000"/>
                <w:sz w:val="12"/>
                <w:szCs w:val="12"/>
              </w:rPr>
              <w:t>CEOchairperson</w:t>
            </w:r>
            <w:proofErr w:type="spellEnd"/>
          </w:p>
        </w:tc>
        <w:tc>
          <w:tcPr>
            <w:tcW w:w="919" w:type="dxa"/>
            <w:tcBorders>
              <w:top w:val="nil"/>
              <w:left w:val="nil"/>
              <w:bottom w:val="nil"/>
              <w:right w:val="nil"/>
            </w:tcBorders>
          </w:tcPr>
          <w:p w14:paraId="2927A69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-1.12</w:t>
            </w:r>
          </w:p>
          <w:p w14:paraId="712DC4C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(-0.23)</w:t>
            </w:r>
          </w:p>
        </w:tc>
        <w:tc>
          <w:tcPr>
            <w:tcW w:w="992" w:type="dxa"/>
            <w:tcBorders>
              <w:top w:val="nil"/>
              <w:left w:val="nil"/>
              <w:bottom w:val="nil"/>
              <w:right w:val="nil"/>
            </w:tcBorders>
          </w:tcPr>
          <w:p w14:paraId="03E286F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-1.667</w:t>
            </w:r>
          </w:p>
          <w:p w14:paraId="2460A40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(-0.34)</w:t>
            </w:r>
          </w:p>
        </w:tc>
        <w:tc>
          <w:tcPr>
            <w:tcW w:w="850" w:type="dxa"/>
            <w:tcBorders>
              <w:top w:val="nil"/>
              <w:left w:val="nil"/>
              <w:bottom w:val="nil"/>
              <w:right w:val="nil"/>
            </w:tcBorders>
          </w:tcPr>
          <w:p w14:paraId="2A80478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-1.285</w:t>
            </w:r>
          </w:p>
          <w:p w14:paraId="1645C4D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(-0.24)</w:t>
            </w:r>
          </w:p>
        </w:tc>
        <w:tc>
          <w:tcPr>
            <w:tcW w:w="284" w:type="dxa"/>
            <w:tcBorders>
              <w:top w:val="nil"/>
              <w:left w:val="nil"/>
              <w:bottom w:val="nil"/>
              <w:right w:val="nil"/>
            </w:tcBorders>
          </w:tcPr>
          <w:p w14:paraId="0D9E278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760413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0.152</w:t>
            </w:r>
          </w:p>
          <w:p w14:paraId="12B196A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(0.92)</w:t>
            </w:r>
          </w:p>
        </w:tc>
        <w:tc>
          <w:tcPr>
            <w:tcW w:w="705" w:type="dxa"/>
            <w:tcBorders>
              <w:top w:val="nil"/>
              <w:left w:val="nil"/>
              <w:bottom w:val="nil"/>
              <w:right w:val="nil"/>
            </w:tcBorders>
          </w:tcPr>
          <w:p w14:paraId="41EDFBD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0.131</w:t>
            </w:r>
          </w:p>
          <w:p w14:paraId="61E3E35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(0.81)</w:t>
            </w:r>
          </w:p>
        </w:tc>
        <w:tc>
          <w:tcPr>
            <w:tcW w:w="691" w:type="dxa"/>
            <w:tcBorders>
              <w:top w:val="nil"/>
              <w:left w:val="nil"/>
              <w:bottom w:val="nil"/>
              <w:right w:val="nil"/>
            </w:tcBorders>
          </w:tcPr>
          <w:p w14:paraId="7E945D5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0.198</w:t>
            </w:r>
          </w:p>
          <w:p w14:paraId="1CCD8DF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(1.09)</w:t>
            </w:r>
          </w:p>
        </w:tc>
        <w:tc>
          <w:tcPr>
            <w:tcW w:w="405" w:type="dxa"/>
            <w:tcBorders>
              <w:top w:val="nil"/>
              <w:left w:val="nil"/>
              <w:bottom w:val="nil"/>
              <w:right w:val="nil"/>
            </w:tcBorders>
          </w:tcPr>
          <w:p w14:paraId="14CB77B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5CBCC2E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-0.12</w:t>
            </w:r>
          </w:p>
          <w:p w14:paraId="508D274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(-0.74)</w:t>
            </w:r>
          </w:p>
        </w:tc>
        <w:tc>
          <w:tcPr>
            <w:tcW w:w="727" w:type="dxa"/>
            <w:tcBorders>
              <w:top w:val="nil"/>
              <w:left w:val="nil"/>
              <w:bottom w:val="nil"/>
              <w:right w:val="nil"/>
            </w:tcBorders>
          </w:tcPr>
          <w:p w14:paraId="52298E9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-0.147</w:t>
            </w:r>
          </w:p>
          <w:p w14:paraId="1F4FF3A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(-0.88)</w:t>
            </w:r>
          </w:p>
        </w:tc>
        <w:tc>
          <w:tcPr>
            <w:tcW w:w="670" w:type="dxa"/>
            <w:tcBorders>
              <w:top w:val="nil"/>
              <w:left w:val="nil"/>
              <w:bottom w:val="nil"/>
              <w:right w:val="nil"/>
            </w:tcBorders>
          </w:tcPr>
          <w:p w14:paraId="5942008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-0.16</w:t>
            </w:r>
          </w:p>
          <w:p w14:paraId="541A950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(-0.86)</w:t>
            </w:r>
          </w:p>
        </w:tc>
        <w:tc>
          <w:tcPr>
            <w:tcW w:w="414" w:type="dxa"/>
            <w:tcBorders>
              <w:top w:val="nil"/>
              <w:left w:val="nil"/>
              <w:bottom w:val="nil"/>
              <w:right w:val="nil"/>
            </w:tcBorders>
          </w:tcPr>
          <w:p w14:paraId="1AD5106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7AE322D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-0.295</w:t>
            </w:r>
          </w:p>
          <w:p w14:paraId="76BCBA1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(-0.71)</w:t>
            </w:r>
          </w:p>
        </w:tc>
        <w:tc>
          <w:tcPr>
            <w:tcW w:w="720" w:type="dxa"/>
            <w:tcBorders>
              <w:top w:val="nil"/>
              <w:left w:val="nil"/>
              <w:bottom w:val="nil"/>
              <w:right w:val="nil"/>
            </w:tcBorders>
          </w:tcPr>
          <w:p w14:paraId="413C0DD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-0.29</w:t>
            </w:r>
          </w:p>
          <w:p w14:paraId="37EC23A9"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(-0.71)</w:t>
            </w:r>
          </w:p>
        </w:tc>
        <w:tc>
          <w:tcPr>
            <w:tcW w:w="979" w:type="dxa"/>
            <w:gridSpan w:val="2"/>
            <w:tcBorders>
              <w:top w:val="nil"/>
              <w:left w:val="nil"/>
              <w:bottom w:val="nil"/>
              <w:right w:val="nil"/>
            </w:tcBorders>
          </w:tcPr>
          <w:p w14:paraId="7920DE7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-0.194</w:t>
            </w:r>
          </w:p>
          <w:p w14:paraId="7D034D6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(-0.45)</w:t>
            </w:r>
          </w:p>
        </w:tc>
        <w:tc>
          <w:tcPr>
            <w:tcW w:w="283" w:type="dxa"/>
            <w:gridSpan w:val="2"/>
            <w:tcBorders>
              <w:top w:val="nil"/>
              <w:left w:val="nil"/>
              <w:bottom w:val="nil"/>
              <w:right w:val="nil"/>
            </w:tcBorders>
          </w:tcPr>
          <w:p w14:paraId="02BE327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55A3511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-0.569</w:t>
            </w:r>
          </w:p>
          <w:p w14:paraId="756B4A0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(-0.21)</w:t>
            </w:r>
          </w:p>
        </w:tc>
        <w:tc>
          <w:tcPr>
            <w:tcW w:w="824" w:type="dxa"/>
            <w:gridSpan w:val="2"/>
            <w:tcBorders>
              <w:top w:val="nil"/>
              <w:left w:val="nil"/>
              <w:bottom w:val="nil"/>
              <w:right w:val="nil"/>
            </w:tcBorders>
          </w:tcPr>
          <w:p w14:paraId="300401D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-0.969</w:t>
            </w:r>
          </w:p>
          <w:p w14:paraId="24C7E63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(-0.36)</w:t>
            </w:r>
          </w:p>
        </w:tc>
        <w:tc>
          <w:tcPr>
            <w:tcW w:w="736" w:type="dxa"/>
            <w:gridSpan w:val="2"/>
            <w:tcBorders>
              <w:top w:val="nil"/>
              <w:left w:val="nil"/>
              <w:bottom w:val="nil"/>
              <w:right w:val="nil"/>
            </w:tcBorders>
          </w:tcPr>
          <w:p w14:paraId="23D83DB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-1.737</w:t>
            </w:r>
          </w:p>
          <w:p w14:paraId="39C3D4D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(-0.51)</w:t>
            </w:r>
          </w:p>
        </w:tc>
      </w:tr>
      <w:tr w:rsidR="00D955E0" w:rsidRPr="00E915AA" w14:paraId="611D2014" w14:textId="77777777" w:rsidTr="001520C5">
        <w:trPr>
          <w:gridAfter w:val="1"/>
          <w:wAfter w:w="8" w:type="dxa"/>
          <w:trHeight w:val="288"/>
        </w:trPr>
        <w:tc>
          <w:tcPr>
            <w:tcW w:w="972" w:type="dxa"/>
            <w:tcBorders>
              <w:top w:val="nil"/>
              <w:left w:val="nil"/>
              <w:bottom w:val="nil"/>
              <w:right w:val="nil"/>
            </w:tcBorders>
          </w:tcPr>
          <w:p w14:paraId="260409D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36" w:type="dxa"/>
            <w:tcBorders>
              <w:top w:val="nil"/>
              <w:left w:val="nil"/>
              <w:bottom w:val="nil"/>
              <w:right w:val="nil"/>
            </w:tcBorders>
          </w:tcPr>
          <w:p w14:paraId="03FA44F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333472A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92" w:type="dxa"/>
            <w:tcBorders>
              <w:top w:val="nil"/>
              <w:left w:val="nil"/>
              <w:bottom w:val="nil"/>
              <w:right w:val="nil"/>
            </w:tcBorders>
          </w:tcPr>
          <w:p w14:paraId="7E1E351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850" w:type="dxa"/>
            <w:tcBorders>
              <w:top w:val="nil"/>
              <w:left w:val="nil"/>
              <w:bottom w:val="nil"/>
              <w:right w:val="nil"/>
            </w:tcBorders>
          </w:tcPr>
          <w:p w14:paraId="67E8CDA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4" w:type="dxa"/>
            <w:tcBorders>
              <w:top w:val="nil"/>
              <w:left w:val="nil"/>
              <w:bottom w:val="nil"/>
              <w:right w:val="nil"/>
            </w:tcBorders>
          </w:tcPr>
          <w:p w14:paraId="6926BFB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E95718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05" w:type="dxa"/>
            <w:tcBorders>
              <w:top w:val="nil"/>
              <w:left w:val="nil"/>
              <w:bottom w:val="nil"/>
              <w:right w:val="nil"/>
            </w:tcBorders>
          </w:tcPr>
          <w:p w14:paraId="163000D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4A9BDFB6"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05" w:type="dxa"/>
            <w:tcBorders>
              <w:top w:val="nil"/>
              <w:left w:val="nil"/>
              <w:bottom w:val="nil"/>
              <w:right w:val="nil"/>
            </w:tcBorders>
          </w:tcPr>
          <w:p w14:paraId="58E23324"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78D0C6B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7" w:type="dxa"/>
            <w:tcBorders>
              <w:top w:val="nil"/>
              <w:left w:val="nil"/>
              <w:bottom w:val="nil"/>
              <w:right w:val="nil"/>
            </w:tcBorders>
          </w:tcPr>
          <w:p w14:paraId="7C65389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70" w:type="dxa"/>
            <w:tcBorders>
              <w:top w:val="nil"/>
              <w:left w:val="nil"/>
              <w:bottom w:val="nil"/>
              <w:right w:val="nil"/>
            </w:tcBorders>
          </w:tcPr>
          <w:p w14:paraId="5239FE42"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14" w:type="dxa"/>
            <w:tcBorders>
              <w:top w:val="nil"/>
              <w:left w:val="nil"/>
              <w:bottom w:val="nil"/>
              <w:right w:val="nil"/>
            </w:tcBorders>
          </w:tcPr>
          <w:p w14:paraId="15DC035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3479FB6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0" w:type="dxa"/>
            <w:tcBorders>
              <w:top w:val="nil"/>
              <w:left w:val="nil"/>
              <w:bottom w:val="nil"/>
              <w:right w:val="nil"/>
            </w:tcBorders>
          </w:tcPr>
          <w:p w14:paraId="46AD5DA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9" w:type="dxa"/>
            <w:gridSpan w:val="2"/>
            <w:tcBorders>
              <w:top w:val="nil"/>
              <w:left w:val="nil"/>
              <w:bottom w:val="nil"/>
              <w:right w:val="nil"/>
            </w:tcBorders>
          </w:tcPr>
          <w:p w14:paraId="03EDB57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3" w:type="dxa"/>
            <w:gridSpan w:val="2"/>
            <w:tcBorders>
              <w:top w:val="nil"/>
              <w:left w:val="nil"/>
              <w:bottom w:val="nil"/>
              <w:right w:val="nil"/>
            </w:tcBorders>
          </w:tcPr>
          <w:p w14:paraId="5157771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2381680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824" w:type="dxa"/>
            <w:gridSpan w:val="2"/>
            <w:tcBorders>
              <w:top w:val="nil"/>
              <w:left w:val="nil"/>
              <w:bottom w:val="nil"/>
              <w:right w:val="nil"/>
            </w:tcBorders>
          </w:tcPr>
          <w:p w14:paraId="3681B6B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36" w:type="dxa"/>
            <w:gridSpan w:val="2"/>
            <w:tcBorders>
              <w:top w:val="nil"/>
              <w:left w:val="nil"/>
              <w:bottom w:val="nil"/>
              <w:right w:val="nil"/>
            </w:tcBorders>
          </w:tcPr>
          <w:p w14:paraId="294BEF0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r>
      <w:tr w:rsidR="00D955E0" w:rsidRPr="00E915AA" w14:paraId="0120C271" w14:textId="77777777" w:rsidTr="001520C5">
        <w:trPr>
          <w:gridAfter w:val="1"/>
          <w:wAfter w:w="8" w:type="dxa"/>
          <w:trHeight w:val="288"/>
        </w:trPr>
        <w:tc>
          <w:tcPr>
            <w:tcW w:w="1208" w:type="dxa"/>
            <w:gridSpan w:val="2"/>
            <w:tcBorders>
              <w:top w:val="nil"/>
              <w:left w:val="nil"/>
              <w:bottom w:val="nil"/>
              <w:right w:val="nil"/>
            </w:tcBorders>
          </w:tcPr>
          <w:p w14:paraId="35647EE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FE industry</w:t>
            </w:r>
          </w:p>
        </w:tc>
        <w:tc>
          <w:tcPr>
            <w:tcW w:w="919" w:type="dxa"/>
            <w:tcBorders>
              <w:top w:val="nil"/>
              <w:left w:val="nil"/>
              <w:bottom w:val="nil"/>
              <w:right w:val="nil"/>
            </w:tcBorders>
          </w:tcPr>
          <w:p w14:paraId="6B64288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992" w:type="dxa"/>
            <w:tcBorders>
              <w:top w:val="nil"/>
              <w:left w:val="nil"/>
              <w:bottom w:val="nil"/>
              <w:right w:val="nil"/>
            </w:tcBorders>
          </w:tcPr>
          <w:p w14:paraId="7C736BA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850" w:type="dxa"/>
            <w:tcBorders>
              <w:top w:val="nil"/>
              <w:left w:val="nil"/>
              <w:bottom w:val="nil"/>
              <w:right w:val="nil"/>
            </w:tcBorders>
          </w:tcPr>
          <w:p w14:paraId="72F5D0E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284" w:type="dxa"/>
            <w:tcBorders>
              <w:top w:val="nil"/>
              <w:left w:val="nil"/>
              <w:bottom w:val="nil"/>
              <w:right w:val="nil"/>
            </w:tcBorders>
          </w:tcPr>
          <w:p w14:paraId="5B5B91F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62FBBA8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05" w:type="dxa"/>
            <w:tcBorders>
              <w:top w:val="nil"/>
              <w:left w:val="nil"/>
              <w:bottom w:val="nil"/>
              <w:right w:val="nil"/>
            </w:tcBorders>
          </w:tcPr>
          <w:p w14:paraId="6E2F81F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691" w:type="dxa"/>
            <w:tcBorders>
              <w:top w:val="nil"/>
              <w:left w:val="nil"/>
              <w:bottom w:val="nil"/>
              <w:right w:val="nil"/>
            </w:tcBorders>
          </w:tcPr>
          <w:p w14:paraId="2F98DD88"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405" w:type="dxa"/>
            <w:tcBorders>
              <w:top w:val="nil"/>
              <w:left w:val="nil"/>
              <w:bottom w:val="nil"/>
              <w:right w:val="nil"/>
            </w:tcBorders>
          </w:tcPr>
          <w:p w14:paraId="1677824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01CE79ED"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27" w:type="dxa"/>
            <w:tcBorders>
              <w:top w:val="nil"/>
              <w:left w:val="nil"/>
              <w:bottom w:val="nil"/>
              <w:right w:val="nil"/>
            </w:tcBorders>
          </w:tcPr>
          <w:p w14:paraId="6928242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670" w:type="dxa"/>
            <w:tcBorders>
              <w:top w:val="nil"/>
              <w:left w:val="nil"/>
              <w:bottom w:val="nil"/>
              <w:right w:val="nil"/>
            </w:tcBorders>
          </w:tcPr>
          <w:p w14:paraId="4400E39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414" w:type="dxa"/>
            <w:tcBorders>
              <w:top w:val="nil"/>
              <w:left w:val="nil"/>
              <w:bottom w:val="nil"/>
              <w:right w:val="nil"/>
            </w:tcBorders>
          </w:tcPr>
          <w:p w14:paraId="7126D68A"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7A01540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20" w:type="dxa"/>
            <w:tcBorders>
              <w:top w:val="nil"/>
              <w:left w:val="nil"/>
              <w:bottom w:val="nil"/>
              <w:right w:val="nil"/>
            </w:tcBorders>
          </w:tcPr>
          <w:p w14:paraId="20029AE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979" w:type="dxa"/>
            <w:gridSpan w:val="2"/>
            <w:tcBorders>
              <w:top w:val="nil"/>
              <w:left w:val="nil"/>
              <w:bottom w:val="nil"/>
              <w:right w:val="nil"/>
            </w:tcBorders>
          </w:tcPr>
          <w:p w14:paraId="1EFCF5C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283" w:type="dxa"/>
            <w:gridSpan w:val="2"/>
            <w:tcBorders>
              <w:top w:val="nil"/>
              <w:left w:val="nil"/>
              <w:bottom w:val="nil"/>
              <w:right w:val="nil"/>
            </w:tcBorders>
          </w:tcPr>
          <w:p w14:paraId="696D515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21D6817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824" w:type="dxa"/>
            <w:gridSpan w:val="2"/>
            <w:tcBorders>
              <w:top w:val="nil"/>
              <w:left w:val="nil"/>
              <w:bottom w:val="nil"/>
              <w:right w:val="nil"/>
            </w:tcBorders>
          </w:tcPr>
          <w:p w14:paraId="3D30E28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36" w:type="dxa"/>
            <w:gridSpan w:val="2"/>
            <w:tcBorders>
              <w:top w:val="nil"/>
              <w:left w:val="nil"/>
              <w:bottom w:val="nil"/>
              <w:right w:val="nil"/>
            </w:tcBorders>
          </w:tcPr>
          <w:p w14:paraId="176E64E1"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r>
      <w:tr w:rsidR="00D955E0" w:rsidRPr="00E915AA" w14:paraId="54682426" w14:textId="77777777" w:rsidTr="001520C5">
        <w:trPr>
          <w:gridAfter w:val="1"/>
          <w:wAfter w:w="8" w:type="dxa"/>
          <w:trHeight w:val="288"/>
        </w:trPr>
        <w:tc>
          <w:tcPr>
            <w:tcW w:w="972" w:type="dxa"/>
            <w:tcBorders>
              <w:top w:val="nil"/>
              <w:left w:val="nil"/>
              <w:bottom w:val="nil"/>
              <w:right w:val="nil"/>
            </w:tcBorders>
          </w:tcPr>
          <w:p w14:paraId="60D00D17"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FE year</w:t>
            </w:r>
          </w:p>
        </w:tc>
        <w:tc>
          <w:tcPr>
            <w:tcW w:w="236" w:type="dxa"/>
            <w:tcBorders>
              <w:top w:val="nil"/>
              <w:left w:val="nil"/>
              <w:bottom w:val="nil"/>
              <w:right w:val="nil"/>
            </w:tcBorders>
          </w:tcPr>
          <w:p w14:paraId="2893135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2D5A73D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992" w:type="dxa"/>
            <w:tcBorders>
              <w:top w:val="nil"/>
              <w:left w:val="nil"/>
              <w:bottom w:val="nil"/>
              <w:right w:val="nil"/>
            </w:tcBorders>
          </w:tcPr>
          <w:p w14:paraId="021B84AF"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850" w:type="dxa"/>
            <w:tcBorders>
              <w:top w:val="nil"/>
              <w:left w:val="nil"/>
              <w:bottom w:val="nil"/>
              <w:right w:val="nil"/>
            </w:tcBorders>
          </w:tcPr>
          <w:p w14:paraId="74BDE52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284" w:type="dxa"/>
            <w:tcBorders>
              <w:top w:val="nil"/>
              <w:left w:val="nil"/>
              <w:bottom w:val="nil"/>
              <w:right w:val="nil"/>
            </w:tcBorders>
          </w:tcPr>
          <w:p w14:paraId="340D9A4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8E4B01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05" w:type="dxa"/>
            <w:tcBorders>
              <w:top w:val="nil"/>
              <w:left w:val="nil"/>
              <w:bottom w:val="nil"/>
              <w:right w:val="nil"/>
            </w:tcBorders>
          </w:tcPr>
          <w:p w14:paraId="48437C4E"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691" w:type="dxa"/>
            <w:tcBorders>
              <w:top w:val="nil"/>
              <w:left w:val="nil"/>
              <w:bottom w:val="nil"/>
              <w:right w:val="nil"/>
            </w:tcBorders>
          </w:tcPr>
          <w:p w14:paraId="6004870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405" w:type="dxa"/>
            <w:tcBorders>
              <w:top w:val="nil"/>
              <w:left w:val="nil"/>
              <w:bottom w:val="nil"/>
              <w:right w:val="nil"/>
            </w:tcBorders>
          </w:tcPr>
          <w:p w14:paraId="28BD682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0551214C"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27" w:type="dxa"/>
            <w:tcBorders>
              <w:top w:val="nil"/>
              <w:left w:val="nil"/>
              <w:bottom w:val="nil"/>
              <w:right w:val="nil"/>
            </w:tcBorders>
          </w:tcPr>
          <w:p w14:paraId="1477098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670" w:type="dxa"/>
            <w:tcBorders>
              <w:top w:val="nil"/>
              <w:left w:val="nil"/>
              <w:bottom w:val="nil"/>
              <w:right w:val="nil"/>
            </w:tcBorders>
          </w:tcPr>
          <w:p w14:paraId="35B513E6"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414" w:type="dxa"/>
            <w:tcBorders>
              <w:top w:val="nil"/>
              <w:left w:val="nil"/>
              <w:bottom w:val="nil"/>
              <w:right w:val="nil"/>
            </w:tcBorders>
          </w:tcPr>
          <w:p w14:paraId="7EC93D8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094BA37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20" w:type="dxa"/>
            <w:tcBorders>
              <w:top w:val="nil"/>
              <w:left w:val="nil"/>
              <w:bottom w:val="nil"/>
              <w:right w:val="nil"/>
            </w:tcBorders>
          </w:tcPr>
          <w:p w14:paraId="35C9EFB5"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979" w:type="dxa"/>
            <w:gridSpan w:val="2"/>
            <w:tcBorders>
              <w:top w:val="nil"/>
              <w:left w:val="nil"/>
              <w:bottom w:val="nil"/>
              <w:right w:val="nil"/>
            </w:tcBorders>
          </w:tcPr>
          <w:p w14:paraId="1EFDBB70"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283" w:type="dxa"/>
            <w:gridSpan w:val="2"/>
            <w:tcBorders>
              <w:top w:val="nil"/>
              <w:left w:val="nil"/>
              <w:bottom w:val="nil"/>
              <w:right w:val="nil"/>
            </w:tcBorders>
          </w:tcPr>
          <w:p w14:paraId="070C7283"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0391AF42"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824" w:type="dxa"/>
            <w:gridSpan w:val="2"/>
            <w:tcBorders>
              <w:top w:val="nil"/>
              <w:left w:val="nil"/>
              <w:bottom w:val="nil"/>
              <w:right w:val="nil"/>
            </w:tcBorders>
          </w:tcPr>
          <w:p w14:paraId="06FD3C24"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c>
          <w:tcPr>
            <w:tcW w:w="736" w:type="dxa"/>
            <w:gridSpan w:val="2"/>
            <w:tcBorders>
              <w:top w:val="nil"/>
              <w:left w:val="nil"/>
              <w:bottom w:val="nil"/>
              <w:right w:val="nil"/>
            </w:tcBorders>
          </w:tcPr>
          <w:p w14:paraId="3BF8D74B"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Included</w:t>
            </w:r>
          </w:p>
        </w:tc>
      </w:tr>
      <w:tr w:rsidR="00D955E0" w:rsidRPr="00E915AA" w14:paraId="500F281C" w14:textId="77777777" w:rsidTr="001520C5">
        <w:trPr>
          <w:gridAfter w:val="1"/>
          <w:wAfter w:w="8" w:type="dxa"/>
          <w:trHeight w:val="288"/>
        </w:trPr>
        <w:tc>
          <w:tcPr>
            <w:tcW w:w="972" w:type="dxa"/>
            <w:tcBorders>
              <w:top w:val="nil"/>
              <w:left w:val="nil"/>
              <w:bottom w:val="nil"/>
              <w:right w:val="nil"/>
            </w:tcBorders>
          </w:tcPr>
          <w:p w14:paraId="3A3F9FB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36" w:type="dxa"/>
            <w:tcBorders>
              <w:top w:val="nil"/>
              <w:left w:val="nil"/>
              <w:bottom w:val="nil"/>
              <w:right w:val="nil"/>
            </w:tcBorders>
          </w:tcPr>
          <w:p w14:paraId="35DF2E7C"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4E07205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92" w:type="dxa"/>
            <w:tcBorders>
              <w:top w:val="nil"/>
              <w:left w:val="nil"/>
              <w:bottom w:val="nil"/>
              <w:right w:val="nil"/>
            </w:tcBorders>
          </w:tcPr>
          <w:p w14:paraId="026F9208"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850" w:type="dxa"/>
            <w:tcBorders>
              <w:top w:val="nil"/>
              <w:left w:val="nil"/>
              <w:bottom w:val="nil"/>
              <w:right w:val="nil"/>
            </w:tcBorders>
          </w:tcPr>
          <w:p w14:paraId="0D41DEC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4" w:type="dxa"/>
            <w:tcBorders>
              <w:top w:val="nil"/>
              <w:left w:val="nil"/>
              <w:bottom w:val="nil"/>
              <w:right w:val="nil"/>
            </w:tcBorders>
          </w:tcPr>
          <w:p w14:paraId="330C2FA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758D868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05" w:type="dxa"/>
            <w:tcBorders>
              <w:top w:val="nil"/>
              <w:left w:val="nil"/>
              <w:bottom w:val="nil"/>
              <w:right w:val="nil"/>
            </w:tcBorders>
          </w:tcPr>
          <w:p w14:paraId="516DFA30"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91" w:type="dxa"/>
            <w:tcBorders>
              <w:top w:val="nil"/>
              <w:left w:val="nil"/>
              <w:bottom w:val="nil"/>
              <w:right w:val="nil"/>
            </w:tcBorders>
          </w:tcPr>
          <w:p w14:paraId="0323D44A"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05" w:type="dxa"/>
            <w:tcBorders>
              <w:top w:val="nil"/>
              <w:left w:val="nil"/>
              <w:bottom w:val="nil"/>
              <w:right w:val="nil"/>
            </w:tcBorders>
          </w:tcPr>
          <w:p w14:paraId="1093CDF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00" w:type="dxa"/>
            <w:tcBorders>
              <w:top w:val="nil"/>
              <w:left w:val="nil"/>
              <w:bottom w:val="nil"/>
              <w:right w:val="nil"/>
            </w:tcBorders>
          </w:tcPr>
          <w:p w14:paraId="115211BF"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7" w:type="dxa"/>
            <w:tcBorders>
              <w:top w:val="nil"/>
              <w:left w:val="nil"/>
              <w:bottom w:val="nil"/>
              <w:right w:val="nil"/>
            </w:tcBorders>
          </w:tcPr>
          <w:p w14:paraId="147F84A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670" w:type="dxa"/>
            <w:tcBorders>
              <w:top w:val="nil"/>
              <w:left w:val="nil"/>
              <w:bottom w:val="nil"/>
              <w:right w:val="nil"/>
            </w:tcBorders>
          </w:tcPr>
          <w:p w14:paraId="7B110AAD"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414" w:type="dxa"/>
            <w:tcBorders>
              <w:top w:val="nil"/>
              <w:left w:val="nil"/>
              <w:bottom w:val="nil"/>
              <w:right w:val="nil"/>
            </w:tcBorders>
          </w:tcPr>
          <w:p w14:paraId="57D3936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3" w:type="dxa"/>
            <w:tcBorders>
              <w:top w:val="nil"/>
              <w:left w:val="nil"/>
              <w:bottom w:val="nil"/>
              <w:right w:val="nil"/>
            </w:tcBorders>
          </w:tcPr>
          <w:p w14:paraId="6ACA6FF7"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20" w:type="dxa"/>
            <w:tcBorders>
              <w:top w:val="nil"/>
              <w:left w:val="nil"/>
              <w:bottom w:val="nil"/>
              <w:right w:val="nil"/>
            </w:tcBorders>
          </w:tcPr>
          <w:p w14:paraId="7336549B"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9" w:type="dxa"/>
            <w:gridSpan w:val="2"/>
            <w:tcBorders>
              <w:top w:val="nil"/>
              <w:left w:val="nil"/>
              <w:bottom w:val="nil"/>
              <w:right w:val="nil"/>
            </w:tcBorders>
          </w:tcPr>
          <w:p w14:paraId="0658C482"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283" w:type="dxa"/>
            <w:gridSpan w:val="2"/>
            <w:tcBorders>
              <w:top w:val="nil"/>
              <w:left w:val="nil"/>
              <w:bottom w:val="nil"/>
              <w:right w:val="nil"/>
            </w:tcBorders>
          </w:tcPr>
          <w:p w14:paraId="16776EF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78" w:type="dxa"/>
            <w:gridSpan w:val="2"/>
            <w:tcBorders>
              <w:top w:val="nil"/>
              <w:left w:val="nil"/>
              <w:bottom w:val="nil"/>
              <w:right w:val="nil"/>
            </w:tcBorders>
          </w:tcPr>
          <w:p w14:paraId="7EE9CFD9"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824" w:type="dxa"/>
            <w:gridSpan w:val="2"/>
            <w:tcBorders>
              <w:top w:val="nil"/>
              <w:left w:val="nil"/>
              <w:bottom w:val="nil"/>
              <w:right w:val="nil"/>
            </w:tcBorders>
          </w:tcPr>
          <w:p w14:paraId="6AD7C645"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736" w:type="dxa"/>
            <w:gridSpan w:val="2"/>
            <w:tcBorders>
              <w:top w:val="nil"/>
              <w:left w:val="nil"/>
              <w:bottom w:val="nil"/>
              <w:right w:val="nil"/>
            </w:tcBorders>
          </w:tcPr>
          <w:p w14:paraId="72DE2A71"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r>
      <w:tr w:rsidR="00D955E0" w:rsidRPr="00E915AA" w14:paraId="6BBCFD15" w14:textId="77777777" w:rsidTr="001520C5">
        <w:trPr>
          <w:gridAfter w:val="2"/>
          <w:wAfter w:w="283" w:type="dxa"/>
          <w:trHeight w:val="298"/>
        </w:trPr>
        <w:tc>
          <w:tcPr>
            <w:tcW w:w="972" w:type="dxa"/>
            <w:tcBorders>
              <w:top w:val="nil"/>
              <w:left w:val="nil"/>
              <w:bottom w:val="nil"/>
              <w:right w:val="nil"/>
            </w:tcBorders>
          </w:tcPr>
          <w:p w14:paraId="7082AC23"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N</w:t>
            </w:r>
          </w:p>
        </w:tc>
        <w:tc>
          <w:tcPr>
            <w:tcW w:w="236" w:type="dxa"/>
            <w:tcBorders>
              <w:top w:val="nil"/>
              <w:left w:val="nil"/>
              <w:bottom w:val="nil"/>
              <w:right w:val="nil"/>
            </w:tcBorders>
          </w:tcPr>
          <w:p w14:paraId="60129F1E" w14:textId="77777777" w:rsidR="00D955E0" w:rsidRPr="00E915AA" w:rsidRDefault="00D955E0" w:rsidP="001520C5">
            <w:pPr>
              <w:autoSpaceDE w:val="0"/>
              <w:autoSpaceDN w:val="0"/>
              <w:adjustRightInd w:val="0"/>
              <w:spacing w:after="0" w:line="240" w:lineRule="auto"/>
              <w:jc w:val="right"/>
              <w:rPr>
                <w:rFonts w:ascii="Calibri" w:eastAsia="Calibri" w:hAnsi="Calibri" w:cs="Calibri"/>
                <w:color w:val="000000"/>
                <w:sz w:val="12"/>
                <w:szCs w:val="12"/>
              </w:rPr>
            </w:pPr>
          </w:p>
        </w:tc>
        <w:tc>
          <w:tcPr>
            <w:tcW w:w="919" w:type="dxa"/>
            <w:tcBorders>
              <w:top w:val="nil"/>
              <w:left w:val="nil"/>
              <w:bottom w:val="nil"/>
              <w:right w:val="nil"/>
            </w:tcBorders>
          </w:tcPr>
          <w:p w14:paraId="456F2B06"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567</w:t>
            </w:r>
          </w:p>
        </w:tc>
        <w:tc>
          <w:tcPr>
            <w:tcW w:w="992" w:type="dxa"/>
            <w:tcBorders>
              <w:top w:val="nil"/>
              <w:left w:val="nil"/>
              <w:bottom w:val="nil"/>
              <w:right w:val="nil"/>
            </w:tcBorders>
          </w:tcPr>
          <w:p w14:paraId="54D258F3"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579</w:t>
            </w:r>
          </w:p>
        </w:tc>
        <w:tc>
          <w:tcPr>
            <w:tcW w:w="850" w:type="dxa"/>
            <w:tcBorders>
              <w:top w:val="nil"/>
              <w:left w:val="nil"/>
              <w:bottom w:val="nil"/>
              <w:right w:val="nil"/>
            </w:tcBorders>
          </w:tcPr>
          <w:p w14:paraId="24AB3EF7"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479</w:t>
            </w:r>
          </w:p>
        </w:tc>
        <w:tc>
          <w:tcPr>
            <w:tcW w:w="284" w:type="dxa"/>
            <w:tcBorders>
              <w:top w:val="nil"/>
              <w:left w:val="nil"/>
              <w:bottom w:val="nil"/>
              <w:right w:val="nil"/>
            </w:tcBorders>
          </w:tcPr>
          <w:p w14:paraId="589B57A8" w14:textId="77777777" w:rsidR="00D955E0" w:rsidRPr="00E915AA" w:rsidRDefault="00D955E0" w:rsidP="001520C5">
            <w:pPr>
              <w:autoSpaceDE w:val="0"/>
              <w:autoSpaceDN w:val="0"/>
              <w:adjustRightInd w:val="0"/>
              <w:spacing w:after="0" w:line="240" w:lineRule="auto"/>
              <w:jc w:val="center"/>
              <w:rPr>
                <w:rFonts w:ascii="Calibri" w:eastAsia="Calibri" w:hAnsi="Calibri" w:cs="Calibri"/>
                <w:color w:val="000000"/>
                <w:sz w:val="12"/>
                <w:szCs w:val="12"/>
              </w:rPr>
            </w:pPr>
          </w:p>
        </w:tc>
        <w:tc>
          <w:tcPr>
            <w:tcW w:w="691" w:type="dxa"/>
            <w:tcBorders>
              <w:top w:val="nil"/>
              <w:left w:val="nil"/>
              <w:bottom w:val="nil"/>
              <w:right w:val="nil"/>
            </w:tcBorders>
          </w:tcPr>
          <w:p w14:paraId="5A7E9E46"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567</w:t>
            </w:r>
          </w:p>
        </w:tc>
        <w:tc>
          <w:tcPr>
            <w:tcW w:w="705" w:type="dxa"/>
            <w:tcBorders>
              <w:top w:val="nil"/>
              <w:left w:val="nil"/>
              <w:bottom w:val="nil"/>
              <w:right w:val="nil"/>
            </w:tcBorders>
          </w:tcPr>
          <w:p w14:paraId="468ABFE4"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579</w:t>
            </w:r>
          </w:p>
        </w:tc>
        <w:tc>
          <w:tcPr>
            <w:tcW w:w="691" w:type="dxa"/>
            <w:tcBorders>
              <w:top w:val="nil"/>
              <w:left w:val="nil"/>
              <w:bottom w:val="nil"/>
              <w:right w:val="nil"/>
            </w:tcBorders>
          </w:tcPr>
          <w:p w14:paraId="53F06D36"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479</w:t>
            </w:r>
          </w:p>
        </w:tc>
        <w:tc>
          <w:tcPr>
            <w:tcW w:w="405" w:type="dxa"/>
            <w:tcBorders>
              <w:top w:val="nil"/>
              <w:left w:val="nil"/>
              <w:bottom w:val="nil"/>
              <w:right w:val="nil"/>
            </w:tcBorders>
          </w:tcPr>
          <w:p w14:paraId="499A9339" w14:textId="77777777" w:rsidR="00D955E0" w:rsidRPr="00E915AA" w:rsidRDefault="00D955E0" w:rsidP="001520C5">
            <w:pPr>
              <w:autoSpaceDE w:val="0"/>
              <w:autoSpaceDN w:val="0"/>
              <w:adjustRightInd w:val="0"/>
              <w:spacing w:after="0" w:line="240" w:lineRule="auto"/>
              <w:jc w:val="center"/>
              <w:rPr>
                <w:rFonts w:ascii="Calibri" w:eastAsia="Calibri" w:hAnsi="Calibri" w:cs="Calibri"/>
                <w:color w:val="000000"/>
                <w:sz w:val="12"/>
                <w:szCs w:val="12"/>
              </w:rPr>
            </w:pPr>
          </w:p>
        </w:tc>
        <w:tc>
          <w:tcPr>
            <w:tcW w:w="900" w:type="dxa"/>
            <w:tcBorders>
              <w:top w:val="nil"/>
              <w:left w:val="nil"/>
              <w:bottom w:val="nil"/>
              <w:right w:val="nil"/>
            </w:tcBorders>
          </w:tcPr>
          <w:p w14:paraId="4A0ECD0B"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567</w:t>
            </w:r>
          </w:p>
        </w:tc>
        <w:tc>
          <w:tcPr>
            <w:tcW w:w="727" w:type="dxa"/>
            <w:tcBorders>
              <w:top w:val="nil"/>
              <w:left w:val="nil"/>
              <w:bottom w:val="nil"/>
              <w:right w:val="nil"/>
            </w:tcBorders>
          </w:tcPr>
          <w:p w14:paraId="34DD08F2"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579</w:t>
            </w:r>
          </w:p>
        </w:tc>
        <w:tc>
          <w:tcPr>
            <w:tcW w:w="670" w:type="dxa"/>
            <w:tcBorders>
              <w:top w:val="nil"/>
              <w:left w:val="nil"/>
              <w:bottom w:val="nil"/>
              <w:right w:val="nil"/>
            </w:tcBorders>
          </w:tcPr>
          <w:p w14:paraId="1EACFF9C"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479</w:t>
            </w:r>
          </w:p>
        </w:tc>
        <w:tc>
          <w:tcPr>
            <w:tcW w:w="414" w:type="dxa"/>
            <w:tcBorders>
              <w:top w:val="nil"/>
              <w:left w:val="nil"/>
              <w:bottom w:val="nil"/>
              <w:right w:val="nil"/>
            </w:tcBorders>
          </w:tcPr>
          <w:p w14:paraId="6DD6D963" w14:textId="77777777" w:rsidR="00D955E0" w:rsidRPr="00E915AA" w:rsidRDefault="00D955E0" w:rsidP="001520C5">
            <w:pPr>
              <w:autoSpaceDE w:val="0"/>
              <w:autoSpaceDN w:val="0"/>
              <w:adjustRightInd w:val="0"/>
              <w:spacing w:after="0" w:line="240" w:lineRule="auto"/>
              <w:jc w:val="center"/>
              <w:rPr>
                <w:rFonts w:ascii="Calibri" w:eastAsia="Calibri" w:hAnsi="Calibri" w:cs="Calibri"/>
                <w:color w:val="000000"/>
                <w:sz w:val="12"/>
                <w:szCs w:val="12"/>
              </w:rPr>
            </w:pPr>
          </w:p>
        </w:tc>
        <w:tc>
          <w:tcPr>
            <w:tcW w:w="723" w:type="dxa"/>
            <w:tcBorders>
              <w:top w:val="nil"/>
              <w:left w:val="nil"/>
              <w:bottom w:val="nil"/>
              <w:right w:val="nil"/>
            </w:tcBorders>
          </w:tcPr>
          <w:p w14:paraId="665EA35F"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567</w:t>
            </w:r>
          </w:p>
        </w:tc>
        <w:tc>
          <w:tcPr>
            <w:tcW w:w="720" w:type="dxa"/>
            <w:tcBorders>
              <w:top w:val="nil"/>
              <w:left w:val="nil"/>
              <w:bottom w:val="nil"/>
              <w:right w:val="nil"/>
            </w:tcBorders>
          </w:tcPr>
          <w:p w14:paraId="57AE6FD1"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579</w:t>
            </w:r>
          </w:p>
        </w:tc>
        <w:tc>
          <w:tcPr>
            <w:tcW w:w="542" w:type="dxa"/>
            <w:tcBorders>
              <w:top w:val="nil"/>
              <w:left w:val="nil"/>
              <w:bottom w:val="nil"/>
              <w:right w:val="nil"/>
            </w:tcBorders>
          </w:tcPr>
          <w:p w14:paraId="5A048BE0"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479</w:t>
            </w:r>
          </w:p>
        </w:tc>
        <w:tc>
          <w:tcPr>
            <w:tcW w:w="540" w:type="dxa"/>
            <w:gridSpan w:val="2"/>
            <w:tcBorders>
              <w:top w:val="nil"/>
              <w:left w:val="nil"/>
              <w:bottom w:val="nil"/>
              <w:right w:val="nil"/>
            </w:tcBorders>
          </w:tcPr>
          <w:p w14:paraId="7B77003D" w14:textId="77777777" w:rsidR="00D955E0" w:rsidRPr="00E915AA" w:rsidRDefault="00D955E0" w:rsidP="001520C5">
            <w:pPr>
              <w:autoSpaceDE w:val="0"/>
              <w:autoSpaceDN w:val="0"/>
              <w:adjustRightInd w:val="0"/>
              <w:spacing w:after="0" w:line="240" w:lineRule="auto"/>
              <w:jc w:val="center"/>
              <w:rPr>
                <w:rFonts w:ascii="Calibri" w:eastAsia="Calibri" w:hAnsi="Calibri" w:cs="Calibri"/>
                <w:color w:val="000000"/>
                <w:sz w:val="12"/>
                <w:szCs w:val="12"/>
              </w:rPr>
            </w:pPr>
          </w:p>
        </w:tc>
        <w:tc>
          <w:tcPr>
            <w:tcW w:w="721" w:type="dxa"/>
            <w:gridSpan w:val="2"/>
            <w:tcBorders>
              <w:top w:val="nil"/>
              <w:left w:val="nil"/>
              <w:bottom w:val="nil"/>
              <w:right w:val="nil"/>
            </w:tcBorders>
          </w:tcPr>
          <w:p w14:paraId="1F512BA2"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567</w:t>
            </w:r>
          </w:p>
        </w:tc>
        <w:tc>
          <w:tcPr>
            <w:tcW w:w="822" w:type="dxa"/>
            <w:gridSpan w:val="2"/>
            <w:tcBorders>
              <w:top w:val="nil"/>
              <w:left w:val="nil"/>
              <w:bottom w:val="nil"/>
              <w:right w:val="nil"/>
            </w:tcBorders>
          </w:tcPr>
          <w:p w14:paraId="0803A8EB"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579</w:t>
            </w:r>
          </w:p>
        </w:tc>
        <w:tc>
          <w:tcPr>
            <w:tcW w:w="900" w:type="dxa"/>
            <w:gridSpan w:val="2"/>
            <w:tcBorders>
              <w:top w:val="nil"/>
              <w:left w:val="nil"/>
              <w:bottom w:val="nil"/>
              <w:right w:val="nil"/>
            </w:tcBorders>
          </w:tcPr>
          <w:p w14:paraId="0F73E24A" w14:textId="77777777" w:rsidR="00D955E0" w:rsidRPr="00E915AA" w:rsidRDefault="00D955E0" w:rsidP="001520C5">
            <w:pPr>
              <w:autoSpaceDE w:val="0"/>
              <w:autoSpaceDN w:val="0"/>
              <w:adjustRightInd w:val="0"/>
              <w:spacing w:after="0" w:line="240" w:lineRule="auto"/>
              <w:jc w:val="center"/>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479</w:t>
            </w:r>
          </w:p>
        </w:tc>
      </w:tr>
      <w:tr w:rsidR="00D955E0" w:rsidRPr="00E915AA" w14:paraId="35244507" w14:textId="77777777" w:rsidTr="001520C5">
        <w:trPr>
          <w:trHeight w:val="672"/>
        </w:trPr>
        <w:tc>
          <w:tcPr>
            <w:tcW w:w="14707" w:type="dxa"/>
            <w:gridSpan w:val="27"/>
            <w:tcBorders>
              <w:top w:val="single" w:sz="12" w:space="0" w:color="auto"/>
              <w:left w:val="nil"/>
              <w:bottom w:val="nil"/>
              <w:right w:val="nil"/>
            </w:tcBorders>
          </w:tcPr>
          <w:p w14:paraId="4C46046A" w14:textId="77777777" w:rsidR="00D955E0" w:rsidRPr="00E915AA" w:rsidRDefault="00D955E0" w:rsidP="001520C5">
            <w:pPr>
              <w:autoSpaceDE w:val="0"/>
              <w:autoSpaceDN w:val="0"/>
              <w:adjustRightInd w:val="0"/>
              <w:spacing w:after="0" w:line="240" w:lineRule="auto"/>
              <w:rPr>
                <w:rFonts w:ascii="Times New Roman" w:eastAsia="Calibri" w:hAnsi="Times New Roman" w:cs="Times New Roman"/>
                <w:color w:val="000000"/>
                <w:sz w:val="12"/>
                <w:szCs w:val="12"/>
              </w:rPr>
            </w:pPr>
            <w:r w:rsidRPr="00E915AA">
              <w:rPr>
                <w:rFonts w:ascii="Times New Roman" w:eastAsia="Calibri" w:hAnsi="Times New Roman" w:cs="Times New Roman"/>
                <w:color w:val="000000"/>
                <w:sz w:val="12"/>
                <w:szCs w:val="12"/>
              </w:rPr>
              <w:t xml:space="preserve">This table presents the marginal effects of earnings management by IPO firms on the extensiveness of SEC reviews using the full sample of IPOs between May 2005 and December 2017. Negative binomial regressions are employed in this analysis. The dependent variables reflect the extensiveness of SEC reviews </w:t>
            </w:r>
            <w:proofErr w:type="gramStart"/>
            <w:r w:rsidRPr="00E915AA">
              <w:rPr>
                <w:rFonts w:ascii="Times New Roman" w:eastAsia="Calibri" w:hAnsi="Times New Roman" w:cs="Times New Roman"/>
                <w:color w:val="000000"/>
                <w:sz w:val="12"/>
                <w:szCs w:val="12"/>
              </w:rPr>
              <w:t>including;</w:t>
            </w:r>
            <w:proofErr w:type="gramEnd"/>
            <w:r w:rsidRPr="00E915AA">
              <w:rPr>
                <w:rFonts w:ascii="Times New Roman" w:eastAsia="Calibri" w:hAnsi="Times New Roman" w:cs="Times New Roman"/>
                <w:color w:val="000000"/>
                <w:sz w:val="12"/>
                <w:szCs w:val="12"/>
              </w:rPr>
              <w:t xml:space="preserve"> </w:t>
            </w:r>
            <w:r w:rsidRPr="00E915AA">
              <w:rPr>
                <w:rFonts w:ascii="Times New Roman" w:eastAsia="Calibri" w:hAnsi="Times New Roman" w:cs="Times New Roman"/>
                <w:i/>
                <w:iCs/>
                <w:color w:val="000000"/>
                <w:sz w:val="12"/>
                <w:szCs w:val="12"/>
              </w:rPr>
              <w:t xml:space="preserve">Duration </w:t>
            </w:r>
            <w:r w:rsidRPr="00E915AA">
              <w:rPr>
                <w:rFonts w:ascii="Times New Roman" w:eastAsia="Calibri" w:hAnsi="Times New Roman" w:cs="Times New Roman"/>
                <w:color w:val="000000"/>
                <w:sz w:val="12"/>
                <w:szCs w:val="12"/>
              </w:rPr>
              <w:t>(Model 1 - 3)</w:t>
            </w:r>
            <w:r w:rsidRPr="00E915AA">
              <w:rPr>
                <w:rFonts w:ascii="Times New Roman" w:eastAsia="Calibri" w:hAnsi="Times New Roman" w:cs="Times New Roman"/>
                <w:i/>
                <w:iCs/>
                <w:color w:val="000000"/>
                <w:sz w:val="12"/>
                <w:szCs w:val="12"/>
              </w:rPr>
              <w:t xml:space="preserve">, #Letters </w:t>
            </w:r>
            <w:r w:rsidRPr="00E915AA">
              <w:rPr>
                <w:rFonts w:ascii="Times New Roman" w:eastAsia="Calibri" w:hAnsi="Times New Roman" w:cs="Times New Roman"/>
                <w:color w:val="000000"/>
                <w:sz w:val="12"/>
                <w:szCs w:val="12"/>
              </w:rPr>
              <w:t>(Models 4 - 6)</w:t>
            </w:r>
            <w:r w:rsidRPr="00E915AA">
              <w:rPr>
                <w:rFonts w:ascii="Times New Roman" w:eastAsia="Calibri" w:hAnsi="Times New Roman" w:cs="Times New Roman"/>
                <w:i/>
                <w:iCs/>
                <w:color w:val="000000"/>
                <w:sz w:val="12"/>
                <w:szCs w:val="12"/>
              </w:rPr>
              <w:t xml:space="preserve">, #Themes </w:t>
            </w:r>
            <w:r w:rsidRPr="00E915AA">
              <w:rPr>
                <w:rFonts w:ascii="Times New Roman" w:eastAsia="Calibri" w:hAnsi="Times New Roman" w:cs="Times New Roman"/>
                <w:color w:val="000000"/>
                <w:sz w:val="12"/>
                <w:szCs w:val="12"/>
              </w:rPr>
              <w:t>(Model 7 - 9)</w:t>
            </w:r>
            <w:r w:rsidRPr="00E915AA">
              <w:rPr>
                <w:rFonts w:ascii="Times New Roman" w:eastAsia="Calibri" w:hAnsi="Times New Roman" w:cs="Times New Roman"/>
                <w:i/>
                <w:iCs/>
                <w:color w:val="000000"/>
                <w:sz w:val="12"/>
                <w:szCs w:val="12"/>
              </w:rPr>
              <w:t xml:space="preserve">, #Core-accounting issues </w:t>
            </w:r>
            <w:r w:rsidRPr="00E915AA">
              <w:rPr>
                <w:rFonts w:ascii="Times New Roman" w:eastAsia="Calibri" w:hAnsi="Times New Roman" w:cs="Times New Roman"/>
                <w:color w:val="000000"/>
                <w:sz w:val="12"/>
                <w:szCs w:val="12"/>
              </w:rPr>
              <w:t>(Model 10 - 12)</w:t>
            </w:r>
            <w:r w:rsidRPr="00E915AA">
              <w:rPr>
                <w:rFonts w:ascii="Times New Roman" w:eastAsia="Calibri" w:hAnsi="Times New Roman" w:cs="Times New Roman"/>
                <w:i/>
                <w:iCs/>
                <w:color w:val="000000"/>
                <w:sz w:val="12"/>
                <w:szCs w:val="12"/>
              </w:rPr>
              <w:t xml:space="preserve"> </w:t>
            </w:r>
            <w:r w:rsidRPr="00E915AA">
              <w:rPr>
                <w:rFonts w:ascii="Times New Roman" w:eastAsia="Calibri" w:hAnsi="Times New Roman" w:cs="Times New Roman"/>
                <w:color w:val="000000"/>
                <w:sz w:val="12"/>
                <w:szCs w:val="12"/>
              </w:rPr>
              <w:t xml:space="preserve">and </w:t>
            </w:r>
            <w:r w:rsidRPr="00E915AA">
              <w:rPr>
                <w:rFonts w:ascii="Times New Roman" w:eastAsia="Calibri" w:hAnsi="Times New Roman" w:cs="Times New Roman"/>
                <w:i/>
                <w:iCs/>
                <w:color w:val="000000"/>
                <w:sz w:val="12"/>
                <w:szCs w:val="12"/>
              </w:rPr>
              <w:t xml:space="preserve">#Non-core-accounting issues </w:t>
            </w:r>
            <w:r w:rsidRPr="00E915AA">
              <w:rPr>
                <w:rFonts w:ascii="Times New Roman" w:eastAsia="Calibri" w:hAnsi="Times New Roman" w:cs="Times New Roman"/>
                <w:color w:val="000000"/>
                <w:sz w:val="12"/>
                <w:szCs w:val="12"/>
              </w:rPr>
              <w:t>(Models 13 - 15)</w:t>
            </w:r>
            <w:r w:rsidRPr="00E915AA">
              <w:rPr>
                <w:rFonts w:ascii="Times New Roman" w:eastAsia="Calibri" w:hAnsi="Times New Roman" w:cs="Times New Roman"/>
                <w:i/>
                <w:iCs/>
                <w:color w:val="000000"/>
                <w:sz w:val="12"/>
                <w:szCs w:val="12"/>
              </w:rPr>
              <w:t xml:space="preserve">. </w:t>
            </w:r>
            <w:r w:rsidRPr="00E915AA">
              <w:rPr>
                <w:rFonts w:ascii="Times New Roman" w:eastAsia="Calibri" w:hAnsi="Times New Roman" w:cs="Times New Roman"/>
                <w:color w:val="000000"/>
                <w:sz w:val="12"/>
                <w:szCs w:val="12"/>
              </w:rPr>
              <w:t xml:space="preserve">The independent variables of interest are proxies of earnings management including; </w:t>
            </w:r>
            <w:r w:rsidRPr="00E915AA">
              <w:rPr>
                <w:rFonts w:ascii="Times New Roman" w:eastAsia="Calibri" w:hAnsi="Times New Roman" w:cs="Times New Roman"/>
                <w:i/>
                <w:iCs/>
                <w:color w:val="000000"/>
                <w:sz w:val="12"/>
                <w:szCs w:val="12"/>
              </w:rPr>
              <w:t xml:space="preserve">DACC </w:t>
            </w:r>
            <w:r w:rsidRPr="00E915AA">
              <w:rPr>
                <w:rFonts w:ascii="Times New Roman" w:eastAsia="Calibri" w:hAnsi="Times New Roman" w:cs="Times New Roman"/>
                <w:color w:val="000000"/>
                <w:sz w:val="12"/>
                <w:szCs w:val="12"/>
              </w:rPr>
              <w:t>(Models 1, 4, 7, 10, 13</w:t>
            </w:r>
            <w:proofErr w:type="gramStart"/>
            <w:r w:rsidRPr="00E915AA">
              <w:rPr>
                <w:rFonts w:ascii="Times New Roman" w:eastAsia="Calibri" w:hAnsi="Times New Roman" w:cs="Times New Roman"/>
                <w:color w:val="000000"/>
                <w:sz w:val="12"/>
                <w:szCs w:val="12"/>
              </w:rPr>
              <w:t xml:space="preserve">) </w:t>
            </w:r>
            <w:r w:rsidRPr="00E915AA">
              <w:rPr>
                <w:rFonts w:ascii="Times New Roman" w:eastAsia="Calibri" w:hAnsi="Times New Roman" w:cs="Times New Roman"/>
                <w:i/>
                <w:iCs/>
                <w:color w:val="000000"/>
                <w:sz w:val="12"/>
                <w:szCs w:val="12"/>
              </w:rPr>
              <w:t>,</w:t>
            </w:r>
            <w:proofErr w:type="gramEnd"/>
            <w:r w:rsidRPr="00E915AA">
              <w:rPr>
                <w:rFonts w:ascii="Times New Roman" w:eastAsia="Calibri" w:hAnsi="Times New Roman" w:cs="Times New Roman"/>
                <w:i/>
                <w:iCs/>
                <w:color w:val="000000"/>
                <w:sz w:val="12"/>
                <w:szCs w:val="12"/>
              </w:rPr>
              <w:t xml:space="preserve"> ACFO </w:t>
            </w:r>
            <w:r w:rsidRPr="00E915AA">
              <w:rPr>
                <w:rFonts w:ascii="Times New Roman" w:eastAsia="Calibri" w:hAnsi="Times New Roman" w:cs="Times New Roman"/>
                <w:color w:val="000000"/>
                <w:sz w:val="12"/>
                <w:szCs w:val="12"/>
              </w:rPr>
              <w:t>(Models 2, 5, 8, 11, 14)</w:t>
            </w:r>
            <w:r w:rsidRPr="00E915AA">
              <w:rPr>
                <w:rFonts w:ascii="Times New Roman" w:eastAsia="Calibri" w:hAnsi="Times New Roman" w:cs="Times New Roman"/>
                <w:i/>
                <w:iCs/>
                <w:color w:val="000000"/>
                <w:sz w:val="12"/>
                <w:szCs w:val="12"/>
              </w:rPr>
              <w:t xml:space="preserve"> </w:t>
            </w:r>
            <w:r w:rsidRPr="00E915AA">
              <w:rPr>
                <w:rFonts w:ascii="Times New Roman" w:eastAsia="Calibri" w:hAnsi="Times New Roman" w:cs="Times New Roman"/>
                <w:color w:val="000000"/>
                <w:sz w:val="12"/>
                <w:szCs w:val="12"/>
              </w:rPr>
              <w:t xml:space="preserve">and </w:t>
            </w:r>
            <w:r w:rsidRPr="00E915AA">
              <w:rPr>
                <w:rFonts w:ascii="Times New Roman" w:eastAsia="Calibri" w:hAnsi="Times New Roman" w:cs="Times New Roman"/>
                <w:i/>
                <w:iCs/>
                <w:color w:val="000000"/>
                <w:sz w:val="12"/>
                <w:szCs w:val="12"/>
              </w:rPr>
              <w:t>ADISEXP</w:t>
            </w:r>
            <w:r w:rsidRPr="00E915AA">
              <w:rPr>
                <w:rFonts w:ascii="Times New Roman" w:eastAsia="Calibri" w:hAnsi="Times New Roman" w:cs="Times New Roman"/>
                <w:color w:val="000000"/>
                <w:sz w:val="12"/>
                <w:szCs w:val="12"/>
              </w:rPr>
              <w:t xml:space="preserve"> (Models 3, 6, 9, 12, 15). All variables are defined in Appendix A. The regressions include S-1 filings year fixed effects and industry fixed effects using </w:t>
            </w:r>
            <w:proofErr w:type="spellStart"/>
            <w:r w:rsidRPr="00E915AA">
              <w:rPr>
                <w:rFonts w:ascii="Times New Roman" w:eastAsia="Calibri" w:hAnsi="Times New Roman" w:cs="Times New Roman"/>
                <w:color w:val="000000"/>
                <w:sz w:val="12"/>
                <w:szCs w:val="12"/>
              </w:rPr>
              <w:t>Fama</w:t>
            </w:r>
            <w:proofErr w:type="spellEnd"/>
            <w:r w:rsidRPr="00E915AA">
              <w:rPr>
                <w:rFonts w:ascii="Times New Roman" w:eastAsia="Calibri" w:hAnsi="Times New Roman" w:cs="Times New Roman"/>
                <w:color w:val="000000"/>
                <w:sz w:val="12"/>
                <w:szCs w:val="12"/>
              </w:rPr>
              <w:t xml:space="preserve">-French 12 industry. Z-statistics are presented in parentheses below coefficient </w:t>
            </w:r>
            <w:proofErr w:type="gramStart"/>
            <w:r w:rsidRPr="00E915AA">
              <w:rPr>
                <w:rFonts w:ascii="Times New Roman" w:eastAsia="Calibri" w:hAnsi="Times New Roman" w:cs="Times New Roman"/>
                <w:color w:val="000000"/>
                <w:sz w:val="12"/>
                <w:szCs w:val="12"/>
              </w:rPr>
              <w:t>estimates, and</w:t>
            </w:r>
            <w:proofErr w:type="gramEnd"/>
            <w:r w:rsidRPr="00E915AA">
              <w:rPr>
                <w:rFonts w:ascii="Times New Roman" w:eastAsia="Calibri" w:hAnsi="Times New Roman" w:cs="Times New Roman"/>
                <w:color w:val="000000"/>
                <w:sz w:val="12"/>
                <w:szCs w:val="12"/>
              </w:rPr>
              <w:t xml:space="preserve"> are based on standard errors which are robust and clustered at the industry level. *, **, and *** denote significance at the 10%, 5%, and 1% levels, respectively, based on a two-tailed test.</w:t>
            </w:r>
          </w:p>
        </w:tc>
      </w:tr>
    </w:tbl>
    <w:p w14:paraId="6A72E478" w14:textId="77777777" w:rsidR="006D6415" w:rsidRPr="00E915AA" w:rsidRDefault="006D6415" w:rsidP="006D6415">
      <w:pPr>
        <w:spacing w:before="240" w:after="240" w:line="360" w:lineRule="auto"/>
        <w:jc w:val="both"/>
        <w:rPr>
          <w:rFonts w:ascii="Times New Roman" w:eastAsia="Calibri" w:hAnsi="Times New Roman" w:cs="Times New Roman"/>
          <w:b/>
          <w:bCs/>
          <w:sz w:val="24"/>
          <w:szCs w:val="24"/>
          <w:lang w:val="en-GB" w:eastAsia="en-GB"/>
        </w:rPr>
        <w:sectPr w:rsidR="006D6415" w:rsidRPr="00E915AA" w:rsidSect="007A4A00">
          <w:pgSz w:w="16838" w:h="11906" w:orient="landscape"/>
          <w:pgMar w:top="1440" w:right="1440" w:bottom="1440" w:left="1440" w:header="708" w:footer="708" w:gutter="0"/>
          <w:cols w:space="708"/>
          <w:docGrid w:linePitch="360"/>
        </w:sectPr>
      </w:pPr>
    </w:p>
    <w:p w14:paraId="7AAB3C4B" w14:textId="77777777" w:rsidR="00F14709" w:rsidRPr="00E915AA" w:rsidRDefault="00F14709" w:rsidP="00F14709">
      <w:pPr>
        <w:spacing w:before="240" w:line="360" w:lineRule="auto"/>
        <w:jc w:val="both"/>
        <w:rPr>
          <w:rFonts w:ascii="Times New Roman" w:eastAsia="Calibri" w:hAnsi="Times New Roman" w:cs="Times New Roman"/>
          <w:b/>
          <w:bCs/>
          <w:sz w:val="24"/>
          <w:szCs w:val="24"/>
          <w:lang w:val="en-GB"/>
        </w:rPr>
      </w:pPr>
      <w:r w:rsidRPr="00E915AA">
        <w:rPr>
          <w:rFonts w:ascii="Times New Roman" w:eastAsia="Calibri" w:hAnsi="Times New Roman" w:cs="Times New Roman"/>
          <w:b/>
          <w:bCs/>
          <w:sz w:val="24"/>
          <w:szCs w:val="24"/>
          <w:lang w:val="en-GB"/>
        </w:rPr>
        <w:lastRenderedPageBreak/>
        <w:t>Table1. N-fold Cross-Validation test</w:t>
      </w:r>
    </w:p>
    <w:tbl>
      <w:tblPr>
        <w:tblW w:w="9586" w:type="dxa"/>
        <w:tblInd w:w="108" w:type="dxa"/>
        <w:tblLook w:val="04A0" w:firstRow="1" w:lastRow="0" w:firstColumn="1" w:lastColumn="0" w:noHBand="0" w:noVBand="1"/>
      </w:tblPr>
      <w:tblGrid>
        <w:gridCol w:w="2032"/>
        <w:gridCol w:w="1041"/>
        <w:gridCol w:w="1368"/>
        <w:gridCol w:w="1041"/>
        <w:gridCol w:w="1552"/>
        <w:gridCol w:w="1041"/>
        <w:gridCol w:w="1511"/>
      </w:tblGrid>
      <w:tr w:rsidR="00F14709" w:rsidRPr="00E915AA" w14:paraId="3B17DD4F" w14:textId="77777777" w:rsidTr="00110FF6">
        <w:trPr>
          <w:trHeight w:val="268"/>
        </w:trPr>
        <w:tc>
          <w:tcPr>
            <w:tcW w:w="1985" w:type="dxa"/>
            <w:tcBorders>
              <w:top w:val="single" w:sz="4" w:space="0" w:color="auto"/>
              <w:left w:val="nil"/>
              <w:bottom w:val="single" w:sz="4" w:space="0" w:color="auto"/>
              <w:right w:val="nil"/>
            </w:tcBorders>
            <w:shd w:val="clear" w:color="auto" w:fill="auto"/>
            <w:vAlign w:val="center"/>
            <w:hideMark/>
          </w:tcPr>
          <w:p w14:paraId="163514D7"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N</w:t>
            </w:r>
          </w:p>
        </w:tc>
        <w:tc>
          <w:tcPr>
            <w:tcW w:w="1017" w:type="dxa"/>
            <w:tcBorders>
              <w:top w:val="single" w:sz="4" w:space="0" w:color="auto"/>
              <w:left w:val="nil"/>
              <w:bottom w:val="nil"/>
              <w:right w:val="nil"/>
            </w:tcBorders>
            <w:shd w:val="clear" w:color="auto" w:fill="auto"/>
            <w:vAlign w:val="center"/>
            <w:hideMark/>
          </w:tcPr>
          <w:p w14:paraId="0D6D3EDF"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 </w:t>
            </w:r>
          </w:p>
        </w:tc>
        <w:tc>
          <w:tcPr>
            <w:tcW w:w="1336" w:type="dxa"/>
            <w:tcBorders>
              <w:top w:val="single" w:sz="4" w:space="0" w:color="auto"/>
              <w:left w:val="nil"/>
              <w:bottom w:val="single" w:sz="4" w:space="0" w:color="auto"/>
              <w:right w:val="nil"/>
            </w:tcBorders>
            <w:shd w:val="clear" w:color="auto" w:fill="auto"/>
            <w:vAlign w:val="center"/>
            <w:hideMark/>
          </w:tcPr>
          <w:p w14:paraId="33119E6B"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7 categories</w:t>
            </w:r>
          </w:p>
        </w:tc>
        <w:tc>
          <w:tcPr>
            <w:tcW w:w="1017" w:type="dxa"/>
            <w:tcBorders>
              <w:top w:val="single" w:sz="4" w:space="0" w:color="auto"/>
              <w:left w:val="nil"/>
              <w:bottom w:val="nil"/>
              <w:right w:val="nil"/>
            </w:tcBorders>
            <w:shd w:val="clear" w:color="auto" w:fill="auto"/>
            <w:vAlign w:val="center"/>
            <w:hideMark/>
          </w:tcPr>
          <w:p w14:paraId="45F74B8F"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 </w:t>
            </w:r>
          </w:p>
        </w:tc>
        <w:tc>
          <w:tcPr>
            <w:tcW w:w="1516" w:type="dxa"/>
            <w:tcBorders>
              <w:top w:val="single" w:sz="4" w:space="0" w:color="auto"/>
              <w:left w:val="nil"/>
              <w:bottom w:val="single" w:sz="4" w:space="0" w:color="auto"/>
              <w:right w:val="nil"/>
            </w:tcBorders>
            <w:shd w:val="clear" w:color="auto" w:fill="auto"/>
            <w:vAlign w:val="center"/>
            <w:hideMark/>
          </w:tcPr>
          <w:p w14:paraId="3B1A7AE0"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4 categories</w:t>
            </w:r>
          </w:p>
        </w:tc>
        <w:tc>
          <w:tcPr>
            <w:tcW w:w="1017" w:type="dxa"/>
            <w:tcBorders>
              <w:top w:val="single" w:sz="4" w:space="0" w:color="auto"/>
              <w:left w:val="nil"/>
              <w:bottom w:val="nil"/>
              <w:right w:val="nil"/>
            </w:tcBorders>
            <w:shd w:val="clear" w:color="auto" w:fill="auto"/>
            <w:vAlign w:val="center"/>
            <w:hideMark/>
          </w:tcPr>
          <w:p w14:paraId="01E8B99F"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 </w:t>
            </w:r>
          </w:p>
        </w:tc>
        <w:tc>
          <w:tcPr>
            <w:tcW w:w="1476" w:type="dxa"/>
            <w:tcBorders>
              <w:top w:val="single" w:sz="4" w:space="0" w:color="auto"/>
              <w:left w:val="nil"/>
              <w:bottom w:val="single" w:sz="4" w:space="0" w:color="auto"/>
              <w:right w:val="nil"/>
            </w:tcBorders>
            <w:shd w:val="clear" w:color="auto" w:fill="auto"/>
            <w:vAlign w:val="center"/>
            <w:hideMark/>
          </w:tcPr>
          <w:p w14:paraId="5825BEDC" w14:textId="77777777" w:rsidR="00F14709" w:rsidRPr="00E915AA" w:rsidRDefault="00F14709" w:rsidP="00110FF6">
            <w:pPr>
              <w:jc w:val="center"/>
              <w:rPr>
                <w:rFonts w:ascii="Times New Roman" w:eastAsia="Times New Roman" w:hAnsi="Times New Roman" w:cs="Times New Roman"/>
                <w:b/>
                <w:bCs/>
                <w:color w:val="000000"/>
              </w:rPr>
            </w:pPr>
            <w:r w:rsidRPr="00E915AA">
              <w:rPr>
                <w:rFonts w:ascii="Times New Roman" w:eastAsia="Times New Roman" w:hAnsi="Times New Roman" w:cs="Times New Roman"/>
                <w:b/>
                <w:bCs/>
                <w:color w:val="000000"/>
              </w:rPr>
              <w:t>3 categories</w:t>
            </w:r>
          </w:p>
        </w:tc>
      </w:tr>
      <w:tr w:rsidR="00F14709" w:rsidRPr="00E915AA" w14:paraId="3598CC86" w14:textId="77777777" w:rsidTr="00110FF6">
        <w:trPr>
          <w:trHeight w:val="280"/>
        </w:trPr>
        <w:tc>
          <w:tcPr>
            <w:tcW w:w="1985" w:type="dxa"/>
            <w:tcBorders>
              <w:top w:val="nil"/>
              <w:left w:val="nil"/>
              <w:bottom w:val="nil"/>
              <w:right w:val="nil"/>
            </w:tcBorders>
            <w:shd w:val="clear" w:color="auto" w:fill="auto"/>
            <w:noWrap/>
            <w:vAlign w:val="bottom"/>
            <w:hideMark/>
          </w:tcPr>
          <w:p w14:paraId="1D91F2F2"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3</w:t>
            </w:r>
          </w:p>
        </w:tc>
        <w:tc>
          <w:tcPr>
            <w:tcW w:w="1017" w:type="dxa"/>
            <w:tcBorders>
              <w:top w:val="nil"/>
              <w:left w:val="nil"/>
              <w:bottom w:val="nil"/>
              <w:right w:val="nil"/>
            </w:tcBorders>
            <w:shd w:val="clear" w:color="auto" w:fill="auto"/>
            <w:noWrap/>
            <w:vAlign w:val="bottom"/>
            <w:hideMark/>
          </w:tcPr>
          <w:p w14:paraId="03220030"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14:paraId="4A6DF5D9"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64.93%</w:t>
            </w:r>
          </w:p>
        </w:tc>
        <w:tc>
          <w:tcPr>
            <w:tcW w:w="1017" w:type="dxa"/>
            <w:tcBorders>
              <w:top w:val="nil"/>
              <w:left w:val="nil"/>
              <w:bottom w:val="nil"/>
              <w:right w:val="nil"/>
            </w:tcBorders>
            <w:shd w:val="clear" w:color="auto" w:fill="auto"/>
            <w:noWrap/>
            <w:vAlign w:val="bottom"/>
            <w:hideMark/>
          </w:tcPr>
          <w:p w14:paraId="777D5974"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bottom w:val="nil"/>
              <w:right w:val="nil"/>
            </w:tcBorders>
            <w:shd w:val="clear" w:color="auto" w:fill="auto"/>
            <w:noWrap/>
            <w:vAlign w:val="bottom"/>
            <w:hideMark/>
          </w:tcPr>
          <w:p w14:paraId="1EDD9CE5"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72.48%</w:t>
            </w:r>
          </w:p>
        </w:tc>
        <w:tc>
          <w:tcPr>
            <w:tcW w:w="1017" w:type="dxa"/>
            <w:tcBorders>
              <w:top w:val="nil"/>
              <w:left w:val="nil"/>
              <w:bottom w:val="nil"/>
              <w:right w:val="nil"/>
            </w:tcBorders>
            <w:shd w:val="clear" w:color="auto" w:fill="auto"/>
            <w:noWrap/>
            <w:vAlign w:val="bottom"/>
            <w:hideMark/>
          </w:tcPr>
          <w:p w14:paraId="36D8CA72"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35DB354E"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76.85%</w:t>
            </w:r>
          </w:p>
        </w:tc>
      </w:tr>
      <w:tr w:rsidR="00F14709" w:rsidRPr="00E915AA" w14:paraId="67FF5AD2" w14:textId="77777777" w:rsidTr="00110FF6">
        <w:trPr>
          <w:trHeight w:val="280"/>
        </w:trPr>
        <w:tc>
          <w:tcPr>
            <w:tcW w:w="1985" w:type="dxa"/>
            <w:tcBorders>
              <w:top w:val="nil"/>
              <w:left w:val="nil"/>
              <w:bottom w:val="nil"/>
              <w:right w:val="nil"/>
            </w:tcBorders>
            <w:shd w:val="clear" w:color="auto" w:fill="auto"/>
            <w:noWrap/>
            <w:vAlign w:val="bottom"/>
            <w:hideMark/>
          </w:tcPr>
          <w:p w14:paraId="41EB0CB1"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5</w:t>
            </w:r>
          </w:p>
        </w:tc>
        <w:tc>
          <w:tcPr>
            <w:tcW w:w="1017" w:type="dxa"/>
            <w:tcBorders>
              <w:top w:val="nil"/>
              <w:left w:val="nil"/>
              <w:bottom w:val="nil"/>
              <w:right w:val="nil"/>
            </w:tcBorders>
            <w:shd w:val="clear" w:color="auto" w:fill="auto"/>
            <w:noWrap/>
            <w:vAlign w:val="bottom"/>
            <w:hideMark/>
          </w:tcPr>
          <w:p w14:paraId="7152BE3C"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14:paraId="0E58FF22"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65.33%</w:t>
            </w:r>
          </w:p>
        </w:tc>
        <w:tc>
          <w:tcPr>
            <w:tcW w:w="1017" w:type="dxa"/>
            <w:tcBorders>
              <w:top w:val="nil"/>
              <w:left w:val="nil"/>
              <w:bottom w:val="nil"/>
              <w:right w:val="nil"/>
            </w:tcBorders>
            <w:shd w:val="clear" w:color="auto" w:fill="auto"/>
            <w:noWrap/>
            <w:vAlign w:val="bottom"/>
            <w:hideMark/>
          </w:tcPr>
          <w:p w14:paraId="07406E3B"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bottom w:val="nil"/>
              <w:right w:val="nil"/>
            </w:tcBorders>
            <w:shd w:val="clear" w:color="auto" w:fill="auto"/>
            <w:noWrap/>
            <w:vAlign w:val="bottom"/>
            <w:hideMark/>
          </w:tcPr>
          <w:p w14:paraId="4DD18DB9"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73.1%</w:t>
            </w:r>
          </w:p>
        </w:tc>
        <w:tc>
          <w:tcPr>
            <w:tcW w:w="1017" w:type="dxa"/>
            <w:tcBorders>
              <w:top w:val="nil"/>
              <w:left w:val="nil"/>
              <w:bottom w:val="nil"/>
              <w:right w:val="nil"/>
            </w:tcBorders>
            <w:shd w:val="clear" w:color="auto" w:fill="auto"/>
            <w:noWrap/>
            <w:vAlign w:val="bottom"/>
            <w:hideMark/>
          </w:tcPr>
          <w:p w14:paraId="7B36C633"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7F5E841D"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76.93%</w:t>
            </w:r>
          </w:p>
        </w:tc>
      </w:tr>
      <w:tr w:rsidR="00F14709" w:rsidRPr="00E915AA" w14:paraId="7E5CADF1" w14:textId="77777777" w:rsidTr="00110FF6">
        <w:trPr>
          <w:trHeight w:val="280"/>
        </w:trPr>
        <w:tc>
          <w:tcPr>
            <w:tcW w:w="1985" w:type="dxa"/>
            <w:tcBorders>
              <w:top w:val="nil"/>
              <w:left w:val="nil"/>
              <w:bottom w:val="nil"/>
              <w:right w:val="nil"/>
            </w:tcBorders>
            <w:shd w:val="clear" w:color="auto" w:fill="auto"/>
            <w:noWrap/>
            <w:vAlign w:val="bottom"/>
            <w:hideMark/>
          </w:tcPr>
          <w:p w14:paraId="4A4C2818"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10</w:t>
            </w:r>
          </w:p>
        </w:tc>
        <w:tc>
          <w:tcPr>
            <w:tcW w:w="1017" w:type="dxa"/>
            <w:tcBorders>
              <w:top w:val="nil"/>
              <w:left w:val="nil"/>
              <w:bottom w:val="nil"/>
              <w:right w:val="nil"/>
            </w:tcBorders>
            <w:shd w:val="clear" w:color="auto" w:fill="auto"/>
            <w:noWrap/>
            <w:vAlign w:val="bottom"/>
            <w:hideMark/>
          </w:tcPr>
          <w:p w14:paraId="66AAF995"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14:paraId="4835B34D"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65.38%</w:t>
            </w:r>
          </w:p>
        </w:tc>
        <w:tc>
          <w:tcPr>
            <w:tcW w:w="1017" w:type="dxa"/>
            <w:tcBorders>
              <w:top w:val="nil"/>
              <w:left w:val="nil"/>
              <w:bottom w:val="nil"/>
              <w:right w:val="nil"/>
            </w:tcBorders>
            <w:shd w:val="clear" w:color="auto" w:fill="auto"/>
            <w:noWrap/>
            <w:vAlign w:val="bottom"/>
            <w:hideMark/>
          </w:tcPr>
          <w:p w14:paraId="4F2C7992"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bottom w:val="nil"/>
              <w:right w:val="nil"/>
            </w:tcBorders>
            <w:shd w:val="clear" w:color="auto" w:fill="auto"/>
            <w:noWrap/>
            <w:vAlign w:val="bottom"/>
            <w:hideMark/>
          </w:tcPr>
          <w:p w14:paraId="7840C5C1"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73%</w:t>
            </w:r>
          </w:p>
        </w:tc>
        <w:tc>
          <w:tcPr>
            <w:tcW w:w="1017" w:type="dxa"/>
            <w:tcBorders>
              <w:top w:val="nil"/>
              <w:left w:val="nil"/>
              <w:bottom w:val="nil"/>
              <w:right w:val="nil"/>
            </w:tcBorders>
            <w:shd w:val="clear" w:color="auto" w:fill="auto"/>
            <w:noWrap/>
            <w:vAlign w:val="bottom"/>
            <w:hideMark/>
          </w:tcPr>
          <w:p w14:paraId="67EF76A5"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68A789C1"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76.73%</w:t>
            </w:r>
          </w:p>
        </w:tc>
      </w:tr>
      <w:tr w:rsidR="00F14709" w:rsidRPr="00E915AA" w14:paraId="42DBFB9E" w14:textId="77777777" w:rsidTr="00110FF6">
        <w:trPr>
          <w:trHeight w:val="280"/>
        </w:trPr>
        <w:tc>
          <w:tcPr>
            <w:tcW w:w="1985" w:type="dxa"/>
            <w:tcBorders>
              <w:top w:val="nil"/>
              <w:left w:val="nil"/>
              <w:bottom w:val="nil"/>
              <w:right w:val="nil"/>
            </w:tcBorders>
            <w:shd w:val="clear" w:color="auto" w:fill="auto"/>
            <w:noWrap/>
            <w:vAlign w:val="bottom"/>
            <w:hideMark/>
          </w:tcPr>
          <w:p w14:paraId="4489E7EB"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25</w:t>
            </w:r>
          </w:p>
        </w:tc>
        <w:tc>
          <w:tcPr>
            <w:tcW w:w="1017" w:type="dxa"/>
            <w:tcBorders>
              <w:top w:val="nil"/>
              <w:left w:val="nil"/>
              <w:bottom w:val="nil"/>
              <w:right w:val="nil"/>
            </w:tcBorders>
            <w:shd w:val="clear" w:color="auto" w:fill="auto"/>
            <w:noWrap/>
            <w:vAlign w:val="bottom"/>
            <w:hideMark/>
          </w:tcPr>
          <w:p w14:paraId="7992F577"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14:paraId="15DFC0EE"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65.53%</w:t>
            </w:r>
          </w:p>
        </w:tc>
        <w:tc>
          <w:tcPr>
            <w:tcW w:w="1017" w:type="dxa"/>
            <w:tcBorders>
              <w:top w:val="nil"/>
              <w:left w:val="nil"/>
              <w:bottom w:val="nil"/>
              <w:right w:val="nil"/>
            </w:tcBorders>
            <w:shd w:val="clear" w:color="auto" w:fill="auto"/>
            <w:noWrap/>
            <w:vAlign w:val="bottom"/>
            <w:hideMark/>
          </w:tcPr>
          <w:p w14:paraId="43F9371D"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bottom w:val="nil"/>
              <w:right w:val="nil"/>
            </w:tcBorders>
            <w:shd w:val="clear" w:color="auto" w:fill="auto"/>
            <w:noWrap/>
            <w:vAlign w:val="bottom"/>
            <w:hideMark/>
          </w:tcPr>
          <w:p w14:paraId="4AC42668"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72.94%</w:t>
            </w:r>
          </w:p>
        </w:tc>
        <w:tc>
          <w:tcPr>
            <w:tcW w:w="1017" w:type="dxa"/>
            <w:tcBorders>
              <w:top w:val="nil"/>
              <w:left w:val="nil"/>
              <w:bottom w:val="nil"/>
              <w:right w:val="nil"/>
            </w:tcBorders>
            <w:shd w:val="clear" w:color="auto" w:fill="auto"/>
            <w:noWrap/>
            <w:vAlign w:val="bottom"/>
            <w:hideMark/>
          </w:tcPr>
          <w:p w14:paraId="62023993"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0A67956C"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76.53%</w:t>
            </w:r>
          </w:p>
        </w:tc>
      </w:tr>
      <w:tr w:rsidR="00F14709" w:rsidRPr="00E915AA" w14:paraId="2A9FB7B9" w14:textId="77777777" w:rsidTr="00110FF6">
        <w:trPr>
          <w:trHeight w:val="280"/>
        </w:trPr>
        <w:tc>
          <w:tcPr>
            <w:tcW w:w="1985" w:type="dxa"/>
            <w:tcBorders>
              <w:top w:val="nil"/>
              <w:left w:val="nil"/>
              <w:right w:val="nil"/>
            </w:tcBorders>
            <w:shd w:val="clear" w:color="auto" w:fill="auto"/>
            <w:noWrap/>
            <w:vAlign w:val="bottom"/>
            <w:hideMark/>
          </w:tcPr>
          <w:p w14:paraId="0C50BCC2"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50</w:t>
            </w:r>
          </w:p>
        </w:tc>
        <w:tc>
          <w:tcPr>
            <w:tcW w:w="1017" w:type="dxa"/>
            <w:tcBorders>
              <w:top w:val="nil"/>
              <w:left w:val="nil"/>
              <w:right w:val="nil"/>
            </w:tcBorders>
            <w:shd w:val="clear" w:color="auto" w:fill="auto"/>
            <w:noWrap/>
            <w:vAlign w:val="bottom"/>
            <w:hideMark/>
          </w:tcPr>
          <w:p w14:paraId="10662895"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right w:val="nil"/>
            </w:tcBorders>
            <w:shd w:val="clear" w:color="auto" w:fill="auto"/>
            <w:noWrap/>
            <w:vAlign w:val="bottom"/>
            <w:hideMark/>
          </w:tcPr>
          <w:p w14:paraId="3A2FA842"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65.31%</w:t>
            </w:r>
          </w:p>
        </w:tc>
        <w:tc>
          <w:tcPr>
            <w:tcW w:w="1017" w:type="dxa"/>
            <w:tcBorders>
              <w:top w:val="nil"/>
              <w:left w:val="nil"/>
              <w:right w:val="nil"/>
            </w:tcBorders>
            <w:shd w:val="clear" w:color="auto" w:fill="auto"/>
            <w:noWrap/>
            <w:vAlign w:val="bottom"/>
            <w:hideMark/>
          </w:tcPr>
          <w:p w14:paraId="5156B46E"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right w:val="nil"/>
            </w:tcBorders>
            <w:shd w:val="clear" w:color="auto" w:fill="auto"/>
            <w:noWrap/>
            <w:vAlign w:val="bottom"/>
            <w:hideMark/>
          </w:tcPr>
          <w:p w14:paraId="0654D29B"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72.96%</w:t>
            </w:r>
          </w:p>
        </w:tc>
        <w:tc>
          <w:tcPr>
            <w:tcW w:w="1017" w:type="dxa"/>
            <w:tcBorders>
              <w:top w:val="nil"/>
              <w:left w:val="nil"/>
              <w:right w:val="nil"/>
            </w:tcBorders>
            <w:shd w:val="clear" w:color="auto" w:fill="auto"/>
            <w:noWrap/>
            <w:vAlign w:val="bottom"/>
            <w:hideMark/>
          </w:tcPr>
          <w:p w14:paraId="7F203456"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right w:val="nil"/>
            </w:tcBorders>
            <w:shd w:val="clear" w:color="auto" w:fill="auto"/>
            <w:noWrap/>
            <w:vAlign w:val="bottom"/>
            <w:hideMark/>
          </w:tcPr>
          <w:p w14:paraId="1184B1A5"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76.61%</w:t>
            </w:r>
          </w:p>
        </w:tc>
      </w:tr>
      <w:tr w:rsidR="00F14709" w:rsidRPr="00E915AA" w14:paraId="58EBF8FF" w14:textId="77777777" w:rsidTr="00110FF6">
        <w:trPr>
          <w:trHeight w:val="280"/>
        </w:trPr>
        <w:tc>
          <w:tcPr>
            <w:tcW w:w="1985" w:type="dxa"/>
            <w:tcBorders>
              <w:top w:val="nil"/>
              <w:left w:val="nil"/>
              <w:bottom w:val="single" w:sz="4" w:space="0" w:color="auto"/>
              <w:right w:val="nil"/>
            </w:tcBorders>
            <w:shd w:val="clear" w:color="auto" w:fill="auto"/>
            <w:noWrap/>
            <w:vAlign w:val="bottom"/>
            <w:hideMark/>
          </w:tcPr>
          <w:p w14:paraId="4C57F133"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75</w:t>
            </w:r>
          </w:p>
        </w:tc>
        <w:tc>
          <w:tcPr>
            <w:tcW w:w="1017" w:type="dxa"/>
            <w:tcBorders>
              <w:top w:val="nil"/>
              <w:left w:val="nil"/>
              <w:right w:val="nil"/>
            </w:tcBorders>
            <w:shd w:val="clear" w:color="auto" w:fill="auto"/>
            <w:noWrap/>
            <w:vAlign w:val="bottom"/>
            <w:hideMark/>
          </w:tcPr>
          <w:p w14:paraId="64CD05D2"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nil"/>
              <w:left w:val="nil"/>
              <w:bottom w:val="single" w:sz="4" w:space="0" w:color="auto"/>
              <w:right w:val="nil"/>
            </w:tcBorders>
            <w:shd w:val="clear" w:color="auto" w:fill="auto"/>
            <w:noWrap/>
            <w:vAlign w:val="bottom"/>
            <w:hideMark/>
          </w:tcPr>
          <w:p w14:paraId="28653064"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65.29%</w:t>
            </w:r>
          </w:p>
        </w:tc>
        <w:tc>
          <w:tcPr>
            <w:tcW w:w="1017" w:type="dxa"/>
            <w:tcBorders>
              <w:top w:val="nil"/>
              <w:left w:val="nil"/>
              <w:right w:val="nil"/>
            </w:tcBorders>
            <w:shd w:val="clear" w:color="auto" w:fill="auto"/>
            <w:noWrap/>
            <w:vAlign w:val="bottom"/>
            <w:hideMark/>
          </w:tcPr>
          <w:p w14:paraId="4CFE43C5"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nil"/>
              <w:left w:val="nil"/>
              <w:bottom w:val="single" w:sz="4" w:space="0" w:color="auto"/>
              <w:right w:val="nil"/>
            </w:tcBorders>
            <w:shd w:val="clear" w:color="auto" w:fill="auto"/>
            <w:noWrap/>
            <w:vAlign w:val="bottom"/>
            <w:hideMark/>
          </w:tcPr>
          <w:p w14:paraId="517AB56E"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72.98%</w:t>
            </w:r>
          </w:p>
        </w:tc>
        <w:tc>
          <w:tcPr>
            <w:tcW w:w="1017" w:type="dxa"/>
            <w:tcBorders>
              <w:top w:val="nil"/>
              <w:left w:val="nil"/>
              <w:right w:val="nil"/>
            </w:tcBorders>
            <w:shd w:val="clear" w:color="auto" w:fill="auto"/>
            <w:noWrap/>
            <w:vAlign w:val="bottom"/>
            <w:hideMark/>
          </w:tcPr>
          <w:p w14:paraId="6B8F2722"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nil"/>
              <w:left w:val="nil"/>
              <w:bottom w:val="single" w:sz="4" w:space="0" w:color="auto"/>
              <w:right w:val="nil"/>
            </w:tcBorders>
            <w:shd w:val="clear" w:color="auto" w:fill="auto"/>
            <w:noWrap/>
            <w:vAlign w:val="bottom"/>
            <w:hideMark/>
          </w:tcPr>
          <w:p w14:paraId="6DDD2BF3"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76.63%</w:t>
            </w:r>
          </w:p>
        </w:tc>
      </w:tr>
      <w:tr w:rsidR="00F14709" w:rsidRPr="00E915AA" w14:paraId="0D8CA3E3" w14:textId="77777777" w:rsidTr="00110FF6">
        <w:trPr>
          <w:trHeight w:val="280"/>
        </w:trPr>
        <w:tc>
          <w:tcPr>
            <w:tcW w:w="1985" w:type="dxa"/>
            <w:tcBorders>
              <w:top w:val="single" w:sz="4" w:space="0" w:color="auto"/>
              <w:left w:val="nil"/>
              <w:bottom w:val="nil"/>
              <w:right w:val="nil"/>
            </w:tcBorders>
            <w:shd w:val="clear" w:color="auto" w:fill="auto"/>
            <w:noWrap/>
            <w:vAlign w:val="bottom"/>
            <w:hideMark/>
          </w:tcPr>
          <w:p w14:paraId="6FBC21E1"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Baseline accuracy</w:t>
            </w:r>
          </w:p>
        </w:tc>
        <w:tc>
          <w:tcPr>
            <w:tcW w:w="1017" w:type="dxa"/>
            <w:tcBorders>
              <w:left w:val="nil"/>
              <w:bottom w:val="nil"/>
              <w:right w:val="nil"/>
            </w:tcBorders>
            <w:shd w:val="clear" w:color="auto" w:fill="auto"/>
            <w:noWrap/>
            <w:vAlign w:val="bottom"/>
            <w:hideMark/>
          </w:tcPr>
          <w:p w14:paraId="1F6CAD60" w14:textId="77777777" w:rsidR="00F14709" w:rsidRPr="00E915AA" w:rsidRDefault="00F14709" w:rsidP="00110FF6">
            <w:pPr>
              <w:jc w:val="center"/>
              <w:rPr>
                <w:rFonts w:ascii="Times New Roman" w:eastAsia="Times New Roman" w:hAnsi="Times New Roman" w:cs="Times New Roman"/>
                <w:color w:val="000000"/>
              </w:rPr>
            </w:pPr>
          </w:p>
        </w:tc>
        <w:tc>
          <w:tcPr>
            <w:tcW w:w="1336" w:type="dxa"/>
            <w:tcBorders>
              <w:top w:val="single" w:sz="4" w:space="0" w:color="auto"/>
              <w:left w:val="nil"/>
              <w:bottom w:val="nil"/>
              <w:right w:val="nil"/>
            </w:tcBorders>
            <w:shd w:val="clear" w:color="auto" w:fill="auto"/>
            <w:noWrap/>
            <w:vAlign w:val="bottom"/>
            <w:hideMark/>
          </w:tcPr>
          <w:p w14:paraId="27440070"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71.41%</w:t>
            </w:r>
          </w:p>
        </w:tc>
        <w:tc>
          <w:tcPr>
            <w:tcW w:w="1017" w:type="dxa"/>
            <w:tcBorders>
              <w:left w:val="nil"/>
              <w:bottom w:val="nil"/>
              <w:right w:val="nil"/>
            </w:tcBorders>
            <w:shd w:val="clear" w:color="auto" w:fill="auto"/>
            <w:noWrap/>
            <w:vAlign w:val="bottom"/>
            <w:hideMark/>
          </w:tcPr>
          <w:p w14:paraId="76D183E1" w14:textId="77777777" w:rsidR="00F14709" w:rsidRPr="00E915AA" w:rsidRDefault="00F14709" w:rsidP="00110FF6">
            <w:pPr>
              <w:jc w:val="center"/>
              <w:rPr>
                <w:rFonts w:ascii="Times New Roman" w:eastAsia="Times New Roman" w:hAnsi="Times New Roman" w:cs="Times New Roman"/>
                <w:color w:val="000000"/>
              </w:rPr>
            </w:pPr>
          </w:p>
        </w:tc>
        <w:tc>
          <w:tcPr>
            <w:tcW w:w="1516" w:type="dxa"/>
            <w:tcBorders>
              <w:top w:val="single" w:sz="4" w:space="0" w:color="auto"/>
              <w:left w:val="nil"/>
              <w:bottom w:val="nil"/>
              <w:right w:val="nil"/>
            </w:tcBorders>
            <w:shd w:val="clear" w:color="auto" w:fill="auto"/>
            <w:noWrap/>
            <w:vAlign w:val="bottom"/>
            <w:hideMark/>
          </w:tcPr>
          <w:p w14:paraId="5EBD3B9C"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77.41%</w:t>
            </w:r>
          </w:p>
        </w:tc>
        <w:tc>
          <w:tcPr>
            <w:tcW w:w="1017" w:type="dxa"/>
            <w:tcBorders>
              <w:left w:val="nil"/>
              <w:bottom w:val="nil"/>
              <w:right w:val="nil"/>
            </w:tcBorders>
            <w:shd w:val="clear" w:color="auto" w:fill="auto"/>
            <w:noWrap/>
            <w:vAlign w:val="bottom"/>
            <w:hideMark/>
          </w:tcPr>
          <w:p w14:paraId="1CA4A6AB" w14:textId="77777777" w:rsidR="00F14709" w:rsidRPr="00E915AA" w:rsidRDefault="00F14709" w:rsidP="00110FF6">
            <w:pPr>
              <w:jc w:val="center"/>
              <w:rPr>
                <w:rFonts w:ascii="Times New Roman" w:eastAsia="Times New Roman" w:hAnsi="Times New Roman" w:cs="Times New Roman"/>
                <w:color w:val="000000"/>
              </w:rPr>
            </w:pPr>
          </w:p>
        </w:tc>
        <w:tc>
          <w:tcPr>
            <w:tcW w:w="1476" w:type="dxa"/>
            <w:tcBorders>
              <w:top w:val="single" w:sz="4" w:space="0" w:color="auto"/>
              <w:left w:val="nil"/>
              <w:bottom w:val="nil"/>
              <w:right w:val="nil"/>
            </w:tcBorders>
            <w:shd w:val="clear" w:color="auto" w:fill="auto"/>
            <w:noWrap/>
            <w:vAlign w:val="bottom"/>
            <w:hideMark/>
          </w:tcPr>
          <w:p w14:paraId="739A9D2C" w14:textId="77777777" w:rsidR="00F14709" w:rsidRPr="00E915AA" w:rsidRDefault="00F14709" w:rsidP="00110FF6">
            <w:pPr>
              <w:jc w:val="center"/>
              <w:rPr>
                <w:rFonts w:ascii="Times New Roman" w:eastAsia="Times New Roman" w:hAnsi="Times New Roman" w:cs="Times New Roman"/>
                <w:color w:val="000000"/>
              </w:rPr>
            </w:pPr>
            <w:r w:rsidRPr="00E915AA">
              <w:rPr>
                <w:rFonts w:ascii="Times New Roman" w:eastAsia="Times New Roman" w:hAnsi="Times New Roman" w:cs="Times New Roman"/>
                <w:color w:val="000000"/>
              </w:rPr>
              <w:t>80.27%</w:t>
            </w:r>
          </w:p>
        </w:tc>
      </w:tr>
      <w:tr w:rsidR="00F14709" w:rsidRPr="00E915AA" w14:paraId="00F94F80" w14:textId="77777777" w:rsidTr="00110FF6">
        <w:trPr>
          <w:trHeight w:val="458"/>
        </w:trPr>
        <w:tc>
          <w:tcPr>
            <w:tcW w:w="9364" w:type="dxa"/>
            <w:gridSpan w:val="7"/>
            <w:tcBorders>
              <w:top w:val="single" w:sz="4" w:space="0" w:color="auto"/>
              <w:left w:val="nil"/>
              <w:bottom w:val="nil"/>
              <w:right w:val="nil"/>
            </w:tcBorders>
            <w:shd w:val="clear" w:color="auto" w:fill="auto"/>
            <w:hideMark/>
          </w:tcPr>
          <w:p w14:paraId="6777FB87" w14:textId="0595A594" w:rsidR="00F14709" w:rsidRPr="00E915AA" w:rsidRDefault="00F14709" w:rsidP="00110FF6">
            <w:pPr>
              <w:jc w:val="both"/>
              <w:rPr>
                <w:rFonts w:ascii="Times New Roman" w:eastAsia="Times New Roman" w:hAnsi="Times New Roman" w:cs="Times New Roman"/>
                <w:color w:val="000000"/>
                <w:sz w:val="20"/>
                <w:szCs w:val="20"/>
              </w:rPr>
            </w:pPr>
            <w:r w:rsidRPr="00E915AA">
              <w:rPr>
                <w:rFonts w:ascii="Times New Roman" w:eastAsia="Times New Roman" w:hAnsi="Times New Roman" w:cs="Times New Roman"/>
                <w:color w:val="000000"/>
                <w:sz w:val="18"/>
                <w:szCs w:val="18"/>
              </w:rPr>
              <w:t>This table outlines the results of N-fold cross-validation tests for the Naive Bayes algorithm. For each N, the average rate of correct classifications is provided. Specifically, the algorithm divides each sentence into N classifications and then reports the results of N-fold tests. The number of folds (N value) range from 3 to 75. N-fold cross validation tests are reported for 7-category, 4-</w:t>
            </w:r>
            <w:proofErr w:type="gramStart"/>
            <w:r w:rsidRPr="00E915AA">
              <w:rPr>
                <w:rFonts w:ascii="Times New Roman" w:eastAsia="Times New Roman" w:hAnsi="Times New Roman" w:cs="Times New Roman"/>
                <w:color w:val="000000"/>
                <w:sz w:val="18"/>
                <w:szCs w:val="18"/>
              </w:rPr>
              <w:t>category</w:t>
            </w:r>
            <w:proofErr w:type="gramEnd"/>
            <w:r w:rsidRPr="00E915AA">
              <w:rPr>
                <w:rFonts w:ascii="Times New Roman" w:eastAsia="Times New Roman" w:hAnsi="Times New Roman" w:cs="Times New Roman"/>
                <w:color w:val="000000"/>
                <w:sz w:val="18"/>
                <w:szCs w:val="18"/>
              </w:rPr>
              <w:t xml:space="preserve"> and 3-category classifications.7-category classification include core accounting issues (Code A); non-core</w:t>
            </w:r>
            <w:r w:rsidR="009C015E" w:rsidRPr="00E915AA">
              <w:rPr>
                <w:rFonts w:ascii="Times New Roman" w:eastAsia="Times New Roman" w:hAnsi="Times New Roman" w:cs="Times New Roman"/>
                <w:color w:val="000000"/>
                <w:sz w:val="18"/>
                <w:szCs w:val="18"/>
              </w:rPr>
              <w:t>-</w:t>
            </w:r>
            <w:r w:rsidRPr="00E915AA">
              <w:rPr>
                <w:rFonts w:ascii="Times New Roman" w:eastAsia="Times New Roman" w:hAnsi="Times New Roman" w:cs="Times New Roman"/>
                <w:color w:val="000000"/>
                <w:sz w:val="18"/>
                <w:szCs w:val="18"/>
              </w:rPr>
              <w:t>accounting issues (Code B); offering-related issues (Code C) business-related issues (Code D); corporate-governance-related issues (Code E), disclosure-related issues (Code F) and other issues (Code G). For 4-category classification, code A, B, D, E are combined as corporate-function-related issue. For 3-category classification, code A, B, C, D, E are combined as corporate-activity-related issue. Baseline accuracy of each classification is also reported in the table.</w:t>
            </w:r>
          </w:p>
        </w:tc>
      </w:tr>
    </w:tbl>
    <w:p w14:paraId="31F4A2C8" w14:textId="746548E1" w:rsidR="0040543C" w:rsidRPr="00E915AA" w:rsidRDefault="0040543C" w:rsidP="002C6719">
      <w:pPr>
        <w:spacing w:before="240" w:line="360" w:lineRule="auto"/>
        <w:jc w:val="both"/>
        <w:rPr>
          <w:rFonts w:ascii="Times New Roman" w:eastAsia="Calibri" w:hAnsi="Times New Roman" w:cs="Times New Roman"/>
          <w:b/>
          <w:bCs/>
          <w:sz w:val="24"/>
          <w:szCs w:val="24"/>
          <w:lang w:val="en-GB"/>
        </w:rPr>
        <w:sectPr w:rsidR="0040543C" w:rsidRPr="00E915AA" w:rsidSect="0073176B">
          <w:pgSz w:w="11906" w:h="16838"/>
          <w:pgMar w:top="1440" w:right="1440" w:bottom="1440" w:left="1440" w:header="708" w:footer="708" w:gutter="0"/>
          <w:cols w:space="708"/>
          <w:docGrid w:linePitch="360"/>
        </w:sectPr>
      </w:pPr>
    </w:p>
    <w:p w14:paraId="1115AF6C" w14:textId="77777777" w:rsidR="002C6719" w:rsidRPr="00E915AA" w:rsidRDefault="002C6719" w:rsidP="002C6719">
      <w:pPr>
        <w:spacing w:before="240" w:line="360" w:lineRule="auto"/>
        <w:jc w:val="both"/>
        <w:rPr>
          <w:rFonts w:ascii="Times New Roman" w:eastAsia="Calibri" w:hAnsi="Times New Roman" w:cs="Times New Roman"/>
          <w:b/>
          <w:bCs/>
          <w:sz w:val="24"/>
          <w:szCs w:val="24"/>
          <w:lang w:val="en-GB"/>
        </w:rPr>
      </w:pPr>
      <w:r w:rsidRPr="00E915AA">
        <w:rPr>
          <w:rFonts w:ascii="Times New Roman" w:eastAsia="Calibri" w:hAnsi="Times New Roman" w:cs="Times New Roman"/>
          <w:b/>
          <w:bCs/>
          <w:sz w:val="24"/>
          <w:szCs w:val="24"/>
          <w:lang w:val="en-GB"/>
        </w:rPr>
        <w:lastRenderedPageBreak/>
        <w:t>Table 2. Distribution of IPOs by time and industry</w:t>
      </w:r>
    </w:p>
    <w:tbl>
      <w:tblPr>
        <w:tblpPr w:leftFromText="180" w:rightFromText="180" w:horzAnchor="margin" w:tblpY="675"/>
        <w:tblW w:w="9090" w:type="dxa"/>
        <w:tblLayout w:type="fixed"/>
        <w:tblLook w:val="04A0" w:firstRow="1" w:lastRow="0" w:firstColumn="1" w:lastColumn="0" w:noHBand="0" w:noVBand="1"/>
      </w:tblPr>
      <w:tblGrid>
        <w:gridCol w:w="3420"/>
        <w:gridCol w:w="630"/>
        <w:gridCol w:w="1530"/>
        <w:gridCol w:w="450"/>
        <w:gridCol w:w="1080"/>
        <w:gridCol w:w="980"/>
        <w:gridCol w:w="1000"/>
      </w:tblGrid>
      <w:tr w:rsidR="002C6719" w:rsidRPr="00E915AA" w14:paraId="3AADE153" w14:textId="77777777" w:rsidTr="0073176B">
        <w:trPr>
          <w:trHeight w:val="412"/>
        </w:trPr>
        <w:tc>
          <w:tcPr>
            <w:tcW w:w="9090" w:type="dxa"/>
            <w:gridSpan w:val="7"/>
            <w:tcBorders>
              <w:top w:val="single" w:sz="4" w:space="0" w:color="auto"/>
              <w:left w:val="nil"/>
              <w:bottom w:val="nil"/>
              <w:right w:val="nil"/>
            </w:tcBorders>
            <w:shd w:val="clear" w:color="auto" w:fill="auto"/>
            <w:hideMark/>
          </w:tcPr>
          <w:p w14:paraId="07F770C5" w14:textId="77777777" w:rsidR="002C6719" w:rsidRPr="00E915AA" w:rsidRDefault="002C6719" w:rsidP="0073176B">
            <w:pPr>
              <w:spacing w:after="0" w:line="240" w:lineRule="auto"/>
              <w:rPr>
                <w:rFonts w:ascii="Times New Roman" w:eastAsia="Times New Roman" w:hAnsi="Times New Roman" w:cs="Times New Roman"/>
                <w:b/>
                <w:bCs/>
                <w:color w:val="000000"/>
                <w:sz w:val="20"/>
                <w:szCs w:val="20"/>
                <w:lang w:eastAsia="en-GB"/>
              </w:rPr>
            </w:pPr>
            <w:r w:rsidRPr="00E915AA">
              <w:rPr>
                <w:rFonts w:ascii="Times New Roman" w:eastAsia="Times New Roman" w:hAnsi="Times New Roman" w:cs="Times New Roman"/>
                <w:b/>
                <w:bCs/>
                <w:color w:val="000000"/>
                <w:sz w:val="20"/>
                <w:szCs w:val="20"/>
                <w:lang w:eastAsia="en-GB"/>
              </w:rPr>
              <w:t xml:space="preserve">Panel A. Time distribution </w:t>
            </w:r>
          </w:p>
        </w:tc>
      </w:tr>
      <w:tr w:rsidR="002C6719" w:rsidRPr="00E915AA" w14:paraId="05856A6A" w14:textId="77777777" w:rsidTr="0073176B">
        <w:trPr>
          <w:trHeight w:val="264"/>
        </w:trPr>
        <w:tc>
          <w:tcPr>
            <w:tcW w:w="3420" w:type="dxa"/>
            <w:tcBorders>
              <w:top w:val="nil"/>
              <w:left w:val="nil"/>
              <w:bottom w:val="single" w:sz="4" w:space="0" w:color="auto"/>
              <w:right w:val="nil"/>
            </w:tcBorders>
            <w:shd w:val="clear" w:color="auto" w:fill="auto"/>
            <w:vAlign w:val="center"/>
            <w:hideMark/>
          </w:tcPr>
          <w:p w14:paraId="3BAA09FD" w14:textId="77777777" w:rsidR="002C6719" w:rsidRPr="00E915AA" w:rsidRDefault="002C6719" w:rsidP="0073176B">
            <w:pPr>
              <w:spacing w:after="0" w:line="240" w:lineRule="auto"/>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Filing year</w:t>
            </w:r>
          </w:p>
        </w:tc>
        <w:tc>
          <w:tcPr>
            <w:tcW w:w="630" w:type="dxa"/>
            <w:tcBorders>
              <w:top w:val="nil"/>
              <w:left w:val="nil"/>
              <w:bottom w:val="nil"/>
              <w:right w:val="nil"/>
            </w:tcBorders>
            <w:shd w:val="clear" w:color="auto" w:fill="auto"/>
            <w:vAlign w:val="center"/>
            <w:hideMark/>
          </w:tcPr>
          <w:p w14:paraId="054E0AC7" w14:textId="77777777" w:rsidR="002C6719" w:rsidRPr="00E915AA" w:rsidRDefault="002C6719" w:rsidP="0073176B">
            <w:pPr>
              <w:spacing w:after="0" w:line="240" w:lineRule="auto"/>
              <w:rPr>
                <w:rFonts w:ascii="Times New Roman" w:eastAsia="Times New Roman" w:hAnsi="Times New Roman" w:cs="Times New Roman"/>
                <w:i/>
                <w:iCs/>
                <w:color w:val="000000"/>
                <w:sz w:val="20"/>
                <w:szCs w:val="20"/>
                <w:lang w:eastAsia="en-GB"/>
              </w:rPr>
            </w:pPr>
          </w:p>
        </w:tc>
        <w:tc>
          <w:tcPr>
            <w:tcW w:w="1980" w:type="dxa"/>
            <w:gridSpan w:val="2"/>
            <w:tcBorders>
              <w:top w:val="nil"/>
              <w:left w:val="nil"/>
              <w:bottom w:val="single" w:sz="4" w:space="0" w:color="auto"/>
              <w:right w:val="nil"/>
            </w:tcBorders>
            <w:shd w:val="clear" w:color="auto" w:fill="auto"/>
            <w:vAlign w:val="center"/>
            <w:hideMark/>
          </w:tcPr>
          <w:p w14:paraId="1E001BE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Frequency</w:t>
            </w:r>
          </w:p>
        </w:tc>
        <w:tc>
          <w:tcPr>
            <w:tcW w:w="1080" w:type="dxa"/>
            <w:tcBorders>
              <w:top w:val="nil"/>
              <w:left w:val="nil"/>
              <w:bottom w:val="nil"/>
              <w:right w:val="nil"/>
            </w:tcBorders>
            <w:shd w:val="clear" w:color="auto" w:fill="auto"/>
            <w:vAlign w:val="center"/>
            <w:hideMark/>
          </w:tcPr>
          <w:p w14:paraId="053C56A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p>
        </w:tc>
        <w:tc>
          <w:tcPr>
            <w:tcW w:w="1980" w:type="dxa"/>
            <w:gridSpan w:val="2"/>
            <w:tcBorders>
              <w:top w:val="nil"/>
              <w:left w:val="nil"/>
              <w:bottom w:val="single" w:sz="4" w:space="0" w:color="auto"/>
              <w:right w:val="nil"/>
            </w:tcBorders>
            <w:shd w:val="clear" w:color="auto" w:fill="auto"/>
            <w:vAlign w:val="center"/>
            <w:hideMark/>
          </w:tcPr>
          <w:p w14:paraId="76D5DCD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w:t>
            </w:r>
          </w:p>
        </w:tc>
      </w:tr>
      <w:tr w:rsidR="002C6719" w:rsidRPr="00E915AA" w14:paraId="412A0AA4" w14:textId="77777777" w:rsidTr="0073176B">
        <w:trPr>
          <w:trHeight w:val="264"/>
        </w:trPr>
        <w:tc>
          <w:tcPr>
            <w:tcW w:w="3420" w:type="dxa"/>
            <w:tcBorders>
              <w:top w:val="nil"/>
              <w:left w:val="nil"/>
              <w:bottom w:val="nil"/>
              <w:right w:val="nil"/>
            </w:tcBorders>
            <w:shd w:val="clear" w:color="auto" w:fill="auto"/>
            <w:vAlign w:val="center"/>
            <w:hideMark/>
          </w:tcPr>
          <w:p w14:paraId="6A501D60"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2005</w:t>
            </w:r>
          </w:p>
        </w:tc>
        <w:tc>
          <w:tcPr>
            <w:tcW w:w="630" w:type="dxa"/>
            <w:tcBorders>
              <w:top w:val="nil"/>
              <w:left w:val="nil"/>
              <w:bottom w:val="nil"/>
              <w:right w:val="nil"/>
            </w:tcBorders>
            <w:shd w:val="clear" w:color="auto" w:fill="auto"/>
            <w:vAlign w:val="center"/>
            <w:hideMark/>
          </w:tcPr>
          <w:p w14:paraId="1E83E6E9"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single" w:sz="4" w:space="0" w:color="auto"/>
              <w:left w:val="nil"/>
              <w:bottom w:val="nil"/>
              <w:right w:val="nil"/>
            </w:tcBorders>
            <w:shd w:val="clear" w:color="auto" w:fill="auto"/>
            <w:vAlign w:val="center"/>
            <w:hideMark/>
          </w:tcPr>
          <w:p w14:paraId="453E35D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47</w:t>
            </w:r>
          </w:p>
        </w:tc>
        <w:tc>
          <w:tcPr>
            <w:tcW w:w="1080" w:type="dxa"/>
            <w:tcBorders>
              <w:top w:val="nil"/>
              <w:left w:val="nil"/>
              <w:bottom w:val="nil"/>
              <w:right w:val="nil"/>
            </w:tcBorders>
            <w:shd w:val="clear" w:color="auto" w:fill="auto"/>
            <w:vAlign w:val="center"/>
            <w:hideMark/>
          </w:tcPr>
          <w:p w14:paraId="7EA5221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201ADA0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5.88%</w:t>
            </w:r>
          </w:p>
        </w:tc>
      </w:tr>
      <w:tr w:rsidR="002C6719" w:rsidRPr="00E915AA" w14:paraId="7BF3DDC4" w14:textId="77777777" w:rsidTr="0073176B">
        <w:trPr>
          <w:trHeight w:val="264"/>
        </w:trPr>
        <w:tc>
          <w:tcPr>
            <w:tcW w:w="3420" w:type="dxa"/>
            <w:tcBorders>
              <w:top w:val="nil"/>
              <w:left w:val="nil"/>
              <w:bottom w:val="nil"/>
              <w:right w:val="nil"/>
            </w:tcBorders>
            <w:shd w:val="clear" w:color="auto" w:fill="auto"/>
            <w:vAlign w:val="center"/>
            <w:hideMark/>
          </w:tcPr>
          <w:p w14:paraId="04E70ADA"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2006</w:t>
            </w:r>
          </w:p>
        </w:tc>
        <w:tc>
          <w:tcPr>
            <w:tcW w:w="630" w:type="dxa"/>
            <w:tcBorders>
              <w:top w:val="nil"/>
              <w:left w:val="nil"/>
              <w:bottom w:val="nil"/>
              <w:right w:val="nil"/>
            </w:tcBorders>
            <w:shd w:val="clear" w:color="auto" w:fill="auto"/>
            <w:vAlign w:val="center"/>
            <w:hideMark/>
          </w:tcPr>
          <w:p w14:paraId="2E97F56F"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16AF6B8F"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90</w:t>
            </w:r>
          </w:p>
        </w:tc>
        <w:tc>
          <w:tcPr>
            <w:tcW w:w="1080" w:type="dxa"/>
            <w:tcBorders>
              <w:top w:val="nil"/>
              <w:left w:val="nil"/>
              <w:bottom w:val="nil"/>
              <w:right w:val="nil"/>
            </w:tcBorders>
            <w:shd w:val="clear" w:color="auto" w:fill="auto"/>
            <w:vAlign w:val="center"/>
            <w:hideMark/>
          </w:tcPr>
          <w:p w14:paraId="62BE045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2EB8A08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11.26%</w:t>
            </w:r>
          </w:p>
        </w:tc>
      </w:tr>
      <w:tr w:rsidR="002C6719" w:rsidRPr="00E915AA" w14:paraId="23AB8E56" w14:textId="77777777" w:rsidTr="0073176B">
        <w:trPr>
          <w:trHeight w:val="264"/>
        </w:trPr>
        <w:tc>
          <w:tcPr>
            <w:tcW w:w="3420" w:type="dxa"/>
            <w:tcBorders>
              <w:top w:val="nil"/>
              <w:left w:val="nil"/>
              <w:bottom w:val="nil"/>
              <w:right w:val="nil"/>
            </w:tcBorders>
            <w:shd w:val="clear" w:color="auto" w:fill="auto"/>
            <w:vAlign w:val="center"/>
            <w:hideMark/>
          </w:tcPr>
          <w:p w14:paraId="558FB046"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2007</w:t>
            </w:r>
          </w:p>
        </w:tc>
        <w:tc>
          <w:tcPr>
            <w:tcW w:w="630" w:type="dxa"/>
            <w:tcBorders>
              <w:top w:val="nil"/>
              <w:left w:val="nil"/>
              <w:bottom w:val="nil"/>
              <w:right w:val="nil"/>
            </w:tcBorders>
            <w:shd w:val="clear" w:color="auto" w:fill="auto"/>
            <w:vAlign w:val="center"/>
            <w:hideMark/>
          </w:tcPr>
          <w:p w14:paraId="046A41E1"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7B6DFD0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80</w:t>
            </w:r>
          </w:p>
        </w:tc>
        <w:tc>
          <w:tcPr>
            <w:tcW w:w="1080" w:type="dxa"/>
            <w:tcBorders>
              <w:top w:val="nil"/>
              <w:left w:val="nil"/>
              <w:bottom w:val="nil"/>
              <w:right w:val="nil"/>
            </w:tcBorders>
            <w:shd w:val="clear" w:color="auto" w:fill="auto"/>
            <w:vAlign w:val="center"/>
            <w:hideMark/>
          </w:tcPr>
          <w:p w14:paraId="4591AAE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056F96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10.01%</w:t>
            </w:r>
          </w:p>
        </w:tc>
      </w:tr>
      <w:tr w:rsidR="002C6719" w:rsidRPr="00E915AA" w14:paraId="6F193076" w14:textId="77777777" w:rsidTr="0073176B">
        <w:trPr>
          <w:trHeight w:val="264"/>
        </w:trPr>
        <w:tc>
          <w:tcPr>
            <w:tcW w:w="3420" w:type="dxa"/>
            <w:tcBorders>
              <w:top w:val="nil"/>
              <w:left w:val="nil"/>
              <w:bottom w:val="nil"/>
              <w:right w:val="nil"/>
            </w:tcBorders>
            <w:shd w:val="clear" w:color="auto" w:fill="auto"/>
            <w:vAlign w:val="center"/>
            <w:hideMark/>
          </w:tcPr>
          <w:p w14:paraId="07803484"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2008</w:t>
            </w:r>
          </w:p>
        </w:tc>
        <w:tc>
          <w:tcPr>
            <w:tcW w:w="630" w:type="dxa"/>
            <w:tcBorders>
              <w:top w:val="nil"/>
              <w:left w:val="nil"/>
              <w:bottom w:val="nil"/>
              <w:right w:val="nil"/>
            </w:tcBorders>
            <w:shd w:val="clear" w:color="auto" w:fill="auto"/>
            <w:vAlign w:val="center"/>
            <w:hideMark/>
          </w:tcPr>
          <w:p w14:paraId="5C6B6173"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1E866D25"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17</w:t>
            </w:r>
          </w:p>
        </w:tc>
        <w:tc>
          <w:tcPr>
            <w:tcW w:w="1080" w:type="dxa"/>
            <w:tcBorders>
              <w:top w:val="nil"/>
              <w:left w:val="nil"/>
              <w:bottom w:val="nil"/>
              <w:right w:val="nil"/>
            </w:tcBorders>
            <w:shd w:val="clear" w:color="auto" w:fill="auto"/>
            <w:vAlign w:val="center"/>
            <w:hideMark/>
          </w:tcPr>
          <w:p w14:paraId="2615DB4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2F8A7E3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2.13%</w:t>
            </w:r>
          </w:p>
        </w:tc>
      </w:tr>
      <w:tr w:rsidR="002C6719" w:rsidRPr="00E915AA" w14:paraId="249E137E" w14:textId="77777777" w:rsidTr="0073176B">
        <w:trPr>
          <w:trHeight w:val="264"/>
        </w:trPr>
        <w:tc>
          <w:tcPr>
            <w:tcW w:w="3420" w:type="dxa"/>
            <w:tcBorders>
              <w:top w:val="nil"/>
              <w:left w:val="nil"/>
              <w:bottom w:val="nil"/>
              <w:right w:val="nil"/>
            </w:tcBorders>
            <w:shd w:val="clear" w:color="auto" w:fill="auto"/>
            <w:vAlign w:val="center"/>
            <w:hideMark/>
          </w:tcPr>
          <w:p w14:paraId="34652451"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2009</w:t>
            </w:r>
          </w:p>
        </w:tc>
        <w:tc>
          <w:tcPr>
            <w:tcW w:w="630" w:type="dxa"/>
            <w:tcBorders>
              <w:top w:val="nil"/>
              <w:left w:val="nil"/>
              <w:bottom w:val="nil"/>
              <w:right w:val="nil"/>
            </w:tcBorders>
            <w:shd w:val="clear" w:color="auto" w:fill="auto"/>
            <w:vAlign w:val="center"/>
            <w:hideMark/>
          </w:tcPr>
          <w:p w14:paraId="272EFE3C"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50DC103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39</w:t>
            </w:r>
          </w:p>
        </w:tc>
        <w:tc>
          <w:tcPr>
            <w:tcW w:w="1080" w:type="dxa"/>
            <w:tcBorders>
              <w:top w:val="nil"/>
              <w:left w:val="nil"/>
              <w:bottom w:val="nil"/>
              <w:right w:val="nil"/>
            </w:tcBorders>
            <w:shd w:val="clear" w:color="auto" w:fill="auto"/>
            <w:vAlign w:val="center"/>
            <w:hideMark/>
          </w:tcPr>
          <w:p w14:paraId="25673F0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4EA1E6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4.88%</w:t>
            </w:r>
          </w:p>
        </w:tc>
      </w:tr>
      <w:tr w:rsidR="002C6719" w:rsidRPr="00E915AA" w14:paraId="13C29C2C" w14:textId="77777777" w:rsidTr="0073176B">
        <w:trPr>
          <w:trHeight w:val="264"/>
        </w:trPr>
        <w:tc>
          <w:tcPr>
            <w:tcW w:w="3420" w:type="dxa"/>
            <w:tcBorders>
              <w:top w:val="nil"/>
              <w:left w:val="nil"/>
              <w:bottom w:val="nil"/>
              <w:right w:val="nil"/>
            </w:tcBorders>
            <w:shd w:val="clear" w:color="auto" w:fill="auto"/>
            <w:vAlign w:val="center"/>
            <w:hideMark/>
          </w:tcPr>
          <w:p w14:paraId="5F5E7EB8"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2010</w:t>
            </w:r>
          </w:p>
        </w:tc>
        <w:tc>
          <w:tcPr>
            <w:tcW w:w="630" w:type="dxa"/>
            <w:tcBorders>
              <w:top w:val="nil"/>
              <w:left w:val="nil"/>
              <w:bottom w:val="nil"/>
              <w:right w:val="nil"/>
            </w:tcBorders>
            <w:shd w:val="clear" w:color="auto" w:fill="auto"/>
            <w:vAlign w:val="center"/>
            <w:hideMark/>
          </w:tcPr>
          <w:p w14:paraId="473050A7"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23930185"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55</w:t>
            </w:r>
          </w:p>
        </w:tc>
        <w:tc>
          <w:tcPr>
            <w:tcW w:w="1080" w:type="dxa"/>
            <w:tcBorders>
              <w:top w:val="nil"/>
              <w:left w:val="nil"/>
              <w:bottom w:val="nil"/>
              <w:right w:val="nil"/>
            </w:tcBorders>
            <w:shd w:val="clear" w:color="auto" w:fill="auto"/>
            <w:vAlign w:val="center"/>
            <w:hideMark/>
          </w:tcPr>
          <w:p w14:paraId="59ADFF8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331422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6.88%</w:t>
            </w:r>
          </w:p>
        </w:tc>
      </w:tr>
      <w:tr w:rsidR="002C6719" w:rsidRPr="00E915AA" w14:paraId="33898A6E" w14:textId="77777777" w:rsidTr="0073176B">
        <w:trPr>
          <w:trHeight w:val="264"/>
        </w:trPr>
        <w:tc>
          <w:tcPr>
            <w:tcW w:w="3420" w:type="dxa"/>
            <w:tcBorders>
              <w:top w:val="nil"/>
              <w:left w:val="nil"/>
              <w:bottom w:val="nil"/>
              <w:right w:val="nil"/>
            </w:tcBorders>
            <w:shd w:val="clear" w:color="auto" w:fill="auto"/>
            <w:vAlign w:val="center"/>
            <w:hideMark/>
          </w:tcPr>
          <w:p w14:paraId="2BEDEF99"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2011</w:t>
            </w:r>
          </w:p>
        </w:tc>
        <w:tc>
          <w:tcPr>
            <w:tcW w:w="630" w:type="dxa"/>
            <w:tcBorders>
              <w:top w:val="nil"/>
              <w:left w:val="nil"/>
              <w:bottom w:val="nil"/>
              <w:right w:val="nil"/>
            </w:tcBorders>
            <w:shd w:val="clear" w:color="auto" w:fill="auto"/>
            <w:vAlign w:val="center"/>
            <w:hideMark/>
          </w:tcPr>
          <w:p w14:paraId="620D801F"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AF9004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56</w:t>
            </w:r>
          </w:p>
        </w:tc>
        <w:tc>
          <w:tcPr>
            <w:tcW w:w="1080" w:type="dxa"/>
            <w:tcBorders>
              <w:top w:val="nil"/>
              <w:left w:val="nil"/>
              <w:bottom w:val="nil"/>
              <w:right w:val="nil"/>
            </w:tcBorders>
            <w:shd w:val="clear" w:color="auto" w:fill="auto"/>
            <w:vAlign w:val="center"/>
            <w:hideMark/>
          </w:tcPr>
          <w:p w14:paraId="7D8D580B"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277A88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7.01%</w:t>
            </w:r>
          </w:p>
        </w:tc>
      </w:tr>
      <w:tr w:rsidR="002C6719" w:rsidRPr="00E915AA" w14:paraId="1D99DC22" w14:textId="77777777" w:rsidTr="0073176B">
        <w:trPr>
          <w:trHeight w:val="264"/>
        </w:trPr>
        <w:tc>
          <w:tcPr>
            <w:tcW w:w="3420" w:type="dxa"/>
            <w:tcBorders>
              <w:top w:val="nil"/>
              <w:left w:val="nil"/>
              <w:bottom w:val="nil"/>
              <w:right w:val="nil"/>
            </w:tcBorders>
            <w:shd w:val="clear" w:color="auto" w:fill="auto"/>
            <w:vAlign w:val="center"/>
            <w:hideMark/>
          </w:tcPr>
          <w:p w14:paraId="3E905EB3"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2012</w:t>
            </w:r>
          </w:p>
        </w:tc>
        <w:tc>
          <w:tcPr>
            <w:tcW w:w="630" w:type="dxa"/>
            <w:tcBorders>
              <w:top w:val="nil"/>
              <w:left w:val="nil"/>
              <w:bottom w:val="nil"/>
              <w:right w:val="nil"/>
            </w:tcBorders>
            <w:shd w:val="clear" w:color="auto" w:fill="auto"/>
            <w:vAlign w:val="center"/>
            <w:hideMark/>
          </w:tcPr>
          <w:p w14:paraId="438DD078"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283647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36</w:t>
            </w:r>
          </w:p>
        </w:tc>
        <w:tc>
          <w:tcPr>
            <w:tcW w:w="1080" w:type="dxa"/>
            <w:tcBorders>
              <w:top w:val="nil"/>
              <w:left w:val="nil"/>
              <w:bottom w:val="nil"/>
              <w:right w:val="nil"/>
            </w:tcBorders>
            <w:shd w:val="clear" w:color="auto" w:fill="auto"/>
            <w:vAlign w:val="center"/>
            <w:hideMark/>
          </w:tcPr>
          <w:p w14:paraId="75B1C6A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401FC37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4.51%</w:t>
            </w:r>
          </w:p>
        </w:tc>
      </w:tr>
      <w:tr w:rsidR="002C6719" w:rsidRPr="00E915AA" w14:paraId="305C61B2" w14:textId="77777777" w:rsidTr="0073176B">
        <w:trPr>
          <w:trHeight w:val="264"/>
        </w:trPr>
        <w:tc>
          <w:tcPr>
            <w:tcW w:w="3420" w:type="dxa"/>
            <w:tcBorders>
              <w:top w:val="nil"/>
              <w:left w:val="nil"/>
              <w:bottom w:val="nil"/>
              <w:right w:val="nil"/>
            </w:tcBorders>
            <w:shd w:val="clear" w:color="auto" w:fill="auto"/>
            <w:vAlign w:val="center"/>
            <w:hideMark/>
          </w:tcPr>
          <w:p w14:paraId="329ED786"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2013</w:t>
            </w:r>
          </w:p>
        </w:tc>
        <w:tc>
          <w:tcPr>
            <w:tcW w:w="630" w:type="dxa"/>
            <w:tcBorders>
              <w:top w:val="nil"/>
              <w:left w:val="nil"/>
              <w:bottom w:val="nil"/>
              <w:right w:val="nil"/>
            </w:tcBorders>
            <w:shd w:val="clear" w:color="auto" w:fill="auto"/>
            <w:vAlign w:val="center"/>
            <w:hideMark/>
          </w:tcPr>
          <w:p w14:paraId="12BEFAFC"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43AF5E1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99</w:t>
            </w:r>
          </w:p>
        </w:tc>
        <w:tc>
          <w:tcPr>
            <w:tcW w:w="1080" w:type="dxa"/>
            <w:tcBorders>
              <w:top w:val="nil"/>
              <w:left w:val="nil"/>
              <w:bottom w:val="nil"/>
              <w:right w:val="nil"/>
            </w:tcBorders>
            <w:shd w:val="clear" w:color="auto" w:fill="auto"/>
            <w:vAlign w:val="center"/>
            <w:hideMark/>
          </w:tcPr>
          <w:p w14:paraId="39B8F88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8228BD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12.39%</w:t>
            </w:r>
          </w:p>
        </w:tc>
      </w:tr>
      <w:tr w:rsidR="002C6719" w:rsidRPr="00E915AA" w14:paraId="6815FE32" w14:textId="77777777" w:rsidTr="0073176B">
        <w:trPr>
          <w:trHeight w:val="264"/>
        </w:trPr>
        <w:tc>
          <w:tcPr>
            <w:tcW w:w="3420" w:type="dxa"/>
            <w:tcBorders>
              <w:top w:val="nil"/>
              <w:left w:val="nil"/>
              <w:bottom w:val="nil"/>
              <w:right w:val="nil"/>
            </w:tcBorders>
            <w:shd w:val="clear" w:color="auto" w:fill="auto"/>
            <w:vAlign w:val="center"/>
            <w:hideMark/>
          </w:tcPr>
          <w:p w14:paraId="631CBD48"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2014</w:t>
            </w:r>
          </w:p>
        </w:tc>
        <w:tc>
          <w:tcPr>
            <w:tcW w:w="630" w:type="dxa"/>
            <w:tcBorders>
              <w:top w:val="nil"/>
              <w:left w:val="nil"/>
              <w:bottom w:val="nil"/>
              <w:right w:val="nil"/>
            </w:tcBorders>
            <w:shd w:val="clear" w:color="auto" w:fill="auto"/>
            <w:vAlign w:val="center"/>
            <w:hideMark/>
          </w:tcPr>
          <w:p w14:paraId="60966844"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52AF53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110</w:t>
            </w:r>
          </w:p>
        </w:tc>
        <w:tc>
          <w:tcPr>
            <w:tcW w:w="1080" w:type="dxa"/>
            <w:tcBorders>
              <w:top w:val="nil"/>
              <w:left w:val="nil"/>
              <w:bottom w:val="nil"/>
              <w:right w:val="nil"/>
            </w:tcBorders>
            <w:shd w:val="clear" w:color="auto" w:fill="auto"/>
            <w:vAlign w:val="center"/>
            <w:hideMark/>
          </w:tcPr>
          <w:p w14:paraId="5C0ED44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FF2FE6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13.77%</w:t>
            </w:r>
          </w:p>
        </w:tc>
      </w:tr>
      <w:tr w:rsidR="002C6719" w:rsidRPr="00E915AA" w14:paraId="62C97AA9" w14:textId="77777777" w:rsidTr="0073176B">
        <w:trPr>
          <w:trHeight w:val="264"/>
        </w:trPr>
        <w:tc>
          <w:tcPr>
            <w:tcW w:w="3420" w:type="dxa"/>
            <w:tcBorders>
              <w:top w:val="nil"/>
              <w:left w:val="nil"/>
              <w:bottom w:val="nil"/>
              <w:right w:val="nil"/>
            </w:tcBorders>
            <w:shd w:val="clear" w:color="auto" w:fill="auto"/>
            <w:vAlign w:val="center"/>
            <w:hideMark/>
          </w:tcPr>
          <w:p w14:paraId="2EC5A306"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2015</w:t>
            </w:r>
          </w:p>
        </w:tc>
        <w:tc>
          <w:tcPr>
            <w:tcW w:w="630" w:type="dxa"/>
            <w:tcBorders>
              <w:top w:val="nil"/>
              <w:left w:val="nil"/>
              <w:bottom w:val="nil"/>
              <w:right w:val="nil"/>
            </w:tcBorders>
            <w:shd w:val="clear" w:color="auto" w:fill="auto"/>
            <w:vAlign w:val="center"/>
            <w:hideMark/>
          </w:tcPr>
          <w:p w14:paraId="6F0BF55E"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8D10F5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71</w:t>
            </w:r>
          </w:p>
        </w:tc>
        <w:tc>
          <w:tcPr>
            <w:tcW w:w="1080" w:type="dxa"/>
            <w:tcBorders>
              <w:top w:val="nil"/>
              <w:left w:val="nil"/>
              <w:bottom w:val="nil"/>
              <w:right w:val="nil"/>
            </w:tcBorders>
            <w:shd w:val="clear" w:color="auto" w:fill="auto"/>
            <w:vAlign w:val="center"/>
            <w:hideMark/>
          </w:tcPr>
          <w:p w14:paraId="4746173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66F5123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8.89%</w:t>
            </w:r>
          </w:p>
        </w:tc>
      </w:tr>
      <w:tr w:rsidR="002C6719" w:rsidRPr="00E915AA" w14:paraId="00209F8A" w14:textId="77777777" w:rsidTr="0073176B">
        <w:trPr>
          <w:trHeight w:val="264"/>
        </w:trPr>
        <w:tc>
          <w:tcPr>
            <w:tcW w:w="3420" w:type="dxa"/>
            <w:tcBorders>
              <w:top w:val="nil"/>
              <w:left w:val="nil"/>
              <w:bottom w:val="nil"/>
              <w:right w:val="nil"/>
            </w:tcBorders>
            <w:shd w:val="clear" w:color="auto" w:fill="auto"/>
            <w:vAlign w:val="center"/>
            <w:hideMark/>
          </w:tcPr>
          <w:p w14:paraId="667390B1"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2016</w:t>
            </w:r>
          </w:p>
        </w:tc>
        <w:tc>
          <w:tcPr>
            <w:tcW w:w="630" w:type="dxa"/>
            <w:tcBorders>
              <w:top w:val="nil"/>
              <w:left w:val="nil"/>
              <w:bottom w:val="nil"/>
              <w:right w:val="nil"/>
            </w:tcBorders>
            <w:shd w:val="clear" w:color="auto" w:fill="auto"/>
            <w:vAlign w:val="center"/>
            <w:hideMark/>
          </w:tcPr>
          <w:p w14:paraId="7A82B455"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34D1F8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53</w:t>
            </w:r>
          </w:p>
        </w:tc>
        <w:tc>
          <w:tcPr>
            <w:tcW w:w="1080" w:type="dxa"/>
            <w:tcBorders>
              <w:top w:val="nil"/>
              <w:left w:val="nil"/>
              <w:bottom w:val="nil"/>
              <w:right w:val="nil"/>
            </w:tcBorders>
            <w:shd w:val="clear" w:color="auto" w:fill="auto"/>
            <w:vAlign w:val="center"/>
            <w:hideMark/>
          </w:tcPr>
          <w:p w14:paraId="40BE972B"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6ABA176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6.63%</w:t>
            </w:r>
          </w:p>
        </w:tc>
      </w:tr>
      <w:tr w:rsidR="002C6719" w:rsidRPr="00E915AA" w14:paraId="51E3A6E5" w14:textId="77777777" w:rsidTr="0073176B">
        <w:trPr>
          <w:trHeight w:val="264"/>
        </w:trPr>
        <w:tc>
          <w:tcPr>
            <w:tcW w:w="3420" w:type="dxa"/>
            <w:tcBorders>
              <w:top w:val="nil"/>
              <w:left w:val="nil"/>
              <w:bottom w:val="nil"/>
              <w:right w:val="nil"/>
            </w:tcBorders>
            <w:shd w:val="clear" w:color="auto" w:fill="auto"/>
            <w:vAlign w:val="center"/>
            <w:hideMark/>
          </w:tcPr>
          <w:p w14:paraId="7E9531CB"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2017</w:t>
            </w:r>
          </w:p>
        </w:tc>
        <w:tc>
          <w:tcPr>
            <w:tcW w:w="630" w:type="dxa"/>
            <w:tcBorders>
              <w:top w:val="nil"/>
              <w:left w:val="nil"/>
              <w:bottom w:val="nil"/>
              <w:right w:val="nil"/>
            </w:tcBorders>
            <w:shd w:val="clear" w:color="auto" w:fill="auto"/>
            <w:vAlign w:val="center"/>
            <w:hideMark/>
          </w:tcPr>
          <w:p w14:paraId="3CA42F96"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01C2528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46</w:t>
            </w:r>
          </w:p>
        </w:tc>
        <w:tc>
          <w:tcPr>
            <w:tcW w:w="1080" w:type="dxa"/>
            <w:tcBorders>
              <w:top w:val="nil"/>
              <w:left w:val="nil"/>
              <w:bottom w:val="nil"/>
              <w:right w:val="nil"/>
            </w:tcBorders>
            <w:shd w:val="clear" w:color="auto" w:fill="auto"/>
            <w:vAlign w:val="center"/>
            <w:hideMark/>
          </w:tcPr>
          <w:p w14:paraId="16E3DD8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980" w:type="dxa"/>
            <w:gridSpan w:val="2"/>
            <w:tcBorders>
              <w:top w:val="nil"/>
              <w:left w:val="nil"/>
              <w:bottom w:val="nil"/>
              <w:right w:val="nil"/>
            </w:tcBorders>
            <w:shd w:val="clear" w:color="auto" w:fill="auto"/>
            <w:vAlign w:val="center"/>
            <w:hideMark/>
          </w:tcPr>
          <w:p w14:paraId="3EB5720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5.76%</w:t>
            </w:r>
          </w:p>
        </w:tc>
      </w:tr>
      <w:tr w:rsidR="002C6719" w:rsidRPr="00E915AA" w14:paraId="7DFEBB6F" w14:textId="77777777" w:rsidTr="0073176B">
        <w:trPr>
          <w:trHeight w:val="264"/>
        </w:trPr>
        <w:tc>
          <w:tcPr>
            <w:tcW w:w="3420" w:type="dxa"/>
            <w:tcBorders>
              <w:top w:val="nil"/>
              <w:left w:val="nil"/>
              <w:bottom w:val="single" w:sz="4" w:space="0" w:color="auto"/>
              <w:right w:val="nil"/>
            </w:tcBorders>
            <w:shd w:val="clear" w:color="auto" w:fill="auto"/>
            <w:vAlign w:val="center"/>
            <w:hideMark/>
          </w:tcPr>
          <w:p w14:paraId="258675CF"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Total</w:t>
            </w:r>
          </w:p>
        </w:tc>
        <w:tc>
          <w:tcPr>
            <w:tcW w:w="630" w:type="dxa"/>
            <w:tcBorders>
              <w:top w:val="nil"/>
              <w:left w:val="nil"/>
              <w:bottom w:val="single" w:sz="4" w:space="0" w:color="auto"/>
              <w:right w:val="nil"/>
            </w:tcBorders>
            <w:shd w:val="clear" w:color="auto" w:fill="auto"/>
            <w:vAlign w:val="center"/>
            <w:hideMark/>
          </w:tcPr>
          <w:p w14:paraId="32625F2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1980" w:type="dxa"/>
            <w:gridSpan w:val="2"/>
            <w:tcBorders>
              <w:top w:val="nil"/>
              <w:left w:val="nil"/>
              <w:bottom w:val="single" w:sz="4" w:space="0" w:color="auto"/>
              <w:right w:val="nil"/>
            </w:tcBorders>
            <w:shd w:val="clear" w:color="auto" w:fill="auto"/>
            <w:vAlign w:val="center"/>
            <w:hideMark/>
          </w:tcPr>
          <w:p w14:paraId="02E8B2D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799</w:t>
            </w:r>
          </w:p>
        </w:tc>
        <w:tc>
          <w:tcPr>
            <w:tcW w:w="1080" w:type="dxa"/>
            <w:tcBorders>
              <w:top w:val="nil"/>
              <w:left w:val="nil"/>
              <w:bottom w:val="single" w:sz="4" w:space="0" w:color="auto"/>
              <w:right w:val="nil"/>
            </w:tcBorders>
            <w:shd w:val="clear" w:color="auto" w:fill="auto"/>
            <w:vAlign w:val="center"/>
            <w:hideMark/>
          </w:tcPr>
          <w:p w14:paraId="3422600A"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1980" w:type="dxa"/>
            <w:gridSpan w:val="2"/>
            <w:tcBorders>
              <w:top w:val="nil"/>
              <w:left w:val="nil"/>
              <w:bottom w:val="single" w:sz="4" w:space="0" w:color="auto"/>
              <w:right w:val="nil"/>
            </w:tcBorders>
            <w:shd w:val="clear" w:color="auto" w:fill="auto"/>
            <w:vAlign w:val="center"/>
            <w:hideMark/>
          </w:tcPr>
          <w:p w14:paraId="25CB295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100%</w:t>
            </w:r>
          </w:p>
        </w:tc>
      </w:tr>
      <w:tr w:rsidR="002C6719" w:rsidRPr="00E915AA" w14:paraId="5C2083E0" w14:textId="77777777" w:rsidTr="0073176B">
        <w:trPr>
          <w:trHeight w:val="548"/>
        </w:trPr>
        <w:tc>
          <w:tcPr>
            <w:tcW w:w="9090" w:type="dxa"/>
            <w:gridSpan w:val="7"/>
            <w:tcBorders>
              <w:top w:val="nil"/>
              <w:left w:val="nil"/>
              <w:bottom w:val="nil"/>
              <w:right w:val="nil"/>
            </w:tcBorders>
            <w:shd w:val="clear" w:color="auto" w:fill="auto"/>
            <w:vAlign w:val="bottom"/>
            <w:hideMark/>
          </w:tcPr>
          <w:p w14:paraId="30698BAF" w14:textId="77777777" w:rsidR="002C6719" w:rsidRPr="00E915AA" w:rsidRDefault="002C6719" w:rsidP="0073176B">
            <w:pPr>
              <w:spacing w:after="0" w:line="240" w:lineRule="auto"/>
              <w:rPr>
                <w:rFonts w:ascii="Times New Roman" w:eastAsia="Times New Roman" w:hAnsi="Times New Roman" w:cs="Times New Roman"/>
                <w:b/>
                <w:bCs/>
                <w:color w:val="000000"/>
                <w:sz w:val="20"/>
                <w:szCs w:val="20"/>
                <w:lang w:eastAsia="en-GB"/>
              </w:rPr>
            </w:pPr>
            <w:r w:rsidRPr="00E915AA">
              <w:rPr>
                <w:rFonts w:ascii="Times New Roman" w:eastAsia="Times New Roman" w:hAnsi="Times New Roman" w:cs="Times New Roman"/>
                <w:b/>
                <w:bCs/>
                <w:color w:val="000000"/>
                <w:sz w:val="20"/>
                <w:szCs w:val="20"/>
                <w:lang w:eastAsia="en-GB"/>
              </w:rPr>
              <w:t>Panel B. Industry distribution</w:t>
            </w:r>
          </w:p>
        </w:tc>
      </w:tr>
      <w:tr w:rsidR="002C6719" w:rsidRPr="00E915AA" w14:paraId="2DC5D30D" w14:textId="77777777" w:rsidTr="0073176B">
        <w:trPr>
          <w:trHeight w:val="577"/>
        </w:trPr>
        <w:tc>
          <w:tcPr>
            <w:tcW w:w="3420" w:type="dxa"/>
            <w:tcBorders>
              <w:top w:val="nil"/>
              <w:left w:val="nil"/>
              <w:bottom w:val="single" w:sz="4" w:space="0" w:color="auto"/>
              <w:right w:val="nil"/>
            </w:tcBorders>
            <w:shd w:val="clear" w:color="auto" w:fill="auto"/>
            <w:vAlign w:val="center"/>
            <w:hideMark/>
          </w:tcPr>
          <w:p w14:paraId="66701744" w14:textId="77777777" w:rsidR="002C6719" w:rsidRPr="00E915AA" w:rsidRDefault="002C6719" w:rsidP="0073176B">
            <w:pPr>
              <w:spacing w:after="0" w:line="240" w:lineRule="auto"/>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Industry</w:t>
            </w:r>
          </w:p>
        </w:tc>
        <w:tc>
          <w:tcPr>
            <w:tcW w:w="630" w:type="dxa"/>
            <w:tcBorders>
              <w:top w:val="nil"/>
              <w:left w:val="nil"/>
              <w:bottom w:val="nil"/>
              <w:right w:val="nil"/>
            </w:tcBorders>
            <w:shd w:val="clear" w:color="auto" w:fill="auto"/>
            <w:vAlign w:val="center"/>
            <w:hideMark/>
          </w:tcPr>
          <w:p w14:paraId="7539854F" w14:textId="77777777" w:rsidR="002C6719" w:rsidRPr="00E915AA" w:rsidRDefault="002C6719" w:rsidP="0073176B">
            <w:pPr>
              <w:spacing w:after="0" w:line="240" w:lineRule="auto"/>
              <w:rPr>
                <w:rFonts w:ascii="Times New Roman" w:eastAsia="Times New Roman" w:hAnsi="Times New Roman" w:cs="Times New Roman"/>
                <w:i/>
                <w:iCs/>
                <w:color w:val="000000"/>
                <w:sz w:val="20"/>
                <w:szCs w:val="20"/>
                <w:lang w:eastAsia="en-GB"/>
              </w:rPr>
            </w:pPr>
          </w:p>
        </w:tc>
        <w:tc>
          <w:tcPr>
            <w:tcW w:w="1530" w:type="dxa"/>
            <w:tcBorders>
              <w:top w:val="nil"/>
              <w:left w:val="nil"/>
              <w:bottom w:val="single" w:sz="4" w:space="0" w:color="auto"/>
              <w:right w:val="nil"/>
            </w:tcBorders>
            <w:shd w:val="clear" w:color="auto" w:fill="auto"/>
            <w:vAlign w:val="center"/>
            <w:hideMark/>
          </w:tcPr>
          <w:p w14:paraId="3ABC205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proofErr w:type="spellStart"/>
            <w:r w:rsidRPr="00E915AA">
              <w:rPr>
                <w:rFonts w:ascii="Times New Roman" w:eastAsia="Times New Roman" w:hAnsi="Times New Roman" w:cs="Times New Roman"/>
                <w:i/>
                <w:iCs/>
                <w:color w:val="000000"/>
                <w:sz w:val="20"/>
                <w:szCs w:val="20"/>
                <w:lang w:eastAsia="en-GB"/>
              </w:rPr>
              <w:t>Fama</w:t>
            </w:r>
            <w:proofErr w:type="spellEnd"/>
            <w:r w:rsidRPr="00E915AA">
              <w:rPr>
                <w:rFonts w:ascii="Times New Roman" w:eastAsia="Times New Roman" w:hAnsi="Times New Roman" w:cs="Times New Roman"/>
                <w:i/>
                <w:iCs/>
                <w:color w:val="000000"/>
                <w:sz w:val="20"/>
                <w:szCs w:val="20"/>
                <w:lang w:eastAsia="en-GB"/>
              </w:rPr>
              <w:t>-French 12 industry</w:t>
            </w:r>
          </w:p>
        </w:tc>
        <w:tc>
          <w:tcPr>
            <w:tcW w:w="450" w:type="dxa"/>
            <w:tcBorders>
              <w:top w:val="nil"/>
              <w:left w:val="nil"/>
              <w:bottom w:val="nil"/>
              <w:right w:val="nil"/>
            </w:tcBorders>
            <w:shd w:val="clear" w:color="auto" w:fill="auto"/>
            <w:vAlign w:val="center"/>
            <w:hideMark/>
          </w:tcPr>
          <w:p w14:paraId="5E3147C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p>
        </w:tc>
        <w:tc>
          <w:tcPr>
            <w:tcW w:w="1080" w:type="dxa"/>
            <w:tcBorders>
              <w:top w:val="nil"/>
              <w:left w:val="nil"/>
              <w:bottom w:val="single" w:sz="4" w:space="0" w:color="auto"/>
              <w:right w:val="nil"/>
            </w:tcBorders>
            <w:shd w:val="clear" w:color="auto" w:fill="auto"/>
            <w:vAlign w:val="center"/>
            <w:hideMark/>
          </w:tcPr>
          <w:p w14:paraId="239C6508"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Frequency</w:t>
            </w:r>
          </w:p>
        </w:tc>
        <w:tc>
          <w:tcPr>
            <w:tcW w:w="980" w:type="dxa"/>
            <w:tcBorders>
              <w:top w:val="nil"/>
              <w:left w:val="nil"/>
              <w:bottom w:val="nil"/>
              <w:right w:val="nil"/>
            </w:tcBorders>
            <w:shd w:val="clear" w:color="auto" w:fill="auto"/>
            <w:vAlign w:val="center"/>
            <w:hideMark/>
          </w:tcPr>
          <w:p w14:paraId="41DCAA6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p>
        </w:tc>
        <w:tc>
          <w:tcPr>
            <w:tcW w:w="1000" w:type="dxa"/>
            <w:tcBorders>
              <w:top w:val="nil"/>
              <w:left w:val="nil"/>
              <w:bottom w:val="single" w:sz="4" w:space="0" w:color="auto"/>
              <w:right w:val="nil"/>
            </w:tcBorders>
            <w:shd w:val="clear" w:color="auto" w:fill="auto"/>
            <w:vAlign w:val="center"/>
            <w:hideMark/>
          </w:tcPr>
          <w:p w14:paraId="49827B6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20"/>
                <w:szCs w:val="20"/>
                <w:lang w:eastAsia="en-GB"/>
              </w:rPr>
            </w:pPr>
            <w:r w:rsidRPr="00E915AA">
              <w:rPr>
                <w:rFonts w:ascii="Times New Roman" w:eastAsia="Times New Roman" w:hAnsi="Times New Roman" w:cs="Times New Roman"/>
                <w:i/>
                <w:iCs/>
                <w:color w:val="000000"/>
                <w:sz w:val="20"/>
                <w:szCs w:val="20"/>
                <w:lang w:eastAsia="en-GB"/>
              </w:rPr>
              <w:t>%</w:t>
            </w:r>
          </w:p>
        </w:tc>
      </w:tr>
      <w:tr w:rsidR="002C6719" w:rsidRPr="00E915AA" w14:paraId="1C3E07CC" w14:textId="77777777" w:rsidTr="0073176B">
        <w:trPr>
          <w:trHeight w:val="528"/>
        </w:trPr>
        <w:tc>
          <w:tcPr>
            <w:tcW w:w="3420" w:type="dxa"/>
            <w:tcBorders>
              <w:top w:val="nil"/>
              <w:left w:val="nil"/>
              <w:bottom w:val="nil"/>
              <w:right w:val="nil"/>
            </w:tcBorders>
            <w:shd w:val="clear" w:color="auto" w:fill="auto"/>
            <w:vAlign w:val="center"/>
            <w:hideMark/>
          </w:tcPr>
          <w:p w14:paraId="193E5405"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Consumer Nondurables-Cars, TV's, Furniture, Household Appliances</w:t>
            </w:r>
          </w:p>
        </w:tc>
        <w:tc>
          <w:tcPr>
            <w:tcW w:w="630" w:type="dxa"/>
            <w:tcBorders>
              <w:top w:val="nil"/>
              <w:left w:val="nil"/>
              <w:bottom w:val="nil"/>
              <w:right w:val="nil"/>
            </w:tcBorders>
            <w:shd w:val="clear" w:color="auto" w:fill="auto"/>
            <w:vAlign w:val="center"/>
            <w:hideMark/>
          </w:tcPr>
          <w:p w14:paraId="072A036F"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71D274F7"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w:t>
            </w:r>
          </w:p>
        </w:tc>
        <w:tc>
          <w:tcPr>
            <w:tcW w:w="450" w:type="dxa"/>
            <w:tcBorders>
              <w:top w:val="nil"/>
              <w:left w:val="nil"/>
              <w:bottom w:val="nil"/>
              <w:right w:val="nil"/>
            </w:tcBorders>
            <w:shd w:val="clear" w:color="auto" w:fill="auto"/>
            <w:vAlign w:val="center"/>
            <w:hideMark/>
          </w:tcPr>
          <w:p w14:paraId="31DE180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304D68F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17</w:t>
            </w:r>
          </w:p>
        </w:tc>
        <w:tc>
          <w:tcPr>
            <w:tcW w:w="980" w:type="dxa"/>
            <w:tcBorders>
              <w:top w:val="nil"/>
              <w:left w:val="nil"/>
              <w:bottom w:val="nil"/>
              <w:right w:val="nil"/>
            </w:tcBorders>
            <w:shd w:val="clear" w:color="auto" w:fill="auto"/>
            <w:vAlign w:val="center"/>
            <w:hideMark/>
          </w:tcPr>
          <w:p w14:paraId="24C1899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2FC7BA2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2.13%</w:t>
            </w:r>
          </w:p>
        </w:tc>
      </w:tr>
      <w:tr w:rsidR="002C6719" w:rsidRPr="00E915AA" w14:paraId="70DBC77B" w14:textId="77777777" w:rsidTr="0073176B">
        <w:trPr>
          <w:trHeight w:val="528"/>
        </w:trPr>
        <w:tc>
          <w:tcPr>
            <w:tcW w:w="3420" w:type="dxa"/>
            <w:tcBorders>
              <w:top w:val="nil"/>
              <w:left w:val="nil"/>
              <w:bottom w:val="nil"/>
              <w:right w:val="nil"/>
            </w:tcBorders>
            <w:shd w:val="clear" w:color="auto" w:fill="auto"/>
            <w:vAlign w:val="center"/>
            <w:hideMark/>
          </w:tcPr>
          <w:p w14:paraId="12BDE079"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xml:space="preserve">Consumer Durables-Machinery, Trucks, Planes, Off </w:t>
            </w:r>
            <w:proofErr w:type="spellStart"/>
            <w:r w:rsidRPr="00E915AA">
              <w:rPr>
                <w:rFonts w:ascii="Times New Roman" w:eastAsia="Times New Roman" w:hAnsi="Times New Roman" w:cs="Times New Roman"/>
                <w:color w:val="000000"/>
                <w:sz w:val="20"/>
                <w:szCs w:val="20"/>
                <w:lang w:eastAsia="en-GB"/>
              </w:rPr>
              <w:t>Furn</w:t>
            </w:r>
            <w:proofErr w:type="spellEnd"/>
            <w:r w:rsidRPr="00E915AA">
              <w:rPr>
                <w:rFonts w:ascii="Times New Roman" w:eastAsia="Times New Roman" w:hAnsi="Times New Roman" w:cs="Times New Roman"/>
                <w:color w:val="000000"/>
                <w:sz w:val="20"/>
                <w:szCs w:val="20"/>
                <w:lang w:eastAsia="en-GB"/>
              </w:rPr>
              <w:t>, Paper, Com Printing</w:t>
            </w:r>
          </w:p>
        </w:tc>
        <w:tc>
          <w:tcPr>
            <w:tcW w:w="630" w:type="dxa"/>
            <w:tcBorders>
              <w:top w:val="nil"/>
              <w:left w:val="nil"/>
              <w:bottom w:val="nil"/>
              <w:right w:val="nil"/>
            </w:tcBorders>
            <w:shd w:val="clear" w:color="auto" w:fill="auto"/>
            <w:vAlign w:val="center"/>
            <w:hideMark/>
          </w:tcPr>
          <w:p w14:paraId="195940C0"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1015C17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w:t>
            </w:r>
          </w:p>
        </w:tc>
        <w:tc>
          <w:tcPr>
            <w:tcW w:w="450" w:type="dxa"/>
            <w:tcBorders>
              <w:top w:val="nil"/>
              <w:left w:val="nil"/>
              <w:bottom w:val="nil"/>
              <w:right w:val="nil"/>
            </w:tcBorders>
            <w:shd w:val="clear" w:color="auto" w:fill="auto"/>
            <w:vAlign w:val="center"/>
            <w:hideMark/>
          </w:tcPr>
          <w:p w14:paraId="2DABE985"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372A4D6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13</w:t>
            </w:r>
          </w:p>
        </w:tc>
        <w:tc>
          <w:tcPr>
            <w:tcW w:w="980" w:type="dxa"/>
            <w:tcBorders>
              <w:top w:val="nil"/>
              <w:left w:val="nil"/>
              <w:bottom w:val="nil"/>
              <w:right w:val="nil"/>
            </w:tcBorders>
            <w:shd w:val="clear" w:color="auto" w:fill="auto"/>
            <w:vAlign w:val="center"/>
            <w:hideMark/>
          </w:tcPr>
          <w:p w14:paraId="6CE7A00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0CF367A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1.63%</w:t>
            </w:r>
          </w:p>
        </w:tc>
      </w:tr>
      <w:tr w:rsidR="002C6719" w:rsidRPr="00E915AA" w14:paraId="2459F826" w14:textId="77777777" w:rsidTr="0073176B">
        <w:trPr>
          <w:trHeight w:val="528"/>
        </w:trPr>
        <w:tc>
          <w:tcPr>
            <w:tcW w:w="3420" w:type="dxa"/>
            <w:tcBorders>
              <w:top w:val="nil"/>
              <w:left w:val="nil"/>
              <w:bottom w:val="nil"/>
              <w:right w:val="nil"/>
            </w:tcBorders>
            <w:shd w:val="clear" w:color="auto" w:fill="auto"/>
            <w:vAlign w:val="center"/>
            <w:hideMark/>
          </w:tcPr>
          <w:p w14:paraId="3A80AFC5"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xml:space="preserve">Manufacturing - Machinery, Trucks, Planes, Off </w:t>
            </w:r>
            <w:proofErr w:type="spellStart"/>
            <w:r w:rsidRPr="00E915AA">
              <w:rPr>
                <w:rFonts w:ascii="Times New Roman" w:eastAsia="Times New Roman" w:hAnsi="Times New Roman" w:cs="Times New Roman"/>
                <w:color w:val="000000"/>
                <w:sz w:val="20"/>
                <w:szCs w:val="20"/>
                <w:lang w:eastAsia="en-GB"/>
              </w:rPr>
              <w:t>Furn</w:t>
            </w:r>
            <w:proofErr w:type="spellEnd"/>
            <w:r w:rsidRPr="00E915AA">
              <w:rPr>
                <w:rFonts w:ascii="Times New Roman" w:eastAsia="Times New Roman" w:hAnsi="Times New Roman" w:cs="Times New Roman"/>
                <w:color w:val="000000"/>
                <w:sz w:val="20"/>
                <w:szCs w:val="20"/>
                <w:lang w:eastAsia="en-GB"/>
              </w:rPr>
              <w:t>, Paper, Com Printing</w:t>
            </w:r>
          </w:p>
        </w:tc>
        <w:tc>
          <w:tcPr>
            <w:tcW w:w="630" w:type="dxa"/>
            <w:tcBorders>
              <w:top w:val="nil"/>
              <w:left w:val="nil"/>
              <w:bottom w:val="nil"/>
              <w:right w:val="nil"/>
            </w:tcBorders>
            <w:shd w:val="clear" w:color="auto" w:fill="auto"/>
            <w:vAlign w:val="center"/>
            <w:hideMark/>
          </w:tcPr>
          <w:p w14:paraId="75E3FC98"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465E3FD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w:t>
            </w:r>
          </w:p>
        </w:tc>
        <w:tc>
          <w:tcPr>
            <w:tcW w:w="450" w:type="dxa"/>
            <w:tcBorders>
              <w:top w:val="nil"/>
              <w:left w:val="nil"/>
              <w:bottom w:val="nil"/>
              <w:right w:val="nil"/>
            </w:tcBorders>
            <w:shd w:val="clear" w:color="auto" w:fill="auto"/>
            <w:vAlign w:val="center"/>
            <w:hideMark/>
          </w:tcPr>
          <w:p w14:paraId="28C4E9D0"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254A92F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45</w:t>
            </w:r>
          </w:p>
        </w:tc>
        <w:tc>
          <w:tcPr>
            <w:tcW w:w="980" w:type="dxa"/>
            <w:tcBorders>
              <w:top w:val="nil"/>
              <w:left w:val="nil"/>
              <w:bottom w:val="nil"/>
              <w:right w:val="nil"/>
            </w:tcBorders>
            <w:shd w:val="clear" w:color="auto" w:fill="auto"/>
            <w:vAlign w:val="center"/>
            <w:hideMark/>
          </w:tcPr>
          <w:p w14:paraId="38F44B9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0F03EAF8"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5.63%</w:t>
            </w:r>
          </w:p>
        </w:tc>
      </w:tr>
      <w:tr w:rsidR="002C6719" w:rsidRPr="00E915AA" w14:paraId="3DFBFCEF" w14:textId="77777777" w:rsidTr="0073176B">
        <w:trPr>
          <w:trHeight w:val="528"/>
        </w:trPr>
        <w:tc>
          <w:tcPr>
            <w:tcW w:w="3420" w:type="dxa"/>
            <w:tcBorders>
              <w:top w:val="nil"/>
              <w:left w:val="nil"/>
              <w:bottom w:val="nil"/>
              <w:right w:val="nil"/>
            </w:tcBorders>
            <w:shd w:val="clear" w:color="auto" w:fill="auto"/>
            <w:vAlign w:val="center"/>
            <w:hideMark/>
          </w:tcPr>
          <w:p w14:paraId="2A918B4B"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Energy Oil, Gas, and Coal Extraction and Products</w:t>
            </w:r>
          </w:p>
        </w:tc>
        <w:tc>
          <w:tcPr>
            <w:tcW w:w="630" w:type="dxa"/>
            <w:tcBorders>
              <w:top w:val="nil"/>
              <w:left w:val="nil"/>
              <w:bottom w:val="nil"/>
              <w:right w:val="nil"/>
            </w:tcBorders>
            <w:shd w:val="clear" w:color="auto" w:fill="auto"/>
            <w:vAlign w:val="center"/>
            <w:hideMark/>
          </w:tcPr>
          <w:p w14:paraId="2C998CA5"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19B56BF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w:t>
            </w:r>
          </w:p>
        </w:tc>
        <w:tc>
          <w:tcPr>
            <w:tcW w:w="450" w:type="dxa"/>
            <w:tcBorders>
              <w:top w:val="nil"/>
              <w:left w:val="nil"/>
              <w:bottom w:val="nil"/>
              <w:right w:val="nil"/>
            </w:tcBorders>
            <w:shd w:val="clear" w:color="auto" w:fill="auto"/>
            <w:vAlign w:val="center"/>
            <w:hideMark/>
          </w:tcPr>
          <w:p w14:paraId="5FFB83E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4F00E07B"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26</w:t>
            </w:r>
          </w:p>
        </w:tc>
        <w:tc>
          <w:tcPr>
            <w:tcW w:w="980" w:type="dxa"/>
            <w:tcBorders>
              <w:top w:val="nil"/>
              <w:left w:val="nil"/>
              <w:bottom w:val="nil"/>
              <w:right w:val="nil"/>
            </w:tcBorders>
            <w:shd w:val="clear" w:color="auto" w:fill="auto"/>
            <w:vAlign w:val="center"/>
            <w:hideMark/>
          </w:tcPr>
          <w:p w14:paraId="6FB0B02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68632128"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3.25%</w:t>
            </w:r>
          </w:p>
        </w:tc>
      </w:tr>
      <w:tr w:rsidR="002C6719" w:rsidRPr="00E915AA" w14:paraId="30A1E635" w14:textId="77777777" w:rsidTr="0073176B">
        <w:trPr>
          <w:trHeight w:val="264"/>
        </w:trPr>
        <w:tc>
          <w:tcPr>
            <w:tcW w:w="3420" w:type="dxa"/>
            <w:tcBorders>
              <w:top w:val="nil"/>
              <w:left w:val="nil"/>
              <w:bottom w:val="nil"/>
              <w:right w:val="nil"/>
            </w:tcBorders>
            <w:shd w:val="clear" w:color="auto" w:fill="auto"/>
            <w:vAlign w:val="center"/>
            <w:hideMark/>
          </w:tcPr>
          <w:p w14:paraId="07232AE7"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Chemicals and Allied Products</w:t>
            </w:r>
          </w:p>
        </w:tc>
        <w:tc>
          <w:tcPr>
            <w:tcW w:w="630" w:type="dxa"/>
            <w:tcBorders>
              <w:top w:val="nil"/>
              <w:left w:val="nil"/>
              <w:bottom w:val="nil"/>
              <w:right w:val="nil"/>
            </w:tcBorders>
            <w:shd w:val="clear" w:color="auto" w:fill="auto"/>
            <w:vAlign w:val="center"/>
            <w:hideMark/>
          </w:tcPr>
          <w:p w14:paraId="6B319DBB"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697D098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5</w:t>
            </w:r>
          </w:p>
        </w:tc>
        <w:tc>
          <w:tcPr>
            <w:tcW w:w="450" w:type="dxa"/>
            <w:tcBorders>
              <w:top w:val="nil"/>
              <w:left w:val="nil"/>
              <w:bottom w:val="nil"/>
              <w:right w:val="nil"/>
            </w:tcBorders>
            <w:shd w:val="clear" w:color="auto" w:fill="auto"/>
            <w:vAlign w:val="center"/>
            <w:hideMark/>
          </w:tcPr>
          <w:p w14:paraId="7CE2ED15"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28AE408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19</w:t>
            </w:r>
          </w:p>
        </w:tc>
        <w:tc>
          <w:tcPr>
            <w:tcW w:w="980" w:type="dxa"/>
            <w:tcBorders>
              <w:top w:val="nil"/>
              <w:left w:val="nil"/>
              <w:bottom w:val="nil"/>
              <w:right w:val="nil"/>
            </w:tcBorders>
            <w:shd w:val="clear" w:color="auto" w:fill="auto"/>
            <w:vAlign w:val="center"/>
            <w:hideMark/>
          </w:tcPr>
          <w:p w14:paraId="3FEF603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5D4B665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2.38%</w:t>
            </w:r>
          </w:p>
        </w:tc>
      </w:tr>
      <w:tr w:rsidR="002C6719" w:rsidRPr="00E915AA" w14:paraId="1FD20751" w14:textId="77777777" w:rsidTr="0073176B">
        <w:trPr>
          <w:trHeight w:val="528"/>
        </w:trPr>
        <w:tc>
          <w:tcPr>
            <w:tcW w:w="3420" w:type="dxa"/>
            <w:tcBorders>
              <w:top w:val="nil"/>
              <w:left w:val="nil"/>
              <w:bottom w:val="nil"/>
              <w:right w:val="nil"/>
            </w:tcBorders>
            <w:shd w:val="clear" w:color="auto" w:fill="auto"/>
            <w:vAlign w:val="center"/>
            <w:hideMark/>
          </w:tcPr>
          <w:p w14:paraId="4E09477C"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Business Equipment - Computers, Software, and Electronic Equipment</w:t>
            </w:r>
          </w:p>
        </w:tc>
        <w:tc>
          <w:tcPr>
            <w:tcW w:w="630" w:type="dxa"/>
            <w:tcBorders>
              <w:top w:val="nil"/>
              <w:left w:val="nil"/>
              <w:bottom w:val="nil"/>
              <w:right w:val="nil"/>
            </w:tcBorders>
            <w:shd w:val="clear" w:color="auto" w:fill="auto"/>
            <w:vAlign w:val="center"/>
            <w:hideMark/>
          </w:tcPr>
          <w:p w14:paraId="55083DC8"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3837046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6</w:t>
            </w:r>
          </w:p>
        </w:tc>
        <w:tc>
          <w:tcPr>
            <w:tcW w:w="450" w:type="dxa"/>
            <w:tcBorders>
              <w:top w:val="nil"/>
              <w:left w:val="nil"/>
              <w:bottom w:val="nil"/>
              <w:right w:val="nil"/>
            </w:tcBorders>
            <w:shd w:val="clear" w:color="auto" w:fill="auto"/>
            <w:vAlign w:val="center"/>
            <w:hideMark/>
          </w:tcPr>
          <w:p w14:paraId="31B1196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7228FF9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201</w:t>
            </w:r>
          </w:p>
        </w:tc>
        <w:tc>
          <w:tcPr>
            <w:tcW w:w="980" w:type="dxa"/>
            <w:tcBorders>
              <w:top w:val="nil"/>
              <w:left w:val="nil"/>
              <w:bottom w:val="nil"/>
              <w:right w:val="nil"/>
            </w:tcBorders>
            <w:shd w:val="clear" w:color="auto" w:fill="auto"/>
            <w:vAlign w:val="center"/>
            <w:hideMark/>
          </w:tcPr>
          <w:p w14:paraId="29E1A53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508BD75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25.16%</w:t>
            </w:r>
          </w:p>
        </w:tc>
      </w:tr>
      <w:tr w:rsidR="002C6719" w:rsidRPr="00E915AA" w14:paraId="58C6B477" w14:textId="77777777" w:rsidTr="0073176B">
        <w:trPr>
          <w:trHeight w:val="264"/>
        </w:trPr>
        <w:tc>
          <w:tcPr>
            <w:tcW w:w="3420" w:type="dxa"/>
            <w:tcBorders>
              <w:top w:val="nil"/>
              <w:left w:val="nil"/>
              <w:bottom w:val="nil"/>
              <w:right w:val="nil"/>
            </w:tcBorders>
            <w:shd w:val="clear" w:color="auto" w:fill="auto"/>
            <w:vAlign w:val="center"/>
            <w:hideMark/>
          </w:tcPr>
          <w:p w14:paraId="576F83EB"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Telephone and Television Transmission</w:t>
            </w:r>
          </w:p>
        </w:tc>
        <w:tc>
          <w:tcPr>
            <w:tcW w:w="630" w:type="dxa"/>
            <w:tcBorders>
              <w:top w:val="nil"/>
              <w:left w:val="nil"/>
              <w:bottom w:val="nil"/>
              <w:right w:val="nil"/>
            </w:tcBorders>
            <w:shd w:val="clear" w:color="auto" w:fill="auto"/>
            <w:vAlign w:val="center"/>
            <w:hideMark/>
          </w:tcPr>
          <w:p w14:paraId="6C24B1E0"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56C8C09B"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7</w:t>
            </w:r>
          </w:p>
        </w:tc>
        <w:tc>
          <w:tcPr>
            <w:tcW w:w="450" w:type="dxa"/>
            <w:tcBorders>
              <w:top w:val="nil"/>
              <w:left w:val="nil"/>
              <w:bottom w:val="nil"/>
              <w:right w:val="nil"/>
            </w:tcBorders>
            <w:shd w:val="clear" w:color="auto" w:fill="auto"/>
            <w:vAlign w:val="center"/>
            <w:hideMark/>
          </w:tcPr>
          <w:p w14:paraId="6E91D93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6C47FEA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13</w:t>
            </w:r>
          </w:p>
        </w:tc>
        <w:tc>
          <w:tcPr>
            <w:tcW w:w="980" w:type="dxa"/>
            <w:tcBorders>
              <w:top w:val="nil"/>
              <w:left w:val="nil"/>
              <w:bottom w:val="nil"/>
              <w:right w:val="nil"/>
            </w:tcBorders>
            <w:shd w:val="clear" w:color="auto" w:fill="auto"/>
            <w:vAlign w:val="center"/>
            <w:hideMark/>
          </w:tcPr>
          <w:p w14:paraId="21024D6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70611DF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1.63%</w:t>
            </w:r>
          </w:p>
        </w:tc>
      </w:tr>
      <w:tr w:rsidR="002C6719" w:rsidRPr="00E915AA" w14:paraId="384D1AA7" w14:textId="77777777" w:rsidTr="0073176B">
        <w:trPr>
          <w:trHeight w:val="264"/>
        </w:trPr>
        <w:tc>
          <w:tcPr>
            <w:tcW w:w="3420" w:type="dxa"/>
            <w:tcBorders>
              <w:top w:val="nil"/>
              <w:left w:val="nil"/>
              <w:bottom w:val="nil"/>
              <w:right w:val="nil"/>
            </w:tcBorders>
            <w:shd w:val="clear" w:color="auto" w:fill="auto"/>
            <w:vAlign w:val="center"/>
            <w:hideMark/>
          </w:tcPr>
          <w:p w14:paraId="5A061444"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Utilities</w:t>
            </w:r>
          </w:p>
        </w:tc>
        <w:tc>
          <w:tcPr>
            <w:tcW w:w="630" w:type="dxa"/>
            <w:tcBorders>
              <w:top w:val="nil"/>
              <w:left w:val="nil"/>
              <w:bottom w:val="nil"/>
              <w:right w:val="nil"/>
            </w:tcBorders>
            <w:shd w:val="clear" w:color="auto" w:fill="auto"/>
            <w:vAlign w:val="center"/>
            <w:hideMark/>
          </w:tcPr>
          <w:p w14:paraId="36446925"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79826E4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8</w:t>
            </w:r>
          </w:p>
        </w:tc>
        <w:tc>
          <w:tcPr>
            <w:tcW w:w="450" w:type="dxa"/>
            <w:tcBorders>
              <w:top w:val="nil"/>
              <w:left w:val="nil"/>
              <w:bottom w:val="nil"/>
              <w:right w:val="nil"/>
            </w:tcBorders>
            <w:shd w:val="clear" w:color="auto" w:fill="auto"/>
            <w:vAlign w:val="center"/>
            <w:hideMark/>
          </w:tcPr>
          <w:p w14:paraId="1BCCAE3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1643944D"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4</w:t>
            </w:r>
          </w:p>
        </w:tc>
        <w:tc>
          <w:tcPr>
            <w:tcW w:w="980" w:type="dxa"/>
            <w:tcBorders>
              <w:top w:val="nil"/>
              <w:left w:val="nil"/>
              <w:bottom w:val="nil"/>
              <w:right w:val="nil"/>
            </w:tcBorders>
            <w:shd w:val="clear" w:color="auto" w:fill="auto"/>
            <w:vAlign w:val="center"/>
            <w:hideMark/>
          </w:tcPr>
          <w:p w14:paraId="399D032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578F877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0.5%</w:t>
            </w:r>
          </w:p>
        </w:tc>
      </w:tr>
      <w:tr w:rsidR="002C6719" w:rsidRPr="00E915AA" w14:paraId="4DE2633B" w14:textId="77777777" w:rsidTr="0073176B">
        <w:trPr>
          <w:trHeight w:val="528"/>
        </w:trPr>
        <w:tc>
          <w:tcPr>
            <w:tcW w:w="3420" w:type="dxa"/>
            <w:tcBorders>
              <w:top w:val="nil"/>
              <w:left w:val="nil"/>
              <w:bottom w:val="nil"/>
              <w:right w:val="nil"/>
            </w:tcBorders>
            <w:shd w:val="clear" w:color="auto" w:fill="auto"/>
            <w:vAlign w:val="center"/>
            <w:hideMark/>
          </w:tcPr>
          <w:p w14:paraId="01044F84"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Wholesale, Retail, and Some Services (Laundries, Repair Shops)</w:t>
            </w:r>
          </w:p>
        </w:tc>
        <w:tc>
          <w:tcPr>
            <w:tcW w:w="630" w:type="dxa"/>
            <w:tcBorders>
              <w:top w:val="nil"/>
              <w:left w:val="nil"/>
              <w:bottom w:val="nil"/>
              <w:right w:val="nil"/>
            </w:tcBorders>
            <w:shd w:val="clear" w:color="auto" w:fill="auto"/>
            <w:vAlign w:val="center"/>
            <w:hideMark/>
          </w:tcPr>
          <w:p w14:paraId="1D6B1C13"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3120C35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9</w:t>
            </w:r>
          </w:p>
        </w:tc>
        <w:tc>
          <w:tcPr>
            <w:tcW w:w="450" w:type="dxa"/>
            <w:tcBorders>
              <w:top w:val="nil"/>
              <w:left w:val="nil"/>
              <w:bottom w:val="nil"/>
              <w:right w:val="nil"/>
            </w:tcBorders>
            <w:shd w:val="clear" w:color="auto" w:fill="auto"/>
            <w:vAlign w:val="center"/>
            <w:hideMark/>
          </w:tcPr>
          <w:p w14:paraId="50F1EB88"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6BE58E38"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68</w:t>
            </w:r>
          </w:p>
        </w:tc>
        <w:tc>
          <w:tcPr>
            <w:tcW w:w="980" w:type="dxa"/>
            <w:tcBorders>
              <w:top w:val="nil"/>
              <w:left w:val="nil"/>
              <w:bottom w:val="nil"/>
              <w:right w:val="nil"/>
            </w:tcBorders>
            <w:shd w:val="clear" w:color="auto" w:fill="auto"/>
            <w:vAlign w:val="center"/>
            <w:hideMark/>
          </w:tcPr>
          <w:p w14:paraId="608DD95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3CD837D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8.51%</w:t>
            </w:r>
          </w:p>
        </w:tc>
      </w:tr>
      <w:tr w:rsidR="002C6719" w:rsidRPr="00E915AA" w14:paraId="3317A3FF" w14:textId="77777777" w:rsidTr="0073176B">
        <w:trPr>
          <w:trHeight w:val="528"/>
        </w:trPr>
        <w:tc>
          <w:tcPr>
            <w:tcW w:w="3420" w:type="dxa"/>
            <w:tcBorders>
              <w:top w:val="nil"/>
              <w:left w:val="nil"/>
              <w:bottom w:val="nil"/>
              <w:right w:val="nil"/>
            </w:tcBorders>
            <w:shd w:val="clear" w:color="auto" w:fill="auto"/>
            <w:vAlign w:val="center"/>
            <w:hideMark/>
          </w:tcPr>
          <w:p w14:paraId="0105B683"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Healthcare, Medical Equipment, and Drugs</w:t>
            </w:r>
          </w:p>
        </w:tc>
        <w:tc>
          <w:tcPr>
            <w:tcW w:w="630" w:type="dxa"/>
            <w:tcBorders>
              <w:top w:val="nil"/>
              <w:left w:val="nil"/>
              <w:bottom w:val="nil"/>
              <w:right w:val="nil"/>
            </w:tcBorders>
            <w:shd w:val="clear" w:color="auto" w:fill="auto"/>
            <w:vAlign w:val="center"/>
            <w:hideMark/>
          </w:tcPr>
          <w:p w14:paraId="53377E87"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12FDF11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10</w:t>
            </w:r>
          </w:p>
        </w:tc>
        <w:tc>
          <w:tcPr>
            <w:tcW w:w="450" w:type="dxa"/>
            <w:tcBorders>
              <w:top w:val="nil"/>
              <w:left w:val="nil"/>
              <w:bottom w:val="nil"/>
              <w:right w:val="nil"/>
            </w:tcBorders>
            <w:shd w:val="clear" w:color="auto" w:fill="auto"/>
            <w:vAlign w:val="center"/>
            <w:hideMark/>
          </w:tcPr>
          <w:p w14:paraId="3315C6F5"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657E7E2B"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308</w:t>
            </w:r>
          </w:p>
        </w:tc>
        <w:tc>
          <w:tcPr>
            <w:tcW w:w="980" w:type="dxa"/>
            <w:tcBorders>
              <w:top w:val="nil"/>
              <w:left w:val="nil"/>
              <w:bottom w:val="nil"/>
              <w:right w:val="nil"/>
            </w:tcBorders>
            <w:shd w:val="clear" w:color="auto" w:fill="auto"/>
            <w:vAlign w:val="center"/>
            <w:hideMark/>
          </w:tcPr>
          <w:p w14:paraId="40BB174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6479E373"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38.55%</w:t>
            </w:r>
          </w:p>
        </w:tc>
      </w:tr>
      <w:tr w:rsidR="002C6719" w:rsidRPr="00E915AA" w14:paraId="24A594B7" w14:textId="77777777" w:rsidTr="0073176B">
        <w:trPr>
          <w:trHeight w:val="264"/>
        </w:trPr>
        <w:tc>
          <w:tcPr>
            <w:tcW w:w="3420" w:type="dxa"/>
            <w:tcBorders>
              <w:top w:val="nil"/>
              <w:left w:val="nil"/>
              <w:bottom w:val="nil"/>
              <w:right w:val="nil"/>
            </w:tcBorders>
            <w:shd w:val="clear" w:color="auto" w:fill="auto"/>
            <w:vAlign w:val="center"/>
            <w:hideMark/>
          </w:tcPr>
          <w:p w14:paraId="2CFB32B9"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Finance</w:t>
            </w:r>
          </w:p>
        </w:tc>
        <w:tc>
          <w:tcPr>
            <w:tcW w:w="630" w:type="dxa"/>
            <w:tcBorders>
              <w:top w:val="nil"/>
              <w:left w:val="nil"/>
              <w:bottom w:val="nil"/>
              <w:right w:val="nil"/>
            </w:tcBorders>
            <w:shd w:val="clear" w:color="auto" w:fill="auto"/>
            <w:vAlign w:val="center"/>
            <w:hideMark/>
          </w:tcPr>
          <w:p w14:paraId="3BD5A8D1"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0EBA29F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11</w:t>
            </w:r>
          </w:p>
        </w:tc>
        <w:tc>
          <w:tcPr>
            <w:tcW w:w="450" w:type="dxa"/>
            <w:tcBorders>
              <w:top w:val="nil"/>
              <w:left w:val="nil"/>
              <w:bottom w:val="nil"/>
              <w:right w:val="nil"/>
            </w:tcBorders>
            <w:shd w:val="clear" w:color="auto" w:fill="auto"/>
            <w:vAlign w:val="center"/>
            <w:hideMark/>
          </w:tcPr>
          <w:p w14:paraId="16E828D2"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6372B616"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0</w:t>
            </w:r>
          </w:p>
        </w:tc>
        <w:tc>
          <w:tcPr>
            <w:tcW w:w="980" w:type="dxa"/>
            <w:tcBorders>
              <w:top w:val="nil"/>
              <w:left w:val="nil"/>
              <w:bottom w:val="nil"/>
              <w:right w:val="nil"/>
            </w:tcBorders>
            <w:shd w:val="clear" w:color="auto" w:fill="auto"/>
            <w:vAlign w:val="center"/>
            <w:hideMark/>
          </w:tcPr>
          <w:p w14:paraId="42C053D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675E385F"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0%</w:t>
            </w:r>
          </w:p>
        </w:tc>
      </w:tr>
      <w:tr w:rsidR="002C6719" w:rsidRPr="00E915AA" w14:paraId="54ACF66B" w14:textId="77777777" w:rsidTr="0073176B">
        <w:trPr>
          <w:trHeight w:val="528"/>
        </w:trPr>
        <w:tc>
          <w:tcPr>
            <w:tcW w:w="3420" w:type="dxa"/>
            <w:tcBorders>
              <w:top w:val="nil"/>
              <w:left w:val="nil"/>
              <w:bottom w:val="nil"/>
              <w:right w:val="nil"/>
            </w:tcBorders>
            <w:shd w:val="clear" w:color="auto" w:fill="auto"/>
            <w:vAlign w:val="center"/>
            <w:hideMark/>
          </w:tcPr>
          <w:p w14:paraId="7F470226"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xml:space="preserve">Other -- Mines, </w:t>
            </w:r>
            <w:proofErr w:type="spellStart"/>
            <w:r w:rsidRPr="00E915AA">
              <w:rPr>
                <w:rFonts w:ascii="Times New Roman" w:eastAsia="Times New Roman" w:hAnsi="Times New Roman" w:cs="Times New Roman"/>
                <w:color w:val="000000"/>
                <w:sz w:val="20"/>
                <w:szCs w:val="20"/>
                <w:lang w:eastAsia="en-GB"/>
              </w:rPr>
              <w:t>Constr</w:t>
            </w:r>
            <w:proofErr w:type="spellEnd"/>
            <w:r w:rsidRPr="00E915AA">
              <w:rPr>
                <w:rFonts w:ascii="Times New Roman" w:eastAsia="Times New Roman" w:hAnsi="Times New Roman" w:cs="Times New Roman"/>
                <w:color w:val="000000"/>
                <w:sz w:val="20"/>
                <w:szCs w:val="20"/>
                <w:lang w:eastAsia="en-GB"/>
              </w:rPr>
              <w:t xml:space="preserve">, </w:t>
            </w:r>
            <w:proofErr w:type="spellStart"/>
            <w:r w:rsidRPr="00E915AA">
              <w:rPr>
                <w:rFonts w:ascii="Times New Roman" w:eastAsia="Times New Roman" w:hAnsi="Times New Roman" w:cs="Times New Roman"/>
                <w:color w:val="000000"/>
                <w:sz w:val="20"/>
                <w:szCs w:val="20"/>
                <w:lang w:eastAsia="en-GB"/>
              </w:rPr>
              <w:t>BldMt</w:t>
            </w:r>
            <w:proofErr w:type="spellEnd"/>
            <w:r w:rsidRPr="00E915AA">
              <w:rPr>
                <w:rFonts w:ascii="Times New Roman" w:eastAsia="Times New Roman" w:hAnsi="Times New Roman" w:cs="Times New Roman"/>
                <w:color w:val="000000"/>
                <w:sz w:val="20"/>
                <w:szCs w:val="20"/>
                <w:lang w:eastAsia="en-GB"/>
              </w:rPr>
              <w:t>, Trans, Hotels, Bus Serv, Entertainment</w:t>
            </w:r>
          </w:p>
        </w:tc>
        <w:tc>
          <w:tcPr>
            <w:tcW w:w="630" w:type="dxa"/>
            <w:tcBorders>
              <w:top w:val="nil"/>
              <w:left w:val="nil"/>
              <w:bottom w:val="nil"/>
              <w:right w:val="nil"/>
            </w:tcBorders>
            <w:shd w:val="clear" w:color="auto" w:fill="auto"/>
            <w:vAlign w:val="center"/>
            <w:hideMark/>
          </w:tcPr>
          <w:p w14:paraId="622A6B8E"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p>
        </w:tc>
        <w:tc>
          <w:tcPr>
            <w:tcW w:w="1530" w:type="dxa"/>
            <w:tcBorders>
              <w:top w:val="nil"/>
              <w:left w:val="nil"/>
              <w:bottom w:val="nil"/>
              <w:right w:val="nil"/>
            </w:tcBorders>
            <w:shd w:val="clear" w:color="auto" w:fill="auto"/>
            <w:vAlign w:val="center"/>
            <w:hideMark/>
          </w:tcPr>
          <w:p w14:paraId="106D1B4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12</w:t>
            </w:r>
          </w:p>
        </w:tc>
        <w:tc>
          <w:tcPr>
            <w:tcW w:w="450" w:type="dxa"/>
            <w:tcBorders>
              <w:top w:val="nil"/>
              <w:left w:val="nil"/>
              <w:bottom w:val="nil"/>
              <w:right w:val="nil"/>
            </w:tcBorders>
            <w:shd w:val="clear" w:color="auto" w:fill="auto"/>
            <w:vAlign w:val="center"/>
            <w:hideMark/>
          </w:tcPr>
          <w:p w14:paraId="44BB38F9"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80" w:type="dxa"/>
            <w:tcBorders>
              <w:top w:val="nil"/>
              <w:left w:val="nil"/>
              <w:bottom w:val="nil"/>
              <w:right w:val="nil"/>
            </w:tcBorders>
            <w:shd w:val="clear" w:color="auto" w:fill="auto"/>
            <w:vAlign w:val="center"/>
            <w:hideMark/>
          </w:tcPr>
          <w:p w14:paraId="5D857050"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85</w:t>
            </w:r>
          </w:p>
        </w:tc>
        <w:tc>
          <w:tcPr>
            <w:tcW w:w="980" w:type="dxa"/>
            <w:tcBorders>
              <w:top w:val="nil"/>
              <w:left w:val="nil"/>
              <w:bottom w:val="nil"/>
              <w:right w:val="nil"/>
            </w:tcBorders>
            <w:shd w:val="clear" w:color="auto" w:fill="auto"/>
            <w:vAlign w:val="center"/>
            <w:hideMark/>
          </w:tcPr>
          <w:p w14:paraId="63328E5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p>
        </w:tc>
        <w:tc>
          <w:tcPr>
            <w:tcW w:w="1000" w:type="dxa"/>
            <w:tcBorders>
              <w:top w:val="nil"/>
              <w:left w:val="nil"/>
              <w:bottom w:val="nil"/>
              <w:right w:val="nil"/>
            </w:tcBorders>
            <w:shd w:val="clear" w:color="auto" w:fill="auto"/>
            <w:vAlign w:val="center"/>
            <w:hideMark/>
          </w:tcPr>
          <w:p w14:paraId="258AB0C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10.64%</w:t>
            </w:r>
          </w:p>
        </w:tc>
      </w:tr>
      <w:tr w:rsidR="002C6719" w:rsidRPr="00E915AA" w14:paraId="6C0E278F" w14:textId="77777777" w:rsidTr="0073176B">
        <w:trPr>
          <w:trHeight w:val="264"/>
        </w:trPr>
        <w:tc>
          <w:tcPr>
            <w:tcW w:w="3420" w:type="dxa"/>
            <w:tcBorders>
              <w:top w:val="nil"/>
              <w:left w:val="nil"/>
              <w:bottom w:val="single" w:sz="4" w:space="0" w:color="auto"/>
              <w:right w:val="nil"/>
            </w:tcBorders>
            <w:shd w:val="clear" w:color="auto" w:fill="auto"/>
            <w:vAlign w:val="center"/>
            <w:hideMark/>
          </w:tcPr>
          <w:p w14:paraId="0A765A30" w14:textId="77777777" w:rsidR="002C6719" w:rsidRPr="00E915AA" w:rsidRDefault="002C6719" w:rsidP="0073176B">
            <w:pPr>
              <w:spacing w:after="0" w:line="240" w:lineRule="auto"/>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Total</w:t>
            </w:r>
          </w:p>
        </w:tc>
        <w:tc>
          <w:tcPr>
            <w:tcW w:w="630" w:type="dxa"/>
            <w:tcBorders>
              <w:top w:val="nil"/>
              <w:left w:val="nil"/>
              <w:bottom w:val="single" w:sz="4" w:space="0" w:color="auto"/>
              <w:right w:val="nil"/>
            </w:tcBorders>
            <w:shd w:val="clear" w:color="auto" w:fill="auto"/>
            <w:vAlign w:val="center"/>
            <w:hideMark/>
          </w:tcPr>
          <w:p w14:paraId="796EABD1"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1530" w:type="dxa"/>
            <w:tcBorders>
              <w:top w:val="nil"/>
              <w:left w:val="nil"/>
              <w:bottom w:val="single" w:sz="4" w:space="0" w:color="auto"/>
              <w:right w:val="nil"/>
            </w:tcBorders>
            <w:shd w:val="clear" w:color="auto" w:fill="auto"/>
            <w:vAlign w:val="center"/>
            <w:hideMark/>
          </w:tcPr>
          <w:p w14:paraId="25C25C9A"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450" w:type="dxa"/>
            <w:tcBorders>
              <w:top w:val="nil"/>
              <w:left w:val="nil"/>
              <w:bottom w:val="single" w:sz="4" w:space="0" w:color="auto"/>
              <w:right w:val="nil"/>
            </w:tcBorders>
            <w:shd w:val="clear" w:color="auto" w:fill="auto"/>
            <w:vAlign w:val="center"/>
            <w:hideMark/>
          </w:tcPr>
          <w:p w14:paraId="2C67342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1080" w:type="dxa"/>
            <w:tcBorders>
              <w:top w:val="nil"/>
              <w:left w:val="nil"/>
              <w:bottom w:val="single" w:sz="4" w:space="0" w:color="auto"/>
              <w:right w:val="nil"/>
            </w:tcBorders>
            <w:shd w:val="clear" w:color="auto" w:fill="auto"/>
            <w:vAlign w:val="center"/>
            <w:hideMark/>
          </w:tcPr>
          <w:p w14:paraId="0E49469E"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799</w:t>
            </w:r>
          </w:p>
        </w:tc>
        <w:tc>
          <w:tcPr>
            <w:tcW w:w="980" w:type="dxa"/>
            <w:tcBorders>
              <w:top w:val="nil"/>
              <w:left w:val="nil"/>
              <w:bottom w:val="single" w:sz="4" w:space="0" w:color="auto"/>
              <w:right w:val="nil"/>
            </w:tcBorders>
            <w:shd w:val="clear" w:color="auto" w:fill="auto"/>
            <w:vAlign w:val="center"/>
            <w:hideMark/>
          </w:tcPr>
          <w:p w14:paraId="2C26CB94"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w:t>
            </w:r>
          </w:p>
        </w:tc>
        <w:tc>
          <w:tcPr>
            <w:tcW w:w="1000" w:type="dxa"/>
            <w:tcBorders>
              <w:top w:val="nil"/>
              <w:left w:val="nil"/>
              <w:bottom w:val="nil"/>
              <w:right w:val="nil"/>
            </w:tcBorders>
            <w:shd w:val="clear" w:color="auto" w:fill="auto"/>
            <w:vAlign w:val="center"/>
            <w:hideMark/>
          </w:tcPr>
          <w:p w14:paraId="675CBEBC" w14:textId="77777777" w:rsidR="002C6719" w:rsidRPr="00E915AA" w:rsidRDefault="002C6719" w:rsidP="0073176B">
            <w:pPr>
              <w:spacing w:after="0" w:line="240" w:lineRule="auto"/>
              <w:jc w:val="center"/>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100%</w:t>
            </w:r>
          </w:p>
        </w:tc>
      </w:tr>
      <w:tr w:rsidR="002C6719" w:rsidRPr="00E915AA" w14:paraId="719A4F56" w14:textId="77777777" w:rsidTr="0073176B">
        <w:trPr>
          <w:trHeight w:val="600"/>
        </w:trPr>
        <w:tc>
          <w:tcPr>
            <w:tcW w:w="9090" w:type="dxa"/>
            <w:gridSpan w:val="7"/>
            <w:tcBorders>
              <w:top w:val="single" w:sz="4" w:space="0" w:color="auto"/>
              <w:left w:val="nil"/>
              <w:bottom w:val="nil"/>
              <w:right w:val="nil"/>
            </w:tcBorders>
            <w:shd w:val="clear" w:color="auto" w:fill="auto"/>
            <w:vAlign w:val="center"/>
            <w:hideMark/>
          </w:tcPr>
          <w:p w14:paraId="76107D0D" w14:textId="77777777" w:rsidR="002C6719" w:rsidRPr="00E915AA" w:rsidRDefault="002C6719" w:rsidP="0073176B">
            <w:pPr>
              <w:spacing w:after="0" w:line="240" w:lineRule="auto"/>
              <w:jc w:val="both"/>
              <w:rPr>
                <w:rFonts w:ascii="Times New Roman" w:eastAsia="Times New Roman" w:hAnsi="Times New Roman" w:cs="Times New Roman"/>
                <w:color w:val="000000"/>
                <w:sz w:val="20"/>
                <w:szCs w:val="20"/>
                <w:lang w:eastAsia="en-GB"/>
              </w:rPr>
            </w:pPr>
            <w:r w:rsidRPr="00E915AA">
              <w:rPr>
                <w:rFonts w:ascii="Times New Roman" w:eastAsia="Times New Roman" w:hAnsi="Times New Roman" w:cs="Times New Roman"/>
                <w:color w:val="000000"/>
                <w:sz w:val="20"/>
                <w:szCs w:val="20"/>
                <w:lang w:eastAsia="en-GB"/>
              </w:rPr>
              <w:t xml:space="preserve">This table presents the sample distribution for the full sample of IPOs conducted between May 2005 and December 2017. This table reports the sample distribution by S-1 filing year in Panel A, and by </w:t>
            </w:r>
            <w:proofErr w:type="spellStart"/>
            <w:r w:rsidRPr="00E915AA">
              <w:rPr>
                <w:rFonts w:ascii="Times New Roman" w:eastAsia="Times New Roman" w:hAnsi="Times New Roman" w:cs="Times New Roman"/>
                <w:color w:val="000000"/>
                <w:sz w:val="20"/>
                <w:szCs w:val="20"/>
                <w:lang w:eastAsia="en-GB"/>
              </w:rPr>
              <w:t>Fama</w:t>
            </w:r>
            <w:proofErr w:type="spellEnd"/>
            <w:r w:rsidRPr="00E915AA">
              <w:rPr>
                <w:rFonts w:ascii="Times New Roman" w:eastAsia="Times New Roman" w:hAnsi="Times New Roman" w:cs="Times New Roman"/>
                <w:color w:val="000000"/>
                <w:sz w:val="20"/>
                <w:szCs w:val="20"/>
                <w:lang w:eastAsia="en-GB"/>
              </w:rPr>
              <w:t>-French 12 industry classifications in Panel B.</w:t>
            </w:r>
          </w:p>
        </w:tc>
      </w:tr>
    </w:tbl>
    <w:p w14:paraId="47E27A92" w14:textId="77777777" w:rsidR="002C6719" w:rsidRPr="00E915AA" w:rsidRDefault="002C6719" w:rsidP="002C6719">
      <w:pPr>
        <w:spacing w:before="240" w:line="360" w:lineRule="auto"/>
        <w:jc w:val="both"/>
        <w:rPr>
          <w:rFonts w:ascii="Times New Roman" w:eastAsia="Calibri" w:hAnsi="Times New Roman" w:cs="Times New Roman"/>
          <w:sz w:val="24"/>
          <w:szCs w:val="24"/>
          <w:lang w:val="en-GB"/>
        </w:rPr>
        <w:sectPr w:rsidR="002C6719" w:rsidRPr="00E915AA" w:rsidSect="0073176B">
          <w:pgSz w:w="11906" w:h="16838"/>
          <w:pgMar w:top="1440" w:right="1440" w:bottom="1440" w:left="1440" w:header="708" w:footer="708" w:gutter="0"/>
          <w:cols w:space="708"/>
          <w:docGrid w:linePitch="360"/>
        </w:sectPr>
      </w:pPr>
    </w:p>
    <w:p w14:paraId="56851545" w14:textId="77777777" w:rsidR="002C6719" w:rsidRPr="00E915AA" w:rsidRDefault="002C6719" w:rsidP="002C6719">
      <w:pPr>
        <w:keepNext/>
        <w:spacing w:before="240" w:after="240" w:line="360" w:lineRule="auto"/>
        <w:rPr>
          <w:rFonts w:ascii="Times New Roman" w:eastAsia="Calibri" w:hAnsi="Times New Roman" w:cs="Times New Roman"/>
          <w:b/>
          <w:iCs/>
          <w:color w:val="000000"/>
          <w:sz w:val="20"/>
          <w:szCs w:val="18"/>
          <w:lang w:val="en-GB" w:eastAsia="en-GB"/>
        </w:rPr>
      </w:pPr>
      <w:r w:rsidRPr="00E915AA">
        <w:rPr>
          <w:rFonts w:ascii="Times New Roman" w:eastAsia="Calibri" w:hAnsi="Times New Roman" w:cs="Times New Roman"/>
          <w:b/>
          <w:iCs/>
          <w:color w:val="000000"/>
          <w:sz w:val="20"/>
          <w:szCs w:val="18"/>
          <w:lang w:val="en-GB" w:eastAsia="en-GB"/>
        </w:rPr>
        <w:lastRenderedPageBreak/>
        <w:t>Table 3. Descriptive statistics</w:t>
      </w:r>
    </w:p>
    <w:tbl>
      <w:tblPr>
        <w:tblW w:w="14012" w:type="dxa"/>
        <w:tblLook w:val="04A0" w:firstRow="1" w:lastRow="0" w:firstColumn="1" w:lastColumn="0" w:noHBand="0" w:noVBand="1"/>
      </w:tblPr>
      <w:tblGrid>
        <w:gridCol w:w="2127"/>
        <w:gridCol w:w="513"/>
        <w:gridCol w:w="501"/>
        <w:gridCol w:w="261"/>
        <w:gridCol w:w="1134"/>
        <w:gridCol w:w="261"/>
        <w:gridCol w:w="668"/>
        <w:gridCol w:w="261"/>
        <w:gridCol w:w="937"/>
        <w:gridCol w:w="261"/>
        <w:gridCol w:w="573"/>
        <w:gridCol w:w="261"/>
        <w:gridCol w:w="747"/>
        <w:gridCol w:w="261"/>
        <w:gridCol w:w="501"/>
        <w:gridCol w:w="261"/>
        <w:gridCol w:w="948"/>
        <w:gridCol w:w="261"/>
        <w:gridCol w:w="501"/>
        <w:gridCol w:w="261"/>
        <w:gridCol w:w="948"/>
        <w:gridCol w:w="261"/>
        <w:gridCol w:w="1304"/>
      </w:tblGrid>
      <w:tr w:rsidR="002C6719" w:rsidRPr="00E915AA" w14:paraId="3E7B1A4A" w14:textId="77777777" w:rsidTr="0073176B">
        <w:trPr>
          <w:trHeight w:val="240"/>
        </w:trPr>
        <w:tc>
          <w:tcPr>
            <w:tcW w:w="14012" w:type="dxa"/>
            <w:gridSpan w:val="23"/>
            <w:tcBorders>
              <w:top w:val="nil"/>
              <w:left w:val="nil"/>
              <w:bottom w:val="single" w:sz="4" w:space="0" w:color="auto"/>
              <w:right w:val="nil"/>
            </w:tcBorders>
            <w:shd w:val="clear" w:color="auto" w:fill="auto"/>
            <w:noWrap/>
            <w:vAlign w:val="bottom"/>
            <w:hideMark/>
          </w:tcPr>
          <w:p w14:paraId="4A8DD6ED"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p>
        </w:tc>
      </w:tr>
      <w:tr w:rsidR="002C6719" w:rsidRPr="00E915AA" w14:paraId="562092B7" w14:textId="77777777" w:rsidTr="0073176B">
        <w:trPr>
          <w:trHeight w:val="390"/>
        </w:trPr>
        <w:tc>
          <w:tcPr>
            <w:tcW w:w="14012" w:type="dxa"/>
            <w:gridSpan w:val="23"/>
            <w:tcBorders>
              <w:top w:val="nil"/>
              <w:left w:val="nil"/>
              <w:bottom w:val="single" w:sz="4" w:space="0" w:color="auto"/>
              <w:right w:val="nil"/>
            </w:tcBorders>
            <w:shd w:val="clear" w:color="auto" w:fill="auto"/>
            <w:noWrap/>
            <w:vAlign w:val="bottom"/>
            <w:hideMark/>
          </w:tcPr>
          <w:p w14:paraId="13AC5AB5"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r w:rsidRPr="00E915AA">
              <w:rPr>
                <w:rFonts w:ascii="Times New Roman" w:eastAsia="Times New Roman" w:hAnsi="Times New Roman" w:cs="Times New Roman"/>
                <w:b/>
                <w:bCs/>
                <w:color w:val="000000"/>
                <w:sz w:val="18"/>
                <w:szCs w:val="18"/>
                <w:lang w:eastAsia="en-GB"/>
              </w:rPr>
              <w:t xml:space="preserve">Panel A. SEC review attributes </w:t>
            </w:r>
          </w:p>
        </w:tc>
      </w:tr>
      <w:tr w:rsidR="002C6719" w:rsidRPr="00E915AA" w14:paraId="3293457F" w14:textId="77777777" w:rsidTr="0073176B">
        <w:trPr>
          <w:trHeight w:val="360"/>
        </w:trPr>
        <w:tc>
          <w:tcPr>
            <w:tcW w:w="2127" w:type="dxa"/>
            <w:tcBorders>
              <w:top w:val="nil"/>
              <w:left w:val="nil"/>
              <w:bottom w:val="nil"/>
              <w:right w:val="nil"/>
            </w:tcBorders>
            <w:shd w:val="clear" w:color="auto" w:fill="auto"/>
            <w:noWrap/>
            <w:vAlign w:val="bottom"/>
            <w:hideMark/>
          </w:tcPr>
          <w:p w14:paraId="3AA962D4"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p>
        </w:tc>
        <w:tc>
          <w:tcPr>
            <w:tcW w:w="6378" w:type="dxa"/>
            <w:gridSpan w:val="12"/>
            <w:tcBorders>
              <w:top w:val="single" w:sz="4" w:space="0" w:color="auto"/>
              <w:left w:val="nil"/>
              <w:bottom w:val="single" w:sz="4" w:space="0" w:color="auto"/>
              <w:right w:val="nil"/>
            </w:tcBorders>
            <w:shd w:val="clear" w:color="auto" w:fill="auto"/>
            <w:noWrap/>
            <w:vAlign w:val="bottom"/>
            <w:hideMark/>
          </w:tcPr>
          <w:p w14:paraId="0F412B8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All IPOs</w:t>
            </w:r>
          </w:p>
        </w:tc>
        <w:tc>
          <w:tcPr>
            <w:tcW w:w="261" w:type="dxa"/>
            <w:tcBorders>
              <w:top w:val="nil"/>
              <w:left w:val="nil"/>
              <w:bottom w:val="nil"/>
              <w:right w:val="nil"/>
            </w:tcBorders>
            <w:shd w:val="clear" w:color="auto" w:fill="auto"/>
            <w:noWrap/>
            <w:vAlign w:val="bottom"/>
            <w:hideMark/>
          </w:tcPr>
          <w:p w14:paraId="522F524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7C733F48"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6C4FABC8"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477E16F6"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4B43A638"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7D4C9DCA"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7F4E3A5A"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77218527"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5BFE301D"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4188A79F"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r>
      <w:tr w:rsidR="002C6719" w:rsidRPr="00E915AA" w14:paraId="5027560B" w14:textId="77777777" w:rsidTr="0073176B">
        <w:trPr>
          <w:trHeight w:val="240"/>
        </w:trPr>
        <w:tc>
          <w:tcPr>
            <w:tcW w:w="2127" w:type="dxa"/>
            <w:tcBorders>
              <w:top w:val="nil"/>
              <w:left w:val="nil"/>
              <w:bottom w:val="nil"/>
              <w:right w:val="nil"/>
            </w:tcBorders>
            <w:shd w:val="clear" w:color="auto" w:fill="auto"/>
            <w:noWrap/>
            <w:vAlign w:val="bottom"/>
            <w:hideMark/>
          </w:tcPr>
          <w:p w14:paraId="56DDDE98"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c>
          <w:tcPr>
            <w:tcW w:w="513" w:type="dxa"/>
            <w:tcBorders>
              <w:top w:val="nil"/>
              <w:left w:val="nil"/>
              <w:bottom w:val="nil"/>
              <w:right w:val="nil"/>
            </w:tcBorders>
            <w:shd w:val="clear" w:color="auto" w:fill="auto"/>
            <w:noWrap/>
            <w:vAlign w:val="bottom"/>
            <w:hideMark/>
          </w:tcPr>
          <w:p w14:paraId="18B155AC"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single" w:sz="4" w:space="0" w:color="auto"/>
              <w:right w:val="nil"/>
            </w:tcBorders>
            <w:shd w:val="clear" w:color="auto" w:fill="auto"/>
            <w:noWrap/>
            <w:vAlign w:val="bottom"/>
            <w:hideMark/>
          </w:tcPr>
          <w:p w14:paraId="663062E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261" w:type="dxa"/>
            <w:tcBorders>
              <w:top w:val="nil"/>
              <w:left w:val="nil"/>
              <w:bottom w:val="nil"/>
              <w:right w:val="nil"/>
            </w:tcBorders>
            <w:shd w:val="clear" w:color="auto" w:fill="auto"/>
            <w:noWrap/>
            <w:vAlign w:val="bottom"/>
            <w:hideMark/>
          </w:tcPr>
          <w:p w14:paraId="694F1354"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134" w:type="dxa"/>
            <w:tcBorders>
              <w:top w:val="nil"/>
              <w:left w:val="nil"/>
              <w:bottom w:val="single" w:sz="4" w:space="0" w:color="auto"/>
              <w:right w:val="nil"/>
            </w:tcBorders>
            <w:shd w:val="clear" w:color="auto" w:fill="auto"/>
            <w:noWrap/>
            <w:vAlign w:val="bottom"/>
            <w:hideMark/>
          </w:tcPr>
          <w:p w14:paraId="19A56E6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261" w:type="dxa"/>
            <w:tcBorders>
              <w:top w:val="nil"/>
              <w:left w:val="nil"/>
              <w:bottom w:val="nil"/>
              <w:right w:val="nil"/>
            </w:tcBorders>
            <w:shd w:val="clear" w:color="auto" w:fill="auto"/>
            <w:noWrap/>
            <w:vAlign w:val="bottom"/>
            <w:hideMark/>
          </w:tcPr>
          <w:p w14:paraId="7A8A67E5"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668" w:type="dxa"/>
            <w:tcBorders>
              <w:top w:val="nil"/>
              <w:left w:val="nil"/>
              <w:bottom w:val="single" w:sz="4" w:space="0" w:color="auto"/>
              <w:right w:val="nil"/>
            </w:tcBorders>
            <w:shd w:val="clear" w:color="auto" w:fill="auto"/>
            <w:noWrap/>
            <w:vAlign w:val="bottom"/>
            <w:hideMark/>
          </w:tcPr>
          <w:p w14:paraId="2AC0B8A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p25</w:t>
            </w:r>
          </w:p>
        </w:tc>
        <w:tc>
          <w:tcPr>
            <w:tcW w:w="261" w:type="dxa"/>
            <w:tcBorders>
              <w:top w:val="nil"/>
              <w:left w:val="nil"/>
              <w:bottom w:val="nil"/>
              <w:right w:val="nil"/>
            </w:tcBorders>
            <w:shd w:val="clear" w:color="auto" w:fill="auto"/>
            <w:noWrap/>
            <w:vAlign w:val="bottom"/>
            <w:hideMark/>
          </w:tcPr>
          <w:p w14:paraId="3E7886E8"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37" w:type="dxa"/>
            <w:tcBorders>
              <w:top w:val="nil"/>
              <w:left w:val="nil"/>
              <w:bottom w:val="single" w:sz="4" w:space="0" w:color="auto"/>
              <w:right w:val="nil"/>
            </w:tcBorders>
            <w:shd w:val="clear" w:color="auto" w:fill="auto"/>
            <w:noWrap/>
            <w:vAlign w:val="bottom"/>
            <w:hideMark/>
          </w:tcPr>
          <w:p w14:paraId="30DC3A83"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p50</w:t>
            </w:r>
          </w:p>
        </w:tc>
        <w:tc>
          <w:tcPr>
            <w:tcW w:w="261" w:type="dxa"/>
            <w:tcBorders>
              <w:top w:val="nil"/>
              <w:left w:val="nil"/>
              <w:bottom w:val="nil"/>
              <w:right w:val="nil"/>
            </w:tcBorders>
            <w:shd w:val="clear" w:color="auto" w:fill="auto"/>
            <w:noWrap/>
            <w:vAlign w:val="bottom"/>
            <w:hideMark/>
          </w:tcPr>
          <w:p w14:paraId="0BBD9154"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73" w:type="dxa"/>
            <w:tcBorders>
              <w:top w:val="nil"/>
              <w:left w:val="nil"/>
              <w:bottom w:val="single" w:sz="4" w:space="0" w:color="auto"/>
              <w:right w:val="nil"/>
            </w:tcBorders>
            <w:shd w:val="clear" w:color="auto" w:fill="auto"/>
            <w:noWrap/>
            <w:vAlign w:val="bottom"/>
            <w:hideMark/>
          </w:tcPr>
          <w:p w14:paraId="027CFFE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p75</w:t>
            </w:r>
          </w:p>
        </w:tc>
        <w:tc>
          <w:tcPr>
            <w:tcW w:w="261" w:type="dxa"/>
            <w:tcBorders>
              <w:top w:val="nil"/>
              <w:left w:val="nil"/>
              <w:bottom w:val="nil"/>
              <w:right w:val="nil"/>
            </w:tcBorders>
            <w:shd w:val="clear" w:color="auto" w:fill="auto"/>
            <w:noWrap/>
            <w:vAlign w:val="bottom"/>
            <w:hideMark/>
          </w:tcPr>
          <w:p w14:paraId="1072508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747" w:type="dxa"/>
            <w:tcBorders>
              <w:top w:val="nil"/>
              <w:left w:val="nil"/>
              <w:bottom w:val="single" w:sz="4" w:space="0" w:color="auto"/>
              <w:right w:val="nil"/>
            </w:tcBorders>
            <w:shd w:val="clear" w:color="auto" w:fill="auto"/>
            <w:noWrap/>
            <w:vAlign w:val="bottom"/>
            <w:hideMark/>
          </w:tcPr>
          <w:p w14:paraId="0C89394C"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roofErr w:type="spellStart"/>
            <w:r w:rsidRPr="00E915AA">
              <w:rPr>
                <w:rFonts w:ascii="Times New Roman" w:eastAsia="Times New Roman" w:hAnsi="Times New Roman" w:cs="Times New Roman"/>
                <w:i/>
                <w:iCs/>
                <w:color w:val="000000"/>
                <w:sz w:val="18"/>
                <w:szCs w:val="18"/>
                <w:lang w:eastAsia="en-GB"/>
              </w:rPr>
              <w:t>sd</w:t>
            </w:r>
            <w:proofErr w:type="spellEnd"/>
          </w:p>
        </w:tc>
        <w:tc>
          <w:tcPr>
            <w:tcW w:w="261" w:type="dxa"/>
            <w:tcBorders>
              <w:top w:val="nil"/>
              <w:left w:val="nil"/>
              <w:bottom w:val="nil"/>
              <w:right w:val="nil"/>
            </w:tcBorders>
            <w:shd w:val="clear" w:color="auto" w:fill="auto"/>
            <w:noWrap/>
            <w:vAlign w:val="bottom"/>
            <w:hideMark/>
          </w:tcPr>
          <w:p w14:paraId="0767DDB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36B0BB46"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350D3C7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57D507AE"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2947A60"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35277863"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46423AB1"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75D27223"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571A0C0"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1330BF4B"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09B5E22B" w14:textId="77777777" w:rsidTr="0073176B">
        <w:trPr>
          <w:trHeight w:val="240"/>
        </w:trPr>
        <w:tc>
          <w:tcPr>
            <w:tcW w:w="2127" w:type="dxa"/>
            <w:tcBorders>
              <w:top w:val="nil"/>
              <w:left w:val="nil"/>
              <w:bottom w:val="nil"/>
              <w:right w:val="nil"/>
            </w:tcBorders>
            <w:shd w:val="clear" w:color="auto" w:fill="auto"/>
            <w:noWrap/>
            <w:vAlign w:val="bottom"/>
            <w:hideMark/>
          </w:tcPr>
          <w:p w14:paraId="101CCDD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Duration</w:t>
            </w:r>
          </w:p>
        </w:tc>
        <w:tc>
          <w:tcPr>
            <w:tcW w:w="513" w:type="dxa"/>
            <w:tcBorders>
              <w:top w:val="nil"/>
              <w:left w:val="nil"/>
              <w:bottom w:val="nil"/>
              <w:right w:val="nil"/>
            </w:tcBorders>
            <w:shd w:val="clear" w:color="auto" w:fill="auto"/>
            <w:noWrap/>
            <w:vAlign w:val="bottom"/>
            <w:hideMark/>
          </w:tcPr>
          <w:p w14:paraId="3C12B0BD"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34131C8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261" w:type="dxa"/>
            <w:tcBorders>
              <w:top w:val="nil"/>
              <w:left w:val="nil"/>
              <w:bottom w:val="nil"/>
              <w:right w:val="nil"/>
            </w:tcBorders>
            <w:shd w:val="clear" w:color="auto" w:fill="auto"/>
            <w:noWrap/>
            <w:vAlign w:val="bottom"/>
            <w:hideMark/>
          </w:tcPr>
          <w:p w14:paraId="5C392C2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18606D6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111.24***</w:t>
            </w:r>
          </w:p>
        </w:tc>
        <w:tc>
          <w:tcPr>
            <w:tcW w:w="261" w:type="dxa"/>
            <w:tcBorders>
              <w:top w:val="nil"/>
              <w:left w:val="nil"/>
              <w:bottom w:val="nil"/>
              <w:right w:val="nil"/>
            </w:tcBorders>
            <w:shd w:val="clear" w:color="auto" w:fill="auto"/>
            <w:noWrap/>
            <w:vAlign w:val="bottom"/>
            <w:hideMark/>
          </w:tcPr>
          <w:p w14:paraId="4650CA1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2466133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37</w:t>
            </w:r>
          </w:p>
        </w:tc>
        <w:tc>
          <w:tcPr>
            <w:tcW w:w="261" w:type="dxa"/>
            <w:tcBorders>
              <w:top w:val="nil"/>
              <w:left w:val="nil"/>
              <w:bottom w:val="nil"/>
              <w:right w:val="nil"/>
            </w:tcBorders>
            <w:shd w:val="clear" w:color="auto" w:fill="auto"/>
            <w:noWrap/>
            <w:vAlign w:val="bottom"/>
            <w:hideMark/>
          </w:tcPr>
          <w:p w14:paraId="7AFB578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1758D0C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88***</w:t>
            </w:r>
          </w:p>
        </w:tc>
        <w:tc>
          <w:tcPr>
            <w:tcW w:w="261" w:type="dxa"/>
            <w:tcBorders>
              <w:top w:val="nil"/>
              <w:left w:val="nil"/>
              <w:bottom w:val="nil"/>
              <w:right w:val="nil"/>
            </w:tcBorders>
            <w:shd w:val="clear" w:color="auto" w:fill="auto"/>
            <w:noWrap/>
            <w:vAlign w:val="bottom"/>
            <w:hideMark/>
          </w:tcPr>
          <w:p w14:paraId="454D03F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369E90C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124</w:t>
            </w:r>
          </w:p>
        </w:tc>
        <w:tc>
          <w:tcPr>
            <w:tcW w:w="261" w:type="dxa"/>
            <w:tcBorders>
              <w:top w:val="nil"/>
              <w:left w:val="nil"/>
              <w:bottom w:val="nil"/>
              <w:right w:val="nil"/>
            </w:tcBorders>
            <w:shd w:val="clear" w:color="auto" w:fill="auto"/>
            <w:noWrap/>
            <w:vAlign w:val="bottom"/>
            <w:hideMark/>
          </w:tcPr>
          <w:p w14:paraId="7C25A91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4BD3CB8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121.76</w:t>
            </w:r>
          </w:p>
        </w:tc>
        <w:tc>
          <w:tcPr>
            <w:tcW w:w="261" w:type="dxa"/>
            <w:tcBorders>
              <w:top w:val="nil"/>
              <w:left w:val="nil"/>
              <w:bottom w:val="nil"/>
              <w:right w:val="nil"/>
            </w:tcBorders>
            <w:shd w:val="clear" w:color="auto" w:fill="auto"/>
            <w:noWrap/>
            <w:vAlign w:val="bottom"/>
            <w:hideMark/>
          </w:tcPr>
          <w:p w14:paraId="1734495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4BEF8BFD"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3FDA57E1"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366A2CF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24B5ACB"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3FE6E288"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178D4B82"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2296745F"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00FB388E"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40B5637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64B983B4" w14:textId="77777777" w:rsidTr="0073176B">
        <w:trPr>
          <w:trHeight w:val="240"/>
        </w:trPr>
        <w:tc>
          <w:tcPr>
            <w:tcW w:w="2127" w:type="dxa"/>
            <w:tcBorders>
              <w:top w:val="nil"/>
              <w:left w:val="nil"/>
              <w:bottom w:val="nil"/>
              <w:right w:val="nil"/>
            </w:tcBorders>
            <w:shd w:val="clear" w:color="auto" w:fill="auto"/>
            <w:noWrap/>
            <w:vAlign w:val="bottom"/>
            <w:hideMark/>
          </w:tcPr>
          <w:p w14:paraId="21B235F5"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#Letters</w:t>
            </w:r>
          </w:p>
        </w:tc>
        <w:tc>
          <w:tcPr>
            <w:tcW w:w="513" w:type="dxa"/>
            <w:tcBorders>
              <w:top w:val="nil"/>
              <w:left w:val="nil"/>
              <w:bottom w:val="nil"/>
              <w:right w:val="nil"/>
            </w:tcBorders>
            <w:shd w:val="clear" w:color="auto" w:fill="auto"/>
            <w:noWrap/>
            <w:vAlign w:val="bottom"/>
            <w:hideMark/>
          </w:tcPr>
          <w:p w14:paraId="4CCCC388"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667615D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261" w:type="dxa"/>
            <w:tcBorders>
              <w:top w:val="nil"/>
              <w:left w:val="nil"/>
              <w:bottom w:val="nil"/>
              <w:right w:val="nil"/>
            </w:tcBorders>
            <w:shd w:val="clear" w:color="auto" w:fill="auto"/>
            <w:noWrap/>
            <w:vAlign w:val="bottom"/>
            <w:hideMark/>
          </w:tcPr>
          <w:p w14:paraId="5B30C65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79363E1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2.67***</w:t>
            </w:r>
          </w:p>
        </w:tc>
        <w:tc>
          <w:tcPr>
            <w:tcW w:w="261" w:type="dxa"/>
            <w:tcBorders>
              <w:top w:val="nil"/>
              <w:left w:val="nil"/>
              <w:bottom w:val="nil"/>
              <w:right w:val="nil"/>
            </w:tcBorders>
            <w:shd w:val="clear" w:color="auto" w:fill="auto"/>
            <w:noWrap/>
            <w:vAlign w:val="bottom"/>
            <w:hideMark/>
          </w:tcPr>
          <w:p w14:paraId="30F8D89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5598EED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261" w:type="dxa"/>
            <w:tcBorders>
              <w:top w:val="nil"/>
              <w:left w:val="nil"/>
              <w:bottom w:val="nil"/>
              <w:right w:val="nil"/>
            </w:tcBorders>
            <w:shd w:val="clear" w:color="auto" w:fill="auto"/>
            <w:noWrap/>
            <w:vAlign w:val="bottom"/>
            <w:hideMark/>
          </w:tcPr>
          <w:p w14:paraId="670FA8D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5ECD07C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w:t>
            </w:r>
          </w:p>
        </w:tc>
        <w:tc>
          <w:tcPr>
            <w:tcW w:w="261" w:type="dxa"/>
            <w:tcBorders>
              <w:top w:val="nil"/>
              <w:left w:val="nil"/>
              <w:bottom w:val="nil"/>
              <w:right w:val="nil"/>
            </w:tcBorders>
            <w:shd w:val="clear" w:color="auto" w:fill="auto"/>
            <w:noWrap/>
            <w:vAlign w:val="bottom"/>
            <w:hideMark/>
          </w:tcPr>
          <w:p w14:paraId="7AB189E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08037C5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w:t>
            </w:r>
          </w:p>
        </w:tc>
        <w:tc>
          <w:tcPr>
            <w:tcW w:w="261" w:type="dxa"/>
            <w:tcBorders>
              <w:top w:val="nil"/>
              <w:left w:val="nil"/>
              <w:bottom w:val="nil"/>
              <w:right w:val="nil"/>
            </w:tcBorders>
            <w:shd w:val="clear" w:color="auto" w:fill="auto"/>
            <w:noWrap/>
            <w:vAlign w:val="bottom"/>
            <w:hideMark/>
          </w:tcPr>
          <w:p w14:paraId="08C5FC5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2E6E23D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2.03</w:t>
            </w:r>
          </w:p>
        </w:tc>
        <w:tc>
          <w:tcPr>
            <w:tcW w:w="261" w:type="dxa"/>
            <w:tcBorders>
              <w:top w:val="nil"/>
              <w:left w:val="nil"/>
              <w:bottom w:val="nil"/>
              <w:right w:val="nil"/>
            </w:tcBorders>
            <w:shd w:val="clear" w:color="auto" w:fill="auto"/>
            <w:noWrap/>
            <w:vAlign w:val="bottom"/>
            <w:hideMark/>
          </w:tcPr>
          <w:p w14:paraId="5261DC9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0F57DBB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38945C3C"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2EA34D7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49DF24F2"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10992E8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5F9AF058"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5603511C"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584B83A6"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6406676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6CCEE41E" w14:textId="77777777" w:rsidTr="0073176B">
        <w:trPr>
          <w:trHeight w:val="240"/>
        </w:trPr>
        <w:tc>
          <w:tcPr>
            <w:tcW w:w="2127" w:type="dxa"/>
            <w:tcBorders>
              <w:top w:val="nil"/>
              <w:left w:val="nil"/>
              <w:bottom w:val="nil"/>
              <w:right w:val="nil"/>
            </w:tcBorders>
            <w:shd w:val="clear" w:color="auto" w:fill="auto"/>
            <w:noWrap/>
            <w:vAlign w:val="bottom"/>
            <w:hideMark/>
          </w:tcPr>
          <w:p w14:paraId="3BFE6D74"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#Themes</w:t>
            </w:r>
          </w:p>
        </w:tc>
        <w:tc>
          <w:tcPr>
            <w:tcW w:w="513" w:type="dxa"/>
            <w:tcBorders>
              <w:top w:val="nil"/>
              <w:left w:val="nil"/>
              <w:bottom w:val="nil"/>
              <w:right w:val="nil"/>
            </w:tcBorders>
            <w:shd w:val="clear" w:color="auto" w:fill="auto"/>
            <w:noWrap/>
            <w:vAlign w:val="bottom"/>
            <w:hideMark/>
          </w:tcPr>
          <w:p w14:paraId="2AB9C58C"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33DC4D7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261" w:type="dxa"/>
            <w:tcBorders>
              <w:top w:val="nil"/>
              <w:left w:val="nil"/>
              <w:bottom w:val="nil"/>
              <w:right w:val="nil"/>
            </w:tcBorders>
            <w:shd w:val="clear" w:color="auto" w:fill="auto"/>
            <w:noWrap/>
            <w:vAlign w:val="bottom"/>
            <w:hideMark/>
          </w:tcPr>
          <w:p w14:paraId="2595DF7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01AAF2B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3.43***</w:t>
            </w:r>
          </w:p>
        </w:tc>
        <w:tc>
          <w:tcPr>
            <w:tcW w:w="261" w:type="dxa"/>
            <w:tcBorders>
              <w:top w:val="nil"/>
              <w:left w:val="nil"/>
              <w:bottom w:val="nil"/>
              <w:right w:val="nil"/>
            </w:tcBorders>
            <w:shd w:val="clear" w:color="auto" w:fill="auto"/>
            <w:noWrap/>
            <w:vAlign w:val="bottom"/>
            <w:hideMark/>
          </w:tcPr>
          <w:p w14:paraId="162EDE9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1F1E9EA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261" w:type="dxa"/>
            <w:tcBorders>
              <w:top w:val="nil"/>
              <w:left w:val="nil"/>
              <w:bottom w:val="nil"/>
              <w:right w:val="nil"/>
            </w:tcBorders>
            <w:shd w:val="clear" w:color="auto" w:fill="auto"/>
            <w:noWrap/>
            <w:vAlign w:val="bottom"/>
            <w:hideMark/>
          </w:tcPr>
          <w:p w14:paraId="74B93BF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013D6D2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w:t>
            </w:r>
          </w:p>
        </w:tc>
        <w:tc>
          <w:tcPr>
            <w:tcW w:w="261" w:type="dxa"/>
            <w:tcBorders>
              <w:top w:val="nil"/>
              <w:left w:val="nil"/>
              <w:bottom w:val="nil"/>
              <w:right w:val="nil"/>
            </w:tcBorders>
            <w:shd w:val="clear" w:color="auto" w:fill="auto"/>
            <w:noWrap/>
            <w:vAlign w:val="bottom"/>
            <w:hideMark/>
          </w:tcPr>
          <w:p w14:paraId="2C90907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4101DF6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6</w:t>
            </w:r>
          </w:p>
        </w:tc>
        <w:tc>
          <w:tcPr>
            <w:tcW w:w="261" w:type="dxa"/>
            <w:tcBorders>
              <w:top w:val="nil"/>
              <w:left w:val="nil"/>
              <w:bottom w:val="nil"/>
              <w:right w:val="nil"/>
            </w:tcBorders>
            <w:shd w:val="clear" w:color="auto" w:fill="auto"/>
            <w:noWrap/>
            <w:vAlign w:val="bottom"/>
            <w:hideMark/>
          </w:tcPr>
          <w:p w14:paraId="7FE5033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0FB865F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2.46</w:t>
            </w:r>
          </w:p>
        </w:tc>
        <w:tc>
          <w:tcPr>
            <w:tcW w:w="261" w:type="dxa"/>
            <w:tcBorders>
              <w:top w:val="nil"/>
              <w:left w:val="nil"/>
              <w:bottom w:val="nil"/>
              <w:right w:val="nil"/>
            </w:tcBorders>
            <w:shd w:val="clear" w:color="auto" w:fill="auto"/>
            <w:noWrap/>
            <w:vAlign w:val="bottom"/>
            <w:hideMark/>
          </w:tcPr>
          <w:p w14:paraId="302B7AD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0F1424A2"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12CE19DF"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07C32A46"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653983FD"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6A896277"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33935C1A"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3741285D"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59B6463C"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40B14C7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623A1419" w14:textId="77777777" w:rsidTr="0073176B">
        <w:trPr>
          <w:trHeight w:val="240"/>
        </w:trPr>
        <w:tc>
          <w:tcPr>
            <w:tcW w:w="2127" w:type="dxa"/>
            <w:tcBorders>
              <w:top w:val="nil"/>
              <w:left w:val="nil"/>
              <w:bottom w:val="nil"/>
              <w:right w:val="nil"/>
            </w:tcBorders>
            <w:shd w:val="clear" w:color="auto" w:fill="auto"/>
            <w:noWrap/>
            <w:vAlign w:val="bottom"/>
            <w:hideMark/>
          </w:tcPr>
          <w:p w14:paraId="581234E7"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#Core-accounting issues</w:t>
            </w:r>
          </w:p>
        </w:tc>
        <w:tc>
          <w:tcPr>
            <w:tcW w:w="513" w:type="dxa"/>
            <w:tcBorders>
              <w:top w:val="nil"/>
              <w:left w:val="nil"/>
              <w:bottom w:val="nil"/>
              <w:right w:val="nil"/>
            </w:tcBorders>
            <w:shd w:val="clear" w:color="auto" w:fill="auto"/>
            <w:noWrap/>
            <w:vAlign w:val="bottom"/>
            <w:hideMark/>
          </w:tcPr>
          <w:p w14:paraId="4D84723C"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6D1F4C5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261" w:type="dxa"/>
            <w:tcBorders>
              <w:top w:val="nil"/>
              <w:left w:val="nil"/>
              <w:bottom w:val="nil"/>
              <w:right w:val="nil"/>
            </w:tcBorders>
            <w:shd w:val="clear" w:color="auto" w:fill="auto"/>
            <w:noWrap/>
            <w:vAlign w:val="bottom"/>
            <w:hideMark/>
          </w:tcPr>
          <w:p w14:paraId="64C0E96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57C6934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3.91***</w:t>
            </w:r>
          </w:p>
        </w:tc>
        <w:tc>
          <w:tcPr>
            <w:tcW w:w="261" w:type="dxa"/>
            <w:tcBorders>
              <w:top w:val="nil"/>
              <w:left w:val="nil"/>
              <w:bottom w:val="nil"/>
              <w:right w:val="nil"/>
            </w:tcBorders>
            <w:shd w:val="clear" w:color="auto" w:fill="auto"/>
            <w:noWrap/>
            <w:vAlign w:val="bottom"/>
            <w:hideMark/>
          </w:tcPr>
          <w:p w14:paraId="780D88A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3A40316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261" w:type="dxa"/>
            <w:tcBorders>
              <w:top w:val="nil"/>
              <w:left w:val="nil"/>
              <w:bottom w:val="nil"/>
              <w:right w:val="nil"/>
            </w:tcBorders>
            <w:shd w:val="clear" w:color="auto" w:fill="auto"/>
            <w:noWrap/>
            <w:vAlign w:val="bottom"/>
            <w:hideMark/>
          </w:tcPr>
          <w:p w14:paraId="4BB51CC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7E1EEE7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w:t>
            </w:r>
          </w:p>
        </w:tc>
        <w:tc>
          <w:tcPr>
            <w:tcW w:w="261" w:type="dxa"/>
            <w:tcBorders>
              <w:top w:val="nil"/>
              <w:left w:val="nil"/>
              <w:bottom w:val="nil"/>
              <w:right w:val="nil"/>
            </w:tcBorders>
            <w:shd w:val="clear" w:color="auto" w:fill="auto"/>
            <w:noWrap/>
            <w:vAlign w:val="bottom"/>
            <w:hideMark/>
          </w:tcPr>
          <w:p w14:paraId="03B0219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1705017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w:t>
            </w:r>
          </w:p>
        </w:tc>
        <w:tc>
          <w:tcPr>
            <w:tcW w:w="261" w:type="dxa"/>
            <w:tcBorders>
              <w:top w:val="nil"/>
              <w:left w:val="nil"/>
              <w:bottom w:val="nil"/>
              <w:right w:val="nil"/>
            </w:tcBorders>
            <w:shd w:val="clear" w:color="auto" w:fill="auto"/>
            <w:noWrap/>
            <w:vAlign w:val="bottom"/>
            <w:hideMark/>
          </w:tcPr>
          <w:p w14:paraId="3615C56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7C433A2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4.84</w:t>
            </w:r>
          </w:p>
        </w:tc>
        <w:tc>
          <w:tcPr>
            <w:tcW w:w="261" w:type="dxa"/>
            <w:tcBorders>
              <w:top w:val="nil"/>
              <w:left w:val="nil"/>
              <w:bottom w:val="nil"/>
              <w:right w:val="nil"/>
            </w:tcBorders>
            <w:shd w:val="clear" w:color="auto" w:fill="auto"/>
            <w:noWrap/>
            <w:vAlign w:val="bottom"/>
            <w:hideMark/>
          </w:tcPr>
          <w:p w14:paraId="3A1B421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42C418E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77FBD22B"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12BAB8AE"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04BA4D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10FF4D02"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D3A001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252285AB"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386EA8A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08488C46"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78E85F18" w14:textId="77777777" w:rsidTr="0073176B">
        <w:trPr>
          <w:trHeight w:val="240"/>
        </w:trPr>
        <w:tc>
          <w:tcPr>
            <w:tcW w:w="2640" w:type="dxa"/>
            <w:gridSpan w:val="2"/>
            <w:tcBorders>
              <w:top w:val="nil"/>
              <w:left w:val="nil"/>
              <w:bottom w:val="nil"/>
              <w:right w:val="nil"/>
            </w:tcBorders>
            <w:shd w:val="clear" w:color="auto" w:fill="auto"/>
            <w:noWrap/>
            <w:vAlign w:val="bottom"/>
            <w:hideMark/>
          </w:tcPr>
          <w:p w14:paraId="6921E589"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#Non-core-accounting issues</w:t>
            </w:r>
          </w:p>
        </w:tc>
        <w:tc>
          <w:tcPr>
            <w:tcW w:w="501" w:type="dxa"/>
            <w:tcBorders>
              <w:top w:val="nil"/>
              <w:left w:val="nil"/>
              <w:bottom w:val="nil"/>
              <w:right w:val="nil"/>
            </w:tcBorders>
            <w:shd w:val="clear" w:color="auto" w:fill="auto"/>
            <w:noWrap/>
            <w:vAlign w:val="bottom"/>
            <w:hideMark/>
          </w:tcPr>
          <w:p w14:paraId="546FAC8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261" w:type="dxa"/>
            <w:tcBorders>
              <w:top w:val="nil"/>
              <w:left w:val="nil"/>
              <w:bottom w:val="nil"/>
              <w:right w:val="nil"/>
            </w:tcBorders>
            <w:shd w:val="clear" w:color="auto" w:fill="auto"/>
            <w:noWrap/>
            <w:vAlign w:val="bottom"/>
            <w:hideMark/>
          </w:tcPr>
          <w:p w14:paraId="5B3ACF9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7A3AF38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22.22***</w:t>
            </w:r>
          </w:p>
        </w:tc>
        <w:tc>
          <w:tcPr>
            <w:tcW w:w="261" w:type="dxa"/>
            <w:tcBorders>
              <w:top w:val="nil"/>
              <w:left w:val="nil"/>
              <w:bottom w:val="nil"/>
              <w:right w:val="nil"/>
            </w:tcBorders>
            <w:shd w:val="clear" w:color="auto" w:fill="auto"/>
            <w:noWrap/>
            <w:vAlign w:val="bottom"/>
            <w:hideMark/>
          </w:tcPr>
          <w:p w14:paraId="429D5EC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2A4AD9E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261" w:type="dxa"/>
            <w:tcBorders>
              <w:top w:val="nil"/>
              <w:left w:val="nil"/>
              <w:bottom w:val="nil"/>
              <w:right w:val="nil"/>
            </w:tcBorders>
            <w:shd w:val="clear" w:color="auto" w:fill="auto"/>
            <w:noWrap/>
            <w:vAlign w:val="bottom"/>
            <w:hideMark/>
          </w:tcPr>
          <w:p w14:paraId="14956CC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437BA2B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17***</w:t>
            </w:r>
          </w:p>
        </w:tc>
        <w:tc>
          <w:tcPr>
            <w:tcW w:w="261" w:type="dxa"/>
            <w:tcBorders>
              <w:top w:val="nil"/>
              <w:left w:val="nil"/>
              <w:bottom w:val="nil"/>
              <w:right w:val="nil"/>
            </w:tcBorders>
            <w:shd w:val="clear" w:color="auto" w:fill="auto"/>
            <w:noWrap/>
            <w:vAlign w:val="bottom"/>
            <w:hideMark/>
          </w:tcPr>
          <w:p w14:paraId="791DB00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02F5DD5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40</w:t>
            </w:r>
          </w:p>
        </w:tc>
        <w:tc>
          <w:tcPr>
            <w:tcW w:w="261" w:type="dxa"/>
            <w:tcBorders>
              <w:top w:val="nil"/>
              <w:left w:val="nil"/>
              <w:bottom w:val="nil"/>
              <w:right w:val="nil"/>
            </w:tcBorders>
            <w:shd w:val="clear" w:color="auto" w:fill="auto"/>
            <w:noWrap/>
            <w:vAlign w:val="bottom"/>
            <w:hideMark/>
          </w:tcPr>
          <w:p w14:paraId="2D386D3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68C32D2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22.89</w:t>
            </w:r>
          </w:p>
        </w:tc>
        <w:tc>
          <w:tcPr>
            <w:tcW w:w="261" w:type="dxa"/>
            <w:tcBorders>
              <w:top w:val="nil"/>
              <w:left w:val="nil"/>
              <w:bottom w:val="nil"/>
              <w:right w:val="nil"/>
            </w:tcBorders>
            <w:shd w:val="clear" w:color="auto" w:fill="auto"/>
            <w:noWrap/>
            <w:vAlign w:val="bottom"/>
            <w:hideMark/>
          </w:tcPr>
          <w:p w14:paraId="22A71A6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7FAD1CA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F317C87"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188307B5"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75CB7B3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nil"/>
              <w:right w:val="nil"/>
            </w:tcBorders>
            <w:shd w:val="clear" w:color="auto" w:fill="auto"/>
            <w:noWrap/>
            <w:vAlign w:val="bottom"/>
            <w:hideMark/>
          </w:tcPr>
          <w:p w14:paraId="1A433D0F"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208A2BF6"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6FC54917"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261" w:type="dxa"/>
            <w:tcBorders>
              <w:top w:val="nil"/>
              <w:left w:val="nil"/>
              <w:bottom w:val="nil"/>
              <w:right w:val="nil"/>
            </w:tcBorders>
            <w:shd w:val="clear" w:color="auto" w:fill="auto"/>
            <w:noWrap/>
            <w:vAlign w:val="bottom"/>
            <w:hideMark/>
          </w:tcPr>
          <w:p w14:paraId="7E91F78E"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1299" w:type="dxa"/>
            <w:tcBorders>
              <w:top w:val="nil"/>
              <w:left w:val="nil"/>
              <w:bottom w:val="nil"/>
              <w:right w:val="nil"/>
            </w:tcBorders>
            <w:shd w:val="clear" w:color="auto" w:fill="auto"/>
            <w:noWrap/>
            <w:vAlign w:val="bottom"/>
            <w:hideMark/>
          </w:tcPr>
          <w:p w14:paraId="40D2FAB2"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r>
      <w:tr w:rsidR="002C6719" w:rsidRPr="00E915AA" w14:paraId="430CADB0" w14:textId="77777777" w:rsidTr="0073176B">
        <w:trPr>
          <w:trHeight w:val="480"/>
        </w:trPr>
        <w:tc>
          <w:tcPr>
            <w:tcW w:w="14012" w:type="dxa"/>
            <w:gridSpan w:val="23"/>
            <w:tcBorders>
              <w:top w:val="single" w:sz="4" w:space="0" w:color="auto"/>
              <w:left w:val="nil"/>
              <w:bottom w:val="single" w:sz="4" w:space="0" w:color="auto"/>
              <w:right w:val="nil"/>
            </w:tcBorders>
            <w:shd w:val="clear" w:color="auto" w:fill="auto"/>
            <w:noWrap/>
            <w:vAlign w:val="bottom"/>
            <w:hideMark/>
          </w:tcPr>
          <w:p w14:paraId="05951329"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r w:rsidRPr="00E915AA">
              <w:rPr>
                <w:rFonts w:ascii="Times New Roman" w:eastAsia="Times New Roman" w:hAnsi="Times New Roman" w:cs="Times New Roman"/>
                <w:b/>
                <w:bCs/>
                <w:color w:val="000000"/>
                <w:sz w:val="18"/>
                <w:szCs w:val="18"/>
                <w:lang w:eastAsia="en-GB"/>
              </w:rPr>
              <w:t>Panel B. Earnings management proxies</w:t>
            </w:r>
          </w:p>
        </w:tc>
      </w:tr>
      <w:tr w:rsidR="002C6719" w:rsidRPr="00E915AA" w14:paraId="5C99C84C" w14:textId="77777777" w:rsidTr="0073176B">
        <w:trPr>
          <w:trHeight w:val="690"/>
        </w:trPr>
        <w:tc>
          <w:tcPr>
            <w:tcW w:w="2127" w:type="dxa"/>
            <w:tcBorders>
              <w:top w:val="nil"/>
              <w:left w:val="nil"/>
              <w:bottom w:val="nil"/>
              <w:right w:val="nil"/>
            </w:tcBorders>
            <w:shd w:val="clear" w:color="auto" w:fill="auto"/>
            <w:noWrap/>
            <w:vAlign w:val="bottom"/>
            <w:hideMark/>
          </w:tcPr>
          <w:p w14:paraId="58700FB4"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p>
        </w:tc>
        <w:tc>
          <w:tcPr>
            <w:tcW w:w="513" w:type="dxa"/>
            <w:tcBorders>
              <w:top w:val="nil"/>
              <w:left w:val="nil"/>
              <w:bottom w:val="nil"/>
              <w:right w:val="nil"/>
            </w:tcBorders>
            <w:shd w:val="clear" w:color="auto" w:fill="auto"/>
            <w:noWrap/>
            <w:vAlign w:val="bottom"/>
            <w:hideMark/>
          </w:tcPr>
          <w:p w14:paraId="5E17534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865" w:type="dxa"/>
            <w:gridSpan w:val="11"/>
            <w:tcBorders>
              <w:top w:val="single" w:sz="4" w:space="0" w:color="auto"/>
              <w:left w:val="nil"/>
              <w:bottom w:val="single" w:sz="4" w:space="0" w:color="auto"/>
              <w:right w:val="nil"/>
            </w:tcBorders>
            <w:shd w:val="clear" w:color="auto" w:fill="auto"/>
            <w:noWrap/>
            <w:vAlign w:val="bottom"/>
            <w:hideMark/>
          </w:tcPr>
          <w:p w14:paraId="3FE2409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All IPOs</w:t>
            </w:r>
          </w:p>
        </w:tc>
        <w:tc>
          <w:tcPr>
            <w:tcW w:w="261" w:type="dxa"/>
            <w:tcBorders>
              <w:top w:val="nil"/>
              <w:left w:val="nil"/>
              <w:bottom w:val="nil"/>
              <w:right w:val="nil"/>
            </w:tcBorders>
            <w:shd w:val="clear" w:color="auto" w:fill="auto"/>
            <w:noWrap/>
            <w:vAlign w:val="bottom"/>
            <w:hideMark/>
          </w:tcPr>
          <w:p w14:paraId="65D5392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710" w:type="dxa"/>
            <w:gridSpan w:val="3"/>
            <w:tcBorders>
              <w:top w:val="single" w:sz="4" w:space="0" w:color="auto"/>
              <w:left w:val="nil"/>
              <w:bottom w:val="single" w:sz="4" w:space="0" w:color="auto"/>
              <w:right w:val="nil"/>
            </w:tcBorders>
            <w:shd w:val="clear" w:color="auto" w:fill="auto"/>
            <w:vAlign w:val="bottom"/>
            <w:hideMark/>
          </w:tcPr>
          <w:p w14:paraId="3FFF360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receiving SEC comments about core-accounting issues</w:t>
            </w:r>
          </w:p>
        </w:tc>
        <w:tc>
          <w:tcPr>
            <w:tcW w:w="261" w:type="dxa"/>
            <w:tcBorders>
              <w:top w:val="nil"/>
              <w:left w:val="nil"/>
              <w:bottom w:val="nil"/>
              <w:right w:val="nil"/>
            </w:tcBorders>
            <w:shd w:val="clear" w:color="auto" w:fill="auto"/>
            <w:noWrap/>
            <w:vAlign w:val="bottom"/>
            <w:hideMark/>
          </w:tcPr>
          <w:p w14:paraId="3CC8C41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710" w:type="dxa"/>
            <w:gridSpan w:val="3"/>
            <w:tcBorders>
              <w:top w:val="single" w:sz="4" w:space="0" w:color="auto"/>
              <w:left w:val="nil"/>
              <w:bottom w:val="single" w:sz="4" w:space="0" w:color="auto"/>
              <w:right w:val="nil"/>
            </w:tcBorders>
            <w:shd w:val="clear" w:color="auto" w:fill="auto"/>
            <w:vAlign w:val="bottom"/>
            <w:hideMark/>
          </w:tcPr>
          <w:p w14:paraId="7D16C75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not receiving SEC comments about core-accounting issues</w:t>
            </w:r>
          </w:p>
        </w:tc>
        <w:tc>
          <w:tcPr>
            <w:tcW w:w="261" w:type="dxa"/>
            <w:tcBorders>
              <w:top w:val="nil"/>
              <w:left w:val="nil"/>
              <w:bottom w:val="nil"/>
              <w:right w:val="nil"/>
            </w:tcBorders>
            <w:shd w:val="clear" w:color="auto" w:fill="auto"/>
            <w:noWrap/>
            <w:vAlign w:val="bottom"/>
            <w:hideMark/>
          </w:tcPr>
          <w:p w14:paraId="6DEA6EE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299" w:type="dxa"/>
            <w:tcBorders>
              <w:top w:val="nil"/>
              <w:left w:val="nil"/>
              <w:bottom w:val="single" w:sz="4" w:space="0" w:color="auto"/>
              <w:right w:val="nil"/>
            </w:tcBorders>
            <w:shd w:val="clear" w:color="auto" w:fill="auto"/>
            <w:noWrap/>
            <w:vAlign w:val="bottom"/>
            <w:hideMark/>
          </w:tcPr>
          <w:p w14:paraId="55ACADF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Difference</w:t>
            </w:r>
          </w:p>
        </w:tc>
      </w:tr>
      <w:tr w:rsidR="002C6719" w:rsidRPr="00E915AA" w14:paraId="16A1E6E2" w14:textId="77777777" w:rsidTr="0073176B">
        <w:trPr>
          <w:trHeight w:val="240"/>
        </w:trPr>
        <w:tc>
          <w:tcPr>
            <w:tcW w:w="2127" w:type="dxa"/>
            <w:tcBorders>
              <w:top w:val="nil"/>
              <w:left w:val="nil"/>
              <w:bottom w:val="nil"/>
              <w:right w:val="nil"/>
            </w:tcBorders>
            <w:shd w:val="clear" w:color="auto" w:fill="auto"/>
            <w:noWrap/>
            <w:vAlign w:val="bottom"/>
            <w:hideMark/>
          </w:tcPr>
          <w:p w14:paraId="12A5EBF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13" w:type="dxa"/>
            <w:tcBorders>
              <w:top w:val="nil"/>
              <w:left w:val="nil"/>
              <w:bottom w:val="nil"/>
              <w:right w:val="nil"/>
            </w:tcBorders>
            <w:shd w:val="clear" w:color="auto" w:fill="auto"/>
            <w:noWrap/>
            <w:vAlign w:val="bottom"/>
            <w:hideMark/>
          </w:tcPr>
          <w:p w14:paraId="025A5334"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01" w:type="dxa"/>
            <w:tcBorders>
              <w:top w:val="nil"/>
              <w:left w:val="nil"/>
              <w:bottom w:val="single" w:sz="4" w:space="0" w:color="auto"/>
              <w:right w:val="nil"/>
            </w:tcBorders>
            <w:shd w:val="clear" w:color="auto" w:fill="auto"/>
            <w:noWrap/>
            <w:vAlign w:val="bottom"/>
            <w:hideMark/>
          </w:tcPr>
          <w:p w14:paraId="5E3697A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261" w:type="dxa"/>
            <w:tcBorders>
              <w:top w:val="nil"/>
              <w:left w:val="nil"/>
              <w:bottom w:val="nil"/>
              <w:right w:val="nil"/>
            </w:tcBorders>
            <w:shd w:val="clear" w:color="auto" w:fill="auto"/>
            <w:noWrap/>
            <w:vAlign w:val="bottom"/>
            <w:hideMark/>
          </w:tcPr>
          <w:p w14:paraId="6F64D07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134" w:type="dxa"/>
            <w:tcBorders>
              <w:top w:val="nil"/>
              <w:left w:val="nil"/>
              <w:bottom w:val="single" w:sz="4" w:space="0" w:color="auto"/>
              <w:right w:val="nil"/>
            </w:tcBorders>
            <w:shd w:val="clear" w:color="auto" w:fill="auto"/>
            <w:noWrap/>
            <w:vAlign w:val="bottom"/>
            <w:hideMark/>
          </w:tcPr>
          <w:p w14:paraId="099F2EB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261" w:type="dxa"/>
            <w:tcBorders>
              <w:top w:val="nil"/>
              <w:left w:val="nil"/>
              <w:bottom w:val="nil"/>
              <w:right w:val="nil"/>
            </w:tcBorders>
            <w:shd w:val="clear" w:color="auto" w:fill="auto"/>
            <w:noWrap/>
            <w:vAlign w:val="bottom"/>
            <w:hideMark/>
          </w:tcPr>
          <w:p w14:paraId="3ACF09B4"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668" w:type="dxa"/>
            <w:tcBorders>
              <w:top w:val="nil"/>
              <w:left w:val="nil"/>
              <w:bottom w:val="single" w:sz="4" w:space="0" w:color="auto"/>
              <w:right w:val="nil"/>
            </w:tcBorders>
            <w:shd w:val="clear" w:color="auto" w:fill="auto"/>
            <w:noWrap/>
            <w:vAlign w:val="bottom"/>
            <w:hideMark/>
          </w:tcPr>
          <w:p w14:paraId="33B40A38"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p25</w:t>
            </w:r>
          </w:p>
        </w:tc>
        <w:tc>
          <w:tcPr>
            <w:tcW w:w="261" w:type="dxa"/>
            <w:tcBorders>
              <w:top w:val="nil"/>
              <w:left w:val="nil"/>
              <w:bottom w:val="nil"/>
              <w:right w:val="nil"/>
            </w:tcBorders>
            <w:shd w:val="clear" w:color="auto" w:fill="auto"/>
            <w:noWrap/>
            <w:vAlign w:val="bottom"/>
            <w:hideMark/>
          </w:tcPr>
          <w:p w14:paraId="1CF8D94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37" w:type="dxa"/>
            <w:tcBorders>
              <w:top w:val="nil"/>
              <w:left w:val="nil"/>
              <w:bottom w:val="single" w:sz="4" w:space="0" w:color="auto"/>
              <w:right w:val="nil"/>
            </w:tcBorders>
            <w:shd w:val="clear" w:color="auto" w:fill="auto"/>
            <w:noWrap/>
            <w:vAlign w:val="bottom"/>
            <w:hideMark/>
          </w:tcPr>
          <w:p w14:paraId="11B4C8A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p50</w:t>
            </w:r>
          </w:p>
        </w:tc>
        <w:tc>
          <w:tcPr>
            <w:tcW w:w="261" w:type="dxa"/>
            <w:tcBorders>
              <w:top w:val="nil"/>
              <w:left w:val="nil"/>
              <w:bottom w:val="nil"/>
              <w:right w:val="nil"/>
            </w:tcBorders>
            <w:shd w:val="clear" w:color="auto" w:fill="auto"/>
            <w:noWrap/>
            <w:vAlign w:val="bottom"/>
            <w:hideMark/>
          </w:tcPr>
          <w:p w14:paraId="5F8236D5"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73" w:type="dxa"/>
            <w:tcBorders>
              <w:top w:val="nil"/>
              <w:left w:val="nil"/>
              <w:bottom w:val="single" w:sz="4" w:space="0" w:color="auto"/>
              <w:right w:val="nil"/>
            </w:tcBorders>
            <w:shd w:val="clear" w:color="auto" w:fill="auto"/>
            <w:noWrap/>
            <w:vAlign w:val="bottom"/>
            <w:hideMark/>
          </w:tcPr>
          <w:p w14:paraId="217E81D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p75</w:t>
            </w:r>
          </w:p>
        </w:tc>
        <w:tc>
          <w:tcPr>
            <w:tcW w:w="261" w:type="dxa"/>
            <w:tcBorders>
              <w:top w:val="nil"/>
              <w:left w:val="nil"/>
              <w:bottom w:val="nil"/>
              <w:right w:val="nil"/>
            </w:tcBorders>
            <w:shd w:val="clear" w:color="auto" w:fill="auto"/>
            <w:noWrap/>
            <w:vAlign w:val="bottom"/>
            <w:hideMark/>
          </w:tcPr>
          <w:p w14:paraId="0D48D82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747" w:type="dxa"/>
            <w:tcBorders>
              <w:top w:val="nil"/>
              <w:left w:val="nil"/>
              <w:bottom w:val="single" w:sz="4" w:space="0" w:color="auto"/>
              <w:right w:val="nil"/>
            </w:tcBorders>
            <w:shd w:val="clear" w:color="auto" w:fill="auto"/>
            <w:noWrap/>
            <w:vAlign w:val="bottom"/>
            <w:hideMark/>
          </w:tcPr>
          <w:p w14:paraId="3E97F92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roofErr w:type="spellStart"/>
            <w:r w:rsidRPr="00E915AA">
              <w:rPr>
                <w:rFonts w:ascii="Times New Roman" w:eastAsia="Times New Roman" w:hAnsi="Times New Roman" w:cs="Times New Roman"/>
                <w:i/>
                <w:iCs/>
                <w:color w:val="000000"/>
                <w:sz w:val="18"/>
                <w:szCs w:val="18"/>
                <w:lang w:eastAsia="en-GB"/>
              </w:rPr>
              <w:t>sd</w:t>
            </w:r>
            <w:proofErr w:type="spellEnd"/>
          </w:p>
        </w:tc>
        <w:tc>
          <w:tcPr>
            <w:tcW w:w="261" w:type="dxa"/>
            <w:tcBorders>
              <w:top w:val="nil"/>
              <w:left w:val="nil"/>
              <w:bottom w:val="nil"/>
              <w:right w:val="nil"/>
            </w:tcBorders>
            <w:shd w:val="clear" w:color="auto" w:fill="auto"/>
            <w:noWrap/>
            <w:vAlign w:val="bottom"/>
            <w:hideMark/>
          </w:tcPr>
          <w:p w14:paraId="673D0EA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01" w:type="dxa"/>
            <w:tcBorders>
              <w:top w:val="nil"/>
              <w:left w:val="nil"/>
              <w:bottom w:val="single" w:sz="4" w:space="0" w:color="auto"/>
              <w:right w:val="nil"/>
            </w:tcBorders>
            <w:shd w:val="clear" w:color="auto" w:fill="auto"/>
            <w:noWrap/>
            <w:vAlign w:val="bottom"/>
            <w:hideMark/>
          </w:tcPr>
          <w:p w14:paraId="2C66ED5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261" w:type="dxa"/>
            <w:tcBorders>
              <w:top w:val="nil"/>
              <w:left w:val="nil"/>
              <w:bottom w:val="nil"/>
              <w:right w:val="nil"/>
            </w:tcBorders>
            <w:shd w:val="clear" w:color="auto" w:fill="auto"/>
            <w:noWrap/>
            <w:vAlign w:val="bottom"/>
            <w:hideMark/>
          </w:tcPr>
          <w:p w14:paraId="03ABD49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48" w:type="dxa"/>
            <w:tcBorders>
              <w:top w:val="nil"/>
              <w:left w:val="nil"/>
              <w:bottom w:val="single" w:sz="4" w:space="0" w:color="auto"/>
              <w:right w:val="nil"/>
            </w:tcBorders>
            <w:shd w:val="clear" w:color="auto" w:fill="auto"/>
            <w:noWrap/>
            <w:vAlign w:val="bottom"/>
            <w:hideMark/>
          </w:tcPr>
          <w:p w14:paraId="720737E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Median</w:t>
            </w:r>
          </w:p>
        </w:tc>
        <w:tc>
          <w:tcPr>
            <w:tcW w:w="261" w:type="dxa"/>
            <w:tcBorders>
              <w:top w:val="nil"/>
              <w:left w:val="nil"/>
              <w:bottom w:val="nil"/>
              <w:right w:val="nil"/>
            </w:tcBorders>
            <w:shd w:val="clear" w:color="auto" w:fill="auto"/>
            <w:noWrap/>
            <w:vAlign w:val="bottom"/>
            <w:hideMark/>
          </w:tcPr>
          <w:p w14:paraId="19F7DE8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01" w:type="dxa"/>
            <w:tcBorders>
              <w:top w:val="nil"/>
              <w:left w:val="nil"/>
              <w:bottom w:val="single" w:sz="4" w:space="0" w:color="auto"/>
              <w:right w:val="nil"/>
            </w:tcBorders>
            <w:shd w:val="clear" w:color="auto" w:fill="auto"/>
            <w:noWrap/>
            <w:vAlign w:val="bottom"/>
            <w:hideMark/>
          </w:tcPr>
          <w:p w14:paraId="55218E0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261" w:type="dxa"/>
            <w:tcBorders>
              <w:top w:val="nil"/>
              <w:left w:val="nil"/>
              <w:bottom w:val="nil"/>
              <w:right w:val="nil"/>
            </w:tcBorders>
            <w:shd w:val="clear" w:color="auto" w:fill="auto"/>
            <w:noWrap/>
            <w:vAlign w:val="bottom"/>
            <w:hideMark/>
          </w:tcPr>
          <w:p w14:paraId="0352955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48" w:type="dxa"/>
            <w:tcBorders>
              <w:top w:val="nil"/>
              <w:left w:val="nil"/>
              <w:bottom w:val="single" w:sz="4" w:space="0" w:color="auto"/>
              <w:right w:val="nil"/>
            </w:tcBorders>
            <w:shd w:val="clear" w:color="auto" w:fill="auto"/>
            <w:noWrap/>
            <w:vAlign w:val="bottom"/>
            <w:hideMark/>
          </w:tcPr>
          <w:p w14:paraId="1237C23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Median</w:t>
            </w:r>
          </w:p>
        </w:tc>
        <w:tc>
          <w:tcPr>
            <w:tcW w:w="261" w:type="dxa"/>
            <w:tcBorders>
              <w:top w:val="nil"/>
              <w:left w:val="nil"/>
              <w:bottom w:val="nil"/>
              <w:right w:val="nil"/>
            </w:tcBorders>
            <w:shd w:val="clear" w:color="auto" w:fill="auto"/>
            <w:noWrap/>
            <w:vAlign w:val="bottom"/>
            <w:hideMark/>
          </w:tcPr>
          <w:p w14:paraId="00224D6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299" w:type="dxa"/>
            <w:tcBorders>
              <w:top w:val="nil"/>
              <w:left w:val="nil"/>
              <w:bottom w:val="nil"/>
              <w:right w:val="nil"/>
            </w:tcBorders>
            <w:shd w:val="clear" w:color="auto" w:fill="auto"/>
            <w:noWrap/>
            <w:vAlign w:val="bottom"/>
            <w:hideMark/>
          </w:tcPr>
          <w:p w14:paraId="3F00A40A"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r>
      <w:tr w:rsidR="002C6719" w:rsidRPr="00E915AA" w14:paraId="7337C328" w14:textId="77777777" w:rsidTr="0073176B">
        <w:trPr>
          <w:trHeight w:val="240"/>
        </w:trPr>
        <w:tc>
          <w:tcPr>
            <w:tcW w:w="2127" w:type="dxa"/>
            <w:tcBorders>
              <w:top w:val="nil"/>
              <w:left w:val="nil"/>
              <w:bottom w:val="nil"/>
              <w:right w:val="nil"/>
            </w:tcBorders>
            <w:shd w:val="clear" w:color="auto" w:fill="auto"/>
            <w:noWrap/>
            <w:vAlign w:val="bottom"/>
            <w:hideMark/>
          </w:tcPr>
          <w:p w14:paraId="5C232665"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DACC</w:t>
            </w:r>
          </w:p>
        </w:tc>
        <w:tc>
          <w:tcPr>
            <w:tcW w:w="513" w:type="dxa"/>
            <w:tcBorders>
              <w:top w:val="nil"/>
              <w:left w:val="nil"/>
              <w:bottom w:val="nil"/>
              <w:right w:val="nil"/>
            </w:tcBorders>
            <w:shd w:val="clear" w:color="auto" w:fill="auto"/>
            <w:noWrap/>
            <w:vAlign w:val="bottom"/>
            <w:hideMark/>
          </w:tcPr>
          <w:p w14:paraId="4B84D6AB"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422C402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567</w:t>
            </w:r>
          </w:p>
        </w:tc>
        <w:tc>
          <w:tcPr>
            <w:tcW w:w="261" w:type="dxa"/>
            <w:tcBorders>
              <w:top w:val="nil"/>
              <w:left w:val="nil"/>
              <w:bottom w:val="nil"/>
              <w:right w:val="nil"/>
            </w:tcBorders>
            <w:shd w:val="clear" w:color="auto" w:fill="auto"/>
            <w:noWrap/>
            <w:vAlign w:val="bottom"/>
            <w:hideMark/>
          </w:tcPr>
          <w:p w14:paraId="36A4FBF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7262311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-0.29***</w:t>
            </w:r>
          </w:p>
        </w:tc>
        <w:tc>
          <w:tcPr>
            <w:tcW w:w="261" w:type="dxa"/>
            <w:tcBorders>
              <w:top w:val="nil"/>
              <w:left w:val="nil"/>
              <w:bottom w:val="nil"/>
              <w:right w:val="nil"/>
            </w:tcBorders>
            <w:shd w:val="clear" w:color="auto" w:fill="auto"/>
            <w:noWrap/>
            <w:vAlign w:val="bottom"/>
            <w:hideMark/>
          </w:tcPr>
          <w:p w14:paraId="3C02A98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4D2DABD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-0.38</w:t>
            </w:r>
          </w:p>
        </w:tc>
        <w:tc>
          <w:tcPr>
            <w:tcW w:w="261" w:type="dxa"/>
            <w:tcBorders>
              <w:top w:val="nil"/>
              <w:left w:val="nil"/>
              <w:bottom w:val="nil"/>
              <w:right w:val="nil"/>
            </w:tcBorders>
            <w:shd w:val="clear" w:color="auto" w:fill="auto"/>
            <w:noWrap/>
            <w:vAlign w:val="bottom"/>
            <w:hideMark/>
          </w:tcPr>
          <w:p w14:paraId="6C25C86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00869A0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-0.06***</w:t>
            </w:r>
          </w:p>
        </w:tc>
        <w:tc>
          <w:tcPr>
            <w:tcW w:w="261" w:type="dxa"/>
            <w:tcBorders>
              <w:top w:val="nil"/>
              <w:left w:val="nil"/>
              <w:bottom w:val="nil"/>
              <w:right w:val="nil"/>
            </w:tcBorders>
            <w:shd w:val="clear" w:color="auto" w:fill="auto"/>
            <w:noWrap/>
            <w:vAlign w:val="bottom"/>
            <w:hideMark/>
          </w:tcPr>
          <w:p w14:paraId="46CE9F7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7FC9155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0.18</w:t>
            </w:r>
          </w:p>
        </w:tc>
        <w:tc>
          <w:tcPr>
            <w:tcW w:w="261" w:type="dxa"/>
            <w:tcBorders>
              <w:top w:val="nil"/>
              <w:left w:val="nil"/>
              <w:bottom w:val="nil"/>
              <w:right w:val="nil"/>
            </w:tcBorders>
            <w:shd w:val="clear" w:color="auto" w:fill="auto"/>
            <w:noWrap/>
            <w:vAlign w:val="bottom"/>
            <w:hideMark/>
          </w:tcPr>
          <w:p w14:paraId="60447FD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3EEA832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1.69</w:t>
            </w:r>
          </w:p>
        </w:tc>
        <w:tc>
          <w:tcPr>
            <w:tcW w:w="261" w:type="dxa"/>
            <w:tcBorders>
              <w:top w:val="nil"/>
              <w:left w:val="nil"/>
              <w:bottom w:val="nil"/>
              <w:right w:val="nil"/>
            </w:tcBorders>
            <w:shd w:val="clear" w:color="auto" w:fill="auto"/>
            <w:noWrap/>
            <w:vAlign w:val="bottom"/>
            <w:hideMark/>
          </w:tcPr>
          <w:p w14:paraId="45B538C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5450993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327</w:t>
            </w:r>
          </w:p>
        </w:tc>
        <w:tc>
          <w:tcPr>
            <w:tcW w:w="261" w:type="dxa"/>
            <w:tcBorders>
              <w:top w:val="nil"/>
              <w:left w:val="nil"/>
              <w:bottom w:val="nil"/>
              <w:right w:val="nil"/>
            </w:tcBorders>
            <w:shd w:val="clear" w:color="auto" w:fill="auto"/>
            <w:noWrap/>
            <w:vAlign w:val="bottom"/>
            <w:hideMark/>
          </w:tcPr>
          <w:p w14:paraId="33139CA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48" w:type="dxa"/>
            <w:tcBorders>
              <w:top w:val="nil"/>
              <w:left w:val="nil"/>
              <w:bottom w:val="nil"/>
              <w:right w:val="nil"/>
            </w:tcBorders>
            <w:shd w:val="clear" w:color="auto" w:fill="auto"/>
            <w:noWrap/>
            <w:vAlign w:val="bottom"/>
            <w:hideMark/>
          </w:tcPr>
          <w:p w14:paraId="126E07F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-0.04</w:t>
            </w:r>
          </w:p>
        </w:tc>
        <w:tc>
          <w:tcPr>
            <w:tcW w:w="261" w:type="dxa"/>
            <w:tcBorders>
              <w:top w:val="nil"/>
              <w:left w:val="nil"/>
              <w:bottom w:val="nil"/>
              <w:right w:val="nil"/>
            </w:tcBorders>
            <w:shd w:val="clear" w:color="auto" w:fill="auto"/>
            <w:noWrap/>
            <w:vAlign w:val="bottom"/>
            <w:hideMark/>
          </w:tcPr>
          <w:p w14:paraId="223553C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72DB84C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240</w:t>
            </w:r>
          </w:p>
        </w:tc>
        <w:tc>
          <w:tcPr>
            <w:tcW w:w="261" w:type="dxa"/>
            <w:tcBorders>
              <w:top w:val="nil"/>
              <w:left w:val="nil"/>
              <w:bottom w:val="nil"/>
              <w:right w:val="nil"/>
            </w:tcBorders>
            <w:shd w:val="clear" w:color="auto" w:fill="auto"/>
            <w:noWrap/>
            <w:vAlign w:val="bottom"/>
            <w:hideMark/>
          </w:tcPr>
          <w:p w14:paraId="6A80D84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48" w:type="dxa"/>
            <w:tcBorders>
              <w:top w:val="nil"/>
              <w:left w:val="nil"/>
              <w:bottom w:val="nil"/>
              <w:right w:val="nil"/>
            </w:tcBorders>
            <w:shd w:val="clear" w:color="auto" w:fill="auto"/>
            <w:noWrap/>
            <w:vAlign w:val="bottom"/>
            <w:hideMark/>
          </w:tcPr>
          <w:p w14:paraId="6BF6C2E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-0.10</w:t>
            </w:r>
          </w:p>
        </w:tc>
        <w:tc>
          <w:tcPr>
            <w:tcW w:w="261" w:type="dxa"/>
            <w:tcBorders>
              <w:top w:val="nil"/>
              <w:left w:val="nil"/>
              <w:bottom w:val="nil"/>
              <w:right w:val="nil"/>
            </w:tcBorders>
            <w:shd w:val="clear" w:color="auto" w:fill="auto"/>
            <w:noWrap/>
            <w:vAlign w:val="bottom"/>
            <w:hideMark/>
          </w:tcPr>
          <w:p w14:paraId="74A1372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299" w:type="dxa"/>
            <w:tcBorders>
              <w:top w:val="nil"/>
              <w:left w:val="nil"/>
              <w:bottom w:val="nil"/>
              <w:right w:val="nil"/>
            </w:tcBorders>
            <w:shd w:val="clear" w:color="auto" w:fill="auto"/>
            <w:noWrap/>
            <w:vAlign w:val="bottom"/>
            <w:hideMark/>
          </w:tcPr>
          <w:p w14:paraId="67CE5FA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0.06*</w:t>
            </w:r>
          </w:p>
        </w:tc>
      </w:tr>
      <w:tr w:rsidR="002C6719" w:rsidRPr="00E915AA" w14:paraId="0BA5B975" w14:textId="77777777" w:rsidTr="0073176B">
        <w:trPr>
          <w:trHeight w:val="240"/>
        </w:trPr>
        <w:tc>
          <w:tcPr>
            <w:tcW w:w="2127" w:type="dxa"/>
            <w:tcBorders>
              <w:top w:val="nil"/>
              <w:left w:val="nil"/>
              <w:bottom w:val="nil"/>
              <w:right w:val="nil"/>
            </w:tcBorders>
            <w:shd w:val="clear" w:color="auto" w:fill="auto"/>
            <w:noWrap/>
            <w:vAlign w:val="bottom"/>
            <w:hideMark/>
          </w:tcPr>
          <w:p w14:paraId="3D46D8A8"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ACFO</w:t>
            </w:r>
          </w:p>
        </w:tc>
        <w:tc>
          <w:tcPr>
            <w:tcW w:w="513" w:type="dxa"/>
            <w:tcBorders>
              <w:top w:val="nil"/>
              <w:left w:val="nil"/>
              <w:bottom w:val="nil"/>
              <w:right w:val="nil"/>
            </w:tcBorders>
            <w:shd w:val="clear" w:color="auto" w:fill="auto"/>
            <w:noWrap/>
            <w:vAlign w:val="bottom"/>
            <w:hideMark/>
          </w:tcPr>
          <w:p w14:paraId="61F27A13"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2E420AF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579</w:t>
            </w:r>
          </w:p>
        </w:tc>
        <w:tc>
          <w:tcPr>
            <w:tcW w:w="261" w:type="dxa"/>
            <w:tcBorders>
              <w:top w:val="nil"/>
              <w:left w:val="nil"/>
              <w:bottom w:val="nil"/>
              <w:right w:val="nil"/>
            </w:tcBorders>
            <w:shd w:val="clear" w:color="auto" w:fill="auto"/>
            <w:noWrap/>
            <w:vAlign w:val="bottom"/>
            <w:hideMark/>
          </w:tcPr>
          <w:p w14:paraId="36AB53F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65C0E0F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-0.51***</w:t>
            </w:r>
          </w:p>
        </w:tc>
        <w:tc>
          <w:tcPr>
            <w:tcW w:w="261" w:type="dxa"/>
            <w:tcBorders>
              <w:top w:val="nil"/>
              <w:left w:val="nil"/>
              <w:bottom w:val="nil"/>
              <w:right w:val="nil"/>
            </w:tcBorders>
            <w:shd w:val="clear" w:color="auto" w:fill="auto"/>
            <w:noWrap/>
            <w:vAlign w:val="bottom"/>
            <w:hideMark/>
          </w:tcPr>
          <w:p w14:paraId="3383C42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68" w:type="dxa"/>
            <w:tcBorders>
              <w:top w:val="nil"/>
              <w:left w:val="nil"/>
              <w:bottom w:val="nil"/>
              <w:right w:val="nil"/>
            </w:tcBorders>
            <w:shd w:val="clear" w:color="auto" w:fill="auto"/>
            <w:noWrap/>
            <w:vAlign w:val="bottom"/>
            <w:hideMark/>
          </w:tcPr>
          <w:p w14:paraId="6108737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-0.62</w:t>
            </w:r>
          </w:p>
        </w:tc>
        <w:tc>
          <w:tcPr>
            <w:tcW w:w="261" w:type="dxa"/>
            <w:tcBorders>
              <w:top w:val="nil"/>
              <w:left w:val="nil"/>
              <w:bottom w:val="nil"/>
              <w:right w:val="nil"/>
            </w:tcBorders>
            <w:shd w:val="clear" w:color="auto" w:fill="auto"/>
            <w:noWrap/>
            <w:vAlign w:val="bottom"/>
            <w:hideMark/>
          </w:tcPr>
          <w:p w14:paraId="1C41922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37" w:type="dxa"/>
            <w:tcBorders>
              <w:top w:val="nil"/>
              <w:left w:val="nil"/>
              <w:bottom w:val="nil"/>
              <w:right w:val="nil"/>
            </w:tcBorders>
            <w:shd w:val="clear" w:color="auto" w:fill="auto"/>
            <w:noWrap/>
            <w:vAlign w:val="bottom"/>
            <w:hideMark/>
          </w:tcPr>
          <w:p w14:paraId="1A902B9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-0.09***</w:t>
            </w:r>
          </w:p>
        </w:tc>
        <w:tc>
          <w:tcPr>
            <w:tcW w:w="261" w:type="dxa"/>
            <w:tcBorders>
              <w:top w:val="nil"/>
              <w:left w:val="nil"/>
              <w:bottom w:val="nil"/>
              <w:right w:val="nil"/>
            </w:tcBorders>
            <w:shd w:val="clear" w:color="auto" w:fill="auto"/>
            <w:noWrap/>
            <w:vAlign w:val="bottom"/>
            <w:hideMark/>
          </w:tcPr>
          <w:p w14:paraId="27E6439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73" w:type="dxa"/>
            <w:tcBorders>
              <w:top w:val="nil"/>
              <w:left w:val="nil"/>
              <w:bottom w:val="nil"/>
              <w:right w:val="nil"/>
            </w:tcBorders>
            <w:shd w:val="clear" w:color="auto" w:fill="auto"/>
            <w:noWrap/>
            <w:vAlign w:val="bottom"/>
            <w:hideMark/>
          </w:tcPr>
          <w:p w14:paraId="47BC912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0.14</w:t>
            </w:r>
          </w:p>
        </w:tc>
        <w:tc>
          <w:tcPr>
            <w:tcW w:w="261" w:type="dxa"/>
            <w:tcBorders>
              <w:top w:val="nil"/>
              <w:left w:val="nil"/>
              <w:bottom w:val="nil"/>
              <w:right w:val="nil"/>
            </w:tcBorders>
            <w:shd w:val="clear" w:color="auto" w:fill="auto"/>
            <w:noWrap/>
            <w:vAlign w:val="bottom"/>
            <w:hideMark/>
          </w:tcPr>
          <w:p w14:paraId="2818C0E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747" w:type="dxa"/>
            <w:tcBorders>
              <w:top w:val="nil"/>
              <w:left w:val="nil"/>
              <w:bottom w:val="nil"/>
              <w:right w:val="nil"/>
            </w:tcBorders>
            <w:shd w:val="clear" w:color="auto" w:fill="auto"/>
            <w:noWrap/>
            <w:vAlign w:val="bottom"/>
            <w:hideMark/>
          </w:tcPr>
          <w:p w14:paraId="58AD724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1.84</w:t>
            </w:r>
          </w:p>
        </w:tc>
        <w:tc>
          <w:tcPr>
            <w:tcW w:w="261" w:type="dxa"/>
            <w:tcBorders>
              <w:top w:val="nil"/>
              <w:left w:val="nil"/>
              <w:bottom w:val="nil"/>
              <w:right w:val="nil"/>
            </w:tcBorders>
            <w:shd w:val="clear" w:color="auto" w:fill="auto"/>
            <w:noWrap/>
            <w:vAlign w:val="bottom"/>
            <w:hideMark/>
          </w:tcPr>
          <w:p w14:paraId="1105DA2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288E9AC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333</w:t>
            </w:r>
          </w:p>
        </w:tc>
        <w:tc>
          <w:tcPr>
            <w:tcW w:w="261" w:type="dxa"/>
            <w:tcBorders>
              <w:top w:val="nil"/>
              <w:left w:val="nil"/>
              <w:bottom w:val="nil"/>
              <w:right w:val="nil"/>
            </w:tcBorders>
            <w:shd w:val="clear" w:color="auto" w:fill="auto"/>
            <w:noWrap/>
            <w:vAlign w:val="bottom"/>
            <w:hideMark/>
          </w:tcPr>
          <w:p w14:paraId="01D590C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48" w:type="dxa"/>
            <w:tcBorders>
              <w:top w:val="nil"/>
              <w:left w:val="nil"/>
              <w:bottom w:val="nil"/>
              <w:right w:val="nil"/>
            </w:tcBorders>
            <w:shd w:val="clear" w:color="auto" w:fill="auto"/>
            <w:noWrap/>
            <w:vAlign w:val="bottom"/>
            <w:hideMark/>
          </w:tcPr>
          <w:p w14:paraId="791EED4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-0.07</w:t>
            </w:r>
          </w:p>
        </w:tc>
        <w:tc>
          <w:tcPr>
            <w:tcW w:w="261" w:type="dxa"/>
            <w:tcBorders>
              <w:top w:val="nil"/>
              <w:left w:val="nil"/>
              <w:bottom w:val="nil"/>
              <w:right w:val="nil"/>
            </w:tcBorders>
            <w:shd w:val="clear" w:color="auto" w:fill="auto"/>
            <w:noWrap/>
            <w:vAlign w:val="bottom"/>
            <w:hideMark/>
          </w:tcPr>
          <w:p w14:paraId="3281298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01" w:type="dxa"/>
            <w:tcBorders>
              <w:top w:val="nil"/>
              <w:left w:val="nil"/>
              <w:bottom w:val="nil"/>
              <w:right w:val="nil"/>
            </w:tcBorders>
            <w:shd w:val="clear" w:color="auto" w:fill="auto"/>
            <w:noWrap/>
            <w:vAlign w:val="bottom"/>
            <w:hideMark/>
          </w:tcPr>
          <w:p w14:paraId="202369D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246</w:t>
            </w:r>
          </w:p>
        </w:tc>
        <w:tc>
          <w:tcPr>
            <w:tcW w:w="261" w:type="dxa"/>
            <w:tcBorders>
              <w:top w:val="nil"/>
              <w:left w:val="nil"/>
              <w:bottom w:val="nil"/>
              <w:right w:val="nil"/>
            </w:tcBorders>
            <w:shd w:val="clear" w:color="auto" w:fill="auto"/>
            <w:noWrap/>
            <w:vAlign w:val="bottom"/>
            <w:hideMark/>
          </w:tcPr>
          <w:p w14:paraId="099FA39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48" w:type="dxa"/>
            <w:tcBorders>
              <w:top w:val="nil"/>
              <w:left w:val="nil"/>
              <w:bottom w:val="nil"/>
              <w:right w:val="nil"/>
            </w:tcBorders>
            <w:shd w:val="clear" w:color="auto" w:fill="auto"/>
            <w:noWrap/>
            <w:vAlign w:val="bottom"/>
            <w:hideMark/>
          </w:tcPr>
          <w:p w14:paraId="4C5291F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-0.16</w:t>
            </w:r>
          </w:p>
        </w:tc>
        <w:tc>
          <w:tcPr>
            <w:tcW w:w="261" w:type="dxa"/>
            <w:tcBorders>
              <w:top w:val="nil"/>
              <w:left w:val="nil"/>
              <w:bottom w:val="nil"/>
              <w:right w:val="nil"/>
            </w:tcBorders>
            <w:shd w:val="clear" w:color="auto" w:fill="auto"/>
            <w:noWrap/>
            <w:vAlign w:val="bottom"/>
            <w:hideMark/>
          </w:tcPr>
          <w:p w14:paraId="16B6BBF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299" w:type="dxa"/>
            <w:tcBorders>
              <w:top w:val="nil"/>
              <w:left w:val="nil"/>
              <w:bottom w:val="nil"/>
              <w:right w:val="nil"/>
            </w:tcBorders>
            <w:shd w:val="clear" w:color="auto" w:fill="auto"/>
            <w:noWrap/>
            <w:vAlign w:val="bottom"/>
            <w:hideMark/>
          </w:tcPr>
          <w:p w14:paraId="7B551F7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0.09**</w:t>
            </w:r>
          </w:p>
        </w:tc>
      </w:tr>
      <w:tr w:rsidR="002C6719" w:rsidRPr="00E915AA" w14:paraId="05101BA5" w14:textId="77777777" w:rsidTr="0073176B">
        <w:trPr>
          <w:trHeight w:val="240"/>
        </w:trPr>
        <w:tc>
          <w:tcPr>
            <w:tcW w:w="2127" w:type="dxa"/>
            <w:tcBorders>
              <w:top w:val="nil"/>
              <w:left w:val="nil"/>
              <w:bottom w:val="single" w:sz="4" w:space="0" w:color="auto"/>
              <w:right w:val="nil"/>
            </w:tcBorders>
            <w:shd w:val="clear" w:color="auto" w:fill="auto"/>
            <w:noWrap/>
            <w:vAlign w:val="bottom"/>
            <w:hideMark/>
          </w:tcPr>
          <w:p w14:paraId="6FC87612"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ADISEXP</w:t>
            </w:r>
          </w:p>
        </w:tc>
        <w:tc>
          <w:tcPr>
            <w:tcW w:w="513" w:type="dxa"/>
            <w:tcBorders>
              <w:top w:val="nil"/>
              <w:left w:val="nil"/>
              <w:bottom w:val="single" w:sz="4" w:space="0" w:color="auto"/>
              <w:right w:val="nil"/>
            </w:tcBorders>
            <w:shd w:val="clear" w:color="auto" w:fill="auto"/>
            <w:noWrap/>
            <w:vAlign w:val="bottom"/>
            <w:hideMark/>
          </w:tcPr>
          <w:p w14:paraId="7866960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01" w:type="dxa"/>
            <w:tcBorders>
              <w:top w:val="nil"/>
              <w:left w:val="nil"/>
              <w:bottom w:val="single" w:sz="4" w:space="0" w:color="auto"/>
              <w:right w:val="nil"/>
            </w:tcBorders>
            <w:shd w:val="clear" w:color="auto" w:fill="auto"/>
            <w:noWrap/>
            <w:vAlign w:val="bottom"/>
            <w:hideMark/>
          </w:tcPr>
          <w:p w14:paraId="1297B1A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479</w:t>
            </w:r>
          </w:p>
        </w:tc>
        <w:tc>
          <w:tcPr>
            <w:tcW w:w="261" w:type="dxa"/>
            <w:tcBorders>
              <w:top w:val="nil"/>
              <w:left w:val="nil"/>
              <w:bottom w:val="single" w:sz="4" w:space="0" w:color="auto"/>
              <w:right w:val="nil"/>
            </w:tcBorders>
            <w:shd w:val="clear" w:color="auto" w:fill="auto"/>
            <w:noWrap/>
            <w:vAlign w:val="bottom"/>
            <w:hideMark/>
          </w:tcPr>
          <w:p w14:paraId="6087961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4C96715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0.79***</w:t>
            </w:r>
          </w:p>
        </w:tc>
        <w:tc>
          <w:tcPr>
            <w:tcW w:w="261" w:type="dxa"/>
            <w:tcBorders>
              <w:top w:val="nil"/>
              <w:left w:val="nil"/>
              <w:bottom w:val="single" w:sz="4" w:space="0" w:color="auto"/>
              <w:right w:val="nil"/>
            </w:tcBorders>
            <w:shd w:val="clear" w:color="auto" w:fill="auto"/>
            <w:noWrap/>
            <w:vAlign w:val="bottom"/>
            <w:hideMark/>
          </w:tcPr>
          <w:p w14:paraId="4287B14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668" w:type="dxa"/>
            <w:tcBorders>
              <w:top w:val="nil"/>
              <w:left w:val="nil"/>
              <w:bottom w:val="single" w:sz="4" w:space="0" w:color="auto"/>
              <w:right w:val="nil"/>
            </w:tcBorders>
            <w:shd w:val="clear" w:color="auto" w:fill="auto"/>
            <w:noWrap/>
            <w:vAlign w:val="bottom"/>
            <w:hideMark/>
          </w:tcPr>
          <w:p w14:paraId="6AAA0A3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-0.11</w:t>
            </w:r>
          </w:p>
        </w:tc>
        <w:tc>
          <w:tcPr>
            <w:tcW w:w="261" w:type="dxa"/>
            <w:tcBorders>
              <w:top w:val="nil"/>
              <w:left w:val="nil"/>
              <w:bottom w:val="single" w:sz="4" w:space="0" w:color="auto"/>
              <w:right w:val="nil"/>
            </w:tcBorders>
            <w:shd w:val="clear" w:color="auto" w:fill="auto"/>
            <w:noWrap/>
            <w:vAlign w:val="bottom"/>
            <w:hideMark/>
          </w:tcPr>
          <w:p w14:paraId="185632F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37" w:type="dxa"/>
            <w:tcBorders>
              <w:top w:val="nil"/>
              <w:left w:val="nil"/>
              <w:bottom w:val="single" w:sz="4" w:space="0" w:color="auto"/>
              <w:right w:val="nil"/>
            </w:tcBorders>
            <w:shd w:val="clear" w:color="auto" w:fill="auto"/>
            <w:noWrap/>
            <w:vAlign w:val="bottom"/>
            <w:hideMark/>
          </w:tcPr>
          <w:p w14:paraId="3DED67B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0.26***</w:t>
            </w:r>
          </w:p>
        </w:tc>
        <w:tc>
          <w:tcPr>
            <w:tcW w:w="261" w:type="dxa"/>
            <w:tcBorders>
              <w:top w:val="nil"/>
              <w:left w:val="nil"/>
              <w:bottom w:val="single" w:sz="4" w:space="0" w:color="auto"/>
              <w:right w:val="nil"/>
            </w:tcBorders>
            <w:shd w:val="clear" w:color="auto" w:fill="auto"/>
            <w:noWrap/>
            <w:vAlign w:val="bottom"/>
            <w:hideMark/>
          </w:tcPr>
          <w:p w14:paraId="57B1F19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73" w:type="dxa"/>
            <w:tcBorders>
              <w:top w:val="nil"/>
              <w:left w:val="nil"/>
              <w:bottom w:val="single" w:sz="4" w:space="0" w:color="auto"/>
              <w:right w:val="nil"/>
            </w:tcBorders>
            <w:shd w:val="clear" w:color="auto" w:fill="auto"/>
            <w:noWrap/>
            <w:vAlign w:val="bottom"/>
            <w:hideMark/>
          </w:tcPr>
          <w:p w14:paraId="608CFFB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1.07</w:t>
            </w:r>
          </w:p>
        </w:tc>
        <w:tc>
          <w:tcPr>
            <w:tcW w:w="261" w:type="dxa"/>
            <w:tcBorders>
              <w:top w:val="nil"/>
              <w:left w:val="nil"/>
              <w:bottom w:val="single" w:sz="4" w:space="0" w:color="auto"/>
              <w:right w:val="nil"/>
            </w:tcBorders>
            <w:shd w:val="clear" w:color="auto" w:fill="auto"/>
            <w:noWrap/>
            <w:vAlign w:val="bottom"/>
            <w:hideMark/>
          </w:tcPr>
          <w:p w14:paraId="1C3B30F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747" w:type="dxa"/>
            <w:tcBorders>
              <w:top w:val="nil"/>
              <w:left w:val="nil"/>
              <w:bottom w:val="single" w:sz="4" w:space="0" w:color="auto"/>
              <w:right w:val="nil"/>
            </w:tcBorders>
            <w:shd w:val="clear" w:color="auto" w:fill="auto"/>
            <w:noWrap/>
            <w:vAlign w:val="bottom"/>
            <w:hideMark/>
          </w:tcPr>
          <w:p w14:paraId="25D1C4D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2.55</w:t>
            </w:r>
          </w:p>
        </w:tc>
        <w:tc>
          <w:tcPr>
            <w:tcW w:w="261" w:type="dxa"/>
            <w:tcBorders>
              <w:top w:val="nil"/>
              <w:left w:val="nil"/>
              <w:bottom w:val="single" w:sz="4" w:space="0" w:color="auto"/>
              <w:right w:val="nil"/>
            </w:tcBorders>
            <w:shd w:val="clear" w:color="auto" w:fill="auto"/>
            <w:noWrap/>
            <w:vAlign w:val="bottom"/>
            <w:hideMark/>
          </w:tcPr>
          <w:p w14:paraId="7B78B7BA"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01" w:type="dxa"/>
            <w:tcBorders>
              <w:top w:val="nil"/>
              <w:left w:val="nil"/>
              <w:bottom w:val="single" w:sz="4" w:space="0" w:color="auto"/>
              <w:right w:val="nil"/>
            </w:tcBorders>
            <w:shd w:val="clear" w:color="auto" w:fill="auto"/>
            <w:noWrap/>
            <w:vAlign w:val="bottom"/>
            <w:hideMark/>
          </w:tcPr>
          <w:p w14:paraId="612D5C0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284</w:t>
            </w:r>
          </w:p>
        </w:tc>
        <w:tc>
          <w:tcPr>
            <w:tcW w:w="261" w:type="dxa"/>
            <w:tcBorders>
              <w:top w:val="nil"/>
              <w:left w:val="nil"/>
              <w:bottom w:val="single" w:sz="4" w:space="0" w:color="auto"/>
              <w:right w:val="nil"/>
            </w:tcBorders>
            <w:shd w:val="clear" w:color="auto" w:fill="auto"/>
            <w:noWrap/>
            <w:vAlign w:val="bottom"/>
            <w:hideMark/>
          </w:tcPr>
          <w:p w14:paraId="24310D6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48" w:type="dxa"/>
            <w:tcBorders>
              <w:top w:val="nil"/>
              <w:left w:val="nil"/>
              <w:bottom w:val="single" w:sz="4" w:space="0" w:color="auto"/>
              <w:right w:val="nil"/>
            </w:tcBorders>
            <w:shd w:val="clear" w:color="auto" w:fill="auto"/>
            <w:noWrap/>
            <w:vAlign w:val="bottom"/>
            <w:hideMark/>
          </w:tcPr>
          <w:p w14:paraId="08DC087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0.16</w:t>
            </w:r>
          </w:p>
        </w:tc>
        <w:tc>
          <w:tcPr>
            <w:tcW w:w="261" w:type="dxa"/>
            <w:tcBorders>
              <w:top w:val="nil"/>
              <w:left w:val="nil"/>
              <w:bottom w:val="single" w:sz="4" w:space="0" w:color="auto"/>
              <w:right w:val="nil"/>
            </w:tcBorders>
            <w:shd w:val="clear" w:color="auto" w:fill="auto"/>
            <w:noWrap/>
            <w:vAlign w:val="bottom"/>
            <w:hideMark/>
          </w:tcPr>
          <w:p w14:paraId="7C3E04E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01" w:type="dxa"/>
            <w:tcBorders>
              <w:top w:val="nil"/>
              <w:left w:val="nil"/>
              <w:bottom w:val="single" w:sz="4" w:space="0" w:color="auto"/>
              <w:right w:val="nil"/>
            </w:tcBorders>
            <w:shd w:val="clear" w:color="auto" w:fill="auto"/>
            <w:noWrap/>
            <w:vAlign w:val="bottom"/>
            <w:hideMark/>
          </w:tcPr>
          <w:p w14:paraId="724F619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195</w:t>
            </w:r>
          </w:p>
        </w:tc>
        <w:tc>
          <w:tcPr>
            <w:tcW w:w="261" w:type="dxa"/>
            <w:tcBorders>
              <w:top w:val="nil"/>
              <w:left w:val="nil"/>
              <w:bottom w:val="single" w:sz="4" w:space="0" w:color="auto"/>
              <w:right w:val="nil"/>
            </w:tcBorders>
            <w:shd w:val="clear" w:color="auto" w:fill="auto"/>
            <w:noWrap/>
            <w:vAlign w:val="bottom"/>
            <w:hideMark/>
          </w:tcPr>
          <w:p w14:paraId="6A60D7B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48" w:type="dxa"/>
            <w:tcBorders>
              <w:top w:val="nil"/>
              <w:left w:val="nil"/>
              <w:bottom w:val="single" w:sz="4" w:space="0" w:color="auto"/>
              <w:right w:val="nil"/>
            </w:tcBorders>
            <w:shd w:val="clear" w:color="auto" w:fill="auto"/>
            <w:noWrap/>
            <w:vAlign w:val="bottom"/>
            <w:hideMark/>
          </w:tcPr>
          <w:p w14:paraId="2040884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0.49</w:t>
            </w:r>
          </w:p>
        </w:tc>
        <w:tc>
          <w:tcPr>
            <w:tcW w:w="261" w:type="dxa"/>
            <w:tcBorders>
              <w:top w:val="nil"/>
              <w:left w:val="nil"/>
              <w:bottom w:val="single" w:sz="4" w:space="0" w:color="auto"/>
              <w:right w:val="nil"/>
            </w:tcBorders>
            <w:shd w:val="clear" w:color="auto" w:fill="auto"/>
            <w:noWrap/>
            <w:vAlign w:val="bottom"/>
            <w:hideMark/>
          </w:tcPr>
          <w:p w14:paraId="66B9153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1299" w:type="dxa"/>
            <w:tcBorders>
              <w:top w:val="nil"/>
              <w:left w:val="nil"/>
              <w:bottom w:val="single" w:sz="4" w:space="0" w:color="auto"/>
              <w:right w:val="nil"/>
            </w:tcBorders>
            <w:shd w:val="clear" w:color="auto" w:fill="auto"/>
            <w:noWrap/>
            <w:vAlign w:val="bottom"/>
            <w:hideMark/>
          </w:tcPr>
          <w:p w14:paraId="656F976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-0.33**</w:t>
            </w:r>
          </w:p>
        </w:tc>
      </w:tr>
    </w:tbl>
    <w:p w14:paraId="56013885" w14:textId="77777777" w:rsidR="002C6719" w:rsidRPr="00E915AA" w:rsidRDefault="002C6719" w:rsidP="002C6719">
      <w:pPr>
        <w:keepNext/>
        <w:spacing w:before="240" w:after="240" w:line="360" w:lineRule="auto"/>
        <w:rPr>
          <w:rFonts w:ascii="Times New Roman" w:eastAsia="Calibri" w:hAnsi="Times New Roman" w:cs="Times New Roman"/>
          <w:b/>
          <w:iCs/>
          <w:color w:val="000000"/>
          <w:sz w:val="20"/>
          <w:szCs w:val="18"/>
          <w:lang w:val="en-GB" w:eastAsia="en-GB"/>
        </w:rPr>
        <w:sectPr w:rsidR="002C6719" w:rsidRPr="00E915AA" w:rsidSect="0073176B">
          <w:pgSz w:w="16838" w:h="11906" w:orient="landscape"/>
          <w:pgMar w:top="1440" w:right="1440" w:bottom="1440" w:left="1440" w:header="708" w:footer="708" w:gutter="0"/>
          <w:cols w:space="708"/>
          <w:docGrid w:linePitch="360"/>
        </w:sectPr>
      </w:pPr>
    </w:p>
    <w:tbl>
      <w:tblPr>
        <w:tblW w:w="13560" w:type="dxa"/>
        <w:tblLook w:val="04A0" w:firstRow="1" w:lastRow="0" w:firstColumn="1" w:lastColumn="0" w:noHBand="0" w:noVBand="1"/>
      </w:tblPr>
      <w:tblGrid>
        <w:gridCol w:w="1889"/>
        <w:gridCol w:w="256"/>
        <w:gridCol w:w="521"/>
        <w:gridCol w:w="257"/>
        <w:gridCol w:w="1297"/>
        <w:gridCol w:w="257"/>
        <w:gridCol w:w="847"/>
        <w:gridCol w:w="257"/>
        <w:gridCol w:w="996"/>
        <w:gridCol w:w="257"/>
        <w:gridCol w:w="596"/>
        <w:gridCol w:w="257"/>
        <w:gridCol w:w="897"/>
        <w:gridCol w:w="257"/>
        <w:gridCol w:w="521"/>
        <w:gridCol w:w="257"/>
        <w:gridCol w:w="846"/>
        <w:gridCol w:w="257"/>
        <w:gridCol w:w="521"/>
        <w:gridCol w:w="257"/>
        <w:gridCol w:w="846"/>
        <w:gridCol w:w="257"/>
        <w:gridCol w:w="1355"/>
      </w:tblGrid>
      <w:tr w:rsidR="002C6719" w:rsidRPr="00E915AA" w14:paraId="0AEF7993" w14:textId="77777777" w:rsidTr="0073176B">
        <w:trPr>
          <w:trHeight w:val="495"/>
        </w:trPr>
        <w:tc>
          <w:tcPr>
            <w:tcW w:w="13560" w:type="dxa"/>
            <w:gridSpan w:val="23"/>
            <w:tcBorders>
              <w:top w:val="single" w:sz="4" w:space="0" w:color="auto"/>
              <w:left w:val="nil"/>
              <w:bottom w:val="single" w:sz="4" w:space="0" w:color="auto"/>
              <w:right w:val="nil"/>
            </w:tcBorders>
            <w:shd w:val="clear" w:color="auto" w:fill="auto"/>
            <w:noWrap/>
            <w:vAlign w:val="bottom"/>
            <w:hideMark/>
          </w:tcPr>
          <w:p w14:paraId="07E22D46"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r w:rsidRPr="00E915AA">
              <w:rPr>
                <w:rFonts w:ascii="Times New Roman" w:eastAsia="Times New Roman" w:hAnsi="Times New Roman" w:cs="Times New Roman"/>
                <w:b/>
                <w:bCs/>
                <w:color w:val="000000"/>
                <w:sz w:val="18"/>
                <w:szCs w:val="18"/>
                <w:lang w:eastAsia="en-GB"/>
              </w:rPr>
              <w:lastRenderedPageBreak/>
              <w:t>Panel C. Firm characteristics</w:t>
            </w:r>
          </w:p>
        </w:tc>
      </w:tr>
      <w:tr w:rsidR="002C6719" w:rsidRPr="00E915AA" w14:paraId="59368A8F" w14:textId="77777777" w:rsidTr="0073176B">
        <w:trPr>
          <w:trHeight w:val="675"/>
        </w:trPr>
        <w:tc>
          <w:tcPr>
            <w:tcW w:w="2067" w:type="dxa"/>
            <w:tcBorders>
              <w:top w:val="nil"/>
              <w:left w:val="nil"/>
              <w:bottom w:val="nil"/>
              <w:right w:val="nil"/>
            </w:tcBorders>
            <w:shd w:val="clear" w:color="auto" w:fill="auto"/>
            <w:noWrap/>
            <w:vAlign w:val="bottom"/>
            <w:hideMark/>
          </w:tcPr>
          <w:p w14:paraId="2017B726"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p>
        </w:tc>
        <w:tc>
          <w:tcPr>
            <w:tcW w:w="139" w:type="dxa"/>
            <w:tcBorders>
              <w:top w:val="nil"/>
              <w:left w:val="nil"/>
              <w:bottom w:val="nil"/>
              <w:right w:val="nil"/>
            </w:tcBorders>
            <w:shd w:val="clear" w:color="auto" w:fill="auto"/>
            <w:noWrap/>
            <w:vAlign w:val="bottom"/>
            <w:hideMark/>
          </w:tcPr>
          <w:p w14:paraId="48D9EFDE"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6256" w:type="dxa"/>
            <w:gridSpan w:val="11"/>
            <w:tcBorders>
              <w:top w:val="single" w:sz="4" w:space="0" w:color="auto"/>
              <w:left w:val="nil"/>
              <w:bottom w:val="single" w:sz="4" w:space="0" w:color="auto"/>
              <w:right w:val="nil"/>
            </w:tcBorders>
            <w:shd w:val="clear" w:color="auto" w:fill="auto"/>
            <w:noWrap/>
            <w:vAlign w:val="bottom"/>
            <w:hideMark/>
          </w:tcPr>
          <w:p w14:paraId="6BD3E0E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All IPOs</w:t>
            </w:r>
          </w:p>
        </w:tc>
        <w:tc>
          <w:tcPr>
            <w:tcW w:w="138" w:type="dxa"/>
            <w:tcBorders>
              <w:top w:val="nil"/>
              <w:left w:val="nil"/>
              <w:bottom w:val="nil"/>
              <w:right w:val="nil"/>
            </w:tcBorders>
            <w:shd w:val="clear" w:color="auto" w:fill="auto"/>
            <w:noWrap/>
            <w:vAlign w:val="bottom"/>
            <w:hideMark/>
          </w:tcPr>
          <w:p w14:paraId="3A68D6A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604" w:type="dxa"/>
            <w:gridSpan w:val="3"/>
            <w:tcBorders>
              <w:top w:val="single" w:sz="4" w:space="0" w:color="auto"/>
              <w:left w:val="nil"/>
              <w:bottom w:val="single" w:sz="4" w:space="0" w:color="auto"/>
              <w:right w:val="nil"/>
            </w:tcBorders>
            <w:shd w:val="clear" w:color="auto" w:fill="auto"/>
            <w:vAlign w:val="bottom"/>
            <w:hideMark/>
          </w:tcPr>
          <w:p w14:paraId="6300074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receiving SEC comments about core-accounting issues</w:t>
            </w:r>
          </w:p>
        </w:tc>
        <w:tc>
          <w:tcPr>
            <w:tcW w:w="138" w:type="dxa"/>
            <w:tcBorders>
              <w:top w:val="nil"/>
              <w:left w:val="nil"/>
              <w:bottom w:val="nil"/>
              <w:right w:val="nil"/>
            </w:tcBorders>
            <w:shd w:val="clear" w:color="auto" w:fill="auto"/>
            <w:noWrap/>
            <w:vAlign w:val="bottom"/>
            <w:hideMark/>
          </w:tcPr>
          <w:p w14:paraId="13233E1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604" w:type="dxa"/>
            <w:gridSpan w:val="3"/>
            <w:tcBorders>
              <w:top w:val="single" w:sz="4" w:space="0" w:color="auto"/>
              <w:left w:val="nil"/>
              <w:bottom w:val="single" w:sz="4" w:space="0" w:color="auto"/>
              <w:right w:val="nil"/>
            </w:tcBorders>
            <w:shd w:val="clear" w:color="auto" w:fill="auto"/>
            <w:vAlign w:val="bottom"/>
            <w:hideMark/>
          </w:tcPr>
          <w:p w14:paraId="4A123E1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not receiving SEC comments about core-accounting issues</w:t>
            </w:r>
          </w:p>
        </w:tc>
        <w:tc>
          <w:tcPr>
            <w:tcW w:w="138" w:type="dxa"/>
            <w:tcBorders>
              <w:top w:val="nil"/>
              <w:left w:val="nil"/>
              <w:bottom w:val="nil"/>
              <w:right w:val="nil"/>
            </w:tcBorders>
            <w:shd w:val="clear" w:color="auto" w:fill="auto"/>
            <w:noWrap/>
            <w:vAlign w:val="bottom"/>
            <w:hideMark/>
          </w:tcPr>
          <w:p w14:paraId="38E4DF9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single" w:sz="4" w:space="0" w:color="auto"/>
              <w:right w:val="nil"/>
            </w:tcBorders>
            <w:shd w:val="clear" w:color="auto" w:fill="auto"/>
            <w:noWrap/>
            <w:vAlign w:val="bottom"/>
            <w:hideMark/>
          </w:tcPr>
          <w:p w14:paraId="3F6322B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Difference</w:t>
            </w:r>
          </w:p>
        </w:tc>
      </w:tr>
      <w:tr w:rsidR="002C6719" w:rsidRPr="00E915AA" w14:paraId="3C53AC59" w14:textId="77777777" w:rsidTr="0073176B">
        <w:trPr>
          <w:trHeight w:val="240"/>
        </w:trPr>
        <w:tc>
          <w:tcPr>
            <w:tcW w:w="2067" w:type="dxa"/>
            <w:tcBorders>
              <w:top w:val="nil"/>
              <w:left w:val="nil"/>
              <w:bottom w:val="nil"/>
              <w:right w:val="nil"/>
            </w:tcBorders>
            <w:shd w:val="clear" w:color="auto" w:fill="auto"/>
            <w:noWrap/>
            <w:vAlign w:val="bottom"/>
            <w:hideMark/>
          </w:tcPr>
          <w:p w14:paraId="1C6E7AE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39" w:type="dxa"/>
            <w:tcBorders>
              <w:top w:val="nil"/>
              <w:left w:val="nil"/>
              <w:bottom w:val="nil"/>
              <w:right w:val="nil"/>
            </w:tcBorders>
            <w:shd w:val="clear" w:color="auto" w:fill="auto"/>
            <w:noWrap/>
            <w:vAlign w:val="bottom"/>
            <w:hideMark/>
          </w:tcPr>
          <w:p w14:paraId="556C9E91"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54" w:type="dxa"/>
            <w:tcBorders>
              <w:top w:val="nil"/>
              <w:left w:val="nil"/>
              <w:bottom w:val="single" w:sz="4" w:space="0" w:color="auto"/>
              <w:right w:val="nil"/>
            </w:tcBorders>
            <w:shd w:val="clear" w:color="auto" w:fill="auto"/>
            <w:noWrap/>
            <w:vAlign w:val="bottom"/>
            <w:hideMark/>
          </w:tcPr>
          <w:p w14:paraId="430C0D8C"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9" w:type="dxa"/>
            <w:tcBorders>
              <w:top w:val="nil"/>
              <w:left w:val="nil"/>
              <w:bottom w:val="nil"/>
              <w:right w:val="nil"/>
            </w:tcBorders>
            <w:shd w:val="clear" w:color="auto" w:fill="auto"/>
            <w:noWrap/>
            <w:vAlign w:val="bottom"/>
            <w:hideMark/>
          </w:tcPr>
          <w:p w14:paraId="40708AC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412" w:type="dxa"/>
            <w:tcBorders>
              <w:top w:val="nil"/>
              <w:left w:val="nil"/>
              <w:bottom w:val="single" w:sz="4" w:space="0" w:color="auto"/>
              <w:right w:val="nil"/>
            </w:tcBorders>
            <w:shd w:val="clear" w:color="auto" w:fill="auto"/>
            <w:noWrap/>
            <w:vAlign w:val="bottom"/>
            <w:hideMark/>
          </w:tcPr>
          <w:p w14:paraId="3888C2B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9" w:type="dxa"/>
            <w:tcBorders>
              <w:top w:val="nil"/>
              <w:left w:val="nil"/>
              <w:bottom w:val="nil"/>
              <w:right w:val="nil"/>
            </w:tcBorders>
            <w:shd w:val="clear" w:color="auto" w:fill="auto"/>
            <w:noWrap/>
            <w:vAlign w:val="bottom"/>
            <w:hideMark/>
          </w:tcPr>
          <w:p w14:paraId="71A3D3A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4" w:type="dxa"/>
            <w:tcBorders>
              <w:top w:val="nil"/>
              <w:left w:val="nil"/>
              <w:bottom w:val="single" w:sz="4" w:space="0" w:color="auto"/>
              <w:right w:val="nil"/>
            </w:tcBorders>
            <w:shd w:val="clear" w:color="auto" w:fill="auto"/>
            <w:noWrap/>
            <w:vAlign w:val="bottom"/>
            <w:hideMark/>
          </w:tcPr>
          <w:p w14:paraId="34FCA03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p25</w:t>
            </w:r>
          </w:p>
        </w:tc>
        <w:tc>
          <w:tcPr>
            <w:tcW w:w="138" w:type="dxa"/>
            <w:tcBorders>
              <w:top w:val="nil"/>
              <w:left w:val="nil"/>
              <w:bottom w:val="nil"/>
              <w:right w:val="nil"/>
            </w:tcBorders>
            <w:shd w:val="clear" w:color="auto" w:fill="auto"/>
            <w:noWrap/>
            <w:vAlign w:val="bottom"/>
            <w:hideMark/>
          </w:tcPr>
          <w:p w14:paraId="5A9A3384"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079" w:type="dxa"/>
            <w:tcBorders>
              <w:top w:val="nil"/>
              <w:left w:val="nil"/>
              <w:bottom w:val="single" w:sz="4" w:space="0" w:color="auto"/>
              <w:right w:val="nil"/>
            </w:tcBorders>
            <w:shd w:val="clear" w:color="auto" w:fill="auto"/>
            <w:noWrap/>
            <w:vAlign w:val="bottom"/>
            <w:hideMark/>
          </w:tcPr>
          <w:p w14:paraId="68B7463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p50</w:t>
            </w:r>
          </w:p>
        </w:tc>
        <w:tc>
          <w:tcPr>
            <w:tcW w:w="138" w:type="dxa"/>
            <w:tcBorders>
              <w:top w:val="nil"/>
              <w:left w:val="nil"/>
              <w:bottom w:val="nil"/>
              <w:right w:val="nil"/>
            </w:tcBorders>
            <w:shd w:val="clear" w:color="auto" w:fill="auto"/>
            <w:noWrap/>
            <w:vAlign w:val="bottom"/>
            <w:hideMark/>
          </w:tcPr>
          <w:p w14:paraId="5A0E729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636" w:type="dxa"/>
            <w:tcBorders>
              <w:top w:val="nil"/>
              <w:left w:val="nil"/>
              <w:bottom w:val="single" w:sz="4" w:space="0" w:color="auto"/>
              <w:right w:val="nil"/>
            </w:tcBorders>
            <w:shd w:val="clear" w:color="auto" w:fill="auto"/>
            <w:noWrap/>
            <w:vAlign w:val="bottom"/>
            <w:hideMark/>
          </w:tcPr>
          <w:p w14:paraId="774F024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p75</w:t>
            </w:r>
          </w:p>
        </w:tc>
        <w:tc>
          <w:tcPr>
            <w:tcW w:w="138" w:type="dxa"/>
            <w:tcBorders>
              <w:top w:val="nil"/>
              <w:left w:val="nil"/>
              <w:bottom w:val="nil"/>
              <w:right w:val="nil"/>
            </w:tcBorders>
            <w:shd w:val="clear" w:color="auto" w:fill="auto"/>
            <w:noWrap/>
            <w:vAlign w:val="bottom"/>
            <w:hideMark/>
          </w:tcPr>
          <w:p w14:paraId="2D17BF41"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69" w:type="dxa"/>
            <w:tcBorders>
              <w:top w:val="nil"/>
              <w:left w:val="nil"/>
              <w:bottom w:val="single" w:sz="4" w:space="0" w:color="auto"/>
              <w:right w:val="nil"/>
            </w:tcBorders>
            <w:shd w:val="clear" w:color="auto" w:fill="auto"/>
            <w:noWrap/>
            <w:vAlign w:val="bottom"/>
            <w:hideMark/>
          </w:tcPr>
          <w:p w14:paraId="0310E98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roofErr w:type="spellStart"/>
            <w:r w:rsidRPr="00E915AA">
              <w:rPr>
                <w:rFonts w:ascii="Times New Roman" w:eastAsia="Times New Roman" w:hAnsi="Times New Roman" w:cs="Times New Roman"/>
                <w:i/>
                <w:iCs/>
                <w:color w:val="000000"/>
                <w:sz w:val="18"/>
                <w:szCs w:val="18"/>
                <w:lang w:eastAsia="en-GB"/>
              </w:rPr>
              <w:t>sd</w:t>
            </w:r>
            <w:proofErr w:type="spellEnd"/>
          </w:p>
        </w:tc>
        <w:tc>
          <w:tcPr>
            <w:tcW w:w="138" w:type="dxa"/>
            <w:tcBorders>
              <w:top w:val="nil"/>
              <w:left w:val="nil"/>
              <w:bottom w:val="nil"/>
              <w:right w:val="nil"/>
            </w:tcBorders>
            <w:shd w:val="clear" w:color="auto" w:fill="auto"/>
            <w:noWrap/>
            <w:vAlign w:val="bottom"/>
            <w:hideMark/>
          </w:tcPr>
          <w:p w14:paraId="3ADB630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53" w:type="dxa"/>
            <w:tcBorders>
              <w:top w:val="nil"/>
              <w:left w:val="nil"/>
              <w:bottom w:val="single" w:sz="4" w:space="0" w:color="auto"/>
              <w:right w:val="nil"/>
            </w:tcBorders>
            <w:shd w:val="clear" w:color="auto" w:fill="auto"/>
            <w:noWrap/>
            <w:vAlign w:val="bottom"/>
            <w:hideMark/>
          </w:tcPr>
          <w:p w14:paraId="0D735AA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8" w:type="dxa"/>
            <w:tcBorders>
              <w:top w:val="nil"/>
              <w:left w:val="nil"/>
              <w:bottom w:val="nil"/>
              <w:right w:val="nil"/>
            </w:tcBorders>
            <w:shd w:val="clear" w:color="auto" w:fill="auto"/>
            <w:noWrap/>
            <w:vAlign w:val="bottom"/>
            <w:hideMark/>
          </w:tcPr>
          <w:p w14:paraId="1D6A090C"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3" w:type="dxa"/>
            <w:tcBorders>
              <w:top w:val="nil"/>
              <w:left w:val="nil"/>
              <w:bottom w:val="single" w:sz="4" w:space="0" w:color="auto"/>
              <w:right w:val="nil"/>
            </w:tcBorders>
            <w:shd w:val="clear" w:color="auto" w:fill="auto"/>
            <w:noWrap/>
            <w:vAlign w:val="bottom"/>
            <w:hideMark/>
          </w:tcPr>
          <w:p w14:paraId="07E9CA4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8" w:type="dxa"/>
            <w:tcBorders>
              <w:top w:val="nil"/>
              <w:left w:val="nil"/>
              <w:bottom w:val="nil"/>
              <w:right w:val="nil"/>
            </w:tcBorders>
            <w:shd w:val="clear" w:color="auto" w:fill="auto"/>
            <w:noWrap/>
            <w:vAlign w:val="bottom"/>
            <w:hideMark/>
          </w:tcPr>
          <w:p w14:paraId="2F02EDF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53" w:type="dxa"/>
            <w:tcBorders>
              <w:top w:val="nil"/>
              <w:left w:val="nil"/>
              <w:bottom w:val="single" w:sz="4" w:space="0" w:color="auto"/>
              <w:right w:val="nil"/>
            </w:tcBorders>
            <w:shd w:val="clear" w:color="auto" w:fill="auto"/>
            <w:noWrap/>
            <w:vAlign w:val="bottom"/>
            <w:hideMark/>
          </w:tcPr>
          <w:p w14:paraId="1E7048E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8" w:type="dxa"/>
            <w:tcBorders>
              <w:top w:val="nil"/>
              <w:left w:val="nil"/>
              <w:bottom w:val="nil"/>
              <w:right w:val="nil"/>
            </w:tcBorders>
            <w:shd w:val="clear" w:color="auto" w:fill="auto"/>
            <w:noWrap/>
            <w:vAlign w:val="bottom"/>
            <w:hideMark/>
          </w:tcPr>
          <w:p w14:paraId="54AA2295"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3" w:type="dxa"/>
            <w:tcBorders>
              <w:top w:val="nil"/>
              <w:left w:val="nil"/>
              <w:bottom w:val="single" w:sz="4" w:space="0" w:color="auto"/>
              <w:right w:val="nil"/>
            </w:tcBorders>
            <w:shd w:val="clear" w:color="auto" w:fill="auto"/>
            <w:noWrap/>
            <w:vAlign w:val="bottom"/>
            <w:hideMark/>
          </w:tcPr>
          <w:p w14:paraId="1DFD855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8" w:type="dxa"/>
            <w:tcBorders>
              <w:top w:val="nil"/>
              <w:left w:val="nil"/>
              <w:bottom w:val="nil"/>
              <w:right w:val="nil"/>
            </w:tcBorders>
            <w:shd w:val="clear" w:color="auto" w:fill="auto"/>
            <w:noWrap/>
            <w:vAlign w:val="bottom"/>
            <w:hideMark/>
          </w:tcPr>
          <w:p w14:paraId="21F16B4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5ADEC6B"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r>
      <w:tr w:rsidR="002C6719" w:rsidRPr="00E915AA" w14:paraId="7ECE3BDE" w14:textId="77777777" w:rsidTr="0073176B">
        <w:trPr>
          <w:trHeight w:val="240"/>
        </w:trPr>
        <w:tc>
          <w:tcPr>
            <w:tcW w:w="2067" w:type="dxa"/>
            <w:tcBorders>
              <w:top w:val="nil"/>
              <w:left w:val="nil"/>
              <w:bottom w:val="nil"/>
              <w:right w:val="nil"/>
            </w:tcBorders>
            <w:shd w:val="clear" w:color="auto" w:fill="auto"/>
            <w:noWrap/>
            <w:vAlign w:val="bottom"/>
            <w:hideMark/>
          </w:tcPr>
          <w:p w14:paraId="7107A640"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roofErr w:type="spellStart"/>
            <w:r w:rsidRPr="00E915AA">
              <w:rPr>
                <w:rFonts w:ascii="Times New Roman" w:eastAsia="Times New Roman" w:hAnsi="Times New Roman" w:cs="Times New Roman"/>
                <w:color w:val="000000"/>
                <w:sz w:val="18"/>
                <w:szCs w:val="18"/>
                <w:lang w:eastAsia="en-GB"/>
              </w:rPr>
              <w:t>LnSize</w:t>
            </w:r>
            <w:proofErr w:type="spellEnd"/>
          </w:p>
        </w:tc>
        <w:tc>
          <w:tcPr>
            <w:tcW w:w="139" w:type="dxa"/>
            <w:tcBorders>
              <w:top w:val="nil"/>
              <w:left w:val="nil"/>
              <w:bottom w:val="nil"/>
              <w:right w:val="nil"/>
            </w:tcBorders>
            <w:shd w:val="clear" w:color="auto" w:fill="auto"/>
            <w:noWrap/>
            <w:vAlign w:val="bottom"/>
            <w:hideMark/>
          </w:tcPr>
          <w:p w14:paraId="4D81CFD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08108A2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7D90184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1C01865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4.33***</w:t>
            </w:r>
          </w:p>
        </w:tc>
        <w:tc>
          <w:tcPr>
            <w:tcW w:w="139" w:type="dxa"/>
            <w:tcBorders>
              <w:top w:val="nil"/>
              <w:left w:val="nil"/>
              <w:bottom w:val="nil"/>
              <w:right w:val="nil"/>
            </w:tcBorders>
            <w:shd w:val="clear" w:color="auto" w:fill="auto"/>
            <w:noWrap/>
            <w:vAlign w:val="bottom"/>
            <w:hideMark/>
          </w:tcPr>
          <w:p w14:paraId="018C546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7F8F039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3.21</w:t>
            </w:r>
          </w:p>
        </w:tc>
        <w:tc>
          <w:tcPr>
            <w:tcW w:w="138" w:type="dxa"/>
            <w:tcBorders>
              <w:top w:val="nil"/>
              <w:left w:val="nil"/>
              <w:bottom w:val="nil"/>
              <w:right w:val="nil"/>
            </w:tcBorders>
            <w:shd w:val="clear" w:color="auto" w:fill="auto"/>
            <w:noWrap/>
            <w:vAlign w:val="bottom"/>
            <w:hideMark/>
          </w:tcPr>
          <w:p w14:paraId="2C8930E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26255E0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4.1***</w:t>
            </w:r>
          </w:p>
        </w:tc>
        <w:tc>
          <w:tcPr>
            <w:tcW w:w="138" w:type="dxa"/>
            <w:tcBorders>
              <w:top w:val="nil"/>
              <w:left w:val="nil"/>
              <w:bottom w:val="nil"/>
              <w:right w:val="nil"/>
            </w:tcBorders>
            <w:shd w:val="clear" w:color="auto" w:fill="auto"/>
            <w:noWrap/>
            <w:vAlign w:val="bottom"/>
            <w:hideMark/>
          </w:tcPr>
          <w:p w14:paraId="02957CD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3BE37B2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5.46</w:t>
            </w:r>
          </w:p>
        </w:tc>
        <w:tc>
          <w:tcPr>
            <w:tcW w:w="138" w:type="dxa"/>
            <w:tcBorders>
              <w:top w:val="nil"/>
              <w:left w:val="nil"/>
              <w:bottom w:val="nil"/>
              <w:right w:val="nil"/>
            </w:tcBorders>
            <w:shd w:val="clear" w:color="auto" w:fill="auto"/>
            <w:noWrap/>
            <w:vAlign w:val="bottom"/>
            <w:hideMark/>
          </w:tcPr>
          <w:p w14:paraId="20F87DB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77FB60D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1.92</w:t>
            </w:r>
          </w:p>
        </w:tc>
        <w:tc>
          <w:tcPr>
            <w:tcW w:w="138" w:type="dxa"/>
            <w:tcBorders>
              <w:top w:val="nil"/>
              <w:left w:val="nil"/>
              <w:bottom w:val="nil"/>
              <w:right w:val="nil"/>
            </w:tcBorders>
            <w:shd w:val="clear" w:color="auto" w:fill="auto"/>
            <w:noWrap/>
            <w:vAlign w:val="bottom"/>
            <w:hideMark/>
          </w:tcPr>
          <w:p w14:paraId="01C015D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4113AAC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2A8C93C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E0E1C3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4.51</w:t>
            </w:r>
          </w:p>
        </w:tc>
        <w:tc>
          <w:tcPr>
            <w:tcW w:w="138" w:type="dxa"/>
            <w:tcBorders>
              <w:top w:val="nil"/>
              <w:left w:val="nil"/>
              <w:bottom w:val="nil"/>
              <w:right w:val="nil"/>
            </w:tcBorders>
            <w:shd w:val="clear" w:color="auto" w:fill="auto"/>
            <w:noWrap/>
            <w:vAlign w:val="bottom"/>
            <w:hideMark/>
          </w:tcPr>
          <w:p w14:paraId="2E5CA16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32A7B96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6780F3A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5910D0F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4.02</w:t>
            </w:r>
          </w:p>
        </w:tc>
        <w:tc>
          <w:tcPr>
            <w:tcW w:w="138" w:type="dxa"/>
            <w:tcBorders>
              <w:top w:val="nil"/>
              <w:left w:val="nil"/>
              <w:bottom w:val="nil"/>
              <w:right w:val="nil"/>
            </w:tcBorders>
            <w:shd w:val="clear" w:color="auto" w:fill="auto"/>
            <w:noWrap/>
            <w:vAlign w:val="bottom"/>
            <w:hideMark/>
          </w:tcPr>
          <w:p w14:paraId="752E935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16D830A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0.49***</w:t>
            </w:r>
          </w:p>
        </w:tc>
      </w:tr>
      <w:tr w:rsidR="002C6719" w:rsidRPr="00E915AA" w14:paraId="5A98D46D" w14:textId="77777777" w:rsidTr="0073176B">
        <w:trPr>
          <w:trHeight w:val="240"/>
        </w:trPr>
        <w:tc>
          <w:tcPr>
            <w:tcW w:w="2067" w:type="dxa"/>
            <w:tcBorders>
              <w:top w:val="nil"/>
              <w:left w:val="nil"/>
              <w:bottom w:val="nil"/>
              <w:right w:val="nil"/>
            </w:tcBorders>
            <w:shd w:val="clear" w:color="auto" w:fill="auto"/>
            <w:noWrap/>
            <w:vAlign w:val="bottom"/>
            <w:hideMark/>
          </w:tcPr>
          <w:p w14:paraId="48DBBA5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Leverage</w:t>
            </w:r>
          </w:p>
        </w:tc>
        <w:tc>
          <w:tcPr>
            <w:tcW w:w="139" w:type="dxa"/>
            <w:tcBorders>
              <w:top w:val="nil"/>
              <w:left w:val="nil"/>
              <w:bottom w:val="nil"/>
              <w:right w:val="nil"/>
            </w:tcBorders>
            <w:shd w:val="clear" w:color="auto" w:fill="auto"/>
            <w:noWrap/>
            <w:vAlign w:val="bottom"/>
            <w:hideMark/>
          </w:tcPr>
          <w:p w14:paraId="308998C4"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29B6714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5724244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2090AB2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-28.4</w:t>
            </w:r>
          </w:p>
        </w:tc>
        <w:tc>
          <w:tcPr>
            <w:tcW w:w="139" w:type="dxa"/>
            <w:tcBorders>
              <w:top w:val="nil"/>
              <w:left w:val="nil"/>
              <w:bottom w:val="nil"/>
              <w:right w:val="nil"/>
            </w:tcBorders>
            <w:shd w:val="clear" w:color="auto" w:fill="auto"/>
            <w:noWrap/>
            <w:vAlign w:val="bottom"/>
            <w:hideMark/>
          </w:tcPr>
          <w:p w14:paraId="6903F96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58848BC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-0.87</w:t>
            </w:r>
          </w:p>
        </w:tc>
        <w:tc>
          <w:tcPr>
            <w:tcW w:w="138" w:type="dxa"/>
            <w:tcBorders>
              <w:top w:val="nil"/>
              <w:left w:val="nil"/>
              <w:bottom w:val="nil"/>
              <w:right w:val="nil"/>
            </w:tcBorders>
            <w:shd w:val="clear" w:color="auto" w:fill="auto"/>
            <w:noWrap/>
            <w:vAlign w:val="bottom"/>
            <w:hideMark/>
          </w:tcPr>
          <w:p w14:paraId="6FF378E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6A7242C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w:t>
            </w:r>
          </w:p>
        </w:tc>
        <w:tc>
          <w:tcPr>
            <w:tcW w:w="138" w:type="dxa"/>
            <w:tcBorders>
              <w:top w:val="nil"/>
              <w:left w:val="nil"/>
              <w:bottom w:val="nil"/>
              <w:right w:val="nil"/>
            </w:tcBorders>
            <w:shd w:val="clear" w:color="auto" w:fill="auto"/>
            <w:noWrap/>
            <w:vAlign w:val="bottom"/>
            <w:hideMark/>
          </w:tcPr>
          <w:p w14:paraId="3C78DF1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0412D5B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0.81</w:t>
            </w:r>
          </w:p>
        </w:tc>
        <w:tc>
          <w:tcPr>
            <w:tcW w:w="138" w:type="dxa"/>
            <w:tcBorders>
              <w:top w:val="nil"/>
              <w:left w:val="nil"/>
              <w:bottom w:val="nil"/>
              <w:right w:val="nil"/>
            </w:tcBorders>
            <w:shd w:val="clear" w:color="auto" w:fill="auto"/>
            <w:noWrap/>
            <w:vAlign w:val="bottom"/>
            <w:hideMark/>
          </w:tcPr>
          <w:p w14:paraId="619E747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16E7245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769.32</w:t>
            </w:r>
          </w:p>
        </w:tc>
        <w:tc>
          <w:tcPr>
            <w:tcW w:w="138" w:type="dxa"/>
            <w:tcBorders>
              <w:top w:val="nil"/>
              <w:left w:val="nil"/>
              <w:bottom w:val="nil"/>
              <w:right w:val="nil"/>
            </w:tcBorders>
            <w:shd w:val="clear" w:color="auto" w:fill="auto"/>
            <w:noWrap/>
            <w:vAlign w:val="bottom"/>
            <w:hideMark/>
          </w:tcPr>
          <w:p w14:paraId="3C6AFEE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6FC15B6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67DB56F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4A3A9D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-1.94</w:t>
            </w:r>
          </w:p>
        </w:tc>
        <w:tc>
          <w:tcPr>
            <w:tcW w:w="138" w:type="dxa"/>
            <w:tcBorders>
              <w:top w:val="nil"/>
              <w:left w:val="nil"/>
              <w:bottom w:val="nil"/>
              <w:right w:val="nil"/>
            </w:tcBorders>
            <w:shd w:val="clear" w:color="auto" w:fill="auto"/>
            <w:noWrap/>
            <w:vAlign w:val="bottom"/>
            <w:hideMark/>
          </w:tcPr>
          <w:p w14:paraId="75B7060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096F167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05BE41B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EEC5CA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-71.25</w:t>
            </w:r>
          </w:p>
        </w:tc>
        <w:tc>
          <w:tcPr>
            <w:tcW w:w="138" w:type="dxa"/>
            <w:tcBorders>
              <w:top w:val="nil"/>
              <w:left w:val="nil"/>
              <w:bottom w:val="nil"/>
              <w:right w:val="nil"/>
            </w:tcBorders>
            <w:shd w:val="clear" w:color="auto" w:fill="auto"/>
            <w:noWrap/>
            <w:vAlign w:val="bottom"/>
            <w:hideMark/>
          </w:tcPr>
          <w:p w14:paraId="7CAA611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2F5B3F5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69.31</w:t>
            </w:r>
          </w:p>
        </w:tc>
      </w:tr>
      <w:tr w:rsidR="002C6719" w:rsidRPr="00E915AA" w14:paraId="6CC4B2EA" w14:textId="77777777" w:rsidTr="0073176B">
        <w:trPr>
          <w:trHeight w:val="240"/>
        </w:trPr>
        <w:tc>
          <w:tcPr>
            <w:tcW w:w="2067" w:type="dxa"/>
            <w:tcBorders>
              <w:top w:val="nil"/>
              <w:left w:val="nil"/>
              <w:bottom w:val="nil"/>
              <w:right w:val="nil"/>
            </w:tcBorders>
            <w:shd w:val="clear" w:color="auto" w:fill="auto"/>
            <w:noWrap/>
            <w:vAlign w:val="bottom"/>
            <w:hideMark/>
          </w:tcPr>
          <w:p w14:paraId="341A36C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Firm age</w:t>
            </w:r>
          </w:p>
        </w:tc>
        <w:tc>
          <w:tcPr>
            <w:tcW w:w="139" w:type="dxa"/>
            <w:tcBorders>
              <w:top w:val="nil"/>
              <w:left w:val="nil"/>
              <w:bottom w:val="nil"/>
              <w:right w:val="nil"/>
            </w:tcBorders>
            <w:shd w:val="clear" w:color="auto" w:fill="auto"/>
            <w:noWrap/>
            <w:vAlign w:val="bottom"/>
            <w:hideMark/>
          </w:tcPr>
          <w:p w14:paraId="6CB57B8A"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09513CE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0C99D61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04B5F87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2.6***</w:t>
            </w:r>
          </w:p>
        </w:tc>
        <w:tc>
          <w:tcPr>
            <w:tcW w:w="139" w:type="dxa"/>
            <w:tcBorders>
              <w:top w:val="nil"/>
              <w:left w:val="nil"/>
              <w:bottom w:val="nil"/>
              <w:right w:val="nil"/>
            </w:tcBorders>
            <w:shd w:val="clear" w:color="auto" w:fill="auto"/>
            <w:noWrap/>
            <w:vAlign w:val="bottom"/>
            <w:hideMark/>
          </w:tcPr>
          <w:p w14:paraId="540A6A4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2E9B758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1CF909E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18FC889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2B10641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2EDBB2E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w:t>
            </w:r>
          </w:p>
        </w:tc>
        <w:tc>
          <w:tcPr>
            <w:tcW w:w="138" w:type="dxa"/>
            <w:tcBorders>
              <w:top w:val="nil"/>
              <w:left w:val="nil"/>
              <w:bottom w:val="nil"/>
              <w:right w:val="nil"/>
            </w:tcBorders>
            <w:shd w:val="clear" w:color="auto" w:fill="auto"/>
            <w:noWrap/>
            <w:vAlign w:val="bottom"/>
            <w:hideMark/>
          </w:tcPr>
          <w:p w14:paraId="3D6AE96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4989426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5.04</w:t>
            </w:r>
          </w:p>
        </w:tc>
        <w:tc>
          <w:tcPr>
            <w:tcW w:w="138" w:type="dxa"/>
            <w:tcBorders>
              <w:top w:val="nil"/>
              <w:left w:val="nil"/>
              <w:bottom w:val="nil"/>
              <w:right w:val="nil"/>
            </w:tcBorders>
            <w:shd w:val="clear" w:color="auto" w:fill="auto"/>
            <w:noWrap/>
            <w:vAlign w:val="bottom"/>
            <w:hideMark/>
          </w:tcPr>
          <w:p w14:paraId="31C53A6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765EDBE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3027469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DCC240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3.09</w:t>
            </w:r>
          </w:p>
        </w:tc>
        <w:tc>
          <w:tcPr>
            <w:tcW w:w="138" w:type="dxa"/>
            <w:tcBorders>
              <w:top w:val="nil"/>
              <w:left w:val="nil"/>
              <w:bottom w:val="nil"/>
              <w:right w:val="nil"/>
            </w:tcBorders>
            <w:shd w:val="clear" w:color="auto" w:fill="auto"/>
            <w:noWrap/>
            <w:vAlign w:val="bottom"/>
            <w:hideMark/>
          </w:tcPr>
          <w:p w14:paraId="4B8F5FE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565F443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1FC7B76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4BD4060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1.81</w:t>
            </w:r>
          </w:p>
        </w:tc>
        <w:tc>
          <w:tcPr>
            <w:tcW w:w="138" w:type="dxa"/>
            <w:tcBorders>
              <w:top w:val="nil"/>
              <w:left w:val="nil"/>
              <w:bottom w:val="nil"/>
              <w:right w:val="nil"/>
            </w:tcBorders>
            <w:shd w:val="clear" w:color="auto" w:fill="auto"/>
            <w:noWrap/>
            <w:vAlign w:val="bottom"/>
            <w:hideMark/>
          </w:tcPr>
          <w:p w14:paraId="1FF8B81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23BB8AB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1.28***</w:t>
            </w:r>
          </w:p>
        </w:tc>
      </w:tr>
      <w:tr w:rsidR="002C6719" w:rsidRPr="00E915AA" w14:paraId="77F7D4B1" w14:textId="77777777" w:rsidTr="0073176B">
        <w:trPr>
          <w:trHeight w:val="240"/>
        </w:trPr>
        <w:tc>
          <w:tcPr>
            <w:tcW w:w="2067" w:type="dxa"/>
            <w:tcBorders>
              <w:top w:val="nil"/>
              <w:left w:val="nil"/>
              <w:bottom w:val="nil"/>
              <w:right w:val="nil"/>
            </w:tcBorders>
            <w:shd w:val="clear" w:color="auto" w:fill="auto"/>
            <w:noWrap/>
            <w:vAlign w:val="bottom"/>
            <w:hideMark/>
          </w:tcPr>
          <w:p w14:paraId="5110BC8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Segments</w:t>
            </w:r>
          </w:p>
        </w:tc>
        <w:tc>
          <w:tcPr>
            <w:tcW w:w="139" w:type="dxa"/>
            <w:tcBorders>
              <w:top w:val="nil"/>
              <w:left w:val="nil"/>
              <w:bottom w:val="nil"/>
              <w:right w:val="nil"/>
            </w:tcBorders>
            <w:shd w:val="clear" w:color="auto" w:fill="auto"/>
            <w:noWrap/>
            <w:vAlign w:val="bottom"/>
            <w:hideMark/>
          </w:tcPr>
          <w:p w14:paraId="0A1E960A"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526EBA2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7CE9213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16AB54A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1.4***</w:t>
            </w:r>
          </w:p>
        </w:tc>
        <w:tc>
          <w:tcPr>
            <w:tcW w:w="139" w:type="dxa"/>
            <w:tcBorders>
              <w:top w:val="nil"/>
              <w:left w:val="nil"/>
              <w:bottom w:val="nil"/>
              <w:right w:val="nil"/>
            </w:tcBorders>
            <w:shd w:val="clear" w:color="auto" w:fill="auto"/>
            <w:noWrap/>
            <w:vAlign w:val="bottom"/>
            <w:hideMark/>
          </w:tcPr>
          <w:p w14:paraId="45DA79D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6980B5F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09D0EF6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2F7C871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5756C32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3688EA6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3D94952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082BEEE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1.03</w:t>
            </w:r>
          </w:p>
        </w:tc>
        <w:tc>
          <w:tcPr>
            <w:tcW w:w="138" w:type="dxa"/>
            <w:tcBorders>
              <w:top w:val="nil"/>
              <w:left w:val="nil"/>
              <w:bottom w:val="nil"/>
              <w:right w:val="nil"/>
            </w:tcBorders>
            <w:shd w:val="clear" w:color="auto" w:fill="auto"/>
            <w:noWrap/>
            <w:vAlign w:val="bottom"/>
            <w:hideMark/>
          </w:tcPr>
          <w:p w14:paraId="18793B6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7DE7F72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4701FAE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3204028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1.51</w:t>
            </w:r>
          </w:p>
        </w:tc>
        <w:tc>
          <w:tcPr>
            <w:tcW w:w="138" w:type="dxa"/>
            <w:tcBorders>
              <w:top w:val="nil"/>
              <w:left w:val="nil"/>
              <w:bottom w:val="nil"/>
              <w:right w:val="nil"/>
            </w:tcBorders>
            <w:shd w:val="clear" w:color="auto" w:fill="auto"/>
            <w:noWrap/>
            <w:vAlign w:val="bottom"/>
            <w:hideMark/>
          </w:tcPr>
          <w:p w14:paraId="5EE1EA3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1BE3B69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09DFD06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A4B300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1.21</w:t>
            </w:r>
          </w:p>
        </w:tc>
        <w:tc>
          <w:tcPr>
            <w:tcW w:w="138" w:type="dxa"/>
            <w:tcBorders>
              <w:top w:val="nil"/>
              <w:left w:val="nil"/>
              <w:bottom w:val="nil"/>
              <w:right w:val="nil"/>
            </w:tcBorders>
            <w:shd w:val="clear" w:color="auto" w:fill="auto"/>
            <w:noWrap/>
            <w:vAlign w:val="bottom"/>
            <w:hideMark/>
          </w:tcPr>
          <w:p w14:paraId="617E34E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1BFD91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0.3***</w:t>
            </w:r>
          </w:p>
        </w:tc>
      </w:tr>
      <w:tr w:rsidR="002C6719" w:rsidRPr="00E915AA" w14:paraId="77956A5E" w14:textId="77777777" w:rsidTr="0073176B">
        <w:trPr>
          <w:trHeight w:val="240"/>
        </w:trPr>
        <w:tc>
          <w:tcPr>
            <w:tcW w:w="2067" w:type="dxa"/>
            <w:tcBorders>
              <w:top w:val="nil"/>
              <w:left w:val="nil"/>
              <w:bottom w:val="nil"/>
              <w:right w:val="nil"/>
            </w:tcBorders>
            <w:shd w:val="clear" w:color="auto" w:fill="auto"/>
            <w:noWrap/>
            <w:vAlign w:val="bottom"/>
            <w:hideMark/>
          </w:tcPr>
          <w:p w14:paraId="79A770E0"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roofErr w:type="spellStart"/>
            <w:r w:rsidRPr="00E915AA">
              <w:rPr>
                <w:rFonts w:ascii="Times New Roman" w:eastAsia="Times New Roman" w:hAnsi="Times New Roman" w:cs="Times New Roman"/>
                <w:color w:val="000000"/>
                <w:sz w:val="18"/>
                <w:szCs w:val="18"/>
                <w:lang w:eastAsia="en-GB"/>
              </w:rPr>
              <w:t>Zscore</w:t>
            </w:r>
            <w:proofErr w:type="spellEnd"/>
          </w:p>
        </w:tc>
        <w:tc>
          <w:tcPr>
            <w:tcW w:w="139" w:type="dxa"/>
            <w:tcBorders>
              <w:top w:val="nil"/>
              <w:left w:val="nil"/>
              <w:bottom w:val="nil"/>
              <w:right w:val="nil"/>
            </w:tcBorders>
            <w:shd w:val="clear" w:color="auto" w:fill="auto"/>
            <w:noWrap/>
            <w:vAlign w:val="bottom"/>
            <w:hideMark/>
          </w:tcPr>
          <w:p w14:paraId="27A234D7"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14D1F28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5550DC8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1A294AE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-13.68***</w:t>
            </w:r>
          </w:p>
        </w:tc>
        <w:tc>
          <w:tcPr>
            <w:tcW w:w="139" w:type="dxa"/>
            <w:tcBorders>
              <w:top w:val="nil"/>
              <w:left w:val="nil"/>
              <w:bottom w:val="nil"/>
              <w:right w:val="nil"/>
            </w:tcBorders>
            <w:shd w:val="clear" w:color="auto" w:fill="auto"/>
            <w:noWrap/>
            <w:vAlign w:val="bottom"/>
            <w:hideMark/>
          </w:tcPr>
          <w:p w14:paraId="3D2BB00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500BC44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-10.75</w:t>
            </w:r>
          </w:p>
        </w:tc>
        <w:tc>
          <w:tcPr>
            <w:tcW w:w="138" w:type="dxa"/>
            <w:tcBorders>
              <w:top w:val="nil"/>
              <w:left w:val="nil"/>
              <w:bottom w:val="nil"/>
              <w:right w:val="nil"/>
            </w:tcBorders>
            <w:shd w:val="clear" w:color="auto" w:fill="auto"/>
            <w:noWrap/>
            <w:vAlign w:val="bottom"/>
            <w:hideMark/>
          </w:tcPr>
          <w:p w14:paraId="6E76585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4D2825C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w:t>
            </w:r>
          </w:p>
        </w:tc>
        <w:tc>
          <w:tcPr>
            <w:tcW w:w="138" w:type="dxa"/>
            <w:tcBorders>
              <w:top w:val="nil"/>
              <w:left w:val="nil"/>
              <w:bottom w:val="nil"/>
              <w:right w:val="nil"/>
            </w:tcBorders>
            <w:shd w:val="clear" w:color="auto" w:fill="auto"/>
            <w:noWrap/>
            <w:vAlign w:val="bottom"/>
            <w:hideMark/>
          </w:tcPr>
          <w:p w14:paraId="183DF5D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1C0E36C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4.19</w:t>
            </w:r>
          </w:p>
        </w:tc>
        <w:tc>
          <w:tcPr>
            <w:tcW w:w="138" w:type="dxa"/>
            <w:tcBorders>
              <w:top w:val="nil"/>
              <w:left w:val="nil"/>
              <w:bottom w:val="nil"/>
              <w:right w:val="nil"/>
            </w:tcBorders>
            <w:shd w:val="clear" w:color="auto" w:fill="auto"/>
            <w:noWrap/>
            <w:vAlign w:val="bottom"/>
            <w:hideMark/>
          </w:tcPr>
          <w:p w14:paraId="6858C7D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30F8330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67.39</w:t>
            </w:r>
          </w:p>
        </w:tc>
        <w:tc>
          <w:tcPr>
            <w:tcW w:w="138" w:type="dxa"/>
            <w:tcBorders>
              <w:top w:val="nil"/>
              <w:left w:val="nil"/>
              <w:bottom w:val="nil"/>
              <w:right w:val="nil"/>
            </w:tcBorders>
            <w:shd w:val="clear" w:color="auto" w:fill="auto"/>
            <w:noWrap/>
            <w:vAlign w:val="bottom"/>
            <w:hideMark/>
          </w:tcPr>
          <w:p w14:paraId="3CC9F01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2A0CF28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4DC02FA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0F01B7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-13.37</w:t>
            </w:r>
          </w:p>
        </w:tc>
        <w:tc>
          <w:tcPr>
            <w:tcW w:w="138" w:type="dxa"/>
            <w:tcBorders>
              <w:top w:val="nil"/>
              <w:left w:val="nil"/>
              <w:bottom w:val="nil"/>
              <w:right w:val="nil"/>
            </w:tcBorders>
            <w:shd w:val="clear" w:color="auto" w:fill="auto"/>
            <w:noWrap/>
            <w:vAlign w:val="bottom"/>
            <w:hideMark/>
          </w:tcPr>
          <w:p w14:paraId="765B68B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2BCE352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20DA54B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72F0BCC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-14.18</w:t>
            </w:r>
          </w:p>
        </w:tc>
        <w:tc>
          <w:tcPr>
            <w:tcW w:w="138" w:type="dxa"/>
            <w:tcBorders>
              <w:top w:val="nil"/>
              <w:left w:val="nil"/>
              <w:bottom w:val="nil"/>
              <w:right w:val="nil"/>
            </w:tcBorders>
            <w:shd w:val="clear" w:color="auto" w:fill="auto"/>
            <w:noWrap/>
            <w:vAlign w:val="bottom"/>
            <w:hideMark/>
          </w:tcPr>
          <w:p w14:paraId="188634D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6FA7131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0.81</w:t>
            </w:r>
          </w:p>
        </w:tc>
      </w:tr>
      <w:tr w:rsidR="002C6719" w:rsidRPr="00E915AA" w14:paraId="7F2DB759" w14:textId="77777777" w:rsidTr="0073176B">
        <w:trPr>
          <w:trHeight w:val="240"/>
        </w:trPr>
        <w:tc>
          <w:tcPr>
            <w:tcW w:w="2067" w:type="dxa"/>
            <w:tcBorders>
              <w:top w:val="nil"/>
              <w:left w:val="nil"/>
              <w:bottom w:val="nil"/>
              <w:right w:val="nil"/>
            </w:tcBorders>
            <w:shd w:val="clear" w:color="auto" w:fill="auto"/>
            <w:noWrap/>
            <w:vAlign w:val="bottom"/>
            <w:hideMark/>
          </w:tcPr>
          <w:p w14:paraId="3A1E9DBF"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Big4</w:t>
            </w:r>
          </w:p>
        </w:tc>
        <w:tc>
          <w:tcPr>
            <w:tcW w:w="139" w:type="dxa"/>
            <w:tcBorders>
              <w:top w:val="nil"/>
              <w:left w:val="nil"/>
              <w:bottom w:val="nil"/>
              <w:right w:val="nil"/>
            </w:tcBorders>
            <w:shd w:val="clear" w:color="auto" w:fill="auto"/>
            <w:noWrap/>
            <w:vAlign w:val="bottom"/>
            <w:hideMark/>
          </w:tcPr>
          <w:p w14:paraId="43967D21"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7F4B458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05B77DD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6B63C90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0.82***</w:t>
            </w:r>
          </w:p>
        </w:tc>
        <w:tc>
          <w:tcPr>
            <w:tcW w:w="139" w:type="dxa"/>
            <w:tcBorders>
              <w:top w:val="nil"/>
              <w:left w:val="nil"/>
              <w:bottom w:val="nil"/>
              <w:right w:val="nil"/>
            </w:tcBorders>
            <w:shd w:val="clear" w:color="auto" w:fill="auto"/>
            <w:noWrap/>
            <w:vAlign w:val="bottom"/>
            <w:hideMark/>
          </w:tcPr>
          <w:p w14:paraId="6E23A0D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67DDC0F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414025A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54F28AA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77BD3D7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31EB1B0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2378A28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65FEE2D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0.38</w:t>
            </w:r>
          </w:p>
        </w:tc>
        <w:tc>
          <w:tcPr>
            <w:tcW w:w="138" w:type="dxa"/>
            <w:tcBorders>
              <w:top w:val="nil"/>
              <w:left w:val="nil"/>
              <w:bottom w:val="nil"/>
              <w:right w:val="nil"/>
            </w:tcBorders>
            <w:shd w:val="clear" w:color="auto" w:fill="auto"/>
            <w:noWrap/>
            <w:vAlign w:val="bottom"/>
            <w:hideMark/>
          </w:tcPr>
          <w:p w14:paraId="7E52145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2DE4636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2DC6D0B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3F41FC4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0.83</w:t>
            </w:r>
          </w:p>
        </w:tc>
        <w:tc>
          <w:tcPr>
            <w:tcW w:w="138" w:type="dxa"/>
            <w:tcBorders>
              <w:top w:val="nil"/>
              <w:left w:val="nil"/>
              <w:bottom w:val="nil"/>
              <w:right w:val="nil"/>
            </w:tcBorders>
            <w:shd w:val="clear" w:color="auto" w:fill="auto"/>
            <w:noWrap/>
            <w:vAlign w:val="bottom"/>
            <w:hideMark/>
          </w:tcPr>
          <w:p w14:paraId="617937E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026213D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079F520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0619CDB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0.82</w:t>
            </w:r>
          </w:p>
        </w:tc>
        <w:tc>
          <w:tcPr>
            <w:tcW w:w="138" w:type="dxa"/>
            <w:tcBorders>
              <w:top w:val="nil"/>
              <w:left w:val="nil"/>
              <w:bottom w:val="nil"/>
              <w:right w:val="nil"/>
            </w:tcBorders>
            <w:shd w:val="clear" w:color="auto" w:fill="auto"/>
            <w:noWrap/>
            <w:vAlign w:val="bottom"/>
            <w:hideMark/>
          </w:tcPr>
          <w:p w14:paraId="26F62F7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D8840E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0.01</w:t>
            </w:r>
          </w:p>
        </w:tc>
      </w:tr>
      <w:tr w:rsidR="002C6719" w:rsidRPr="00E915AA" w14:paraId="44A387D4" w14:textId="77777777" w:rsidTr="0073176B">
        <w:trPr>
          <w:trHeight w:val="240"/>
        </w:trPr>
        <w:tc>
          <w:tcPr>
            <w:tcW w:w="2067" w:type="dxa"/>
            <w:tcBorders>
              <w:top w:val="nil"/>
              <w:left w:val="nil"/>
              <w:bottom w:val="nil"/>
              <w:right w:val="nil"/>
            </w:tcBorders>
            <w:shd w:val="clear" w:color="auto" w:fill="auto"/>
            <w:noWrap/>
            <w:vAlign w:val="bottom"/>
            <w:hideMark/>
          </w:tcPr>
          <w:p w14:paraId="17DFD9B4"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Restructuring</w:t>
            </w:r>
          </w:p>
        </w:tc>
        <w:tc>
          <w:tcPr>
            <w:tcW w:w="139" w:type="dxa"/>
            <w:tcBorders>
              <w:top w:val="nil"/>
              <w:left w:val="nil"/>
              <w:bottom w:val="nil"/>
              <w:right w:val="nil"/>
            </w:tcBorders>
            <w:shd w:val="clear" w:color="auto" w:fill="auto"/>
            <w:noWrap/>
            <w:vAlign w:val="bottom"/>
            <w:hideMark/>
          </w:tcPr>
          <w:p w14:paraId="01AF9859"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48744C8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30A8816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4B7848C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0.09***</w:t>
            </w:r>
          </w:p>
        </w:tc>
        <w:tc>
          <w:tcPr>
            <w:tcW w:w="139" w:type="dxa"/>
            <w:tcBorders>
              <w:top w:val="nil"/>
              <w:left w:val="nil"/>
              <w:bottom w:val="nil"/>
              <w:right w:val="nil"/>
            </w:tcBorders>
            <w:shd w:val="clear" w:color="auto" w:fill="auto"/>
            <w:noWrap/>
            <w:vAlign w:val="bottom"/>
            <w:hideMark/>
          </w:tcPr>
          <w:p w14:paraId="608C81E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09619BE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00A6738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0CAA41D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7AAC48A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3E6CA79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6967326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3704DF9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0.29</w:t>
            </w:r>
          </w:p>
        </w:tc>
        <w:tc>
          <w:tcPr>
            <w:tcW w:w="138" w:type="dxa"/>
            <w:tcBorders>
              <w:top w:val="nil"/>
              <w:left w:val="nil"/>
              <w:bottom w:val="nil"/>
              <w:right w:val="nil"/>
            </w:tcBorders>
            <w:shd w:val="clear" w:color="auto" w:fill="auto"/>
            <w:noWrap/>
            <w:vAlign w:val="bottom"/>
            <w:hideMark/>
          </w:tcPr>
          <w:p w14:paraId="5101DB8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4F507F3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5E2C8C3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6E0CC94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0.11</w:t>
            </w:r>
          </w:p>
        </w:tc>
        <w:tc>
          <w:tcPr>
            <w:tcW w:w="138" w:type="dxa"/>
            <w:tcBorders>
              <w:top w:val="nil"/>
              <w:left w:val="nil"/>
              <w:bottom w:val="nil"/>
              <w:right w:val="nil"/>
            </w:tcBorders>
            <w:shd w:val="clear" w:color="auto" w:fill="auto"/>
            <w:noWrap/>
            <w:vAlign w:val="bottom"/>
            <w:hideMark/>
          </w:tcPr>
          <w:p w14:paraId="7B93008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5187795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5546805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0CB5F72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0.07</w:t>
            </w:r>
          </w:p>
        </w:tc>
        <w:tc>
          <w:tcPr>
            <w:tcW w:w="138" w:type="dxa"/>
            <w:tcBorders>
              <w:top w:val="nil"/>
              <w:left w:val="nil"/>
              <w:bottom w:val="nil"/>
              <w:right w:val="nil"/>
            </w:tcBorders>
            <w:shd w:val="clear" w:color="auto" w:fill="auto"/>
            <w:noWrap/>
            <w:vAlign w:val="bottom"/>
            <w:hideMark/>
          </w:tcPr>
          <w:p w14:paraId="3BD838F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710E175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0.04**</w:t>
            </w:r>
          </w:p>
        </w:tc>
      </w:tr>
      <w:tr w:rsidR="002C6719" w:rsidRPr="00E915AA" w14:paraId="1334A2F7" w14:textId="77777777" w:rsidTr="0073176B">
        <w:trPr>
          <w:trHeight w:val="240"/>
        </w:trPr>
        <w:tc>
          <w:tcPr>
            <w:tcW w:w="2067" w:type="dxa"/>
            <w:tcBorders>
              <w:top w:val="nil"/>
              <w:left w:val="nil"/>
              <w:bottom w:val="nil"/>
              <w:right w:val="nil"/>
            </w:tcBorders>
            <w:shd w:val="clear" w:color="auto" w:fill="auto"/>
            <w:noWrap/>
            <w:vAlign w:val="bottom"/>
            <w:hideMark/>
          </w:tcPr>
          <w:p w14:paraId="509EB4A5"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M&amp;A</w:t>
            </w:r>
          </w:p>
        </w:tc>
        <w:tc>
          <w:tcPr>
            <w:tcW w:w="139" w:type="dxa"/>
            <w:tcBorders>
              <w:top w:val="nil"/>
              <w:left w:val="nil"/>
              <w:bottom w:val="nil"/>
              <w:right w:val="nil"/>
            </w:tcBorders>
            <w:shd w:val="clear" w:color="auto" w:fill="auto"/>
            <w:noWrap/>
            <w:vAlign w:val="bottom"/>
            <w:hideMark/>
          </w:tcPr>
          <w:p w14:paraId="7384F59B"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4ECF291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7C67C22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33901C7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0.13***</w:t>
            </w:r>
          </w:p>
        </w:tc>
        <w:tc>
          <w:tcPr>
            <w:tcW w:w="139" w:type="dxa"/>
            <w:tcBorders>
              <w:top w:val="nil"/>
              <w:left w:val="nil"/>
              <w:bottom w:val="nil"/>
              <w:right w:val="nil"/>
            </w:tcBorders>
            <w:shd w:val="clear" w:color="auto" w:fill="auto"/>
            <w:noWrap/>
            <w:vAlign w:val="bottom"/>
            <w:hideMark/>
          </w:tcPr>
          <w:p w14:paraId="3AA2152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7712F51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2D50CDA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0FEEE50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5AD4F11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3631FE5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36F7E4B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5F0D28E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0.34</w:t>
            </w:r>
          </w:p>
        </w:tc>
        <w:tc>
          <w:tcPr>
            <w:tcW w:w="138" w:type="dxa"/>
            <w:tcBorders>
              <w:top w:val="nil"/>
              <w:left w:val="nil"/>
              <w:bottom w:val="nil"/>
              <w:right w:val="nil"/>
            </w:tcBorders>
            <w:shd w:val="clear" w:color="auto" w:fill="auto"/>
            <w:noWrap/>
            <w:vAlign w:val="bottom"/>
            <w:hideMark/>
          </w:tcPr>
          <w:p w14:paraId="16E6EE2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344B058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3D2061E4"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1E582AB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0.14</w:t>
            </w:r>
          </w:p>
        </w:tc>
        <w:tc>
          <w:tcPr>
            <w:tcW w:w="138" w:type="dxa"/>
            <w:tcBorders>
              <w:top w:val="nil"/>
              <w:left w:val="nil"/>
              <w:bottom w:val="nil"/>
              <w:right w:val="nil"/>
            </w:tcBorders>
            <w:shd w:val="clear" w:color="auto" w:fill="auto"/>
            <w:noWrap/>
            <w:vAlign w:val="bottom"/>
            <w:hideMark/>
          </w:tcPr>
          <w:p w14:paraId="376C765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5705C89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13ED3DE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0F6C496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0.11</w:t>
            </w:r>
          </w:p>
        </w:tc>
        <w:tc>
          <w:tcPr>
            <w:tcW w:w="138" w:type="dxa"/>
            <w:tcBorders>
              <w:top w:val="nil"/>
              <w:left w:val="nil"/>
              <w:bottom w:val="nil"/>
              <w:right w:val="nil"/>
            </w:tcBorders>
            <w:shd w:val="clear" w:color="auto" w:fill="auto"/>
            <w:noWrap/>
            <w:vAlign w:val="bottom"/>
            <w:hideMark/>
          </w:tcPr>
          <w:p w14:paraId="48485AF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1AD5B2A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0.03</w:t>
            </w:r>
          </w:p>
        </w:tc>
      </w:tr>
      <w:tr w:rsidR="002C6719" w:rsidRPr="00E915AA" w14:paraId="603DA8FF" w14:textId="77777777" w:rsidTr="0073176B">
        <w:trPr>
          <w:trHeight w:val="240"/>
        </w:trPr>
        <w:tc>
          <w:tcPr>
            <w:tcW w:w="2067" w:type="dxa"/>
            <w:tcBorders>
              <w:top w:val="nil"/>
              <w:left w:val="nil"/>
              <w:bottom w:val="single" w:sz="4" w:space="0" w:color="auto"/>
              <w:right w:val="nil"/>
            </w:tcBorders>
            <w:shd w:val="clear" w:color="auto" w:fill="auto"/>
            <w:noWrap/>
            <w:vAlign w:val="bottom"/>
            <w:hideMark/>
          </w:tcPr>
          <w:p w14:paraId="655CAAD4"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roofErr w:type="spellStart"/>
            <w:r w:rsidRPr="00E915AA">
              <w:rPr>
                <w:rFonts w:ascii="Times New Roman" w:eastAsia="Times New Roman" w:hAnsi="Times New Roman" w:cs="Times New Roman"/>
                <w:color w:val="000000"/>
                <w:sz w:val="18"/>
                <w:szCs w:val="18"/>
                <w:lang w:eastAsia="en-GB"/>
              </w:rPr>
              <w:t>CEOchairperson</w:t>
            </w:r>
            <w:proofErr w:type="spellEnd"/>
          </w:p>
        </w:tc>
        <w:tc>
          <w:tcPr>
            <w:tcW w:w="139" w:type="dxa"/>
            <w:tcBorders>
              <w:top w:val="nil"/>
              <w:left w:val="nil"/>
              <w:bottom w:val="single" w:sz="4" w:space="0" w:color="auto"/>
              <w:right w:val="nil"/>
            </w:tcBorders>
            <w:shd w:val="clear" w:color="auto" w:fill="auto"/>
            <w:noWrap/>
            <w:vAlign w:val="bottom"/>
            <w:hideMark/>
          </w:tcPr>
          <w:p w14:paraId="2F1283B3"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54" w:type="dxa"/>
            <w:tcBorders>
              <w:top w:val="nil"/>
              <w:left w:val="nil"/>
              <w:bottom w:val="single" w:sz="4" w:space="0" w:color="auto"/>
              <w:right w:val="nil"/>
            </w:tcBorders>
            <w:shd w:val="clear" w:color="auto" w:fill="auto"/>
            <w:noWrap/>
            <w:vAlign w:val="bottom"/>
            <w:hideMark/>
          </w:tcPr>
          <w:p w14:paraId="7453271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single" w:sz="4" w:space="0" w:color="auto"/>
              <w:right w:val="nil"/>
            </w:tcBorders>
            <w:shd w:val="clear" w:color="auto" w:fill="auto"/>
            <w:noWrap/>
            <w:vAlign w:val="bottom"/>
            <w:hideMark/>
          </w:tcPr>
          <w:p w14:paraId="350F9EFB"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1412" w:type="dxa"/>
            <w:tcBorders>
              <w:top w:val="nil"/>
              <w:left w:val="nil"/>
              <w:bottom w:val="single" w:sz="4" w:space="0" w:color="auto"/>
              <w:right w:val="nil"/>
            </w:tcBorders>
            <w:shd w:val="clear" w:color="auto" w:fill="auto"/>
            <w:noWrap/>
            <w:vAlign w:val="bottom"/>
            <w:hideMark/>
          </w:tcPr>
          <w:p w14:paraId="3352E65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0.21***</w:t>
            </w:r>
          </w:p>
        </w:tc>
        <w:tc>
          <w:tcPr>
            <w:tcW w:w="139" w:type="dxa"/>
            <w:tcBorders>
              <w:top w:val="nil"/>
              <w:left w:val="nil"/>
              <w:bottom w:val="single" w:sz="4" w:space="0" w:color="auto"/>
              <w:right w:val="nil"/>
            </w:tcBorders>
            <w:shd w:val="clear" w:color="auto" w:fill="auto"/>
            <w:noWrap/>
            <w:vAlign w:val="bottom"/>
            <w:hideMark/>
          </w:tcPr>
          <w:p w14:paraId="0E5A70D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14" w:type="dxa"/>
            <w:tcBorders>
              <w:top w:val="nil"/>
              <w:left w:val="nil"/>
              <w:bottom w:val="single" w:sz="4" w:space="0" w:color="auto"/>
              <w:right w:val="nil"/>
            </w:tcBorders>
            <w:shd w:val="clear" w:color="auto" w:fill="auto"/>
            <w:noWrap/>
            <w:vAlign w:val="bottom"/>
            <w:hideMark/>
          </w:tcPr>
          <w:p w14:paraId="3EA6CF0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single" w:sz="4" w:space="0" w:color="auto"/>
              <w:right w:val="nil"/>
            </w:tcBorders>
            <w:shd w:val="clear" w:color="auto" w:fill="auto"/>
            <w:noWrap/>
            <w:vAlign w:val="bottom"/>
            <w:hideMark/>
          </w:tcPr>
          <w:p w14:paraId="206115D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1079" w:type="dxa"/>
            <w:tcBorders>
              <w:top w:val="nil"/>
              <w:left w:val="nil"/>
              <w:bottom w:val="single" w:sz="4" w:space="0" w:color="auto"/>
              <w:right w:val="nil"/>
            </w:tcBorders>
            <w:shd w:val="clear" w:color="auto" w:fill="auto"/>
            <w:noWrap/>
            <w:vAlign w:val="bottom"/>
            <w:hideMark/>
          </w:tcPr>
          <w:p w14:paraId="47907C5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single" w:sz="4" w:space="0" w:color="auto"/>
              <w:right w:val="nil"/>
            </w:tcBorders>
            <w:shd w:val="clear" w:color="auto" w:fill="auto"/>
            <w:noWrap/>
            <w:vAlign w:val="bottom"/>
            <w:hideMark/>
          </w:tcPr>
          <w:p w14:paraId="0CFF63F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636" w:type="dxa"/>
            <w:tcBorders>
              <w:top w:val="nil"/>
              <w:left w:val="nil"/>
              <w:bottom w:val="single" w:sz="4" w:space="0" w:color="auto"/>
              <w:right w:val="nil"/>
            </w:tcBorders>
            <w:shd w:val="clear" w:color="auto" w:fill="auto"/>
            <w:noWrap/>
            <w:vAlign w:val="bottom"/>
            <w:hideMark/>
          </w:tcPr>
          <w:p w14:paraId="3CAA90F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single" w:sz="4" w:space="0" w:color="auto"/>
              <w:right w:val="nil"/>
            </w:tcBorders>
            <w:shd w:val="clear" w:color="auto" w:fill="auto"/>
            <w:noWrap/>
            <w:vAlign w:val="bottom"/>
            <w:hideMark/>
          </w:tcPr>
          <w:p w14:paraId="7688EB5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69" w:type="dxa"/>
            <w:tcBorders>
              <w:top w:val="nil"/>
              <w:left w:val="nil"/>
              <w:bottom w:val="single" w:sz="4" w:space="0" w:color="auto"/>
              <w:right w:val="nil"/>
            </w:tcBorders>
            <w:shd w:val="clear" w:color="auto" w:fill="auto"/>
            <w:noWrap/>
            <w:vAlign w:val="bottom"/>
            <w:hideMark/>
          </w:tcPr>
          <w:p w14:paraId="7DBA242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0.41</w:t>
            </w:r>
          </w:p>
        </w:tc>
        <w:tc>
          <w:tcPr>
            <w:tcW w:w="138" w:type="dxa"/>
            <w:tcBorders>
              <w:top w:val="nil"/>
              <w:left w:val="nil"/>
              <w:bottom w:val="single" w:sz="4" w:space="0" w:color="auto"/>
              <w:right w:val="nil"/>
            </w:tcBorders>
            <w:shd w:val="clear" w:color="auto" w:fill="auto"/>
            <w:noWrap/>
            <w:vAlign w:val="bottom"/>
            <w:hideMark/>
          </w:tcPr>
          <w:p w14:paraId="6908DBA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53" w:type="dxa"/>
            <w:tcBorders>
              <w:top w:val="nil"/>
              <w:left w:val="nil"/>
              <w:bottom w:val="single" w:sz="4" w:space="0" w:color="auto"/>
              <w:right w:val="nil"/>
            </w:tcBorders>
            <w:shd w:val="clear" w:color="auto" w:fill="auto"/>
            <w:noWrap/>
            <w:vAlign w:val="bottom"/>
            <w:hideMark/>
          </w:tcPr>
          <w:p w14:paraId="13DEA10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single" w:sz="4" w:space="0" w:color="auto"/>
              <w:right w:val="nil"/>
            </w:tcBorders>
            <w:shd w:val="clear" w:color="auto" w:fill="auto"/>
            <w:noWrap/>
            <w:vAlign w:val="bottom"/>
            <w:hideMark/>
          </w:tcPr>
          <w:p w14:paraId="5ED3845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13" w:type="dxa"/>
            <w:tcBorders>
              <w:top w:val="nil"/>
              <w:left w:val="nil"/>
              <w:bottom w:val="single" w:sz="4" w:space="0" w:color="auto"/>
              <w:right w:val="nil"/>
            </w:tcBorders>
            <w:shd w:val="clear" w:color="auto" w:fill="auto"/>
            <w:noWrap/>
            <w:vAlign w:val="bottom"/>
            <w:hideMark/>
          </w:tcPr>
          <w:p w14:paraId="7388194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0.23</w:t>
            </w:r>
          </w:p>
        </w:tc>
        <w:tc>
          <w:tcPr>
            <w:tcW w:w="138" w:type="dxa"/>
            <w:tcBorders>
              <w:top w:val="nil"/>
              <w:left w:val="nil"/>
              <w:bottom w:val="single" w:sz="4" w:space="0" w:color="auto"/>
              <w:right w:val="nil"/>
            </w:tcBorders>
            <w:shd w:val="clear" w:color="auto" w:fill="auto"/>
            <w:noWrap/>
            <w:vAlign w:val="bottom"/>
            <w:hideMark/>
          </w:tcPr>
          <w:p w14:paraId="473E8A5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553" w:type="dxa"/>
            <w:tcBorders>
              <w:top w:val="nil"/>
              <w:left w:val="nil"/>
              <w:bottom w:val="single" w:sz="4" w:space="0" w:color="auto"/>
              <w:right w:val="nil"/>
            </w:tcBorders>
            <w:shd w:val="clear" w:color="auto" w:fill="auto"/>
            <w:noWrap/>
            <w:vAlign w:val="bottom"/>
            <w:hideMark/>
          </w:tcPr>
          <w:p w14:paraId="454D10E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single" w:sz="4" w:space="0" w:color="auto"/>
              <w:right w:val="nil"/>
            </w:tcBorders>
            <w:shd w:val="clear" w:color="auto" w:fill="auto"/>
            <w:noWrap/>
            <w:vAlign w:val="bottom"/>
            <w:hideMark/>
          </w:tcPr>
          <w:p w14:paraId="388D5E35"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913" w:type="dxa"/>
            <w:tcBorders>
              <w:top w:val="nil"/>
              <w:left w:val="nil"/>
              <w:bottom w:val="single" w:sz="4" w:space="0" w:color="auto"/>
              <w:right w:val="nil"/>
            </w:tcBorders>
            <w:shd w:val="clear" w:color="auto" w:fill="auto"/>
            <w:noWrap/>
            <w:vAlign w:val="bottom"/>
            <w:hideMark/>
          </w:tcPr>
          <w:p w14:paraId="2263E242"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0.19</w:t>
            </w:r>
          </w:p>
        </w:tc>
        <w:tc>
          <w:tcPr>
            <w:tcW w:w="138" w:type="dxa"/>
            <w:tcBorders>
              <w:top w:val="nil"/>
              <w:left w:val="nil"/>
              <w:bottom w:val="single" w:sz="4" w:space="0" w:color="auto"/>
              <w:right w:val="nil"/>
            </w:tcBorders>
            <w:shd w:val="clear" w:color="auto" w:fill="auto"/>
            <w:noWrap/>
            <w:vAlign w:val="bottom"/>
            <w:hideMark/>
          </w:tcPr>
          <w:p w14:paraId="6CEBD0F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 </w:t>
            </w:r>
          </w:p>
        </w:tc>
        <w:tc>
          <w:tcPr>
            <w:tcW w:w="1476" w:type="dxa"/>
            <w:tcBorders>
              <w:top w:val="nil"/>
              <w:left w:val="nil"/>
              <w:bottom w:val="nil"/>
              <w:right w:val="nil"/>
            </w:tcBorders>
            <w:shd w:val="clear" w:color="auto" w:fill="auto"/>
            <w:noWrap/>
            <w:vAlign w:val="bottom"/>
            <w:hideMark/>
          </w:tcPr>
          <w:p w14:paraId="2DBDAA5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0.04</w:t>
            </w:r>
          </w:p>
        </w:tc>
      </w:tr>
      <w:tr w:rsidR="002C6719" w:rsidRPr="00E915AA" w14:paraId="7E6E72A3" w14:textId="77777777" w:rsidTr="0073176B">
        <w:trPr>
          <w:trHeight w:val="495"/>
        </w:trPr>
        <w:tc>
          <w:tcPr>
            <w:tcW w:w="13560" w:type="dxa"/>
            <w:gridSpan w:val="23"/>
            <w:tcBorders>
              <w:top w:val="single" w:sz="4" w:space="0" w:color="auto"/>
              <w:left w:val="nil"/>
              <w:bottom w:val="single" w:sz="4" w:space="0" w:color="auto"/>
              <w:right w:val="nil"/>
            </w:tcBorders>
            <w:shd w:val="clear" w:color="auto" w:fill="auto"/>
            <w:noWrap/>
            <w:vAlign w:val="bottom"/>
            <w:hideMark/>
          </w:tcPr>
          <w:p w14:paraId="3889181A"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r w:rsidRPr="00E915AA">
              <w:rPr>
                <w:rFonts w:ascii="Times New Roman" w:eastAsia="Times New Roman" w:hAnsi="Times New Roman" w:cs="Times New Roman"/>
                <w:b/>
                <w:bCs/>
                <w:color w:val="000000"/>
                <w:sz w:val="18"/>
                <w:szCs w:val="18"/>
                <w:lang w:eastAsia="en-GB"/>
              </w:rPr>
              <w:t>Panel D. Regulatory event</w:t>
            </w:r>
          </w:p>
        </w:tc>
      </w:tr>
      <w:tr w:rsidR="002C6719" w:rsidRPr="00E915AA" w14:paraId="622A610F" w14:textId="77777777" w:rsidTr="0073176B">
        <w:trPr>
          <w:trHeight w:val="870"/>
        </w:trPr>
        <w:tc>
          <w:tcPr>
            <w:tcW w:w="2067" w:type="dxa"/>
            <w:tcBorders>
              <w:top w:val="nil"/>
              <w:left w:val="nil"/>
              <w:bottom w:val="nil"/>
              <w:right w:val="nil"/>
            </w:tcBorders>
            <w:shd w:val="clear" w:color="auto" w:fill="auto"/>
            <w:noWrap/>
            <w:vAlign w:val="bottom"/>
            <w:hideMark/>
          </w:tcPr>
          <w:p w14:paraId="6E30C535" w14:textId="77777777" w:rsidR="002C6719" w:rsidRPr="00E915AA" w:rsidRDefault="002C6719" w:rsidP="0073176B">
            <w:pPr>
              <w:spacing w:after="0" w:line="240" w:lineRule="auto"/>
              <w:rPr>
                <w:rFonts w:ascii="Times New Roman" w:eastAsia="Times New Roman" w:hAnsi="Times New Roman" w:cs="Times New Roman"/>
                <w:b/>
                <w:bCs/>
                <w:color w:val="000000"/>
                <w:sz w:val="18"/>
                <w:szCs w:val="18"/>
                <w:lang w:eastAsia="en-GB"/>
              </w:rPr>
            </w:pPr>
          </w:p>
        </w:tc>
        <w:tc>
          <w:tcPr>
            <w:tcW w:w="139" w:type="dxa"/>
            <w:tcBorders>
              <w:top w:val="nil"/>
              <w:left w:val="nil"/>
              <w:bottom w:val="nil"/>
              <w:right w:val="nil"/>
            </w:tcBorders>
            <w:shd w:val="clear" w:color="auto" w:fill="auto"/>
            <w:noWrap/>
            <w:vAlign w:val="bottom"/>
            <w:hideMark/>
          </w:tcPr>
          <w:p w14:paraId="600A74F8"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6256" w:type="dxa"/>
            <w:gridSpan w:val="11"/>
            <w:tcBorders>
              <w:top w:val="single" w:sz="4" w:space="0" w:color="auto"/>
              <w:left w:val="nil"/>
              <w:bottom w:val="single" w:sz="4" w:space="0" w:color="auto"/>
              <w:right w:val="nil"/>
            </w:tcBorders>
            <w:shd w:val="clear" w:color="auto" w:fill="auto"/>
            <w:noWrap/>
            <w:vAlign w:val="bottom"/>
            <w:hideMark/>
          </w:tcPr>
          <w:p w14:paraId="0C362B88" w14:textId="6B9B5CF9"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All IPOs</w:t>
            </w:r>
          </w:p>
        </w:tc>
        <w:tc>
          <w:tcPr>
            <w:tcW w:w="138" w:type="dxa"/>
            <w:tcBorders>
              <w:top w:val="nil"/>
              <w:left w:val="nil"/>
              <w:bottom w:val="nil"/>
              <w:right w:val="nil"/>
            </w:tcBorders>
            <w:shd w:val="clear" w:color="auto" w:fill="auto"/>
            <w:noWrap/>
            <w:vAlign w:val="bottom"/>
            <w:hideMark/>
          </w:tcPr>
          <w:p w14:paraId="1530C74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604" w:type="dxa"/>
            <w:gridSpan w:val="3"/>
            <w:tcBorders>
              <w:top w:val="single" w:sz="4" w:space="0" w:color="auto"/>
              <w:left w:val="nil"/>
              <w:bottom w:val="single" w:sz="4" w:space="0" w:color="auto"/>
              <w:right w:val="nil"/>
            </w:tcBorders>
            <w:shd w:val="clear" w:color="auto" w:fill="auto"/>
            <w:vAlign w:val="bottom"/>
            <w:hideMark/>
          </w:tcPr>
          <w:p w14:paraId="0B5A3548" w14:textId="424A9CF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receiving SEC comments about core-accounting issues</w:t>
            </w:r>
          </w:p>
        </w:tc>
        <w:tc>
          <w:tcPr>
            <w:tcW w:w="138" w:type="dxa"/>
            <w:tcBorders>
              <w:top w:val="nil"/>
              <w:left w:val="nil"/>
              <w:bottom w:val="nil"/>
              <w:right w:val="nil"/>
            </w:tcBorders>
            <w:shd w:val="clear" w:color="auto" w:fill="auto"/>
            <w:noWrap/>
            <w:vAlign w:val="bottom"/>
            <w:hideMark/>
          </w:tcPr>
          <w:p w14:paraId="1EBAC501"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604" w:type="dxa"/>
            <w:gridSpan w:val="3"/>
            <w:tcBorders>
              <w:top w:val="single" w:sz="4" w:space="0" w:color="auto"/>
              <w:left w:val="nil"/>
              <w:bottom w:val="single" w:sz="4" w:space="0" w:color="auto"/>
              <w:right w:val="nil"/>
            </w:tcBorders>
            <w:shd w:val="clear" w:color="auto" w:fill="auto"/>
            <w:vAlign w:val="bottom"/>
            <w:hideMark/>
          </w:tcPr>
          <w:p w14:paraId="7E247387" w14:textId="1F1C7696"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IPOs not receiving SEC comments about core-accounting issues</w:t>
            </w:r>
          </w:p>
        </w:tc>
        <w:tc>
          <w:tcPr>
            <w:tcW w:w="138" w:type="dxa"/>
            <w:tcBorders>
              <w:top w:val="nil"/>
              <w:left w:val="nil"/>
              <w:bottom w:val="nil"/>
              <w:right w:val="nil"/>
            </w:tcBorders>
            <w:shd w:val="clear" w:color="auto" w:fill="auto"/>
            <w:noWrap/>
            <w:vAlign w:val="bottom"/>
            <w:hideMark/>
          </w:tcPr>
          <w:p w14:paraId="5770FCC6"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single" w:sz="4" w:space="0" w:color="auto"/>
              <w:right w:val="nil"/>
            </w:tcBorders>
            <w:shd w:val="clear" w:color="auto" w:fill="auto"/>
            <w:noWrap/>
            <w:vAlign w:val="bottom"/>
            <w:hideMark/>
          </w:tcPr>
          <w:p w14:paraId="249E262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Difference</w:t>
            </w:r>
          </w:p>
        </w:tc>
      </w:tr>
      <w:tr w:rsidR="002C6719" w:rsidRPr="00E915AA" w14:paraId="5197AAA7" w14:textId="77777777" w:rsidTr="0073176B">
        <w:trPr>
          <w:trHeight w:val="240"/>
        </w:trPr>
        <w:tc>
          <w:tcPr>
            <w:tcW w:w="2067" w:type="dxa"/>
            <w:tcBorders>
              <w:top w:val="nil"/>
              <w:left w:val="nil"/>
              <w:bottom w:val="nil"/>
              <w:right w:val="nil"/>
            </w:tcBorders>
            <w:shd w:val="clear" w:color="auto" w:fill="auto"/>
            <w:noWrap/>
            <w:vAlign w:val="bottom"/>
            <w:hideMark/>
          </w:tcPr>
          <w:p w14:paraId="0EDA73D0"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39" w:type="dxa"/>
            <w:tcBorders>
              <w:top w:val="nil"/>
              <w:left w:val="nil"/>
              <w:bottom w:val="nil"/>
              <w:right w:val="nil"/>
            </w:tcBorders>
            <w:shd w:val="clear" w:color="auto" w:fill="auto"/>
            <w:noWrap/>
            <w:vAlign w:val="bottom"/>
            <w:hideMark/>
          </w:tcPr>
          <w:p w14:paraId="6D99B399" w14:textId="77777777" w:rsidR="002C6719" w:rsidRPr="00E915AA" w:rsidRDefault="002C6719" w:rsidP="0073176B">
            <w:pPr>
              <w:spacing w:after="0" w:line="240" w:lineRule="auto"/>
              <w:rPr>
                <w:rFonts w:ascii="Times New Roman" w:eastAsia="Times New Roman" w:hAnsi="Times New Roman" w:cs="Times New Roman"/>
                <w:sz w:val="20"/>
                <w:szCs w:val="20"/>
                <w:lang w:eastAsia="en-GB"/>
              </w:rPr>
            </w:pPr>
          </w:p>
        </w:tc>
        <w:tc>
          <w:tcPr>
            <w:tcW w:w="554" w:type="dxa"/>
            <w:tcBorders>
              <w:top w:val="nil"/>
              <w:left w:val="nil"/>
              <w:bottom w:val="single" w:sz="4" w:space="0" w:color="auto"/>
              <w:right w:val="nil"/>
            </w:tcBorders>
            <w:shd w:val="clear" w:color="auto" w:fill="auto"/>
            <w:noWrap/>
            <w:vAlign w:val="bottom"/>
            <w:hideMark/>
          </w:tcPr>
          <w:p w14:paraId="3C8BE7E6"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9" w:type="dxa"/>
            <w:tcBorders>
              <w:top w:val="nil"/>
              <w:left w:val="nil"/>
              <w:bottom w:val="nil"/>
              <w:right w:val="nil"/>
            </w:tcBorders>
            <w:shd w:val="clear" w:color="auto" w:fill="auto"/>
            <w:noWrap/>
            <w:vAlign w:val="bottom"/>
            <w:hideMark/>
          </w:tcPr>
          <w:p w14:paraId="5E4C2B0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412" w:type="dxa"/>
            <w:tcBorders>
              <w:top w:val="nil"/>
              <w:left w:val="nil"/>
              <w:bottom w:val="single" w:sz="4" w:space="0" w:color="auto"/>
              <w:right w:val="nil"/>
            </w:tcBorders>
            <w:shd w:val="clear" w:color="auto" w:fill="auto"/>
            <w:noWrap/>
            <w:vAlign w:val="bottom"/>
            <w:hideMark/>
          </w:tcPr>
          <w:p w14:paraId="2B1ADE5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9" w:type="dxa"/>
            <w:tcBorders>
              <w:top w:val="nil"/>
              <w:left w:val="nil"/>
              <w:bottom w:val="nil"/>
              <w:right w:val="nil"/>
            </w:tcBorders>
            <w:shd w:val="clear" w:color="auto" w:fill="auto"/>
            <w:noWrap/>
            <w:vAlign w:val="bottom"/>
            <w:hideMark/>
          </w:tcPr>
          <w:p w14:paraId="40D1928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4" w:type="dxa"/>
            <w:tcBorders>
              <w:top w:val="nil"/>
              <w:left w:val="nil"/>
              <w:bottom w:val="single" w:sz="4" w:space="0" w:color="auto"/>
              <w:right w:val="nil"/>
            </w:tcBorders>
            <w:shd w:val="clear" w:color="auto" w:fill="auto"/>
            <w:noWrap/>
            <w:vAlign w:val="bottom"/>
            <w:hideMark/>
          </w:tcPr>
          <w:p w14:paraId="42EFA288"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p25</w:t>
            </w:r>
          </w:p>
        </w:tc>
        <w:tc>
          <w:tcPr>
            <w:tcW w:w="138" w:type="dxa"/>
            <w:tcBorders>
              <w:top w:val="nil"/>
              <w:left w:val="nil"/>
              <w:bottom w:val="nil"/>
              <w:right w:val="nil"/>
            </w:tcBorders>
            <w:shd w:val="clear" w:color="auto" w:fill="auto"/>
            <w:noWrap/>
            <w:vAlign w:val="bottom"/>
            <w:hideMark/>
          </w:tcPr>
          <w:p w14:paraId="7E3B128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079" w:type="dxa"/>
            <w:tcBorders>
              <w:top w:val="nil"/>
              <w:left w:val="nil"/>
              <w:bottom w:val="single" w:sz="4" w:space="0" w:color="auto"/>
              <w:right w:val="nil"/>
            </w:tcBorders>
            <w:shd w:val="clear" w:color="auto" w:fill="auto"/>
            <w:noWrap/>
            <w:vAlign w:val="bottom"/>
            <w:hideMark/>
          </w:tcPr>
          <w:p w14:paraId="3B43683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p50</w:t>
            </w:r>
          </w:p>
        </w:tc>
        <w:tc>
          <w:tcPr>
            <w:tcW w:w="138" w:type="dxa"/>
            <w:tcBorders>
              <w:top w:val="nil"/>
              <w:left w:val="nil"/>
              <w:bottom w:val="nil"/>
              <w:right w:val="nil"/>
            </w:tcBorders>
            <w:shd w:val="clear" w:color="auto" w:fill="auto"/>
            <w:noWrap/>
            <w:vAlign w:val="bottom"/>
            <w:hideMark/>
          </w:tcPr>
          <w:p w14:paraId="2401DA6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636" w:type="dxa"/>
            <w:tcBorders>
              <w:top w:val="nil"/>
              <w:left w:val="nil"/>
              <w:bottom w:val="single" w:sz="4" w:space="0" w:color="auto"/>
              <w:right w:val="nil"/>
            </w:tcBorders>
            <w:shd w:val="clear" w:color="auto" w:fill="auto"/>
            <w:noWrap/>
            <w:vAlign w:val="bottom"/>
            <w:hideMark/>
          </w:tcPr>
          <w:p w14:paraId="76255645"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p75</w:t>
            </w:r>
          </w:p>
        </w:tc>
        <w:tc>
          <w:tcPr>
            <w:tcW w:w="138" w:type="dxa"/>
            <w:tcBorders>
              <w:top w:val="nil"/>
              <w:left w:val="nil"/>
              <w:bottom w:val="nil"/>
              <w:right w:val="nil"/>
            </w:tcBorders>
            <w:shd w:val="clear" w:color="auto" w:fill="auto"/>
            <w:noWrap/>
            <w:vAlign w:val="bottom"/>
            <w:hideMark/>
          </w:tcPr>
          <w:p w14:paraId="116B8AA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69" w:type="dxa"/>
            <w:tcBorders>
              <w:top w:val="nil"/>
              <w:left w:val="nil"/>
              <w:bottom w:val="single" w:sz="4" w:space="0" w:color="auto"/>
              <w:right w:val="nil"/>
            </w:tcBorders>
            <w:shd w:val="clear" w:color="auto" w:fill="auto"/>
            <w:noWrap/>
            <w:vAlign w:val="bottom"/>
            <w:hideMark/>
          </w:tcPr>
          <w:p w14:paraId="65B21C2D"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roofErr w:type="spellStart"/>
            <w:r w:rsidRPr="00E915AA">
              <w:rPr>
                <w:rFonts w:ascii="Times New Roman" w:eastAsia="Times New Roman" w:hAnsi="Times New Roman" w:cs="Times New Roman"/>
                <w:i/>
                <w:iCs/>
                <w:color w:val="000000"/>
                <w:sz w:val="18"/>
                <w:szCs w:val="18"/>
                <w:lang w:eastAsia="en-GB"/>
              </w:rPr>
              <w:t>sd</w:t>
            </w:r>
            <w:proofErr w:type="spellEnd"/>
          </w:p>
        </w:tc>
        <w:tc>
          <w:tcPr>
            <w:tcW w:w="138" w:type="dxa"/>
            <w:tcBorders>
              <w:top w:val="nil"/>
              <w:left w:val="nil"/>
              <w:bottom w:val="nil"/>
              <w:right w:val="nil"/>
            </w:tcBorders>
            <w:shd w:val="clear" w:color="auto" w:fill="auto"/>
            <w:noWrap/>
            <w:vAlign w:val="bottom"/>
            <w:hideMark/>
          </w:tcPr>
          <w:p w14:paraId="7CEFD471"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53" w:type="dxa"/>
            <w:tcBorders>
              <w:top w:val="nil"/>
              <w:left w:val="nil"/>
              <w:bottom w:val="single" w:sz="4" w:space="0" w:color="auto"/>
              <w:right w:val="nil"/>
            </w:tcBorders>
            <w:shd w:val="clear" w:color="auto" w:fill="auto"/>
            <w:noWrap/>
            <w:vAlign w:val="bottom"/>
            <w:hideMark/>
          </w:tcPr>
          <w:p w14:paraId="17B5FB0C"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8" w:type="dxa"/>
            <w:tcBorders>
              <w:top w:val="nil"/>
              <w:left w:val="nil"/>
              <w:bottom w:val="nil"/>
              <w:right w:val="nil"/>
            </w:tcBorders>
            <w:shd w:val="clear" w:color="auto" w:fill="auto"/>
            <w:noWrap/>
            <w:vAlign w:val="bottom"/>
            <w:hideMark/>
          </w:tcPr>
          <w:p w14:paraId="3B6CC8E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3" w:type="dxa"/>
            <w:tcBorders>
              <w:top w:val="nil"/>
              <w:left w:val="nil"/>
              <w:bottom w:val="single" w:sz="4" w:space="0" w:color="auto"/>
              <w:right w:val="nil"/>
            </w:tcBorders>
            <w:shd w:val="clear" w:color="auto" w:fill="auto"/>
            <w:noWrap/>
            <w:vAlign w:val="bottom"/>
            <w:hideMark/>
          </w:tcPr>
          <w:p w14:paraId="57646C68"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8" w:type="dxa"/>
            <w:tcBorders>
              <w:top w:val="nil"/>
              <w:left w:val="nil"/>
              <w:bottom w:val="nil"/>
              <w:right w:val="nil"/>
            </w:tcBorders>
            <w:shd w:val="clear" w:color="auto" w:fill="auto"/>
            <w:noWrap/>
            <w:vAlign w:val="bottom"/>
            <w:hideMark/>
          </w:tcPr>
          <w:p w14:paraId="429FC2D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553" w:type="dxa"/>
            <w:tcBorders>
              <w:top w:val="nil"/>
              <w:left w:val="nil"/>
              <w:bottom w:val="single" w:sz="4" w:space="0" w:color="auto"/>
              <w:right w:val="nil"/>
            </w:tcBorders>
            <w:shd w:val="clear" w:color="auto" w:fill="auto"/>
            <w:noWrap/>
            <w:vAlign w:val="bottom"/>
            <w:hideMark/>
          </w:tcPr>
          <w:p w14:paraId="0602DC59"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N</w:t>
            </w:r>
          </w:p>
        </w:tc>
        <w:tc>
          <w:tcPr>
            <w:tcW w:w="138" w:type="dxa"/>
            <w:tcBorders>
              <w:top w:val="nil"/>
              <w:left w:val="nil"/>
              <w:bottom w:val="nil"/>
              <w:right w:val="nil"/>
            </w:tcBorders>
            <w:shd w:val="clear" w:color="auto" w:fill="auto"/>
            <w:noWrap/>
            <w:vAlign w:val="bottom"/>
            <w:hideMark/>
          </w:tcPr>
          <w:p w14:paraId="36CBE9D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913" w:type="dxa"/>
            <w:tcBorders>
              <w:top w:val="nil"/>
              <w:left w:val="nil"/>
              <w:bottom w:val="single" w:sz="4" w:space="0" w:color="auto"/>
              <w:right w:val="nil"/>
            </w:tcBorders>
            <w:shd w:val="clear" w:color="auto" w:fill="auto"/>
            <w:noWrap/>
            <w:vAlign w:val="bottom"/>
            <w:hideMark/>
          </w:tcPr>
          <w:p w14:paraId="47D5EC9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r w:rsidRPr="00E915AA">
              <w:rPr>
                <w:rFonts w:ascii="Times New Roman" w:eastAsia="Times New Roman" w:hAnsi="Times New Roman" w:cs="Times New Roman"/>
                <w:i/>
                <w:iCs/>
                <w:color w:val="000000"/>
                <w:sz w:val="18"/>
                <w:szCs w:val="18"/>
                <w:lang w:eastAsia="en-GB"/>
              </w:rPr>
              <w:t>Mean</w:t>
            </w:r>
          </w:p>
        </w:tc>
        <w:tc>
          <w:tcPr>
            <w:tcW w:w="138" w:type="dxa"/>
            <w:tcBorders>
              <w:top w:val="nil"/>
              <w:left w:val="nil"/>
              <w:bottom w:val="nil"/>
              <w:right w:val="nil"/>
            </w:tcBorders>
            <w:shd w:val="clear" w:color="auto" w:fill="auto"/>
            <w:noWrap/>
            <w:vAlign w:val="bottom"/>
            <w:hideMark/>
          </w:tcPr>
          <w:p w14:paraId="74E130E4"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7E1DA032" w14:textId="77777777" w:rsidR="002C6719" w:rsidRPr="00E915AA" w:rsidRDefault="002C6719" w:rsidP="0073176B">
            <w:pPr>
              <w:spacing w:after="0" w:line="240" w:lineRule="auto"/>
              <w:jc w:val="center"/>
              <w:rPr>
                <w:rFonts w:ascii="Times New Roman" w:eastAsia="Times New Roman" w:hAnsi="Times New Roman" w:cs="Times New Roman"/>
                <w:sz w:val="20"/>
                <w:szCs w:val="20"/>
                <w:lang w:eastAsia="en-GB"/>
              </w:rPr>
            </w:pPr>
          </w:p>
        </w:tc>
      </w:tr>
      <w:tr w:rsidR="002C6719" w:rsidRPr="00E915AA" w14:paraId="78C1DD49" w14:textId="77777777" w:rsidTr="0073176B">
        <w:trPr>
          <w:trHeight w:val="240"/>
        </w:trPr>
        <w:tc>
          <w:tcPr>
            <w:tcW w:w="2067" w:type="dxa"/>
            <w:tcBorders>
              <w:top w:val="nil"/>
              <w:left w:val="nil"/>
              <w:bottom w:val="nil"/>
              <w:right w:val="nil"/>
            </w:tcBorders>
            <w:shd w:val="clear" w:color="auto" w:fill="auto"/>
            <w:noWrap/>
            <w:vAlign w:val="bottom"/>
            <w:hideMark/>
          </w:tcPr>
          <w:p w14:paraId="427AB8B0"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JOBS Act</w:t>
            </w:r>
          </w:p>
        </w:tc>
        <w:tc>
          <w:tcPr>
            <w:tcW w:w="139" w:type="dxa"/>
            <w:tcBorders>
              <w:top w:val="nil"/>
              <w:left w:val="nil"/>
              <w:bottom w:val="nil"/>
              <w:right w:val="nil"/>
            </w:tcBorders>
            <w:shd w:val="clear" w:color="auto" w:fill="auto"/>
            <w:noWrap/>
            <w:vAlign w:val="bottom"/>
            <w:hideMark/>
          </w:tcPr>
          <w:p w14:paraId="790C009D" w14:textId="77777777" w:rsidR="002C6719" w:rsidRPr="00E915AA" w:rsidRDefault="002C6719" w:rsidP="0073176B">
            <w:pPr>
              <w:spacing w:after="0" w:line="240" w:lineRule="auto"/>
              <w:rPr>
                <w:rFonts w:ascii="Times New Roman" w:eastAsia="Times New Roman" w:hAnsi="Times New Roman" w:cs="Times New Roman"/>
                <w:color w:val="000000"/>
                <w:sz w:val="18"/>
                <w:szCs w:val="18"/>
                <w:lang w:eastAsia="en-GB"/>
              </w:rPr>
            </w:pPr>
          </w:p>
        </w:tc>
        <w:tc>
          <w:tcPr>
            <w:tcW w:w="554" w:type="dxa"/>
            <w:tcBorders>
              <w:top w:val="nil"/>
              <w:left w:val="nil"/>
              <w:bottom w:val="nil"/>
              <w:right w:val="nil"/>
            </w:tcBorders>
            <w:shd w:val="clear" w:color="auto" w:fill="auto"/>
            <w:noWrap/>
            <w:vAlign w:val="bottom"/>
            <w:hideMark/>
          </w:tcPr>
          <w:p w14:paraId="5C808E94" w14:textId="2314778F" w:rsidR="002C6719" w:rsidRPr="00E915AA" w:rsidRDefault="003F290C"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799</w:t>
            </w:r>
          </w:p>
        </w:tc>
        <w:tc>
          <w:tcPr>
            <w:tcW w:w="139" w:type="dxa"/>
            <w:tcBorders>
              <w:top w:val="nil"/>
              <w:left w:val="nil"/>
              <w:bottom w:val="nil"/>
              <w:right w:val="nil"/>
            </w:tcBorders>
            <w:shd w:val="clear" w:color="auto" w:fill="auto"/>
            <w:noWrap/>
            <w:vAlign w:val="bottom"/>
            <w:hideMark/>
          </w:tcPr>
          <w:p w14:paraId="4AEAB43C"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29112DED" w14:textId="7780B154"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0.5</w:t>
            </w:r>
            <w:r w:rsidR="003F290C" w:rsidRPr="00E915AA">
              <w:rPr>
                <w:rFonts w:ascii="Times New Roman" w:eastAsia="Times New Roman" w:hAnsi="Times New Roman" w:cs="Times New Roman"/>
                <w:color w:val="000000"/>
                <w:sz w:val="18"/>
                <w:szCs w:val="18"/>
                <w:lang w:eastAsia="en-GB"/>
              </w:rPr>
              <w:t>2</w:t>
            </w:r>
            <w:r w:rsidRPr="00E915AA">
              <w:rPr>
                <w:rFonts w:ascii="Times New Roman" w:eastAsia="Times New Roman" w:hAnsi="Times New Roman" w:cs="Times New Roman"/>
                <w:color w:val="000000"/>
                <w:sz w:val="18"/>
                <w:szCs w:val="18"/>
                <w:lang w:eastAsia="en-GB"/>
              </w:rPr>
              <w:t>***</w:t>
            </w:r>
          </w:p>
        </w:tc>
        <w:tc>
          <w:tcPr>
            <w:tcW w:w="139" w:type="dxa"/>
            <w:tcBorders>
              <w:top w:val="nil"/>
              <w:left w:val="nil"/>
              <w:bottom w:val="nil"/>
              <w:right w:val="nil"/>
            </w:tcBorders>
            <w:shd w:val="clear" w:color="auto" w:fill="auto"/>
            <w:noWrap/>
            <w:vAlign w:val="bottom"/>
            <w:hideMark/>
          </w:tcPr>
          <w:p w14:paraId="131BA58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4" w:type="dxa"/>
            <w:tcBorders>
              <w:top w:val="nil"/>
              <w:left w:val="nil"/>
              <w:bottom w:val="nil"/>
              <w:right w:val="nil"/>
            </w:tcBorders>
            <w:shd w:val="clear" w:color="auto" w:fill="auto"/>
            <w:noWrap/>
            <w:vAlign w:val="bottom"/>
            <w:hideMark/>
          </w:tcPr>
          <w:p w14:paraId="26AB04D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p>
        </w:tc>
        <w:tc>
          <w:tcPr>
            <w:tcW w:w="138" w:type="dxa"/>
            <w:tcBorders>
              <w:top w:val="nil"/>
              <w:left w:val="nil"/>
              <w:bottom w:val="nil"/>
              <w:right w:val="nil"/>
            </w:tcBorders>
            <w:shd w:val="clear" w:color="auto" w:fill="auto"/>
            <w:noWrap/>
            <w:vAlign w:val="bottom"/>
            <w:hideMark/>
          </w:tcPr>
          <w:p w14:paraId="09E668A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079" w:type="dxa"/>
            <w:tcBorders>
              <w:top w:val="nil"/>
              <w:left w:val="nil"/>
              <w:bottom w:val="nil"/>
              <w:right w:val="nil"/>
            </w:tcBorders>
            <w:shd w:val="clear" w:color="auto" w:fill="auto"/>
            <w:noWrap/>
            <w:vAlign w:val="bottom"/>
            <w:hideMark/>
          </w:tcPr>
          <w:p w14:paraId="674A9F3E"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34CC0B0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14:paraId="12CFEEE7"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1</w:t>
            </w:r>
          </w:p>
        </w:tc>
        <w:tc>
          <w:tcPr>
            <w:tcW w:w="138" w:type="dxa"/>
            <w:tcBorders>
              <w:top w:val="nil"/>
              <w:left w:val="nil"/>
              <w:bottom w:val="nil"/>
              <w:right w:val="nil"/>
            </w:tcBorders>
            <w:shd w:val="clear" w:color="auto" w:fill="auto"/>
            <w:noWrap/>
            <w:vAlign w:val="bottom"/>
            <w:hideMark/>
          </w:tcPr>
          <w:p w14:paraId="4E0CC1D9"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69" w:type="dxa"/>
            <w:tcBorders>
              <w:top w:val="nil"/>
              <w:left w:val="nil"/>
              <w:bottom w:val="nil"/>
              <w:right w:val="nil"/>
            </w:tcBorders>
            <w:shd w:val="clear" w:color="auto" w:fill="auto"/>
            <w:noWrap/>
            <w:vAlign w:val="bottom"/>
            <w:hideMark/>
          </w:tcPr>
          <w:p w14:paraId="5A7588EF"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0.50</w:t>
            </w:r>
          </w:p>
        </w:tc>
        <w:tc>
          <w:tcPr>
            <w:tcW w:w="138" w:type="dxa"/>
            <w:tcBorders>
              <w:top w:val="nil"/>
              <w:left w:val="nil"/>
              <w:bottom w:val="nil"/>
              <w:right w:val="nil"/>
            </w:tcBorders>
            <w:shd w:val="clear" w:color="auto" w:fill="auto"/>
            <w:noWrap/>
            <w:vAlign w:val="bottom"/>
            <w:hideMark/>
          </w:tcPr>
          <w:p w14:paraId="6A131043"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7863D991" w14:textId="10447D84" w:rsidR="002C6719" w:rsidRPr="00E915AA" w:rsidRDefault="003F290C"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494</w:t>
            </w:r>
          </w:p>
        </w:tc>
        <w:tc>
          <w:tcPr>
            <w:tcW w:w="138" w:type="dxa"/>
            <w:tcBorders>
              <w:top w:val="nil"/>
              <w:left w:val="nil"/>
              <w:bottom w:val="nil"/>
              <w:right w:val="nil"/>
            </w:tcBorders>
            <w:shd w:val="clear" w:color="auto" w:fill="auto"/>
            <w:noWrap/>
            <w:vAlign w:val="bottom"/>
            <w:hideMark/>
          </w:tcPr>
          <w:p w14:paraId="299E79DA"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3FB56282" w14:textId="2EB253F2"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w:t>
            </w:r>
            <w:r w:rsidR="003F290C" w:rsidRPr="00E915AA">
              <w:rPr>
                <w:rFonts w:ascii="Times New Roman" w:eastAsia="Times New Roman" w:hAnsi="Times New Roman" w:cs="Times New Roman"/>
                <w:color w:val="000000"/>
                <w:sz w:val="18"/>
                <w:szCs w:val="18"/>
                <w:lang w:eastAsia="en-GB"/>
              </w:rPr>
              <w:t>32</w:t>
            </w:r>
          </w:p>
        </w:tc>
        <w:tc>
          <w:tcPr>
            <w:tcW w:w="138" w:type="dxa"/>
            <w:tcBorders>
              <w:top w:val="nil"/>
              <w:left w:val="nil"/>
              <w:bottom w:val="nil"/>
              <w:right w:val="nil"/>
            </w:tcBorders>
            <w:shd w:val="clear" w:color="auto" w:fill="auto"/>
            <w:noWrap/>
            <w:vAlign w:val="bottom"/>
            <w:hideMark/>
          </w:tcPr>
          <w:p w14:paraId="2C90E58D"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553" w:type="dxa"/>
            <w:tcBorders>
              <w:top w:val="nil"/>
              <w:left w:val="nil"/>
              <w:bottom w:val="nil"/>
              <w:right w:val="nil"/>
            </w:tcBorders>
            <w:shd w:val="clear" w:color="auto" w:fill="auto"/>
            <w:noWrap/>
            <w:vAlign w:val="bottom"/>
            <w:hideMark/>
          </w:tcPr>
          <w:p w14:paraId="4DC32146" w14:textId="30DC7681" w:rsidR="002C6719" w:rsidRPr="00E915AA" w:rsidRDefault="009945A2"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305</w:t>
            </w:r>
          </w:p>
        </w:tc>
        <w:tc>
          <w:tcPr>
            <w:tcW w:w="138" w:type="dxa"/>
            <w:tcBorders>
              <w:top w:val="nil"/>
              <w:left w:val="nil"/>
              <w:bottom w:val="nil"/>
              <w:right w:val="nil"/>
            </w:tcBorders>
            <w:shd w:val="clear" w:color="auto" w:fill="auto"/>
            <w:noWrap/>
            <w:vAlign w:val="bottom"/>
            <w:hideMark/>
          </w:tcPr>
          <w:p w14:paraId="51E0461B"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913" w:type="dxa"/>
            <w:tcBorders>
              <w:top w:val="nil"/>
              <w:left w:val="nil"/>
              <w:bottom w:val="nil"/>
              <w:right w:val="nil"/>
            </w:tcBorders>
            <w:shd w:val="clear" w:color="auto" w:fill="auto"/>
            <w:noWrap/>
            <w:vAlign w:val="bottom"/>
            <w:hideMark/>
          </w:tcPr>
          <w:p w14:paraId="23EE652F" w14:textId="633FD0F6"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0.8</w:t>
            </w:r>
            <w:r w:rsidR="009945A2" w:rsidRPr="00E915AA">
              <w:rPr>
                <w:rFonts w:ascii="Times New Roman" w:eastAsia="Times New Roman" w:hAnsi="Times New Roman" w:cs="Times New Roman"/>
                <w:color w:val="000000"/>
                <w:sz w:val="18"/>
                <w:szCs w:val="18"/>
                <w:lang w:eastAsia="en-GB"/>
              </w:rPr>
              <w:t>4</w:t>
            </w:r>
          </w:p>
        </w:tc>
        <w:tc>
          <w:tcPr>
            <w:tcW w:w="138" w:type="dxa"/>
            <w:tcBorders>
              <w:top w:val="nil"/>
              <w:left w:val="nil"/>
              <w:bottom w:val="nil"/>
              <w:right w:val="nil"/>
            </w:tcBorders>
            <w:shd w:val="clear" w:color="auto" w:fill="auto"/>
            <w:noWrap/>
            <w:vAlign w:val="bottom"/>
            <w:hideMark/>
          </w:tcPr>
          <w:p w14:paraId="0BAC7AB8" w14:textId="77777777"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72EC929F" w14:textId="1B87996C" w:rsidR="002C6719" w:rsidRPr="00E915AA" w:rsidRDefault="002C6719" w:rsidP="0073176B">
            <w:pPr>
              <w:spacing w:after="0" w:line="240" w:lineRule="auto"/>
              <w:jc w:val="center"/>
              <w:rPr>
                <w:rFonts w:ascii="Times New Roman" w:eastAsia="Times New Roman" w:hAnsi="Times New Roman" w:cs="Times New Roman"/>
                <w:color w:val="000000"/>
                <w:sz w:val="18"/>
                <w:szCs w:val="18"/>
                <w:lang w:eastAsia="en-GB"/>
              </w:rPr>
            </w:pPr>
            <w:r w:rsidRPr="00E915AA">
              <w:rPr>
                <w:rFonts w:ascii="Times New Roman" w:eastAsia="Times New Roman" w:hAnsi="Times New Roman" w:cs="Times New Roman"/>
                <w:color w:val="000000"/>
                <w:sz w:val="18"/>
                <w:szCs w:val="18"/>
                <w:lang w:eastAsia="en-GB"/>
              </w:rPr>
              <w:t>-0.5</w:t>
            </w:r>
            <w:r w:rsidR="009945A2" w:rsidRPr="00E915AA">
              <w:rPr>
                <w:rFonts w:ascii="Times New Roman" w:eastAsia="Times New Roman" w:hAnsi="Times New Roman" w:cs="Times New Roman"/>
                <w:color w:val="000000"/>
                <w:sz w:val="18"/>
                <w:szCs w:val="18"/>
                <w:lang w:eastAsia="en-GB"/>
              </w:rPr>
              <w:t>2</w:t>
            </w:r>
            <w:r w:rsidRPr="00E915AA">
              <w:rPr>
                <w:rFonts w:ascii="Times New Roman" w:eastAsia="Times New Roman" w:hAnsi="Times New Roman" w:cs="Times New Roman"/>
                <w:color w:val="000000"/>
                <w:sz w:val="18"/>
                <w:szCs w:val="18"/>
                <w:lang w:eastAsia="en-GB"/>
              </w:rPr>
              <w:t>***</w:t>
            </w:r>
          </w:p>
        </w:tc>
      </w:tr>
    </w:tbl>
    <w:p w14:paraId="40533FB7" w14:textId="77777777" w:rsidR="002C6719" w:rsidRPr="00E915AA" w:rsidRDefault="002C6719" w:rsidP="002C6719">
      <w:pPr>
        <w:keepNext/>
        <w:spacing w:before="240" w:after="240" w:line="360" w:lineRule="auto"/>
        <w:rPr>
          <w:rFonts w:ascii="Times New Roman" w:eastAsia="Calibri" w:hAnsi="Times New Roman" w:cs="Times New Roman"/>
          <w:b/>
          <w:iCs/>
          <w:color w:val="000000"/>
          <w:sz w:val="20"/>
          <w:szCs w:val="18"/>
          <w:lang w:val="en-GB" w:eastAsia="en-GB"/>
        </w:rPr>
        <w:sectPr w:rsidR="002C6719" w:rsidRPr="00E915AA" w:rsidSect="0073176B">
          <w:pgSz w:w="16838" w:h="11906" w:orient="landscape"/>
          <w:pgMar w:top="1440" w:right="1440" w:bottom="1440" w:left="1440" w:header="708" w:footer="708" w:gutter="0"/>
          <w:cols w:space="708"/>
          <w:docGrid w:linePitch="360"/>
        </w:sectPr>
      </w:pPr>
    </w:p>
    <w:tbl>
      <w:tblPr>
        <w:tblW w:w="15234" w:type="dxa"/>
        <w:tblLayout w:type="fixed"/>
        <w:tblLook w:val="04A0" w:firstRow="1" w:lastRow="0" w:firstColumn="1" w:lastColumn="0" w:noHBand="0" w:noVBand="1"/>
      </w:tblPr>
      <w:tblGrid>
        <w:gridCol w:w="1440"/>
        <w:gridCol w:w="828"/>
        <w:gridCol w:w="851"/>
        <w:gridCol w:w="730"/>
        <w:gridCol w:w="792"/>
        <w:gridCol w:w="792"/>
        <w:gridCol w:w="804"/>
        <w:gridCol w:w="851"/>
        <w:gridCol w:w="808"/>
        <w:gridCol w:w="751"/>
        <w:gridCol w:w="737"/>
        <w:gridCol w:w="681"/>
        <w:gridCol w:w="761"/>
        <w:gridCol w:w="798"/>
        <w:gridCol w:w="709"/>
        <w:gridCol w:w="979"/>
        <w:gridCol w:w="617"/>
        <w:gridCol w:w="737"/>
        <w:gridCol w:w="556"/>
        <w:gridCol w:w="12"/>
      </w:tblGrid>
      <w:tr w:rsidR="002C6719" w:rsidRPr="00E915AA" w14:paraId="6CD56B40" w14:textId="77777777" w:rsidTr="0085611E">
        <w:trPr>
          <w:trHeight w:val="375"/>
        </w:trPr>
        <w:tc>
          <w:tcPr>
            <w:tcW w:w="15234" w:type="dxa"/>
            <w:gridSpan w:val="20"/>
            <w:tcBorders>
              <w:top w:val="nil"/>
              <w:left w:val="nil"/>
              <w:bottom w:val="single" w:sz="4" w:space="0" w:color="auto"/>
              <w:right w:val="nil"/>
            </w:tcBorders>
            <w:shd w:val="clear" w:color="auto" w:fill="auto"/>
            <w:vAlign w:val="bottom"/>
            <w:hideMark/>
          </w:tcPr>
          <w:p w14:paraId="54C0359B" w14:textId="77777777" w:rsidR="002C6719" w:rsidRPr="00E915AA" w:rsidRDefault="002C6719" w:rsidP="0085611E">
            <w:pPr>
              <w:spacing w:after="0" w:line="240" w:lineRule="auto"/>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lastRenderedPageBreak/>
              <w:t>Panel E. Correlation matrix</w:t>
            </w:r>
          </w:p>
        </w:tc>
      </w:tr>
      <w:tr w:rsidR="002C6719" w:rsidRPr="00E915AA" w14:paraId="16C9F2D2" w14:textId="77777777" w:rsidTr="00A07FDB">
        <w:trPr>
          <w:gridAfter w:val="1"/>
          <w:wAfter w:w="12" w:type="dxa"/>
          <w:trHeight w:val="735"/>
        </w:trPr>
        <w:tc>
          <w:tcPr>
            <w:tcW w:w="1440" w:type="dxa"/>
            <w:tcBorders>
              <w:top w:val="nil"/>
              <w:left w:val="nil"/>
              <w:bottom w:val="single" w:sz="4" w:space="0" w:color="auto"/>
              <w:right w:val="single" w:sz="4" w:space="0" w:color="auto"/>
            </w:tcBorders>
            <w:shd w:val="clear" w:color="auto" w:fill="auto"/>
            <w:vAlign w:val="center"/>
            <w:hideMark/>
          </w:tcPr>
          <w:p w14:paraId="52805E5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 </w:t>
            </w:r>
          </w:p>
        </w:tc>
        <w:tc>
          <w:tcPr>
            <w:tcW w:w="828" w:type="dxa"/>
            <w:tcBorders>
              <w:top w:val="nil"/>
              <w:left w:val="nil"/>
              <w:bottom w:val="single" w:sz="4" w:space="0" w:color="auto"/>
              <w:right w:val="nil"/>
            </w:tcBorders>
            <w:shd w:val="clear" w:color="auto" w:fill="auto"/>
            <w:vAlign w:val="center"/>
            <w:hideMark/>
          </w:tcPr>
          <w:p w14:paraId="21AF7B8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Duration</w:t>
            </w:r>
          </w:p>
        </w:tc>
        <w:tc>
          <w:tcPr>
            <w:tcW w:w="851" w:type="dxa"/>
            <w:tcBorders>
              <w:top w:val="nil"/>
              <w:left w:val="nil"/>
              <w:bottom w:val="single" w:sz="4" w:space="0" w:color="auto"/>
              <w:right w:val="nil"/>
            </w:tcBorders>
            <w:shd w:val="clear" w:color="auto" w:fill="auto"/>
            <w:vAlign w:val="center"/>
            <w:hideMark/>
          </w:tcPr>
          <w:p w14:paraId="6422E10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#Letters</w:t>
            </w:r>
          </w:p>
        </w:tc>
        <w:tc>
          <w:tcPr>
            <w:tcW w:w="730" w:type="dxa"/>
            <w:tcBorders>
              <w:top w:val="nil"/>
              <w:left w:val="nil"/>
              <w:bottom w:val="single" w:sz="4" w:space="0" w:color="auto"/>
              <w:right w:val="nil"/>
            </w:tcBorders>
            <w:shd w:val="clear" w:color="auto" w:fill="auto"/>
            <w:vAlign w:val="center"/>
            <w:hideMark/>
          </w:tcPr>
          <w:p w14:paraId="291FB47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#Themes</w:t>
            </w:r>
          </w:p>
        </w:tc>
        <w:tc>
          <w:tcPr>
            <w:tcW w:w="792" w:type="dxa"/>
            <w:tcBorders>
              <w:top w:val="nil"/>
              <w:left w:val="nil"/>
              <w:bottom w:val="single" w:sz="4" w:space="0" w:color="auto"/>
              <w:right w:val="nil"/>
            </w:tcBorders>
            <w:shd w:val="clear" w:color="auto" w:fill="auto"/>
            <w:vAlign w:val="center"/>
            <w:hideMark/>
          </w:tcPr>
          <w:p w14:paraId="405B1AC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#Core-accounting issues</w:t>
            </w:r>
          </w:p>
        </w:tc>
        <w:tc>
          <w:tcPr>
            <w:tcW w:w="792" w:type="dxa"/>
            <w:tcBorders>
              <w:top w:val="nil"/>
              <w:left w:val="nil"/>
              <w:bottom w:val="single" w:sz="4" w:space="0" w:color="auto"/>
              <w:right w:val="nil"/>
            </w:tcBorders>
            <w:shd w:val="clear" w:color="auto" w:fill="auto"/>
            <w:vAlign w:val="center"/>
            <w:hideMark/>
          </w:tcPr>
          <w:p w14:paraId="021F7DE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#Non-core-accounting issues</w:t>
            </w:r>
          </w:p>
        </w:tc>
        <w:tc>
          <w:tcPr>
            <w:tcW w:w="804" w:type="dxa"/>
            <w:tcBorders>
              <w:top w:val="nil"/>
              <w:left w:val="nil"/>
              <w:bottom w:val="single" w:sz="4" w:space="0" w:color="auto"/>
              <w:right w:val="nil"/>
            </w:tcBorders>
            <w:shd w:val="clear" w:color="auto" w:fill="auto"/>
            <w:vAlign w:val="center"/>
            <w:hideMark/>
          </w:tcPr>
          <w:p w14:paraId="0D2D6AC0"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DACC</w:t>
            </w:r>
          </w:p>
        </w:tc>
        <w:tc>
          <w:tcPr>
            <w:tcW w:w="851" w:type="dxa"/>
            <w:tcBorders>
              <w:top w:val="nil"/>
              <w:left w:val="nil"/>
              <w:bottom w:val="single" w:sz="4" w:space="0" w:color="auto"/>
              <w:right w:val="nil"/>
            </w:tcBorders>
            <w:shd w:val="clear" w:color="auto" w:fill="auto"/>
            <w:vAlign w:val="center"/>
            <w:hideMark/>
          </w:tcPr>
          <w:p w14:paraId="2264EFD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ACFO</w:t>
            </w:r>
          </w:p>
        </w:tc>
        <w:tc>
          <w:tcPr>
            <w:tcW w:w="808" w:type="dxa"/>
            <w:tcBorders>
              <w:top w:val="nil"/>
              <w:left w:val="nil"/>
              <w:bottom w:val="single" w:sz="4" w:space="0" w:color="auto"/>
              <w:right w:val="nil"/>
            </w:tcBorders>
            <w:shd w:val="clear" w:color="auto" w:fill="auto"/>
            <w:vAlign w:val="center"/>
            <w:hideMark/>
          </w:tcPr>
          <w:p w14:paraId="1551DC6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ADISEXP</w:t>
            </w:r>
          </w:p>
        </w:tc>
        <w:tc>
          <w:tcPr>
            <w:tcW w:w="751" w:type="dxa"/>
            <w:tcBorders>
              <w:top w:val="nil"/>
              <w:left w:val="nil"/>
              <w:bottom w:val="single" w:sz="4" w:space="0" w:color="auto"/>
              <w:right w:val="nil"/>
            </w:tcBorders>
            <w:shd w:val="clear" w:color="auto" w:fill="auto"/>
            <w:vAlign w:val="center"/>
            <w:hideMark/>
          </w:tcPr>
          <w:p w14:paraId="0080DC5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LnSize</w:t>
            </w:r>
            <w:proofErr w:type="spellEnd"/>
          </w:p>
        </w:tc>
        <w:tc>
          <w:tcPr>
            <w:tcW w:w="737" w:type="dxa"/>
            <w:tcBorders>
              <w:top w:val="nil"/>
              <w:left w:val="nil"/>
              <w:bottom w:val="single" w:sz="4" w:space="0" w:color="auto"/>
              <w:right w:val="nil"/>
            </w:tcBorders>
            <w:shd w:val="clear" w:color="auto" w:fill="auto"/>
            <w:vAlign w:val="center"/>
            <w:hideMark/>
          </w:tcPr>
          <w:p w14:paraId="6A92601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Leverage</w:t>
            </w:r>
          </w:p>
        </w:tc>
        <w:tc>
          <w:tcPr>
            <w:tcW w:w="681" w:type="dxa"/>
            <w:tcBorders>
              <w:top w:val="nil"/>
              <w:left w:val="nil"/>
              <w:bottom w:val="single" w:sz="4" w:space="0" w:color="auto"/>
              <w:right w:val="nil"/>
            </w:tcBorders>
            <w:shd w:val="clear" w:color="auto" w:fill="auto"/>
            <w:vAlign w:val="center"/>
            <w:hideMark/>
          </w:tcPr>
          <w:p w14:paraId="0C7D506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Firm age</w:t>
            </w:r>
          </w:p>
        </w:tc>
        <w:tc>
          <w:tcPr>
            <w:tcW w:w="761" w:type="dxa"/>
            <w:tcBorders>
              <w:top w:val="nil"/>
              <w:left w:val="nil"/>
              <w:bottom w:val="single" w:sz="4" w:space="0" w:color="auto"/>
              <w:right w:val="nil"/>
            </w:tcBorders>
            <w:shd w:val="clear" w:color="auto" w:fill="auto"/>
            <w:vAlign w:val="center"/>
            <w:hideMark/>
          </w:tcPr>
          <w:p w14:paraId="3E8328CF"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Segments</w:t>
            </w:r>
          </w:p>
        </w:tc>
        <w:tc>
          <w:tcPr>
            <w:tcW w:w="798" w:type="dxa"/>
            <w:tcBorders>
              <w:top w:val="nil"/>
              <w:left w:val="nil"/>
              <w:bottom w:val="single" w:sz="4" w:space="0" w:color="auto"/>
              <w:right w:val="nil"/>
            </w:tcBorders>
            <w:shd w:val="clear" w:color="auto" w:fill="auto"/>
            <w:vAlign w:val="center"/>
            <w:hideMark/>
          </w:tcPr>
          <w:p w14:paraId="48C1646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Zscore</w:t>
            </w:r>
            <w:proofErr w:type="spellEnd"/>
          </w:p>
        </w:tc>
        <w:tc>
          <w:tcPr>
            <w:tcW w:w="709" w:type="dxa"/>
            <w:tcBorders>
              <w:top w:val="nil"/>
              <w:left w:val="nil"/>
              <w:bottom w:val="single" w:sz="4" w:space="0" w:color="auto"/>
              <w:right w:val="nil"/>
            </w:tcBorders>
            <w:shd w:val="clear" w:color="auto" w:fill="auto"/>
            <w:vAlign w:val="center"/>
            <w:hideMark/>
          </w:tcPr>
          <w:p w14:paraId="3E3620D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Big 4</w:t>
            </w:r>
          </w:p>
        </w:tc>
        <w:tc>
          <w:tcPr>
            <w:tcW w:w="979" w:type="dxa"/>
            <w:tcBorders>
              <w:top w:val="nil"/>
              <w:left w:val="nil"/>
              <w:bottom w:val="single" w:sz="4" w:space="0" w:color="auto"/>
              <w:right w:val="nil"/>
            </w:tcBorders>
            <w:shd w:val="clear" w:color="auto" w:fill="auto"/>
            <w:vAlign w:val="center"/>
            <w:hideMark/>
          </w:tcPr>
          <w:p w14:paraId="3D965B8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Restructuring</w:t>
            </w:r>
          </w:p>
        </w:tc>
        <w:tc>
          <w:tcPr>
            <w:tcW w:w="617" w:type="dxa"/>
            <w:tcBorders>
              <w:top w:val="nil"/>
              <w:left w:val="nil"/>
              <w:bottom w:val="single" w:sz="4" w:space="0" w:color="auto"/>
              <w:right w:val="nil"/>
            </w:tcBorders>
            <w:shd w:val="clear" w:color="auto" w:fill="auto"/>
            <w:vAlign w:val="center"/>
            <w:hideMark/>
          </w:tcPr>
          <w:p w14:paraId="4C4317B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M&amp;A</w:t>
            </w:r>
          </w:p>
        </w:tc>
        <w:tc>
          <w:tcPr>
            <w:tcW w:w="737" w:type="dxa"/>
            <w:tcBorders>
              <w:top w:val="nil"/>
              <w:left w:val="nil"/>
              <w:bottom w:val="single" w:sz="4" w:space="0" w:color="auto"/>
              <w:right w:val="nil"/>
            </w:tcBorders>
            <w:shd w:val="clear" w:color="auto" w:fill="auto"/>
            <w:vAlign w:val="center"/>
            <w:hideMark/>
          </w:tcPr>
          <w:p w14:paraId="44F101F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CEOchairperson</w:t>
            </w:r>
            <w:proofErr w:type="spellEnd"/>
          </w:p>
        </w:tc>
        <w:tc>
          <w:tcPr>
            <w:tcW w:w="556" w:type="dxa"/>
            <w:tcBorders>
              <w:top w:val="nil"/>
              <w:left w:val="nil"/>
              <w:bottom w:val="single" w:sz="4" w:space="0" w:color="auto"/>
              <w:right w:val="nil"/>
            </w:tcBorders>
            <w:shd w:val="clear" w:color="auto" w:fill="auto"/>
            <w:vAlign w:val="center"/>
            <w:hideMark/>
          </w:tcPr>
          <w:p w14:paraId="6CE48B8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JOBS Act</w:t>
            </w:r>
          </w:p>
        </w:tc>
      </w:tr>
      <w:tr w:rsidR="002C6719" w:rsidRPr="00E915AA" w14:paraId="7E8399AF" w14:textId="77777777" w:rsidTr="00A07FDB">
        <w:trPr>
          <w:gridAfter w:val="1"/>
          <w:wAfter w:w="12" w:type="dxa"/>
          <w:trHeight w:val="204"/>
        </w:trPr>
        <w:tc>
          <w:tcPr>
            <w:tcW w:w="1440" w:type="dxa"/>
            <w:tcBorders>
              <w:top w:val="nil"/>
              <w:left w:val="nil"/>
              <w:bottom w:val="nil"/>
              <w:right w:val="single" w:sz="4" w:space="0" w:color="auto"/>
            </w:tcBorders>
            <w:shd w:val="clear" w:color="auto" w:fill="auto"/>
            <w:vAlign w:val="center"/>
            <w:hideMark/>
          </w:tcPr>
          <w:p w14:paraId="5C75131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Duration</w:t>
            </w:r>
          </w:p>
        </w:tc>
        <w:tc>
          <w:tcPr>
            <w:tcW w:w="828" w:type="dxa"/>
            <w:tcBorders>
              <w:top w:val="nil"/>
              <w:left w:val="nil"/>
              <w:bottom w:val="nil"/>
              <w:right w:val="nil"/>
            </w:tcBorders>
            <w:shd w:val="clear" w:color="auto" w:fill="auto"/>
            <w:vAlign w:val="center"/>
            <w:hideMark/>
          </w:tcPr>
          <w:p w14:paraId="1269568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851" w:type="dxa"/>
            <w:tcBorders>
              <w:top w:val="nil"/>
              <w:left w:val="nil"/>
              <w:bottom w:val="nil"/>
              <w:right w:val="nil"/>
            </w:tcBorders>
            <w:shd w:val="clear" w:color="auto" w:fill="auto"/>
            <w:vAlign w:val="center"/>
            <w:hideMark/>
          </w:tcPr>
          <w:p w14:paraId="6E2973B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30" w:type="dxa"/>
            <w:tcBorders>
              <w:top w:val="nil"/>
              <w:left w:val="nil"/>
              <w:bottom w:val="nil"/>
              <w:right w:val="nil"/>
            </w:tcBorders>
            <w:shd w:val="clear" w:color="auto" w:fill="auto"/>
            <w:vAlign w:val="center"/>
            <w:hideMark/>
          </w:tcPr>
          <w:p w14:paraId="4748812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2" w:type="dxa"/>
            <w:tcBorders>
              <w:top w:val="nil"/>
              <w:left w:val="nil"/>
              <w:bottom w:val="nil"/>
              <w:right w:val="nil"/>
            </w:tcBorders>
            <w:shd w:val="clear" w:color="auto" w:fill="auto"/>
            <w:vAlign w:val="center"/>
            <w:hideMark/>
          </w:tcPr>
          <w:p w14:paraId="438EA66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2" w:type="dxa"/>
            <w:tcBorders>
              <w:top w:val="nil"/>
              <w:left w:val="nil"/>
              <w:bottom w:val="nil"/>
              <w:right w:val="nil"/>
            </w:tcBorders>
            <w:shd w:val="clear" w:color="auto" w:fill="auto"/>
            <w:vAlign w:val="center"/>
            <w:hideMark/>
          </w:tcPr>
          <w:p w14:paraId="5293A2D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4" w:type="dxa"/>
            <w:tcBorders>
              <w:top w:val="nil"/>
              <w:left w:val="nil"/>
              <w:bottom w:val="nil"/>
              <w:right w:val="nil"/>
            </w:tcBorders>
            <w:shd w:val="clear" w:color="auto" w:fill="auto"/>
            <w:vAlign w:val="center"/>
            <w:hideMark/>
          </w:tcPr>
          <w:p w14:paraId="04DA62D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51" w:type="dxa"/>
            <w:tcBorders>
              <w:top w:val="nil"/>
              <w:left w:val="nil"/>
              <w:bottom w:val="nil"/>
              <w:right w:val="nil"/>
            </w:tcBorders>
            <w:shd w:val="clear" w:color="auto" w:fill="auto"/>
            <w:vAlign w:val="center"/>
            <w:hideMark/>
          </w:tcPr>
          <w:p w14:paraId="490E214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8" w:type="dxa"/>
            <w:tcBorders>
              <w:top w:val="nil"/>
              <w:left w:val="nil"/>
              <w:bottom w:val="nil"/>
              <w:right w:val="nil"/>
            </w:tcBorders>
            <w:shd w:val="clear" w:color="auto" w:fill="auto"/>
            <w:vAlign w:val="center"/>
            <w:hideMark/>
          </w:tcPr>
          <w:p w14:paraId="3E1E83F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33B9944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7179C00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66C7D54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1B4D183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77A714F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5FDCA59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2EC98BE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050965B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5490629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42241D4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768E5414"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19ABC29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#Letters</w:t>
            </w:r>
          </w:p>
        </w:tc>
        <w:tc>
          <w:tcPr>
            <w:tcW w:w="828" w:type="dxa"/>
            <w:tcBorders>
              <w:top w:val="nil"/>
              <w:left w:val="nil"/>
              <w:bottom w:val="nil"/>
              <w:right w:val="nil"/>
            </w:tcBorders>
            <w:shd w:val="clear" w:color="auto" w:fill="auto"/>
            <w:vAlign w:val="center"/>
            <w:hideMark/>
          </w:tcPr>
          <w:p w14:paraId="6D53EF0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0.58***</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480665F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30" w:type="dxa"/>
            <w:tcBorders>
              <w:top w:val="nil"/>
              <w:left w:val="nil"/>
              <w:bottom w:val="nil"/>
              <w:right w:val="nil"/>
            </w:tcBorders>
            <w:shd w:val="clear" w:color="auto" w:fill="auto"/>
            <w:vAlign w:val="center"/>
            <w:hideMark/>
          </w:tcPr>
          <w:p w14:paraId="3881AC9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92" w:type="dxa"/>
            <w:tcBorders>
              <w:top w:val="nil"/>
              <w:left w:val="nil"/>
              <w:bottom w:val="nil"/>
              <w:right w:val="nil"/>
            </w:tcBorders>
            <w:shd w:val="clear" w:color="auto" w:fill="auto"/>
            <w:vAlign w:val="center"/>
            <w:hideMark/>
          </w:tcPr>
          <w:p w14:paraId="61C6CEC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2" w:type="dxa"/>
            <w:tcBorders>
              <w:top w:val="nil"/>
              <w:left w:val="nil"/>
              <w:bottom w:val="nil"/>
              <w:right w:val="nil"/>
            </w:tcBorders>
            <w:shd w:val="clear" w:color="auto" w:fill="auto"/>
            <w:vAlign w:val="center"/>
            <w:hideMark/>
          </w:tcPr>
          <w:p w14:paraId="22F6C14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4" w:type="dxa"/>
            <w:tcBorders>
              <w:top w:val="nil"/>
              <w:left w:val="nil"/>
              <w:bottom w:val="nil"/>
              <w:right w:val="nil"/>
            </w:tcBorders>
            <w:shd w:val="clear" w:color="auto" w:fill="auto"/>
            <w:vAlign w:val="center"/>
            <w:hideMark/>
          </w:tcPr>
          <w:p w14:paraId="6F6130E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51" w:type="dxa"/>
            <w:tcBorders>
              <w:top w:val="nil"/>
              <w:left w:val="nil"/>
              <w:bottom w:val="nil"/>
              <w:right w:val="nil"/>
            </w:tcBorders>
            <w:shd w:val="clear" w:color="auto" w:fill="auto"/>
            <w:vAlign w:val="center"/>
            <w:hideMark/>
          </w:tcPr>
          <w:p w14:paraId="7E9E210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8" w:type="dxa"/>
            <w:tcBorders>
              <w:top w:val="nil"/>
              <w:left w:val="nil"/>
              <w:bottom w:val="nil"/>
              <w:right w:val="nil"/>
            </w:tcBorders>
            <w:shd w:val="clear" w:color="auto" w:fill="auto"/>
            <w:vAlign w:val="center"/>
            <w:hideMark/>
          </w:tcPr>
          <w:p w14:paraId="1364EC6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21CEA29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0F40F71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4A530A1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6EB6CFB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764ADA7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30AC22B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56BC4FF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1155C61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229D8C7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112293D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0ADAB284" w14:textId="77777777" w:rsidTr="00A07FDB">
        <w:trPr>
          <w:gridAfter w:val="1"/>
          <w:wAfter w:w="12" w:type="dxa"/>
          <w:trHeight w:val="270"/>
        </w:trPr>
        <w:tc>
          <w:tcPr>
            <w:tcW w:w="1440" w:type="dxa"/>
            <w:tcBorders>
              <w:top w:val="nil"/>
              <w:left w:val="nil"/>
              <w:bottom w:val="nil"/>
              <w:right w:val="single" w:sz="4" w:space="0" w:color="auto"/>
            </w:tcBorders>
            <w:shd w:val="clear" w:color="auto" w:fill="auto"/>
            <w:vAlign w:val="center"/>
            <w:hideMark/>
          </w:tcPr>
          <w:p w14:paraId="4D3C6D3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#Themes</w:t>
            </w:r>
          </w:p>
        </w:tc>
        <w:tc>
          <w:tcPr>
            <w:tcW w:w="828" w:type="dxa"/>
            <w:tcBorders>
              <w:top w:val="nil"/>
              <w:left w:val="nil"/>
              <w:bottom w:val="nil"/>
              <w:right w:val="nil"/>
            </w:tcBorders>
            <w:shd w:val="clear" w:color="auto" w:fill="auto"/>
            <w:vAlign w:val="center"/>
            <w:hideMark/>
          </w:tcPr>
          <w:p w14:paraId="2236AAD4"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0.31***</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2644444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0.67***</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23FD548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92" w:type="dxa"/>
            <w:tcBorders>
              <w:top w:val="nil"/>
              <w:left w:val="nil"/>
              <w:bottom w:val="nil"/>
              <w:right w:val="nil"/>
            </w:tcBorders>
            <w:shd w:val="clear" w:color="auto" w:fill="auto"/>
            <w:vAlign w:val="center"/>
            <w:hideMark/>
          </w:tcPr>
          <w:p w14:paraId="489FAF7B"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92" w:type="dxa"/>
            <w:tcBorders>
              <w:top w:val="nil"/>
              <w:left w:val="nil"/>
              <w:bottom w:val="nil"/>
              <w:right w:val="nil"/>
            </w:tcBorders>
            <w:shd w:val="clear" w:color="auto" w:fill="auto"/>
            <w:vAlign w:val="center"/>
            <w:hideMark/>
          </w:tcPr>
          <w:p w14:paraId="311BDAA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4" w:type="dxa"/>
            <w:tcBorders>
              <w:top w:val="nil"/>
              <w:left w:val="nil"/>
              <w:bottom w:val="nil"/>
              <w:right w:val="nil"/>
            </w:tcBorders>
            <w:shd w:val="clear" w:color="auto" w:fill="auto"/>
            <w:vAlign w:val="center"/>
            <w:hideMark/>
          </w:tcPr>
          <w:p w14:paraId="149EF6E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51" w:type="dxa"/>
            <w:tcBorders>
              <w:top w:val="nil"/>
              <w:left w:val="nil"/>
              <w:bottom w:val="nil"/>
              <w:right w:val="nil"/>
            </w:tcBorders>
            <w:shd w:val="clear" w:color="auto" w:fill="auto"/>
            <w:vAlign w:val="center"/>
            <w:hideMark/>
          </w:tcPr>
          <w:p w14:paraId="3172E06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8" w:type="dxa"/>
            <w:tcBorders>
              <w:top w:val="nil"/>
              <w:left w:val="nil"/>
              <w:bottom w:val="nil"/>
              <w:right w:val="nil"/>
            </w:tcBorders>
            <w:shd w:val="clear" w:color="auto" w:fill="auto"/>
            <w:vAlign w:val="center"/>
            <w:hideMark/>
          </w:tcPr>
          <w:p w14:paraId="1F1772C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619B58A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1FA5752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298D567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2E3B6E5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39041E2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6E047F6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3D985AB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18DD4FF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7D525C2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5BA6035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0934CAC5"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02FF353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#Core-accounting issues</w:t>
            </w:r>
          </w:p>
        </w:tc>
        <w:tc>
          <w:tcPr>
            <w:tcW w:w="828" w:type="dxa"/>
            <w:tcBorders>
              <w:top w:val="nil"/>
              <w:left w:val="nil"/>
              <w:bottom w:val="nil"/>
              <w:right w:val="nil"/>
            </w:tcBorders>
            <w:shd w:val="clear" w:color="auto" w:fill="auto"/>
            <w:vAlign w:val="center"/>
            <w:hideMark/>
          </w:tcPr>
          <w:p w14:paraId="13AA435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0.26***</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05E66D2D"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0.49***</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73F7188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0.65***</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69751AA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92" w:type="dxa"/>
            <w:tcBorders>
              <w:top w:val="nil"/>
              <w:left w:val="nil"/>
              <w:bottom w:val="nil"/>
              <w:right w:val="nil"/>
            </w:tcBorders>
            <w:shd w:val="clear" w:color="auto" w:fill="auto"/>
            <w:vAlign w:val="center"/>
            <w:hideMark/>
          </w:tcPr>
          <w:p w14:paraId="4C8C859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804" w:type="dxa"/>
            <w:tcBorders>
              <w:top w:val="nil"/>
              <w:left w:val="nil"/>
              <w:bottom w:val="nil"/>
              <w:right w:val="nil"/>
            </w:tcBorders>
            <w:shd w:val="clear" w:color="auto" w:fill="auto"/>
            <w:vAlign w:val="center"/>
            <w:hideMark/>
          </w:tcPr>
          <w:p w14:paraId="45EE7EB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51" w:type="dxa"/>
            <w:tcBorders>
              <w:top w:val="nil"/>
              <w:left w:val="nil"/>
              <w:bottom w:val="nil"/>
              <w:right w:val="nil"/>
            </w:tcBorders>
            <w:shd w:val="clear" w:color="auto" w:fill="auto"/>
            <w:vAlign w:val="center"/>
            <w:hideMark/>
          </w:tcPr>
          <w:p w14:paraId="697F686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8" w:type="dxa"/>
            <w:tcBorders>
              <w:top w:val="nil"/>
              <w:left w:val="nil"/>
              <w:bottom w:val="nil"/>
              <w:right w:val="nil"/>
            </w:tcBorders>
            <w:shd w:val="clear" w:color="auto" w:fill="auto"/>
            <w:vAlign w:val="center"/>
            <w:hideMark/>
          </w:tcPr>
          <w:p w14:paraId="57D4126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7DD3BA7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3EA60D8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0362A04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79ABBDA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4C968A4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46448A7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4E80863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33A9D26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14F9C53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4D10666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1D07B8BD"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4953A32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#Non-core-accounting issues</w:t>
            </w:r>
          </w:p>
        </w:tc>
        <w:tc>
          <w:tcPr>
            <w:tcW w:w="828" w:type="dxa"/>
            <w:tcBorders>
              <w:top w:val="nil"/>
              <w:left w:val="nil"/>
              <w:bottom w:val="nil"/>
              <w:right w:val="nil"/>
            </w:tcBorders>
            <w:shd w:val="clear" w:color="auto" w:fill="auto"/>
            <w:vAlign w:val="center"/>
            <w:hideMark/>
          </w:tcPr>
          <w:p w14:paraId="28A638B4"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0.35***</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0BDA13B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0.67***</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4832B0B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0.79***</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5BB22B8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0.61***</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5D3CCC1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804" w:type="dxa"/>
            <w:tcBorders>
              <w:top w:val="nil"/>
              <w:left w:val="nil"/>
              <w:bottom w:val="nil"/>
              <w:right w:val="nil"/>
            </w:tcBorders>
            <w:shd w:val="clear" w:color="auto" w:fill="auto"/>
            <w:vAlign w:val="center"/>
            <w:hideMark/>
          </w:tcPr>
          <w:p w14:paraId="006E2D0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851" w:type="dxa"/>
            <w:tcBorders>
              <w:top w:val="nil"/>
              <w:left w:val="nil"/>
              <w:bottom w:val="nil"/>
              <w:right w:val="nil"/>
            </w:tcBorders>
            <w:shd w:val="clear" w:color="auto" w:fill="auto"/>
            <w:vAlign w:val="center"/>
            <w:hideMark/>
          </w:tcPr>
          <w:p w14:paraId="1DC13E0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808" w:type="dxa"/>
            <w:tcBorders>
              <w:top w:val="nil"/>
              <w:left w:val="nil"/>
              <w:bottom w:val="nil"/>
              <w:right w:val="nil"/>
            </w:tcBorders>
            <w:shd w:val="clear" w:color="auto" w:fill="auto"/>
            <w:vAlign w:val="center"/>
            <w:hideMark/>
          </w:tcPr>
          <w:p w14:paraId="1974808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2572DFE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43041C2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0FB9296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4D76F23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6736397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264740C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168CF52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38A4968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1D2EB07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2334009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C46E47D"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4C46E54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DACC</w:t>
            </w:r>
          </w:p>
        </w:tc>
        <w:tc>
          <w:tcPr>
            <w:tcW w:w="828" w:type="dxa"/>
            <w:tcBorders>
              <w:top w:val="nil"/>
              <w:left w:val="nil"/>
              <w:bottom w:val="nil"/>
              <w:right w:val="nil"/>
            </w:tcBorders>
            <w:shd w:val="clear" w:color="auto" w:fill="auto"/>
            <w:vAlign w:val="center"/>
            <w:hideMark/>
          </w:tcPr>
          <w:p w14:paraId="56D5CA1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(0.06)</w:t>
            </w:r>
          </w:p>
        </w:tc>
        <w:tc>
          <w:tcPr>
            <w:tcW w:w="851" w:type="dxa"/>
            <w:tcBorders>
              <w:top w:val="nil"/>
              <w:left w:val="nil"/>
              <w:bottom w:val="nil"/>
              <w:right w:val="nil"/>
            </w:tcBorders>
            <w:shd w:val="clear" w:color="auto" w:fill="auto"/>
            <w:vAlign w:val="center"/>
            <w:hideMark/>
          </w:tcPr>
          <w:p w14:paraId="62B718F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(0.01)</w:t>
            </w:r>
          </w:p>
        </w:tc>
        <w:tc>
          <w:tcPr>
            <w:tcW w:w="730" w:type="dxa"/>
            <w:tcBorders>
              <w:top w:val="nil"/>
              <w:left w:val="nil"/>
              <w:bottom w:val="nil"/>
              <w:right w:val="nil"/>
            </w:tcBorders>
            <w:shd w:val="clear" w:color="auto" w:fill="auto"/>
            <w:vAlign w:val="center"/>
            <w:hideMark/>
          </w:tcPr>
          <w:p w14:paraId="2545AD8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0.13***</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7D1FAA5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(0.01)</w:t>
            </w:r>
          </w:p>
        </w:tc>
        <w:tc>
          <w:tcPr>
            <w:tcW w:w="792" w:type="dxa"/>
            <w:tcBorders>
              <w:top w:val="nil"/>
              <w:left w:val="nil"/>
              <w:bottom w:val="nil"/>
              <w:right w:val="nil"/>
            </w:tcBorders>
            <w:shd w:val="clear" w:color="auto" w:fill="auto"/>
            <w:vAlign w:val="center"/>
            <w:hideMark/>
          </w:tcPr>
          <w:p w14:paraId="42D6238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(0.04)</w:t>
            </w:r>
          </w:p>
        </w:tc>
        <w:tc>
          <w:tcPr>
            <w:tcW w:w="804" w:type="dxa"/>
            <w:tcBorders>
              <w:top w:val="nil"/>
              <w:left w:val="nil"/>
              <w:bottom w:val="nil"/>
              <w:right w:val="nil"/>
            </w:tcBorders>
            <w:shd w:val="clear" w:color="auto" w:fill="auto"/>
            <w:vAlign w:val="center"/>
            <w:hideMark/>
          </w:tcPr>
          <w:p w14:paraId="2C1D786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851" w:type="dxa"/>
            <w:tcBorders>
              <w:top w:val="nil"/>
              <w:left w:val="nil"/>
              <w:bottom w:val="nil"/>
              <w:right w:val="nil"/>
            </w:tcBorders>
            <w:shd w:val="clear" w:color="auto" w:fill="auto"/>
            <w:vAlign w:val="center"/>
            <w:hideMark/>
          </w:tcPr>
          <w:p w14:paraId="01A13ED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808" w:type="dxa"/>
            <w:tcBorders>
              <w:top w:val="nil"/>
              <w:left w:val="nil"/>
              <w:bottom w:val="nil"/>
              <w:right w:val="nil"/>
            </w:tcBorders>
            <w:shd w:val="clear" w:color="auto" w:fill="auto"/>
            <w:vAlign w:val="center"/>
            <w:hideMark/>
          </w:tcPr>
          <w:p w14:paraId="21F4B11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51" w:type="dxa"/>
            <w:tcBorders>
              <w:top w:val="nil"/>
              <w:left w:val="nil"/>
              <w:bottom w:val="nil"/>
              <w:right w:val="nil"/>
            </w:tcBorders>
            <w:shd w:val="clear" w:color="auto" w:fill="auto"/>
            <w:vAlign w:val="center"/>
            <w:hideMark/>
          </w:tcPr>
          <w:p w14:paraId="433BC52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67068AA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0101C3A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3BBB536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1C7B74A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4738097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4BD09E7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1D5BC22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6433145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16A17D0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F3CFD28"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56B872E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ACFO</w:t>
            </w:r>
          </w:p>
        </w:tc>
        <w:tc>
          <w:tcPr>
            <w:tcW w:w="828" w:type="dxa"/>
            <w:tcBorders>
              <w:top w:val="nil"/>
              <w:left w:val="nil"/>
              <w:bottom w:val="nil"/>
              <w:right w:val="nil"/>
            </w:tcBorders>
            <w:shd w:val="clear" w:color="auto" w:fill="auto"/>
            <w:vAlign w:val="center"/>
            <w:hideMark/>
          </w:tcPr>
          <w:p w14:paraId="7D1D5D3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(0.05)</w:t>
            </w:r>
          </w:p>
        </w:tc>
        <w:tc>
          <w:tcPr>
            <w:tcW w:w="851" w:type="dxa"/>
            <w:tcBorders>
              <w:top w:val="nil"/>
              <w:left w:val="nil"/>
              <w:bottom w:val="nil"/>
              <w:right w:val="nil"/>
            </w:tcBorders>
            <w:shd w:val="clear" w:color="auto" w:fill="auto"/>
            <w:vAlign w:val="center"/>
            <w:hideMark/>
          </w:tcPr>
          <w:p w14:paraId="6A8ECC04"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0335B42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0.16***</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3E4D424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0.13***</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34F4EFF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0.18***</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33A6DAD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0.45***</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2325D9C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808" w:type="dxa"/>
            <w:tcBorders>
              <w:top w:val="nil"/>
              <w:left w:val="nil"/>
              <w:bottom w:val="nil"/>
              <w:right w:val="nil"/>
            </w:tcBorders>
            <w:shd w:val="clear" w:color="auto" w:fill="auto"/>
            <w:vAlign w:val="center"/>
            <w:hideMark/>
          </w:tcPr>
          <w:p w14:paraId="7E2043D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51" w:type="dxa"/>
            <w:tcBorders>
              <w:top w:val="nil"/>
              <w:left w:val="nil"/>
              <w:bottom w:val="nil"/>
              <w:right w:val="nil"/>
            </w:tcBorders>
            <w:shd w:val="clear" w:color="auto" w:fill="auto"/>
            <w:vAlign w:val="center"/>
            <w:hideMark/>
          </w:tcPr>
          <w:p w14:paraId="36D770D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020FB00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2EE00B6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64223D9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10A2C70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4FB9BE8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23CEB48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4BF0926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672E7BA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7D4B5D0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2893AFFA" w14:textId="77777777" w:rsidTr="00A07FDB">
        <w:trPr>
          <w:gridAfter w:val="1"/>
          <w:wAfter w:w="12" w:type="dxa"/>
          <w:trHeight w:val="465"/>
        </w:trPr>
        <w:tc>
          <w:tcPr>
            <w:tcW w:w="1440" w:type="dxa"/>
            <w:tcBorders>
              <w:top w:val="nil"/>
              <w:left w:val="nil"/>
              <w:bottom w:val="nil"/>
              <w:right w:val="single" w:sz="4" w:space="0" w:color="auto"/>
            </w:tcBorders>
            <w:shd w:val="clear" w:color="auto" w:fill="auto"/>
            <w:vAlign w:val="center"/>
            <w:hideMark/>
          </w:tcPr>
          <w:p w14:paraId="71C8CE1B"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ADISEXP</w:t>
            </w:r>
          </w:p>
        </w:tc>
        <w:tc>
          <w:tcPr>
            <w:tcW w:w="828" w:type="dxa"/>
            <w:tcBorders>
              <w:top w:val="nil"/>
              <w:left w:val="nil"/>
              <w:bottom w:val="nil"/>
              <w:right w:val="nil"/>
            </w:tcBorders>
            <w:shd w:val="clear" w:color="auto" w:fill="auto"/>
            <w:vAlign w:val="center"/>
            <w:hideMark/>
          </w:tcPr>
          <w:p w14:paraId="3F97D53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(0.04)</w:t>
            </w:r>
          </w:p>
        </w:tc>
        <w:tc>
          <w:tcPr>
            <w:tcW w:w="851" w:type="dxa"/>
            <w:tcBorders>
              <w:top w:val="nil"/>
              <w:left w:val="nil"/>
              <w:bottom w:val="nil"/>
              <w:right w:val="nil"/>
            </w:tcBorders>
            <w:shd w:val="clear" w:color="auto" w:fill="auto"/>
            <w:vAlign w:val="center"/>
            <w:hideMark/>
          </w:tcPr>
          <w:p w14:paraId="3EDAD4E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(0.01)</w:t>
            </w:r>
          </w:p>
        </w:tc>
        <w:tc>
          <w:tcPr>
            <w:tcW w:w="730" w:type="dxa"/>
            <w:tcBorders>
              <w:top w:val="nil"/>
              <w:left w:val="nil"/>
              <w:bottom w:val="nil"/>
              <w:right w:val="nil"/>
            </w:tcBorders>
            <w:shd w:val="clear" w:color="auto" w:fill="auto"/>
            <w:vAlign w:val="center"/>
            <w:hideMark/>
          </w:tcPr>
          <w:p w14:paraId="6C257CE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-0.14***</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75366AF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(0.08)</w:t>
            </w:r>
          </w:p>
        </w:tc>
        <w:tc>
          <w:tcPr>
            <w:tcW w:w="792" w:type="dxa"/>
            <w:tcBorders>
              <w:top w:val="nil"/>
              <w:left w:val="nil"/>
              <w:bottom w:val="nil"/>
              <w:right w:val="nil"/>
            </w:tcBorders>
            <w:shd w:val="clear" w:color="auto" w:fill="auto"/>
            <w:vAlign w:val="center"/>
            <w:hideMark/>
          </w:tcPr>
          <w:p w14:paraId="43B32C2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-0.15***</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4BB094B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-0.77***</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504679E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-0.84***</w:t>
            </w:r>
            <w:r w:rsidRPr="00E915AA">
              <w:rPr>
                <w:rFonts w:ascii="Times New Roman" w:eastAsia="Times New Roman" w:hAnsi="Times New Roman" w:cs="Times New Roman"/>
                <w:b/>
                <w:bCs/>
                <w:color w:val="000000"/>
                <w:sz w:val="14"/>
                <w:szCs w:val="16"/>
                <w:lang w:eastAsia="en-GB"/>
              </w:rPr>
              <w:br/>
              <w:t>(0.00)</w:t>
            </w:r>
          </w:p>
        </w:tc>
        <w:tc>
          <w:tcPr>
            <w:tcW w:w="808" w:type="dxa"/>
            <w:tcBorders>
              <w:top w:val="nil"/>
              <w:left w:val="nil"/>
              <w:bottom w:val="nil"/>
              <w:right w:val="nil"/>
            </w:tcBorders>
            <w:shd w:val="clear" w:color="auto" w:fill="auto"/>
            <w:vAlign w:val="center"/>
            <w:hideMark/>
          </w:tcPr>
          <w:p w14:paraId="3ABEDCE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51" w:type="dxa"/>
            <w:tcBorders>
              <w:top w:val="nil"/>
              <w:left w:val="nil"/>
              <w:bottom w:val="nil"/>
              <w:right w:val="nil"/>
            </w:tcBorders>
            <w:shd w:val="clear" w:color="auto" w:fill="auto"/>
            <w:vAlign w:val="center"/>
            <w:hideMark/>
          </w:tcPr>
          <w:p w14:paraId="472D1874"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37" w:type="dxa"/>
            <w:tcBorders>
              <w:top w:val="nil"/>
              <w:left w:val="nil"/>
              <w:bottom w:val="nil"/>
              <w:right w:val="nil"/>
            </w:tcBorders>
            <w:shd w:val="clear" w:color="auto" w:fill="auto"/>
            <w:vAlign w:val="center"/>
            <w:hideMark/>
          </w:tcPr>
          <w:p w14:paraId="280FFD1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81" w:type="dxa"/>
            <w:tcBorders>
              <w:top w:val="nil"/>
              <w:left w:val="nil"/>
              <w:bottom w:val="nil"/>
              <w:right w:val="nil"/>
            </w:tcBorders>
            <w:shd w:val="clear" w:color="auto" w:fill="auto"/>
            <w:vAlign w:val="center"/>
            <w:hideMark/>
          </w:tcPr>
          <w:p w14:paraId="086E661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0E4EE29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0358503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6E0B1EA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3BA30AF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78E85E9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05820E9E"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697780C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2062517" w14:textId="77777777" w:rsidTr="00A07FDB">
        <w:trPr>
          <w:gridAfter w:val="1"/>
          <w:wAfter w:w="12" w:type="dxa"/>
          <w:trHeight w:val="360"/>
        </w:trPr>
        <w:tc>
          <w:tcPr>
            <w:tcW w:w="1440" w:type="dxa"/>
            <w:tcBorders>
              <w:top w:val="nil"/>
              <w:left w:val="nil"/>
              <w:bottom w:val="nil"/>
              <w:right w:val="single" w:sz="4" w:space="0" w:color="auto"/>
            </w:tcBorders>
            <w:shd w:val="clear" w:color="auto" w:fill="auto"/>
            <w:vAlign w:val="center"/>
            <w:hideMark/>
          </w:tcPr>
          <w:p w14:paraId="44D2DC5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LnSize</w:t>
            </w:r>
            <w:proofErr w:type="spellEnd"/>
          </w:p>
        </w:tc>
        <w:tc>
          <w:tcPr>
            <w:tcW w:w="828" w:type="dxa"/>
            <w:tcBorders>
              <w:top w:val="nil"/>
              <w:left w:val="nil"/>
              <w:bottom w:val="nil"/>
              <w:right w:val="nil"/>
            </w:tcBorders>
            <w:shd w:val="clear" w:color="auto" w:fill="auto"/>
            <w:vAlign w:val="center"/>
            <w:hideMark/>
          </w:tcPr>
          <w:p w14:paraId="685AE8BD"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(0.01)</w:t>
            </w:r>
          </w:p>
        </w:tc>
        <w:tc>
          <w:tcPr>
            <w:tcW w:w="851" w:type="dxa"/>
            <w:tcBorders>
              <w:top w:val="nil"/>
              <w:left w:val="nil"/>
              <w:bottom w:val="nil"/>
              <w:right w:val="nil"/>
            </w:tcBorders>
            <w:shd w:val="clear" w:color="auto" w:fill="auto"/>
            <w:vAlign w:val="center"/>
            <w:hideMark/>
          </w:tcPr>
          <w:p w14:paraId="029F884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0.14***</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3D3C020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0.19***</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4226B88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(0.02)</w:t>
            </w:r>
          </w:p>
        </w:tc>
        <w:tc>
          <w:tcPr>
            <w:tcW w:w="792" w:type="dxa"/>
            <w:tcBorders>
              <w:top w:val="nil"/>
              <w:left w:val="nil"/>
              <w:bottom w:val="nil"/>
              <w:right w:val="nil"/>
            </w:tcBorders>
            <w:shd w:val="clear" w:color="auto" w:fill="auto"/>
            <w:vAlign w:val="center"/>
            <w:hideMark/>
          </w:tcPr>
          <w:p w14:paraId="62814EA2"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0.19***</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15B27CE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0.16***</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7B6ECB3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0.32***</w:t>
            </w:r>
            <w:r w:rsidRPr="00E915AA">
              <w:rPr>
                <w:rFonts w:ascii="Times New Roman" w:eastAsia="Times New Roman" w:hAnsi="Times New Roman" w:cs="Times New Roman"/>
                <w:b/>
                <w:bCs/>
                <w:color w:val="000000"/>
                <w:sz w:val="14"/>
                <w:szCs w:val="16"/>
                <w:lang w:eastAsia="en-GB"/>
              </w:rPr>
              <w:br/>
              <w:t>(0.00)</w:t>
            </w:r>
          </w:p>
        </w:tc>
        <w:tc>
          <w:tcPr>
            <w:tcW w:w="808" w:type="dxa"/>
            <w:tcBorders>
              <w:top w:val="nil"/>
              <w:left w:val="nil"/>
              <w:bottom w:val="nil"/>
              <w:right w:val="nil"/>
            </w:tcBorders>
            <w:shd w:val="clear" w:color="auto" w:fill="auto"/>
            <w:vAlign w:val="center"/>
            <w:hideMark/>
          </w:tcPr>
          <w:p w14:paraId="6477BFC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-0.28***</w:t>
            </w:r>
            <w:r w:rsidRPr="00E915AA">
              <w:rPr>
                <w:rFonts w:ascii="Times New Roman" w:eastAsia="Times New Roman" w:hAnsi="Times New Roman" w:cs="Times New Roman"/>
                <w:b/>
                <w:bCs/>
                <w:color w:val="000000"/>
                <w:sz w:val="14"/>
                <w:szCs w:val="16"/>
                <w:lang w:eastAsia="en-GB"/>
              </w:rPr>
              <w:br/>
              <w:t>(0.00)</w:t>
            </w:r>
          </w:p>
        </w:tc>
        <w:tc>
          <w:tcPr>
            <w:tcW w:w="751" w:type="dxa"/>
            <w:tcBorders>
              <w:top w:val="nil"/>
              <w:left w:val="nil"/>
              <w:bottom w:val="nil"/>
              <w:right w:val="nil"/>
            </w:tcBorders>
            <w:shd w:val="clear" w:color="auto" w:fill="auto"/>
            <w:vAlign w:val="center"/>
            <w:hideMark/>
          </w:tcPr>
          <w:p w14:paraId="6104D5E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37" w:type="dxa"/>
            <w:tcBorders>
              <w:top w:val="nil"/>
              <w:left w:val="nil"/>
              <w:bottom w:val="nil"/>
              <w:right w:val="nil"/>
            </w:tcBorders>
            <w:shd w:val="clear" w:color="auto" w:fill="auto"/>
            <w:vAlign w:val="center"/>
            <w:hideMark/>
          </w:tcPr>
          <w:p w14:paraId="118E3FD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681" w:type="dxa"/>
            <w:tcBorders>
              <w:top w:val="nil"/>
              <w:left w:val="nil"/>
              <w:bottom w:val="nil"/>
              <w:right w:val="nil"/>
            </w:tcBorders>
            <w:shd w:val="clear" w:color="auto" w:fill="auto"/>
            <w:vAlign w:val="center"/>
            <w:hideMark/>
          </w:tcPr>
          <w:p w14:paraId="1933841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61" w:type="dxa"/>
            <w:tcBorders>
              <w:top w:val="nil"/>
              <w:left w:val="nil"/>
              <w:bottom w:val="nil"/>
              <w:right w:val="nil"/>
            </w:tcBorders>
            <w:shd w:val="clear" w:color="auto" w:fill="auto"/>
            <w:vAlign w:val="center"/>
            <w:hideMark/>
          </w:tcPr>
          <w:p w14:paraId="685FBC5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3BC9998B"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401442F6"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6459AC8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5F3DD7F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62922B4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1C92AD1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1B750D00"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00C9BAE0"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Leverage</w:t>
            </w:r>
          </w:p>
        </w:tc>
        <w:tc>
          <w:tcPr>
            <w:tcW w:w="828" w:type="dxa"/>
            <w:tcBorders>
              <w:top w:val="nil"/>
              <w:left w:val="nil"/>
              <w:bottom w:val="nil"/>
              <w:right w:val="nil"/>
            </w:tcBorders>
            <w:shd w:val="clear" w:color="auto" w:fill="auto"/>
            <w:vAlign w:val="center"/>
            <w:hideMark/>
          </w:tcPr>
          <w:p w14:paraId="5612DCD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-0.18***</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2CAF308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0.05</w:t>
            </w:r>
            <w:r w:rsidRPr="00E915AA">
              <w:rPr>
                <w:rFonts w:ascii="Times New Roman" w:eastAsia="Times New Roman" w:hAnsi="Times New Roman" w:cs="Times New Roman"/>
                <w:color w:val="000000"/>
                <w:sz w:val="14"/>
                <w:szCs w:val="16"/>
                <w:lang w:eastAsia="en-GB"/>
              </w:rPr>
              <w:br/>
              <w:t>(0.19)</w:t>
            </w:r>
          </w:p>
        </w:tc>
        <w:tc>
          <w:tcPr>
            <w:tcW w:w="730" w:type="dxa"/>
            <w:tcBorders>
              <w:top w:val="nil"/>
              <w:left w:val="nil"/>
              <w:bottom w:val="nil"/>
              <w:right w:val="nil"/>
            </w:tcBorders>
            <w:shd w:val="clear" w:color="auto" w:fill="auto"/>
            <w:vAlign w:val="center"/>
            <w:hideMark/>
          </w:tcPr>
          <w:p w14:paraId="57E552C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0.05</w:t>
            </w:r>
            <w:r w:rsidRPr="00E915AA">
              <w:rPr>
                <w:rFonts w:ascii="Times New Roman" w:eastAsia="Times New Roman" w:hAnsi="Times New Roman" w:cs="Times New Roman"/>
                <w:color w:val="000000"/>
                <w:sz w:val="14"/>
                <w:szCs w:val="16"/>
                <w:lang w:eastAsia="en-GB"/>
              </w:rPr>
              <w:br/>
              <w:t>(0.17)</w:t>
            </w:r>
          </w:p>
        </w:tc>
        <w:tc>
          <w:tcPr>
            <w:tcW w:w="792" w:type="dxa"/>
            <w:tcBorders>
              <w:top w:val="nil"/>
              <w:left w:val="nil"/>
              <w:bottom w:val="nil"/>
              <w:right w:val="nil"/>
            </w:tcBorders>
            <w:shd w:val="clear" w:color="auto" w:fill="auto"/>
            <w:vAlign w:val="center"/>
            <w:hideMark/>
          </w:tcPr>
          <w:p w14:paraId="13A49A4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(0.45)</w:t>
            </w:r>
          </w:p>
        </w:tc>
        <w:tc>
          <w:tcPr>
            <w:tcW w:w="792" w:type="dxa"/>
            <w:tcBorders>
              <w:top w:val="nil"/>
              <w:left w:val="nil"/>
              <w:bottom w:val="nil"/>
              <w:right w:val="nil"/>
            </w:tcBorders>
            <w:shd w:val="clear" w:color="auto" w:fill="auto"/>
            <w:vAlign w:val="center"/>
            <w:hideMark/>
          </w:tcPr>
          <w:p w14:paraId="2CC0037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(0.35)</w:t>
            </w:r>
          </w:p>
        </w:tc>
        <w:tc>
          <w:tcPr>
            <w:tcW w:w="804" w:type="dxa"/>
            <w:tcBorders>
              <w:top w:val="nil"/>
              <w:left w:val="nil"/>
              <w:bottom w:val="nil"/>
              <w:right w:val="nil"/>
            </w:tcBorders>
            <w:shd w:val="clear" w:color="auto" w:fill="auto"/>
            <w:vAlign w:val="center"/>
            <w:hideMark/>
          </w:tcPr>
          <w:p w14:paraId="5D51CC5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(0.54)</w:t>
            </w:r>
          </w:p>
        </w:tc>
        <w:tc>
          <w:tcPr>
            <w:tcW w:w="851" w:type="dxa"/>
            <w:tcBorders>
              <w:top w:val="nil"/>
              <w:left w:val="nil"/>
              <w:bottom w:val="nil"/>
              <w:right w:val="nil"/>
            </w:tcBorders>
            <w:shd w:val="clear" w:color="auto" w:fill="auto"/>
            <w:vAlign w:val="center"/>
            <w:hideMark/>
          </w:tcPr>
          <w:p w14:paraId="2619E75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(0.44)</w:t>
            </w:r>
          </w:p>
        </w:tc>
        <w:tc>
          <w:tcPr>
            <w:tcW w:w="808" w:type="dxa"/>
            <w:tcBorders>
              <w:top w:val="nil"/>
              <w:left w:val="nil"/>
              <w:bottom w:val="nil"/>
              <w:right w:val="nil"/>
            </w:tcBorders>
            <w:shd w:val="clear" w:color="auto" w:fill="auto"/>
            <w:vAlign w:val="center"/>
            <w:hideMark/>
          </w:tcPr>
          <w:p w14:paraId="4ACD19D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(0.38)</w:t>
            </w:r>
          </w:p>
        </w:tc>
        <w:tc>
          <w:tcPr>
            <w:tcW w:w="751" w:type="dxa"/>
            <w:tcBorders>
              <w:top w:val="nil"/>
              <w:left w:val="nil"/>
              <w:bottom w:val="nil"/>
              <w:right w:val="nil"/>
            </w:tcBorders>
            <w:shd w:val="clear" w:color="auto" w:fill="auto"/>
            <w:vAlign w:val="center"/>
            <w:hideMark/>
          </w:tcPr>
          <w:p w14:paraId="39647AF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-0.06</w:t>
            </w:r>
            <w:r w:rsidRPr="00E915AA">
              <w:rPr>
                <w:rFonts w:ascii="Times New Roman" w:eastAsia="Times New Roman" w:hAnsi="Times New Roman" w:cs="Times New Roman"/>
                <w:color w:val="000000"/>
                <w:sz w:val="14"/>
                <w:szCs w:val="16"/>
                <w:lang w:eastAsia="en-GB"/>
              </w:rPr>
              <w:br/>
              <w:t>(0.11)</w:t>
            </w:r>
          </w:p>
        </w:tc>
        <w:tc>
          <w:tcPr>
            <w:tcW w:w="737" w:type="dxa"/>
            <w:tcBorders>
              <w:top w:val="nil"/>
              <w:left w:val="nil"/>
              <w:bottom w:val="nil"/>
              <w:right w:val="nil"/>
            </w:tcBorders>
            <w:shd w:val="clear" w:color="auto" w:fill="auto"/>
            <w:vAlign w:val="center"/>
            <w:hideMark/>
          </w:tcPr>
          <w:p w14:paraId="5ECEEC6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681" w:type="dxa"/>
            <w:tcBorders>
              <w:top w:val="nil"/>
              <w:left w:val="nil"/>
              <w:bottom w:val="nil"/>
              <w:right w:val="nil"/>
            </w:tcBorders>
            <w:shd w:val="clear" w:color="auto" w:fill="auto"/>
            <w:vAlign w:val="center"/>
            <w:hideMark/>
          </w:tcPr>
          <w:p w14:paraId="434F7FCF"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61" w:type="dxa"/>
            <w:tcBorders>
              <w:top w:val="nil"/>
              <w:left w:val="nil"/>
              <w:bottom w:val="nil"/>
              <w:right w:val="nil"/>
            </w:tcBorders>
            <w:shd w:val="clear" w:color="auto" w:fill="auto"/>
            <w:vAlign w:val="center"/>
            <w:hideMark/>
          </w:tcPr>
          <w:p w14:paraId="5BE70CF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98" w:type="dxa"/>
            <w:tcBorders>
              <w:top w:val="nil"/>
              <w:left w:val="nil"/>
              <w:bottom w:val="nil"/>
              <w:right w:val="nil"/>
            </w:tcBorders>
            <w:shd w:val="clear" w:color="auto" w:fill="auto"/>
            <w:vAlign w:val="center"/>
            <w:hideMark/>
          </w:tcPr>
          <w:p w14:paraId="49E9B86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2654ECC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230BD36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17B9D2BD"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4ED6589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1011F1C7"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0B94D295" w14:textId="77777777" w:rsidTr="00A07FDB">
        <w:trPr>
          <w:gridAfter w:val="1"/>
          <w:wAfter w:w="12" w:type="dxa"/>
          <w:trHeight w:val="450"/>
        </w:trPr>
        <w:tc>
          <w:tcPr>
            <w:tcW w:w="1440" w:type="dxa"/>
            <w:tcBorders>
              <w:top w:val="nil"/>
              <w:left w:val="nil"/>
              <w:bottom w:val="nil"/>
              <w:right w:val="single" w:sz="4" w:space="0" w:color="auto"/>
            </w:tcBorders>
            <w:shd w:val="clear" w:color="auto" w:fill="auto"/>
            <w:vAlign w:val="center"/>
            <w:hideMark/>
          </w:tcPr>
          <w:p w14:paraId="74808B3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Firm age</w:t>
            </w:r>
          </w:p>
        </w:tc>
        <w:tc>
          <w:tcPr>
            <w:tcW w:w="828" w:type="dxa"/>
            <w:tcBorders>
              <w:top w:val="nil"/>
              <w:left w:val="nil"/>
              <w:bottom w:val="nil"/>
              <w:right w:val="nil"/>
            </w:tcBorders>
            <w:shd w:val="clear" w:color="auto" w:fill="auto"/>
            <w:vAlign w:val="center"/>
            <w:hideMark/>
          </w:tcPr>
          <w:p w14:paraId="0268E0F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0.22***</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0C8B61D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0.20***</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5A351D1E"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0.16***</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42AAF89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(0.03)</w:t>
            </w:r>
          </w:p>
        </w:tc>
        <w:tc>
          <w:tcPr>
            <w:tcW w:w="792" w:type="dxa"/>
            <w:tcBorders>
              <w:top w:val="nil"/>
              <w:left w:val="nil"/>
              <w:bottom w:val="nil"/>
              <w:right w:val="nil"/>
            </w:tcBorders>
            <w:shd w:val="clear" w:color="auto" w:fill="auto"/>
            <w:vAlign w:val="center"/>
            <w:hideMark/>
          </w:tcPr>
          <w:p w14:paraId="340F3DE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47C59AB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0.05</w:t>
            </w:r>
            <w:r w:rsidRPr="00E915AA">
              <w:rPr>
                <w:rFonts w:ascii="Times New Roman" w:eastAsia="Times New Roman" w:hAnsi="Times New Roman" w:cs="Times New Roman"/>
                <w:color w:val="000000"/>
                <w:sz w:val="14"/>
                <w:szCs w:val="16"/>
                <w:lang w:eastAsia="en-GB"/>
              </w:rPr>
              <w:br/>
              <w:t>(0.27)</w:t>
            </w:r>
          </w:p>
        </w:tc>
        <w:tc>
          <w:tcPr>
            <w:tcW w:w="851" w:type="dxa"/>
            <w:tcBorders>
              <w:top w:val="nil"/>
              <w:left w:val="nil"/>
              <w:bottom w:val="nil"/>
              <w:right w:val="nil"/>
            </w:tcBorders>
            <w:shd w:val="clear" w:color="auto" w:fill="auto"/>
            <w:vAlign w:val="center"/>
            <w:hideMark/>
          </w:tcPr>
          <w:p w14:paraId="02CDE86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(0.07)</w:t>
            </w:r>
          </w:p>
        </w:tc>
        <w:tc>
          <w:tcPr>
            <w:tcW w:w="808" w:type="dxa"/>
            <w:tcBorders>
              <w:top w:val="nil"/>
              <w:left w:val="nil"/>
              <w:bottom w:val="nil"/>
              <w:right w:val="nil"/>
            </w:tcBorders>
            <w:shd w:val="clear" w:color="auto" w:fill="auto"/>
            <w:vAlign w:val="center"/>
            <w:hideMark/>
          </w:tcPr>
          <w:p w14:paraId="3059838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(0.09)</w:t>
            </w:r>
          </w:p>
        </w:tc>
        <w:tc>
          <w:tcPr>
            <w:tcW w:w="751" w:type="dxa"/>
            <w:tcBorders>
              <w:top w:val="nil"/>
              <w:left w:val="nil"/>
              <w:bottom w:val="nil"/>
              <w:right w:val="nil"/>
            </w:tcBorders>
            <w:shd w:val="clear" w:color="auto" w:fill="auto"/>
            <w:vAlign w:val="center"/>
            <w:hideMark/>
          </w:tcPr>
          <w:p w14:paraId="75185A5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0.30***</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424DB8B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(0.74)</w:t>
            </w:r>
          </w:p>
        </w:tc>
        <w:tc>
          <w:tcPr>
            <w:tcW w:w="681" w:type="dxa"/>
            <w:tcBorders>
              <w:top w:val="nil"/>
              <w:left w:val="nil"/>
              <w:bottom w:val="nil"/>
              <w:right w:val="nil"/>
            </w:tcBorders>
            <w:shd w:val="clear" w:color="auto" w:fill="auto"/>
            <w:vAlign w:val="center"/>
            <w:hideMark/>
          </w:tcPr>
          <w:p w14:paraId="3AB3C52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61" w:type="dxa"/>
            <w:tcBorders>
              <w:top w:val="nil"/>
              <w:left w:val="nil"/>
              <w:bottom w:val="nil"/>
              <w:right w:val="nil"/>
            </w:tcBorders>
            <w:shd w:val="clear" w:color="auto" w:fill="auto"/>
            <w:vAlign w:val="center"/>
            <w:hideMark/>
          </w:tcPr>
          <w:p w14:paraId="1D9F5B5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98" w:type="dxa"/>
            <w:tcBorders>
              <w:top w:val="nil"/>
              <w:left w:val="nil"/>
              <w:bottom w:val="nil"/>
              <w:right w:val="nil"/>
            </w:tcBorders>
            <w:shd w:val="clear" w:color="auto" w:fill="auto"/>
            <w:vAlign w:val="center"/>
            <w:hideMark/>
          </w:tcPr>
          <w:p w14:paraId="0580AB5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09" w:type="dxa"/>
            <w:tcBorders>
              <w:top w:val="nil"/>
              <w:left w:val="nil"/>
              <w:bottom w:val="nil"/>
              <w:right w:val="nil"/>
            </w:tcBorders>
            <w:shd w:val="clear" w:color="auto" w:fill="auto"/>
            <w:vAlign w:val="center"/>
            <w:hideMark/>
          </w:tcPr>
          <w:p w14:paraId="343B11E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592AEC8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5EC13C41"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3631667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203425A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755B05AF"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675F54F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Segments</w:t>
            </w:r>
          </w:p>
        </w:tc>
        <w:tc>
          <w:tcPr>
            <w:tcW w:w="828" w:type="dxa"/>
            <w:tcBorders>
              <w:top w:val="nil"/>
              <w:left w:val="nil"/>
              <w:bottom w:val="nil"/>
              <w:right w:val="nil"/>
            </w:tcBorders>
            <w:shd w:val="clear" w:color="auto" w:fill="auto"/>
            <w:vAlign w:val="center"/>
            <w:hideMark/>
          </w:tcPr>
          <w:p w14:paraId="4F4BD32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0.14***</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2AF0ABA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0.14***</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nil"/>
              <w:right w:val="nil"/>
            </w:tcBorders>
            <w:shd w:val="clear" w:color="auto" w:fill="auto"/>
            <w:vAlign w:val="center"/>
            <w:hideMark/>
          </w:tcPr>
          <w:p w14:paraId="6DF604C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0.17***</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122126D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(0.01)</w:t>
            </w:r>
          </w:p>
        </w:tc>
        <w:tc>
          <w:tcPr>
            <w:tcW w:w="792" w:type="dxa"/>
            <w:tcBorders>
              <w:top w:val="nil"/>
              <w:left w:val="nil"/>
              <w:bottom w:val="nil"/>
              <w:right w:val="nil"/>
            </w:tcBorders>
            <w:shd w:val="clear" w:color="auto" w:fill="auto"/>
            <w:vAlign w:val="center"/>
            <w:hideMark/>
          </w:tcPr>
          <w:p w14:paraId="1CDC184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0.20***</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429CB75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(0.03)</w:t>
            </w:r>
          </w:p>
        </w:tc>
        <w:tc>
          <w:tcPr>
            <w:tcW w:w="851" w:type="dxa"/>
            <w:tcBorders>
              <w:top w:val="nil"/>
              <w:left w:val="nil"/>
              <w:bottom w:val="nil"/>
              <w:right w:val="nil"/>
            </w:tcBorders>
            <w:shd w:val="clear" w:color="auto" w:fill="auto"/>
            <w:vAlign w:val="center"/>
            <w:hideMark/>
          </w:tcPr>
          <w:p w14:paraId="113219A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0.13***</w:t>
            </w:r>
            <w:r w:rsidRPr="00E915AA">
              <w:rPr>
                <w:rFonts w:ascii="Times New Roman" w:eastAsia="Times New Roman" w:hAnsi="Times New Roman" w:cs="Times New Roman"/>
                <w:b/>
                <w:bCs/>
                <w:color w:val="000000"/>
                <w:sz w:val="14"/>
                <w:szCs w:val="16"/>
                <w:lang w:eastAsia="en-GB"/>
              </w:rPr>
              <w:br/>
              <w:t>(0.00)</w:t>
            </w:r>
          </w:p>
        </w:tc>
        <w:tc>
          <w:tcPr>
            <w:tcW w:w="808" w:type="dxa"/>
            <w:tcBorders>
              <w:top w:val="nil"/>
              <w:left w:val="nil"/>
              <w:bottom w:val="nil"/>
              <w:right w:val="nil"/>
            </w:tcBorders>
            <w:shd w:val="clear" w:color="auto" w:fill="auto"/>
            <w:vAlign w:val="center"/>
            <w:hideMark/>
          </w:tcPr>
          <w:p w14:paraId="4A0F43C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-0.15***</w:t>
            </w:r>
            <w:r w:rsidRPr="00E915AA">
              <w:rPr>
                <w:rFonts w:ascii="Times New Roman" w:eastAsia="Times New Roman" w:hAnsi="Times New Roman" w:cs="Times New Roman"/>
                <w:b/>
                <w:bCs/>
                <w:color w:val="000000"/>
                <w:sz w:val="14"/>
                <w:szCs w:val="16"/>
                <w:lang w:eastAsia="en-GB"/>
              </w:rPr>
              <w:br/>
              <w:t>(0.00)</w:t>
            </w:r>
          </w:p>
        </w:tc>
        <w:tc>
          <w:tcPr>
            <w:tcW w:w="751" w:type="dxa"/>
            <w:tcBorders>
              <w:top w:val="nil"/>
              <w:left w:val="nil"/>
              <w:bottom w:val="nil"/>
              <w:right w:val="nil"/>
            </w:tcBorders>
            <w:shd w:val="clear" w:color="auto" w:fill="auto"/>
            <w:vAlign w:val="center"/>
            <w:hideMark/>
          </w:tcPr>
          <w:p w14:paraId="46A926C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0.35***</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624089A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-0.23***</w:t>
            </w:r>
            <w:r w:rsidRPr="00E915AA">
              <w:rPr>
                <w:rFonts w:ascii="Times New Roman" w:eastAsia="Times New Roman" w:hAnsi="Times New Roman" w:cs="Times New Roman"/>
                <w:b/>
                <w:bCs/>
                <w:color w:val="000000"/>
                <w:sz w:val="14"/>
                <w:szCs w:val="16"/>
                <w:lang w:eastAsia="en-GB"/>
              </w:rPr>
              <w:br/>
              <w:t>(0.00)</w:t>
            </w:r>
          </w:p>
        </w:tc>
        <w:tc>
          <w:tcPr>
            <w:tcW w:w="681" w:type="dxa"/>
            <w:tcBorders>
              <w:top w:val="nil"/>
              <w:left w:val="nil"/>
              <w:bottom w:val="nil"/>
              <w:right w:val="nil"/>
            </w:tcBorders>
            <w:shd w:val="clear" w:color="auto" w:fill="auto"/>
            <w:vAlign w:val="center"/>
            <w:hideMark/>
          </w:tcPr>
          <w:p w14:paraId="60EEFB0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0.21***</w:t>
            </w:r>
            <w:r w:rsidRPr="00E915AA">
              <w:rPr>
                <w:rFonts w:ascii="Times New Roman" w:eastAsia="Times New Roman" w:hAnsi="Times New Roman" w:cs="Times New Roman"/>
                <w:b/>
                <w:bCs/>
                <w:color w:val="000000"/>
                <w:sz w:val="14"/>
                <w:szCs w:val="16"/>
                <w:lang w:eastAsia="en-GB"/>
              </w:rPr>
              <w:br/>
              <w:t>(0.00)</w:t>
            </w:r>
          </w:p>
        </w:tc>
        <w:tc>
          <w:tcPr>
            <w:tcW w:w="761" w:type="dxa"/>
            <w:tcBorders>
              <w:top w:val="nil"/>
              <w:left w:val="nil"/>
              <w:bottom w:val="nil"/>
              <w:right w:val="nil"/>
            </w:tcBorders>
            <w:shd w:val="clear" w:color="auto" w:fill="auto"/>
            <w:vAlign w:val="center"/>
            <w:hideMark/>
          </w:tcPr>
          <w:p w14:paraId="4B21306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98" w:type="dxa"/>
            <w:tcBorders>
              <w:top w:val="nil"/>
              <w:left w:val="nil"/>
              <w:bottom w:val="nil"/>
              <w:right w:val="nil"/>
            </w:tcBorders>
            <w:shd w:val="clear" w:color="auto" w:fill="auto"/>
            <w:vAlign w:val="center"/>
            <w:hideMark/>
          </w:tcPr>
          <w:p w14:paraId="534BD39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09" w:type="dxa"/>
            <w:tcBorders>
              <w:top w:val="nil"/>
              <w:left w:val="nil"/>
              <w:bottom w:val="nil"/>
              <w:right w:val="nil"/>
            </w:tcBorders>
            <w:shd w:val="clear" w:color="auto" w:fill="auto"/>
            <w:vAlign w:val="center"/>
            <w:hideMark/>
          </w:tcPr>
          <w:p w14:paraId="1F01035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979" w:type="dxa"/>
            <w:tcBorders>
              <w:top w:val="nil"/>
              <w:left w:val="nil"/>
              <w:bottom w:val="nil"/>
              <w:right w:val="nil"/>
            </w:tcBorders>
            <w:shd w:val="clear" w:color="auto" w:fill="auto"/>
            <w:vAlign w:val="center"/>
            <w:hideMark/>
          </w:tcPr>
          <w:p w14:paraId="04EA4FB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2C00E5E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398111F5"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279AB69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4097F8A"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3FF5F41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Zscore</w:t>
            </w:r>
            <w:proofErr w:type="spellEnd"/>
          </w:p>
        </w:tc>
        <w:tc>
          <w:tcPr>
            <w:tcW w:w="828" w:type="dxa"/>
            <w:tcBorders>
              <w:top w:val="nil"/>
              <w:left w:val="nil"/>
              <w:bottom w:val="nil"/>
              <w:right w:val="nil"/>
            </w:tcBorders>
            <w:shd w:val="clear" w:color="auto" w:fill="auto"/>
            <w:vAlign w:val="center"/>
            <w:hideMark/>
          </w:tcPr>
          <w:p w14:paraId="59A14D2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(0.38)</w:t>
            </w:r>
          </w:p>
        </w:tc>
        <w:tc>
          <w:tcPr>
            <w:tcW w:w="851" w:type="dxa"/>
            <w:tcBorders>
              <w:top w:val="nil"/>
              <w:left w:val="nil"/>
              <w:bottom w:val="nil"/>
              <w:right w:val="nil"/>
            </w:tcBorders>
            <w:shd w:val="clear" w:color="auto" w:fill="auto"/>
            <w:vAlign w:val="center"/>
            <w:hideMark/>
          </w:tcPr>
          <w:p w14:paraId="1C199940"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(0.42)</w:t>
            </w:r>
          </w:p>
        </w:tc>
        <w:tc>
          <w:tcPr>
            <w:tcW w:w="730" w:type="dxa"/>
            <w:tcBorders>
              <w:top w:val="nil"/>
              <w:left w:val="nil"/>
              <w:bottom w:val="nil"/>
              <w:right w:val="nil"/>
            </w:tcBorders>
            <w:shd w:val="clear" w:color="auto" w:fill="auto"/>
            <w:vAlign w:val="center"/>
            <w:hideMark/>
          </w:tcPr>
          <w:p w14:paraId="1D18FC0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(0.52)</w:t>
            </w:r>
          </w:p>
        </w:tc>
        <w:tc>
          <w:tcPr>
            <w:tcW w:w="792" w:type="dxa"/>
            <w:tcBorders>
              <w:top w:val="nil"/>
              <w:left w:val="nil"/>
              <w:bottom w:val="nil"/>
              <w:right w:val="nil"/>
            </w:tcBorders>
            <w:shd w:val="clear" w:color="auto" w:fill="auto"/>
            <w:vAlign w:val="center"/>
            <w:hideMark/>
          </w:tcPr>
          <w:p w14:paraId="628A435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0.07*</w:t>
            </w:r>
            <w:r w:rsidRPr="00E915AA">
              <w:rPr>
                <w:rFonts w:ascii="Times New Roman" w:eastAsia="Times New Roman" w:hAnsi="Times New Roman" w:cs="Times New Roman"/>
                <w:b/>
                <w:bCs/>
                <w:color w:val="000000"/>
                <w:sz w:val="14"/>
                <w:szCs w:val="16"/>
                <w:lang w:eastAsia="en-GB"/>
              </w:rPr>
              <w:br/>
              <w:t>(0.06)</w:t>
            </w:r>
          </w:p>
        </w:tc>
        <w:tc>
          <w:tcPr>
            <w:tcW w:w="792" w:type="dxa"/>
            <w:tcBorders>
              <w:top w:val="nil"/>
              <w:left w:val="nil"/>
              <w:bottom w:val="nil"/>
              <w:right w:val="nil"/>
            </w:tcBorders>
            <w:shd w:val="clear" w:color="auto" w:fill="auto"/>
            <w:vAlign w:val="center"/>
            <w:hideMark/>
          </w:tcPr>
          <w:p w14:paraId="6D46E29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0.06</w:t>
            </w:r>
            <w:r w:rsidRPr="00E915AA">
              <w:rPr>
                <w:rFonts w:ascii="Times New Roman" w:eastAsia="Times New Roman" w:hAnsi="Times New Roman" w:cs="Times New Roman"/>
                <w:color w:val="000000"/>
                <w:sz w:val="14"/>
                <w:szCs w:val="16"/>
                <w:lang w:eastAsia="en-GB"/>
              </w:rPr>
              <w:br/>
              <w:t>(0.11)</w:t>
            </w:r>
          </w:p>
        </w:tc>
        <w:tc>
          <w:tcPr>
            <w:tcW w:w="804" w:type="dxa"/>
            <w:tcBorders>
              <w:top w:val="nil"/>
              <w:left w:val="nil"/>
              <w:bottom w:val="nil"/>
              <w:right w:val="nil"/>
            </w:tcBorders>
            <w:shd w:val="clear" w:color="auto" w:fill="auto"/>
            <w:vAlign w:val="center"/>
            <w:hideMark/>
          </w:tcPr>
          <w:p w14:paraId="536F56E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0.15***</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nil"/>
              <w:right w:val="nil"/>
            </w:tcBorders>
            <w:shd w:val="clear" w:color="auto" w:fill="auto"/>
            <w:vAlign w:val="center"/>
            <w:hideMark/>
          </w:tcPr>
          <w:p w14:paraId="7164CD2D"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0.24***</w:t>
            </w:r>
            <w:r w:rsidRPr="00E915AA">
              <w:rPr>
                <w:rFonts w:ascii="Times New Roman" w:eastAsia="Times New Roman" w:hAnsi="Times New Roman" w:cs="Times New Roman"/>
                <w:b/>
                <w:bCs/>
                <w:color w:val="000000"/>
                <w:sz w:val="14"/>
                <w:szCs w:val="16"/>
                <w:lang w:eastAsia="en-GB"/>
              </w:rPr>
              <w:br/>
              <w:t>(0.00)</w:t>
            </w:r>
          </w:p>
        </w:tc>
        <w:tc>
          <w:tcPr>
            <w:tcW w:w="808" w:type="dxa"/>
            <w:tcBorders>
              <w:top w:val="nil"/>
              <w:left w:val="nil"/>
              <w:bottom w:val="nil"/>
              <w:right w:val="nil"/>
            </w:tcBorders>
            <w:shd w:val="clear" w:color="auto" w:fill="auto"/>
            <w:vAlign w:val="center"/>
            <w:hideMark/>
          </w:tcPr>
          <w:p w14:paraId="4320369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-0.20***</w:t>
            </w:r>
            <w:r w:rsidRPr="00E915AA">
              <w:rPr>
                <w:rFonts w:ascii="Times New Roman" w:eastAsia="Times New Roman" w:hAnsi="Times New Roman" w:cs="Times New Roman"/>
                <w:b/>
                <w:bCs/>
                <w:color w:val="000000"/>
                <w:sz w:val="14"/>
                <w:szCs w:val="16"/>
                <w:lang w:eastAsia="en-GB"/>
              </w:rPr>
              <w:br/>
              <w:t>(0.00)</w:t>
            </w:r>
          </w:p>
        </w:tc>
        <w:tc>
          <w:tcPr>
            <w:tcW w:w="751" w:type="dxa"/>
            <w:tcBorders>
              <w:top w:val="nil"/>
              <w:left w:val="nil"/>
              <w:bottom w:val="nil"/>
              <w:right w:val="nil"/>
            </w:tcBorders>
            <w:shd w:val="clear" w:color="auto" w:fill="auto"/>
            <w:vAlign w:val="center"/>
            <w:hideMark/>
          </w:tcPr>
          <w:p w14:paraId="45DA8FBA"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0.45***</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6CC8A2B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(0.78)</w:t>
            </w:r>
          </w:p>
        </w:tc>
        <w:tc>
          <w:tcPr>
            <w:tcW w:w="681" w:type="dxa"/>
            <w:tcBorders>
              <w:top w:val="nil"/>
              <w:left w:val="nil"/>
              <w:bottom w:val="nil"/>
              <w:right w:val="nil"/>
            </w:tcBorders>
            <w:shd w:val="clear" w:color="auto" w:fill="auto"/>
            <w:vAlign w:val="center"/>
            <w:hideMark/>
          </w:tcPr>
          <w:p w14:paraId="68183A7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0.06*</w:t>
            </w:r>
            <w:r w:rsidRPr="00E915AA">
              <w:rPr>
                <w:rFonts w:ascii="Times New Roman" w:eastAsia="Times New Roman" w:hAnsi="Times New Roman" w:cs="Times New Roman"/>
                <w:b/>
                <w:bCs/>
                <w:color w:val="000000"/>
                <w:sz w:val="14"/>
                <w:szCs w:val="16"/>
                <w:lang w:eastAsia="en-GB"/>
              </w:rPr>
              <w:br/>
              <w:t>(0.09)</w:t>
            </w:r>
          </w:p>
        </w:tc>
        <w:tc>
          <w:tcPr>
            <w:tcW w:w="761" w:type="dxa"/>
            <w:tcBorders>
              <w:top w:val="nil"/>
              <w:left w:val="nil"/>
              <w:bottom w:val="nil"/>
              <w:right w:val="nil"/>
            </w:tcBorders>
            <w:shd w:val="clear" w:color="auto" w:fill="auto"/>
            <w:vAlign w:val="center"/>
            <w:hideMark/>
          </w:tcPr>
          <w:p w14:paraId="0489148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(0.01)</w:t>
            </w:r>
          </w:p>
        </w:tc>
        <w:tc>
          <w:tcPr>
            <w:tcW w:w="798" w:type="dxa"/>
            <w:tcBorders>
              <w:top w:val="nil"/>
              <w:left w:val="nil"/>
              <w:bottom w:val="nil"/>
              <w:right w:val="nil"/>
            </w:tcBorders>
            <w:shd w:val="clear" w:color="auto" w:fill="auto"/>
            <w:vAlign w:val="center"/>
            <w:hideMark/>
          </w:tcPr>
          <w:p w14:paraId="19E4175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09" w:type="dxa"/>
            <w:tcBorders>
              <w:top w:val="nil"/>
              <w:left w:val="nil"/>
              <w:bottom w:val="nil"/>
              <w:right w:val="nil"/>
            </w:tcBorders>
            <w:shd w:val="clear" w:color="auto" w:fill="auto"/>
            <w:vAlign w:val="center"/>
            <w:hideMark/>
          </w:tcPr>
          <w:p w14:paraId="5E6132B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979" w:type="dxa"/>
            <w:tcBorders>
              <w:top w:val="nil"/>
              <w:left w:val="nil"/>
              <w:bottom w:val="nil"/>
              <w:right w:val="nil"/>
            </w:tcBorders>
            <w:shd w:val="clear" w:color="auto" w:fill="auto"/>
            <w:vAlign w:val="center"/>
            <w:hideMark/>
          </w:tcPr>
          <w:p w14:paraId="51E3477C"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617" w:type="dxa"/>
            <w:tcBorders>
              <w:top w:val="nil"/>
              <w:left w:val="nil"/>
              <w:bottom w:val="nil"/>
              <w:right w:val="nil"/>
            </w:tcBorders>
            <w:shd w:val="clear" w:color="auto" w:fill="auto"/>
            <w:vAlign w:val="center"/>
            <w:hideMark/>
          </w:tcPr>
          <w:p w14:paraId="173A31F2"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2E9AD8D9"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057DBEB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7146432"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3B6EB8E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Big 4</w:t>
            </w:r>
          </w:p>
        </w:tc>
        <w:tc>
          <w:tcPr>
            <w:tcW w:w="828" w:type="dxa"/>
            <w:tcBorders>
              <w:top w:val="nil"/>
              <w:left w:val="nil"/>
              <w:bottom w:val="nil"/>
              <w:right w:val="nil"/>
            </w:tcBorders>
            <w:shd w:val="clear" w:color="auto" w:fill="auto"/>
            <w:vAlign w:val="center"/>
            <w:hideMark/>
          </w:tcPr>
          <w:p w14:paraId="21B88C14"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(0.67)</w:t>
            </w:r>
          </w:p>
        </w:tc>
        <w:tc>
          <w:tcPr>
            <w:tcW w:w="851" w:type="dxa"/>
            <w:tcBorders>
              <w:top w:val="nil"/>
              <w:left w:val="nil"/>
              <w:bottom w:val="nil"/>
              <w:right w:val="nil"/>
            </w:tcBorders>
            <w:shd w:val="clear" w:color="auto" w:fill="auto"/>
            <w:vAlign w:val="center"/>
            <w:hideMark/>
          </w:tcPr>
          <w:p w14:paraId="3FE28F0B"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(0.68)</w:t>
            </w:r>
          </w:p>
        </w:tc>
        <w:tc>
          <w:tcPr>
            <w:tcW w:w="730" w:type="dxa"/>
            <w:tcBorders>
              <w:top w:val="nil"/>
              <w:left w:val="nil"/>
              <w:bottom w:val="nil"/>
              <w:right w:val="nil"/>
            </w:tcBorders>
            <w:shd w:val="clear" w:color="auto" w:fill="auto"/>
            <w:vAlign w:val="center"/>
            <w:hideMark/>
          </w:tcPr>
          <w:p w14:paraId="7196602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(0.77)</w:t>
            </w:r>
          </w:p>
        </w:tc>
        <w:tc>
          <w:tcPr>
            <w:tcW w:w="792" w:type="dxa"/>
            <w:tcBorders>
              <w:top w:val="nil"/>
              <w:left w:val="nil"/>
              <w:bottom w:val="nil"/>
              <w:right w:val="nil"/>
            </w:tcBorders>
            <w:shd w:val="clear" w:color="auto" w:fill="auto"/>
            <w:vAlign w:val="center"/>
            <w:hideMark/>
          </w:tcPr>
          <w:p w14:paraId="30F48D9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(0.41)</w:t>
            </w:r>
          </w:p>
        </w:tc>
        <w:tc>
          <w:tcPr>
            <w:tcW w:w="792" w:type="dxa"/>
            <w:tcBorders>
              <w:top w:val="nil"/>
              <w:left w:val="nil"/>
              <w:bottom w:val="nil"/>
              <w:right w:val="nil"/>
            </w:tcBorders>
            <w:shd w:val="clear" w:color="auto" w:fill="auto"/>
            <w:vAlign w:val="center"/>
            <w:hideMark/>
          </w:tcPr>
          <w:p w14:paraId="30E9B63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(0.51)</w:t>
            </w:r>
          </w:p>
        </w:tc>
        <w:tc>
          <w:tcPr>
            <w:tcW w:w="804" w:type="dxa"/>
            <w:tcBorders>
              <w:top w:val="nil"/>
              <w:left w:val="nil"/>
              <w:bottom w:val="nil"/>
              <w:right w:val="nil"/>
            </w:tcBorders>
            <w:shd w:val="clear" w:color="auto" w:fill="auto"/>
            <w:vAlign w:val="center"/>
            <w:hideMark/>
          </w:tcPr>
          <w:p w14:paraId="10FF872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(0.39)</w:t>
            </w:r>
          </w:p>
        </w:tc>
        <w:tc>
          <w:tcPr>
            <w:tcW w:w="851" w:type="dxa"/>
            <w:tcBorders>
              <w:top w:val="nil"/>
              <w:left w:val="nil"/>
              <w:bottom w:val="nil"/>
              <w:right w:val="nil"/>
            </w:tcBorders>
            <w:shd w:val="clear" w:color="auto" w:fill="auto"/>
            <w:vAlign w:val="center"/>
            <w:hideMark/>
          </w:tcPr>
          <w:p w14:paraId="35F1186C"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0.07*</w:t>
            </w:r>
            <w:r w:rsidRPr="00E915AA">
              <w:rPr>
                <w:rFonts w:ascii="Times New Roman" w:eastAsia="Times New Roman" w:hAnsi="Times New Roman" w:cs="Times New Roman"/>
                <w:b/>
                <w:bCs/>
                <w:color w:val="000000"/>
                <w:sz w:val="14"/>
                <w:szCs w:val="16"/>
                <w:lang w:eastAsia="en-GB"/>
              </w:rPr>
              <w:br/>
              <w:t>(0.07)</w:t>
            </w:r>
          </w:p>
        </w:tc>
        <w:tc>
          <w:tcPr>
            <w:tcW w:w="808" w:type="dxa"/>
            <w:tcBorders>
              <w:top w:val="nil"/>
              <w:left w:val="nil"/>
              <w:bottom w:val="nil"/>
              <w:right w:val="nil"/>
            </w:tcBorders>
            <w:shd w:val="clear" w:color="auto" w:fill="auto"/>
            <w:vAlign w:val="center"/>
            <w:hideMark/>
          </w:tcPr>
          <w:p w14:paraId="7D42A99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(0.37)</w:t>
            </w:r>
          </w:p>
        </w:tc>
        <w:tc>
          <w:tcPr>
            <w:tcW w:w="751" w:type="dxa"/>
            <w:tcBorders>
              <w:top w:val="nil"/>
              <w:left w:val="nil"/>
              <w:bottom w:val="nil"/>
              <w:right w:val="nil"/>
            </w:tcBorders>
            <w:shd w:val="clear" w:color="auto" w:fill="auto"/>
            <w:vAlign w:val="center"/>
            <w:hideMark/>
          </w:tcPr>
          <w:p w14:paraId="0172100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0.24***</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0FDEB41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(0.65)</w:t>
            </w:r>
          </w:p>
        </w:tc>
        <w:tc>
          <w:tcPr>
            <w:tcW w:w="681" w:type="dxa"/>
            <w:tcBorders>
              <w:top w:val="nil"/>
              <w:left w:val="nil"/>
              <w:bottom w:val="nil"/>
              <w:right w:val="nil"/>
            </w:tcBorders>
            <w:shd w:val="clear" w:color="auto" w:fill="auto"/>
            <w:vAlign w:val="center"/>
            <w:hideMark/>
          </w:tcPr>
          <w:p w14:paraId="6DAFA96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(0.03)</w:t>
            </w:r>
          </w:p>
        </w:tc>
        <w:tc>
          <w:tcPr>
            <w:tcW w:w="761" w:type="dxa"/>
            <w:tcBorders>
              <w:top w:val="nil"/>
              <w:left w:val="nil"/>
              <w:bottom w:val="nil"/>
              <w:right w:val="nil"/>
            </w:tcBorders>
            <w:shd w:val="clear" w:color="auto" w:fill="auto"/>
            <w:vAlign w:val="center"/>
            <w:hideMark/>
          </w:tcPr>
          <w:p w14:paraId="0701B71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(0.63)</w:t>
            </w:r>
          </w:p>
        </w:tc>
        <w:tc>
          <w:tcPr>
            <w:tcW w:w="798" w:type="dxa"/>
            <w:tcBorders>
              <w:top w:val="nil"/>
              <w:left w:val="nil"/>
              <w:bottom w:val="nil"/>
              <w:right w:val="nil"/>
            </w:tcBorders>
            <w:shd w:val="clear" w:color="auto" w:fill="auto"/>
            <w:vAlign w:val="center"/>
            <w:hideMark/>
          </w:tcPr>
          <w:p w14:paraId="67DA665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0.15***</w:t>
            </w:r>
            <w:r w:rsidRPr="00E915AA">
              <w:rPr>
                <w:rFonts w:ascii="Times New Roman" w:eastAsia="Times New Roman" w:hAnsi="Times New Roman" w:cs="Times New Roman"/>
                <w:b/>
                <w:bCs/>
                <w:color w:val="000000"/>
                <w:sz w:val="14"/>
                <w:szCs w:val="16"/>
                <w:lang w:eastAsia="en-GB"/>
              </w:rPr>
              <w:br/>
              <w:t>(0.00)</w:t>
            </w:r>
          </w:p>
        </w:tc>
        <w:tc>
          <w:tcPr>
            <w:tcW w:w="709" w:type="dxa"/>
            <w:tcBorders>
              <w:top w:val="nil"/>
              <w:left w:val="nil"/>
              <w:bottom w:val="nil"/>
              <w:right w:val="nil"/>
            </w:tcBorders>
            <w:shd w:val="clear" w:color="auto" w:fill="auto"/>
            <w:vAlign w:val="center"/>
            <w:hideMark/>
          </w:tcPr>
          <w:p w14:paraId="4095082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979" w:type="dxa"/>
            <w:tcBorders>
              <w:top w:val="nil"/>
              <w:left w:val="nil"/>
              <w:bottom w:val="nil"/>
              <w:right w:val="nil"/>
            </w:tcBorders>
            <w:shd w:val="clear" w:color="auto" w:fill="auto"/>
            <w:vAlign w:val="center"/>
            <w:hideMark/>
          </w:tcPr>
          <w:p w14:paraId="30666CE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617" w:type="dxa"/>
            <w:tcBorders>
              <w:top w:val="nil"/>
              <w:left w:val="nil"/>
              <w:bottom w:val="nil"/>
              <w:right w:val="nil"/>
            </w:tcBorders>
            <w:shd w:val="clear" w:color="auto" w:fill="auto"/>
            <w:vAlign w:val="center"/>
            <w:hideMark/>
          </w:tcPr>
          <w:p w14:paraId="646C9E40"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737" w:type="dxa"/>
            <w:tcBorders>
              <w:top w:val="nil"/>
              <w:left w:val="nil"/>
              <w:bottom w:val="nil"/>
              <w:right w:val="nil"/>
            </w:tcBorders>
            <w:shd w:val="clear" w:color="auto" w:fill="auto"/>
            <w:vAlign w:val="center"/>
            <w:hideMark/>
          </w:tcPr>
          <w:p w14:paraId="35FFF044"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36B13393"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0D5E00BC" w14:textId="77777777" w:rsidTr="00A07FDB">
        <w:trPr>
          <w:gridAfter w:val="1"/>
          <w:wAfter w:w="12" w:type="dxa"/>
          <w:trHeight w:val="465"/>
        </w:trPr>
        <w:tc>
          <w:tcPr>
            <w:tcW w:w="1440" w:type="dxa"/>
            <w:tcBorders>
              <w:top w:val="nil"/>
              <w:left w:val="nil"/>
              <w:bottom w:val="nil"/>
              <w:right w:val="single" w:sz="4" w:space="0" w:color="auto"/>
            </w:tcBorders>
            <w:shd w:val="clear" w:color="auto" w:fill="auto"/>
            <w:vAlign w:val="center"/>
            <w:hideMark/>
          </w:tcPr>
          <w:p w14:paraId="7454AB2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Restructuring</w:t>
            </w:r>
          </w:p>
        </w:tc>
        <w:tc>
          <w:tcPr>
            <w:tcW w:w="828" w:type="dxa"/>
            <w:tcBorders>
              <w:top w:val="nil"/>
              <w:left w:val="nil"/>
              <w:bottom w:val="nil"/>
              <w:right w:val="nil"/>
            </w:tcBorders>
            <w:shd w:val="clear" w:color="auto" w:fill="auto"/>
            <w:vAlign w:val="center"/>
            <w:hideMark/>
          </w:tcPr>
          <w:p w14:paraId="6F37D57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(0.59)</w:t>
            </w:r>
          </w:p>
        </w:tc>
        <w:tc>
          <w:tcPr>
            <w:tcW w:w="851" w:type="dxa"/>
            <w:tcBorders>
              <w:top w:val="nil"/>
              <w:left w:val="nil"/>
              <w:bottom w:val="nil"/>
              <w:right w:val="nil"/>
            </w:tcBorders>
            <w:shd w:val="clear" w:color="auto" w:fill="auto"/>
            <w:vAlign w:val="center"/>
            <w:hideMark/>
          </w:tcPr>
          <w:p w14:paraId="4C04C9F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(0.01)</w:t>
            </w:r>
          </w:p>
        </w:tc>
        <w:tc>
          <w:tcPr>
            <w:tcW w:w="730" w:type="dxa"/>
            <w:tcBorders>
              <w:top w:val="nil"/>
              <w:left w:val="nil"/>
              <w:bottom w:val="nil"/>
              <w:right w:val="nil"/>
            </w:tcBorders>
            <w:shd w:val="clear" w:color="auto" w:fill="auto"/>
            <w:vAlign w:val="center"/>
            <w:hideMark/>
          </w:tcPr>
          <w:p w14:paraId="6EC3CD5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0.11***</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nil"/>
              <w:right w:val="nil"/>
            </w:tcBorders>
            <w:shd w:val="clear" w:color="auto" w:fill="auto"/>
            <w:vAlign w:val="center"/>
            <w:hideMark/>
          </w:tcPr>
          <w:p w14:paraId="68A92B3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(0.46)</w:t>
            </w:r>
          </w:p>
        </w:tc>
        <w:tc>
          <w:tcPr>
            <w:tcW w:w="792" w:type="dxa"/>
            <w:tcBorders>
              <w:top w:val="nil"/>
              <w:left w:val="nil"/>
              <w:bottom w:val="nil"/>
              <w:right w:val="nil"/>
            </w:tcBorders>
            <w:shd w:val="clear" w:color="auto" w:fill="auto"/>
            <w:vAlign w:val="center"/>
            <w:hideMark/>
          </w:tcPr>
          <w:p w14:paraId="3CEBC834"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nil"/>
              <w:right w:val="nil"/>
            </w:tcBorders>
            <w:shd w:val="clear" w:color="auto" w:fill="auto"/>
            <w:vAlign w:val="center"/>
            <w:hideMark/>
          </w:tcPr>
          <w:p w14:paraId="3C6C49F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(0.07)</w:t>
            </w:r>
          </w:p>
        </w:tc>
        <w:tc>
          <w:tcPr>
            <w:tcW w:w="851" w:type="dxa"/>
            <w:tcBorders>
              <w:top w:val="nil"/>
              <w:left w:val="nil"/>
              <w:bottom w:val="nil"/>
              <w:right w:val="nil"/>
            </w:tcBorders>
            <w:shd w:val="clear" w:color="auto" w:fill="auto"/>
            <w:vAlign w:val="center"/>
            <w:hideMark/>
          </w:tcPr>
          <w:p w14:paraId="215E186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0.10**</w:t>
            </w:r>
            <w:r w:rsidRPr="00E915AA">
              <w:rPr>
                <w:rFonts w:ascii="Times New Roman" w:eastAsia="Times New Roman" w:hAnsi="Times New Roman" w:cs="Times New Roman"/>
                <w:b/>
                <w:bCs/>
                <w:color w:val="000000"/>
                <w:sz w:val="14"/>
                <w:szCs w:val="16"/>
                <w:lang w:eastAsia="en-GB"/>
              </w:rPr>
              <w:br/>
              <w:t>(0.02)</w:t>
            </w:r>
          </w:p>
        </w:tc>
        <w:tc>
          <w:tcPr>
            <w:tcW w:w="808" w:type="dxa"/>
            <w:tcBorders>
              <w:top w:val="nil"/>
              <w:left w:val="nil"/>
              <w:bottom w:val="nil"/>
              <w:right w:val="nil"/>
            </w:tcBorders>
            <w:shd w:val="clear" w:color="auto" w:fill="auto"/>
            <w:vAlign w:val="center"/>
            <w:hideMark/>
          </w:tcPr>
          <w:p w14:paraId="31DA8CB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-0.11**</w:t>
            </w:r>
            <w:r w:rsidRPr="00E915AA">
              <w:rPr>
                <w:rFonts w:ascii="Times New Roman" w:eastAsia="Times New Roman" w:hAnsi="Times New Roman" w:cs="Times New Roman"/>
                <w:b/>
                <w:bCs/>
                <w:color w:val="000000"/>
                <w:sz w:val="14"/>
                <w:szCs w:val="16"/>
                <w:lang w:eastAsia="en-GB"/>
              </w:rPr>
              <w:br/>
              <w:t>(0.02)</w:t>
            </w:r>
          </w:p>
        </w:tc>
        <w:tc>
          <w:tcPr>
            <w:tcW w:w="751" w:type="dxa"/>
            <w:tcBorders>
              <w:top w:val="nil"/>
              <w:left w:val="nil"/>
              <w:bottom w:val="nil"/>
              <w:right w:val="nil"/>
            </w:tcBorders>
            <w:shd w:val="clear" w:color="auto" w:fill="auto"/>
            <w:vAlign w:val="center"/>
            <w:hideMark/>
          </w:tcPr>
          <w:p w14:paraId="28563BC0"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0.36***</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0F3F0FB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(0.75)</w:t>
            </w:r>
          </w:p>
        </w:tc>
        <w:tc>
          <w:tcPr>
            <w:tcW w:w="681" w:type="dxa"/>
            <w:tcBorders>
              <w:top w:val="nil"/>
              <w:left w:val="nil"/>
              <w:bottom w:val="nil"/>
              <w:right w:val="nil"/>
            </w:tcBorders>
            <w:shd w:val="clear" w:color="auto" w:fill="auto"/>
            <w:vAlign w:val="center"/>
            <w:hideMark/>
          </w:tcPr>
          <w:p w14:paraId="014AA697"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61" w:type="dxa"/>
            <w:tcBorders>
              <w:top w:val="nil"/>
              <w:left w:val="nil"/>
              <w:bottom w:val="nil"/>
              <w:right w:val="nil"/>
            </w:tcBorders>
            <w:shd w:val="clear" w:color="auto" w:fill="auto"/>
            <w:vAlign w:val="center"/>
            <w:hideMark/>
          </w:tcPr>
          <w:p w14:paraId="27E5B0C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0.19***</w:t>
            </w:r>
            <w:r w:rsidRPr="00E915AA">
              <w:rPr>
                <w:rFonts w:ascii="Times New Roman" w:eastAsia="Times New Roman" w:hAnsi="Times New Roman" w:cs="Times New Roman"/>
                <w:b/>
                <w:bCs/>
                <w:color w:val="000000"/>
                <w:sz w:val="14"/>
                <w:szCs w:val="16"/>
                <w:lang w:eastAsia="en-GB"/>
              </w:rPr>
              <w:br/>
              <w:t>(0.00)</w:t>
            </w:r>
          </w:p>
        </w:tc>
        <w:tc>
          <w:tcPr>
            <w:tcW w:w="798" w:type="dxa"/>
            <w:tcBorders>
              <w:top w:val="nil"/>
              <w:left w:val="nil"/>
              <w:bottom w:val="nil"/>
              <w:right w:val="nil"/>
            </w:tcBorders>
            <w:shd w:val="clear" w:color="auto" w:fill="auto"/>
            <w:vAlign w:val="center"/>
            <w:hideMark/>
          </w:tcPr>
          <w:p w14:paraId="31BC2F9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0.07**</w:t>
            </w:r>
            <w:r w:rsidRPr="00E915AA">
              <w:rPr>
                <w:rFonts w:ascii="Times New Roman" w:eastAsia="Times New Roman" w:hAnsi="Times New Roman" w:cs="Times New Roman"/>
                <w:b/>
                <w:bCs/>
                <w:color w:val="000000"/>
                <w:sz w:val="14"/>
                <w:szCs w:val="16"/>
                <w:lang w:eastAsia="en-GB"/>
              </w:rPr>
              <w:br/>
              <w:t>(0.04)</w:t>
            </w:r>
          </w:p>
        </w:tc>
        <w:tc>
          <w:tcPr>
            <w:tcW w:w="709" w:type="dxa"/>
            <w:tcBorders>
              <w:top w:val="nil"/>
              <w:left w:val="nil"/>
              <w:bottom w:val="nil"/>
              <w:right w:val="nil"/>
            </w:tcBorders>
            <w:shd w:val="clear" w:color="auto" w:fill="auto"/>
            <w:vAlign w:val="center"/>
            <w:hideMark/>
          </w:tcPr>
          <w:p w14:paraId="1B7AA304"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(0.02)</w:t>
            </w:r>
          </w:p>
        </w:tc>
        <w:tc>
          <w:tcPr>
            <w:tcW w:w="979" w:type="dxa"/>
            <w:tcBorders>
              <w:top w:val="nil"/>
              <w:left w:val="nil"/>
              <w:bottom w:val="nil"/>
              <w:right w:val="nil"/>
            </w:tcBorders>
            <w:shd w:val="clear" w:color="auto" w:fill="auto"/>
            <w:vAlign w:val="center"/>
            <w:hideMark/>
          </w:tcPr>
          <w:p w14:paraId="4ACC828B"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617" w:type="dxa"/>
            <w:tcBorders>
              <w:top w:val="nil"/>
              <w:left w:val="nil"/>
              <w:bottom w:val="nil"/>
              <w:right w:val="nil"/>
            </w:tcBorders>
            <w:shd w:val="clear" w:color="auto" w:fill="auto"/>
            <w:vAlign w:val="center"/>
            <w:hideMark/>
          </w:tcPr>
          <w:p w14:paraId="22B8E58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737" w:type="dxa"/>
            <w:tcBorders>
              <w:top w:val="nil"/>
              <w:left w:val="nil"/>
              <w:bottom w:val="nil"/>
              <w:right w:val="nil"/>
            </w:tcBorders>
            <w:shd w:val="clear" w:color="auto" w:fill="auto"/>
            <w:vAlign w:val="center"/>
            <w:hideMark/>
          </w:tcPr>
          <w:p w14:paraId="2A4A31BA"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c>
          <w:tcPr>
            <w:tcW w:w="556" w:type="dxa"/>
            <w:tcBorders>
              <w:top w:val="nil"/>
              <w:left w:val="nil"/>
              <w:bottom w:val="nil"/>
              <w:right w:val="nil"/>
            </w:tcBorders>
            <w:shd w:val="clear" w:color="auto" w:fill="auto"/>
            <w:vAlign w:val="center"/>
            <w:hideMark/>
          </w:tcPr>
          <w:p w14:paraId="7B62838F"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4F112DEC" w14:textId="77777777" w:rsidTr="00A07FDB">
        <w:trPr>
          <w:gridAfter w:val="1"/>
          <w:wAfter w:w="12" w:type="dxa"/>
          <w:trHeight w:val="384"/>
        </w:trPr>
        <w:tc>
          <w:tcPr>
            <w:tcW w:w="1440" w:type="dxa"/>
            <w:tcBorders>
              <w:top w:val="nil"/>
              <w:left w:val="nil"/>
              <w:bottom w:val="nil"/>
              <w:right w:val="single" w:sz="4" w:space="0" w:color="auto"/>
            </w:tcBorders>
            <w:shd w:val="clear" w:color="auto" w:fill="auto"/>
            <w:vAlign w:val="center"/>
            <w:hideMark/>
          </w:tcPr>
          <w:p w14:paraId="6A4EE27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M&amp;A</w:t>
            </w:r>
          </w:p>
        </w:tc>
        <w:tc>
          <w:tcPr>
            <w:tcW w:w="828" w:type="dxa"/>
            <w:tcBorders>
              <w:top w:val="nil"/>
              <w:left w:val="nil"/>
              <w:bottom w:val="nil"/>
              <w:right w:val="nil"/>
            </w:tcBorders>
            <w:shd w:val="clear" w:color="auto" w:fill="auto"/>
            <w:vAlign w:val="center"/>
            <w:hideMark/>
          </w:tcPr>
          <w:p w14:paraId="6F52FBF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(0.22)</w:t>
            </w:r>
          </w:p>
        </w:tc>
        <w:tc>
          <w:tcPr>
            <w:tcW w:w="851" w:type="dxa"/>
            <w:tcBorders>
              <w:top w:val="nil"/>
              <w:left w:val="nil"/>
              <w:bottom w:val="nil"/>
              <w:right w:val="nil"/>
            </w:tcBorders>
            <w:shd w:val="clear" w:color="auto" w:fill="auto"/>
            <w:vAlign w:val="center"/>
            <w:hideMark/>
          </w:tcPr>
          <w:p w14:paraId="5D98516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(0.56)</w:t>
            </w:r>
          </w:p>
        </w:tc>
        <w:tc>
          <w:tcPr>
            <w:tcW w:w="730" w:type="dxa"/>
            <w:tcBorders>
              <w:top w:val="nil"/>
              <w:left w:val="nil"/>
              <w:bottom w:val="nil"/>
              <w:right w:val="nil"/>
            </w:tcBorders>
            <w:shd w:val="clear" w:color="auto" w:fill="auto"/>
            <w:vAlign w:val="center"/>
            <w:hideMark/>
          </w:tcPr>
          <w:p w14:paraId="377791D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(0.26)</w:t>
            </w:r>
          </w:p>
        </w:tc>
        <w:tc>
          <w:tcPr>
            <w:tcW w:w="792" w:type="dxa"/>
            <w:tcBorders>
              <w:top w:val="nil"/>
              <w:left w:val="nil"/>
              <w:bottom w:val="nil"/>
              <w:right w:val="nil"/>
            </w:tcBorders>
            <w:shd w:val="clear" w:color="auto" w:fill="auto"/>
            <w:vAlign w:val="center"/>
            <w:hideMark/>
          </w:tcPr>
          <w:p w14:paraId="0122D28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(0.84)</w:t>
            </w:r>
          </w:p>
        </w:tc>
        <w:tc>
          <w:tcPr>
            <w:tcW w:w="792" w:type="dxa"/>
            <w:tcBorders>
              <w:top w:val="nil"/>
              <w:left w:val="nil"/>
              <w:bottom w:val="nil"/>
              <w:right w:val="nil"/>
            </w:tcBorders>
            <w:shd w:val="clear" w:color="auto" w:fill="auto"/>
            <w:vAlign w:val="center"/>
            <w:hideMark/>
          </w:tcPr>
          <w:p w14:paraId="2FF259D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(0.29)</w:t>
            </w:r>
          </w:p>
        </w:tc>
        <w:tc>
          <w:tcPr>
            <w:tcW w:w="804" w:type="dxa"/>
            <w:tcBorders>
              <w:top w:val="nil"/>
              <w:left w:val="nil"/>
              <w:bottom w:val="nil"/>
              <w:right w:val="nil"/>
            </w:tcBorders>
            <w:shd w:val="clear" w:color="auto" w:fill="auto"/>
            <w:vAlign w:val="center"/>
            <w:hideMark/>
          </w:tcPr>
          <w:p w14:paraId="7F6D185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(0.98)</w:t>
            </w:r>
          </w:p>
        </w:tc>
        <w:tc>
          <w:tcPr>
            <w:tcW w:w="851" w:type="dxa"/>
            <w:tcBorders>
              <w:top w:val="nil"/>
              <w:left w:val="nil"/>
              <w:bottom w:val="nil"/>
              <w:right w:val="nil"/>
            </w:tcBorders>
            <w:shd w:val="clear" w:color="auto" w:fill="auto"/>
            <w:vAlign w:val="center"/>
            <w:hideMark/>
          </w:tcPr>
          <w:p w14:paraId="174BD6C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(0.31)</w:t>
            </w:r>
          </w:p>
        </w:tc>
        <w:tc>
          <w:tcPr>
            <w:tcW w:w="808" w:type="dxa"/>
            <w:tcBorders>
              <w:top w:val="nil"/>
              <w:left w:val="nil"/>
              <w:bottom w:val="nil"/>
              <w:right w:val="nil"/>
            </w:tcBorders>
            <w:shd w:val="clear" w:color="auto" w:fill="auto"/>
            <w:vAlign w:val="center"/>
            <w:hideMark/>
          </w:tcPr>
          <w:p w14:paraId="537A5FD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(0.58)</w:t>
            </w:r>
          </w:p>
        </w:tc>
        <w:tc>
          <w:tcPr>
            <w:tcW w:w="751" w:type="dxa"/>
            <w:tcBorders>
              <w:top w:val="nil"/>
              <w:left w:val="nil"/>
              <w:bottom w:val="nil"/>
              <w:right w:val="nil"/>
            </w:tcBorders>
            <w:shd w:val="clear" w:color="auto" w:fill="auto"/>
            <w:vAlign w:val="center"/>
            <w:hideMark/>
          </w:tcPr>
          <w:p w14:paraId="18BB77A6"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0.33***</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6AE9EC2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(0.68)</w:t>
            </w:r>
          </w:p>
        </w:tc>
        <w:tc>
          <w:tcPr>
            <w:tcW w:w="681" w:type="dxa"/>
            <w:tcBorders>
              <w:top w:val="nil"/>
              <w:left w:val="nil"/>
              <w:bottom w:val="nil"/>
              <w:right w:val="nil"/>
            </w:tcBorders>
            <w:shd w:val="clear" w:color="auto" w:fill="auto"/>
            <w:vAlign w:val="center"/>
            <w:hideMark/>
          </w:tcPr>
          <w:p w14:paraId="2B156DA2"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61" w:type="dxa"/>
            <w:tcBorders>
              <w:top w:val="nil"/>
              <w:left w:val="nil"/>
              <w:bottom w:val="nil"/>
              <w:right w:val="nil"/>
            </w:tcBorders>
            <w:shd w:val="clear" w:color="auto" w:fill="auto"/>
            <w:vAlign w:val="center"/>
            <w:hideMark/>
          </w:tcPr>
          <w:p w14:paraId="701BB53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98" w:type="dxa"/>
            <w:tcBorders>
              <w:top w:val="nil"/>
              <w:left w:val="nil"/>
              <w:bottom w:val="nil"/>
              <w:right w:val="nil"/>
            </w:tcBorders>
            <w:shd w:val="clear" w:color="auto" w:fill="auto"/>
            <w:vAlign w:val="center"/>
            <w:hideMark/>
          </w:tcPr>
          <w:p w14:paraId="720314B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0.09**</w:t>
            </w:r>
            <w:r w:rsidRPr="00E915AA">
              <w:rPr>
                <w:rFonts w:ascii="Times New Roman" w:eastAsia="Times New Roman" w:hAnsi="Times New Roman" w:cs="Times New Roman"/>
                <w:b/>
                <w:bCs/>
                <w:color w:val="000000"/>
                <w:sz w:val="14"/>
                <w:szCs w:val="16"/>
                <w:lang w:eastAsia="en-GB"/>
              </w:rPr>
              <w:br/>
              <w:t>(0.02)</w:t>
            </w:r>
          </w:p>
        </w:tc>
        <w:tc>
          <w:tcPr>
            <w:tcW w:w="709" w:type="dxa"/>
            <w:tcBorders>
              <w:top w:val="nil"/>
              <w:left w:val="nil"/>
              <w:bottom w:val="nil"/>
              <w:right w:val="nil"/>
            </w:tcBorders>
            <w:shd w:val="clear" w:color="auto" w:fill="auto"/>
            <w:vAlign w:val="center"/>
            <w:hideMark/>
          </w:tcPr>
          <w:p w14:paraId="7B3F348E"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(0.03)</w:t>
            </w:r>
          </w:p>
        </w:tc>
        <w:tc>
          <w:tcPr>
            <w:tcW w:w="979" w:type="dxa"/>
            <w:tcBorders>
              <w:top w:val="nil"/>
              <w:left w:val="nil"/>
              <w:bottom w:val="nil"/>
              <w:right w:val="nil"/>
            </w:tcBorders>
            <w:shd w:val="clear" w:color="auto" w:fill="auto"/>
            <w:vAlign w:val="center"/>
            <w:hideMark/>
          </w:tcPr>
          <w:p w14:paraId="42D017B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0.31***</w:t>
            </w:r>
            <w:r w:rsidRPr="00E915AA">
              <w:rPr>
                <w:rFonts w:ascii="Times New Roman" w:eastAsia="Times New Roman" w:hAnsi="Times New Roman" w:cs="Times New Roman"/>
                <w:b/>
                <w:bCs/>
                <w:color w:val="000000"/>
                <w:sz w:val="14"/>
                <w:szCs w:val="16"/>
                <w:lang w:eastAsia="en-GB"/>
              </w:rPr>
              <w:br/>
              <w:t>(0.00)</w:t>
            </w:r>
          </w:p>
        </w:tc>
        <w:tc>
          <w:tcPr>
            <w:tcW w:w="617" w:type="dxa"/>
            <w:tcBorders>
              <w:top w:val="nil"/>
              <w:left w:val="nil"/>
              <w:bottom w:val="nil"/>
              <w:right w:val="nil"/>
            </w:tcBorders>
            <w:shd w:val="clear" w:color="auto" w:fill="auto"/>
            <w:vAlign w:val="center"/>
            <w:hideMark/>
          </w:tcPr>
          <w:p w14:paraId="442A58CA"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737" w:type="dxa"/>
            <w:tcBorders>
              <w:top w:val="nil"/>
              <w:left w:val="nil"/>
              <w:bottom w:val="nil"/>
              <w:right w:val="nil"/>
            </w:tcBorders>
            <w:shd w:val="clear" w:color="auto" w:fill="auto"/>
            <w:vAlign w:val="center"/>
            <w:hideMark/>
          </w:tcPr>
          <w:p w14:paraId="279D15A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c>
          <w:tcPr>
            <w:tcW w:w="556" w:type="dxa"/>
            <w:tcBorders>
              <w:top w:val="nil"/>
              <w:left w:val="nil"/>
              <w:bottom w:val="nil"/>
              <w:right w:val="nil"/>
            </w:tcBorders>
            <w:shd w:val="clear" w:color="auto" w:fill="auto"/>
            <w:vAlign w:val="center"/>
            <w:hideMark/>
          </w:tcPr>
          <w:p w14:paraId="50545A18" w14:textId="77777777" w:rsidR="002C6719" w:rsidRPr="00E915AA" w:rsidRDefault="002C6719" w:rsidP="00A07FDB">
            <w:pPr>
              <w:spacing w:after="0" w:line="240" w:lineRule="auto"/>
              <w:jc w:val="center"/>
              <w:rPr>
                <w:rFonts w:ascii="Times New Roman" w:eastAsia="Times New Roman" w:hAnsi="Times New Roman" w:cs="Times New Roman"/>
                <w:sz w:val="14"/>
                <w:szCs w:val="16"/>
                <w:lang w:eastAsia="en-GB"/>
              </w:rPr>
            </w:pPr>
          </w:p>
        </w:tc>
      </w:tr>
      <w:tr w:rsidR="002C6719" w:rsidRPr="00E915AA" w14:paraId="37CEF8DF" w14:textId="77777777" w:rsidTr="00A07FDB">
        <w:trPr>
          <w:gridAfter w:val="1"/>
          <w:wAfter w:w="12" w:type="dxa"/>
          <w:trHeight w:val="435"/>
        </w:trPr>
        <w:tc>
          <w:tcPr>
            <w:tcW w:w="1440" w:type="dxa"/>
            <w:tcBorders>
              <w:top w:val="nil"/>
              <w:left w:val="nil"/>
              <w:bottom w:val="nil"/>
              <w:right w:val="single" w:sz="4" w:space="0" w:color="auto"/>
            </w:tcBorders>
            <w:shd w:val="clear" w:color="auto" w:fill="auto"/>
            <w:vAlign w:val="center"/>
            <w:hideMark/>
          </w:tcPr>
          <w:p w14:paraId="611BA374"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roofErr w:type="spellStart"/>
            <w:r w:rsidRPr="00E915AA">
              <w:rPr>
                <w:rFonts w:ascii="Times New Roman" w:eastAsia="Times New Roman" w:hAnsi="Times New Roman" w:cs="Times New Roman"/>
                <w:color w:val="000000"/>
                <w:sz w:val="14"/>
                <w:szCs w:val="16"/>
                <w:lang w:eastAsia="en-GB"/>
              </w:rPr>
              <w:t>CEOchairperson</w:t>
            </w:r>
            <w:proofErr w:type="spellEnd"/>
          </w:p>
        </w:tc>
        <w:tc>
          <w:tcPr>
            <w:tcW w:w="828" w:type="dxa"/>
            <w:tcBorders>
              <w:top w:val="nil"/>
              <w:left w:val="nil"/>
              <w:bottom w:val="nil"/>
              <w:right w:val="nil"/>
            </w:tcBorders>
            <w:shd w:val="clear" w:color="auto" w:fill="auto"/>
            <w:vAlign w:val="center"/>
            <w:hideMark/>
          </w:tcPr>
          <w:p w14:paraId="7C5A887B"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(0.54)</w:t>
            </w:r>
          </w:p>
        </w:tc>
        <w:tc>
          <w:tcPr>
            <w:tcW w:w="851" w:type="dxa"/>
            <w:tcBorders>
              <w:top w:val="nil"/>
              <w:left w:val="nil"/>
              <w:bottom w:val="nil"/>
              <w:right w:val="nil"/>
            </w:tcBorders>
            <w:shd w:val="clear" w:color="auto" w:fill="auto"/>
            <w:vAlign w:val="center"/>
            <w:hideMark/>
          </w:tcPr>
          <w:p w14:paraId="3832D3B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(0.55)</w:t>
            </w:r>
          </w:p>
        </w:tc>
        <w:tc>
          <w:tcPr>
            <w:tcW w:w="730" w:type="dxa"/>
            <w:tcBorders>
              <w:top w:val="nil"/>
              <w:left w:val="nil"/>
              <w:bottom w:val="nil"/>
              <w:right w:val="nil"/>
            </w:tcBorders>
            <w:shd w:val="clear" w:color="auto" w:fill="auto"/>
            <w:vAlign w:val="center"/>
            <w:hideMark/>
          </w:tcPr>
          <w:p w14:paraId="10F1D9A6"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(0.53)</w:t>
            </w:r>
          </w:p>
        </w:tc>
        <w:tc>
          <w:tcPr>
            <w:tcW w:w="792" w:type="dxa"/>
            <w:tcBorders>
              <w:top w:val="nil"/>
              <w:left w:val="nil"/>
              <w:bottom w:val="nil"/>
              <w:right w:val="nil"/>
            </w:tcBorders>
            <w:shd w:val="clear" w:color="auto" w:fill="auto"/>
            <w:vAlign w:val="center"/>
            <w:hideMark/>
          </w:tcPr>
          <w:p w14:paraId="29375C9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(0.88)</w:t>
            </w:r>
          </w:p>
        </w:tc>
        <w:tc>
          <w:tcPr>
            <w:tcW w:w="792" w:type="dxa"/>
            <w:tcBorders>
              <w:top w:val="nil"/>
              <w:left w:val="nil"/>
              <w:bottom w:val="nil"/>
              <w:right w:val="nil"/>
            </w:tcBorders>
            <w:shd w:val="clear" w:color="auto" w:fill="auto"/>
            <w:vAlign w:val="center"/>
            <w:hideMark/>
          </w:tcPr>
          <w:p w14:paraId="4BE70768"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0.03</w:t>
            </w:r>
            <w:r w:rsidRPr="00E915AA">
              <w:rPr>
                <w:rFonts w:ascii="Times New Roman" w:eastAsia="Times New Roman" w:hAnsi="Times New Roman" w:cs="Times New Roman"/>
                <w:color w:val="000000"/>
                <w:sz w:val="14"/>
                <w:szCs w:val="16"/>
                <w:lang w:eastAsia="en-GB"/>
              </w:rPr>
              <w:br/>
              <w:t>(0.45)</w:t>
            </w:r>
          </w:p>
        </w:tc>
        <w:tc>
          <w:tcPr>
            <w:tcW w:w="804" w:type="dxa"/>
            <w:tcBorders>
              <w:top w:val="nil"/>
              <w:left w:val="nil"/>
              <w:bottom w:val="nil"/>
              <w:right w:val="nil"/>
            </w:tcBorders>
            <w:shd w:val="clear" w:color="auto" w:fill="auto"/>
            <w:vAlign w:val="center"/>
            <w:hideMark/>
          </w:tcPr>
          <w:p w14:paraId="79140DB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(0.33)</w:t>
            </w:r>
          </w:p>
        </w:tc>
        <w:tc>
          <w:tcPr>
            <w:tcW w:w="851" w:type="dxa"/>
            <w:tcBorders>
              <w:top w:val="nil"/>
              <w:left w:val="nil"/>
              <w:bottom w:val="nil"/>
              <w:right w:val="nil"/>
            </w:tcBorders>
            <w:shd w:val="clear" w:color="auto" w:fill="auto"/>
            <w:vAlign w:val="center"/>
            <w:hideMark/>
          </w:tcPr>
          <w:p w14:paraId="115F767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(0.89)</w:t>
            </w:r>
          </w:p>
        </w:tc>
        <w:tc>
          <w:tcPr>
            <w:tcW w:w="808" w:type="dxa"/>
            <w:tcBorders>
              <w:top w:val="nil"/>
              <w:left w:val="nil"/>
              <w:bottom w:val="nil"/>
              <w:right w:val="nil"/>
            </w:tcBorders>
            <w:shd w:val="clear" w:color="auto" w:fill="auto"/>
            <w:vAlign w:val="center"/>
            <w:hideMark/>
          </w:tcPr>
          <w:p w14:paraId="165030E9"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0.06</w:t>
            </w:r>
            <w:r w:rsidRPr="00E915AA">
              <w:rPr>
                <w:rFonts w:ascii="Times New Roman" w:eastAsia="Times New Roman" w:hAnsi="Times New Roman" w:cs="Times New Roman"/>
                <w:color w:val="000000"/>
                <w:sz w:val="14"/>
                <w:szCs w:val="16"/>
                <w:lang w:eastAsia="en-GB"/>
              </w:rPr>
              <w:br/>
              <w:t>(0.22)</w:t>
            </w:r>
          </w:p>
        </w:tc>
        <w:tc>
          <w:tcPr>
            <w:tcW w:w="751" w:type="dxa"/>
            <w:tcBorders>
              <w:top w:val="nil"/>
              <w:left w:val="nil"/>
              <w:bottom w:val="nil"/>
              <w:right w:val="nil"/>
            </w:tcBorders>
            <w:shd w:val="clear" w:color="auto" w:fill="auto"/>
            <w:vAlign w:val="center"/>
            <w:hideMark/>
          </w:tcPr>
          <w:p w14:paraId="1D711C4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0.16***</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nil"/>
              <w:right w:val="nil"/>
            </w:tcBorders>
            <w:shd w:val="clear" w:color="auto" w:fill="auto"/>
            <w:vAlign w:val="center"/>
            <w:hideMark/>
          </w:tcPr>
          <w:p w14:paraId="1756D47E"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(0.58)</w:t>
            </w:r>
          </w:p>
        </w:tc>
        <w:tc>
          <w:tcPr>
            <w:tcW w:w="681" w:type="dxa"/>
            <w:tcBorders>
              <w:top w:val="nil"/>
              <w:left w:val="nil"/>
              <w:bottom w:val="nil"/>
              <w:right w:val="nil"/>
            </w:tcBorders>
            <w:shd w:val="clear" w:color="auto" w:fill="auto"/>
            <w:vAlign w:val="center"/>
            <w:hideMark/>
          </w:tcPr>
          <w:p w14:paraId="7922B38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-0.02</w:t>
            </w:r>
            <w:r w:rsidRPr="00E915AA">
              <w:rPr>
                <w:rFonts w:ascii="Times New Roman" w:eastAsia="Times New Roman" w:hAnsi="Times New Roman" w:cs="Times New Roman"/>
                <w:color w:val="000000"/>
                <w:sz w:val="14"/>
                <w:szCs w:val="16"/>
                <w:lang w:eastAsia="en-GB"/>
              </w:rPr>
              <w:br/>
              <w:t>(0.64)</w:t>
            </w:r>
          </w:p>
        </w:tc>
        <w:tc>
          <w:tcPr>
            <w:tcW w:w="761" w:type="dxa"/>
            <w:tcBorders>
              <w:top w:val="nil"/>
              <w:left w:val="nil"/>
              <w:bottom w:val="nil"/>
              <w:right w:val="nil"/>
            </w:tcBorders>
            <w:shd w:val="clear" w:color="auto" w:fill="auto"/>
            <w:vAlign w:val="center"/>
            <w:hideMark/>
          </w:tcPr>
          <w:p w14:paraId="434EF08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(0.71)</w:t>
            </w:r>
          </w:p>
        </w:tc>
        <w:tc>
          <w:tcPr>
            <w:tcW w:w="798" w:type="dxa"/>
            <w:tcBorders>
              <w:top w:val="nil"/>
              <w:left w:val="nil"/>
              <w:bottom w:val="nil"/>
              <w:right w:val="nil"/>
            </w:tcBorders>
            <w:shd w:val="clear" w:color="auto" w:fill="auto"/>
            <w:vAlign w:val="center"/>
            <w:hideMark/>
          </w:tcPr>
          <w:p w14:paraId="466E4FD2"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0.07*</w:t>
            </w:r>
            <w:r w:rsidRPr="00E915AA">
              <w:rPr>
                <w:rFonts w:ascii="Times New Roman" w:eastAsia="Times New Roman" w:hAnsi="Times New Roman" w:cs="Times New Roman"/>
                <w:b/>
                <w:bCs/>
                <w:color w:val="000000"/>
                <w:sz w:val="14"/>
                <w:szCs w:val="16"/>
                <w:lang w:eastAsia="en-GB"/>
              </w:rPr>
              <w:br/>
              <w:t>(0.06)</w:t>
            </w:r>
          </w:p>
        </w:tc>
        <w:tc>
          <w:tcPr>
            <w:tcW w:w="709" w:type="dxa"/>
            <w:tcBorders>
              <w:top w:val="nil"/>
              <w:left w:val="nil"/>
              <w:bottom w:val="nil"/>
              <w:right w:val="nil"/>
            </w:tcBorders>
            <w:shd w:val="clear" w:color="auto" w:fill="auto"/>
            <w:vAlign w:val="center"/>
            <w:hideMark/>
          </w:tcPr>
          <w:p w14:paraId="10F910E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(0.02)</w:t>
            </w:r>
          </w:p>
        </w:tc>
        <w:tc>
          <w:tcPr>
            <w:tcW w:w="979" w:type="dxa"/>
            <w:tcBorders>
              <w:top w:val="nil"/>
              <w:left w:val="nil"/>
              <w:bottom w:val="nil"/>
              <w:right w:val="nil"/>
            </w:tcBorders>
            <w:shd w:val="clear" w:color="auto" w:fill="auto"/>
            <w:vAlign w:val="center"/>
            <w:hideMark/>
          </w:tcPr>
          <w:p w14:paraId="3E09E05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(0.02)</w:t>
            </w:r>
          </w:p>
        </w:tc>
        <w:tc>
          <w:tcPr>
            <w:tcW w:w="617" w:type="dxa"/>
            <w:tcBorders>
              <w:top w:val="nil"/>
              <w:left w:val="nil"/>
              <w:bottom w:val="nil"/>
              <w:right w:val="nil"/>
            </w:tcBorders>
            <w:shd w:val="clear" w:color="auto" w:fill="auto"/>
            <w:vAlign w:val="center"/>
            <w:hideMark/>
          </w:tcPr>
          <w:p w14:paraId="1BF0E19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0.05</w:t>
            </w:r>
            <w:r w:rsidRPr="00E915AA">
              <w:rPr>
                <w:rFonts w:ascii="Times New Roman" w:eastAsia="Times New Roman" w:hAnsi="Times New Roman" w:cs="Times New Roman"/>
                <w:b/>
                <w:bCs/>
                <w:color w:val="000000"/>
                <w:sz w:val="14"/>
                <w:szCs w:val="16"/>
                <w:lang w:eastAsia="en-GB"/>
              </w:rPr>
              <w:br/>
              <w:t>(0.2)</w:t>
            </w:r>
          </w:p>
        </w:tc>
        <w:tc>
          <w:tcPr>
            <w:tcW w:w="737" w:type="dxa"/>
            <w:tcBorders>
              <w:top w:val="nil"/>
              <w:left w:val="nil"/>
              <w:bottom w:val="nil"/>
              <w:right w:val="nil"/>
            </w:tcBorders>
            <w:shd w:val="clear" w:color="auto" w:fill="auto"/>
            <w:vAlign w:val="center"/>
            <w:hideMark/>
          </w:tcPr>
          <w:p w14:paraId="030C4D15"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c>
          <w:tcPr>
            <w:tcW w:w="556" w:type="dxa"/>
            <w:tcBorders>
              <w:top w:val="nil"/>
              <w:left w:val="nil"/>
              <w:bottom w:val="nil"/>
              <w:right w:val="nil"/>
            </w:tcBorders>
            <w:shd w:val="clear" w:color="auto" w:fill="auto"/>
            <w:vAlign w:val="center"/>
            <w:hideMark/>
          </w:tcPr>
          <w:p w14:paraId="09F5DA9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p>
        </w:tc>
      </w:tr>
      <w:tr w:rsidR="002C6719" w:rsidRPr="00E915AA" w14:paraId="6534761F" w14:textId="77777777" w:rsidTr="00A07FDB">
        <w:trPr>
          <w:gridAfter w:val="1"/>
          <w:wAfter w:w="12" w:type="dxa"/>
          <w:trHeight w:val="384"/>
        </w:trPr>
        <w:tc>
          <w:tcPr>
            <w:tcW w:w="1440" w:type="dxa"/>
            <w:tcBorders>
              <w:top w:val="nil"/>
              <w:left w:val="nil"/>
              <w:bottom w:val="single" w:sz="4" w:space="0" w:color="auto"/>
              <w:right w:val="single" w:sz="4" w:space="0" w:color="auto"/>
            </w:tcBorders>
            <w:shd w:val="clear" w:color="auto" w:fill="auto"/>
            <w:vAlign w:val="center"/>
            <w:hideMark/>
          </w:tcPr>
          <w:p w14:paraId="1A2E47B7"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JOBS Act</w:t>
            </w:r>
          </w:p>
        </w:tc>
        <w:tc>
          <w:tcPr>
            <w:tcW w:w="828" w:type="dxa"/>
            <w:tcBorders>
              <w:top w:val="nil"/>
              <w:left w:val="nil"/>
              <w:bottom w:val="single" w:sz="4" w:space="0" w:color="auto"/>
              <w:right w:val="nil"/>
            </w:tcBorders>
            <w:shd w:val="clear" w:color="auto" w:fill="auto"/>
            <w:vAlign w:val="center"/>
            <w:hideMark/>
          </w:tcPr>
          <w:p w14:paraId="7C81F152"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-0.37***</w:t>
            </w:r>
            <w:r w:rsidRPr="00E915AA">
              <w:rPr>
                <w:rFonts w:ascii="Times New Roman" w:eastAsia="Times New Roman" w:hAnsi="Times New Roman" w:cs="Times New Roman"/>
                <w:b/>
                <w:bCs/>
                <w:color w:val="000000"/>
                <w:sz w:val="14"/>
                <w:szCs w:val="16"/>
                <w:lang w:eastAsia="en-GB"/>
              </w:rPr>
              <w:br/>
              <w:t>(0.00)</w:t>
            </w:r>
          </w:p>
        </w:tc>
        <w:tc>
          <w:tcPr>
            <w:tcW w:w="851" w:type="dxa"/>
            <w:tcBorders>
              <w:top w:val="nil"/>
              <w:left w:val="nil"/>
              <w:bottom w:val="single" w:sz="4" w:space="0" w:color="auto"/>
              <w:right w:val="nil"/>
            </w:tcBorders>
            <w:shd w:val="clear" w:color="auto" w:fill="auto"/>
            <w:vAlign w:val="center"/>
            <w:hideMark/>
          </w:tcPr>
          <w:p w14:paraId="2013DFA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-0.5***</w:t>
            </w:r>
            <w:r w:rsidRPr="00E915AA">
              <w:rPr>
                <w:rFonts w:ascii="Times New Roman" w:eastAsia="Times New Roman" w:hAnsi="Times New Roman" w:cs="Times New Roman"/>
                <w:b/>
                <w:bCs/>
                <w:color w:val="000000"/>
                <w:sz w:val="14"/>
                <w:szCs w:val="16"/>
                <w:lang w:eastAsia="en-GB"/>
              </w:rPr>
              <w:br/>
              <w:t>(0.00)</w:t>
            </w:r>
          </w:p>
        </w:tc>
        <w:tc>
          <w:tcPr>
            <w:tcW w:w="730" w:type="dxa"/>
            <w:tcBorders>
              <w:top w:val="nil"/>
              <w:left w:val="nil"/>
              <w:bottom w:val="single" w:sz="4" w:space="0" w:color="auto"/>
              <w:right w:val="nil"/>
            </w:tcBorders>
            <w:shd w:val="clear" w:color="auto" w:fill="auto"/>
            <w:vAlign w:val="center"/>
            <w:hideMark/>
          </w:tcPr>
          <w:p w14:paraId="35791105"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-0.58***</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single" w:sz="4" w:space="0" w:color="auto"/>
              <w:right w:val="nil"/>
            </w:tcBorders>
            <w:shd w:val="clear" w:color="auto" w:fill="auto"/>
            <w:vAlign w:val="center"/>
            <w:hideMark/>
          </w:tcPr>
          <w:p w14:paraId="008EBB7F"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-0.49***</w:t>
            </w:r>
            <w:r w:rsidRPr="00E915AA">
              <w:rPr>
                <w:rFonts w:ascii="Times New Roman" w:eastAsia="Times New Roman" w:hAnsi="Times New Roman" w:cs="Times New Roman"/>
                <w:b/>
                <w:bCs/>
                <w:color w:val="000000"/>
                <w:sz w:val="14"/>
                <w:szCs w:val="16"/>
                <w:lang w:eastAsia="en-GB"/>
              </w:rPr>
              <w:br/>
              <w:t>(0.00)</w:t>
            </w:r>
          </w:p>
        </w:tc>
        <w:tc>
          <w:tcPr>
            <w:tcW w:w="792" w:type="dxa"/>
            <w:tcBorders>
              <w:top w:val="nil"/>
              <w:left w:val="nil"/>
              <w:bottom w:val="single" w:sz="4" w:space="0" w:color="auto"/>
              <w:right w:val="nil"/>
            </w:tcBorders>
            <w:shd w:val="clear" w:color="auto" w:fill="auto"/>
            <w:vAlign w:val="center"/>
            <w:hideMark/>
          </w:tcPr>
          <w:p w14:paraId="7EBB9FF8"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-0.67***</w:t>
            </w:r>
            <w:r w:rsidRPr="00E915AA">
              <w:rPr>
                <w:rFonts w:ascii="Times New Roman" w:eastAsia="Times New Roman" w:hAnsi="Times New Roman" w:cs="Times New Roman"/>
                <w:b/>
                <w:bCs/>
                <w:color w:val="000000"/>
                <w:sz w:val="14"/>
                <w:szCs w:val="16"/>
                <w:lang w:eastAsia="en-GB"/>
              </w:rPr>
              <w:br/>
              <w:t>(0.00)</w:t>
            </w:r>
          </w:p>
        </w:tc>
        <w:tc>
          <w:tcPr>
            <w:tcW w:w="804" w:type="dxa"/>
            <w:tcBorders>
              <w:top w:val="nil"/>
              <w:left w:val="nil"/>
              <w:bottom w:val="single" w:sz="4" w:space="0" w:color="auto"/>
              <w:right w:val="nil"/>
            </w:tcBorders>
            <w:shd w:val="clear" w:color="auto" w:fill="auto"/>
            <w:vAlign w:val="center"/>
            <w:hideMark/>
          </w:tcPr>
          <w:p w14:paraId="7EF4ED12"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-0.11***</w:t>
            </w:r>
            <w:r w:rsidRPr="00E915AA">
              <w:rPr>
                <w:rFonts w:ascii="Times New Roman" w:eastAsia="Times New Roman" w:hAnsi="Times New Roman" w:cs="Times New Roman"/>
                <w:b/>
                <w:bCs/>
                <w:color w:val="000000"/>
                <w:sz w:val="14"/>
                <w:szCs w:val="16"/>
                <w:lang w:eastAsia="en-GB"/>
              </w:rPr>
              <w:br/>
              <w:t>(0.01)</w:t>
            </w:r>
          </w:p>
        </w:tc>
        <w:tc>
          <w:tcPr>
            <w:tcW w:w="851" w:type="dxa"/>
            <w:tcBorders>
              <w:top w:val="nil"/>
              <w:left w:val="nil"/>
              <w:bottom w:val="single" w:sz="4" w:space="0" w:color="auto"/>
              <w:right w:val="nil"/>
            </w:tcBorders>
            <w:shd w:val="clear" w:color="auto" w:fill="auto"/>
            <w:vAlign w:val="center"/>
            <w:hideMark/>
          </w:tcPr>
          <w:p w14:paraId="1537BA36"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-0.20***</w:t>
            </w:r>
            <w:r w:rsidRPr="00E915AA">
              <w:rPr>
                <w:rFonts w:ascii="Times New Roman" w:eastAsia="Times New Roman" w:hAnsi="Times New Roman" w:cs="Times New Roman"/>
                <w:b/>
                <w:bCs/>
                <w:color w:val="000000"/>
                <w:sz w:val="14"/>
                <w:szCs w:val="16"/>
                <w:lang w:eastAsia="en-GB"/>
              </w:rPr>
              <w:br/>
              <w:t>(0.00)</w:t>
            </w:r>
          </w:p>
        </w:tc>
        <w:tc>
          <w:tcPr>
            <w:tcW w:w="808" w:type="dxa"/>
            <w:tcBorders>
              <w:top w:val="nil"/>
              <w:left w:val="nil"/>
              <w:bottom w:val="single" w:sz="4" w:space="0" w:color="auto"/>
              <w:right w:val="nil"/>
            </w:tcBorders>
            <w:shd w:val="clear" w:color="auto" w:fill="auto"/>
            <w:vAlign w:val="center"/>
            <w:hideMark/>
          </w:tcPr>
          <w:p w14:paraId="15EF6809"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0.16***</w:t>
            </w:r>
            <w:r w:rsidRPr="00E915AA">
              <w:rPr>
                <w:rFonts w:ascii="Times New Roman" w:eastAsia="Times New Roman" w:hAnsi="Times New Roman" w:cs="Times New Roman"/>
                <w:b/>
                <w:bCs/>
                <w:color w:val="000000"/>
                <w:sz w:val="14"/>
                <w:szCs w:val="16"/>
                <w:lang w:eastAsia="en-GB"/>
              </w:rPr>
              <w:br/>
              <w:t>(0.00)</w:t>
            </w:r>
          </w:p>
        </w:tc>
        <w:tc>
          <w:tcPr>
            <w:tcW w:w="751" w:type="dxa"/>
            <w:tcBorders>
              <w:top w:val="nil"/>
              <w:left w:val="nil"/>
              <w:bottom w:val="single" w:sz="4" w:space="0" w:color="auto"/>
              <w:right w:val="nil"/>
            </w:tcBorders>
            <w:shd w:val="clear" w:color="auto" w:fill="auto"/>
            <w:vAlign w:val="center"/>
            <w:hideMark/>
          </w:tcPr>
          <w:p w14:paraId="1C76E083"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-0.08**</w:t>
            </w:r>
            <w:r w:rsidRPr="00E915AA">
              <w:rPr>
                <w:rFonts w:ascii="Times New Roman" w:eastAsia="Times New Roman" w:hAnsi="Times New Roman" w:cs="Times New Roman"/>
                <w:b/>
                <w:bCs/>
                <w:color w:val="000000"/>
                <w:sz w:val="14"/>
                <w:szCs w:val="16"/>
                <w:lang w:eastAsia="en-GB"/>
              </w:rPr>
              <w:br/>
              <w:t>(0.02)</w:t>
            </w:r>
          </w:p>
        </w:tc>
        <w:tc>
          <w:tcPr>
            <w:tcW w:w="737" w:type="dxa"/>
            <w:tcBorders>
              <w:top w:val="nil"/>
              <w:left w:val="nil"/>
              <w:bottom w:val="single" w:sz="4" w:space="0" w:color="auto"/>
              <w:right w:val="nil"/>
            </w:tcBorders>
            <w:shd w:val="clear" w:color="auto" w:fill="auto"/>
            <w:vAlign w:val="center"/>
            <w:hideMark/>
          </w:tcPr>
          <w:p w14:paraId="178FC0C2"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0.04</w:t>
            </w:r>
            <w:r w:rsidRPr="00E915AA">
              <w:rPr>
                <w:rFonts w:ascii="Times New Roman" w:eastAsia="Times New Roman" w:hAnsi="Times New Roman" w:cs="Times New Roman"/>
                <w:color w:val="000000"/>
                <w:sz w:val="14"/>
                <w:szCs w:val="16"/>
                <w:lang w:eastAsia="en-GB"/>
              </w:rPr>
              <w:br/>
              <w:t>(0.27)</w:t>
            </w:r>
          </w:p>
        </w:tc>
        <w:tc>
          <w:tcPr>
            <w:tcW w:w="681" w:type="dxa"/>
            <w:tcBorders>
              <w:top w:val="nil"/>
              <w:left w:val="nil"/>
              <w:bottom w:val="single" w:sz="4" w:space="0" w:color="auto"/>
              <w:right w:val="nil"/>
            </w:tcBorders>
            <w:shd w:val="clear" w:color="auto" w:fill="auto"/>
            <w:vAlign w:val="center"/>
            <w:hideMark/>
          </w:tcPr>
          <w:p w14:paraId="00E28AAD"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-0.06*</w:t>
            </w:r>
            <w:r w:rsidRPr="00E915AA">
              <w:rPr>
                <w:rFonts w:ascii="Times New Roman" w:eastAsia="Times New Roman" w:hAnsi="Times New Roman" w:cs="Times New Roman"/>
                <w:b/>
                <w:bCs/>
                <w:color w:val="000000"/>
                <w:sz w:val="14"/>
                <w:szCs w:val="16"/>
                <w:lang w:eastAsia="en-GB"/>
              </w:rPr>
              <w:br/>
              <w:t>(0.08)</w:t>
            </w:r>
          </w:p>
        </w:tc>
        <w:tc>
          <w:tcPr>
            <w:tcW w:w="761" w:type="dxa"/>
            <w:tcBorders>
              <w:top w:val="nil"/>
              <w:left w:val="nil"/>
              <w:bottom w:val="single" w:sz="4" w:space="0" w:color="auto"/>
              <w:right w:val="nil"/>
            </w:tcBorders>
            <w:shd w:val="clear" w:color="auto" w:fill="auto"/>
            <w:vAlign w:val="center"/>
            <w:hideMark/>
          </w:tcPr>
          <w:p w14:paraId="0DEECB2B"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98" w:type="dxa"/>
            <w:tcBorders>
              <w:top w:val="nil"/>
              <w:left w:val="nil"/>
              <w:bottom w:val="single" w:sz="4" w:space="0" w:color="auto"/>
              <w:right w:val="nil"/>
            </w:tcBorders>
            <w:shd w:val="clear" w:color="auto" w:fill="auto"/>
            <w:vAlign w:val="center"/>
            <w:hideMark/>
          </w:tcPr>
          <w:p w14:paraId="1CF4EC9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-0.12***</w:t>
            </w:r>
            <w:r w:rsidRPr="00E915AA">
              <w:rPr>
                <w:rFonts w:ascii="Times New Roman" w:eastAsia="Times New Roman" w:hAnsi="Times New Roman" w:cs="Times New Roman"/>
                <w:b/>
                <w:bCs/>
                <w:color w:val="000000"/>
                <w:sz w:val="14"/>
                <w:szCs w:val="16"/>
                <w:lang w:eastAsia="en-GB"/>
              </w:rPr>
              <w:br/>
              <w:t>(0.00)</w:t>
            </w:r>
          </w:p>
        </w:tc>
        <w:tc>
          <w:tcPr>
            <w:tcW w:w="709" w:type="dxa"/>
            <w:tcBorders>
              <w:top w:val="nil"/>
              <w:left w:val="nil"/>
              <w:bottom w:val="single" w:sz="4" w:space="0" w:color="auto"/>
              <w:right w:val="nil"/>
            </w:tcBorders>
            <w:shd w:val="clear" w:color="auto" w:fill="auto"/>
            <w:vAlign w:val="center"/>
            <w:hideMark/>
          </w:tcPr>
          <w:p w14:paraId="7B2441A3"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(0.96)</w:t>
            </w:r>
          </w:p>
        </w:tc>
        <w:tc>
          <w:tcPr>
            <w:tcW w:w="979" w:type="dxa"/>
            <w:tcBorders>
              <w:top w:val="nil"/>
              <w:left w:val="nil"/>
              <w:bottom w:val="single" w:sz="4" w:space="0" w:color="auto"/>
              <w:right w:val="nil"/>
            </w:tcBorders>
            <w:shd w:val="clear" w:color="auto" w:fill="auto"/>
            <w:vAlign w:val="center"/>
            <w:hideMark/>
          </w:tcPr>
          <w:p w14:paraId="38F7134C"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0.05</w:t>
            </w:r>
            <w:r w:rsidRPr="00E915AA">
              <w:rPr>
                <w:rFonts w:ascii="Times New Roman" w:eastAsia="Times New Roman" w:hAnsi="Times New Roman" w:cs="Times New Roman"/>
                <w:color w:val="000000"/>
                <w:sz w:val="14"/>
                <w:szCs w:val="16"/>
                <w:lang w:eastAsia="en-GB"/>
              </w:rPr>
              <w:br/>
              <w:t>(0.14)</w:t>
            </w:r>
          </w:p>
        </w:tc>
        <w:tc>
          <w:tcPr>
            <w:tcW w:w="617" w:type="dxa"/>
            <w:tcBorders>
              <w:top w:val="nil"/>
              <w:left w:val="nil"/>
              <w:bottom w:val="single" w:sz="4" w:space="0" w:color="auto"/>
              <w:right w:val="nil"/>
            </w:tcBorders>
            <w:shd w:val="clear" w:color="auto" w:fill="auto"/>
            <w:vAlign w:val="center"/>
            <w:hideMark/>
          </w:tcPr>
          <w:p w14:paraId="79AC1D41" w14:textId="77777777" w:rsidR="002C6719" w:rsidRPr="00E915AA" w:rsidRDefault="002C6719" w:rsidP="00A07FDB">
            <w:pPr>
              <w:spacing w:after="0" w:line="240" w:lineRule="auto"/>
              <w:jc w:val="center"/>
              <w:rPr>
                <w:rFonts w:ascii="Times New Roman" w:eastAsia="Times New Roman" w:hAnsi="Times New Roman" w:cs="Times New Roman"/>
                <w:b/>
                <w:bCs/>
                <w:color w:val="000000"/>
                <w:sz w:val="14"/>
                <w:szCs w:val="16"/>
                <w:lang w:eastAsia="en-GB"/>
              </w:rPr>
            </w:pPr>
            <w:r w:rsidRPr="00E915AA">
              <w:rPr>
                <w:rFonts w:ascii="Times New Roman" w:eastAsia="Times New Roman" w:hAnsi="Times New Roman" w:cs="Times New Roman"/>
                <w:b/>
                <w:bCs/>
                <w:color w:val="000000"/>
                <w:sz w:val="14"/>
                <w:szCs w:val="16"/>
                <w:lang w:eastAsia="en-GB"/>
              </w:rPr>
              <w:t>0.17</w:t>
            </w:r>
            <w:r w:rsidRPr="00E915AA">
              <w:rPr>
                <w:rFonts w:ascii="Times New Roman" w:eastAsia="Times New Roman" w:hAnsi="Times New Roman" w:cs="Times New Roman"/>
                <w:b/>
                <w:bCs/>
                <w:color w:val="000000"/>
                <w:sz w:val="14"/>
                <w:szCs w:val="16"/>
                <w:lang w:eastAsia="en-GB"/>
              </w:rPr>
              <w:br/>
              <w:t>(0.00)</w:t>
            </w:r>
          </w:p>
        </w:tc>
        <w:tc>
          <w:tcPr>
            <w:tcW w:w="737" w:type="dxa"/>
            <w:tcBorders>
              <w:top w:val="nil"/>
              <w:left w:val="nil"/>
              <w:bottom w:val="single" w:sz="4" w:space="0" w:color="auto"/>
              <w:right w:val="nil"/>
            </w:tcBorders>
            <w:shd w:val="clear" w:color="auto" w:fill="auto"/>
            <w:vAlign w:val="center"/>
            <w:hideMark/>
          </w:tcPr>
          <w:p w14:paraId="5AEB2DDD"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0.01</w:t>
            </w:r>
            <w:r w:rsidRPr="00E915AA">
              <w:rPr>
                <w:rFonts w:ascii="Times New Roman" w:eastAsia="Times New Roman" w:hAnsi="Times New Roman" w:cs="Times New Roman"/>
                <w:color w:val="000000"/>
                <w:sz w:val="14"/>
                <w:szCs w:val="16"/>
                <w:lang w:eastAsia="en-GB"/>
              </w:rPr>
              <w:br/>
              <w:t>(0.71)</w:t>
            </w:r>
          </w:p>
        </w:tc>
        <w:tc>
          <w:tcPr>
            <w:tcW w:w="556" w:type="dxa"/>
            <w:tcBorders>
              <w:top w:val="nil"/>
              <w:left w:val="nil"/>
              <w:bottom w:val="single" w:sz="4" w:space="0" w:color="auto"/>
              <w:right w:val="nil"/>
            </w:tcBorders>
            <w:shd w:val="clear" w:color="auto" w:fill="auto"/>
            <w:vAlign w:val="center"/>
            <w:hideMark/>
          </w:tcPr>
          <w:p w14:paraId="0B4B5CD1" w14:textId="77777777" w:rsidR="002C6719" w:rsidRPr="00E915AA" w:rsidRDefault="002C6719" w:rsidP="00A07FDB">
            <w:pPr>
              <w:spacing w:after="0" w:line="240" w:lineRule="auto"/>
              <w:jc w:val="center"/>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1</w:t>
            </w:r>
          </w:p>
        </w:tc>
      </w:tr>
      <w:tr w:rsidR="002C6719" w:rsidRPr="00E915AA" w14:paraId="45E7B0DB" w14:textId="77777777" w:rsidTr="00A07FDB">
        <w:trPr>
          <w:trHeight w:val="900"/>
        </w:trPr>
        <w:tc>
          <w:tcPr>
            <w:tcW w:w="15234" w:type="dxa"/>
            <w:gridSpan w:val="20"/>
            <w:tcBorders>
              <w:top w:val="nil"/>
              <w:left w:val="nil"/>
              <w:bottom w:val="nil"/>
              <w:right w:val="nil"/>
            </w:tcBorders>
            <w:shd w:val="clear" w:color="auto" w:fill="auto"/>
            <w:hideMark/>
          </w:tcPr>
          <w:p w14:paraId="28A465F2" w14:textId="5AF648FF" w:rsidR="002C6719" w:rsidRPr="00E915AA" w:rsidRDefault="002C6719" w:rsidP="00A07FDB">
            <w:pPr>
              <w:spacing w:after="0" w:line="240" w:lineRule="auto"/>
              <w:rPr>
                <w:rFonts w:ascii="Times New Roman" w:eastAsia="Times New Roman" w:hAnsi="Times New Roman" w:cs="Times New Roman"/>
                <w:color w:val="000000"/>
                <w:sz w:val="14"/>
                <w:szCs w:val="16"/>
                <w:lang w:eastAsia="en-GB"/>
              </w:rPr>
            </w:pPr>
            <w:r w:rsidRPr="00E915AA">
              <w:rPr>
                <w:rFonts w:ascii="Times New Roman" w:eastAsia="Times New Roman" w:hAnsi="Times New Roman" w:cs="Times New Roman"/>
                <w:color w:val="000000"/>
                <w:sz w:val="14"/>
                <w:szCs w:val="16"/>
                <w:lang w:eastAsia="en-GB"/>
              </w:rPr>
              <w:t xml:space="preserve">This tables reports descriptive statistics for the full sample of 799 IPOs between May 2005 and December 2017. Descriptive statistics for SEC review attributes, earnings management proxies, firm characteristics, regulatory </w:t>
            </w:r>
            <w:proofErr w:type="gramStart"/>
            <w:r w:rsidRPr="00E915AA">
              <w:rPr>
                <w:rFonts w:ascii="Times New Roman" w:eastAsia="Times New Roman" w:hAnsi="Times New Roman" w:cs="Times New Roman"/>
                <w:color w:val="000000"/>
                <w:sz w:val="14"/>
                <w:szCs w:val="16"/>
                <w:lang w:eastAsia="en-GB"/>
              </w:rPr>
              <w:t>events</w:t>
            </w:r>
            <w:proofErr w:type="gramEnd"/>
            <w:r w:rsidRPr="00E915AA">
              <w:rPr>
                <w:rFonts w:ascii="Times New Roman" w:eastAsia="Times New Roman" w:hAnsi="Times New Roman" w:cs="Times New Roman"/>
                <w:color w:val="000000"/>
                <w:sz w:val="14"/>
                <w:szCs w:val="16"/>
                <w:lang w:eastAsia="en-GB"/>
              </w:rPr>
              <w:t xml:space="preserve"> and a correlation matrix including all variables are reported in Panels A, B, C, D and E, respectively.  All variable definitions are provided in Appendix </w:t>
            </w:r>
            <w:r w:rsidR="00412C4F" w:rsidRPr="00E915AA">
              <w:rPr>
                <w:rFonts w:ascii="Times New Roman" w:eastAsia="Times New Roman" w:hAnsi="Times New Roman" w:cs="Times New Roman"/>
                <w:color w:val="000000"/>
                <w:sz w:val="14"/>
                <w:szCs w:val="16"/>
                <w:lang w:eastAsia="en-GB"/>
              </w:rPr>
              <w:t>A</w:t>
            </w:r>
            <w:r w:rsidRPr="00E915AA">
              <w:rPr>
                <w:rFonts w:ascii="Times New Roman" w:eastAsia="Times New Roman" w:hAnsi="Times New Roman" w:cs="Times New Roman"/>
                <w:color w:val="000000"/>
                <w:sz w:val="14"/>
                <w:szCs w:val="16"/>
                <w:lang w:eastAsia="en-GB"/>
              </w:rPr>
              <w:t>. T-tests and Wilcoxon sign rank tests are employed to examine differences in means and medians from zero, respectively. Tests of difference in means and medians between two samples of IPO firms receiving and not receiving SEC comments about earnings-related issues are conducted by using t-tests and Wilcoxon rank sum tests. *, **, *** denote significance at the 10%, 5%, and 1% levels, respectively.</w:t>
            </w:r>
          </w:p>
        </w:tc>
      </w:tr>
    </w:tbl>
    <w:p w14:paraId="6478A762" w14:textId="77777777" w:rsidR="002C6719" w:rsidRPr="00E915AA" w:rsidRDefault="002C6719" w:rsidP="002C6719">
      <w:pPr>
        <w:keepNext/>
        <w:spacing w:before="240" w:after="240" w:line="360" w:lineRule="auto"/>
        <w:rPr>
          <w:rFonts w:ascii="Times New Roman" w:eastAsia="Calibri" w:hAnsi="Times New Roman" w:cs="Times New Roman"/>
          <w:b/>
          <w:iCs/>
          <w:color w:val="000000"/>
          <w:sz w:val="18"/>
          <w:szCs w:val="18"/>
          <w:lang w:val="en-GB" w:eastAsia="en-GB"/>
        </w:rPr>
      </w:pPr>
      <w:r w:rsidRPr="00E915AA">
        <w:rPr>
          <w:rFonts w:ascii="Times New Roman" w:eastAsia="Calibri" w:hAnsi="Times New Roman" w:cs="Times New Roman"/>
          <w:b/>
          <w:iCs/>
          <w:color w:val="000000"/>
          <w:sz w:val="18"/>
          <w:szCs w:val="18"/>
          <w:lang w:val="en-GB" w:eastAsia="en-GB"/>
        </w:rPr>
        <w:lastRenderedPageBreak/>
        <w:t>Table 4. SEC reviews on S-1 filings and IPO firms' earnings management</w:t>
      </w:r>
    </w:p>
    <w:tbl>
      <w:tblPr>
        <w:tblW w:w="13431" w:type="dxa"/>
        <w:tblLayout w:type="fixed"/>
        <w:tblLook w:val="04A0" w:firstRow="1" w:lastRow="0" w:firstColumn="1" w:lastColumn="0" w:noHBand="0" w:noVBand="1"/>
      </w:tblPr>
      <w:tblGrid>
        <w:gridCol w:w="1080"/>
        <w:gridCol w:w="267"/>
        <w:gridCol w:w="742"/>
        <w:gridCol w:w="709"/>
        <w:gridCol w:w="708"/>
        <w:gridCol w:w="251"/>
        <w:gridCol w:w="742"/>
        <w:gridCol w:w="741"/>
        <w:gridCol w:w="748"/>
        <w:gridCol w:w="251"/>
        <w:gridCol w:w="811"/>
        <w:gridCol w:w="709"/>
        <w:gridCol w:w="709"/>
        <w:gridCol w:w="251"/>
        <w:gridCol w:w="741"/>
        <w:gridCol w:w="709"/>
        <w:gridCol w:w="708"/>
        <w:gridCol w:w="251"/>
        <w:gridCol w:w="742"/>
        <w:gridCol w:w="708"/>
        <w:gridCol w:w="845"/>
        <w:gridCol w:w="8"/>
      </w:tblGrid>
      <w:tr w:rsidR="002C6719" w:rsidRPr="00E915AA" w14:paraId="1E5D0C78" w14:textId="77777777" w:rsidTr="0073176B">
        <w:trPr>
          <w:gridAfter w:val="1"/>
          <w:wAfter w:w="8" w:type="dxa"/>
          <w:trHeight w:val="225"/>
        </w:trPr>
        <w:tc>
          <w:tcPr>
            <w:tcW w:w="13423" w:type="dxa"/>
            <w:gridSpan w:val="21"/>
            <w:tcBorders>
              <w:top w:val="nil"/>
              <w:left w:val="nil"/>
              <w:bottom w:val="nil"/>
              <w:right w:val="nil"/>
            </w:tcBorders>
            <w:shd w:val="clear" w:color="auto" w:fill="auto"/>
            <w:noWrap/>
            <w:vAlign w:val="bottom"/>
            <w:hideMark/>
          </w:tcPr>
          <w:p w14:paraId="03BA550A" w14:textId="77777777" w:rsidR="002C6719" w:rsidRPr="00E915AA" w:rsidRDefault="002C6719" w:rsidP="0073176B">
            <w:pPr>
              <w:spacing w:after="0" w:line="240" w:lineRule="auto"/>
              <w:rPr>
                <w:rFonts w:ascii="Times New Roman" w:eastAsia="Times New Roman" w:hAnsi="Times New Roman" w:cs="Times New Roman"/>
                <w:b/>
                <w:bCs/>
                <w:color w:val="000000"/>
                <w:sz w:val="12"/>
                <w:szCs w:val="14"/>
                <w:lang w:val="en-GB" w:eastAsia="en-GB"/>
              </w:rPr>
            </w:pPr>
          </w:p>
        </w:tc>
      </w:tr>
      <w:tr w:rsidR="002C6719" w:rsidRPr="00E915AA" w14:paraId="46C4AA59" w14:textId="77777777" w:rsidTr="0073176B">
        <w:trPr>
          <w:trHeight w:val="180"/>
        </w:trPr>
        <w:tc>
          <w:tcPr>
            <w:tcW w:w="1080" w:type="dxa"/>
            <w:tcBorders>
              <w:top w:val="single" w:sz="4" w:space="0" w:color="auto"/>
              <w:left w:val="nil"/>
              <w:bottom w:val="nil"/>
              <w:right w:val="nil"/>
            </w:tcBorders>
            <w:shd w:val="clear" w:color="auto" w:fill="auto"/>
            <w:noWrap/>
            <w:vAlign w:val="bottom"/>
            <w:hideMark/>
          </w:tcPr>
          <w:p w14:paraId="72B41508"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267" w:type="dxa"/>
            <w:tcBorders>
              <w:top w:val="single" w:sz="4" w:space="0" w:color="auto"/>
              <w:left w:val="nil"/>
              <w:bottom w:val="nil"/>
              <w:right w:val="nil"/>
            </w:tcBorders>
            <w:shd w:val="clear" w:color="auto" w:fill="auto"/>
            <w:noWrap/>
            <w:vAlign w:val="bottom"/>
            <w:hideMark/>
          </w:tcPr>
          <w:p w14:paraId="0197D204"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2159" w:type="dxa"/>
            <w:gridSpan w:val="3"/>
            <w:tcBorders>
              <w:top w:val="single" w:sz="4" w:space="0" w:color="auto"/>
              <w:left w:val="nil"/>
              <w:bottom w:val="nil"/>
              <w:right w:val="nil"/>
            </w:tcBorders>
            <w:shd w:val="clear" w:color="auto" w:fill="auto"/>
            <w:noWrap/>
            <w:vAlign w:val="bottom"/>
            <w:hideMark/>
          </w:tcPr>
          <w:p w14:paraId="38608B8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Duration</w:t>
            </w:r>
          </w:p>
        </w:tc>
        <w:tc>
          <w:tcPr>
            <w:tcW w:w="251" w:type="dxa"/>
            <w:tcBorders>
              <w:top w:val="single" w:sz="4" w:space="0" w:color="auto"/>
              <w:left w:val="nil"/>
              <w:bottom w:val="nil"/>
              <w:right w:val="nil"/>
            </w:tcBorders>
            <w:shd w:val="clear" w:color="auto" w:fill="auto"/>
            <w:noWrap/>
            <w:vAlign w:val="bottom"/>
            <w:hideMark/>
          </w:tcPr>
          <w:p w14:paraId="6AD60DCA"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2231" w:type="dxa"/>
            <w:gridSpan w:val="3"/>
            <w:tcBorders>
              <w:top w:val="single" w:sz="4" w:space="0" w:color="auto"/>
              <w:left w:val="nil"/>
              <w:bottom w:val="nil"/>
              <w:right w:val="nil"/>
            </w:tcBorders>
            <w:shd w:val="clear" w:color="auto" w:fill="auto"/>
            <w:noWrap/>
            <w:vAlign w:val="bottom"/>
            <w:hideMark/>
          </w:tcPr>
          <w:p w14:paraId="30DBEFD3"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#Letters</w:t>
            </w:r>
          </w:p>
        </w:tc>
        <w:tc>
          <w:tcPr>
            <w:tcW w:w="251" w:type="dxa"/>
            <w:tcBorders>
              <w:top w:val="single" w:sz="4" w:space="0" w:color="auto"/>
              <w:left w:val="nil"/>
              <w:bottom w:val="nil"/>
              <w:right w:val="nil"/>
            </w:tcBorders>
            <w:shd w:val="clear" w:color="auto" w:fill="auto"/>
            <w:noWrap/>
            <w:vAlign w:val="bottom"/>
            <w:hideMark/>
          </w:tcPr>
          <w:p w14:paraId="008C4BCC" w14:textId="77777777" w:rsidR="002C6719" w:rsidRPr="00E915AA" w:rsidRDefault="002C6719" w:rsidP="0073176B">
            <w:pPr>
              <w:spacing w:after="0" w:line="240" w:lineRule="auto"/>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 </w:t>
            </w:r>
          </w:p>
        </w:tc>
        <w:tc>
          <w:tcPr>
            <w:tcW w:w="2229" w:type="dxa"/>
            <w:gridSpan w:val="3"/>
            <w:tcBorders>
              <w:top w:val="single" w:sz="4" w:space="0" w:color="auto"/>
              <w:left w:val="nil"/>
              <w:bottom w:val="nil"/>
              <w:right w:val="nil"/>
            </w:tcBorders>
            <w:shd w:val="clear" w:color="auto" w:fill="auto"/>
            <w:noWrap/>
            <w:vAlign w:val="bottom"/>
            <w:hideMark/>
          </w:tcPr>
          <w:p w14:paraId="214471E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#Themes</w:t>
            </w:r>
          </w:p>
        </w:tc>
        <w:tc>
          <w:tcPr>
            <w:tcW w:w="251" w:type="dxa"/>
            <w:tcBorders>
              <w:top w:val="single" w:sz="4" w:space="0" w:color="auto"/>
              <w:left w:val="nil"/>
              <w:bottom w:val="nil"/>
              <w:right w:val="nil"/>
            </w:tcBorders>
            <w:shd w:val="clear" w:color="auto" w:fill="auto"/>
            <w:noWrap/>
            <w:vAlign w:val="bottom"/>
            <w:hideMark/>
          </w:tcPr>
          <w:p w14:paraId="59D3805E" w14:textId="77777777" w:rsidR="002C6719" w:rsidRPr="00E915AA" w:rsidRDefault="002C6719" w:rsidP="0073176B">
            <w:pPr>
              <w:spacing w:after="0" w:line="240" w:lineRule="auto"/>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 </w:t>
            </w:r>
          </w:p>
        </w:tc>
        <w:tc>
          <w:tcPr>
            <w:tcW w:w="2158" w:type="dxa"/>
            <w:gridSpan w:val="3"/>
            <w:tcBorders>
              <w:top w:val="single" w:sz="4" w:space="0" w:color="auto"/>
              <w:left w:val="nil"/>
              <w:bottom w:val="nil"/>
              <w:right w:val="nil"/>
            </w:tcBorders>
            <w:shd w:val="clear" w:color="auto" w:fill="auto"/>
            <w:noWrap/>
            <w:vAlign w:val="bottom"/>
            <w:hideMark/>
          </w:tcPr>
          <w:p w14:paraId="21F07160"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#Core-accounting issues</w:t>
            </w:r>
          </w:p>
        </w:tc>
        <w:tc>
          <w:tcPr>
            <w:tcW w:w="251" w:type="dxa"/>
            <w:tcBorders>
              <w:top w:val="single" w:sz="4" w:space="0" w:color="auto"/>
              <w:left w:val="nil"/>
              <w:bottom w:val="nil"/>
              <w:right w:val="nil"/>
            </w:tcBorders>
            <w:shd w:val="clear" w:color="auto" w:fill="auto"/>
            <w:noWrap/>
            <w:vAlign w:val="bottom"/>
            <w:hideMark/>
          </w:tcPr>
          <w:p w14:paraId="203A3C27" w14:textId="77777777" w:rsidR="002C6719" w:rsidRPr="00E915AA" w:rsidRDefault="002C6719" w:rsidP="0073176B">
            <w:pPr>
              <w:spacing w:after="0" w:line="240" w:lineRule="auto"/>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 </w:t>
            </w:r>
          </w:p>
        </w:tc>
        <w:tc>
          <w:tcPr>
            <w:tcW w:w="2303" w:type="dxa"/>
            <w:gridSpan w:val="4"/>
            <w:tcBorders>
              <w:top w:val="single" w:sz="4" w:space="0" w:color="auto"/>
              <w:left w:val="nil"/>
              <w:bottom w:val="nil"/>
              <w:right w:val="nil"/>
            </w:tcBorders>
            <w:shd w:val="clear" w:color="auto" w:fill="auto"/>
            <w:noWrap/>
            <w:vAlign w:val="bottom"/>
            <w:hideMark/>
          </w:tcPr>
          <w:p w14:paraId="75227A8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#Non-core-accounting issues</w:t>
            </w:r>
          </w:p>
        </w:tc>
      </w:tr>
      <w:tr w:rsidR="002C6719" w:rsidRPr="00E915AA" w14:paraId="1FE72751" w14:textId="77777777" w:rsidTr="0073176B">
        <w:trPr>
          <w:trHeight w:val="180"/>
        </w:trPr>
        <w:tc>
          <w:tcPr>
            <w:tcW w:w="1080" w:type="dxa"/>
            <w:tcBorders>
              <w:top w:val="nil"/>
              <w:left w:val="nil"/>
              <w:bottom w:val="nil"/>
              <w:right w:val="nil"/>
            </w:tcBorders>
            <w:shd w:val="clear" w:color="auto" w:fill="auto"/>
            <w:noWrap/>
            <w:vAlign w:val="bottom"/>
            <w:hideMark/>
          </w:tcPr>
          <w:p w14:paraId="01C7EF7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p>
        </w:tc>
        <w:tc>
          <w:tcPr>
            <w:tcW w:w="267" w:type="dxa"/>
            <w:tcBorders>
              <w:top w:val="nil"/>
              <w:left w:val="nil"/>
              <w:bottom w:val="nil"/>
              <w:right w:val="nil"/>
            </w:tcBorders>
            <w:shd w:val="clear" w:color="auto" w:fill="auto"/>
            <w:noWrap/>
            <w:vAlign w:val="bottom"/>
            <w:hideMark/>
          </w:tcPr>
          <w:p w14:paraId="6E3AD84F"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42" w:type="dxa"/>
            <w:tcBorders>
              <w:top w:val="single" w:sz="4" w:space="0" w:color="auto"/>
              <w:left w:val="nil"/>
              <w:bottom w:val="nil"/>
              <w:right w:val="nil"/>
            </w:tcBorders>
            <w:shd w:val="clear" w:color="auto" w:fill="auto"/>
            <w:noWrap/>
            <w:vAlign w:val="bottom"/>
            <w:hideMark/>
          </w:tcPr>
          <w:p w14:paraId="6289495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w:t>
            </w:r>
          </w:p>
        </w:tc>
        <w:tc>
          <w:tcPr>
            <w:tcW w:w="709" w:type="dxa"/>
            <w:tcBorders>
              <w:top w:val="single" w:sz="4" w:space="0" w:color="auto"/>
              <w:left w:val="nil"/>
              <w:bottom w:val="nil"/>
              <w:right w:val="nil"/>
            </w:tcBorders>
            <w:shd w:val="clear" w:color="auto" w:fill="auto"/>
            <w:noWrap/>
            <w:vAlign w:val="bottom"/>
            <w:hideMark/>
          </w:tcPr>
          <w:p w14:paraId="47D0262A"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(2)</w:t>
            </w:r>
          </w:p>
        </w:tc>
        <w:tc>
          <w:tcPr>
            <w:tcW w:w="708" w:type="dxa"/>
            <w:tcBorders>
              <w:top w:val="single" w:sz="4" w:space="0" w:color="auto"/>
              <w:left w:val="nil"/>
              <w:bottom w:val="nil"/>
              <w:right w:val="nil"/>
            </w:tcBorders>
            <w:shd w:val="clear" w:color="auto" w:fill="auto"/>
            <w:noWrap/>
            <w:vAlign w:val="bottom"/>
            <w:hideMark/>
          </w:tcPr>
          <w:p w14:paraId="1754E7A3"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(3)</w:t>
            </w:r>
          </w:p>
        </w:tc>
        <w:tc>
          <w:tcPr>
            <w:tcW w:w="251" w:type="dxa"/>
            <w:tcBorders>
              <w:top w:val="nil"/>
              <w:left w:val="nil"/>
              <w:bottom w:val="nil"/>
              <w:right w:val="nil"/>
            </w:tcBorders>
            <w:shd w:val="clear" w:color="auto" w:fill="auto"/>
            <w:noWrap/>
            <w:vAlign w:val="bottom"/>
            <w:hideMark/>
          </w:tcPr>
          <w:p w14:paraId="2F470B8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single" w:sz="4" w:space="0" w:color="auto"/>
              <w:left w:val="nil"/>
              <w:bottom w:val="nil"/>
              <w:right w:val="nil"/>
            </w:tcBorders>
            <w:shd w:val="clear" w:color="auto" w:fill="auto"/>
            <w:noWrap/>
            <w:vAlign w:val="bottom"/>
            <w:hideMark/>
          </w:tcPr>
          <w:p w14:paraId="5392973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w:t>
            </w:r>
          </w:p>
        </w:tc>
        <w:tc>
          <w:tcPr>
            <w:tcW w:w="741" w:type="dxa"/>
            <w:tcBorders>
              <w:top w:val="single" w:sz="4" w:space="0" w:color="auto"/>
              <w:left w:val="nil"/>
              <w:bottom w:val="nil"/>
              <w:right w:val="nil"/>
            </w:tcBorders>
            <w:shd w:val="clear" w:color="auto" w:fill="auto"/>
            <w:noWrap/>
            <w:vAlign w:val="bottom"/>
            <w:hideMark/>
          </w:tcPr>
          <w:p w14:paraId="39C09411"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w:t>
            </w:r>
          </w:p>
        </w:tc>
        <w:tc>
          <w:tcPr>
            <w:tcW w:w="748" w:type="dxa"/>
            <w:tcBorders>
              <w:top w:val="single" w:sz="4" w:space="0" w:color="auto"/>
              <w:left w:val="nil"/>
              <w:bottom w:val="nil"/>
              <w:right w:val="nil"/>
            </w:tcBorders>
            <w:shd w:val="clear" w:color="auto" w:fill="auto"/>
            <w:noWrap/>
            <w:vAlign w:val="bottom"/>
            <w:hideMark/>
          </w:tcPr>
          <w:p w14:paraId="2BFD1DA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(6)</w:t>
            </w:r>
          </w:p>
        </w:tc>
        <w:tc>
          <w:tcPr>
            <w:tcW w:w="251" w:type="dxa"/>
            <w:tcBorders>
              <w:top w:val="nil"/>
              <w:left w:val="nil"/>
              <w:bottom w:val="nil"/>
              <w:right w:val="nil"/>
            </w:tcBorders>
            <w:shd w:val="clear" w:color="auto" w:fill="auto"/>
            <w:noWrap/>
            <w:vAlign w:val="bottom"/>
            <w:hideMark/>
          </w:tcPr>
          <w:p w14:paraId="2867627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811" w:type="dxa"/>
            <w:tcBorders>
              <w:top w:val="single" w:sz="4" w:space="0" w:color="auto"/>
              <w:left w:val="nil"/>
              <w:bottom w:val="nil"/>
              <w:right w:val="nil"/>
            </w:tcBorders>
            <w:shd w:val="clear" w:color="auto" w:fill="auto"/>
            <w:noWrap/>
            <w:vAlign w:val="bottom"/>
            <w:hideMark/>
          </w:tcPr>
          <w:p w14:paraId="21393E0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(7)</w:t>
            </w:r>
          </w:p>
        </w:tc>
        <w:tc>
          <w:tcPr>
            <w:tcW w:w="709" w:type="dxa"/>
            <w:tcBorders>
              <w:top w:val="single" w:sz="4" w:space="0" w:color="auto"/>
              <w:left w:val="nil"/>
              <w:bottom w:val="nil"/>
              <w:right w:val="nil"/>
            </w:tcBorders>
            <w:shd w:val="clear" w:color="auto" w:fill="auto"/>
            <w:noWrap/>
            <w:vAlign w:val="bottom"/>
            <w:hideMark/>
          </w:tcPr>
          <w:p w14:paraId="2C0E7C39"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(8)</w:t>
            </w:r>
          </w:p>
        </w:tc>
        <w:tc>
          <w:tcPr>
            <w:tcW w:w="709" w:type="dxa"/>
            <w:tcBorders>
              <w:top w:val="single" w:sz="4" w:space="0" w:color="auto"/>
              <w:left w:val="nil"/>
              <w:bottom w:val="nil"/>
              <w:right w:val="nil"/>
            </w:tcBorders>
            <w:shd w:val="clear" w:color="auto" w:fill="auto"/>
            <w:noWrap/>
            <w:vAlign w:val="bottom"/>
            <w:hideMark/>
          </w:tcPr>
          <w:p w14:paraId="42C0681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(9)</w:t>
            </w:r>
          </w:p>
        </w:tc>
        <w:tc>
          <w:tcPr>
            <w:tcW w:w="251" w:type="dxa"/>
            <w:tcBorders>
              <w:top w:val="nil"/>
              <w:left w:val="nil"/>
              <w:bottom w:val="nil"/>
              <w:right w:val="nil"/>
            </w:tcBorders>
            <w:shd w:val="clear" w:color="auto" w:fill="auto"/>
            <w:noWrap/>
            <w:vAlign w:val="bottom"/>
            <w:hideMark/>
          </w:tcPr>
          <w:p w14:paraId="6A65AB25"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1" w:type="dxa"/>
            <w:tcBorders>
              <w:top w:val="single" w:sz="4" w:space="0" w:color="auto"/>
              <w:left w:val="nil"/>
              <w:bottom w:val="nil"/>
              <w:right w:val="nil"/>
            </w:tcBorders>
            <w:shd w:val="clear" w:color="auto" w:fill="auto"/>
            <w:noWrap/>
            <w:vAlign w:val="bottom"/>
            <w:hideMark/>
          </w:tcPr>
          <w:p w14:paraId="5963892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(10)</w:t>
            </w:r>
          </w:p>
        </w:tc>
        <w:tc>
          <w:tcPr>
            <w:tcW w:w="709" w:type="dxa"/>
            <w:tcBorders>
              <w:top w:val="single" w:sz="4" w:space="0" w:color="auto"/>
              <w:left w:val="nil"/>
              <w:bottom w:val="nil"/>
              <w:right w:val="nil"/>
            </w:tcBorders>
            <w:shd w:val="clear" w:color="auto" w:fill="auto"/>
            <w:noWrap/>
            <w:vAlign w:val="bottom"/>
            <w:hideMark/>
          </w:tcPr>
          <w:p w14:paraId="5A91676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(11)</w:t>
            </w:r>
          </w:p>
        </w:tc>
        <w:tc>
          <w:tcPr>
            <w:tcW w:w="708" w:type="dxa"/>
            <w:tcBorders>
              <w:top w:val="single" w:sz="4" w:space="0" w:color="auto"/>
              <w:left w:val="nil"/>
              <w:bottom w:val="nil"/>
              <w:right w:val="nil"/>
            </w:tcBorders>
            <w:shd w:val="clear" w:color="auto" w:fill="auto"/>
            <w:noWrap/>
            <w:vAlign w:val="bottom"/>
            <w:hideMark/>
          </w:tcPr>
          <w:p w14:paraId="1739744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(12)</w:t>
            </w:r>
          </w:p>
        </w:tc>
        <w:tc>
          <w:tcPr>
            <w:tcW w:w="251" w:type="dxa"/>
            <w:tcBorders>
              <w:top w:val="nil"/>
              <w:left w:val="nil"/>
              <w:bottom w:val="nil"/>
              <w:right w:val="nil"/>
            </w:tcBorders>
            <w:shd w:val="clear" w:color="auto" w:fill="auto"/>
            <w:noWrap/>
            <w:vAlign w:val="bottom"/>
            <w:hideMark/>
          </w:tcPr>
          <w:p w14:paraId="122F6E3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single" w:sz="4" w:space="0" w:color="auto"/>
              <w:left w:val="nil"/>
              <w:bottom w:val="nil"/>
              <w:right w:val="nil"/>
            </w:tcBorders>
            <w:shd w:val="clear" w:color="auto" w:fill="auto"/>
            <w:noWrap/>
            <w:vAlign w:val="bottom"/>
            <w:hideMark/>
          </w:tcPr>
          <w:p w14:paraId="40A2F47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(13)</w:t>
            </w:r>
          </w:p>
        </w:tc>
        <w:tc>
          <w:tcPr>
            <w:tcW w:w="708" w:type="dxa"/>
            <w:tcBorders>
              <w:top w:val="single" w:sz="4" w:space="0" w:color="auto"/>
              <w:left w:val="nil"/>
              <w:bottom w:val="nil"/>
              <w:right w:val="nil"/>
            </w:tcBorders>
            <w:shd w:val="clear" w:color="auto" w:fill="auto"/>
            <w:noWrap/>
            <w:vAlign w:val="bottom"/>
            <w:hideMark/>
          </w:tcPr>
          <w:p w14:paraId="4689489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(14)</w:t>
            </w:r>
          </w:p>
        </w:tc>
        <w:tc>
          <w:tcPr>
            <w:tcW w:w="853" w:type="dxa"/>
            <w:gridSpan w:val="2"/>
            <w:tcBorders>
              <w:top w:val="single" w:sz="4" w:space="0" w:color="auto"/>
              <w:left w:val="nil"/>
              <w:bottom w:val="nil"/>
              <w:right w:val="nil"/>
            </w:tcBorders>
            <w:shd w:val="clear" w:color="auto" w:fill="auto"/>
            <w:noWrap/>
            <w:vAlign w:val="bottom"/>
            <w:hideMark/>
          </w:tcPr>
          <w:p w14:paraId="1BB23D5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(15)</w:t>
            </w:r>
          </w:p>
        </w:tc>
      </w:tr>
      <w:tr w:rsidR="002C6719" w:rsidRPr="00E915AA" w14:paraId="2A608B74" w14:textId="77777777" w:rsidTr="0073176B">
        <w:trPr>
          <w:trHeight w:val="360"/>
        </w:trPr>
        <w:tc>
          <w:tcPr>
            <w:tcW w:w="1080" w:type="dxa"/>
            <w:tcBorders>
              <w:top w:val="nil"/>
              <w:left w:val="nil"/>
              <w:bottom w:val="nil"/>
              <w:right w:val="nil"/>
            </w:tcBorders>
            <w:shd w:val="clear" w:color="auto" w:fill="auto"/>
            <w:noWrap/>
            <w:vAlign w:val="center"/>
            <w:hideMark/>
          </w:tcPr>
          <w:p w14:paraId="01DC0E92"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DACC</w:t>
            </w:r>
          </w:p>
        </w:tc>
        <w:tc>
          <w:tcPr>
            <w:tcW w:w="267" w:type="dxa"/>
            <w:tcBorders>
              <w:top w:val="nil"/>
              <w:left w:val="nil"/>
              <w:bottom w:val="nil"/>
              <w:right w:val="nil"/>
            </w:tcBorders>
            <w:shd w:val="clear" w:color="auto" w:fill="auto"/>
            <w:noWrap/>
            <w:vAlign w:val="center"/>
            <w:hideMark/>
          </w:tcPr>
          <w:p w14:paraId="722796BB"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73CE7DC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0.025***</w:t>
            </w:r>
            <w:r w:rsidRPr="00E915AA">
              <w:rPr>
                <w:rFonts w:ascii="Times New Roman" w:eastAsia="Times New Roman" w:hAnsi="Times New Roman" w:cs="Times New Roman"/>
                <w:sz w:val="12"/>
                <w:szCs w:val="14"/>
                <w:lang w:val="en-GB" w:eastAsia="en-GB"/>
              </w:rPr>
              <w:br/>
              <w:t>(5.45)</w:t>
            </w:r>
          </w:p>
        </w:tc>
        <w:tc>
          <w:tcPr>
            <w:tcW w:w="709" w:type="dxa"/>
            <w:tcBorders>
              <w:top w:val="nil"/>
              <w:left w:val="nil"/>
              <w:bottom w:val="nil"/>
              <w:right w:val="nil"/>
            </w:tcBorders>
            <w:shd w:val="clear" w:color="auto" w:fill="auto"/>
            <w:noWrap/>
            <w:vAlign w:val="center"/>
            <w:hideMark/>
          </w:tcPr>
          <w:p w14:paraId="53BBC67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08" w:type="dxa"/>
            <w:tcBorders>
              <w:top w:val="nil"/>
              <w:left w:val="nil"/>
              <w:bottom w:val="nil"/>
              <w:right w:val="nil"/>
            </w:tcBorders>
            <w:shd w:val="clear" w:color="auto" w:fill="auto"/>
            <w:noWrap/>
            <w:vAlign w:val="center"/>
            <w:hideMark/>
          </w:tcPr>
          <w:p w14:paraId="65B952E3"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center"/>
            <w:hideMark/>
          </w:tcPr>
          <w:p w14:paraId="11ADCD3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vAlign w:val="center"/>
            <w:hideMark/>
          </w:tcPr>
          <w:p w14:paraId="53A7AA4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0.023**</w:t>
            </w:r>
            <w:r w:rsidRPr="00E915AA">
              <w:rPr>
                <w:rFonts w:ascii="Times New Roman" w:eastAsia="Times New Roman" w:hAnsi="Times New Roman" w:cs="Times New Roman"/>
                <w:sz w:val="12"/>
                <w:szCs w:val="14"/>
                <w:lang w:val="en-GB" w:eastAsia="en-GB"/>
              </w:rPr>
              <w:br/>
              <w:t>(1.96)</w:t>
            </w:r>
          </w:p>
        </w:tc>
        <w:tc>
          <w:tcPr>
            <w:tcW w:w="741" w:type="dxa"/>
            <w:tcBorders>
              <w:top w:val="nil"/>
              <w:left w:val="nil"/>
              <w:bottom w:val="nil"/>
              <w:right w:val="nil"/>
            </w:tcBorders>
            <w:shd w:val="clear" w:color="auto" w:fill="auto"/>
            <w:noWrap/>
            <w:vAlign w:val="center"/>
            <w:hideMark/>
          </w:tcPr>
          <w:p w14:paraId="623B343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8" w:type="dxa"/>
            <w:tcBorders>
              <w:top w:val="nil"/>
              <w:left w:val="nil"/>
              <w:bottom w:val="nil"/>
              <w:right w:val="nil"/>
            </w:tcBorders>
            <w:shd w:val="clear" w:color="auto" w:fill="auto"/>
            <w:noWrap/>
            <w:vAlign w:val="center"/>
            <w:hideMark/>
          </w:tcPr>
          <w:p w14:paraId="144EE917"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center"/>
            <w:hideMark/>
          </w:tcPr>
          <w:p w14:paraId="3250D94B"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11" w:type="dxa"/>
            <w:tcBorders>
              <w:top w:val="nil"/>
              <w:left w:val="nil"/>
              <w:bottom w:val="nil"/>
              <w:right w:val="nil"/>
            </w:tcBorders>
            <w:shd w:val="clear" w:color="auto" w:fill="auto"/>
            <w:vAlign w:val="center"/>
            <w:hideMark/>
          </w:tcPr>
          <w:p w14:paraId="62ACE61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0.035*</w:t>
            </w:r>
            <w:r w:rsidRPr="00E915AA">
              <w:rPr>
                <w:rFonts w:ascii="Times New Roman" w:eastAsia="Times New Roman" w:hAnsi="Times New Roman" w:cs="Times New Roman"/>
                <w:sz w:val="12"/>
                <w:szCs w:val="14"/>
                <w:lang w:val="en-GB" w:eastAsia="en-GB"/>
              </w:rPr>
              <w:br/>
              <w:t>(1.80)</w:t>
            </w:r>
          </w:p>
        </w:tc>
        <w:tc>
          <w:tcPr>
            <w:tcW w:w="709" w:type="dxa"/>
            <w:tcBorders>
              <w:top w:val="nil"/>
              <w:left w:val="nil"/>
              <w:bottom w:val="nil"/>
              <w:right w:val="nil"/>
            </w:tcBorders>
            <w:shd w:val="clear" w:color="auto" w:fill="auto"/>
            <w:noWrap/>
            <w:vAlign w:val="center"/>
            <w:hideMark/>
          </w:tcPr>
          <w:p w14:paraId="1E03E40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09" w:type="dxa"/>
            <w:tcBorders>
              <w:top w:val="nil"/>
              <w:left w:val="nil"/>
              <w:bottom w:val="nil"/>
              <w:right w:val="nil"/>
            </w:tcBorders>
            <w:shd w:val="clear" w:color="auto" w:fill="auto"/>
            <w:noWrap/>
            <w:vAlign w:val="center"/>
            <w:hideMark/>
          </w:tcPr>
          <w:p w14:paraId="164F10E6"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center"/>
            <w:hideMark/>
          </w:tcPr>
          <w:p w14:paraId="7247F7CE"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vAlign w:val="center"/>
            <w:hideMark/>
          </w:tcPr>
          <w:p w14:paraId="4DFA992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0.040***</w:t>
            </w:r>
            <w:r w:rsidRPr="00E915AA">
              <w:rPr>
                <w:rFonts w:ascii="Times New Roman" w:eastAsia="Times New Roman" w:hAnsi="Times New Roman" w:cs="Times New Roman"/>
                <w:sz w:val="12"/>
                <w:szCs w:val="14"/>
                <w:lang w:val="en-GB" w:eastAsia="en-GB"/>
              </w:rPr>
              <w:br/>
              <w:t>(4.02)</w:t>
            </w:r>
          </w:p>
        </w:tc>
        <w:tc>
          <w:tcPr>
            <w:tcW w:w="709" w:type="dxa"/>
            <w:tcBorders>
              <w:top w:val="nil"/>
              <w:left w:val="nil"/>
              <w:bottom w:val="nil"/>
              <w:right w:val="nil"/>
            </w:tcBorders>
            <w:shd w:val="clear" w:color="auto" w:fill="auto"/>
            <w:noWrap/>
            <w:vAlign w:val="center"/>
            <w:hideMark/>
          </w:tcPr>
          <w:p w14:paraId="21D1C4E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08" w:type="dxa"/>
            <w:tcBorders>
              <w:top w:val="nil"/>
              <w:left w:val="nil"/>
              <w:bottom w:val="nil"/>
              <w:right w:val="nil"/>
            </w:tcBorders>
            <w:shd w:val="clear" w:color="auto" w:fill="auto"/>
            <w:noWrap/>
            <w:vAlign w:val="center"/>
            <w:hideMark/>
          </w:tcPr>
          <w:p w14:paraId="077CC9E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center"/>
            <w:hideMark/>
          </w:tcPr>
          <w:p w14:paraId="595AB540"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vAlign w:val="center"/>
            <w:hideMark/>
          </w:tcPr>
          <w:p w14:paraId="07E84EA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0.051</w:t>
            </w:r>
            <w:r w:rsidRPr="00E915AA">
              <w:rPr>
                <w:rFonts w:ascii="Times New Roman" w:eastAsia="Times New Roman" w:hAnsi="Times New Roman" w:cs="Times New Roman"/>
                <w:sz w:val="12"/>
                <w:szCs w:val="14"/>
                <w:lang w:val="en-GB" w:eastAsia="en-GB"/>
              </w:rPr>
              <w:br/>
              <w:t>(1.32)</w:t>
            </w:r>
          </w:p>
        </w:tc>
        <w:tc>
          <w:tcPr>
            <w:tcW w:w="708" w:type="dxa"/>
            <w:tcBorders>
              <w:top w:val="nil"/>
              <w:left w:val="nil"/>
              <w:bottom w:val="nil"/>
              <w:right w:val="nil"/>
            </w:tcBorders>
            <w:shd w:val="clear" w:color="auto" w:fill="auto"/>
            <w:noWrap/>
            <w:vAlign w:val="center"/>
            <w:hideMark/>
          </w:tcPr>
          <w:p w14:paraId="761D9CC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53" w:type="dxa"/>
            <w:gridSpan w:val="2"/>
            <w:tcBorders>
              <w:top w:val="nil"/>
              <w:left w:val="nil"/>
              <w:bottom w:val="nil"/>
              <w:right w:val="nil"/>
            </w:tcBorders>
            <w:shd w:val="clear" w:color="auto" w:fill="auto"/>
            <w:noWrap/>
            <w:vAlign w:val="center"/>
            <w:hideMark/>
          </w:tcPr>
          <w:p w14:paraId="69137446"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r>
      <w:tr w:rsidR="002C6719" w:rsidRPr="00E915AA" w14:paraId="34BFF496" w14:textId="77777777" w:rsidTr="0073176B">
        <w:trPr>
          <w:trHeight w:val="360"/>
        </w:trPr>
        <w:tc>
          <w:tcPr>
            <w:tcW w:w="1080" w:type="dxa"/>
            <w:tcBorders>
              <w:top w:val="nil"/>
              <w:left w:val="nil"/>
              <w:bottom w:val="nil"/>
              <w:right w:val="nil"/>
            </w:tcBorders>
            <w:shd w:val="clear" w:color="auto" w:fill="auto"/>
            <w:noWrap/>
            <w:vAlign w:val="center"/>
            <w:hideMark/>
          </w:tcPr>
          <w:p w14:paraId="54D2BBCE"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ACFO</w:t>
            </w:r>
          </w:p>
        </w:tc>
        <w:tc>
          <w:tcPr>
            <w:tcW w:w="267" w:type="dxa"/>
            <w:tcBorders>
              <w:top w:val="nil"/>
              <w:left w:val="nil"/>
              <w:bottom w:val="nil"/>
              <w:right w:val="nil"/>
            </w:tcBorders>
            <w:shd w:val="clear" w:color="auto" w:fill="auto"/>
            <w:noWrap/>
            <w:vAlign w:val="center"/>
            <w:hideMark/>
          </w:tcPr>
          <w:p w14:paraId="337B9F6F"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p>
        </w:tc>
        <w:tc>
          <w:tcPr>
            <w:tcW w:w="742" w:type="dxa"/>
            <w:tcBorders>
              <w:top w:val="nil"/>
              <w:left w:val="nil"/>
              <w:bottom w:val="nil"/>
              <w:right w:val="nil"/>
            </w:tcBorders>
            <w:shd w:val="clear" w:color="auto" w:fill="auto"/>
            <w:noWrap/>
            <w:vAlign w:val="center"/>
            <w:hideMark/>
          </w:tcPr>
          <w:p w14:paraId="28A037B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vAlign w:val="center"/>
            <w:hideMark/>
          </w:tcPr>
          <w:p w14:paraId="25876CB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0.007*</w:t>
            </w:r>
            <w:r w:rsidRPr="00E915AA">
              <w:rPr>
                <w:rFonts w:ascii="Times New Roman" w:eastAsia="Times New Roman" w:hAnsi="Times New Roman" w:cs="Times New Roman"/>
                <w:sz w:val="12"/>
                <w:szCs w:val="14"/>
                <w:lang w:val="en-GB" w:eastAsia="en-GB"/>
              </w:rPr>
              <w:br/>
              <w:t>(1.85)</w:t>
            </w:r>
          </w:p>
        </w:tc>
        <w:tc>
          <w:tcPr>
            <w:tcW w:w="708" w:type="dxa"/>
            <w:tcBorders>
              <w:top w:val="nil"/>
              <w:left w:val="nil"/>
              <w:bottom w:val="nil"/>
              <w:right w:val="nil"/>
            </w:tcBorders>
            <w:shd w:val="clear" w:color="auto" w:fill="auto"/>
            <w:noWrap/>
            <w:vAlign w:val="center"/>
            <w:hideMark/>
          </w:tcPr>
          <w:p w14:paraId="576333A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251" w:type="dxa"/>
            <w:tcBorders>
              <w:top w:val="nil"/>
              <w:left w:val="nil"/>
              <w:bottom w:val="nil"/>
              <w:right w:val="nil"/>
            </w:tcBorders>
            <w:shd w:val="clear" w:color="auto" w:fill="auto"/>
            <w:noWrap/>
            <w:vAlign w:val="center"/>
            <w:hideMark/>
          </w:tcPr>
          <w:p w14:paraId="13C2435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center"/>
            <w:hideMark/>
          </w:tcPr>
          <w:p w14:paraId="1E9E7C75"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vAlign w:val="center"/>
            <w:hideMark/>
          </w:tcPr>
          <w:p w14:paraId="4119672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0.007</w:t>
            </w:r>
            <w:r w:rsidRPr="00E915AA">
              <w:rPr>
                <w:rFonts w:ascii="Times New Roman" w:eastAsia="Times New Roman" w:hAnsi="Times New Roman" w:cs="Times New Roman"/>
                <w:sz w:val="12"/>
                <w:szCs w:val="14"/>
                <w:lang w:val="en-GB" w:eastAsia="en-GB"/>
              </w:rPr>
              <w:br/>
              <w:t>(0.57)</w:t>
            </w:r>
          </w:p>
        </w:tc>
        <w:tc>
          <w:tcPr>
            <w:tcW w:w="748" w:type="dxa"/>
            <w:tcBorders>
              <w:top w:val="nil"/>
              <w:left w:val="nil"/>
              <w:bottom w:val="nil"/>
              <w:right w:val="nil"/>
            </w:tcBorders>
            <w:shd w:val="clear" w:color="auto" w:fill="auto"/>
            <w:noWrap/>
            <w:vAlign w:val="center"/>
            <w:hideMark/>
          </w:tcPr>
          <w:p w14:paraId="0697040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251" w:type="dxa"/>
            <w:tcBorders>
              <w:top w:val="nil"/>
              <w:left w:val="nil"/>
              <w:bottom w:val="nil"/>
              <w:right w:val="nil"/>
            </w:tcBorders>
            <w:shd w:val="clear" w:color="auto" w:fill="auto"/>
            <w:noWrap/>
            <w:vAlign w:val="center"/>
            <w:hideMark/>
          </w:tcPr>
          <w:p w14:paraId="6A837276"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11" w:type="dxa"/>
            <w:tcBorders>
              <w:top w:val="nil"/>
              <w:left w:val="nil"/>
              <w:bottom w:val="nil"/>
              <w:right w:val="nil"/>
            </w:tcBorders>
            <w:shd w:val="clear" w:color="auto" w:fill="auto"/>
            <w:noWrap/>
            <w:vAlign w:val="center"/>
            <w:hideMark/>
          </w:tcPr>
          <w:p w14:paraId="4FCB0FDA"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vAlign w:val="center"/>
            <w:hideMark/>
          </w:tcPr>
          <w:p w14:paraId="3C2C091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0.020</w:t>
            </w:r>
            <w:r w:rsidRPr="00E915AA">
              <w:rPr>
                <w:rFonts w:ascii="Times New Roman" w:eastAsia="Times New Roman" w:hAnsi="Times New Roman" w:cs="Times New Roman"/>
                <w:sz w:val="12"/>
                <w:szCs w:val="14"/>
                <w:lang w:val="en-GB" w:eastAsia="en-GB"/>
              </w:rPr>
              <w:br/>
              <w:t>(1.00)</w:t>
            </w:r>
          </w:p>
        </w:tc>
        <w:tc>
          <w:tcPr>
            <w:tcW w:w="709" w:type="dxa"/>
            <w:tcBorders>
              <w:top w:val="nil"/>
              <w:left w:val="nil"/>
              <w:bottom w:val="nil"/>
              <w:right w:val="nil"/>
            </w:tcBorders>
            <w:shd w:val="clear" w:color="auto" w:fill="auto"/>
            <w:noWrap/>
            <w:vAlign w:val="center"/>
            <w:hideMark/>
          </w:tcPr>
          <w:p w14:paraId="0066A57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251" w:type="dxa"/>
            <w:tcBorders>
              <w:top w:val="nil"/>
              <w:left w:val="nil"/>
              <w:bottom w:val="nil"/>
              <w:right w:val="nil"/>
            </w:tcBorders>
            <w:shd w:val="clear" w:color="auto" w:fill="auto"/>
            <w:noWrap/>
            <w:vAlign w:val="center"/>
            <w:hideMark/>
          </w:tcPr>
          <w:p w14:paraId="7CE64002"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center"/>
            <w:hideMark/>
          </w:tcPr>
          <w:p w14:paraId="28328A03"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vAlign w:val="center"/>
            <w:hideMark/>
          </w:tcPr>
          <w:p w14:paraId="35E54B9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0.015</w:t>
            </w:r>
            <w:r w:rsidRPr="00E915AA">
              <w:rPr>
                <w:rFonts w:ascii="Times New Roman" w:eastAsia="Times New Roman" w:hAnsi="Times New Roman" w:cs="Times New Roman"/>
                <w:sz w:val="12"/>
                <w:szCs w:val="14"/>
                <w:lang w:val="en-GB" w:eastAsia="en-GB"/>
              </w:rPr>
              <w:br/>
              <w:t>(0.91)</w:t>
            </w:r>
          </w:p>
        </w:tc>
        <w:tc>
          <w:tcPr>
            <w:tcW w:w="708" w:type="dxa"/>
            <w:tcBorders>
              <w:top w:val="nil"/>
              <w:left w:val="nil"/>
              <w:bottom w:val="nil"/>
              <w:right w:val="nil"/>
            </w:tcBorders>
            <w:shd w:val="clear" w:color="auto" w:fill="auto"/>
            <w:noWrap/>
            <w:vAlign w:val="center"/>
            <w:hideMark/>
          </w:tcPr>
          <w:p w14:paraId="3890AF2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251" w:type="dxa"/>
            <w:tcBorders>
              <w:top w:val="nil"/>
              <w:left w:val="nil"/>
              <w:bottom w:val="nil"/>
              <w:right w:val="nil"/>
            </w:tcBorders>
            <w:shd w:val="clear" w:color="auto" w:fill="auto"/>
            <w:noWrap/>
            <w:vAlign w:val="center"/>
            <w:hideMark/>
          </w:tcPr>
          <w:p w14:paraId="219D1F5A"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center"/>
            <w:hideMark/>
          </w:tcPr>
          <w:p w14:paraId="23C8768B"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vAlign w:val="center"/>
            <w:hideMark/>
          </w:tcPr>
          <w:p w14:paraId="5C788AD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0.078*</w:t>
            </w:r>
            <w:r w:rsidRPr="00E915AA">
              <w:rPr>
                <w:rFonts w:ascii="Times New Roman" w:eastAsia="Times New Roman" w:hAnsi="Times New Roman" w:cs="Times New Roman"/>
                <w:sz w:val="12"/>
                <w:szCs w:val="14"/>
                <w:lang w:val="en-GB" w:eastAsia="en-GB"/>
              </w:rPr>
              <w:br/>
              <w:t>(1.69)</w:t>
            </w:r>
          </w:p>
        </w:tc>
        <w:tc>
          <w:tcPr>
            <w:tcW w:w="853" w:type="dxa"/>
            <w:gridSpan w:val="2"/>
            <w:tcBorders>
              <w:top w:val="nil"/>
              <w:left w:val="nil"/>
              <w:bottom w:val="nil"/>
              <w:right w:val="nil"/>
            </w:tcBorders>
            <w:shd w:val="clear" w:color="auto" w:fill="auto"/>
            <w:noWrap/>
            <w:vAlign w:val="center"/>
            <w:hideMark/>
          </w:tcPr>
          <w:p w14:paraId="1773138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r>
      <w:tr w:rsidR="002C6719" w:rsidRPr="00E915AA" w14:paraId="3635CF8F" w14:textId="77777777" w:rsidTr="0073176B">
        <w:trPr>
          <w:trHeight w:val="360"/>
        </w:trPr>
        <w:tc>
          <w:tcPr>
            <w:tcW w:w="1080" w:type="dxa"/>
            <w:tcBorders>
              <w:top w:val="nil"/>
              <w:left w:val="nil"/>
              <w:bottom w:val="nil"/>
              <w:right w:val="nil"/>
            </w:tcBorders>
            <w:shd w:val="clear" w:color="auto" w:fill="auto"/>
            <w:noWrap/>
            <w:vAlign w:val="center"/>
            <w:hideMark/>
          </w:tcPr>
          <w:p w14:paraId="4316E53A"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r w:rsidRPr="00E915AA">
              <w:rPr>
                <w:rFonts w:ascii="Times New Roman" w:eastAsia="Times New Roman" w:hAnsi="Times New Roman" w:cs="Times New Roman"/>
                <w:i/>
                <w:iCs/>
                <w:color w:val="000000"/>
                <w:sz w:val="12"/>
                <w:szCs w:val="14"/>
                <w:lang w:val="en-GB" w:eastAsia="en-GB"/>
              </w:rPr>
              <w:t>ADISEXP</w:t>
            </w:r>
          </w:p>
        </w:tc>
        <w:tc>
          <w:tcPr>
            <w:tcW w:w="267" w:type="dxa"/>
            <w:tcBorders>
              <w:top w:val="nil"/>
              <w:left w:val="nil"/>
              <w:bottom w:val="nil"/>
              <w:right w:val="nil"/>
            </w:tcBorders>
            <w:shd w:val="clear" w:color="auto" w:fill="auto"/>
            <w:noWrap/>
            <w:vAlign w:val="center"/>
            <w:hideMark/>
          </w:tcPr>
          <w:p w14:paraId="6064A787" w14:textId="77777777" w:rsidR="002C6719" w:rsidRPr="00E915AA" w:rsidRDefault="002C6719" w:rsidP="0073176B">
            <w:pPr>
              <w:spacing w:after="0" w:line="240" w:lineRule="auto"/>
              <w:jc w:val="center"/>
              <w:rPr>
                <w:rFonts w:ascii="Times New Roman" w:eastAsia="Times New Roman" w:hAnsi="Times New Roman" w:cs="Times New Roman"/>
                <w:i/>
                <w:iCs/>
                <w:color w:val="000000"/>
                <w:sz w:val="12"/>
                <w:szCs w:val="14"/>
                <w:lang w:val="en-GB" w:eastAsia="en-GB"/>
              </w:rPr>
            </w:pPr>
          </w:p>
        </w:tc>
        <w:tc>
          <w:tcPr>
            <w:tcW w:w="742" w:type="dxa"/>
            <w:tcBorders>
              <w:top w:val="nil"/>
              <w:left w:val="nil"/>
              <w:bottom w:val="nil"/>
              <w:right w:val="nil"/>
            </w:tcBorders>
            <w:shd w:val="clear" w:color="auto" w:fill="auto"/>
            <w:noWrap/>
            <w:vAlign w:val="center"/>
            <w:hideMark/>
          </w:tcPr>
          <w:p w14:paraId="107BCE7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center"/>
            <w:hideMark/>
          </w:tcPr>
          <w:p w14:paraId="78AD998D"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vAlign w:val="center"/>
            <w:hideMark/>
          </w:tcPr>
          <w:p w14:paraId="36E8B80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-0.014***</w:t>
            </w:r>
            <w:r w:rsidRPr="00E915AA">
              <w:rPr>
                <w:rFonts w:ascii="Times New Roman" w:eastAsia="Times New Roman" w:hAnsi="Times New Roman" w:cs="Times New Roman"/>
                <w:sz w:val="12"/>
                <w:szCs w:val="14"/>
                <w:lang w:val="en-GB" w:eastAsia="en-GB"/>
              </w:rPr>
              <w:br/>
              <w:t>(-5.34)</w:t>
            </w:r>
          </w:p>
        </w:tc>
        <w:tc>
          <w:tcPr>
            <w:tcW w:w="251" w:type="dxa"/>
            <w:tcBorders>
              <w:top w:val="nil"/>
              <w:left w:val="nil"/>
              <w:bottom w:val="nil"/>
              <w:right w:val="nil"/>
            </w:tcBorders>
            <w:shd w:val="clear" w:color="auto" w:fill="auto"/>
            <w:noWrap/>
            <w:vAlign w:val="center"/>
            <w:hideMark/>
          </w:tcPr>
          <w:p w14:paraId="18E7A28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noWrap/>
            <w:vAlign w:val="center"/>
            <w:hideMark/>
          </w:tcPr>
          <w:p w14:paraId="0953F12A"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center"/>
            <w:hideMark/>
          </w:tcPr>
          <w:p w14:paraId="745787FC"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8" w:type="dxa"/>
            <w:tcBorders>
              <w:top w:val="nil"/>
              <w:left w:val="nil"/>
              <w:bottom w:val="nil"/>
              <w:right w:val="nil"/>
            </w:tcBorders>
            <w:shd w:val="clear" w:color="auto" w:fill="auto"/>
            <w:vAlign w:val="center"/>
            <w:hideMark/>
          </w:tcPr>
          <w:p w14:paraId="5D08C36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-0.005</w:t>
            </w:r>
            <w:r w:rsidRPr="00E915AA">
              <w:rPr>
                <w:rFonts w:ascii="Times New Roman" w:eastAsia="Times New Roman" w:hAnsi="Times New Roman" w:cs="Times New Roman"/>
                <w:sz w:val="12"/>
                <w:szCs w:val="14"/>
                <w:lang w:val="en-GB" w:eastAsia="en-GB"/>
              </w:rPr>
              <w:br/>
              <w:t>(-0.81)</w:t>
            </w:r>
          </w:p>
        </w:tc>
        <w:tc>
          <w:tcPr>
            <w:tcW w:w="251" w:type="dxa"/>
            <w:tcBorders>
              <w:top w:val="nil"/>
              <w:left w:val="nil"/>
              <w:bottom w:val="nil"/>
              <w:right w:val="nil"/>
            </w:tcBorders>
            <w:shd w:val="clear" w:color="auto" w:fill="auto"/>
            <w:noWrap/>
            <w:vAlign w:val="center"/>
            <w:hideMark/>
          </w:tcPr>
          <w:p w14:paraId="343E60F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noWrap/>
            <w:vAlign w:val="center"/>
            <w:hideMark/>
          </w:tcPr>
          <w:p w14:paraId="581A2C22"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center"/>
            <w:hideMark/>
          </w:tcPr>
          <w:p w14:paraId="7F1BF6BB"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vAlign w:val="center"/>
            <w:hideMark/>
          </w:tcPr>
          <w:p w14:paraId="6ED550B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-0.012</w:t>
            </w:r>
            <w:r w:rsidRPr="00E915AA">
              <w:rPr>
                <w:rFonts w:ascii="Times New Roman" w:eastAsia="Times New Roman" w:hAnsi="Times New Roman" w:cs="Times New Roman"/>
                <w:sz w:val="12"/>
                <w:szCs w:val="14"/>
                <w:lang w:val="en-GB" w:eastAsia="en-GB"/>
              </w:rPr>
              <w:br/>
              <w:t>(-0.61)</w:t>
            </w:r>
          </w:p>
        </w:tc>
        <w:tc>
          <w:tcPr>
            <w:tcW w:w="251" w:type="dxa"/>
            <w:tcBorders>
              <w:top w:val="nil"/>
              <w:left w:val="nil"/>
              <w:bottom w:val="nil"/>
              <w:right w:val="nil"/>
            </w:tcBorders>
            <w:shd w:val="clear" w:color="auto" w:fill="auto"/>
            <w:noWrap/>
            <w:vAlign w:val="center"/>
            <w:hideMark/>
          </w:tcPr>
          <w:p w14:paraId="0886E5E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noWrap/>
            <w:vAlign w:val="center"/>
            <w:hideMark/>
          </w:tcPr>
          <w:p w14:paraId="3A2DE1C0"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center"/>
            <w:hideMark/>
          </w:tcPr>
          <w:p w14:paraId="0D3A43A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vAlign w:val="center"/>
            <w:hideMark/>
          </w:tcPr>
          <w:p w14:paraId="0F41A99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-0.013</w:t>
            </w:r>
            <w:r w:rsidRPr="00E915AA">
              <w:rPr>
                <w:rFonts w:ascii="Times New Roman" w:eastAsia="Times New Roman" w:hAnsi="Times New Roman" w:cs="Times New Roman"/>
                <w:sz w:val="12"/>
                <w:szCs w:val="14"/>
                <w:lang w:val="en-GB" w:eastAsia="en-GB"/>
              </w:rPr>
              <w:br/>
              <w:t>(-1.20)</w:t>
            </w:r>
          </w:p>
        </w:tc>
        <w:tc>
          <w:tcPr>
            <w:tcW w:w="251" w:type="dxa"/>
            <w:tcBorders>
              <w:top w:val="nil"/>
              <w:left w:val="nil"/>
              <w:bottom w:val="nil"/>
              <w:right w:val="nil"/>
            </w:tcBorders>
            <w:shd w:val="clear" w:color="auto" w:fill="auto"/>
            <w:noWrap/>
            <w:vAlign w:val="center"/>
            <w:hideMark/>
          </w:tcPr>
          <w:p w14:paraId="6513FCD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noWrap/>
            <w:vAlign w:val="center"/>
            <w:hideMark/>
          </w:tcPr>
          <w:p w14:paraId="4AD7AF07"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center"/>
            <w:hideMark/>
          </w:tcPr>
          <w:p w14:paraId="4F62811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53" w:type="dxa"/>
            <w:gridSpan w:val="2"/>
            <w:tcBorders>
              <w:top w:val="nil"/>
              <w:left w:val="nil"/>
              <w:bottom w:val="nil"/>
              <w:right w:val="nil"/>
            </w:tcBorders>
            <w:shd w:val="clear" w:color="auto" w:fill="auto"/>
            <w:vAlign w:val="center"/>
            <w:hideMark/>
          </w:tcPr>
          <w:p w14:paraId="10FF88F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-0.053</w:t>
            </w:r>
            <w:r w:rsidRPr="00E915AA">
              <w:rPr>
                <w:rFonts w:ascii="Times New Roman" w:eastAsia="Times New Roman" w:hAnsi="Times New Roman" w:cs="Times New Roman"/>
                <w:sz w:val="12"/>
                <w:szCs w:val="14"/>
                <w:lang w:val="en-GB" w:eastAsia="en-GB"/>
              </w:rPr>
              <w:br/>
              <w:t>(-1.52)</w:t>
            </w:r>
          </w:p>
        </w:tc>
      </w:tr>
      <w:tr w:rsidR="002C6719" w:rsidRPr="00E915AA" w14:paraId="2D0E89E3" w14:textId="77777777" w:rsidTr="0073176B">
        <w:trPr>
          <w:trHeight w:val="360"/>
        </w:trPr>
        <w:tc>
          <w:tcPr>
            <w:tcW w:w="1080" w:type="dxa"/>
            <w:tcBorders>
              <w:top w:val="nil"/>
              <w:left w:val="nil"/>
              <w:bottom w:val="nil"/>
              <w:right w:val="nil"/>
            </w:tcBorders>
            <w:shd w:val="clear" w:color="auto" w:fill="auto"/>
            <w:noWrap/>
            <w:vAlign w:val="center"/>
            <w:hideMark/>
          </w:tcPr>
          <w:p w14:paraId="49686F6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roofErr w:type="spellStart"/>
            <w:r w:rsidRPr="00E915AA">
              <w:rPr>
                <w:rFonts w:ascii="Times New Roman" w:eastAsia="Times New Roman" w:hAnsi="Times New Roman" w:cs="Times New Roman"/>
                <w:color w:val="000000"/>
                <w:sz w:val="12"/>
                <w:szCs w:val="14"/>
                <w:lang w:val="en-GB" w:eastAsia="en-GB"/>
              </w:rPr>
              <w:t>LnSize</w:t>
            </w:r>
            <w:proofErr w:type="spellEnd"/>
          </w:p>
        </w:tc>
        <w:tc>
          <w:tcPr>
            <w:tcW w:w="267" w:type="dxa"/>
            <w:tcBorders>
              <w:top w:val="nil"/>
              <w:left w:val="nil"/>
              <w:bottom w:val="nil"/>
              <w:right w:val="nil"/>
            </w:tcBorders>
            <w:shd w:val="clear" w:color="auto" w:fill="auto"/>
            <w:noWrap/>
            <w:vAlign w:val="center"/>
            <w:hideMark/>
          </w:tcPr>
          <w:p w14:paraId="46867CB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306B381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-0.023</w:t>
            </w:r>
            <w:r w:rsidRPr="00E915AA">
              <w:rPr>
                <w:rFonts w:ascii="Times New Roman" w:eastAsia="Times New Roman" w:hAnsi="Times New Roman" w:cs="Times New Roman"/>
                <w:sz w:val="12"/>
                <w:szCs w:val="14"/>
                <w:lang w:val="en-GB" w:eastAsia="en-GB"/>
              </w:rPr>
              <w:br/>
              <w:t>(-0.72)</w:t>
            </w:r>
          </w:p>
        </w:tc>
        <w:tc>
          <w:tcPr>
            <w:tcW w:w="709" w:type="dxa"/>
            <w:tcBorders>
              <w:top w:val="nil"/>
              <w:left w:val="nil"/>
              <w:bottom w:val="nil"/>
              <w:right w:val="nil"/>
            </w:tcBorders>
            <w:shd w:val="clear" w:color="auto" w:fill="auto"/>
            <w:vAlign w:val="center"/>
            <w:hideMark/>
          </w:tcPr>
          <w:p w14:paraId="1C53D2B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-0.026</w:t>
            </w:r>
            <w:r w:rsidRPr="00E915AA">
              <w:rPr>
                <w:rFonts w:ascii="Times New Roman" w:eastAsia="Times New Roman" w:hAnsi="Times New Roman" w:cs="Times New Roman"/>
                <w:sz w:val="12"/>
                <w:szCs w:val="14"/>
                <w:lang w:val="en-GB" w:eastAsia="en-GB"/>
              </w:rPr>
              <w:br/>
              <w:t>(-0.79)</w:t>
            </w:r>
          </w:p>
        </w:tc>
        <w:tc>
          <w:tcPr>
            <w:tcW w:w="708" w:type="dxa"/>
            <w:tcBorders>
              <w:top w:val="nil"/>
              <w:left w:val="nil"/>
              <w:bottom w:val="nil"/>
              <w:right w:val="nil"/>
            </w:tcBorders>
            <w:shd w:val="clear" w:color="auto" w:fill="auto"/>
            <w:vAlign w:val="center"/>
            <w:hideMark/>
          </w:tcPr>
          <w:p w14:paraId="56C7F38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-0.023</w:t>
            </w:r>
            <w:r w:rsidRPr="00E915AA">
              <w:rPr>
                <w:rFonts w:ascii="Times New Roman" w:eastAsia="Times New Roman" w:hAnsi="Times New Roman" w:cs="Times New Roman"/>
                <w:sz w:val="12"/>
                <w:szCs w:val="14"/>
                <w:lang w:val="en-GB" w:eastAsia="en-GB"/>
              </w:rPr>
              <w:br/>
              <w:t>(-0.81)</w:t>
            </w:r>
          </w:p>
        </w:tc>
        <w:tc>
          <w:tcPr>
            <w:tcW w:w="251" w:type="dxa"/>
            <w:tcBorders>
              <w:top w:val="nil"/>
              <w:left w:val="nil"/>
              <w:bottom w:val="nil"/>
              <w:right w:val="nil"/>
            </w:tcBorders>
            <w:shd w:val="clear" w:color="auto" w:fill="auto"/>
            <w:noWrap/>
            <w:vAlign w:val="center"/>
            <w:hideMark/>
          </w:tcPr>
          <w:p w14:paraId="4FD6403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696B0E7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-0.019</w:t>
            </w:r>
            <w:r w:rsidRPr="00E915AA">
              <w:rPr>
                <w:rFonts w:ascii="Times New Roman" w:eastAsia="Times New Roman" w:hAnsi="Times New Roman" w:cs="Times New Roman"/>
                <w:sz w:val="12"/>
                <w:szCs w:val="14"/>
                <w:lang w:val="en-GB" w:eastAsia="en-GB"/>
              </w:rPr>
              <w:br/>
              <w:t>(-0.45)</w:t>
            </w:r>
          </w:p>
        </w:tc>
        <w:tc>
          <w:tcPr>
            <w:tcW w:w="741" w:type="dxa"/>
            <w:tcBorders>
              <w:top w:val="nil"/>
              <w:left w:val="nil"/>
              <w:bottom w:val="nil"/>
              <w:right w:val="nil"/>
            </w:tcBorders>
            <w:shd w:val="clear" w:color="auto" w:fill="auto"/>
            <w:vAlign w:val="center"/>
            <w:hideMark/>
          </w:tcPr>
          <w:p w14:paraId="4B17E9A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-0.021</w:t>
            </w:r>
            <w:r w:rsidRPr="00E915AA">
              <w:rPr>
                <w:rFonts w:ascii="Times New Roman" w:eastAsia="Times New Roman" w:hAnsi="Times New Roman" w:cs="Times New Roman"/>
                <w:sz w:val="12"/>
                <w:szCs w:val="14"/>
                <w:lang w:val="en-GB" w:eastAsia="en-GB"/>
              </w:rPr>
              <w:br/>
              <w:t>(-0.48)</w:t>
            </w:r>
          </w:p>
        </w:tc>
        <w:tc>
          <w:tcPr>
            <w:tcW w:w="748" w:type="dxa"/>
            <w:tcBorders>
              <w:top w:val="nil"/>
              <w:left w:val="nil"/>
              <w:bottom w:val="nil"/>
              <w:right w:val="nil"/>
            </w:tcBorders>
            <w:shd w:val="clear" w:color="auto" w:fill="auto"/>
            <w:vAlign w:val="center"/>
            <w:hideMark/>
          </w:tcPr>
          <w:p w14:paraId="6F6BFC3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-0.019</w:t>
            </w:r>
            <w:r w:rsidRPr="00E915AA">
              <w:rPr>
                <w:rFonts w:ascii="Times New Roman" w:eastAsia="Times New Roman" w:hAnsi="Times New Roman" w:cs="Times New Roman"/>
                <w:sz w:val="12"/>
                <w:szCs w:val="14"/>
                <w:lang w:val="en-GB" w:eastAsia="en-GB"/>
              </w:rPr>
              <w:br/>
              <w:t>(-0.43)</w:t>
            </w:r>
          </w:p>
        </w:tc>
        <w:tc>
          <w:tcPr>
            <w:tcW w:w="251" w:type="dxa"/>
            <w:tcBorders>
              <w:top w:val="nil"/>
              <w:left w:val="nil"/>
              <w:bottom w:val="nil"/>
              <w:right w:val="nil"/>
            </w:tcBorders>
            <w:shd w:val="clear" w:color="auto" w:fill="auto"/>
            <w:noWrap/>
            <w:vAlign w:val="center"/>
            <w:hideMark/>
          </w:tcPr>
          <w:p w14:paraId="1CB6D10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2C7E8CE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0.015</w:t>
            </w:r>
            <w:r w:rsidRPr="00E915AA">
              <w:rPr>
                <w:rFonts w:ascii="Times New Roman" w:eastAsia="Times New Roman" w:hAnsi="Times New Roman" w:cs="Times New Roman"/>
                <w:sz w:val="12"/>
                <w:szCs w:val="14"/>
                <w:lang w:val="en-GB" w:eastAsia="en-GB"/>
              </w:rPr>
              <w:br/>
              <w:t>(0.63)</w:t>
            </w:r>
          </w:p>
        </w:tc>
        <w:tc>
          <w:tcPr>
            <w:tcW w:w="709" w:type="dxa"/>
            <w:tcBorders>
              <w:top w:val="nil"/>
              <w:left w:val="nil"/>
              <w:bottom w:val="nil"/>
              <w:right w:val="nil"/>
            </w:tcBorders>
            <w:shd w:val="clear" w:color="auto" w:fill="auto"/>
            <w:vAlign w:val="center"/>
            <w:hideMark/>
          </w:tcPr>
          <w:p w14:paraId="0DF0681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0.009</w:t>
            </w:r>
            <w:r w:rsidRPr="00E915AA">
              <w:rPr>
                <w:rFonts w:ascii="Times New Roman" w:eastAsia="Times New Roman" w:hAnsi="Times New Roman" w:cs="Times New Roman"/>
                <w:sz w:val="12"/>
                <w:szCs w:val="14"/>
                <w:lang w:val="en-GB" w:eastAsia="en-GB"/>
              </w:rPr>
              <w:br/>
              <w:t>(0.35)</w:t>
            </w:r>
          </w:p>
        </w:tc>
        <w:tc>
          <w:tcPr>
            <w:tcW w:w="709" w:type="dxa"/>
            <w:tcBorders>
              <w:top w:val="nil"/>
              <w:left w:val="nil"/>
              <w:bottom w:val="nil"/>
              <w:right w:val="nil"/>
            </w:tcBorders>
            <w:shd w:val="clear" w:color="auto" w:fill="auto"/>
            <w:vAlign w:val="center"/>
            <w:hideMark/>
          </w:tcPr>
          <w:p w14:paraId="5AD5081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0.005</w:t>
            </w:r>
            <w:r w:rsidRPr="00E915AA">
              <w:rPr>
                <w:rFonts w:ascii="Times New Roman" w:eastAsia="Times New Roman" w:hAnsi="Times New Roman" w:cs="Times New Roman"/>
                <w:sz w:val="12"/>
                <w:szCs w:val="14"/>
                <w:lang w:val="en-GB" w:eastAsia="en-GB"/>
              </w:rPr>
              <w:br/>
              <w:t>(0.13)</w:t>
            </w:r>
          </w:p>
        </w:tc>
        <w:tc>
          <w:tcPr>
            <w:tcW w:w="251" w:type="dxa"/>
            <w:tcBorders>
              <w:top w:val="nil"/>
              <w:left w:val="nil"/>
              <w:bottom w:val="nil"/>
              <w:right w:val="nil"/>
            </w:tcBorders>
            <w:shd w:val="clear" w:color="auto" w:fill="auto"/>
            <w:noWrap/>
            <w:vAlign w:val="center"/>
            <w:hideMark/>
          </w:tcPr>
          <w:p w14:paraId="39A4A29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7BFD555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0.065*</w:t>
            </w:r>
            <w:r w:rsidRPr="00E915AA">
              <w:rPr>
                <w:rFonts w:ascii="Times New Roman" w:eastAsia="Times New Roman" w:hAnsi="Times New Roman" w:cs="Times New Roman"/>
                <w:sz w:val="12"/>
                <w:szCs w:val="14"/>
                <w:lang w:val="en-GB" w:eastAsia="en-GB"/>
              </w:rPr>
              <w:br/>
              <w:t>(1.76)</w:t>
            </w:r>
          </w:p>
        </w:tc>
        <w:tc>
          <w:tcPr>
            <w:tcW w:w="709" w:type="dxa"/>
            <w:tcBorders>
              <w:top w:val="nil"/>
              <w:left w:val="nil"/>
              <w:bottom w:val="nil"/>
              <w:right w:val="nil"/>
            </w:tcBorders>
            <w:shd w:val="clear" w:color="auto" w:fill="auto"/>
            <w:vAlign w:val="center"/>
            <w:hideMark/>
          </w:tcPr>
          <w:p w14:paraId="40BFBB1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0.058</w:t>
            </w:r>
            <w:r w:rsidRPr="00E915AA">
              <w:rPr>
                <w:rFonts w:ascii="Times New Roman" w:eastAsia="Times New Roman" w:hAnsi="Times New Roman" w:cs="Times New Roman"/>
                <w:sz w:val="12"/>
                <w:szCs w:val="14"/>
                <w:lang w:val="en-GB" w:eastAsia="en-GB"/>
              </w:rPr>
              <w:br/>
              <w:t>(1.59)</w:t>
            </w:r>
          </w:p>
        </w:tc>
        <w:tc>
          <w:tcPr>
            <w:tcW w:w="708" w:type="dxa"/>
            <w:tcBorders>
              <w:top w:val="nil"/>
              <w:left w:val="nil"/>
              <w:bottom w:val="nil"/>
              <w:right w:val="nil"/>
            </w:tcBorders>
            <w:shd w:val="clear" w:color="auto" w:fill="auto"/>
            <w:vAlign w:val="center"/>
            <w:hideMark/>
          </w:tcPr>
          <w:p w14:paraId="1678CB6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0.027</w:t>
            </w:r>
            <w:r w:rsidRPr="00E915AA">
              <w:rPr>
                <w:rFonts w:ascii="Times New Roman" w:eastAsia="Times New Roman" w:hAnsi="Times New Roman" w:cs="Times New Roman"/>
                <w:sz w:val="12"/>
                <w:szCs w:val="14"/>
                <w:lang w:val="en-GB" w:eastAsia="en-GB"/>
              </w:rPr>
              <w:br/>
              <w:t>(0.56)</w:t>
            </w:r>
          </w:p>
        </w:tc>
        <w:tc>
          <w:tcPr>
            <w:tcW w:w="251" w:type="dxa"/>
            <w:tcBorders>
              <w:top w:val="nil"/>
              <w:left w:val="nil"/>
              <w:bottom w:val="nil"/>
              <w:right w:val="nil"/>
            </w:tcBorders>
            <w:shd w:val="clear" w:color="auto" w:fill="auto"/>
            <w:noWrap/>
            <w:vAlign w:val="center"/>
            <w:hideMark/>
          </w:tcPr>
          <w:p w14:paraId="331FFFC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6DA4CC4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0.082</w:t>
            </w:r>
            <w:r w:rsidRPr="00E915AA">
              <w:rPr>
                <w:rFonts w:ascii="Times New Roman" w:eastAsia="Times New Roman" w:hAnsi="Times New Roman" w:cs="Times New Roman"/>
                <w:sz w:val="12"/>
                <w:szCs w:val="14"/>
                <w:lang w:val="en-GB" w:eastAsia="en-GB"/>
              </w:rPr>
              <w:br/>
              <w:t>(1.58)</w:t>
            </w:r>
          </w:p>
        </w:tc>
        <w:tc>
          <w:tcPr>
            <w:tcW w:w="708" w:type="dxa"/>
            <w:tcBorders>
              <w:top w:val="nil"/>
              <w:left w:val="nil"/>
              <w:bottom w:val="nil"/>
              <w:right w:val="nil"/>
            </w:tcBorders>
            <w:shd w:val="clear" w:color="auto" w:fill="auto"/>
            <w:vAlign w:val="center"/>
            <w:hideMark/>
          </w:tcPr>
          <w:p w14:paraId="663D050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0.067</w:t>
            </w:r>
            <w:r w:rsidRPr="00E915AA">
              <w:rPr>
                <w:rFonts w:ascii="Times New Roman" w:eastAsia="Times New Roman" w:hAnsi="Times New Roman" w:cs="Times New Roman"/>
                <w:sz w:val="12"/>
                <w:szCs w:val="14"/>
                <w:lang w:val="en-GB" w:eastAsia="en-GB"/>
              </w:rPr>
              <w:br/>
              <w:t>(1.21)</w:t>
            </w:r>
          </w:p>
        </w:tc>
        <w:tc>
          <w:tcPr>
            <w:tcW w:w="853" w:type="dxa"/>
            <w:gridSpan w:val="2"/>
            <w:tcBorders>
              <w:top w:val="nil"/>
              <w:left w:val="nil"/>
              <w:bottom w:val="nil"/>
              <w:right w:val="nil"/>
            </w:tcBorders>
            <w:shd w:val="clear" w:color="auto" w:fill="auto"/>
            <w:vAlign w:val="center"/>
            <w:hideMark/>
          </w:tcPr>
          <w:p w14:paraId="4DF78DF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0.055</w:t>
            </w:r>
            <w:r w:rsidRPr="00E915AA">
              <w:rPr>
                <w:rFonts w:ascii="Times New Roman" w:eastAsia="Times New Roman" w:hAnsi="Times New Roman" w:cs="Times New Roman"/>
                <w:sz w:val="12"/>
                <w:szCs w:val="14"/>
                <w:lang w:val="en-GB" w:eastAsia="en-GB"/>
              </w:rPr>
              <w:br/>
              <w:t>(0.92)</w:t>
            </w:r>
          </w:p>
        </w:tc>
      </w:tr>
      <w:tr w:rsidR="002C6719" w:rsidRPr="00E915AA" w14:paraId="006D3988" w14:textId="77777777" w:rsidTr="0073176B">
        <w:trPr>
          <w:trHeight w:val="360"/>
        </w:trPr>
        <w:tc>
          <w:tcPr>
            <w:tcW w:w="1080" w:type="dxa"/>
            <w:tcBorders>
              <w:top w:val="nil"/>
              <w:left w:val="nil"/>
              <w:bottom w:val="nil"/>
              <w:right w:val="nil"/>
            </w:tcBorders>
            <w:shd w:val="clear" w:color="auto" w:fill="auto"/>
            <w:noWrap/>
            <w:vAlign w:val="center"/>
            <w:hideMark/>
          </w:tcPr>
          <w:p w14:paraId="21CC89A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Leverage</w:t>
            </w:r>
          </w:p>
        </w:tc>
        <w:tc>
          <w:tcPr>
            <w:tcW w:w="267" w:type="dxa"/>
            <w:tcBorders>
              <w:top w:val="nil"/>
              <w:left w:val="nil"/>
              <w:bottom w:val="nil"/>
              <w:right w:val="nil"/>
            </w:tcBorders>
            <w:shd w:val="clear" w:color="auto" w:fill="auto"/>
            <w:noWrap/>
            <w:vAlign w:val="center"/>
            <w:hideMark/>
          </w:tcPr>
          <w:p w14:paraId="3ECAA53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7F31E48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(-0.01)</w:t>
            </w:r>
          </w:p>
        </w:tc>
        <w:tc>
          <w:tcPr>
            <w:tcW w:w="709" w:type="dxa"/>
            <w:tcBorders>
              <w:top w:val="nil"/>
              <w:left w:val="nil"/>
              <w:bottom w:val="nil"/>
              <w:right w:val="nil"/>
            </w:tcBorders>
            <w:shd w:val="clear" w:color="auto" w:fill="auto"/>
            <w:vAlign w:val="center"/>
            <w:hideMark/>
          </w:tcPr>
          <w:p w14:paraId="381836C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(0.06)</w:t>
            </w:r>
          </w:p>
        </w:tc>
        <w:tc>
          <w:tcPr>
            <w:tcW w:w="708" w:type="dxa"/>
            <w:tcBorders>
              <w:top w:val="nil"/>
              <w:left w:val="nil"/>
              <w:bottom w:val="nil"/>
              <w:right w:val="nil"/>
            </w:tcBorders>
            <w:shd w:val="clear" w:color="auto" w:fill="auto"/>
            <w:vAlign w:val="center"/>
            <w:hideMark/>
          </w:tcPr>
          <w:p w14:paraId="13FA4B5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-0.002</w:t>
            </w:r>
            <w:r w:rsidRPr="00E915AA">
              <w:rPr>
                <w:rFonts w:ascii="Times New Roman" w:eastAsia="Times New Roman" w:hAnsi="Times New Roman" w:cs="Times New Roman"/>
                <w:sz w:val="12"/>
                <w:szCs w:val="14"/>
                <w:lang w:val="en-GB" w:eastAsia="en-GB"/>
              </w:rPr>
              <w:br/>
              <w:t>(-0.95)</w:t>
            </w:r>
          </w:p>
        </w:tc>
        <w:tc>
          <w:tcPr>
            <w:tcW w:w="251" w:type="dxa"/>
            <w:tcBorders>
              <w:top w:val="nil"/>
              <w:left w:val="nil"/>
              <w:bottom w:val="nil"/>
              <w:right w:val="nil"/>
            </w:tcBorders>
            <w:shd w:val="clear" w:color="auto" w:fill="auto"/>
            <w:noWrap/>
            <w:vAlign w:val="center"/>
            <w:hideMark/>
          </w:tcPr>
          <w:p w14:paraId="0428C9F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2BD879D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(1.14)</w:t>
            </w:r>
          </w:p>
        </w:tc>
        <w:tc>
          <w:tcPr>
            <w:tcW w:w="741" w:type="dxa"/>
            <w:tcBorders>
              <w:top w:val="nil"/>
              <w:left w:val="nil"/>
              <w:bottom w:val="nil"/>
              <w:right w:val="nil"/>
            </w:tcBorders>
            <w:shd w:val="clear" w:color="auto" w:fill="auto"/>
            <w:vAlign w:val="center"/>
            <w:hideMark/>
          </w:tcPr>
          <w:p w14:paraId="2AC6418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(1.07)</w:t>
            </w:r>
          </w:p>
        </w:tc>
        <w:tc>
          <w:tcPr>
            <w:tcW w:w="748" w:type="dxa"/>
            <w:tcBorders>
              <w:top w:val="nil"/>
              <w:left w:val="nil"/>
              <w:bottom w:val="nil"/>
              <w:right w:val="nil"/>
            </w:tcBorders>
            <w:shd w:val="clear" w:color="auto" w:fill="auto"/>
            <w:vAlign w:val="center"/>
            <w:hideMark/>
          </w:tcPr>
          <w:p w14:paraId="12CBF85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(0.79)</w:t>
            </w:r>
          </w:p>
        </w:tc>
        <w:tc>
          <w:tcPr>
            <w:tcW w:w="251" w:type="dxa"/>
            <w:tcBorders>
              <w:top w:val="nil"/>
              <w:left w:val="nil"/>
              <w:bottom w:val="nil"/>
              <w:right w:val="nil"/>
            </w:tcBorders>
            <w:shd w:val="clear" w:color="auto" w:fill="auto"/>
            <w:noWrap/>
            <w:vAlign w:val="center"/>
            <w:hideMark/>
          </w:tcPr>
          <w:p w14:paraId="3603BCF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4875E80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(0.17)</w:t>
            </w:r>
          </w:p>
        </w:tc>
        <w:tc>
          <w:tcPr>
            <w:tcW w:w="709" w:type="dxa"/>
            <w:tcBorders>
              <w:top w:val="nil"/>
              <w:left w:val="nil"/>
              <w:bottom w:val="nil"/>
              <w:right w:val="nil"/>
            </w:tcBorders>
            <w:shd w:val="clear" w:color="auto" w:fill="auto"/>
            <w:vAlign w:val="center"/>
            <w:hideMark/>
          </w:tcPr>
          <w:p w14:paraId="6E538EF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(0.43)</w:t>
            </w:r>
          </w:p>
        </w:tc>
        <w:tc>
          <w:tcPr>
            <w:tcW w:w="709" w:type="dxa"/>
            <w:tcBorders>
              <w:top w:val="nil"/>
              <w:left w:val="nil"/>
              <w:bottom w:val="nil"/>
              <w:right w:val="nil"/>
            </w:tcBorders>
            <w:shd w:val="clear" w:color="auto" w:fill="auto"/>
            <w:vAlign w:val="center"/>
            <w:hideMark/>
          </w:tcPr>
          <w:p w14:paraId="16A0709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(0.17)</w:t>
            </w:r>
          </w:p>
        </w:tc>
        <w:tc>
          <w:tcPr>
            <w:tcW w:w="251" w:type="dxa"/>
            <w:tcBorders>
              <w:top w:val="nil"/>
              <w:left w:val="nil"/>
              <w:bottom w:val="nil"/>
              <w:right w:val="nil"/>
            </w:tcBorders>
            <w:shd w:val="clear" w:color="auto" w:fill="auto"/>
            <w:noWrap/>
            <w:vAlign w:val="center"/>
            <w:hideMark/>
          </w:tcPr>
          <w:p w14:paraId="240B7EF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681268C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-0.002</w:t>
            </w:r>
            <w:r w:rsidRPr="00E915AA">
              <w:rPr>
                <w:rFonts w:ascii="Times New Roman" w:eastAsia="Times New Roman" w:hAnsi="Times New Roman" w:cs="Times New Roman"/>
                <w:sz w:val="12"/>
                <w:szCs w:val="14"/>
                <w:lang w:val="en-GB" w:eastAsia="en-GB"/>
              </w:rPr>
              <w:br/>
              <w:t>(-0.39)</w:t>
            </w:r>
          </w:p>
        </w:tc>
        <w:tc>
          <w:tcPr>
            <w:tcW w:w="709" w:type="dxa"/>
            <w:tcBorders>
              <w:top w:val="nil"/>
              <w:left w:val="nil"/>
              <w:bottom w:val="nil"/>
              <w:right w:val="nil"/>
            </w:tcBorders>
            <w:shd w:val="clear" w:color="auto" w:fill="auto"/>
            <w:vAlign w:val="center"/>
            <w:hideMark/>
          </w:tcPr>
          <w:p w14:paraId="25496F3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(-0.16)</w:t>
            </w:r>
          </w:p>
        </w:tc>
        <w:tc>
          <w:tcPr>
            <w:tcW w:w="708" w:type="dxa"/>
            <w:tcBorders>
              <w:top w:val="nil"/>
              <w:left w:val="nil"/>
              <w:bottom w:val="nil"/>
              <w:right w:val="nil"/>
            </w:tcBorders>
            <w:shd w:val="clear" w:color="auto" w:fill="auto"/>
            <w:vAlign w:val="center"/>
            <w:hideMark/>
          </w:tcPr>
          <w:p w14:paraId="0D3D105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(0.24)</w:t>
            </w:r>
          </w:p>
        </w:tc>
        <w:tc>
          <w:tcPr>
            <w:tcW w:w="251" w:type="dxa"/>
            <w:tcBorders>
              <w:top w:val="nil"/>
              <w:left w:val="nil"/>
              <w:bottom w:val="nil"/>
              <w:right w:val="nil"/>
            </w:tcBorders>
            <w:shd w:val="clear" w:color="auto" w:fill="auto"/>
            <w:noWrap/>
            <w:vAlign w:val="center"/>
            <w:hideMark/>
          </w:tcPr>
          <w:p w14:paraId="7AA88E4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2F672E3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(-0.35)</w:t>
            </w:r>
          </w:p>
        </w:tc>
        <w:tc>
          <w:tcPr>
            <w:tcW w:w="708" w:type="dxa"/>
            <w:tcBorders>
              <w:top w:val="nil"/>
              <w:left w:val="nil"/>
              <w:bottom w:val="nil"/>
              <w:right w:val="nil"/>
            </w:tcBorders>
            <w:shd w:val="clear" w:color="auto" w:fill="auto"/>
            <w:vAlign w:val="center"/>
            <w:hideMark/>
          </w:tcPr>
          <w:p w14:paraId="246571C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(-0.21)</w:t>
            </w:r>
          </w:p>
        </w:tc>
        <w:tc>
          <w:tcPr>
            <w:tcW w:w="853" w:type="dxa"/>
            <w:gridSpan w:val="2"/>
            <w:tcBorders>
              <w:top w:val="nil"/>
              <w:left w:val="nil"/>
              <w:bottom w:val="nil"/>
              <w:right w:val="nil"/>
            </w:tcBorders>
            <w:shd w:val="clear" w:color="auto" w:fill="auto"/>
            <w:vAlign w:val="center"/>
            <w:hideMark/>
          </w:tcPr>
          <w:p w14:paraId="62CA27F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(-0.26)</w:t>
            </w:r>
          </w:p>
        </w:tc>
      </w:tr>
      <w:tr w:rsidR="002C6719" w:rsidRPr="00E915AA" w14:paraId="463D7CCF" w14:textId="77777777" w:rsidTr="0073176B">
        <w:trPr>
          <w:trHeight w:val="360"/>
        </w:trPr>
        <w:tc>
          <w:tcPr>
            <w:tcW w:w="1080" w:type="dxa"/>
            <w:tcBorders>
              <w:top w:val="nil"/>
              <w:left w:val="nil"/>
              <w:bottom w:val="nil"/>
              <w:right w:val="nil"/>
            </w:tcBorders>
            <w:shd w:val="clear" w:color="auto" w:fill="auto"/>
            <w:noWrap/>
            <w:vAlign w:val="center"/>
            <w:hideMark/>
          </w:tcPr>
          <w:p w14:paraId="7944CC5A"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Firm age</w:t>
            </w:r>
          </w:p>
        </w:tc>
        <w:tc>
          <w:tcPr>
            <w:tcW w:w="267" w:type="dxa"/>
            <w:tcBorders>
              <w:top w:val="nil"/>
              <w:left w:val="nil"/>
              <w:bottom w:val="nil"/>
              <w:right w:val="nil"/>
            </w:tcBorders>
            <w:shd w:val="clear" w:color="auto" w:fill="auto"/>
            <w:noWrap/>
            <w:vAlign w:val="center"/>
            <w:hideMark/>
          </w:tcPr>
          <w:p w14:paraId="5F609081"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16949B5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0.026***</w:t>
            </w:r>
            <w:r w:rsidRPr="00E915AA">
              <w:rPr>
                <w:rFonts w:ascii="Times New Roman" w:eastAsia="Times New Roman" w:hAnsi="Times New Roman" w:cs="Times New Roman"/>
                <w:sz w:val="12"/>
                <w:szCs w:val="14"/>
                <w:lang w:val="en-GB" w:eastAsia="en-GB"/>
              </w:rPr>
              <w:br/>
              <w:t>(3.46)</w:t>
            </w:r>
          </w:p>
        </w:tc>
        <w:tc>
          <w:tcPr>
            <w:tcW w:w="709" w:type="dxa"/>
            <w:tcBorders>
              <w:top w:val="nil"/>
              <w:left w:val="nil"/>
              <w:bottom w:val="nil"/>
              <w:right w:val="nil"/>
            </w:tcBorders>
            <w:shd w:val="clear" w:color="auto" w:fill="auto"/>
            <w:vAlign w:val="center"/>
            <w:hideMark/>
          </w:tcPr>
          <w:p w14:paraId="5E179FA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0.026***</w:t>
            </w:r>
            <w:r w:rsidRPr="00E915AA">
              <w:rPr>
                <w:rFonts w:ascii="Times New Roman" w:eastAsia="Times New Roman" w:hAnsi="Times New Roman" w:cs="Times New Roman"/>
                <w:sz w:val="12"/>
                <w:szCs w:val="14"/>
                <w:lang w:val="en-GB" w:eastAsia="en-GB"/>
              </w:rPr>
              <w:br/>
              <w:t>(3.40)</w:t>
            </w:r>
          </w:p>
        </w:tc>
        <w:tc>
          <w:tcPr>
            <w:tcW w:w="708" w:type="dxa"/>
            <w:tcBorders>
              <w:top w:val="nil"/>
              <w:left w:val="nil"/>
              <w:bottom w:val="nil"/>
              <w:right w:val="nil"/>
            </w:tcBorders>
            <w:shd w:val="clear" w:color="auto" w:fill="auto"/>
            <w:vAlign w:val="center"/>
            <w:hideMark/>
          </w:tcPr>
          <w:p w14:paraId="4B54EE6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0.026***</w:t>
            </w:r>
            <w:r w:rsidRPr="00E915AA">
              <w:rPr>
                <w:rFonts w:ascii="Times New Roman" w:eastAsia="Times New Roman" w:hAnsi="Times New Roman" w:cs="Times New Roman"/>
                <w:sz w:val="12"/>
                <w:szCs w:val="14"/>
                <w:lang w:val="en-GB" w:eastAsia="en-GB"/>
              </w:rPr>
              <w:br/>
              <w:t>(3.19)</w:t>
            </w:r>
          </w:p>
        </w:tc>
        <w:tc>
          <w:tcPr>
            <w:tcW w:w="251" w:type="dxa"/>
            <w:tcBorders>
              <w:top w:val="nil"/>
              <w:left w:val="nil"/>
              <w:bottom w:val="nil"/>
              <w:right w:val="nil"/>
            </w:tcBorders>
            <w:shd w:val="clear" w:color="auto" w:fill="auto"/>
            <w:noWrap/>
            <w:vAlign w:val="center"/>
            <w:hideMark/>
          </w:tcPr>
          <w:p w14:paraId="144C029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430B8A9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0.014**</w:t>
            </w:r>
            <w:r w:rsidRPr="00E915AA">
              <w:rPr>
                <w:rFonts w:ascii="Times New Roman" w:eastAsia="Times New Roman" w:hAnsi="Times New Roman" w:cs="Times New Roman"/>
                <w:sz w:val="12"/>
                <w:szCs w:val="14"/>
                <w:lang w:val="en-GB" w:eastAsia="en-GB"/>
              </w:rPr>
              <w:br/>
              <w:t>(2.25)</w:t>
            </w:r>
          </w:p>
        </w:tc>
        <w:tc>
          <w:tcPr>
            <w:tcW w:w="741" w:type="dxa"/>
            <w:tcBorders>
              <w:top w:val="nil"/>
              <w:left w:val="nil"/>
              <w:bottom w:val="nil"/>
              <w:right w:val="nil"/>
            </w:tcBorders>
            <w:shd w:val="clear" w:color="auto" w:fill="auto"/>
            <w:vAlign w:val="center"/>
            <w:hideMark/>
          </w:tcPr>
          <w:p w14:paraId="2CD147E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0.015**</w:t>
            </w:r>
            <w:r w:rsidRPr="00E915AA">
              <w:rPr>
                <w:rFonts w:ascii="Times New Roman" w:eastAsia="Times New Roman" w:hAnsi="Times New Roman" w:cs="Times New Roman"/>
                <w:sz w:val="12"/>
                <w:szCs w:val="14"/>
                <w:lang w:val="en-GB" w:eastAsia="en-GB"/>
              </w:rPr>
              <w:br/>
              <w:t>(2.43)</w:t>
            </w:r>
          </w:p>
        </w:tc>
        <w:tc>
          <w:tcPr>
            <w:tcW w:w="748" w:type="dxa"/>
            <w:tcBorders>
              <w:top w:val="nil"/>
              <w:left w:val="nil"/>
              <w:bottom w:val="nil"/>
              <w:right w:val="nil"/>
            </w:tcBorders>
            <w:shd w:val="clear" w:color="auto" w:fill="auto"/>
            <w:vAlign w:val="center"/>
            <w:hideMark/>
          </w:tcPr>
          <w:p w14:paraId="73C062D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0.015**</w:t>
            </w:r>
            <w:r w:rsidRPr="00E915AA">
              <w:rPr>
                <w:rFonts w:ascii="Times New Roman" w:eastAsia="Times New Roman" w:hAnsi="Times New Roman" w:cs="Times New Roman"/>
                <w:sz w:val="12"/>
                <w:szCs w:val="14"/>
                <w:lang w:val="en-GB" w:eastAsia="en-GB"/>
              </w:rPr>
              <w:br/>
              <w:t>(2.39)</w:t>
            </w:r>
          </w:p>
        </w:tc>
        <w:tc>
          <w:tcPr>
            <w:tcW w:w="251" w:type="dxa"/>
            <w:tcBorders>
              <w:top w:val="nil"/>
              <w:left w:val="nil"/>
              <w:bottom w:val="nil"/>
              <w:right w:val="nil"/>
            </w:tcBorders>
            <w:shd w:val="clear" w:color="auto" w:fill="auto"/>
            <w:noWrap/>
            <w:vAlign w:val="center"/>
            <w:hideMark/>
          </w:tcPr>
          <w:p w14:paraId="369C26C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1F893A8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0.005</w:t>
            </w:r>
            <w:r w:rsidRPr="00E915AA">
              <w:rPr>
                <w:rFonts w:ascii="Times New Roman" w:eastAsia="Times New Roman" w:hAnsi="Times New Roman" w:cs="Times New Roman"/>
                <w:sz w:val="12"/>
                <w:szCs w:val="14"/>
                <w:lang w:val="en-GB" w:eastAsia="en-GB"/>
              </w:rPr>
              <w:br/>
              <w:t>(1.54)</w:t>
            </w:r>
          </w:p>
        </w:tc>
        <w:tc>
          <w:tcPr>
            <w:tcW w:w="709" w:type="dxa"/>
            <w:tcBorders>
              <w:top w:val="nil"/>
              <w:left w:val="nil"/>
              <w:bottom w:val="nil"/>
              <w:right w:val="nil"/>
            </w:tcBorders>
            <w:shd w:val="clear" w:color="auto" w:fill="auto"/>
            <w:vAlign w:val="center"/>
            <w:hideMark/>
          </w:tcPr>
          <w:p w14:paraId="6E97EFE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0.005</w:t>
            </w:r>
            <w:r w:rsidRPr="00E915AA">
              <w:rPr>
                <w:rFonts w:ascii="Times New Roman" w:eastAsia="Times New Roman" w:hAnsi="Times New Roman" w:cs="Times New Roman"/>
                <w:sz w:val="12"/>
                <w:szCs w:val="14"/>
                <w:lang w:val="en-GB" w:eastAsia="en-GB"/>
              </w:rPr>
              <w:br/>
              <w:t>(1.45)</w:t>
            </w:r>
          </w:p>
        </w:tc>
        <w:tc>
          <w:tcPr>
            <w:tcW w:w="709" w:type="dxa"/>
            <w:tcBorders>
              <w:top w:val="nil"/>
              <w:left w:val="nil"/>
              <w:bottom w:val="nil"/>
              <w:right w:val="nil"/>
            </w:tcBorders>
            <w:shd w:val="clear" w:color="auto" w:fill="auto"/>
            <w:vAlign w:val="center"/>
            <w:hideMark/>
          </w:tcPr>
          <w:p w14:paraId="55DBC2C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0.005</w:t>
            </w:r>
            <w:r w:rsidRPr="00E915AA">
              <w:rPr>
                <w:rFonts w:ascii="Times New Roman" w:eastAsia="Times New Roman" w:hAnsi="Times New Roman" w:cs="Times New Roman"/>
                <w:sz w:val="12"/>
                <w:szCs w:val="14"/>
                <w:lang w:val="en-GB" w:eastAsia="en-GB"/>
              </w:rPr>
              <w:br/>
              <w:t>(1.37)</w:t>
            </w:r>
          </w:p>
        </w:tc>
        <w:tc>
          <w:tcPr>
            <w:tcW w:w="251" w:type="dxa"/>
            <w:tcBorders>
              <w:top w:val="nil"/>
              <w:left w:val="nil"/>
              <w:bottom w:val="nil"/>
              <w:right w:val="nil"/>
            </w:tcBorders>
            <w:shd w:val="clear" w:color="auto" w:fill="auto"/>
            <w:noWrap/>
            <w:vAlign w:val="center"/>
            <w:hideMark/>
          </w:tcPr>
          <w:p w14:paraId="6ACCB70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4A96FDE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0.011</w:t>
            </w:r>
            <w:r w:rsidRPr="00E915AA">
              <w:rPr>
                <w:rFonts w:ascii="Times New Roman" w:eastAsia="Times New Roman" w:hAnsi="Times New Roman" w:cs="Times New Roman"/>
                <w:sz w:val="12"/>
                <w:szCs w:val="14"/>
                <w:lang w:val="en-GB" w:eastAsia="en-GB"/>
              </w:rPr>
              <w:br/>
              <w:t>(1.39)</w:t>
            </w:r>
          </w:p>
        </w:tc>
        <w:tc>
          <w:tcPr>
            <w:tcW w:w="709" w:type="dxa"/>
            <w:tcBorders>
              <w:top w:val="nil"/>
              <w:left w:val="nil"/>
              <w:bottom w:val="nil"/>
              <w:right w:val="nil"/>
            </w:tcBorders>
            <w:shd w:val="clear" w:color="auto" w:fill="auto"/>
            <w:vAlign w:val="center"/>
            <w:hideMark/>
          </w:tcPr>
          <w:p w14:paraId="1D97901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0.011</w:t>
            </w:r>
            <w:r w:rsidRPr="00E915AA">
              <w:rPr>
                <w:rFonts w:ascii="Times New Roman" w:eastAsia="Times New Roman" w:hAnsi="Times New Roman" w:cs="Times New Roman"/>
                <w:sz w:val="12"/>
                <w:szCs w:val="14"/>
                <w:lang w:val="en-GB" w:eastAsia="en-GB"/>
              </w:rPr>
              <w:br/>
              <w:t>(1.50)</w:t>
            </w:r>
          </w:p>
        </w:tc>
        <w:tc>
          <w:tcPr>
            <w:tcW w:w="708" w:type="dxa"/>
            <w:tcBorders>
              <w:top w:val="nil"/>
              <w:left w:val="nil"/>
              <w:bottom w:val="nil"/>
              <w:right w:val="nil"/>
            </w:tcBorders>
            <w:shd w:val="clear" w:color="auto" w:fill="auto"/>
            <w:vAlign w:val="center"/>
            <w:hideMark/>
          </w:tcPr>
          <w:p w14:paraId="5A80726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0.012</w:t>
            </w:r>
            <w:r w:rsidRPr="00E915AA">
              <w:rPr>
                <w:rFonts w:ascii="Times New Roman" w:eastAsia="Times New Roman" w:hAnsi="Times New Roman" w:cs="Times New Roman"/>
                <w:sz w:val="12"/>
                <w:szCs w:val="14"/>
                <w:lang w:val="en-GB" w:eastAsia="en-GB"/>
              </w:rPr>
              <w:br/>
              <w:t>(1.64)</w:t>
            </w:r>
          </w:p>
        </w:tc>
        <w:tc>
          <w:tcPr>
            <w:tcW w:w="251" w:type="dxa"/>
            <w:tcBorders>
              <w:top w:val="nil"/>
              <w:left w:val="nil"/>
              <w:bottom w:val="nil"/>
              <w:right w:val="nil"/>
            </w:tcBorders>
            <w:shd w:val="clear" w:color="auto" w:fill="auto"/>
            <w:noWrap/>
            <w:vAlign w:val="center"/>
            <w:hideMark/>
          </w:tcPr>
          <w:p w14:paraId="0CB22A1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2A05AF8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0.007</w:t>
            </w:r>
            <w:r w:rsidRPr="00E915AA">
              <w:rPr>
                <w:rFonts w:ascii="Times New Roman" w:eastAsia="Times New Roman" w:hAnsi="Times New Roman" w:cs="Times New Roman"/>
                <w:sz w:val="12"/>
                <w:szCs w:val="14"/>
                <w:lang w:val="en-GB" w:eastAsia="en-GB"/>
              </w:rPr>
              <w:br/>
              <w:t>(1.25)</w:t>
            </w:r>
          </w:p>
        </w:tc>
        <w:tc>
          <w:tcPr>
            <w:tcW w:w="708" w:type="dxa"/>
            <w:tcBorders>
              <w:top w:val="nil"/>
              <w:left w:val="nil"/>
              <w:bottom w:val="nil"/>
              <w:right w:val="nil"/>
            </w:tcBorders>
            <w:shd w:val="clear" w:color="auto" w:fill="auto"/>
            <w:vAlign w:val="center"/>
            <w:hideMark/>
          </w:tcPr>
          <w:p w14:paraId="372C0C4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0.008</w:t>
            </w:r>
            <w:r w:rsidRPr="00E915AA">
              <w:rPr>
                <w:rFonts w:ascii="Times New Roman" w:eastAsia="Times New Roman" w:hAnsi="Times New Roman" w:cs="Times New Roman"/>
                <w:sz w:val="12"/>
                <w:szCs w:val="14"/>
                <w:lang w:val="en-GB" w:eastAsia="en-GB"/>
              </w:rPr>
              <w:br/>
              <w:t>(1.38)</w:t>
            </w:r>
          </w:p>
        </w:tc>
        <w:tc>
          <w:tcPr>
            <w:tcW w:w="853" w:type="dxa"/>
            <w:gridSpan w:val="2"/>
            <w:tcBorders>
              <w:top w:val="nil"/>
              <w:left w:val="nil"/>
              <w:bottom w:val="nil"/>
              <w:right w:val="nil"/>
            </w:tcBorders>
            <w:shd w:val="clear" w:color="auto" w:fill="auto"/>
            <w:vAlign w:val="center"/>
            <w:hideMark/>
          </w:tcPr>
          <w:p w14:paraId="2FE02D7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0.007</w:t>
            </w:r>
            <w:r w:rsidRPr="00E915AA">
              <w:rPr>
                <w:rFonts w:ascii="Times New Roman" w:eastAsia="Times New Roman" w:hAnsi="Times New Roman" w:cs="Times New Roman"/>
                <w:sz w:val="12"/>
                <w:szCs w:val="14"/>
                <w:lang w:val="en-GB" w:eastAsia="en-GB"/>
              </w:rPr>
              <w:br/>
              <w:t>(1.19)</w:t>
            </w:r>
          </w:p>
        </w:tc>
      </w:tr>
      <w:tr w:rsidR="002C6719" w:rsidRPr="00E915AA" w14:paraId="5412FABB" w14:textId="77777777" w:rsidTr="0073176B">
        <w:trPr>
          <w:trHeight w:val="360"/>
        </w:trPr>
        <w:tc>
          <w:tcPr>
            <w:tcW w:w="1080" w:type="dxa"/>
            <w:tcBorders>
              <w:top w:val="nil"/>
              <w:left w:val="nil"/>
              <w:bottom w:val="nil"/>
              <w:right w:val="nil"/>
            </w:tcBorders>
            <w:shd w:val="clear" w:color="auto" w:fill="auto"/>
            <w:noWrap/>
            <w:vAlign w:val="center"/>
            <w:hideMark/>
          </w:tcPr>
          <w:p w14:paraId="3FE9E2B9"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Segments</w:t>
            </w:r>
          </w:p>
        </w:tc>
        <w:tc>
          <w:tcPr>
            <w:tcW w:w="267" w:type="dxa"/>
            <w:tcBorders>
              <w:top w:val="nil"/>
              <w:left w:val="nil"/>
              <w:bottom w:val="nil"/>
              <w:right w:val="nil"/>
            </w:tcBorders>
            <w:shd w:val="clear" w:color="auto" w:fill="auto"/>
            <w:noWrap/>
            <w:vAlign w:val="center"/>
            <w:hideMark/>
          </w:tcPr>
          <w:p w14:paraId="0AAB9EAA"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74F28FD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0.054**</w:t>
            </w:r>
            <w:r w:rsidRPr="00E915AA">
              <w:rPr>
                <w:rFonts w:ascii="Times New Roman" w:eastAsia="Times New Roman" w:hAnsi="Times New Roman" w:cs="Times New Roman"/>
                <w:sz w:val="12"/>
                <w:szCs w:val="14"/>
                <w:lang w:val="en-GB" w:eastAsia="en-GB"/>
              </w:rPr>
              <w:br/>
              <w:t>(2.06)</w:t>
            </w:r>
          </w:p>
        </w:tc>
        <w:tc>
          <w:tcPr>
            <w:tcW w:w="709" w:type="dxa"/>
            <w:tcBorders>
              <w:top w:val="nil"/>
              <w:left w:val="nil"/>
              <w:bottom w:val="nil"/>
              <w:right w:val="nil"/>
            </w:tcBorders>
            <w:shd w:val="clear" w:color="auto" w:fill="auto"/>
            <w:vAlign w:val="center"/>
            <w:hideMark/>
          </w:tcPr>
          <w:p w14:paraId="1885DC4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0.052**</w:t>
            </w:r>
            <w:r w:rsidRPr="00E915AA">
              <w:rPr>
                <w:rFonts w:ascii="Times New Roman" w:eastAsia="Times New Roman" w:hAnsi="Times New Roman" w:cs="Times New Roman"/>
                <w:sz w:val="12"/>
                <w:szCs w:val="14"/>
                <w:lang w:val="en-GB" w:eastAsia="en-GB"/>
              </w:rPr>
              <w:br/>
              <w:t>(2.03)</w:t>
            </w:r>
          </w:p>
        </w:tc>
        <w:tc>
          <w:tcPr>
            <w:tcW w:w="708" w:type="dxa"/>
            <w:tcBorders>
              <w:top w:val="nil"/>
              <w:left w:val="nil"/>
              <w:bottom w:val="nil"/>
              <w:right w:val="nil"/>
            </w:tcBorders>
            <w:shd w:val="clear" w:color="auto" w:fill="auto"/>
            <w:vAlign w:val="center"/>
            <w:hideMark/>
          </w:tcPr>
          <w:p w14:paraId="6260D5F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0.050*</w:t>
            </w:r>
            <w:r w:rsidRPr="00E915AA">
              <w:rPr>
                <w:rFonts w:ascii="Times New Roman" w:eastAsia="Times New Roman" w:hAnsi="Times New Roman" w:cs="Times New Roman"/>
                <w:sz w:val="12"/>
                <w:szCs w:val="14"/>
                <w:lang w:val="en-GB" w:eastAsia="en-GB"/>
              </w:rPr>
              <w:br/>
              <w:t>(1.87)</w:t>
            </w:r>
          </w:p>
        </w:tc>
        <w:tc>
          <w:tcPr>
            <w:tcW w:w="251" w:type="dxa"/>
            <w:tcBorders>
              <w:top w:val="nil"/>
              <w:left w:val="nil"/>
              <w:bottom w:val="nil"/>
              <w:right w:val="nil"/>
            </w:tcBorders>
            <w:shd w:val="clear" w:color="auto" w:fill="auto"/>
            <w:noWrap/>
            <w:vAlign w:val="center"/>
            <w:hideMark/>
          </w:tcPr>
          <w:p w14:paraId="37FDC28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1D1C34F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0.043</w:t>
            </w:r>
            <w:r w:rsidRPr="00E915AA">
              <w:rPr>
                <w:rFonts w:ascii="Times New Roman" w:eastAsia="Times New Roman" w:hAnsi="Times New Roman" w:cs="Times New Roman"/>
                <w:sz w:val="12"/>
                <w:szCs w:val="14"/>
                <w:lang w:val="en-GB" w:eastAsia="en-GB"/>
              </w:rPr>
              <w:br/>
              <w:t>(1.60)</w:t>
            </w:r>
          </w:p>
        </w:tc>
        <w:tc>
          <w:tcPr>
            <w:tcW w:w="741" w:type="dxa"/>
            <w:tcBorders>
              <w:top w:val="nil"/>
              <w:left w:val="nil"/>
              <w:bottom w:val="nil"/>
              <w:right w:val="nil"/>
            </w:tcBorders>
            <w:shd w:val="clear" w:color="auto" w:fill="auto"/>
            <w:vAlign w:val="center"/>
            <w:hideMark/>
          </w:tcPr>
          <w:p w14:paraId="5E28E0F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0.040</w:t>
            </w:r>
            <w:r w:rsidRPr="00E915AA">
              <w:rPr>
                <w:rFonts w:ascii="Times New Roman" w:eastAsia="Times New Roman" w:hAnsi="Times New Roman" w:cs="Times New Roman"/>
                <w:sz w:val="12"/>
                <w:szCs w:val="14"/>
                <w:lang w:val="en-GB" w:eastAsia="en-GB"/>
              </w:rPr>
              <w:br/>
              <w:t>(1.44)</w:t>
            </w:r>
          </w:p>
        </w:tc>
        <w:tc>
          <w:tcPr>
            <w:tcW w:w="748" w:type="dxa"/>
            <w:tcBorders>
              <w:top w:val="nil"/>
              <w:left w:val="nil"/>
              <w:bottom w:val="nil"/>
              <w:right w:val="nil"/>
            </w:tcBorders>
            <w:shd w:val="clear" w:color="auto" w:fill="auto"/>
            <w:vAlign w:val="center"/>
            <w:hideMark/>
          </w:tcPr>
          <w:p w14:paraId="614B398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0.036</w:t>
            </w:r>
            <w:r w:rsidRPr="00E915AA">
              <w:rPr>
                <w:rFonts w:ascii="Times New Roman" w:eastAsia="Times New Roman" w:hAnsi="Times New Roman" w:cs="Times New Roman"/>
                <w:sz w:val="12"/>
                <w:szCs w:val="14"/>
                <w:lang w:val="en-GB" w:eastAsia="en-GB"/>
              </w:rPr>
              <w:br/>
              <w:t>(1.24)</w:t>
            </w:r>
          </w:p>
        </w:tc>
        <w:tc>
          <w:tcPr>
            <w:tcW w:w="251" w:type="dxa"/>
            <w:tcBorders>
              <w:top w:val="nil"/>
              <w:left w:val="nil"/>
              <w:bottom w:val="nil"/>
              <w:right w:val="nil"/>
            </w:tcBorders>
            <w:shd w:val="clear" w:color="auto" w:fill="auto"/>
            <w:noWrap/>
            <w:vAlign w:val="center"/>
            <w:hideMark/>
          </w:tcPr>
          <w:p w14:paraId="1DEAA2B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4D70586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0.029</w:t>
            </w:r>
            <w:r w:rsidRPr="00E915AA">
              <w:rPr>
                <w:rFonts w:ascii="Times New Roman" w:eastAsia="Times New Roman" w:hAnsi="Times New Roman" w:cs="Times New Roman"/>
                <w:sz w:val="12"/>
                <w:szCs w:val="14"/>
                <w:lang w:val="en-GB" w:eastAsia="en-GB"/>
              </w:rPr>
              <w:br/>
              <w:t>(1.24)</w:t>
            </w:r>
          </w:p>
        </w:tc>
        <w:tc>
          <w:tcPr>
            <w:tcW w:w="709" w:type="dxa"/>
            <w:tcBorders>
              <w:top w:val="nil"/>
              <w:left w:val="nil"/>
              <w:bottom w:val="nil"/>
              <w:right w:val="nil"/>
            </w:tcBorders>
            <w:shd w:val="clear" w:color="auto" w:fill="auto"/>
            <w:vAlign w:val="center"/>
            <w:hideMark/>
          </w:tcPr>
          <w:p w14:paraId="69FC948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0.027</w:t>
            </w:r>
            <w:r w:rsidRPr="00E915AA">
              <w:rPr>
                <w:rFonts w:ascii="Times New Roman" w:eastAsia="Times New Roman" w:hAnsi="Times New Roman" w:cs="Times New Roman"/>
                <w:sz w:val="12"/>
                <w:szCs w:val="14"/>
                <w:lang w:val="en-GB" w:eastAsia="en-GB"/>
              </w:rPr>
              <w:br/>
              <w:t>(1.19)</w:t>
            </w:r>
          </w:p>
        </w:tc>
        <w:tc>
          <w:tcPr>
            <w:tcW w:w="709" w:type="dxa"/>
            <w:tcBorders>
              <w:top w:val="nil"/>
              <w:left w:val="nil"/>
              <w:bottom w:val="nil"/>
              <w:right w:val="nil"/>
            </w:tcBorders>
            <w:shd w:val="clear" w:color="auto" w:fill="auto"/>
            <w:vAlign w:val="center"/>
            <w:hideMark/>
          </w:tcPr>
          <w:p w14:paraId="19D9E2F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0.023</w:t>
            </w:r>
            <w:r w:rsidRPr="00E915AA">
              <w:rPr>
                <w:rFonts w:ascii="Times New Roman" w:eastAsia="Times New Roman" w:hAnsi="Times New Roman" w:cs="Times New Roman"/>
                <w:sz w:val="12"/>
                <w:szCs w:val="14"/>
                <w:lang w:val="en-GB" w:eastAsia="en-GB"/>
              </w:rPr>
              <w:br/>
              <w:t>(0.93)</w:t>
            </w:r>
          </w:p>
        </w:tc>
        <w:tc>
          <w:tcPr>
            <w:tcW w:w="251" w:type="dxa"/>
            <w:tcBorders>
              <w:top w:val="nil"/>
              <w:left w:val="nil"/>
              <w:bottom w:val="nil"/>
              <w:right w:val="nil"/>
            </w:tcBorders>
            <w:shd w:val="clear" w:color="auto" w:fill="auto"/>
            <w:noWrap/>
            <w:vAlign w:val="center"/>
            <w:hideMark/>
          </w:tcPr>
          <w:p w14:paraId="56E5103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2CAC232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0.036</w:t>
            </w:r>
            <w:r w:rsidRPr="00E915AA">
              <w:rPr>
                <w:rFonts w:ascii="Times New Roman" w:eastAsia="Times New Roman" w:hAnsi="Times New Roman" w:cs="Times New Roman"/>
                <w:sz w:val="12"/>
                <w:szCs w:val="14"/>
                <w:lang w:val="en-GB" w:eastAsia="en-GB"/>
              </w:rPr>
              <w:br/>
              <w:t>(0.57)</w:t>
            </w:r>
          </w:p>
        </w:tc>
        <w:tc>
          <w:tcPr>
            <w:tcW w:w="709" w:type="dxa"/>
            <w:tcBorders>
              <w:top w:val="nil"/>
              <w:left w:val="nil"/>
              <w:bottom w:val="nil"/>
              <w:right w:val="nil"/>
            </w:tcBorders>
            <w:shd w:val="clear" w:color="auto" w:fill="auto"/>
            <w:vAlign w:val="center"/>
            <w:hideMark/>
          </w:tcPr>
          <w:p w14:paraId="62CDCE8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0.036</w:t>
            </w:r>
            <w:r w:rsidRPr="00E915AA">
              <w:rPr>
                <w:rFonts w:ascii="Times New Roman" w:eastAsia="Times New Roman" w:hAnsi="Times New Roman" w:cs="Times New Roman"/>
                <w:sz w:val="12"/>
                <w:szCs w:val="14"/>
                <w:lang w:val="en-GB" w:eastAsia="en-GB"/>
              </w:rPr>
              <w:br/>
              <w:t>(0.59)</w:t>
            </w:r>
          </w:p>
        </w:tc>
        <w:tc>
          <w:tcPr>
            <w:tcW w:w="708" w:type="dxa"/>
            <w:tcBorders>
              <w:top w:val="nil"/>
              <w:left w:val="nil"/>
              <w:bottom w:val="nil"/>
              <w:right w:val="nil"/>
            </w:tcBorders>
            <w:shd w:val="clear" w:color="auto" w:fill="auto"/>
            <w:vAlign w:val="center"/>
            <w:hideMark/>
          </w:tcPr>
          <w:p w14:paraId="0C79342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0.053</w:t>
            </w:r>
            <w:r w:rsidRPr="00E915AA">
              <w:rPr>
                <w:rFonts w:ascii="Times New Roman" w:eastAsia="Times New Roman" w:hAnsi="Times New Roman" w:cs="Times New Roman"/>
                <w:sz w:val="12"/>
                <w:szCs w:val="14"/>
                <w:lang w:val="en-GB" w:eastAsia="en-GB"/>
              </w:rPr>
              <w:br/>
              <w:t>(0.82)</w:t>
            </w:r>
          </w:p>
        </w:tc>
        <w:tc>
          <w:tcPr>
            <w:tcW w:w="251" w:type="dxa"/>
            <w:tcBorders>
              <w:top w:val="nil"/>
              <w:left w:val="nil"/>
              <w:bottom w:val="nil"/>
              <w:right w:val="nil"/>
            </w:tcBorders>
            <w:shd w:val="clear" w:color="auto" w:fill="auto"/>
            <w:noWrap/>
            <w:vAlign w:val="center"/>
            <w:hideMark/>
          </w:tcPr>
          <w:p w14:paraId="20D2F34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57CC5B6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0.044</w:t>
            </w:r>
            <w:r w:rsidRPr="00E915AA">
              <w:rPr>
                <w:rFonts w:ascii="Times New Roman" w:eastAsia="Times New Roman" w:hAnsi="Times New Roman" w:cs="Times New Roman"/>
                <w:sz w:val="12"/>
                <w:szCs w:val="14"/>
                <w:lang w:val="en-GB" w:eastAsia="en-GB"/>
              </w:rPr>
              <w:br/>
              <w:t>(0.94)</w:t>
            </w:r>
          </w:p>
        </w:tc>
        <w:tc>
          <w:tcPr>
            <w:tcW w:w="708" w:type="dxa"/>
            <w:tcBorders>
              <w:top w:val="nil"/>
              <w:left w:val="nil"/>
              <w:bottom w:val="nil"/>
              <w:right w:val="nil"/>
            </w:tcBorders>
            <w:shd w:val="clear" w:color="auto" w:fill="auto"/>
            <w:vAlign w:val="center"/>
            <w:hideMark/>
          </w:tcPr>
          <w:p w14:paraId="55DAC85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0.041</w:t>
            </w:r>
            <w:r w:rsidRPr="00E915AA">
              <w:rPr>
                <w:rFonts w:ascii="Times New Roman" w:eastAsia="Times New Roman" w:hAnsi="Times New Roman" w:cs="Times New Roman"/>
                <w:sz w:val="12"/>
                <w:szCs w:val="14"/>
                <w:lang w:val="en-GB" w:eastAsia="en-GB"/>
              </w:rPr>
              <w:br/>
              <w:t>(0.85)</w:t>
            </w:r>
          </w:p>
        </w:tc>
        <w:tc>
          <w:tcPr>
            <w:tcW w:w="853" w:type="dxa"/>
            <w:gridSpan w:val="2"/>
            <w:tcBorders>
              <w:top w:val="nil"/>
              <w:left w:val="nil"/>
              <w:bottom w:val="nil"/>
              <w:right w:val="nil"/>
            </w:tcBorders>
            <w:shd w:val="clear" w:color="auto" w:fill="auto"/>
            <w:vAlign w:val="center"/>
            <w:hideMark/>
          </w:tcPr>
          <w:p w14:paraId="4543C61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0.033</w:t>
            </w:r>
            <w:r w:rsidRPr="00E915AA">
              <w:rPr>
                <w:rFonts w:ascii="Times New Roman" w:eastAsia="Times New Roman" w:hAnsi="Times New Roman" w:cs="Times New Roman"/>
                <w:sz w:val="12"/>
                <w:szCs w:val="14"/>
                <w:lang w:val="en-GB" w:eastAsia="en-GB"/>
              </w:rPr>
              <w:br/>
              <w:t>(0.62)</w:t>
            </w:r>
          </w:p>
        </w:tc>
      </w:tr>
      <w:tr w:rsidR="002C6719" w:rsidRPr="00E915AA" w14:paraId="4C7F1DA4" w14:textId="77777777" w:rsidTr="0073176B">
        <w:trPr>
          <w:trHeight w:val="360"/>
        </w:trPr>
        <w:tc>
          <w:tcPr>
            <w:tcW w:w="1080" w:type="dxa"/>
            <w:tcBorders>
              <w:top w:val="nil"/>
              <w:left w:val="nil"/>
              <w:bottom w:val="nil"/>
              <w:right w:val="nil"/>
            </w:tcBorders>
            <w:shd w:val="clear" w:color="auto" w:fill="auto"/>
            <w:noWrap/>
            <w:vAlign w:val="center"/>
            <w:hideMark/>
          </w:tcPr>
          <w:p w14:paraId="7729AF5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roofErr w:type="spellStart"/>
            <w:r w:rsidRPr="00E915AA">
              <w:rPr>
                <w:rFonts w:ascii="Times New Roman" w:eastAsia="Times New Roman" w:hAnsi="Times New Roman" w:cs="Times New Roman"/>
                <w:color w:val="000000"/>
                <w:sz w:val="12"/>
                <w:szCs w:val="14"/>
                <w:lang w:val="en-GB" w:eastAsia="en-GB"/>
              </w:rPr>
              <w:t>Zscore</w:t>
            </w:r>
            <w:proofErr w:type="spellEnd"/>
          </w:p>
        </w:tc>
        <w:tc>
          <w:tcPr>
            <w:tcW w:w="267" w:type="dxa"/>
            <w:tcBorders>
              <w:top w:val="nil"/>
              <w:left w:val="nil"/>
              <w:bottom w:val="nil"/>
              <w:right w:val="nil"/>
            </w:tcBorders>
            <w:shd w:val="clear" w:color="auto" w:fill="auto"/>
            <w:noWrap/>
            <w:vAlign w:val="center"/>
            <w:hideMark/>
          </w:tcPr>
          <w:p w14:paraId="1539CEB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65BD12F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(-1.18)</w:t>
            </w:r>
          </w:p>
        </w:tc>
        <w:tc>
          <w:tcPr>
            <w:tcW w:w="709" w:type="dxa"/>
            <w:tcBorders>
              <w:top w:val="nil"/>
              <w:left w:val="nil"/>
              <w:bottom w:val="nil"/>
              <w:right w:val="nil"/>
            </w:tcBorders>
            <w:shd w:val="clear" w:color="auto" w:fill="auto"/>
            <w:vAlign w:val="center"/>
            <w:hideMark/>
          </w:tcPr>
          <w:p w14:paraId="218E1DB9"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(-1.06)</w:t>
            </w:r>
          </w:p>
        </w:tc>
        <w:tc>
          <w:tcPr>
            <w:tcW w:w="708" w:type="dxa"/>
            <w:tcBorders>
              <w:top w:val="nil"/>
              <w:left w:val="nil"/>
              <w:bottom w:val="nil"/>
              <w:right w:val="nil"/>
            </w:tcBorders>
            <w:shd w:val="clear" w:color="auto" w:fill="auto"/>
            <w:vAlign w:val="center"/>
            <w:hideMark/>
          </w:tcPr>
          <w:p w14:paraId="6417035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(-1.65)</w:t>
            </w:r>
          </w:p>
        </w:tc>
        <w:tc>
          <w:tcPr>
            <w:tcW w:w="251" w:type="dxa"/>
            <w:tcBorders>
              <w:top w:val="nil"/>
              <w:left w:val="nil"/>
              <w:bottom w:val="nil"/>
              <w:right w:val="nil"/>
            </w:tcBorders>
            <w:shd w:val="clear" w:color="auto" w:fill="auto"/>
            <w:noWrap/>
            <w:vAlign w:val="center"/>
            <w:hideMark/>
          </w:tcPr>
          <w:p w14:paraId="61E734B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7DDDEE6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(-1.22)</w:t>
            </w:r>
          </w:p>
        </w:tc>
        <w:tc>
          <w:tcPr>
            <w:tcW w:w="741" w:type="dxa"/>
            <w:tcBorders>
              <w:top w:val="nil"/>
              <w:left w:val="nil"/>
              <w:bottom w:val="nil"/>
              <w:right w:val="nil"/>
            </w:tcBorders>
            <w:shd w:val="clear" w:color="auto" w:fill="auto"/>
            <w:vAlign w:val="center"/>
            <w:hideMark/>
          </w:tcPr>
          <w:p w14:paraId="460EC4E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(-1.37)</w:t>
            </w:r>
          </w:p>
        </w:tc>
        <w:tc>
          <w:tcPr>
            <w:tcW w:w="748" w:type="dxa"/>
            <w:tcBorders>
              <w:top w:val="nil"/>
              <w:left w:val="nil"/>
              <w:bottom w:val="nil"/>
              <w:right w:val="nil"/>
            </w:tcBorders>
            <w:shd w:val="clear" w:color="auto" w:fill="auto"/>
            <w:vAlign w:val="center"/>
            <w:hideMark/>
          </w:tcPr>
          <w:p w14:paraId="3FA568E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(-1.61)</w:t>
            </w:r>
          </w:p>
        </w:tc>
        <w:tc>
          <w:tcPr>
            <w:tcW w:w="251" w:type="dxa"/>
            <w:tcBorders>
              <w:top w:val="nil"/>
              <w:left w:val="nil"/>
              <w:bottom w:val="nil"/>
              <w:right w:val="nil"/>
            </w:tcBorders>
            <w:shd w:val="clear" w:color="auto" w:fill="auto"/>
            <w:noWrap/>
            <w:vAlign w:val="center"/>
            <w:hideMark/>
          </w:tcPr>
          <w:p w14:paraId="47B53CB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0EE7A63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(-4.28)</w:t>
            </w:r>
          </w:p>
        </w:tc>
        <w:tc>
          <w:tcPr>
            <w:tcW w:w="709" w:type="dxa"/>
            <w:tcBorders>
              <w:top w:val="nil"/>
              <w:left w:val="nil"/>
              <w:bottom w:val="nil"/>
              <w:right w:val="nil"/>
            </w:tcBorders>
            <w:shd w:val="clear" w:color="auto" w:fill="auto"/>
            <w:vAlign w:val="center"/>
            <w:hideMark/>
          </w:tcPr>
          <w:p w14:paraId="67E0E62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(-4.35)</w:t>
            </w:r>
          </w:p>
        </w:tc>
        <w:tc>
          <w:tcPr>
            <w:tcW w:w="709" w:type="dxa"/>
            <w:tcBorders>
              <w:top w:val="nil"/>
              <w:left w:val="nil"/>
              <w:bottom w:val="nil"/>
              <w:right w:val="nil"/>
            </w:tcBorders>
            <w:shd w:val="clear" w:color="auto" w:fill="auto"/>
            <w:vAlign w:val="center"/>
            <w:hideMark/>
          </w:tcPr>
          <w:p w14:paraId="39EAFD6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(-3.40)</w:t>
            </w:r>
          </w:p>
        </w:tc>
        <w:tc>
          <w:tcPr>
            <w:tcW w:w="251" w:type="dxa"/>
            <w:tcBorders>
              <w:top w:val="nil"/>
              <w:left w:val="nil"/>
              <w:bottom w:val="nil"/>
              <w:right w:val="nil"/>
            </w:tcBorders>
            <w:shd w:val="clear" w:color="auto" w:fill="auto"/>
            <w:noWrap/>
            <w:vAlign w:val="center"/>
            <w:hideMark/>
          </w:tcPr>
          <w:p w14:paraId="0709177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02D5F40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(-2.45)</w:t>
            </w:r>
          </w:p>
        </w:tc>
        <w:tc>
          <w:tcPr>
            <w:tcW w:w="709" w:type="dxa"/>
            <w:tcBorders>
              <w:top w:val="nil"/>
              <w:left w:val="nil"/>
              <w:bottom w:val="nil"/>
              <w:right w:val="nil"/>
            </w:tcBorders>
            <w:shd w:val="clear" w:color="auto" w:fill="auto"/>
            <w:vAlign w:val="center"/>
            <w:hideMark/>
          </w:tcPr>
          <w:p w14:paraId="65000C3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(-2.71)</w:t>
            </w:r>
          </w:p>
        </w:tc>
        <w:tc>
          <w:tcPr>
            <w:tcW w:w="708" w:type="dxa"/>
            <w:tcBorders>
              <w:top w:val="nil"/>
              <w:left w:val="nil"/>
              <w:bottom w:val="nil"/>
              <w:right w:val="nil"/>
            </w:tcBorders>
            <w:shd w:val="clear" w:color="auto" w:fill="auto"/>
            <w:vAlign w:val="center"/>
            <w:hideMark/>
          </w:tcPr>
          <w:p w14:paraId="4DE2232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(-1.82)</w:t>
            </w:r>
          </w:p>
        </w:tc>
        <w:tc>
          <w:tcPr>
            <w:tcW w:w="251" w:type="dxa"/>
            <w:tcBorders>
              <w:top w:val="nil"/>
              <w:left w:val="nil"/>
              <w:bottom w:val="nil"/>
              <w:right w:val="nil"/>
            </w:tcBorders>
            <w:shd w:val="clear" w:color="auto" w:fill="auto"/>
            <w:noWrap/>
            <w:vAlign w:val="center"/>
            <w:hideMark/>
          </w:tcPr>
          <w:p w14:paraId="776B795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711AE73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(-2.18)</w:t>
            </w:r>
          </w:p>
        </w:tc>
        <w:tc>
          <w:tcPr>
            <w:tcW w:w="708" w:type="dxa"/>
            <w:tcBorders>
              <w:top w:val="nil"/>
              <w:left w:val="nil"/>
              <w:bottom w:val="nil"/>
              <w:right w:val="nil"/>
            </w:tcBorders>
            <w:shd w:val="clear" w:color="auto" w:fill="auto"/>
            <w:vAlign w:val="center"/>
            <w:hideMark/>
          </w:tcPr>
          <w:p w14:paraId="3024A59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(-2.86)</w:t>
            </w:r>
          </w:p>
        </w:tc>
        <w:tc>
          <w:tcPr>
            <w:tcW w:w="853" w:type="dxa"/>
            <w:gridSpan w:val="2"/>
            <w:tcBorders>
              <w:top w:val="nil"/>
              <w:left w:val="nil"/>
              <w:bottom w:val="nil"/>
              <w:right w:val="nil"/>
            </w:tcBorders>
            <w:shd w:val="clear" w:color="auto" w:fill="auto"/>
            <w:vAlign w:val="center"/>
            <w:hideMark/>
          </w:tcPr>
          <w:p w14:paraId="08F224E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-0.001***</w:t>
            </w:r>
            <w:r w:rsidRPr="00E915AA">
              <w:rPr>
                <w:rFonts w:ascii="Times New Roman" w:eastAsia="Times New Roman" w:hAnsi="Times New Roman" w:cs="Times New Roman"/>
                <w:sz w:val="12"/>
                <w:szCs w:val="14"/>
                <w:lang w:val="en-GB" w:eastAsia="en-GB"/>
              </w:rPr>
              <w:br/>
              <w:t>(-2.67)</w:t>
            </w:r>
          </w:p>
        </w:tc>
      </w:tr>
      <w:tr w:rsidR="002C6719" w:rsidRPr="00E915AA" w14:paraId="3D768FED" w14:textId="77777777" w:rsidTr="0073176B">
        <w:trPr>
          <w:trHeight w:val="360"/>
        </w:trPr>
        <w:tc>
          <w:tcPr>
            <w:tcW w:w="1080" w:type="dxa"/>
            <w:tcBorders>
              <w:top w:val="nil"/>
              <w:left w:val="nil"/>
              <w:bottom w:val="nil"/>
              <w:right w:val="nil"/>
            </w:tcBorders>
            <w:shd w:val="clear" w:color="auto" w:fill="auto"/>
            <w:noWrap/>
            <w:vAlign w:val="center"/>
            <w:hideMark/>
          </w:tcPr>
          <w:p w14:paraId="43A1075A"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Big4</w:t>
            </w:r>
          </w:p>
        </w:tc>
        <w:tc>
          <w:tcPr>
            <w:tcW w:w="267" w:type="dxa"/>
            <w:tcBorders>
              <w:top w:val="nil"/>
              <w:left w:val="nil"/>
              <w:bottom w:val="nil"/>
              <w:right w:val="nil"/>
            </w:tcBorders>
            <w:shd w:val="clear" w:color="auto" w:fill="auto"/>
            <w:noWrap/>
            <w:vAlign w:val="center"/>
            <w:hideMark/>
          </w:tcPr>
          <w:p w14:paraId="13A3DB51"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1021812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-0.126***</w:t>
            </w:r>
            <w:r w:rsidRPr="00E915AA">
              <w:rPr>
                <w:rFonts w:ascii="Times New Roman" w:eastAsia="Times New Roman" w:hAnsi="Times New Roman" w:cs="Times New Roman"/>
                <w:sz w:val="12"/>
                <w:szCs w:val="14"/>
                <w:lang w:val="en-GB" w:eastAsia="en-GB"/>
              </w:rPr>
              <w:br/>
              <w:t>(-2.94)</w:t>
            </w:r>
          </w:p>
        </w:tc>
        <w:tc>
          <w:tcPr>
            <w:tcW w:w="709" w:type="dxa"/>
            <w:tcBorders>
              <w:top w:val="nil"/>
              <w:left w:val="nil"/>
              <w:bottom w:val="nil"/>
              <w:right w:val="nil"/>
            </w:tcBorders>
            <w:shd w:val="clear" w:color="auto" w:fill="auto"/>
            <w:vAlign w:val="center"/>
            <w:hideMark/>
          </w:tcPr>
          <w:p w14:paraId="7065718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-0.129***</w:t>
            </w:r>
            <w:r w:rsidRPr="00E915AA">
              <w:rPr>
                <w:rFonts w:ascii="Times New Roman" w:eastAsia="Times New Roman" w:hAnsi="Times New Roman" w:cs="Times New Roman"/>
                <w:sz w:val="12"/>
                <w:szCs w:val="14"/>
                <w:lang w:val="en-GB" w:eastAsia="en-GB"/>
              </w:rPr>
              <w:br/>
              <w:t>(-3.07)</w:t>
            </w:r>
          </w:p>
        </w:tc>
        <w:tc>
          <w:tcPr>
            <w:tcW w:w="708" w:type="dxa"/>
            <w:tcBorders>
              <w:top w:val="nil"/>
              <w:left w:val="nil"/>
              <w:bottom w:val="nil"/>
              <w:right w:val="nil"/>
            </w:tcBorders>
            <w:shd w:val="clear" w:color="auto" w:fill="auto"/>
            <w:vAlign w:val="center"/>
            <w:hideMark/>
          </w:tcPr>
          <w:p w14:paraId="7EC0AA7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-0.062</w:t>
            </w:r>
            <w:r w:rsidRPr="00E915AA">
              <w:rPr>
                <w:rFonts w:ascii="Times New Roman" w:eastAsia="Times New Roman" w:hAnsi="Times New Roman" w:cs="Times New Roman"/>
                <w:sz w:val="12"/>
                <w:szCs w:val="14"/>
                <w:lang w:val="en-GB" w:eastAsia="en-GB"/>
              </w:rPr>
              <w:br/>
              <w:t>(-1.17)</w:t>
            </w:r>
          </w:p>
        </w:tc>
        <w:tc>
          <w:tcPr>
            <w:tcW w:w="251" w:type="dxa"/>
            <w:tcBorders>
              <w:top w:val="nil"/>
              <w:left w:val="nil"/>
              <w:bottom w:val="nil"/>
              <w:right w:val="nil"/>
            </w:tcBorders>
            <w:shd w:val="clear" w:color="auto" w:fill="auto"/>
            <w:noWrap/>
            <w:vAlign w:val="center"/>
            <w:hideMark/>
          </w:tcPr>
          <w:p w14:paraId="4057BAF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00AD8B8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-0.102</w:t>
            </w:r>
            <w:r w:rsidRPr="00E915AA">
              <w:rPr>
                <w:rFonts w:ascii="Times New Roman" w:eastAsia="Times New Roman" w:hAnsi="Times New Roman" w:cs="Times New Roman"/>
                <w:sz w:val="12"/>
                <w:szCs w:val="14"/>
                <w:lang w:val="en-GB" w:eastAsia="en-GB"/>
              </w:rPr>
              <w:br/>
              <w:t>(-0.91)</w:t>
            </w:r>
          </w:p>
        </w:tc>
        <w:tc>
          <w:tcPr>
            <w:tcW w:w="741" w:type="dxa"/>
            <w:tcBorders>
              <w:top w:val="nil"/>
              <w:left w:val="nil"/>
              <w:bottom w:val="nil"/>
              <w:right w:val="nil"/>
            </w:tcBorders>
            <w:shd w:val="clear" w:color="auto" w:fill="auto"/>
            <w:vAlign w:val="center"/>
            <w:hideMark/>
          </w:tcPr>
          <w:p w14:paraId="1CCF5B9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-0.092</w:t>
            </w:r>
            <w:r w:rsidRPr="00E915AA">
              <w:rPr>
                <w:rFonts w:ascii="Times New Roman" w:eastAsia="Times New Roman" w:hAnsi="Times New Roman" w:cs="Times New Roman"/>
                <w:sz w:val="12"/>
                <w:szCs w:val="14"/>
                <w:lang w:val="en-GB" w:eastAsia="en-GB"/>
              </w:rPr>
              <w:br/>
              <w:t>(-0.81)</w:t>
            </w:r>
          </w:p>
        </w:tc>
        <w:tc>
          <w:tcPr>
            <w:tcW w:w="748" w:type="dxa"/>
            <w:tcBorders>
              <w:top w:val="nil"/>
              <w:left w:val="nil"/>
              <w:bottom w:val="nil"/>
              <w:right w:val="nil"/>
            </w:tcBorders>
            <w:shd w:val="clear" w:color="auto" w:fill="auto"/>
            <w:vAlign w:val="center"/>
            <w:hideMark/>
          </w:tcPr>
          <w:p w14:paraId="59F89E1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-0.092</w:t>
            </w:r>
            <w:r w:rsidRPr="00E915AA">
              <w:rPr>
                <w:rFonts w:ascii="Times New Roman" w:eastAsia="Times New Roman" w:hAnsi="Times New Roman" w:cs="Times New Roman"/>
                <w:sz w:val="12"/>
                <w:szCs w:val="14"/>
                <w:lang w:val="en-GB" w:eastAsia="en-GB"/>
              </w:rPr>
              <w:br/>
              <w:t>(-0.74)</w:t>
            </w:r>
          </w:p>
        </w:tc>
        <w:tc>
          <w:tcPr>
            <w:tcW w:w="251" w:type="dxa"/>
            <w:tcBorders>
              <w:top w:val="nil"/>
              <w:left w:val="nil"/>
              <w:bottom w:val="nil"/>
              <w:right w:val="nil"/>
            </w:tcBorders>
            <w:shd w:val="clear" w:color="auto" w:fill="auto"/>
            <w:noWrap/>
            <w:vAlign w:val="center"/>
            <w:hideMark/>
          </w:tcPr>
          <w:p w14:paraId="31D6E57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1C2CD78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-0.057</w:t>
            </w:r>
            <w:r w:rsidRPr="00E915AA">
              <w:rPr>
                <w:rFonts w:ascii="Times New Roman" w:eastAsia="Times New Roman" w:hAnsi="Times New Roman" w:cs="Times New Roman"/>
                <w:sz w:val="12"/>
                <w:szCs w:val="14"/>
                <w:lang w:val="en-GB" w:eastAsia="en-GB"/>
              </w:rPr>
              <w:br/>
              <w:t>(-0.53)</w:t>
            </w:r>
          </w:p>
        </w:tc>
        <w:tc>
          <w:tcPr>
            <w:tcW w:w="709" w:type="dxa"/>
            <w:tcBorders>
              <w:top w:val="nil"/>
              <w:left w:val="nil"/>
              <w:bottom w:val="nil"/>
              <w:right w:val="nil"/>
            </w:tcBorders>
            <w:shd w:val="clear" w:color="auto" w:fill="auto"/>
            <w:vAlign w:val="center"/>
            <w:hideMark/>
          </w:tcPr>
          <w:p w14:paraId="7F540CD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-0.049</w:t>
            </w:r>
            <w:r w:rsidRPr="00E915AA">
              <w:rPr>
                <w:rFonts w:ascii="Times New Roman" w:eastAsia="Times New Roman" w:hAnsi="Times New Roman" w:cs="Times New Roman"/>
                <w:sz w:val="12"/>
                <w:szCs w:val="14"/>
                <w:lang w:val="en-GB" w:eastAsia="en-GB"/>
              </w:rPr>
              <w:br/>
              <w:t>(-0.45)</w:t>
            </w:r>
          </w:p>
        </w:tc>
        <w:tc>
          <w:tcPr>
            <w:tcW w:w="709" w:type="dxa"/>
            <w:tcBorders>
              <w:top w:val="nil"/>
              <w:left w:val="nil"/>
              <w:bottom w:val="nil"/>
              <w:right w:val="nil"/>
            </w:tcBorders>
            <w:shd w:val="clear" w:color="auto" w:fill="auto"/>
            <w:vAlign w:val="center"/>
            <w:hideMark/>
          </w:tcPr>
          <w:p w14:paraId="567E391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-0.041</w:t>
            </w:r>
            <w:r w:rsidRPr="00E915AA">
              <w:rPr>
                <w:rFonts w:ascii="Times New Roman" w:eastAsia="Times New Roman" w:hAnsi="Times New Roman" w:cs="Times New Roman"/>
                <w:sz w:val="12"/>
                <w:szCs w:val="14"/>
                <w:lang w:val="en-GB" w:eastAsia="en-GB"/>
              </w:rPr>
              <w:br/>
              <w:t>(-0.33)</w:t>
            </w:r>
          </w:p>
        </w:tc>
        <w:tc>
          <w:tcPr>
            <w:tcW w:w="251" w:type="dxa"/>
            <w:tcBorders>
              <w:top w:val="nil"/>
              <w:left w:val="nil"/>
              <w:bottom w:val="nil"/>
              <w:right w:val="nil"/>
            </w:tcBorders>
            <w:shd w:val="clear" w:color="auto" w:fill="auto"/>
            <w:noWrap/>
            <w:vAlign w:val="center"/>
            <w:hideMark/>
          </w:tcPr>
          <w:p w14:paraId="4360702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65BAA73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-0.358***</w:t>
            </w:r>
            <w:r w:rsidRPr="00E915AA">
              <w:rPr>
                <w:rFonts w:ascii="Times New Roman" w:eastAsia="Times New Roman" w:hAnsi="Times New Roman" w:cs="Times New Roman"/>
                <w:sz w:val="12"/>
                <w:szCs w:val="14"/>
                <w:lang w:val="en-GB" w:eastAsia="en-GB"/>
              </w:rPr>
              <w:br/>
              <w:t>(-2.96)</w:t>
            </w:r>
          </w:p>
        </w:tc>
        <w:tc>
          <w:tcPr>
            <w:tcW w:w="709" w:type="dxa"/>
            <w:tcBorders>
              <w:top w:val="nil"/>
              <w:left w:val="nil"/>
              <w:bottom w:val="nil"/>
              <w:right w:val="nil"/>
            </w:tcBorders>
            <w:shd w:val="clear" w:color="auto" w:fill="auto"/>
            <w:vAlign w:val="center"/>
            <w:hideMark/>
          </w:tcPr>
          <w:p w14:paraId="44AD9AC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-0.367***</w:t>
            </w:r>
            <w:r w:rsidRPr="00E915AA">
              <w:rPr>
                <w:rFonts w:ascii="Times New Roman" w:eastAsia="Times New Roman" w:hAnsi="Times New Roman" w:cs="Times New Roman"/>
                <w:sz w:val="12"/>
                <w:szCs w:val="14"/>
                <w:lang w:val="en-GB" w:eastAsia="en-GB"/>
              </w:rPr>
              <w:br/>
              <w:t>(-3.04)</w:t>
            </w:r>
          </w:p>
        </w:tc>
        <w:tc>
          <w:tcPr>
            <w:tcW w:w="708" w:type="dxa"/>
            <w:tcBorders>
              <w:top w:val="nil"/>
              <w:left w:val="nil"/>
              <w:bottom w:val="nil"/>
              <w:right w:val="nil"/>
            </w:tcBorders>
            <w:shd w:val="clear" w:color="auto" w:fill="auto"/>
            <w:vAlign w:val="center"/>
            <w:hideMark/>
          </w:tcPr>
          <w:p w14:paraId="5318C90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-0.381***</w:t>
            </w:r>
            <w:r w:rsidRPr="00E915AA">
              <w:rPr>
                <w:rFonts w:ascii="Times New Roman" w:eastAsia="Times New Roman" w:hAnsi="Times New Roman" w:cs="Times New Roman"/>
                <w:sz w:val="12"/>
                <w:szCs w:val="14"/>
                <w:lang w:val="en-GB" w:eastAsia="en-GB"/>
              </w:rPr>
              <w:br/>
              <w:t>(-2.62)</w:t>
            </w:r>
          </w:p>
        </w:tc>
        <w:tc>
          <w:tcPr>
            <w:tcW w:w="251" w:type="dxa"/>
            <w:tcBorders>
              <w:top w:val="nil"/>
              <w:left w:val="nil"/>
              <w:bottom w:val="nil"/>
              <w:right w:val="nil"/>
            </w:tcBorders>
            <w:shd w:val="clear" w:color="auto" w:fill="auto"/>
            <w:noWrap/>
            <w:vAlign w:val="center"/>
            <w:hideMark/>
          </w:tcPr>
          <w:p w14:paraId="78E4AC2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77ACCD6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-0.418***</w:t>
            </w:r>
            <w:r w:rsidRPr="00E915AA">
              <w:rPr>
                <w:rFonts w:ascii="Times New Roman" w:eastAsia="Times New Roman" w:hAnsi="Times New Roman" w:cs="Times New Roman"/>
                <w:sz w:val="12"/>
                <w:szCs w:val="14"/>
                <w:lang w:val="en-GB" w:eastAsia="en-GB"/>
              </w:rPr>
              <w:br/>
              <w:t>(-2.91)</w:t>
            </w:r>
          </w:p>
        </w:tc>
        <w:tc>
          <w:tcPr>
            <w:tcW w:w="708" w:type="dxa"/>
            <w:tcBorders>
              <w:top w:val="nil"/>
              <w:left w:val="nil"/>
              <w:bottom w:val="nil"/>
              <w:right w:val="nil"/>
            </w:tcBorders>
            <w:shd w:val="clear" w:color="auto" w:fill="auto"/>
            <w:vAlign w:val="center"/>
            <w:hideMark/>
          </w:tcPr>
          <w:p w14:paraId="3B519B4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-0.432***</w:t>
            </w:r>
            <w:r w:rsidRPr="00E915AA">
              <w:rPr>
                <w:rFonts w:ascii="Times New Roman" w:eastAsia="Times New Roman" w:hAnsi="Times New Roman" w:cs="Times New Roman"/>
                <w:sz w:val="12"/>
                <w:szCs w:val="14"/>
                <w:lang w:val="en-GB" w:eastAsia="en-GB"/>
              </w:rPr>
              <w:br/>
              <w:t>(-2.84)</w:t>
            </w:r>
          </w:p>
        </w:tc>
        <w:tc>
          <w:tcPr>
            <w:tcW w:w="853" w:type="dxa"/>
            <w:gridSpan w:val="2"/>
            <w:tcBorders>
              <w:top w:val="nil"/>
              <w:left w:val="nil"/>
              <w:bottom w:val="nil"/>
              <w:right w:val="nil"/>
            </w:tcBorders>
            <w:shd w:val="clear" w:color="auto" w:fill="auto"/>
            <w:vAlign w:val="center"/>
            <w:hideMark/>
          </w:tcPr>
          <w:p w14:paraId="44BDB93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-0.450**</w:t>
            </w:r>
            <w:r w:rsidRPr="00E915AA">
              <w:rPr>
                <w:rFonts w:ascii="Times New Roman" w:eastAsia="Times New Roman" w:hAnsi="Times New Roman" w:cs="Times New Roman"/>
                <w:sz w:val="12"/>
                <w:szCs w:val="14"/>
                <w:lang w:val="en-GB" w:eastAsia="en-GB"/>
              </w:rPr>
              <w:br/>
              <w:t>(-2.36)</w:t>
            </w:r>
          </w:p>
        </w:tc>
      </w:tr>
      <w:tr w:rsidR="002C6719" w:rsidRPr="00E915AA" w14:paraId="3EA811A2" w14:textId="77777777" w:rsidTr="0073176B">
        <w:trPr>
          <w:trHeight w:val="360"/>
        </w:trPr>
        <w:tc>
          <w:tcPr>
            <w:tcW w:w="1080" w:type="dxa"/>
            <w:tcBorders>
              <w:top w:val="nil"/>
              <w:left w:val="nil"/>
              <w:bottom w:val="nil"/>
              <w:right w:val="nil"/>
            </w:tcBorders>
            <w:shd w:val="clear" w:color="auto" w:fill="auto"/>
            <w:noWrap/>
            <w:vAlign w:val="center"/>
            <w:hideMark/>
          </w:tcPr>
          <w:p w14:paraId="087C4BF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Restructuring</w:t>
            </w:r>
          </w:p>
        </w:tc>
        <w:tc>
          <w:tcPr>
            <w:tcW w:w="267" w:type="dxa"/>
            <w:tcBorders>
              <w:top w:val="nil"/>
              <w:left w:val="nil"/>
              <w:bottom w:val="nil"/>
              <w:right w:val="nil"/>
            </w:tcBorders>
            <w:shd w:val="clear" w:color="auto" w:fill="auto"/>
            <w:noWrap/>
            <w:vAlign w:val="center"/>
            <w:hideMark/>
          </w:tcPr>
          <w:p w14:paraId="237C216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6C19FC8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0.221***</w:t>
            </w:r>
            <w:r w:rsidRPr="00E915AA">
              <w:rPr>
                <w:rFonts w:ascii="Times New Roman" w:eastAsia="Times New Roman" w:hAnsi="Times New Roman" w:cs="Times New Roman"/>
                <w:sz w:val="12"/>
                <w:szCs w:val="14"/>
                <w:lang w:val="en-GB" w:eastAsia="en-GB"/>
              </w:rPr>
              <w:br/>
              <w:t>(3.65)</w:t>
            </w:r>
          </w:p>
        </w:tc>
        <w:tc>
          <w:tcPr>
            <w:tcW w:w="709" w:type="dxa"/>
            <w:tcBorders>
              <w:top w:val="nil"/>
              <w:left w:val="nil"/>
              <w:bottom w:val="nil"/>
              <w:right w:val="nil"/>
            </w:tcBorders>
            <w:shd w:val="clear" w:color="auto" w:fill="auto"/>
            <w:vAlign w:val="center"/>
            <w:hideMark/>
          </w:tcPr>
          <w:p w14:paraId="3BF9A2E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0.249***</w:t>
            </w:r>
            <w:r w:rsidRPr="00E915AA">
              <w:rPr>
                <w:rFonts w:ascii="Times New Roman" w:eastAsia="Times New Roman" w:hAnsi="Times New Roman" w:cs="Times New Roman"/>
                <w:sz w:val="12"/>
                <w:szCs w:val="14"/>
                <w:lang w:val="en-GB" w:eastAsia="en-GB"/>
              </w:rPr>
              <w:br/>
              <w:t>(4.24)</w:t>
            </w:r>
          </w:p>
        </w:tc>
        <w:tc>
          <w:tcPr>
            <w:tcW w:w="708" w:type="dxa"/>
            <w:tcBorders>
              <w:top w:val="nil"/>
              <w:left w:val="nil"/>
              <w:bottom w:val="nil"/>
              <w:right w:val="nil"/>
            </w:tcBorders>
            <w:shd w:val="clear" w:color="auto" w:fill="auto"/>
            <w:vAlign w:val="center"/>
            <w:hideMark/>
          </w:tcPr>
          <w:p w14:paraId="72EB6C6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0.242***</w:t>
            </w:r>
            <w:r w:rsidRPr="00E915AA">
              <w:rPr>
                <w:rFonts w:ascii="Times New Roman" w:eastAsia="Times New Roman" w:hAnsi="Times New Roman" w:cs="Times New Roman"/>
                <w:sz w:val="12"/>
                <w:szCs w:val="14"/>
                <w:lang w:val="en-GB" w:eastAsia="en-GB"/>
              </w:rPr>
              <w:br/>
              <w:t>(3.14)</w:t>
            </w:r>
          </w:p>
        </w:tc>
        <w:tc>
          <w:tcPr>
            <w:tcW w:w="251" w:type="dxa"/>
            <w:tcBorders>
              <w:top w:val="nil"/>
              <w:left w:val="nil"/>
              <w:bottom w:val="nil"/>
              <w:right w:val="nil"/>
            </w:tcBorders>
            <w:shd w:val="clear" w:color="auto" w:fill="auto"/>
            <w:noWrap/>
            <w:vAlign w:val="center"/>
            <w:hideMark/>
          </w:tcPr>
          <w:p w14:paraId="4CABA31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6F9D396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0.257***</w:t>
            </w:r>
            <w:r w:rsidRPr="00E915AA">
              <w:rPr>
                <w:rFonts w:ascii="Times New Roman" w:eastAsia="Times New Roman" w:hAnsi="Times New Roman" w:cs="Times New Roman"/>
                <w:sz w:val="12"/>
                <w:szCs w:val="14"/>
                <w:lang w:val="en-GB" w:eastAsia="en-GB"/>
              </w:rPr>
              <w:br/>
              <w:t>(2.81)</w:t>
            </w:r>
          </w:p>
        </w:tc>
        <w:tc>
          <w:tcPr>
            <w:tcW w:w="741" w:type="dxa"/>
            <w:tcBorders>
              <w:top w:val="nil"/>
              <w:left w:val="nil"/>
              <w:bottom w:val="nil"/>
              <w:right w:val="nil"/>
            </w:tcBorders>
            <w:shd w:val="clear" w:color="auto" w:fill="auto"/>
            <w:vAlign w:val="center"/>
            <w:hideMark/>
          </w:tcPr>
          <w:p w14:paraId="7DB0AC5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0.277***</w:t>
            </w:r>
            <w:r w:rsidRPr="00E915AA">
              <w:rPr>
                <w:rFonts w:ascii="Times New Roman" w:eastAsia="Times New Roman" w:hAnsi="Times New Roman" w:cs="Times New Roman"/>
                <w:sz w:val="12"/>
                <w:szCs w:val="14"/>
                <w:lang w:val="en-GB" w:eastAsia="en-GB"/>
              </w:rPr>
              <w:br/>
              <w:t>(3.11)</w:t>
            </w:r>
          </w:p>
        </w:tc>
        <w:tc>
          <w:tcPr>
            <w:tcW w:w="748" w:type="dxa"/>
            <w:tcBorders>
              <w:top w:val="nil"/>
              <w:left w:val="nil"/>
              <w:bottom w:val="nil"/>
              <w:right w:val="nil"/>
            </w:tcBorders>
            <w:shd w:val="clear" w:color="auto" w:fill="auto"/>
            <w:vAlign w:val="center"/>
            <w:hideMark/>
          </w:tcPr>
          <w:p w14:paraId="7DCF6F5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0.277**</w:t>
            </w:r>
            <w:r w:rsidRPr="00E915AA">
              <w:rPr>
                <w:rFonts w:ascii="Times New Roman" w:eastAsia="Times New Roman" w:hAnsi="Times New Roman" w:cs="Times New Roman"/>
                <w:sz w:val="12"/>
                <w:szCs w:val="14"/>
                <w:lang w:val="en-GB" w:eastAsia="en-GB"/>
              </w:rPr>
              <w:br/>
              <w:t>(2.41)</w:t>
            </w:r>
          </w:p>
        </w:tc>
        <w:tc>
          <w:tcPr>
            <w:tcW w:w="251" w:type="dxa"/>
            <w:tcBorders>
              <w:top w:val="nil"/>
              <w:left w:val="nil"/>
              <w:bottom w:val="nil"/>
              <w:right w:val="nil"/>
            </w:tcBorders>
            <w:shd w:val="clear" w:color="auto" w:fill="auto"/>
            <w:noWrap/>
            <w:vAlign w:val="center"/>
            <w:hideMark/>
          </w:tcPr>
          <w:p w14:paraId="19F0888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3BB23DA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0.325***</w:t>
            </w:r>
            <w:r w:rsidRPr="00E915AA">
              <w:rPr>
                <w:rFonts w:ascii="Times New Roman" w:eastAsia="Times New Roman" w:hAnsi="Times New Roman" w:cs="Times New Roman"/>
                <w:sz w:val="12"/>
                <w:szCs w:val="14"/>
                <w:lang w:val="en-GB" w:eastAsia="en-GB"/>
              </w:rPr>
              <w:br/>
              <w:t>(6.61)</w:t>
            </w:r>
          </w:p>
        </w:tc>
        <w:tc>
          <w:tcPr>
            <w:tcW w:w="709" w:type="dxa"/>
            <w:tcBorders>
              <w:top w:val="nil"/>
              <w:left w:val="nil"/>
              <w:bottom w:val="nil"/>
              <w:right w:val="nil"/>
            </w:tcBorders>
            <w:shd w:val="clear" w:color="auto" w:fill="auto"/>
            <w:vAlign w:val="center"/>
            <w:hideMark/>
          </w:tcPr>
          <w:p w14:paraId="3FF3A8E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0.363***</w:t>
            </w:r>
            <w:r w:rsidRPr="00E915AA">
              <w:rPr>
                <w:rFonts w:ascii="Times New Roman" w:eastAsia="Times New Roman" w:hAnsi="Times New Roman" w:cs="Times New Roman"/>
                <w:sz w:val="12"/>
                <w:szCs w:val="14"/>
                <w:lang w:val="en-GB" w:eastAsia="en-GB"/>
              </w:rPr>
              <w:br/>
              <w:t>(7.01)</w:t>
            </w:r>
          </w:p>
        </w:tc>
        <w:tc>
          <w:tcPr>
            <w:tcW w:w="709" w:type="dxa"/>
            <w:tcBorders>
              <w:top w:val="nil"/>
              <w:left w:val="nil"/>
              <w:bottom w:val="nil"/>
              <w:right w:val="nil"/>
            </w:tcBorders>
            <w:shd w:val="clear" w:color="auto" w:fill="auto"/>
            <w:vAlign w:val="center"/>
            <w:hideMark/>
          </w:tcPr>
          <w:p w14:paraId="01A4589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0.421***</w:t>
            </w:r>
            <w:r w:rsidRPr="00E915AA">
              <w:rPr>
                <w:rFonts w:ascii="Times New Roman" w:eastAsia="Times New Roman" w:hAnsi="Times New Roman" w:cs="Times New Roman"/>
                <w:sz w:val="12"/>
                <w:szCs w:val="14"/>
                <w:lang w:val="en-GB" w:eastAsia="en-GB"/>
              </w:rPr>
              <w:br/>
              <w:t>(5.23)</w:t>
            </w:r>
          </w:p>
        </w:tc>
        <w:tc>
          <w:tcPr>
            <w:tcW w:w="251" w:type="dxa"/>
            <w:tcBorders>
              <w:top w:val="nil"/>
              <w:left w:val="nil"/>
              <w:bottom w:val="nil"/>
              <w:right w:val="nil"/>
            </w:tcBorders>
            <w:shd w:val="clear" w:color="auto" w:fill="auto"/>
            <w:noWrap/>
            <w:vAlign w:val="center"/>
            <w:hideMark/>
          </w:tcPr>
          <w:p w14:paraId="18E7D0E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104525C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0.660***</w:t>
            </w:r>
            <w:r w:rsidRPr="00E915AA">
              <w:rPr>
                <w:rFonts w:ascii="Times New Roman" w:eastAsia="Times New Roman" w:hAnsi="Times New Roman" w:cs="Times New Roman"/>
                <w:sz w:val="12"/>
                <w:szCs w:val="14"/>
                <w:lang w:val="en-GB" w:eastAsia="en-GB"/>
              </w:rPr>
              <w:br/>
              <w:t>(3.44)</w:t>
            </w:r>
          </w:p>
        </w:tc>
        <w:tc>
          <w:tcPr>
            <w:tcW w:w="709" w:type="dxa"/>
            <w:tcBorders>
              <w:top w:val="nil"/>
              <w:left w:val="nil"/>
              <w:bottom w:val="nil"/>
              <w:right w:val="nil"/>
            </w:tcBorders>
            <w:shd w:val="clear" w:color="auto" w:fill="auto"/>
            <w:vAlign w:val="center"/>
            <w:hideMark/>
          </w:tcPr>
          <w:p w14:paraId="47C700B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0.723***</w:t>
            </w:r>
            <w:r w:rsidRPr="00E915AA">
              <w:rPr>
                <w:rFonts w:ascii="Times New Roman" w:eastAsia="Times New Roman" w:hAnsi="Times New Roman" w:cs="Times New Roman"/>
                <w:sz w:val="12"/>
                <w:szCs w:val="14"/>
                <w:lang w:val="en-GB" w:eastAsia="en-GB"/>
              </w:rPr>
              <w:br/>
              <w:t>(3.80)</w:t>
            </w:r>
          </w:p>
        </w:tc>
        <w:tc>
          <w:tcPr>
            <w:tcW w:w="708" w:type="dxa"/>
            <w:tcBorders>
              <w:top w:val="nil"/>
              <w:left w:val="nil"/>
              <w:bottom w:val="nil"/>
              <w:right w:val="nil"/>
            </w:tcBorders>
            <w:shd w:val="clear" w:color="auto" w:fill="auto"/>
            <w:vAlign w:val="center"/>
            <w:hideMark/>
          </w:tcPr>
          <w:p w14:paraId="3872941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0.835***</w:t>
            </w:r>
            <w:r w:rsidRPr="00E915AA">
              <w:rPr>
                <w:rFonts w:ascii="Times New Roman" w:eastAsia="Times New Roman" w:hAnsi="Times New Roman" w:cs="Times New Roman"/>
                <w:sz w:val="12"/>
                <w:szCs w:val="14"/>
                <w:lang w:val="en-GB" w:eastAsia="en-GB"/>
              </w:rPr>
              <w:br/>
              <w:t>(3.36)</w:t>
            </w:r>
          </w:p>
        </w:tc>
        <w:tc>
          <w:tcPr>
            <w:tcW w:w="251" w:type="dxa"/>
            <w:tcBorders>
              <w:top w:val="nil"/>
              <w:left w:val="nil"/>
              <w:bottom w:val="nil"/>
              <w:right w:val="nil"/>
            </w:tcBorders>
            <w:shd w:val="clear" w:color="auto" w:fill="auto"/>
            <w:noWrap/>
            <w:vAlign w:val="center"/>
            <w:hideMark/>
          </w:tcPr>
          <w:p w14:paraId="1EA88D1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4339E84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0.717***</w:t>
            </w:r>
            <w:r w:rsidRPr="00E915AA">
              <w:rPr>
                <w:rFonts w:ascii="Times New Roman" w:eastAsia="Times New Roman" w:hAnsi="Times New Roman" w:cs="Times New Roman"/>
                <w:sz w:val="12"/>
                <w:szCs w:val="14"/>
                <w:lang w:val="en-GB" w:eastAsia="en-GB"/>
              </w:rPr>
              <w:br/>
              <w:t>(6.56)</w:t>
            </w:r>
          </w:p>
        </w:tc>
        <w:tc>
          <w:tcPr>
            <w:tcW w:w="708" w:type="dxa"/>
            <w:tcBorders>
              <w:top w:val="nil"/>
              <w:left w:val="nil"/>
              <w:bottom w:val="nil"/>
              <w:right w:val="nil"/>
            </w:tcBorders>
            <w:shd w:val="clear" w:color="auto" w:fill="auto"/>
            <w:vAlign w:val="center"/>
            <w:hideMark/>
          </w:tcPr>
          <w:p w14:paraId="1F8FB5D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0.759***</w:t>
            </w:r>
            <w:r w:rsidRPr="00E915AA">
              <w:rPr>
                <w:rFonts w:ascii="Times New Roman" w:eastAsia="Times New Roman" w:hAnsi="Times New Roman" w:cs="Times New Roman"/>
                <w:sz w:val="12"/>
                <w:szCs w:val="14"/>
                <w:lang w:val="en-GB" w:eastAsia="en-GB"/>
              </w:rPr>
              <w:br/>
              <w:t>(6.98)</w:t>
            </w:r>
          </w:p>
        </w:tc>
        <w:tc>
          <w:tcPr>
            <w:tcW w:w="853" w:type="dxa"/>
            <w:gridSpan w:val="2"/>
            <w:tcBorders>
              <w:top w:val="nil"/>
              <w:left w:val="nil"/>
              <w:bottom w:val="nil"/>
              <w:right w:val="nil"/>
            </w:tcBorders>
            <w:shd w:val="clear" w:color="auto" w:fill="auto"/>
            <w:vAlign w:val="center"/>
            <w:hideMark/>
          </w:tcPr>
          <w:p w14:paraId="6740DE9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0.883***</w:t>
            </w:r>
            <w:r w:rsidRPr="00E915AA">
              <w:rPr>
                <w:rFonts w:ascii="Times New Roman" w:eastAsia="Times New Roman" w:hAnsi="Times New Roman" w:cs="Times New Roman"/>
                <w:sz w:val="12"/>
                <w:szCs w:val="14"/>
                <w:lang w:val="en-GB" w:eastAsia="en-GB"/>
              </w:rPr>
              <w:br/>
              <w:t>(5.35)</w:t>
            </w:r>
          </w:p>
        </w:tc>
      </w:tr>
      <w:tr w:rsidR="002C6719" w:rsidRPr="00E915AA" w14:paraId="22AD06D3" w14:textId="77777777" w:rsidTr="0073176B">
        <w:trPr>
          <w:trHeight w:val="360"/>
        </w:trPr>
        <w:tc>
          <w:tcPr>
            <w:tcW w:w="1080" w:type="dxa"/>
            <w:tcBorders>
              <w:top w:val="nil"/>
              <w:left w:val="nil"/>
              <w:bottom w:val="nil"/>
              <w:right w:val="nil"/>
            </w:tcBorders>
            <w:shd w:val="clear" w:color="auto" w:fill="auto"/>
            <w:noWrap/>
            <w:vAlign w:val="center"/>
            <w:hideMark/>
          </w:tcPr>
          <w:p w14:paraId="50B9585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M&amp;A</w:t>
            </w:r>
          </w:p>
        </w:tc>
        <w:tc>
          <w:tcPr>
            <w:tcW w:w="267" w:type="dxa"/>
            <w:tcBorders>
              <w:top w:val="nil"/>
              <w:left w:val="nil"/>
              <w:bottom w:val="nil"/>
              <w:right w:val="nil"/>
            </w:tcBorders>
            <w:shd w:val="clear" w:color="auto" w:fill="auto"/>
            <w:noWrap/>
            <w:vAlign w:val="center"/>
            <w:hideMark/>
          </w:tcPr>
          <w:p w14:paraId="717E7E9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1CCBF65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0.093</w:t>
            </w:r>
            <w:r w:rsidRPr="00E915AA">
              <w:rPr>
                <w:rFonts w:ascii="Times New Roman" w:eastAsia="Times New Roman" w:hAnsi="Times New Roman" w:cs="Times New Roman"/>
                <w:sz w:val="12"/>
                <w:szCs w:val="14"/>
                <w:lang w:val="en-GB" w:eastAsia="en-GB"/>
              </w:rPr>
              <w:br/>
              <w:t>(1.32)</w:t>
            </w:r>
          </w:p>
        </w:tc>
        <w:tc>
          <w:tcPr>
            <w:tcW w:w="709" w:type="dxa"/>
            <w:tcBorders>
              <w:top w:val="nil"/>
              <w:left w:val="nil"/>
              <w:bottom w:val="nil"/>
              <w:right w:val="nil"/>
            </w:tcBorders>
            <w:shd w:val="clear" w:color="auto" w:fill="auto"/>
            <w:vAlign w:val="center"/>
            <w:hideMark/>
          </w:tcPr>
          <w:p w14:paraId="57B584E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0.095</w:t>
            </w:r>
            <w:r w:rsidRPr="00E915AA">
              <w:rPr>
                <w:rFonts w:ascii="Times New Roman" w:eastAsia="Times New Roman" w:hAnsi="Times New Roman" w:cs="Times New Roman"/>
                <w:sz w:val="12"/>
                <w:szCs w:val="14"/>
                <w:lang w:val="en-GB" w:eastAsia="en-GB"/>
              </w:rPr>
              <w:br/>
              <w:t>(1.28)</w:t>
            </w:r>
          </w:p>
        </w:tc>
        <w:tc>
          <w:tcPr>
            <w:tcW w:w="708" w:type="dxa"/>
            <w:tcBorders>
              <w:top w:val="nil"/>
              <w:left w:val="nil"/>
              <w:bottom w:val="nil"/>
              <w:right w:val="nil"/>
            </w:tcBorders>
            <w:shd w:val="clear" w:color="auto" w:fill="auto"/>
            <w:vAlign w:val="center"/>
            <w:hideMark/>
          </w:tcPr>
          <w:p w14:paraId="69B9497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0.062</w:t>
            </w:r>
            <w:r w:rsidRPr="00E915AA">
              <w:rPr>
                <w:rFonts w:ascii="Times New Roman" w:eastAsia="Times New Roman" w:hAnsi="Times New Roman" w:cs="Times New Roman"/>
                <w:sz w:val="12"/>
                <w:szCs w:val="14"/>
                <w:lang w:val="en-GB" w:eastAsia="en-GB"/>
              </w:rPr>
              <w:br/>
              <w:t>(1.11)</w:t>
            </w:r>
          </w:p>
        </w:tc>
        <w:tc>
          <w:tcPr>
            <w:tcW w:w="251" w:type="dxa"/>
            <w:tcBorders>
              <w:top w:val="nil"/>
              <w:left w:val="nil"/>
              <w:bottom w:val="nil"/>
              <w:right w:val="nil"/>
            </w:tcBorders>
            <w:shd w:val="clear" w:color="auto" w:fill="auto"/>
            <w:noWrap/>
            <w:vAlign w:val="center"/>
            <w:hideMark/>
          </w:tcPr>
          <w:p w14:paraId="0444647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4ECF54A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0.079*</w:t>
            </w:r>
            <w:r w:rsidRPr="00E915AA">
              <w:rPr>
                <w:rFonts w:ascii="Times New Roman" w:eastAsia="Times New Roman" w:hAnsi="Times New Roman" w:cs="Times New Roman"/>
                <w:sz w:val="12"/>
                <w:szCs w:val="14"/>
                <w:lang w:val="en-GB" w:eastAsia="en-GB"/>
              </w:rPr>
              <w:br/>
              <w:t>(1.89)</w:t>
            </w:r>
          </w:p>
        </w:tc>
        <w:tc>
          <w:tcPr>
            <w:tcW w:w="741" w:type="dxa"/>
            <w:tcBorders>
              <w:top w:val="nil"/>
              <w:left w:val="nil"/>
              <w:bottom w:val="nil"/>
              <w:right w:val="nil"/>
            </w:tcBorders>
            <w:shd w:val="clear" w:color="auto" w:fill="auto"/>
            <w:vAlign w:val="center"/>
            <w:hideMark/>
          </w:tcPr>
          <w:p w14:paraId="02EFEE6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0.077*</w:t>
            </w:r>
            <w:r w:rsidRPr="00E915AA">
              <w:rPr>
                <w:rFonts w:ascii="Times New Roman" w:eastAsia="Times New Roman" w:hAnsi="Times New Roman" w:cs="Times New Roman"/>
                <w:sz w:val="12"/>
                <w:szCs w:val="14"/>
                <w:lang w:val="en-GB" w:eastAsia="en-GB"/>
              </w:rPr>
              <w:br/>
              <w:t>(1.89)</w:t>
            </w:r>
          </w:p>
        </w:tc>
        <w:tc>
          <w:tcPr>
            <w:tcW w:w="748" w:type="dxa"/>
            <w:tcBorders>
              <w:top w:val="nil"/>
              <w:left w:val="nil"/>
              <w:bottom w:val="nil"/>
              <w:right w:val="nil"/>
            </w:tcBorders>
            <w:shd w:val="clear" w:color="auto" w:fill="auto"/>
            <w:vAlign w:val="center"/>
            <w:hideMark/>
          </w:tcPr>
          <w:p w14:paraId="4998B2F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0.062</w:t>
            </w:r>
            <w:r w:rsidRPr="00E915AA">
              <w:rPr>
                <w:rFonts w:ascii="Times New Roman" w:eastAsia="Times New Roman" w:hAnsi="Times New Roman" w:cs="Times New Roman"/>
                <w:sz w:val="12"/>
                <w:szCs w:val="14"/>
                <w:lang w:val="en-GB" w:eastAsia="en-GB"/>
              </w:rPr>
              <w:br/>
              <w:t>(1.47)</w:t>
            </w:r>
          </w:p>
        </w:tc>
        <w:tc>
          <w:tcPr>
            <w:tcW w:w="251" w:type="dxa"/>
            <w:tcBorders>
              <w:top w:val="nil"/>
              <w:left w:val="nil"/>
              <w:bottom w:val="nil"/>
              <w:right w:val="nil"/>
            </w:tcBorders>
            <w:shd w:val="clear" w:color="auto" w:fill="auto"/>
            <w:noWrap/>
            <w:vAlign w:val="center"/>
            <w:hideMark/>
          </w:tcPr>
          <w:p w14:paraId="021587C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0F064E3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0.191***</w:t>
            </w:r>
            <w:r w:rsidRPr="00E915AA">
              <w:rPr>
                <w:rFonts w:ascii="Times New Roman" w:eastAsia="Times New Roman" w:hAnsi="Times New Roman" w:cs="Times New Roman"/>
                <w:sz w:val="12"/>
                <w:szCs w:val="14"/>
                <w:lang w:val="en-GB" w:eastAsia="en-GB"/>
              </w:rPr>
              <w:br/>
              <w:t>(3.44)</w:t>
            </w:r>
          </w:p>
        </w:tc>
        <w:tc>
          <w:tcPr>
            <w:tcW w:w="709" w:type="dxa"/>
            <w:tcBorders>
              <w:top w:val="nil"/>
              <w:left w:val="nil"/>
              <w:bottom w:val="nil"/>
              <w:right w:val="nil"/>
            </w:tcBorders>
            <w:shd w:val="clear" w:color="auto" w:fill="auto"/>
            <w:vAlign w:val="center"/>
            <w:hideMark/>
          </w:tcPr>
          <w:p w14:paraId="7FF41A1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0.188***</w:t>
            </w:r>
            <w:r w:rsidRPr="00E915AA">
              <w:rPr>
                <w:rFonts w:ascii="Times New Roman" w:eastAsia="Times New Roman" w:hAnsi="Times New Roman" w:cs="Times New Roman"/>
                <w:sz w:val="12"/>
                <w:szCs w:val="14"/>
                <w:lang w:val="en-GB" w:eastAsia="en-GB"/>
              </w:rPr>
              <w:br/>
              <w:t>(3.14)</w:t>
            </w:r>
          </w:p>
        </w:tc>
        <w:tc>
          <w:tcPr>
            <w:tcW w:w="709" w:type="dxa"/>
            <w:tcBorders>
              <w:top w:val="nil"/>
              <w:left w:val="nil"/>
              <w:bottom w:val="nil"/>
              <w:right w:val="nil"/>
            </w:tcBorders>
            <w:shd w:val="clear" w:color="auto" w:fill="auto"/>
            <w:vAlign w:val="center"/>
            <w:hideMark/>
          </w:tcPr>
          <w:p w14:paraId="529970A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0.153***</w:t>
            </w:r>
            <w:r w:rsidRPr="00E915AA">
              <w:rPr>
                <w:rFonts w:ascii="Times New Roman" w:eastAsia="Times New Roman" w:hAnsi="Times New Roman" w:cs="Times New Roman"/>
                <w:sz w:val="12"/>
                <w:szCs w:val="14"/>
                <w:lang w:val="en-GB" w:eastAsia="en-GB"/>
              </w:rPr>
              <w:br/>
              <w:t>(3.35)</w:t>
            </w:r>
          </w:p>
        </w:tc>
        <w:tc>
          <w:tcPr>
            <w:tcW w:w="251" w:type="dxa"/>
            <w:tcBorders>
              <w:top w:val="nil"/>
              <w:left w:val="nil"/>
              <w:bottom w:val="nil"/>
              <w:right w:val="nil"/>
            </w:tcBorders>
            <w:shd w:val="clear" w:color="auto" w:fill="auto"/>
            <w:noWrap/>
            <w:vAlign w:val="center"/>
            <w:hideMark/>
          </w:tcPr>
          <w:p w14:paraId="63833BB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3C95AF4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0.231</w:t>
            </w:r>
            <w:r w:rsidRPr="00E915AA">
              <w:rPr>
                <w:rFonts w:ascii="Times New Roman" w:eastAsia="Times New Roman" w:hAnsi="Times New Roman" w:cs="Times New Roman"/>
                <w:sz w:val="12"/>
                <w:szCs w:val="14"/>
                <w:lang w:val="en-GB" w:eastAsia="en-GB"/>
              </w:rPr>
              <w:br/>
              <w:t>(1.16)</w:t>
            </w:r>
          </w:p>
        </w:tc>
        <w:tc>
          <w:tcPr>
            <w:tcW w:w="709" w:type="dxa"/>
            <w:tcBorders>
              <w:top w:val="nil"/>
              <w:left w:val="nil"/>
              <w:bottom w:val="nil"/>
              <w:right w:val="nil"/>
            </w:tcBorders>
            <w:shd w:val="clear" w:color="auto" w:fill="auto"/>
            <w:vAlign w:val="center"/>
            <w:hideMark/>
          </w:tcPr>
          <w:p w14:paraId="5572C0B6"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0.219</w:t>
            </w:r>
            <w:r w:rsidRPr="00E915AA">
              <w:rPr>
                <w:rFonts w:ascii="Times New Roman" w:eastAsia="Times New Roman" w:hAnsi="Times New Roman" w:cs="Times New Roman"/>
                <w:sz w:val="12"/>
                <w:szCs w:val="14"/>
                <w:lang w:val="en-GB" w:eastAsia="en-GB"/>
              </w:rPr>
              <w:br/>
              <w:t>(1.04)</w:t>
            </w:r>
          </w:p>
        </w:tc>
        <w:tc>
          <w:tcPr>
            <w:tcW w:w="708" w:type="dxa"/>
            <w:tcBorders>
              <w:top w:val="nil"/>
              <w:left w:val="nil"/>
              <w:bottom w:val="nil"/>
              <w:right w:val="nil"/>
            </w:tcBorders>
            <w:shd w:val="clear" w:color="auto" w:fill="auto"/>
            <w:vAlign w:val="center"/>
            <w:hideMark/>
          </w:tcPr>
          <w:p w14:paraId="2E57F89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0.142</w:t>
            </w:r>
            <w:r w:rsidRPr="00E915AA">
              <w:rPr>
                <w:rFonts w:ascii="Times New Roman" w:eastAsia="Times New Roman" w:hAnsi="Times New Roman" w:cs="Times New Roman"/>
                <w:sz w:val="12"/>
                <w:szCs w:val="14"/>
                <w:lang w:val="en-GB" w:eastAsia="en-GB"/>
              </w:rPr>
              <w:br/>
              <w:t>(0.64)</w:t>
            </w:r>
          </w:p>
        </w:tc>
        <w:tc>
          <w:tcPr>
            <w:tcW w:w="251" w:type="dxa"/>
            <w:tcBorders>
              <w:top w:val="nil"/>
              <w:left w:val="nil"/>
              <w:bottom w:val="nil"/>
              <w:right w:val="nil"/>
            </w:tcBorders>
            <w:shd w:val="clear" w:color="auto" w:fill="auto"/>
            <w:noWrap/>
            <w:vAlign w:val="center"/>
            <w:hideMark/>
          </w:tcPr>
          <w:p w14:paraId="7FE94120"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32745B4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0.323**</w:t>
            </w:r>
            <w:r w:rsidRPr="00E915AA">
              <w:rPr>
                <w:rFonts w:ascii="Times New Roman" w:eastAsia="Times New Roman" w:hAnsi="Times New Roman" w:cs="Times New Roman"/>
                <w:sz w:val="12"/>
                <w:szCs w:val="14"/>
                <w:lang w:val="en-GB" w:eastAsia="en-GB"/>
              </w:rPr>
              <w:br/>
              <w:t>(1.97)</w:t>
            </w:r>
          </w:p>
        </w:tc>
        <w:tc>
          <w:tcPr>
            <w:tcW w:w="708" w:type="dxa"/>
            <w:tcBorders>
              <w:top w:val="nil"/>
              <w:left w:val="nil"/>
              <w:bottom w:val="nil"/>
              <w:right w:val="nil"/>
            </w:tcBorders>
            <w:shd w:val="clear" w:color="auto" w:fill="auto"/>
            <w:vAlign w:val="center"/>
            <w:hideMark/>
          </w:tcPr>
          <w:p w14:paraId="34DE163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0.331*</w:t>
            </w:r>
            <w:r w:rsidRPr="00E915AA">
              <w:rPr>
                <w:rFonts w:ascii="Times New Roman" w:eastAsia="Times New Roman" w:hAnsi="Times New Roman" w:cs="Times New Roman"/>
                <w:sz w:val="12"/>
                <w:szCs w:val="14"/>
                <w:lang w:val="en-GB" w:eastAsia="en-GB"/>
              </w:rPr>
              <w:br/>
              <w:t>(1.89)</w:t>
            </w:r>
          </w:p>
        </w:tc>
        <w:tc>
          <w:tcPr>
            <w:tcW w:w="853" w:type="dxa"/>
            <w:gridSpan w:val="2"/>
            <w:tcBorders>
              <w:top w:val="nil"/>
              <w:left w:val="nil"/>
              <w:bottom w:val="nil"/>
              <w:right w:val="nil"/>
            </w:tcBorders>
            <w:shd w:val="clear" w:color="auto" w:fill="auto"/>
            <w:vAlign w:val="center"/>
            <w:hideMark/>
          </w:tcPr>
          <w:p w14:paraId="470840D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0.277*</w:t>
            </w:r>
            <w:r w:rsidRPr="00E915AA">
              <w:rPr>
                <w:rFonts w:ascii="Times New Roman" w:eastAsia="Times New Roman" w:hAnsi="Times New Roman" w:cs="Times New Roman"/>
                <w:sz w:val="12"/>
                <w:szCs w:val="14"/>
                <w:lang w:val="en-GB" w:eastAsia="en-GB"/>
              </w:rPr>
              <w:br/>
              <w:t>(1.67)</w:t>
            </w:r>
          </w:p>
        </w:tc>
      </w:tr>
      <w:tr w:rsidR="002C6719" w:rsidRPr="00E915AA" w14:paraId="4E56063B" w14:textId="77777777" w:rsidTr="0073176B">
        <w:trPr>
          <w:trHeight w:val="360"/>
        </w:trPr>
        <w:tc>
          <w:tcPr>
            <w:tcW w:w="1080" w:type="dxa"/>
            <w:tcBorders>
              <w:top w:val="nil"/>
              <w:left w:val="nil"/>
              <w:bottom w:val="nil"/>
              <w:right w:val="nil"/>
            </w:tcBorders>
            <w:shd w:val="clear" w:color="auto" w:fill="auto"/>
            <w:noWrap/>
            <w:vAlign w:val="center"/>
            <w:hideMark/>
          </w:tcPr>
          <w:p w14:paraId="62EB8A6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roofErr w:type="spellStart"/>
            <w:r w:rsidRPr="00E915AA">
              <w:rPr>
                <w:rFonts w:ascii="Times New Roman" w:eastAsia="Times New Roman" w:hAnsi="Times New Roman" w:cs="Times New Roman"/>
                <w:color w:val="000000"/>
                <w:sz w:val="12"/>
                <w:szCs w:val="14"/>
                <w:lang w:val="en-GB" w:eastAsia="en-GB"/>
              </w:rPr>
              <w:t>CEOchairperson</w:t>
            </w:r>
            <w:proofErr w:type="spellEnd"/>
          </w:p>
        </w:tc>
        <w:tc>
          <w:tcPr>
            <w:tcW w:w="267" w:type="dxa"/>
            <w:tcBorders>
              <w:top w:val="nil"/>
              <w:left w:val="nil"/>
              <w:bottom w:val="nil"/>
              <w:right w:val="nil"/>
            </w:tcBorders>
            <w:shd w:val="clear" w:color="auto" w:fill="auto"/>
            <w:noWrap/>
            <w:vAlign w:val="center"/>
            <w:hideMark/>
          </w:tcPr>
          <w:p w14:paraId="012911F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vAlign w:val="center"/>
            <w:hideMark/>
          </w:tcPr>
          <w:p w14:paraId="1FA22ECF"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-0.012</w:t>
            </w:r>
            <w:r w:rsidRPr="00E915AA">
              <w:rPr>
                <w:rFonts w:ascii="Times New Roman" w:eastAsia="Times New Roman" w:hAnsi="Times New Roman" w:cs="Times New Roman"/>
                <w:sz w:val="12"/>
                <w:szCs w:val="14"/>
                <w:lang w:val="en-GB" w:eastAsia="en-GB"/>
              </w:rPr>
              <w:br/>
              <w:t>(-0.23)</w:t>
            </w:r>
          </w:p>
        </w:tc>
        <w:tc>
          <w:tcPr>
            <w:tcW w:w="709" w:type="dxa"/>
            <w:tcBorders>
              <w:top w:val="nil"/>
              <w:left w:val="nil"/>
              <w:bottom w:val="nil"/>
              <w:right w:val="nil"/>
            </w:tcBorders>
            <w:shd w:val="clear" w:color="auto" w:fill="auto"/>
            <w:vAlign w:val="center"/>
            <w:hideMark/>
          </w:tcPr>
          <w:p w14:paraId="2BEA700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-0.018</w:t>
            </w:r>
            <w:r w:rsidRPr="00E915AA">
              <w:rPr>
                <w:rFonts w:ascii="Times New Roman" w:eastAsia="Times New Roman" w:hAnsi="Times New Roman" w:cs="Times New Roman"/>
                <w:sz w:val="12"/>
                <w:szCs w:val="14"/>
                <w:lang w:val="en-GB" w:eastAsia="en-GB"/>
              </w:rPr>
              <w:br/>
              <w:t>(-0.34)</w:t>
            </w:r>
          </w:p>
        </w:tc>
        <w:tc>
          <w:tcPr>
            <w:tcW w:w="708" w:type="dxa"/>
            <w:tcBorders>
              <w:top w:val="nil"/>
              <w:left w:val="nil"/>
              <w:bottom w:val="nil"/>
              <w:right w:val="nil"/>
            </w:tcBorders>
            <w:shd w:val="clear" w:color="auto" w:fill="auto"/>
            <w:vAlign w:val="center"/>
            <w:hideMark/>
          </w:tcPr>
          <w:p w14:paraId="5BD87DB1"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-0.013</w:t>
            </w:r>
            <w:r w:rsidRPr="00E915AA">
              <w:rPr>
                <w:rFonts w:ascii="Times New Roman" w:eastAsia="Times New Roman" w:hAnsi="Times New Roman" w:cs="Times New Roman"/>
                <w:sz w:val="12"/>
                <w:szCs w:val="14"/>
                <w:lang w:val="en-GB" w:eastAsia="en-GB"/>
              </w:rPr>
              <w:br/>
              <w:t>(-0.24)</w:t>
            </w:r>
          </w:p>
        </w:tc>
        <w:tc>
          <w:tcPr>
            <w:tcW w:w="251" w:type="dxa"/>
            <w:tcBorders>
              <w:top w:val="nil"/>
              <w:left w:val="nil"/>
              <w:bottom w:val="nil"/>
              <w:right w:val="nil"/>
            </w:tcBorders>
            <w:shd w:val="clear" w:color="auto" w:fill="auto"/>
            <w:noWrap/>
            <w:vAlign w:val="center"/>
            <w:hideMark/>
          </w:tcPr>
          <w:p w14:paraId="1B5AD9E4"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0765AEE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0.064</w:t>
            </w:r>
            <w:r w:rsidRPr="00E915AA">
              <w:rPr>
                <w:rFonts w:ascii="Times New Roman" w:eastAsia="Times New Roman" w:hAnsi="Times New Roman" w:cs="Times New Roman"/>
                <w:sz w:val="12"/>
                <w:szCs w:val="14"/>
                <w:lang w:val="en-GB" w:eastAsia="en-GB"/>
              </w:rPr>
              <w:br/>
              <w:t>(0.92)</w:t>
            </w:r>
          </w:p>
        </w:tc>
        <w:tc>
          <w:tcPr>
            <w:tcW w:w="741" w:type="dxa"/>
            <w:tcBorders>
              <w:top w:val="nil"/>
              <w:left w:val="nil"/>
              <w:bottom w:val="nil"/>
              <w:right w:val="nil"/>
            </w:tcBorders>
            <w:shd w:val="clear" w:color="auto" w:fill="auto"/>
            <w:vAlign w:val="center"/>
            <w:hideMark/>
          </w:tcPr>
          <w:p w14:paraId="62F2F0A3"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0.055</w:t>
            </w:r>
            <w:r w:rsidRPr="00E915AA">
              <w:rPr>
                <w:rFonts w:ascii="Times New Roman" w:eastAsia="Times New Roman" w:hAnsi="Times New Roman" w:cs="Times New Roman"/>
                <w:sz w:val="12"/>
                <w:szCs w:val="14"/>
                <w:lang w:val="en-GB" w:eastAsia="en-GB"/>
              </w:rPr>
              <w:br/>
              <w:t>(0.81)</w:t>
            </w:r>
          </w:p>
        </w:tc>
        <w:tc>
          <w:tcPr>
            <w:tcW w:w="748" w:type="dxa"/>
            <w:tcBorders>
              <w:top w:val="nil"/>
              <w:left w:val="nil"/>
              <w:bottom w:val="nil"/>
              <w:right w:val="nil"/>
            </w:tcBorders>
            <w:shd w:val="clear" w:color="auto" w:fill="auto"/>
            <w:vAlign w:val="center"/>
            <w:hideMark/>
          </w:tcPr>
          <w:p w14:paraId="1D06839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0.080</w:t>
            </w:r>
            <w:r w:rsidRPr="00E915AA">
              <w:rPr>
                <w:rFonts w:ascii="Times New Roman" w:eastAsia="Times New Roman" w:hAnsi="Times New Roman" w:cs="Times New Roman"/>
                <w:sz w:val="12"/>
                <w:szCs w:val="14"/>
                <w:lang w:val="en-GB" w:eastAsia="en-GB"/>
              </w:rPr>
              <w:br/>
              <w:t>(1.09)</w:t>
            </w:r>
          </w:p>
        </w:tc>
        <w:tc>
          <w:tcPr>
            <w:tcW w:w="251" w:type="dxa"/>
            <w:tcBorders>
              <w:top w:val="nil"/>
              <w:left w:val="nil"/>
              <w:bottom w:val="nil"/>
              <w:right w:val="nil"/>
            </w:tcBorders>
            <w:shd w:val="clear" w:color="auto" w:fill="auto"/>
            <w:noWrap/>
            <w:vAlign w:val="center"/>
            <w:hideMark/>
          </w:tcPr>
          <w:p w14:paraId="1DF2302A"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811" w:type="dxa"/>
            <w:tcBorders>
              <w:top w:val="nil"/>
              <w:left w:val="nil"/>
              <w:bottom w:val="nil"/>
              <w:right w:val="nil"/>
            </w:tcBorders>
            <w:shd w:val="clear" w:color="auto" w:fill="auto"/>
            <w:vAlign w:val="center"/>
            <w:hideMark/>
          </w:tcPr>
          <w:p w14:paraId="6F2E709B"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-0.038</w:t>
            </w:r>
            <w:r w:rsidRPr="00E915AA">
              <w:rPr>
                <w:rFonts w:ascii="Times New Roman" w:eastAsia="Times New Roman" w:hAnsi="Times New Roman" w:cs="Times New Roman"/>
                <w:sz w:val="12"/>
                <w:szCs w:val="14"/>
                <w:lang w:val="en-GB" w:eastAsia="en-GB"/>
              </w:rPr>
              <w:br/>
              <w:t>(-0.74)</w:t>
            </w:r>
          </w:p>
        </w:tc>
        <w:tc>
          <w:tcPr>
            <w:tcW w:w="709" w:type="dxa"/>
            <w:tcBorders>
              <w:top w:val="nil"/>
              <w:left w:val="nil"/>
              <w:bottom w:val="nil"/>
              <w:right w:val="nil"/>
            </w:tcBorders>
            <w:shd w:val="clear" w:color="auto" w:fill="auto"/>
            <w:vAlign w:val="center"/>
            <w:hideMark/>
          </w:tcPr>
          <w:p w14:paraId="63A2D0B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-0.046</w:t>
            </w:r>
            <w:r w:rsidRPr="00E915AA">
              <w:rPr>
                <w:rFonts w:ascii="Times New Roman" w:eastAsia="Times New Roman" w:hAnsi="Times New Roman" w:cs="Times New Roman"/>
                <w:sz w:val="12"/>
                <w:szCs w:val="14"/>
                <w:lang w:val="en-GB" w:eastAsia="en-GB"/>
              </w:rPr>
              <w:br/>
              <w:t>(-0.88)</w:t>
            </w:r>
          </w:p>
        </w:tc>
        <w:tc>
          <w:tcPr>
            <w:tcW w:w="709" w:type="dxa"/>
            <w:tcBorders>
              <w:top w:val="nil"/>
              <w:left w:val="nil"/>
              <w:bottom w:val="nil"/>
              <w:right w:val="nil"/>
            </w:tcBorders>
            <w:shd w:val="clear" w:color="auto" w:fill="auto"/>
            <w:vAlign w:val="center"/>
            <w:hideMark/>
          </w:tcPr>
          <w:p w14:paraId="782EA1D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-0.048</w:t>
            </w:r>
            <w:r w:rsidRPr="00E915AA">
              <w:rPr>
                <w:rFonts w:ascii="Times New Roman" w:eastAsia="Times New Roman" w:hAnsi="Times New Roman" w:cs="Times New Roman"/>
                <w:sz w:val="12"/>
                <w:szCs w:val="14"/>
                <w:lang w:val="en-GB" w:eastAsia="en-GB"/>
              </w:rPr>
              <w:br/>
              <w:t>(-0.87)</w:t>
            </w:r>
          </w:p>
        </w:tc>
        <w:tc>
          <w:tcPr>
            <w:tcW w:w="251" w:type="dxa"/>
            <w:tcBorders>
              <w:top w:val="nil"/>
              <w:left w:val="nil"/>
              <w:bottom w:val="nil"/>
              <w:right w:val="nil"/>
            </w:tcBorders>
            <w:shd w:val="clear" w:color="auto" w:fill="auto"/>
            <w:noWrap/>
            <w:vAlign w:val="center"/>
            <w:hideMark/>
          </w:tcPr>
          <w:p w14:paraId="3002FA3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1" w:type="dxa"/>
            <w:tcBorders>
              <w:top w:val="nil"/>
              <w:left w:val="nil"/>
              <w:bottom w:val="nil"/>
              <w:right w:val="nil"/>
            </w:tcBorders>
            <w:shd w:val="clear" w:color="auto" w:fill="auto"/>
            <w:vAlign w:val="center"/>
            <w:hideMark/>
          </w:tcPr>
          <w:p w14:paraId="7D45CC72"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-0.077</w:t>
            </w:r>
            <w:r w:rsidRPr="00E915AA">
              <w:rPr>
                <w:rFonts w:ascii="Times New Roman" w:eastAsia="Times New Roman" w:hAnsi="Times New Roman" w:cs="Times New Roman"/>
                <w:sz w:val="12"/>
                <w:szCs w:val="14"/>
                <w:lang w:val="en-GB" w:eastAsia="en-GB"/>
              </w:rPr>
              <w:br/>
              <w:t>(-0.71)</w:t>
            </w:r>
          </w:p>
        </w:tc>
        <w:tc>
          <w:tcPr>
            <w:tcW w:w="709" w:type="dxa"/>
            <w:tcBorders>
              <w:top w:val="nil"/>
              <w:left w:val="nil"/>
              <w:bottom w:val="nil"/>
              <w:right w:val="nil"/>
            </w:tcBorders>
            <w:shd w:val="clear" w:color="auto" w:fill="auto"/>
            <w:vAlign w:val="center"/>
            <w:hideMark/>
          </w:tcPr>
          <w:p w14:paraId="79C121A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-0.077</w:t>
            </w:r>
            <w:r w:rsidRPr="00E915AA">
              <w:rPr>
                <w:rFonts w:ascii="Times New Roman" w:eastAsia="Times New Roman" w:hAnsi="Times New Roman" w:cs="Times New Roman"/>
                <w:sz w:val="12"/>
                <w:szCs w:val="14"/>
                <w:lang w:val="en-GB" w:eastAsia="en-GB"/>
              </w:rPr>
              <w:br/>
              <w:t>(-0.71)</w:t>
            </w:r>
          </w:p>
        </w:tc>
        <w:tc>
          <w:tcPr>
            <w:tcW w:w="708" w:type="dxa"/>
            <w:tcBorders>
              <w:top w:val="nil"/>
              <w:left w:val="nil"/>
              <w:bottom w:val="nil"/>
              <w:right w:val="nil"/>
            </w:tcBorders>
            <w:shd w:val="clear" w:color="auto" w:fill="auto"/>
            <w:vAlign w:val="center"/>
            <w:hideMark/>
          </w:tcPr>
          <w:p w14:paraId="013507C5"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-0.047</w:t>
            </w:r>
            <w:r w:rsidRPr="00E915AA">
              <w:rPr>
                <w:rFonts w:ascii="Times New Roman" w:eastAsia="Times New Roman" w:hAnsi="Times New Roman" w:cs="Times New Roman"/>
                <w:sz w:val="12"/>
                <w:szCs w:val="14"/>
                <w:lang w:val="en-GB" w:eastAsia="en-GB"/>
              </w:rPr>
              <w:br/>
              <w:t>(-0.45)</w:t>
            </w:r>
          </w:p>
        </w:tc>
        <w:tc>
          <w:tcPr>
            <w:tcW w:w="251" w:type="dxa"/>
            <w:tcBorders>
              <w:top w:val="nil"/>
              <w:left w:val="nil"/>
              <w:bottom w:val="nil"/>
              <w:right w:val="nil"/>
            </w:tcBorders>
            <w:shd w:val="clear" w:color="auto" w:fill="auto"/>
            <w:noWrap/>
            <w:vAlign w:val="center"/>
            <w:hideMark/>
          </w:tcPr>
          <w:p w14:paraId="6A77CD08"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742" w:type="dxa"/>
            <w:tcBorders>
              <w:top w:val="nil"/>
              <w:left w:val="nil"/>
              <w:bottom w:val="nil"/>
              <w:right w:val="nil"/>
            </w:tcBorders>
            <w:shd w:val="clear" w:color="auto" w:fill="auto"/>
            <w:vAlign w:val="center"/>
            <w:hideMark/>
          </w:tcPr>
          <w:p w14:paraId="11019C27"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-0.025</w:t>
            </w:r>
            <w:r w:rsidRPr="00E915AA">
              <w:rPr>
                <w:rFonts w:ascii="Times New Roman" w:eastAsia="Times New Roman" w:hAnsi="Times New Roman" w:cs="Times New Roman"/>
                <w:sz w:val="12"/>
                <w:szCs w:val="14"/>
                <w:lang w:val="en-GB" w:eastAsia="en-GB"/>
              </w:rPr>
              <w:br/>
              <w:t>(-0.21)</w:t>
            </w:r>
          </w:p>
        </w:tc>
        <w:tc>
          <w:tcPr>
            <w:tcW w:w="708" w:type="dxa"/>
            <w:tcBorders>
              <w:top w:val="nil"/>
              <w:left w:val="nil"/>
              <w:bottom w:val="nil"/>
              <w:right w:val="nil"/>
            </w:tcBorders>
            <w:shd w:val="clear" w:color="auto" w:fill="auto"/>
            <w:vAlign w:val="center"/>
            <w:hideMark/>
          </w:tcPr>
          <w:p w14:paraId="05D046DC"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-0.043</w:t>
            </w:r>
            <w:r w:rsidRPr="00E915AA">
              <w:rPr>
                <w:rFonts w:ascii="Times New Roman" w:eastAsia="Times New Roman" w:hAnsi="Times New Roman" w:cs="Times New Roman"/>
                <w:sz w:val="12"/>
                <w:szCs w:val="14"/>
                <w:lang w:val="en-GB" w:eastAsia="en-GB"/>
              </w:rPr>
              <w:br/>
              <w:t>(-0.35)</w:t>
            </w:r>
          </w:p>
        </w:tc>
        <w:tc>
          <w:tcPr>
            <w:tcW w:w="853" w:type="dxa"/>
            <w:gridSpan w:val="2"/>
            <w:tcBorders>
              <w:top w:val="nil"/>
              <w:left w:val="nil"/>
              <w:bottom w:val="nil"/>
              <w:right w:val="nil"/>
            </w:tcBorders>
            <w:shd w:val="clear" w:color="auto" w:fill="auto"/>
            <w:vAlign w:val="center"/>
            <w:hideMark/>
          </w:tcPr>
          <w:p w14:paraId="223B0C5D"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r w:rsidRPr="00E915AA">
              <w:rPr>
                <w:rFonts w:ascii="Times New Roman" w:eastAsia="Times New Roman" w:hAnsi="Times New Roman" w:cs="Times New Roman"/>
                <w:sz w:val="12"/>
                <w:szCs w:val="14"/>
                <w:lang w:val="en-GB" w:eastAsia="en-GB"/>
              </w:rPr>
              <w:t>-0.071</w:t>
            </w:r>
            <w:r w:rsidRPr="00E915AA">
              <w:rPr>
                <w:rFonts w:ascii="Times New Roman" w:eastAsia="Times New Roman" w:hAnsi="Times New Roman" w:cs="Times New Roman"/>
                <w:sz w:val="12"/>
                <w:szCs w:val="14"/>
                <w:lang w:val="en-GB" w:eastAsia="en-GB"/>
              </w:rPr>
              <w:br/>
              <w:t>(-0.51)</w:t>
            </w:r>
          </w:p>
        </w:tc>
      </w:tr>
      <w:tr w:rsidR="002C6719" w:rsidRPr="00E915AA" w14:paraId="34C52B43" w14:textId="77777777" w:rsidTr="0073176B">
        <w:trPr>
          <w:trHeight w:val="180"/>
        </w:trPr>
        <w:tc>
          <w:tcPr>
            <w:tcW w:w="1080" w:type="dxa"/>
            <w:tcBorders>
              <w:top w:val="nil"/>
              <w:left w:val="nil"/>
              <w:bottom w:val="nil"/>
              <w:right w:val="nil"/>
            </w:tcBorders>
            <w:shd w:val="clear" w:color="auto" w:fill="auto"/>
            <w:noWrap/>
            <w:vAlign w:val="bottom"/>
            <w:hideMark/>
          </w:tcPr>
          <w:p w14:paraId="375E10DE" w14:textId="77777777" w:rsidR="002C6719" w:rsidRPr="00E915AA" w:rsidRDefault="002C6719" w:rsidP="0073176B">
            <w:pPr>
              <w:spacing w:after="0" w:line="240" w:lineRule="auto"/>
              <w:jc w:val="center"/>
              <w:rPr>
                <w:rFonts w:ascii="Times New Roman" w:eastAsia="Times New Roman" w:hAnsi="Times New Roman" w:cs="Times New Roman"/>
                <w:sz w:val="12"/>
                <w:szCs w:val="14"/>
                <w:lang w:val="en-GB" w:eastAsia="en-GB"/>
              </w:rPr>
            </w:pPr>
          </w:p>
        </w:tc>
        <w:tc>
          <w:tcPr>
            <w:tcW w:w="267" w:type="dxa"/>
            <w:tcBorders>
              <w:top w:val="nil"/>
              <w:left w:val="nil"/>
              <w:bottom w:val="nil"/>
              <w:right w:val="nil"/>
            </w:tcBorders>
            <w:shd w:val="clear" w:color="auto" w:fill="auto"/>
            <w:noWrap/>
            <w:vAlign w:val="bottom"/>
            <w:hideMark/>
          </w:tcPr>
          <w:p w14:paraId="2EB9D790"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2A8F6AA8"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5AFB837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7DEFADFE"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6EF2DED5"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765B916E"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bottom"/>
            <w:hideMark/>
          </w:tcPr>
          <w:p w14:paraId="31E71323"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8" w:type="dxa"/>
            <w:tcBorders>
              <w:top w:val="nil"/>
              <w:left w:val="nil"/>
              <w:bottom w:val="nil"/>
              <w:right w:val="nil"/>
            </w:tcBorders>
            <w:shd w:val="clear" w:color="auto" w:fill="auto"/>
            <w:noWrap/>
            <w:vAlign w:val="bottom"/>
            <w:hideMark/>
          </w:tcPr>
          <w:p w14:paraId="08D5E808"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113324D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11" w:type="dxa"/>
            <w:tcBorders>
              <w:top w:val="nil"/>
              <w:left w:val="nil"/>
              <w:bottom w:val="nil"/>
              <w:right w:val="nil"/>
            </w:tcBorders>
            <w:shd w:val="clear" w:color="auto" w:fill="auto"/>
            <w:noWrap/>
            <w:vAlign w:val="bottom"/>
            <w:hideMark/>
          </w:tcPr>
          <w:p w14:paraId="721A27B2"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7071C9B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5853E9E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264182A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bottom"/>
            <w:hideMark/>
          </w:tcPr>
          <w:p w14:paraId="3A3E604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05FFE680"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453A6F27"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6DC6FCEA"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05E17D5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36934967"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53" w:type="dxa"/>
            <w:gridSpan w:val="2"/>
            <w:tcBorders>
              <w:top w:val="nil"/>
              <w:left w:val="nil"/>
              <w:bottom w:val="nil"/>
              <w:right w:val="nil"/>
            </w:tcBorders>
            <w:shd w:val="clear" w:color="auto" w:fill="auto"/>
            <w:noWrap/>
            <w:vAlign w:val="bottom"/>
            <w:hideMark/>
          </w:tcPr>
          <w:p w14:paraId="4B73CE7B"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r>
      <w:tr w:rsidR="002C6719" w:rsidRPr="00E915AA" w14:paraId="3EB2C433" w14:textId="77777777" w:rsidTr="0073176B">
        <w:trPr>
          <w:trHeight w:val="180"/>
        </w:trPr>
        <w:tc>
          <w:tcPr>
            <w:tcW w:w="1080" w:type="dxa"/>
            <w:tcBorders>
              <w:top w:val="nil"/>
              <w:left w:val="nil"/>
              <w:bottom w:val="nil"/>
              <w:right w:val="nil"/>
            </w:tcBorders>
            <w:shd w:val="clear" w:color="auto" w:fill="auto"/>
            <w:noWrap/>
            <w:vAlign w:val="bottom"/>
            <w:hideMark/>
          </w:tcPr>
          <w:p w14:paraId="0B19765F"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FE industry</w:t>
            </w:r>
          </w:p>
        </w:tc>
        <w:tc>
          <w:tcPr>
            <w:tcW w:w="267" w:type="dxa"/>
            <w:tcBorders>
              <w:top w:val="nil"/>
              <w:left w:val="nil"/>
              <w:bottom w:val="nil"/>
              <w:right w:val="nil"/>
            </w:tcBorders>
            <w:shd w:val="clear" w:color="auto" w:fill="auto"/>
            <w:noWrap/>
            <w:vAlign w:val="bottom"/>
            <w:hideMark/>
          </w:tcPr>
          <w:p w14:paraId="6ADEC37F"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7EFEC6A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0F1928F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5345CCF8"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37D5313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08CEE7A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41" w:type="dxa"/>
            <w:tcBorders>
              <w:top w:val="nil"/>
              <w:left w:val="nil"/>
              <w:bottom w:val="nil"/>
              <w:right w:val="nil"/>
            </w:tcBorders>
            <w:shd w:val="clear" w:color="auto" w:fill="auto"/>
            <w:noWrap/>
            <w:vAlign w:val="bottom"/>
            <w:hideMark/>
          </w:tcPr>
          <w:p w14:paraId="04989F4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48" w:type="dxa"/>
            <w:tcBorders>
              <w:top w:val="nil"/>
              <w:left w:val="nil"/>
              <w:bottom w:val="nil"/>
              <w:right w:val="nil"/>
            </w:tcBorders>
            <w:shd w:val="clear" w:color="auto" w:fill="auto"/>
            <w:noWrap/>
            <w:vAlign w:val="bottom"/>
            <w:hideMark/>
          </w:tcPr>
          <w:p w14:paraId="6E22F21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4DAEE00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811" w:type="dxa"/>
            <w:tcBorders>
              <w:top w:val="nil"/>
              <w:left w:val="nil"/>
              <w:bottom w:val="nil"/>
              <w:right w:val="nil"/>
            </w:tcBorders>
            <w:shd w:val="clear" w:color="auto" w:fill="auto"/>
            <w:noWrap/>
            <w:vAlign w:val="bottom"/>
            <w:hideMark/>
          </w:tcPr>
          <w:p w14:paraId="48D668C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647F7A01"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09786A08"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6B887D6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1" w:type="dxa"/>
            <w:tcBorders>
              <w:top w:val="nil"/>
              <w:left w:val="nil"/>
              <w:bottom w:val="nil"/>
              <w:right w:val="nil"/>
            </w:tcBorders>
            <w:shd w:val="clear" w:color="auto" w:fill="auto"/>
            <w:noWrap/>
            <w:vAlign w:val="bottom"/>
            <w:hideMark/>
          </w:tcPr>
          <w:p w14:paraId="6E4104E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4F67172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40F0BE7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6EC6A52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55BABA89"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7792ECD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853" w:type="dxa"/>
            <w:gridSpan w:val="2"/>
            <w:tcBorders>
              <w:top w:val="nil"/>
              <w:left w:val="nil"/>
              <w:bottom w:val="nil"/>
              <w:right w:val="nil"/>
            </w:tcBorders>
            <w:shd w:val="clear" w:color="auto" w:fill="auto"/>
            <w:noWrap/>
            <w:vAlign w:val="bottom"/>
            <w:hideMark/>
          </w:tcPr>
          <w:p w14:paraId="5A95C4F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r>
      <w:tr w:rsidR="002C6719" w:rsidRPr="00E915AA" w14:paraId="4B7E085F" w14:textId="77777777" w:rsidTr="0073176B">
        <w:trPr>
          <w:trHeight w:val="180"/>
        </w:trPr>
        <w:tc>
          <w:tcPr>
            <w:tcW w:w="1080" w:type="dxa"/>
            <w:tcBorders>
              <w:top w:val="nil"/>
              <w:left w:val="nil"/>
              <w:bottom w:val="nil"/>
              <w:right w:val="nil"/>
            </w:tcBorders>
            <w:shd w:val="clear" w:color="auto" w:fill="auto"/>
            <w:noWrap/>
            <w:vAlign w:val="bottom"/>
            <w:hideMark/>
          </w:tcPr>
          <w:p w14:paraId="6B1DAB65"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FE year</w:t>
            </w:r>
          </w:p>
        </w:tc>
        <w:tc>
          <w:tcPr>
            <w:tcW w:w="267" w:type="dxa"/>
            <w:tcBorders>
              <w:top w:val="nil"/>
              <w:left w:val="nil"/>
              <w:bottom w:val="nil"/>
              <w:right w:val="nil"/>
            </w:tcBorders>
            <w:shd w:val="clear" w:color="auto" w:fill="auto"/>
            <w:noWrap/>
            <w:vAlign w:val="bottom"/>
            <w:hideMark/>
          </w:tcPr>
          <w:p w14:paraId="6C453DD8"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376286E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59DEE48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56F1CBE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152789D3"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28DF2CA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41" w:type="dxa"/>
            <w:tcBorders>
              <w:top w:val="nil"/>
              <w:left w:val="nil"/>
              <w:bottom w:val="nil"/>
              <w:right w:val="nil"/>
            </w:tcBorders>
            <w:shd w:val="clear" w:color="auto" w:fill="auto"/>
            <w:noWrap/>
            <w:vAlign w:val="bottom"/>
            <w:hideMark/>
          </w:tcPr>
          <w:p w14:paraId="14C0198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48" w:type="dxa"/>
            <w:tcBorders>
              <w:top w:val="nil"/>
              <w:left w:val="nil"/>
              <w:bottom w:val="nil"/>
              <w:right w:val="nil"/>
            </w:tcBorders>
            <w:shd w:val="clear" w:color="auto" w:fill="auto"/>
            <w:noWrap/>
            <w:vAlign w:val="bottom"/>
            <w:hideMark/>
          </w:tcPr>
          <w:p w14:paraId="28A0C968"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3B5B617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811" w:type="dxa"/>
            <w:tcBorders>
              <w:top w:val="nil"/>
              <w:left w:val="nil"/>
              <w:bottom w:val="nil"/>
              <w:right w:val="nil"/>
            </w:tcBorders>
            <w:shd w:val="clear" w:color="auto" w:fill="auto"/>
            <w:noWrap/>
            <w:vAlign w:val="bottom"/>
            <w:hideMark/>
          </w:tcPr>
          <w:p w14:paraId="3BB5EA8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4CF39CB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38CF86C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0C731F0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1" w:type="dxa"/>
            <w:tcBorders>
              <w:top w:val="nil"/>
              <w:left w:val="nil"/>
              <w:bottom w:val="nil"/>
              <w:right w:val="nil"/>
            </w:tcBorders>
            <w:shd w:val="clear" w:color="auto" w:fill="auto"/>
            <w:noWrap/>
            <w:vAlign w:val="bottom"/>
            <w:hideMark/>
          </w:tcPr>
          <w:p w14:paraId="377AC828"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9" w:type="dxa"/>
            <w:tcBorders>
              <w:top w:val="nil"/>
              <w:left w:val="nil"/>
              <w:bottom w:val="nil"/>
              <w:right w:val="nil"/>
            </w:tcBorders>
            <w:shd w:val="clear" w:color="auto" w:fill="auto"/>
            <w:noWrap/>
            <w:vAlign w:val="bottom"/>
            <w:hideMark/>
          </w:tcPr>
          <w:p w14:paraId="7C5D743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2840E323"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251" w:type="dxa"/>
            <w:tcBorders>
              <w:top w:val="nil"/>
              <w:left w:val="nil"/>
              <w:bottom w:val="nil"/>
              <w:right w:val="nil"/>
            </w:tcBorders>
            <w:shd w:val="clear" w:color="auto" w:fill="auto"/>
            <w:noWrap/>
            <w:vAlign w:val="bottom"/>
            <w:hideMark/>
          </w:tcPr>
          <w:p w14:paraId="5C56782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7C4D349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708" w:type="dxa"/>
            <w:tcBorders>
              <w:top w:val="nil"/>
              <w:left w:val="nil"/>
              <w:bottom w:val="nil"/>
              <w:right w:val="nil"/>
            </w:tcBorders>
            <w:shd w:val="clear" w:color="auto" w:fill="auto"/>
            <w:noWrap/>
            <w:vAlign w:val="bottom"/>
            <w:hideMark/>
          </w:tcPr>
          <w:p w14:paraId="38E80B7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c>
          <w:tcPr>
            <w:tcW w:w="853" w:type="dxa"/>
            <w:gridSpan w:val="2"/>
            <w:tcBorders>
              <w:top w:val="nil"/>
              <w:left w:val="nil"/>
              <w:bottom w:val="nil"/>
              <w:right w:val="nil"/>
            </w:tcBorders>
            <w:shd w:val="clear" w:color="auto" w:fill="auto"/>
            <w:noWrap/>
            <w:vAlign w:val="bottom"/>
            <w:hideMark/>
          </w:tcPr>
          <w:p w14:paraId="390D3A3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Included</w:t>
            </w:r>
          </w:p>
        </w:tc>
      </w:tr>
      <w:tr w:rsidR="002C6719" w:rsidRPr="00E915AA" w14:paraId="0C3DDF52" w14:textId="77777777" w:rsidTr="0073176B">
        <w:trPr>
          <w:trHeight w:val="180"/>
        </w:trPr>
        <w:tc>
          <w:tcPr>
            <w:tcW w:w="1080" w:type="dxa"/>
            <w:tcBorders>
              <w:top w:val="nil"/>
              <w:left w:val="nil"/>
              <w:bottom w:val="nil"/>
              <w:right w:val="nil"/>
            </w:tcBorders>
            <w:shd w:val="clear" w:color="auto" w:fill="auto"/>
            <w:noWrap/>
            <w:vAlign w:val="bottom"/>
            <w:hideMark/>
          </w:tcPr>
          <w:p w14:paraId="3D14028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267" w:type="dxa"/>
            <w:tcBorders>
              <w:top w:val="nil"/>
              <w:left w:val="nil"/>
              <w:bottom w:val="nil"/>
              <w:right w:val="nil"/>
            </w:tcBorders>
            <w:shd w:val="clear" w:color="auto" w:fill="auto"/>
            <w:noWrap/>
            <w:vAlign w:val="bottom"/>
            <w:hideMark/>
          </w:tcPr>
          <w:p w14:paraId="43B28D20"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33DCDD6B"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3B270EB7"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646C48D6"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29332916"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2ABC07B0" w14:textId="77777777" w:rsidR="002C6719" w:rsidRPr="00E915AA" w:rsidRDefault="002C6719" w:rsidP="0073176B">
            <w:pPr>
              <w:spacing w:after="0" w:line="240" w:lineRule="auto"/>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bottom"/>
            <w:hideMark/>
          </w:tcPr>
          <w:p w14:paraId="0A7FA47C"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8" w:type="dxa"/>
            <w:tcBorders>
              <w:top w:val="nil"/>
              <w:left w:val="nil"/>
              <w:bottom w:val="nil"/>
              <w:right w:val="nil"/>
            </w:tcBorders>
            <w:shd w:val="clear" w:color="auto" w:fill="auto"/>
            <w:noWrap/>
            <w:vAlign w:val="bottom"/>
            <w:hideMark/>
          </w:tcPr>
          <w:p w14:paraId="5DD5EFB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7359B13E"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11" w:type="dxa"/>
            <w:tcBorders>
              <w:top w:val="nil"/>
              <w:left w:val="nil"/>
              <w:bottom w:val="nil"/>
              <w:right w:val="nil"/>
            </w:tcBorders>
            <w:shd w:val="clear" w:color="auto" w:fill="auto"/>
            <w:noWrap/>
            <w:vAlign w:val="bottom"/>
            <w:hideMark/>
          </w:tcPr>
          <w:p w14:paraId="52F18418"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16656E3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4C41806E"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07E8D701"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1" w:type="dxa"/>
            <w:tcBorders>
              <w:top w:val="nil"/>
              <w:left w:val="nil"/>
              <w:bottom w:val="nil"/>
              <w:right w:val="nil"/>
            </w:tcBorders>
            <w:shd w:val="clear" w:color="auto" w:fill="auto"/>
            <w:noWrap/>
            <w:vAlign w:val="bottom"/>
            <w:hideMark/>
          </w:tcPr>
          <w:p w14:paraId="0A8CE914"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9" w:type="dxa"/>
            <w:tcBorders>
              <w:top w:val="nil"/>
              <w:left w:val="nil"/>
              <w:bottom w:val="nil"/>
              <w:right w:val="nil"/>
            </w:tcBorders>
            <w:shd w:val="clear" w:color="auto" w:fill="auto"/>
            <w:noWrap/>
            <w:vAlign w:val="bottom"/>
            <w:hideMark/>
          </w:tcPr>
          <w:p w14:paraId="5AD66215"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6D7D93D9"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251" w:type="dxa"/>
            <w:tcBorders>
              <w:top w:val="nil"/>
              <w:left w:val="nil"/>
              <w:bottom w:val="nil"/>
              <w:right w:val="nil"/>
            </w:tcBorders>
            <w:shd w:val="clear" w:color="auto" w:fill="auto"/>
            <w:noWrap/>
            <w:vAlign w:val="bottom"/>
            <w:hideMark/>
          </w:tcPr>
          <w:p w14:paraId="059DCBF8"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42" w:type="dxa"/>
            <w:tcBorders>
              <w:top w:val="nil"/>
              <w:left w:val="nil"/>
              <w:bottom w:val="nil"/>
              <w:right w:val="nil"/>
            </w:tcBorders>
            <w:shd w:val="clear" w:color="auto" w:fill="auto"/>
            <w:noWrap/>
            <w:vAlign w:val="bottom"/>
            <w:hideMark/>
          </w:tcPr>
          <w:p w14:paraId="11A69E5F"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708" w:type="dxa"/>
            <w:tcBorders>
              <w:top w:val="nil"/>
              <w:left w:val="nil"/>
              <w:bottom w:val="nil"/>
              <w:right w:val="nil"/>
            </w:tcBorders>
            <w:shd w:val="clear" w:color="auto" w:fill="auto"/>
            <w:noWrap/>
            <w:vAlign w:val="bottom"/>
            <w:hideMark/>
          </w:tcPr>
          <w:p w14:paraId="40165B9B"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c>
          <w:tcPr>
            <w:tcW w:w="853" w:type="dxa"/>
            <w:gridSpan w:val="2"/>
            <w:tcBorders>
              <w:top w:val="nil"/>
              <w:left w:val="nil"/>
              <w:bottom w:val="nil"/>
              <w:right w:val="nil"/>
            </w:tcBorders>
            <w:shd w:val="clear" w:color="auto" w:fill="auto"/>
            <w:noWrap/>
            <w:vAlign w:val="bottom"/>
            <w:hideMark/>
          </w:tcPr>
          <w:p w14:paraId="34C532E2" w14:textId="77777777" w:rsidR="002C6719" w:rsidRPr="00E915AA" w:rsidRDefault="002C6719" w:rsidP="0073176B">
            <w:pPr>
              <w:spacing w:after="0" w:line="240" w:lineRule="auto"/>
              <w:jc w:val="center"/>
              <w:rPr>
                <w:rFonts w:ascii="Times New Roman" w:eastAsia="Times New Roman" w:hAnsi="Times New Roman" w:cs="Times New Roman"/>
                <w:sz w:val="12"/>
                <w:szCs w:val="20"/>
                <w:lang w:val="en-GB" w:eastAsia="en-GB"/>
              </w:rPr>
            </w:pPr>
          </w:p>
        </w:tc>
      </w:tr>
      <w:tr w:rsidR="002C6719" w:rsidRPr="00E915AA" w14:paraId="3B5F4CA1" w14:textId="77777777" w:rsidTr="0073176B">
        <w:trPr>
          <w:trHeight w:val="180"/>
        </w:trPr>
        <w:tc>
          <w:tcPr>
            <w:tcW w:w="1080" w:type="dxa"/>
            <w:tcBorders>
              <w:top w:val="nil"/>
              <w:left w:val="nil"/>
              <w:bottom w:val="nil"/>
              <w:right w:val="nil"/>
            </w:tcBorders>
            <w:shd w:val="clear" w:color="auto" w:fill="auto"/>
            <w:noWrap/>
            <w:vAlign w:val="bottom"/>
            <w:hideMark/>
          </w:tcPr>
          <w:p w14:paraId="3CAD10C0"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N</w:t>
            </w:r>
          </w:p>
        </w:tc>
        <w:tc>
          <w:tcPr>
            <w:tcW w:w="267" w:type="dxa"/>
            <w:tcBorders>
              <w:top w:val="nil"/>
              <w:left w:val="nil"/>
              <w:bottom w:val="nil"/>
              <w:right w:val="nil"/>
            </w:tcBorders>
            <w:shd w:val="clear" w:color="auto" w:fill="auto"/>
            <w:noWrap/>
            <w:vAlign w:val="bottom"/>
            <w:hideMark/>
          </w:tcPr>
          <w:p w14:paraId="566865EC"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7E1AF635"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567</w:t>
            </w:r>
          </w:p>
        </w:tc>
        <w:tc>
          <w:tcPr>
            <w:tcW w:w="709" w:type="dxa"/>
            <w:tcBorders>
              <w:top w:val="nil"/>
              <w:left w:val="nil"/>
              <w:bottom w:val="nil"/>
              <w:right w:val="nil"/>
            </w:tcBorders>
            <w:shd w:val="clear" w:color="auto" w:fill="auto"/>
            <w:noWrap/>
            <w:vAlign w:val="bottom"/>
            <w:hideMark/>
          </w:tcPr>
          <w:p w14:paraId="6B644989"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579</w:t>
            </w:r>
          </w:p>
        </w:tc>
        <w:tc>
          <w:tcPr>
            <w:tcW w:w="708" w:type="dxa"/>
            <w:tcBorders>
              <w:top w:val="nil"/>
              <w:left w:val="nil"/>
              <w:bottom w:val="nil"/>
              <w:right w:val="nil"/>
            </w:tcBorders>
            <w:shd w:val="clear" w:color="auto" w:fill="auto"/>
            <w:noWrap/>
            <w:vAlign w:val="bottom"/>
            <w:hideMark/>
          </w:tcPr>
          <w:p w14:paraId="0165F76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479</w:t>
            </w:r>
          </w:p>
        </w:tc>
        <w:tc>
          <w:tcPr>
            <w:tcW w:w="251" w:type="dxa"/>
            <w:tcBorders>
              <w:top w:val="nil"/>
              <w:left w:val="nil"/>
              <w:bottom w:val="nil"/>
              <w:right w:val="nil"/>
            </w:tcBorders>
            <w:shd w:val="clear" w:color="auto" w:fill="auto"/>
            <w:noWrap/>
            <w:vAlign w:val="bottom"/>
            <w:hideMark/>
          </w:tcPr>
          <w:p w14:paraId="3FD0A373"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421B50B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567</w:t>
            </w:r>
          </w:p>
        </w:tc>
        <w:tc>
          <w:tcPr>
            <w:tcW w:w="741" w:type="dxa"/>
            <w:tcBorders>
              <w:top w:val="nil"/>
              <w:left w:val="nil"/>
              <w:bottom w:val="nil"/>
              <w:right w:val="nil"/>
            </w:tcBorders>
            <w:shd w:val="clear" w:color="auto" w:fill="auto"/>
            <w:noWrap/>
            <w:vAlign w:val="bottom"/>
            <w:hideMark/>
          </w:tcPr>
          <w:p w14:paraId="2CF53F6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579</w:t>
            </w:r>
          </w:p>
        </w:tc>
        <w:tc>
          <w:tcPr>
            <w:tcW w:w="748" w:type="dxa"/>
            <w:tcBorders>
              <w:top w:val="nil"/>
              <w:left w:val="nil"/>
              <w:bottom w:val="nil"/>
              <w:right w:val="nil"/>
            </w:tcBorders>
            <w:shd w:val="clear" w:color="auto" w:fill="auto"/>
            <w:noWrap/>
            <w:vAlign w:val="bottom"/>
            <w:hideMark/>
          </w:tcPr>
          <w:p w14:paraId="578EE721"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479</w:t>
            </w:r>
          </w:p>
        </w:tc>
        <w:tc>
          <w:tcPr>
            <w:tcW w:w="251" w:type="dxa"/>
            <w:tcBorders>
              <w:top w:val="nil"/>
              <w:left w:val="nil"/>
              <w:bottom w:val="nil"/>
              <w:right w:val="nil"/>
            </w:tcBorders>
            <w:shd w:val="clear" w:color="auto" w:fill="auto"/>
            <w:noWrap/>
            <w:vAlign w:val="bottom"/>
            <w:hideMark/>
          </w:tcPr>
          <w:p w14:paraId="2045AF1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811" w:type="dxa"/>
            <w:tcBorders>
              <w:top w:val="nil"/>
              <w:left w:val="nil"/>
              <w:bottom w:val="nil"/>
              <w:right w:val="nil"/>
            </w:tcBorders>
            <w:shd w:val="clear" w:color="auto" w:fill="auto"/>
            <w:noWrap/>
            <w:vAlign w:val="bottom"/>
            <w:hideMark/>
          </w:tcPr>
          <w:p w14:paraId="2C5BA20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567</w:t>
            </w:r>
          </w:p>
        </w:tc>
        <w:tc>
          <w:tcPr>
            <w:tcW w:w="709" w:type="dxa"/>
            <w:tcBorders>
              <w:top w:val="nil"/>
              <w:left w:val="nil"/>
              <w:bottom w:val="nil"/>
              <w:right w:val="nil"/>
            </w:tcBorders>
            <w:shd w:val="clear" w:color="auto" w:fill="auto"/>
            <w:noWrap/>
            <w:vAlign w:val="bottom"/>
            <w:hideMark/>
          </w:tcPr>
          <w:p w14:paraId="52630296"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579</w:t>
            </w:r>
          </w:p>
        </w:tc>
        <w:tc>
          <w:tcPr>
            <w:tcW w:w="709" w:type="dxa"/>
            <w:tcBorders>
              <w:top w:val="nil"/>
              <w:left w:val="nil"/>
              <w:bottom w:val="nil"/>
              <w:right w:val="nil"/>
            </w:tcBorders>
            <w:shd w:val="clear" w:color="auto" w:fill="auto"/>
            <w:noWrap/>
            <w:vAlign w:val="bottom"/>
            <w:hideMark/>
          </w:tcPr>
          <w:p w14:paraId="3B6728D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479</w:t>
            </w:r>
          </w:p>
        </w:tc>
        <w:tc>
          <w:tcPr>
            <w:tcW w:w="251" w:type="dxa"/>
            <w:tcBorders>
              <w:top w:val="nil"/>
              <w:left w:val="nil"/>
              <w:bottom w:val="nil"/>
              <w:right w:val="nil"/>
            </w:tcBorders>
            <w:shd w:val="clear" w:color="auto" w:fill="auto"/>
            <w:noWrap/>
            <w:vAlign w:val="bottom"/>
            <w:hideMark/>
          </w:tcPr>
          <w:p w14:paraId="7F9736C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1" w:type="dxa"/>
            <w:tcBorders>
              <w:top w:val="nil"/>
              <w:left w:val="nil"/>
              <w:bottom w:val="nil"/>
              <w:right w:val="nil"/>
            </w:tcBorders>
            <w:shd w:val="clear" w:color="auto" w:fill="auto"/>
            <w:noWrap/>
            <w:vAlign w:val="bottom"/>
            <w:hideMark/>
          </w:tcPr>
          <w:p w14:paraId="671CFBE8"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567</w:t>
            </w:r>
          </w:p>
        </w:tc>
        <w:tc>
          <w:tcPr>
            <w:tcW w:w="709" w:type="dxa"/>
            <w:tcBorders>
              <w:top w:val="nil"/>
              <w:left w:val="nil"/>
              <w:bottom w:val="nil"/>
              <w:right w:val="nil"/>
            </w:tcBorders>
            <w:shd w:val="clear" w:color="auto" w:fill="auto"/>
            <w:noWrap/>
            <w:vAlign w:val="bottom"/>
            <w:hideMark/>
          </w:tcPr>
          <w:p w14:paraId="5DF8D31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579</w:t>
            </w:r>
          </w:p>
        </w:tc>
        <w:tc>
          <w:tcPr>
            <w:tcW w:w="708" w:type="dxa"/>
            <w:tcBorders>
              <w:top w:val="nil"/>
              <w:left w:val="nil"/>
              <w:bottom w:val="nil"/>
              <w:right w:val="nil"/>
            </w:tcBorders>
            <w:shd w:val="clear" w:color="auto" w:fill="auto"/>
            <w:noWrap/>
            <w:vAlign w:val="bottom"/>
            <w:hideMark/>
          </w:tcPr>
          <w:p w14:paraId="2DC7E59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479</w:t>
            </w:r>
          </w:p>
        </w:tc>
        <w:tc>
          <w:tcPr>
            <w:tcW w:w="251" w:type="dxa"/>
            <w:tcBorders>
              <w:top w:val="nil"/>
              <w:left w:val="nil"/>
              <w:bottom w:val="nil"/>
              <w:right w:val="nil"/>
            </w:tcBorders>
            <w:shd w:val="clear" w:color="auto" w:fill="auto"/>
            <w:noWrap/>
            <w:vAlign w:val="bottom"/>
            <w:hideMark/>
          </w:tcPr>
          <w:p w14:paraId="68BF947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p>
        </w:tc>
        <w:tc>
          <w:tcPr>
            <w:tcW w:w="742" w:type="dxa"/>
            <w:tcBorders>
              <w:top w:val="nil"/>
              <w:left w:val="nil"/>
              <w:bottom w:val="nil"/>
              <w:right w:val="nil"/>
            </w:tcBorders>
            <w:shd w:val="clear" w:color="auto" w:fill="auto"/>
            <w:noWrap/>
            <w:vAlign w:val="bottom"/>
            <w:hideMark/>
          </w:tcPr>
          <w:p w14:paraId="18AF856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567</w:t>
            </w:r>
          </w:p>
        </w:tc>
        <w:tc>
          <w:tcPr>
            <w:tcW w:w="708" w:type="dxa"/>
            <w:tcBorders>
              <w:top w:val="nil"/>
              <w:left w:val="nil"/>
              <w:bottom w:val="nil"/>
              <w:right w:val="nil"/>
            </w:tcBorders>
            <w:shd w:val="clear" w:color="auto" w:fill="auto"/>
            <w:noWrap/>
            <w:vAlign w:val="bottom"/>
            <w:hideMark/>
          </w:tcPr>
          <w:p w14:paraId="209E8B8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579</w:t>
            </w:r>
          </w:p>
        </w:tc>
        <w:tc>
          <w:tcPr>
            <w:tcW w:w="853" w:type="dxa"/>
            <w:gridSpan w:val="2"/>
            <w:tcBorders>
              <w:top w:val="nil"/>
              <w:left w:val="nil"/>
              <w:bottom w:val="nil"/>
              <w:right w:val="nil"/>
            </w:tcBorders>
            <w:shd w:val="clear" w:color="auto" w:fill="auto"/>
            <w:noWrap/>
            <w:vAlign w:val="bottom"/>
            <w:hideMark/>
          </w:tcPr>
          <w:p w14:paraId="7D5B873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479</w:t>
            </w:r>
          </w:p>
        </w:tc>
      </w:tr>
      <w:tr w:rsidR="002C6719" w:rsidRPr="00E915AA" w14:paraId="336C5CCD" w14:textId="77777777" w:rsidTr="0073176B">
        <w:trPr>
          <w:trHeight w:val="180"/>
        </w:trPr>
        <w:tc>
          <w:tcPr>
            <w:tcW w:w="1080" w:type="dxa"/>
            <w:tcBorders>
              <w:top w:val="nil"/>
              <w:left w:val="nil"/>
              <w:bottom w:val="single" w:sz="4" w:space="0" w:color="auto"/>
              <w:right w:val="nil"/>
            </w:tcBorders>
            <w:shd w:val="clear" w:color="auto" w:fill="auto"/>
            <w:noWrap/>
            <w:vAlign w:val="bottom"/>
            <w:hideMark/>
          </w:tcPr>
          <w:p w14:paraId="520B9BDF"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Pseudo R2</w:t>
            </w:r>
          </w:p>
        </w:tc>
        <w:tc>
          <w:tcPr>
            <w:tcW w:w="267" w:type="dxa"/>
            <w:tcBorders>
              <w:top w:val="nil"/>
              <w:left w:val="nil"/>
              <w:bottom w:val="single" w:sz="4" w:space="0" w:color="auto"/>
              <w:right w:val="nil"/>
            </w:tcBorders>
            <w:shd w:val="clear" w:color="auto" w:fill="auto"/>
            <w:noWrap/>
            <w:vAlign w:val="bottom"/>
            <w:hideMark/>
          </w:tcPr>
          <w:p w14:paraId="22679C9F"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742" w:type="dxa"/>
            <w:tcBorders>
              <w:top w:val="nil"/>
              <w:left w:val="nil"/>
              <w:bottom w:val="single" w:sz="4" w:space="0" w:color="auto"/>
              <w:right w:val="nil"/>
            </w:tcBorders>
            <w:shd w:val="clear" w:color="auto" w:fill="auto"/>
            <w:noWrap/>
            <w:vAlign w:val="bottom"/>
            <w:hideMark/>
          </w:tcPr>
          <w:p w14:paraId="7BF034B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0.0825</w:t>
            </w:r>
          </w:p>
        </w:tc>
        <w:tc>
          <w:tcPr>
            <w:tcW w:w="709" w:type="dxa"/>
            <w:tcBorders>
              <w:top w:val="nil"/>
              <w:left w:val="nil"/>
              <w:bottom w:val="single" w:sz="4" w:space="0" w:color="auto"/>
              <w:right w:val="nil"/>
            </w:tcBorders>
            <w:shd w:val="clear" w:color="auto" w:fill="auto"/>
            <w:noWrap/>
            <w:vAlign w:val="bottom"/>
            <w:hideMark/>
          </w:tcPr>
          <w:p w14:paraId="4923FA3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0.0822</w:t>
            </w:r>
          </w:p>
        </w:tc>
        <w:tc>
          <w:tcPr>
            <w:tcW w:w="708" w:type="dxa"/>
            <w:tcBorders>
              <w:top w:val="nil"/>
              <w:left w:val="nil"/>
              <w:bottom w:val="single" w:sz="4" w:space="0" w:color="auto"/>
              <w:right w:val="nil"/>
            </w:tcBorders>
            <w:shd w:val="clear" w:color="auto" w:fill="auto"/>
            <w:noWrap/>
            <w:vAlign w:val="bottom"/>
            <w:hideMark/>
          </w:tcPr>
          <w:p w14:paraId="044416BC"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0.0834</w:t>
            </w:r>
          </w:p>
        </w:tc>
        <w:tc>
          <w:tcPr>
            <w:tcW w:w="251" w:type="dxa"/>
            <w:tcBorders>
              <w:top w:val="nil"/>
              <w:left w:val="nil"/>
              <w:bottom w:val="single" w:sz="4" w:space="0" w:color="auto"/>
              <w:right w:val="nil"/>
            </w:tcBorders>
            <w:shd w:val="clear" w:color="auto" w:fill="auto"/>
            <w:noWrap/>
            <w:vAlign w:val="bottom"/>
            <w:hideMark/>
          </w:tcPr>
          <w:p w14:paraId="4328E797" w14:textId="77777777"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742" w:type="dxa"/>
            <w:tcBorders>
              <w:top w:val="nil"/>
              <w:left w:val="nil"/>
              <w:bottom w:val="single" w:sz="4" w:space="0" w:color="auto"/>
              <w:right w:val="nil"/>
            </w:tcBorders>
            <w:shd w:val="clear" w:color="auto" w:fill="auto"/>
            <w:noWrap/>
            <w:vAlign w:val="bottom"/>
            <w:hideMark/>
          </w:tcPr>
          <w:p w14:paraId="134955AA"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0.1364</w:t>
            </w:r>
          </w:p>
        </w:tc>
        <w:tc>
          <w:tcPr>
            <w:tcW w:w="741" w:type="dxa"/>
            <w:tcBorders>
              <w:top w:val="nil"/>
              <w:left w:val="nil"/>
              <w:bottom w:val="single" w:sz="4" w:space="0" w:color="auto"/>
              <w:right w:val="nil"/>
            </w:tcBorders>
            <w:shd w:val="clear" w:color="auto" w:fill="auto"/>
            <w:noWrap/>
            <w:vAlign w:val="bottom"/>
            <w:hideMark/>
          </w:tcPr>
          <w:p w14:paraId="7F680B0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0.1344</w:t>
            </w:r>
          </w:p>
        </w:tc>
        <w:tc>
          <w:tcPr>
            <w:tcW w:w="748" w:type="dxa"/>
            <w:tcBorders>
              <w:top w:val="nil"/>
              <w:left w:val="nil"/>
              <w:bottom w:val="single" w:sz="4" w:space="0" w:color="auto"/>
              <w:right w:val="nil"/>
            </w:tcBorders>
            <w:shd w:val="clear" w:color="auto" w:fill="auto"/>
            <w:noWrap/>
            <w:vAlign w:val="bottom"/>
            <w:hideMark/>
          </w:tcPr>
          <w:p w14:paraId="557B4B07"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0.1355</w:t>
            </w:r>
          </w:p>
        </w:tc>
        <w:tc>
          <w:tcPr>
            <w:tcW w:w="251" w:type="dxa"/>
            <w:tcBorders>
              <w:top w:val="nil"/>
              <w:left w:val="nil"/>
              <w:bottom w:val="single" w:sz="4" w:space="0" w:color="auto"/>
              <w:right w:val="nil"/>
            </w:tcBorders>
            <w:shd w:val="clear" w:color="auto" w:fill="auto"/>
            <w:noWrap/>
            <w:vAlign w:val="bottom"/>
            <w:hideMark/>
          </w:tcPr>
          <w:p w14:paraId="75FA3CC2"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811" w:type="dxa"/>
            <w:tcBorders>
              <w:top w:val="nil"/>
              <w:left w:val="nil"/>
              <w:bottom w:val="single" w:sz="4" w:space="0" w:color="auto"/>
              <w:right w:val="nil"/>
            </w:tcBorders>
            <w:shd w:val="clear" w:color="auto" w:fill="auto"/>
            <w:noWrap/>
            <w:vAlign w:val="bottom"/>
            <w:hideMark/>
          </w:tcPr>
          <w:p w14:paraId="1BF9C9ED"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0.1164</w:t>
            </w:r>
          </w:p>
        </w:tc>
        <w:tc>
          <w:tcPr>
            <w:tcW w:w="709" w:type="dxa"/>
            <w:tcBorders>
              <w:top w:val="nil"/>
              <w:left w:val="nil"/>
              <w:bottom w:val="single" w:sz="4" w:space="0" w:color="auto"/>
              <w:right w:val="nil"/>
            </w:tcBorders>
            <w:shd w:val="clear" w:color="auto" w:fill="auto"/>
            <w:noWrap/>
            <w:vAlign w:val="bottom"/>
            <w:hideMark/>
          </w:tcPr>
          <w:p w14:paraId="58C44ED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0.1034</w:t>
            </w:r>
          </w:p>
        </w:tc>
        <w:tc>
          <w:tcPr>
            <w:tcW w:w="709" w:type="dxa"/>
            <w:tcBorders>
              <w:top w:val="nil"/>
              <w:left w:val="nil"/>
              <w:bottom w:val="single" w:sz="4" w:space="0" w:color="auto"/>
              <w:right w:val="nil"/>
            </w:tcBorders>
            <w:shd w:val="clear" w:color="auto" w:fill="auto"/>
            <w:noWrap/>
            <w:vAlign w:val="bottom"/>
            <w:hideMark/>
          </w:tcPr>
          <w:p w14:paraId="7E12058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0.1144</w:t>
            </w:r>
          </w:p>
        </w:tc>
        <w:tc>
          <w:tcPr>
            <w:tcW w:w="251" w:type="dxa"/>
            <w:tcBorders>
              <w:top w:val="nil"/>
              <w:left w:val="nil"/>
              <w:bottom w:val="single" w:sz="4" w:space="0" w:color="auto"/>
              <w:right w:val="nil"/>
            </w:tcBorders>
            <w:shd w:val="clear" w:color="auto" w:fill="auto"/>
            <w:noWrap/>
            <w:vAlign w:val="bottom"/>
            <w:hideMark/>
          </w:tcPr>
          <w:p w14:paraId="146A909E"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741" w:type="dxa"/>
            <w:tcBorders>
              <w:top w:val="nil"/>
              <w:left w:val="nil"/>
              <w:bottom w:val="single" w:sz="4" w:space="0" w:color="auto"/>
              <w:right w:val="nil"/>
            </w:tcBorders>
            <w:shd w:val="clear" w:color="auto" w:fill="auto"/>
            <w:noWrap/>
            <w:vAlign w:val="bottom"/>
            <w:hideMark/>
          </w:tcPr>
          <w:p w14:paraId="573AB405"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0.1040</w:t>
            </w:r>
          </w:p>
        </w:tc>
        <w:tc>
          <w:tcPr>
            <w:tcW w:w="709" w:type="dxa"/>
            <w:tcBorders>
              <w:top w:val="nil"/>
              <w:left w:val="nil"/>
              <w:bottom w:val="single" w:sz="4" w:space="0" w:color="auto"/>
              <w:right w:val="nil"/>
            </w:tcBorders>
            <w:shd w:val="clear" w:color="auto" w:fill="auto"/>
            <w:noWrap/>
            <w:vAlign w:val="bottom"/>
            <w:hideMark/>
          </w:tcPr>
          <w:p w14:paraId="02190D9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0.1034</w:t>
            </w:r>
          </w:p>
        </w:tc>
        <w:tc>
          <w:tcPr>
            <w:tcW w:w="708" w:type="dxa"/>
            <w:tcBorders>
              <w:top w:val="nil"/>
              <w:left w:val="nil"/>
              <w:bottom w:val="single" w:sz="4" w:space="0" w:color="auto"/>
              <w:right w:val="nil"/>
            </w:tcBorders>
            <w:shd w:val="clear" w:color="auto" w:fill="auto"/>
            <w:noWrap/>
            <w:vAlign w:val="bottom"/>
            <w:hideMark/>
          </w:tcPr>
          <w:p w14:paraId="162C2C29"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0.0944</w:t>
            </w:r>
          </w:p>
        </w:tc>
        <w:tc>
          <w:tcPr>
            <w:tcW w:w="251" w:type="dxa"/>
            <w:tcBorders>
              <w:top w:val="nil"/>
              <w:left w:val="nil"/>
              <w:bottom w:val="single" w:sz="4" w:space="0" w:color="auto"/>
              <w:right w:val="nil"/>
            </w:tcBorders>
            <w:shd w:val="clear" w:color="auto" w:fill="auto"/>
            <w:noWrap/>
            <w:vAlign w:val="bottom"/>
            <w:hideMark/>
          </w:tcPr>
          <w:p w14:paraId="37A6D87F"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w:t>
            </w:r>
          </w:p>
        </w:tc>
        <w:tc>
          <w:tcPr>
            <w:tcW w:w="742" w:type="dxa"/>
            <w:tcBorders>
              <w:top w:val="nil"/>
              <w:left w:val="nil"/>
              <w:bottom w:val="single" w:sz="4" w:space="0" w:color="auto"/>
              <w:right w:val="nil"/>
            </w:tcBorders>
            <w:shd w:val="clear" w:color="auto" w:fill="auto"/>
            <w:noWrap/>
            <w:vAlign w:val="bottom"/>
            <w:hideMark/>
          </w:tcPr>
          <w:p w14:paraId="16CC4214"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0.0810</w:t>
            </w:r>
          </w:p>
        </w:tc>
        <w:tc>
          <w:tcPr>
            <w:tcW w:w="708" w:type="dxa"/>
            <w:tcBorders>
              <w:top w:val="nil"/>
              <w:left w:val="nil"/>
              <w:bottom w:val="single" w:sz="4" w:space="0" w:color="auto"/>
              <w:right w:val="nil"/>
            </w:tcBorders>
            <w:shd w:val="clear" w:color="auto" w:fill="auto"/>
            <w:noWrap/>
            <w:vAlign w:val="bottom"/>
            <w:hideMark/>
          </w:tcPr>
          <w:p w14:paraId="350FA6C0"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0.0816</w:t>
            </w:r>
          </w:p>
        </w:tc>
        <w:tc>
          <w:tcPr>
            <w:tcW w:w="853" w:type="dxa"/>
            <w:gridSpan w:val="2"/>
            <w:tcBorders>
              <w:top w:val="nil"/>
              <w:left w:val="nil"/>
              <w:bottom w:val="single" w:sz="4" w:space="0" w:color="auto"/>
              <w:right w:val="nil"/>
            </w:tcBorders>
            <w:shd w:val="clear" w:color="auto" w:fill="auto"/>
            <w:noWrap/>
            <w:vAlign w:val="bottom"/>
            <w:hideMark/>
          </w:tcPr>
          <w:p w14:paraId="347CD10B" w14:textId="77777777" w:rsidR="002C6719" w:rsidRPr="00E915AA" w:rsidRDefault="002C6719" w:rsidP="0073176B">
            <w:pPr>
              <w:spacing w:after="0" w:line="240" w:lineRule="auto"/>
              <w:jc w:val="center"/>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0.0771</w:t>
            </w:r>
          </w:p>
        </w:tc>
      </w:tr>
      <w:tr w:rsidR="002C6719" w:rsidRPr="00E915AA" w14:paraId="751D7A4B" w14:textId="77777777" w:rsidTr="0073176B">
        <w:trPr>
          <w:gridAfter w:val="1"/>
          <w:wAfter w:w="8" w:type="dxa"/>
          <w:trHeight w:val="938"/>
        </w:trPr>
        <w:tc>
          <w:tcPr>
            <w:tcW w:w="13423" w:type="dxa"/>
            <w:gridSpan w:val="21"/>
            <w:tcBorders>
              <w:top w:val="nil"/>
              <w:left w:val="nil"/>
              <w:bottom w:val="nil"/>
              <w:right w:val="nil"/>
            </w:tcBorders>
            <w:shd w:val="clear" w:color="auto" w:fill="auto"/>
            <w:vAlign w:val="center"/>
            <w:hideMark/>
          </w:tcPr>
          <w:p w14:paraId="5F30FB17" w14:textId="780BC1ED" w:rsidR="002C6719" w:rsidRPr="00E915AA" w:rsidRDefault="002C6719" w:rsidP="0073176B">
            <w:pPr>
              <w:spacing w:after="0" w:line="240" w:lineRule="auto"/>
              <w:rPr>
                <w:rFonts w:ascii="Times New Roman" w:eastAsia="Times New Roman" w:hAnsi="Times New Roman" w:cs="Times New Roman"/>
                <w:color w:val="000000"/>
                <w:sz w:val="12"/>
                <w:szCs w:val="14"/>
                <w:lang w:val="en-GB" w:eastAsia="en-GB"/>
              </w:rPr>
            </w:pPr>
            <w:r w:rsidRPr="00E915AA">
              <w:rPr>
                <w:rFonts w:ascii="Times New Roman" w:eastAsia="Times New Roman" w:hAnsi="Times New Roman" w:cs="Times New Roman"/>
                <w:color w:val="000000"/>
                <w:sz w:val="12"/>
                <w:szCs w:val="14"/>
                <w:lang w:val="en-GB" w:eastAsia="en-GB"/>
              </w:rPr>
              <w:t xml:space="preserve">This table presents the results for tests of the sensitivity of SEC reviews to earnings management by IPO firms using the full sample of IPOs between May 2005 and December 2017. Negative binomial regressions are employed in this analysis. The dependent variables reflect the extensiveness of SEC reviews </w:t>
            </w:r>
            <w:proofErr w:type="gramStart"/>
            <w:r w:rsidRPr="00E915AA">
              <w:rPr>
                <w:rFonts w:ascii="Times New Roman" w:eastAsia="Times New Roman" w:hAnsi="Times New Roman" w:cs="Times New Roman"/>
                <w:color w:val="000000"/>
                <w:sz w:val="12"/>
                <w:szCs w:val="14"/>
                <w:lang w:val="en-GB" w:eastAsia="en-GB"/>
              </w:rPr>
              <w:t>including;</w:t>
            </w:r>
            <w:proofErr w:type="gramEnd"/>
            <w:r w:rsidRPr="00E915AA">
              <w:rPr>
                <w:rFonts w:ascii="Times New Roman" w:eastAsia="Times New Roman" w:hAnsi="Times New Roman" w:cs="Times New Roman"/>
                <w:color w:val="000000"/>
                <w:sz w:val="12"/>
                <w:szCs w:val="14"/>
                <w:lang w:val="en-GB" w:eastAsia="en-GB"/>
              </w:rPr>
              <w:t xml:space="preserve"> </w:t>
            </w:r>
            <w:r w:rsidRPr="00E915AA">
              <w:rPr>
                <w:rFonts w:ascii="Times New Roman" w:eastAsia="Times New Roman" w:hAnsi="Times New Roman" w:cs="Times New Roman"/>
                <w:i/>
                <w:iCs/>
                <w:color w:val="000000"/>
                <w:sz w:val="12"/>
                <w:szCs w:val="14"/>
                <w:lang w:val="en-GB" w:eastAsia="en-GB"/>
              </w:rPr>
              <w:t xml:space="preserve">Duration </w:t>
            </w:r>
            <w:r w:rsidRPr="00E915AA">
              <w:rPr>
                <w:rFonts w:ascii="Times New Roman" w:eastAsia="Times New Roman" w:hAnsi="Times New Roman" w:cs="Times New Roman"/>
                <w:color w:val="000000"/>
                <w:sz w:val="12"/>
                <w:szCs w:val="14"/>
                <w:lang w:val="en-GB" w:eastAsia="en-GB"/>
              </w:rPr>
              <w:t>(Model 1 - 3)</w:t>
            </w:r>
            <w:r w:rsidRPr="00E915AA">
              <w:rPr>
                <w:rFonts w:ascii="Times New Roman" w:eastAsia="Times New Roman" w:hAnsi="Times New Roman" w:cs="Times New Roman"/>
                <w:i/>
                <w:iCs/>
                <w:color w:val="000000"/>
                <w:sz w:val="12"/>
                <w:szCs w:val="14"/>
                <w:lang w:val="en-GB" w:eastAsia="en-GB"/>
              </w:rPr>
              <w:t xml:space="preserve">, #Letters </w:t>
            </w:r>
            <w:r w:rsidRPr="00E915AA">
              <w:rPr>
                <w:rFonts w:ascii="Times New Roman" w:eastAsia="Times New Roman" w:hAnsi="Times New Roman" w:cs="Times New Roman"/>
                <w:color w:val="000000"/>
                <w:sz w:val="12"/>
                <w:szCs w:val="14"/>
                <w:lang w:val="en-GB" w:eastAsia="en-GB"/>
              </w:rPr>
              <w:t>(Models 4 - 6)</w:t>
            </w:r>
            <w:r w:rsidRPr="00E915AA">
              <w:rPr>
                <w:rFonts w:ascii="Times New Roman" w:eastAsia="Times New Roman" w:hAnsi="Times New Roman" w:cs="Times New Roman"/>
                <w:i/>
                <w:iCs/>
                <w:color w:val="000000"/>
                <w:sz w:val="12"/>
                <w:szCs w:val="14"/>
                <w:lang w:val="en-GB" w:eastAsia="en-GB"/>
              </w:rPr>
              <w:t xml:space="preserve">, #Themes </w:t>
            </w:r>
            <w:r w:rsidRPr="00E915AA">
              <w:rPr>
                <w:rFonts w:ascii="Times New Roman" w:eastAsia="Times New Roman" w:hAnsi="Times New Roman" w:cs="Times New Roman"/>
                <w:color w:val="000000"/>
                <w:sz w:val="12"/>
                <w:szCs w:val="14"/>
                <w:lang w:val="en-GB" w:eastAsia="en-GB"/>
              </w:rPr>
              <w:t>(Model 7 - 9)</w:t>
            </w:r>
            <w:r w:rsidRPr="00E915AA">
              <w:rPr>
                <w:rFonts w:ascii="Times New Roman" w:eastAsia="Times New Roman" w:hAnsi="Times New Roman" w:cs="Times New Roman"/>
                <w:i/>
                <w:iCs/>
                <w:color w:val="000000"/>
                <w:sz w:val="12"/>
                <w:szCs w:val="14"/>
                <w:lang w:val="en-GB" w:eastAsia="en-GB"/>
              </w:rPr>
              <w:t xml:space="preserve">, #Core-accounting issues </w:t>
            </w:r>
            <w:r w:rsidRPr="00E915AA">
              <w:rPr>
                <w:rFonts w:ascii="Times New Roman" w:eastAsia="Times New Roman" w:hAnsi="Times New Roman" w:cs="Times New Roman"/>
                <w:color w:val="000000"/>
                <w:sz w:val="12"/>
                <w:szCs w:val="14"/>
                <w:lang w:val="en-GB" w:eastAsia="en-GB"/>
              </w:rPr>
              <w:t>(Model 10 - 12)</w:t>
            </w:r>
            <w:r w:rsidRPr="00E915AA">
              <w:rPr>
                <w:rFonts w:ascii="Times New Roman" w:eastAsia="Times New Roman" w:hAnsi="Times New Roman" w:cs="Times New Roman"/>
                <w:i/>
                <w:iCs/>
                <w:color w:val="000000"/>
                <w:sz w:val="12"/>
                <w:szCs w:val="14"/>
                <w:lang w:val="en-GB" w:eastAsia="en-GB"/>
              </w:rPr>
              <w:t xml:space="preserve"> </w:t>
            </w:r>
            <w:r w:rsidRPr="00E915AA">
              <w:rPr>
                <w:rFonts w:ascii="Times New Roman" w:eastAsia="Times New Roman" w:hAnsi="Times New Roman" w:cs="Times New Roman"/>
                <w:color w:val="000000"/>
                <w:sz w:val="12"/>
                <w:szCs w:val="14"/>
                <w:lang w:val="en-GB" w:eastAsia="en-GB"/>
              </w:rPr>
              <w:t xml:space="preserve">and </w:t>
            </w:r>
            <w:r w:rsidRPr="00E915AA">
              <w:rPr>
                <w:rFonts w:ascii="Times New Roman" w:eastAsia="Times New Roman" w:hAnsi="Times New Roman" w:cs="Times New Roman"/>
                <w:i/>
                <w:iCs/>
                <w:color w:val="000000"/>
                <w:sz w:val="12"/>
                <w:szCs w:val="14"/>
                <w:lang w:val="en-GB" w:eastAsia="en-GB"/>
              </w:rPr>
              <w:t xml:space="preserve">#Non-core-accounting issues </w:t>
            </w:r>
            <w:r w:rsidRPr="00E915AA">
              <w:rPr>
                <w:rFonts w:ascii="Times New Roman" w:eastAsia="Times New Roman" w:hAnsi="Times New Roman" w:cs="Times New Roman"/>
                <w:color w:val="000000"/>
                <w:sz w:val="12"/>
                <w:szCs w:val="14"/>
                <w:lang w:val="en-GB" w:eastAsia="en-GB"/>
              </w:rPr>
              <w:t>(Models 13 - 15)</w:t>
            </w:r>
            <w:r w:rsidRPr="00E915AA">
              <w:rPr>
                <w:rFonts w:ascii="Times New Roman" w:eastAsia="Times New Roman" w:hAnsi="Times New Roman" w:cs="Times New Roman"/>
                <w:i/>
                <w:iCs/>
                <w:color w:val="000000"/>
                <w:sz w:val="12"/>
                <w:szCs w:val="14"/>
                <w:lang w:val="en-GB" w:eastAsia="en-GB"/>
              </w:rPr>
              <w:t xml:space="preserve">. </w:t>
            </w:r>
            <w:r w:rsidRPr="00E915AA">
              <w:rPr>
                <w:rFonts w:ascii="Times New Roman" w:eastAsia="Times New Roman" w:hAnsi="Times New Roman" w:cs="Times New Roman"/>
                <w:color w:val="000000"/>
                <w:sz w:val="12"/>
                <w:szCs w:val="14"/>
                <w:lang w:val="en-GB" w:eastAsia="en-GB"/>
              </w:rPr>
              <w:t xml:space="preserve">The independent variables of interest are proxies of earnings management including; </w:t>
            </w:r>
            <w:r w:rsidRPr="00E915AA">
              <w:rPr>
                <w:rFonts w:ascii="Times New Roman" w:eastAsia="Times New Roman" w:hAnsi="Times New Roman" w:cs="Times New Roman"/>
                <w:i/>
                <w:iCs/>
                <w:color w:val="000000"/>
                <w:sz w:val="12"/>
                <w:szCs w:val="14"/>
                <w:lang w:val="en-GB" w:eastAsia="en-GB"/>
              </w:rPr>
              <w:t xml:space="preserve">DACC </w:t>
            </w:r>
            <w:r w:rsidRPr="00E915AA">
              <w:rPr>
                <w:rFonts w:ascii="Times New Roman" w:eastAsia="Times New Roman" w:hAnsi="Times New Roman" w:cs="Times New Roman"/>
                <w:color w:val="000000"/>
                <w:sz w:val="12"/>
                <w:szCs w:val="14"/>
                <w:lang w:val="en-GB" w:eastAsia="en-GB"/>
              </w:rPr>
              <w:t>(Models 1, 4, 7, 10, 13</w:t>
            </w:r>
            <w:proofErr w:type="gramStart"/>
            <w:r w:rsidRPr="00E915AA">
              <w:rPr>
                <w:rFonts w:ascii="Times New Roman" w:eastAsia="Times New Roman" w:hAnsi="Times New Roman" w:cs="Times New Roman"/>
                <w:color w:val="000000"/>
                <w:sz w:val="12"/>
                <w:szCs w:val="14"/>
                <w:lang w:val="en-GB" w:eastAsia="en-GB"/>
              </w:rPr>
              <w:t xml:space="preserve">) </w:t>
            </w:r>
            <w:r w:rsidRPr="00E915AA">
              <w:rPr>
                <w:rFonts w:ascii="Times New Roman" w:eastAsia="Times New Roman" w:hAnsi="Times New Roman" w:cs="Times New Roman"/>
                <w:i/>
                <w:iCs/>
                <w:color w:val="000000"/>
                <w:sz w:val="12"/>
                <w:szCs w:val="14"/>
                <w:lang w:val="en-GB" w:eastAsia="en-GB"/>
              </w:rPr>
              <w:t>,</w:t>
            </w:r>
            <w:proofErr w:type="gramEnd"/>
            <w:r w:rsidRPr="00E915AA">
              <w:rPr>
                <w:rFonts w:ascii="Times New Roman" w:eastAsia="Times New Roman" w:hAnsi="Times New Roman" w:cs="Times New Roman"/>
                <w:i/>
                <w:iCs/>
                <w:color w:val="000000"/>
                <w:sz w:val="12"/>
                <w:szCs w:val="14"/>
                <w:lang w:val="en-GB" w:eastAsia="en-GB"/>
              </w:rPr>
              <w:t xml:space="preserve"> ACFO </w:t>
            </w:r>
            <w:r w:rsidRPr="00E915AA">
              <w:rPr>
                <w:rFonts w:ascii="Times New Roman" w:eastAsia="Times New Roman" w:hAnsi="Times New Roman" w:cs="Times New Roman"/>
                <w:color w:val="000000"/>
                <w:sz w:val="12"/>
                <w:szCs w:val="14"/>
                <w:lang w:val="en-GB" w:eastAsia="en-GB"/>
              </w:rPr>
              <w:t>(Models 2, 5, 8, 11, 14)</w:t>
            </w:r>
            <w:r w:rsidRPr="00E915AA">
              <w:rPr>
                <w:rFonts w:ascii="Times New Roman" w:eastAsia="Times New Roman" w:hAnsi="Times New Roman" w:cs="Times New Roman"/>
                <w:i/>
                <w:iCs/>
                <w:color w:val="000000"/>
                <w:sz w:val="12"/>
                <w:szCs w:val="14"/>
                <w:lang w:val="en-GB" w:eastAsia="en-GB"/>
              </w:rPr>
              <w:t xml:space="preserve"> </w:t>
            </w:r>
            <w:r w:rsidRPr="00E915AA">
              <w:rPr>
                <w:rFonts w:ascii="Times New Roman" w:eastAsia="Times New Roman" w:hAnsi="Times New Roman" w:cs="Times New Roman"/>
                <w:color w:val="000000"/>
                <w:sz w:val="12"/>
                <w:szCs w:val="14"/>
                <w:lang w:val="en-GB" w:eastAsia="en-GB"/>
              </w:rPr>
              <w:t xml:space="preserve">and </w:t>
            </w:r>
            <w:r w:rsidRPr="00E915AA">
              <w:rPr>
                <w:rFonts w:ascii="Times New Roman" w:eastAsia="Times New Roman" w:hAnsi="Times New Roman" w:cs="Times New Roman"/>
                <w:i/>
                <w:iCs/>
                <w:color w:val="000000"/>
                <w:sz w:val="12"/>
                <w:szCs w:val="14"/>
                <w:lang w:val="en-GB" w:eastAsia="en-GB"/>
              </w:rPr>
              <w:t>ADISEXP</w:t>
            </w:r>
            <w:r w:rsidRPr="00E915AA">
              <w:rPr>
                <w:rFonts w:ascii="Times New Roman" w:eastAsia="Times New Roman" w:hAnsi="Times New Roman" w:cs="Times New Roman"/>
                <w:color w:val="000000"/>
                <w:sz w:val="12"/>
                <w:szCs w:val="14"/>
                <w:lang w:val="en-GB" w:eastAsia="en-GB"/>
              </w:rPr>
              <w:t xml:space="preserve"> (Models 3, 6, 9, 12, 15). All variables are defined in Appendix </w:t>
            </w:r>
            <w:r w:rsidR="00412C4F" w:rsidRPr="00E915AA">
              <w:rPr>
                <w:rFonts w:ascii="Times New Roman" w:eastAsia="Times New Roman" w:hAnsi="Times New Roman" w:cs="Times New Roman"/>
                <w:color w:val="000000"/>
                <w:sz w:val="12"/>
                <w:szCs w:val="14"/>
                <w:lang w:val="en-GB" w:eastAsia="en-GB"/>
              </w:rPr>
              <w:t>A</w:t>
            </w:r>
            <w:r w:rsidRPr="00E915AA">
              <w:rPr>
                <w:rFonts w:ascii="Times New Roman" w:eastAsia="Times New Roman" w:hAnsi="Times New Roman" w:cs="Times New Roman"/>
                <w:color w:val="000000"/>
                <w:sz w:val="12"/>
                <w:szCs w:val="14"/>
                <w:lang w:val="en-GB" w:eastAsia="en-GB"/>
              </w:rPr>
              <w:t xml:space="preserve">. The regressions include S-1 filings year fixed effects and industry fixed effects using </w:t>
            </w:r>
            <w:proofErr w:type="spellStart"/>
            <w:r w:rsidRPr="00E915AA">
              <w:rPr>
                <w:rFonts w:ascii="Times New Roman" w:eastAsia="Times New Roman" w:hAnsi="Times New Roman" w:cs="Times New Roman"/>
                <w:color w:val="000000"/>
                <w:sz w:val="12"/>
                <w:szCs w:val="14"/>
                <w:lang w:val="en-GB" w:eastAsia="en-GB"/>
              </w:rPr>
              <w:t>Fama</w:t>
            </w:r>
            <w:proofErr w:type="spellEnd"/>
            <w:r w:rsidRPr="00E915AA">
              <w:rPr>
                <w:rFonts w:ascii="Times New Roman" w:eastAsia="Times New Roman" w:hAnsi="Times New Roman" w:cs="Times New Roman"/>
                <w:color w:val="000000"/>
                <w:sz w:val="12"/>
                <w:szCs w:val="14"/>
                <w:lang w:val="en-GB" w:eastAsia="en-GB"/>
              </w:rPr>
              <w:t xml:space="preserve">-French 12 industry. Z-statistics are presented in parentheses below coefficient </w:t>
            </w:r>
            <w:proofErr w:type="gramStart"/>
            <w:r w:rsidRPr="00E915AA">
              <w:rPr>
                <w:rFonts w:ascii="Times New Roman" w:eastAsia="Times New Roman" w:hAnsi="Times New Roman" w:cs="Times New Roman"/>
                <w:color w:val="000000"/>
                <w:sz w:val="12"/>
                <w:szCs w:val="14"/>
                <w:lang w:val="en-GB" w:eastAsia="en-GB"/>
              </w:rPr>
              <w:t>estimates, and</w:t>
            </w:r>
            <w:proofErr w:type="gramEnd"/>
            <w:r w:rsidRPr="00E915AA">
              <w:rPr>
                <w:rFonts w:ascii="Times New Roman" w:eastAsia="Times New Roman" w:hAnsi="Times New Roman" w:cs="Times New Roman"/>
                <w:color w:val="000000"/>
                <w:sz w:val="12"/>
                <w:szCs w:val="14"/>
                <w:lang w:val="en-GB" w:eastAsia="en-GB"/>
              </w:rPr>
              <w:t xml:space="preserve"> are based on standard errors which are robust and clustered at the industry level. *, **, and *** denote significance at the 10%, 5%, and 1% levels, respectively, based on a two-tailed test.</w:t>
            </w:r>
          </w:p>
        </w:tc>
      </w:tr>
    </w:tbl>
    <w:p w14:paraId="06E98064" w14:textId="77777777" w:rsidR="002C6719" w:rsidRPr="00E915AA" w:rsidRDefault="002C6719" w:rsidP="002C6719">
      <w:pPr>
        <w:keepNext/>
        <w:spacing w:before="240" w:after="240" w:line="360" w:lineRule="auto"/>
        <w:rPr>
          <w:rFonts w:ascii="Times New Roman" w:eastAsia="Calibri" w:hAnsi="Times New Roman" w:cs="Times New Roman"/>
          <w:b/>
          <w:iCs/>
          <w:color w:val="000000"/>
          <w:sz w:val="20"/>
          <w:szCs w:val="18"/>
          <w:lang w:val="en-GB" w:eastAsia="en-GB"/>
        </w:rPr>
      </w:pPr>
    </w:p>
    <w:p w14:paraId="46EF3A98" w14:textId="77777777" w:rsidR="002C6719" w:rsidRPr="00E915AA" w:rsidRDefault="002C6719" w:rsidP="002C6719">
      <w:pPr>
        <w:spacing w:before="240" w:line="360" w:lineRule="auto"/>
        <w:jc w:val="both"/>
        <w:rPr>
          <w:rFonts w:ascii="Times New Roman" w:eastAsia="Calibri" w:hAnsi="Times New Roman" w:cs="Times New Roman"/>
          <w:sz w:val="24"/>
          <w:szCs w:val="24"/>
          <w:lang w:val="en-GB"/>
        </w:rPr>
      </w:pPr>
    </w:p>
    <w:p w14:paraId="3F1E881B" w14:textId="77777777" w:rsidR="00F25EEF" w:rsidRPr="00E915AA" w:rsidRDefault="00F25EEF" w:rsidP="002C6719">
      <w:pPr>
        <w:keepNext/>
        <w:spacing w:before="240" w:after="240" w:line="360" w:lineRule="auto"/>
        <w:rPr>
          <w:rFonts w:ascii="Times New Roman" w:eastAsia="Calibri" w:hAnsi="Times New Roman" w:cs="Times New Roman"/>
          <w:b/>
          <w:iCs/>
          <w:color w:val="000000"/>
          <w:sz w:val="18"/>
          <w:szCs w:val="18"/>
          <w:lang w:val="en-GB" w:eastAsia="en-GB"/>
        </w:rPr>
        <w:sectPr w:rsidR="00F25EEF" w:rsidRPr="00E915AA" w:rsidSect="0073176B">
          <w:pgSz w:w="16838" w:h="11906" w:orient="landscape"/>
          <w:pgMar w:top="1440" w:right="1440" w:bottom="1440" w:left="1440" w:header="708" w:footer="708" w:gutter="0"/>
          <w:cols w:space="708"/>
          <w:docGrid w:linePitch="360"/>
        </w:sectPr>
      </w:pPr>
    </w:p>
    <w:p w14:paraId="546992B0" w14:textId="77777777" w:rsidR="00F14709" w:rsidRPr="00E915AA" w:rsidRDefault="00F14709" w:rsidP="00F14709">
      <w:pPr>
        <w:keepNext/>
        <w:spacing w:before="240" w:after="240" w:line="360" w:lineRule="auto"/>
        <w:rPr>
          <w:rFonts w:ascii="Times New Roman" w:eastAsia="Calibri" w:hAnsi="Times New Roman" w:cs="Times New Roman"/>
          <w:b/>
          <w:iCs/>
          <w:color w:val="000000"/>
          <w:sz w:val="20"/>
          <w:szCs w:val="20"/>
          <w:lang w:val="en-GB" w:eastAsia="en-GB"/>
        </w:rPr>
      </w:pPr>
      <w:r w:rsidRPr="00E915AA">
        <w:rPr>
          <w:rFonts w:ascii="Times New Roman" w:eastAsia="Calibri" w:hAnsi="Times New Roman" w:cs="Times New Roman"/>
          <w:b/>
          <w:iCs/>
          <w:color w:val="000000"/>
          <w:sz w:val="20"/>
          <w:szCs w:val="20"/>
          <w:lang w:val="en-GB" w:eastAsia="en-GB"/>
        </w:rPr>
        <w:lastRenderedPageBreak/>
        <w:t>Table 5. The JOBS Act and earnings management engaged by IPO firms</w:t>
      </w:r>
    </w:p>
    <w:tbl>
      <w:tblPr>
        <w:tblW w:w="12480" w:type="dxa"/>
        <w:tblInd w:w="108" w:type="dxa"/>
        <w:tblLook w:val="04A0" w:firstRow="1" w:lastRow="0" w:firstColumn="1" w:lastColumn="0" w:noHBand="0" w:noVBand="1"/>
      </w:tblPr>
      <w:tblGrid>
        <w:gridCol w:w="979"/>
        <w:gridCol w:w="960"/>
        <w:gridCol w:w="960"/>
        <w:gridCol w:w="960"/>
        <w:gridCol w:w="960"/>
        <w:gridCol w:w="960"/>
        <w:gridCol w:w="960"/>
        <w:gridCol w:w="960"/>
        <w:gridCol w:w="960"/>
        <w:gridCol w:w="960"/>
        <w:gridCol w:w="960"/>
        <w:gridCol w:w="1064"/>
        <w:gridCol w:w="1064"/>
      </w:tblGrid>
      <w:tr w:rsidR="00F14709" w:rsidRPr="00E915AA" w14:paraId="79E14399" w14:textId="77777777" w:rsidTr="00110FF6">
        <w:trPr>
          <w:trHeight w:val="300"/>
        </w:trPr>
        <w:tc>
          <w:tcPr>
            <w:tcW w:w="960" w:type="dxa"/>
            <w:tcBorders>
              <w:top w:val="single" w:sz="4" w:space="0" w:color="auto"/>
              <w:left w:val="nil"/>
              <w:bottom w:val="nil"/>
              <w:right w:val="nil"/>
            </w:tcBorders>
            <w:shd w:val="clear" w:color="auto" w:fill="auto"/>
            <w:noWrap/>
            <w:vAlign w:val="bottom"/>
            <w:hideMark/>
          </w:tcPr>
          <w:p w14:paraId="712D3FF4" w14:textId="77777777" w:rsidR="00F14709" w:rsidRPr="00E915AA" w:rsidRDefault="00F14709" w:rsidP="00110FF6">
            <w:pPr>
              <w:spacing w:after="0" w:line="240" w:lineRule="auto"/>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 </w:t>
            </w:r>
          </w:p>
        </w:tc>
        <w:tc>
          <w:tcPr>
            <w:tcW w:w="960" w:type="dxa"/>
            <w:tcBorders>
              <w:top w:val="single" w:sz="4" w:space="0" w:color="auto"/>
              <w:left w:val="nil"/>
              <w:bottom w:val="nil"/>
              <w:right w:val="nil"/>
            </w:tcBorders>
            <w:shd w:val="clear" w:color="auto" w:fill="auto"/>
            <w:noWrap/>
            <w:vAlign w:val="bottom"/>
            <w:hideMark/>
          </w:tcPr>
          <w:p w14:paraId="6FFB618F" w14:textId="77777777" w:rsidR="00F14709" w:rsidRPr="00E915AA" w:rsidRDefault="00F14709" w:rsidP="00110FF6">
            <w:pPr>
              <w:spacing w:after="0" w:line="240" w:lineRule="auto"/>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 </w:t>
            </w:r>
          </w:p>
        </w:tc>
        <w:tc>
          <w:tcPr>
            <w:tcW w:w="960" w:type="dxa"/>
            <w:tcBorders>
              <w:top w:val="single" w:sz="4" w:space="0" w:color="auto"/>
              <w:left w:val="nil"/>
              <w:bottom w:val="nil"/>
              <w:right w:val="nil"/>
            </w:tcBorders>
            <w:shd w:val="clear" w:color="auto" w:fill="auto"/>
            <w:noWrap/>
            <w:vAlign w:val="bottom"/>
            <w:hideMark/>
          </w:tcPr>
          <w:p w14:paraId="19DA96C6"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(1)</w:t>
            </w:r>
          </w:p>
        </w:tc>
        <w:tc>
          <w:tcPr>
            <w:tcW w:w="960" w:type="dxa"/>
            <w:tcBorders>
              <w:top w:val="single" w:sz="4" w:space="0" w:color="auto"/>
              <w:left w:val="nil"/>
              <w:bottom w:val="nil"/>
              <w:right w:val="nil"/>
            </w:tcBorders>
            <w:shd w:val="clear" w:color="auto" w:fill="auto"/>
            <w:noWrap/>
            <w:vAlign w:val="bottom"/>
            <w:hideMark/>
          </w:tcPr>
          <w:p w14:paraId="71D6EC17"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(2)</w:t>
            </w:r>
          </w:p>
        </w:tc>
        <w:tc>
          <w:tcPr>
            <w:tcW w:w="960" w:type="dxa"/>
            <w:tcBorders>
              <w:top w:val="single" w:sz="4" w:space="0" w:color="auto"/>
              <w:left w:val="nil"/>
              <w:bottom w:val="nil"/>
              <w:right w:val="nil"/>
            </w:tcBorders>
            <w:shd w:val="clear" w:color="auto" w:fill="auto"/>
            <w:noWrap/>
            <w:vAlign w:val="bottom"/>
            <w:hideMark/>
          </w:tcPr>
          <w:p w14:paraId="5D2C171B"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(3)</w:t>
            </w:r>
          </w:p>
        </w:tc>
        <w:tc>
          <w:tcPr>
            <w:tcW w:w="960" w:type="dxa"/>
            <w:tcBorders>
              <w:top w:val="single" w:sz="4" w:space="0" w:color="auto"/>
              <w:left w:val="nil"/>
              <w:bottom w:val="nil"/>
              <w:right w:val="nil"/>
            </w:tcBorders>
            <w:shd w:val="clear" w:color="auto" w:fill="auto"/>
            <w:noWrap/>
            <w:vAlign w:val="bottom"/>
            <w:hideMark/>
          </w:tcPr>
          <w:p w14:paraId="7F7F3E3F"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 </w:t>
            </w:r>
          </w:p>
        </w:tc>
        <w:tc>
          <w:tcPr>
            <w:tcW w:w="960" w:type="dxa"/>
            <w:tcBorders>
              <w:top w:val="single" w:sz="4" w:space="0" w:color="auto"/>
              <w:left w:val="nil"/>
              <w:bottom w:val="nil"/>
              <w:right w:val="nil"/>
            </w:tcBorders>
            <w:shd w:val="clear" w:color="auto" w:fill="auto"/>
            <w:noWrap/>
            <w:vAlign w:val="bottom"/>
            <w:hideMark/>
          </w:tcPr>
          <w:p w14:paraId="4F83F61D"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(4)</w:t>
            </w:r>
          </w:p>
        </w:tc>
        <w:tc>
          <w:tcPr>
            <w:tcW w:w="960" w:type="dxa"/>
            <w:tcBorders>
              <w:top w:val="single" w:sz="4" w:space="0" w:color="auto"/>
              <w:left w:val="nil"/>
              <w:bottom w:val="nil"/>
              <w:right w:val="nil"/>
            </w:tcBorders>
            <w:shd w:val="clear" w:color="auto" w:fill="auto"/>
            <w:noWrap/>
            <w:vAlign w:val="bottom"/>
            <w:hideMark/>
          </w:tcPr>
          <w:p w14:paraId="1485A0DD"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(5)</w:t>
            </w:r>
          </w:p>
        </w:tc>
        <w:tc>
          <w:tcPr>
            <w:tcW w:w="960" w:type="dxa"/>
            <w:tcBorders>
              <w:top w:val="single" w:sz="4" w:space="0" w:color="auto"/>
              <w:left w:val="nil"/>
              <w:bottom w:val="nil"/>
              <w:right w:val="nil"/>
            </w:tcBorders>
            <w:shd w:val="clear" w:color="auto" w:fill="auto"/>
            <w:noWrap/>
            <w:vAlign w:val="bottom"/>
            <w:hideMark/>
          </w:tcPr>
          <w:p w14:paraId="6578E818"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(6)</w:t>
            </w:r>
          </w:p>
        </w:tc>
        <w:tc>
          <w:tcPr>
            <w:tcW w:w="960" w:type="dxa"/>
            <w:tcBorders>
              <w:top w:val="single" w:sz="4" w:space="0" w:color="auto"/>
              <w:left w:val="nil"/>
              <w:bottom w:val="nil"/>
              <w:right w:val="nil"/>
            </w:tcBorders>
            <w:shd w:val="clear" w:color="auto" w:fill="auto"/>
            <w:noWrap/>
            <w:vAlign w:val="bottom"/>
            <w:hideMark/>
          </w:tcPr>
          <w:p w14:paraId="6A6CC831"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 </w:t>
            </w:r>
          </w:p>
        </w:tc>
        <w:tc>
          <w:tcPr>
            <w:tcW w:w="960" w:type="dxa"/>
            <w:tcBorders>
              <w:top w:val="single" w:sz="4" w:space="0" w:color="auto"/>
              <w:left w:val="nil"/>
              <w:bottom w:val="nil"/>
              <w:right w:val="nil"/>
            </w:tcBorders>
            <w:shd w:val="clear" w:color="auto" w:fill="auto"/>
            <w:noWrap/>
            <w:vAlign w:val="bottom"/>
            <w:hideMark/>
          </w:tcPr>
          <w:p w14:paraId="6A48FA15"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(7)</w:t>
            </w:r>
          </w:p>
        </w:tc>
        <w:tc>
          <w:tcPr>
            <w:tcW w:w="960" w:type="dxa"/>
            <w:tcBorders>
              <w:top w:val="single" w:sz="4" w:space="0" w:color="auto"/>
              <w:left w:val="nil"/>
              <w:bottom w:val="nil"/>
              <w:right w:val="nil"/>
            </w:tcBorders>
            <w:shd w:val="clear" w:color="auto" w:fill="auto"/>
            <w:noWrap/>
            <w:vAlign w:val="bottom"/>
            <w:hideMark/>
          </w:tcPr>
          <w:p w14:paraId="0CAEE241"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(8)</w:t>
            </w:r>
          </w:p>
        </w:tc>
        <w:tc>
          <w:tcPr>
            <w:tcW w:w="960" w:type="dxa"/>
            <w:tcBorders>
              <w:top w:val="single" w:sz="4" w:space="0" w:color="auto"/>
              <w:left w:val="nil"/>
              <w:bottom w:val="nil"/>
              <w:right w:val="nil"/>
            </w:tcBorders>
            <w:shd w:val="clear" w:color="auto" w:fill="auto"/>
            <w:noWrap/>
            <w:vAlign w:val="bottom"/>
            <w:hideMark/>
          </w:tcPr>
          <w:p w14:paraId="2C2A9D4C"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r w:rsidRPr="00E915AA">
              <w:rPr>
                <w:rFonts w:ascii="Times New Roman" w:eastAsia="Times New Roman" w:hAnsi="Times New Roman" w:cs="Times New Roman"/>
                <w:b/>
                <w:bCs/>
                <w:color w:val="000000"/>
                <w:sz w:val="14"/>
                <w:szCs w:val="14"/>
                <w:lang w:val="en-GB" w:eastAsia="en-GB"/>
              </w:rPr>
              <w:t>(9)</w:t>
            </w:r>
          </w:p>
        </w:tc>
      </w:tr>
      <w:tr w:rsidR="00F14709" w:rsidRPr="00E915AA" w14:paraId="29D278E6" w14:textId="77777777" w:rsidTr="00110FF6">
        <w:trPr>
          <w:trHeight w:val="300"/>
        </w:trPr>
        <w:tc>
          <w:tcPr>
            <w:tcW w:w="960" w:type="dxa"/>
            <w:tcBorders>
              <w:top w:val="nil"/>
              <w:left w:val="nil"/>
              <w:bottom w:val="nil"/>
              <w:right w:val="nil"/>
            </w:tcBorders>
            <w:shd w:val="clear" w:color="auto" w:fill="auto"/>
            <w:noWrap/>
            <w:vAlign w:val="bottom"/>
            <w:hideMark/>
          </w:tcPr>
          <w:p w14:paraId="51EB405D"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49110C52"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single" w:sz="4" w:space="0" w:color="auto"/>
              <w:right w:val="nil"/>
            </w:tcBorders>
            <w:shd w:val="clear" w:color="auto" w:fill="auto"/>
            <w:noWrap/>
            <w:vAlign w:val="bottom"/>
            <w:hideMark/>
          </w:tcPr>
          <w:p w14:paraId="2E128C2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DAC</w:t>
            </w:r>
          </w:p>
        </w:tc>
        <w:tc>
          <w:tcPr>
            <w:tcW w:w="960" w:type="dxa"/>
            <w:tcBorders>
              <w:top w:val="nil"/>
              <w:left w:val="nil"/>
              <w:bottom w:val="single" w:sz="4" w:space="0" w:color="auto"/>
              <w:right w:val="nil"/>
            </w:tcBorders>
            <w:shd w:val="clear" w:color="auto" w:fill="auto"/>
            <w:noWrap/>
            <w:vAlign w:val="bottom"/>
            <w:hideMark/>
          </w:tcPr>
          <w:p w14:paraId="18971F9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DACC_abs</w:t>
            </w:r>
            <w:proofErr w:type="spellEnd"/>
          </w:p>
        </w:tc>
        <w:tc>
          <w:tcPr>
            <w:tcW w:w="960" w:type="dxa"/>
            <w:tcBorders>
              <w:top w:val="nil"/>
              <w:left w:val="nil"/>
              <w:bottom w:val="single" w:sz="4" w:space="0" w:color="auto"/>
              <w:right w:val="nil"/>
            </w:tcBorders>
            <w:shd w:val="clear" w:color="auto" w:fill="auto"/>
            <w:noWrap/>
            <w:vAlign w:val="bottom"/>
            <w:hideMark/>
          </w:tcPr>
          <w:p w14:paraId="78A2B30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DACC_abs</w:t>
            </w:r>
            <w:proofErr w:type="spellEnd"/>
          </w:p>
        </w:tc>
        <w:tc>
          <w:tcPr>
            <w:tcW w:w="960" w:type="dxa"/>
            <w:tcBorders>
              <w:top w:val="nil"/>
              <w:left w:val="nil"/>
              <w:bottom w:val="nil"/>
              <w:right w:val="nil"/>
            </w:tcBorders>
            <w:shd w:val="clear" w:color="auto" w:fill="auto"/>
            <w:noWrap/>
            <w:vAlign w:val="bottom"/>
            <w:hideMark/>
          </w:tcPr>
          <w:p w14:paraId="14BAD39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single" w:sz="4" w:space="0" w:color="auto"/>
              <w:right w:val="nil"/>
            </w:tcBorders>
            <w:shd w:val="clear" w:color="auto" w:fill="auto"/>
            <w:noWrap/>
            <w:vAlign w:val="bottom"/>
            <w:hideMark/>
          </w:tcPr>
          <w:p w14:paraId="5E54C6D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ACFO</w:t>
            </w:r>
          </w:p>
        </w:tc>
        <w:tc>
          <w:tcPr>
            <w:tcW w:w="960" w:type="dxa"/>
            <w:tcBorders>
              <w:top w:val="nil"/>
              <w:left w:val="nil"/>
              <w:bottom w:val="single" w:sz="4" w:space="0" w:color="auto"/>
              <w:right w:val="nil"/>
            </w:tcBorders>
            <w:shd w:val="clear" w:color="auto" w:fill="auto"/>
            <w:noWrap/>
            <w:vAlign w:val="bottom"/>
            <w:hideMark/>
          </w:tcPr>
          <w:p w14:paraId="755CDE4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ACFO_abs</w:t>
            </w:r>
            <w:proofErr w:type="spellEnd"/>
          </w:p>
        </w:tc>
        <w:tc>
          <w:tcPr>
            <w:tcW w:w="960" w:type="dxa"/>
            <w:tcBorders>
              <w:top w:val="nil"/>
              <w:left w:val="nil"/>
              <w:bottom w:val="single" w:sz="4" w:space="0" w:color="auto"/>
              <w:right w:val="nil"/>
            </w:tcBorders>
            <w:shd w:val="clear" w:color="auto" w:fill="auto"/>
            <w:noWrap/>
            <w:vAlign w:val="bottom"/>
            <w:hideMark/>
          </w:tcPr>
          <w:p w14:paraId="06C912A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ACFO_abs</w:t>
            </w:r>
            <w:proofErr w:type="spellEnd"/>
          </w:p>
        </w:tc>
        <w:tc>
          <w:tcPr>
            <w:tcW w:w="960" w:type="dxa"/>
            <w:tcBorders>
              <w:top w:val="nil"/>
              <w:left w:val="nil"/>
              <w:bottom w:val="nil"/>
              <w:right w:val="nil"/>
            </w:tcBorders>
            <w:shd w:val="clear" w:color="auto" w:fill="auto"/>
            <w:noWrap/>
            <w:vAlign w:val="bottom"/>
            <w:hideMark/>
          </w:tcPr>
          <w:p w14:paraId="6ADD730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single" w:sz="4" w:space="0" w:color="auto"/>
              <w:right w:val="nil"/>
            </w:tcBorders>
            <w:shd w:val="clear" w:color="auto" w:fill="auto"/>
            <w:noWrap/>
            <w:vAlign w:val="bottom"/>
            <w:hideMark/>
          </w:tcPr>
          <w:p w14:paraId="4C93802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ADISEXP</w:t>
            </w:r>
          </w:p>
        </w:tc>
        <w:tc>
          <w:tcPr>
            <w:tcW w:w="960" w:type="dxa"/>
            <w:tcBorders>
              <w:top w:val="nil"/>
              <w:left w:val="nil"/>
              <w:bottom w:val="single" w:sz="4" w:space="0" w:color="auto"/>
              <w:right w:val="nil"/>
            </w:tcBorders>
            <w:shd w:val="clear" w:color="auto" w:fill="auto"/>
            <w:noWrap/>
            <w:vAlign w:val="bottom"/>
            <w:hideMark/>
          </w:tcPr>
          <w:p w14:paraId="51A84E7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ADISEXP_abs</w:t>
            </w:r>
            <w:proofErr w:type="spellEnd"/>
          </w:p>
        </w:tc>
        <w:tc>
          <w:tcPr>
            <w:tcW w:w="960" w:type="dxa"/>
            <w:tcBorders>
              <w:top w:val="nil"/>
              <w:left w:val="nil"/>
              <w:bottom w:val="single" w:sz="4" w:space="0" w:color="auto"/>
              <w:right w:val="nil"/>
            </w:tcBorders>
            <w:shd w:val="clear" w:color="auto" w:fill="auto"/>
            <w:noWrap/>
            <w:vAlign w:val="bottom"/>
            <w:hideMark/>
          </w:tcPr>
          <w:p w14:paraId="40D7974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ADISEXP_abs</w:t>
            </w:r>
            <w:proofErr w:type="spellEnd"/>
          </w:p>
        </w:tc>
      </w:tr>
      <w:tr w:rsidR="00F14709" w:rsidRPr="00E915AA" w14:paraId="27E2D0F9" w14:textId="77777777" w:rsidTr="00110FF6">
        <w:trPr>
          <w:trHeight w:val="525"/>
        </w:trPr>
        <w:tc>
          <w:tcPr>
            <w:tcW w:w="960" w:type="dxa"/>
            <w:tcBorders>
              <w:top w:val="nil"/>
              <w:left w:val="nil"/>
              <w:bottom w:val="nil"/>
              <w:right w:val="nil"/>
            </w:tcBorders>
            <w:shd w:val="clear" w:color="auto" w:fill="auto"/>
            <w:noWrap/>
            <w:vAlign w:val="bottom"/>
            <w:hideMark/>
          </w:tcPr>
          <w:p w14:paraId="0A74D2B2" w14:textId="77777777" w:rsidR="00F14709" w:rsidRPr="00E915AA" w:rsidRDefault="00F14709" w:rsidP="00110FF6">
            <w:pPr>
              <w:spacing w:after="0" w:line="240" w:lineRule="auto"/>
              <w:rPr>
                <w:rFonts w:ascii="Times New Roman" w:eastAsia="Times New Roman" w:hAnsi="Times New Roman" w:cs="Times New Roman"/>
                <w:i/>
                <w:iCs/>
                <w:color w:val="000000"/>
                <w:sz w:val="14"/>
                <w:szCs w:val="14"/>
                <w:lang w:val="en-GB" w:eastAsia="en-GB"/>
              </w:rPr>
            </w:pPr>
            <w:r w:rsidRPr="00E915AA">
              <w:rPr>
                <w:rFonts w:ascii="Times New Roman" w:eastAsia="Times New Roman" w:hAnsi="Times New Roman" w:cs="Times New Roman"/>
                <w:i/>
                <w:iCs/>
                <w:color w:val="000000"/>
                <w:sz w:val="14"/>
                <w:szCs w:val="14"/>
                <w:lang w:val="en-GB" w:eastAsia="en-GB"/>
              </w:rPr>
              <w:t>JOBS Act</w:t>
            </w:r>
          </w:p>
        </w:tc>
        <w:tc>
          <w:tcPr>
            <w:tcW w:w="960" w:type="dxa"/>
            <w:tcBorders>
              <w:top w:val="nil"/>
              <w:left w:val="nil"/>
              <w:bottom w:val="nil"/>
              <w:right w:val="nil"/>
            </w:tcBorders>
            <w:shd w:val="clear" w:color="auto" w:fill="auto"/>
            <w:noWrap/>
            <w:vAlign w:val="bottom"/>
            <w:hideMark/>
          </w:tcPr>
          <w:p w14:paraId="3EC3A08D" w14:textId="77777777" w:rsidR="00F14709" w:rsidRPr="00E915AA" w:rsidRDefault="00F14709" w:rsidP="00110FF6">
            <w:pPr>
              <w:spacing w:after="0" w:line="240" w:lineRule="auto"/>
              <w:rPr>
                <w:rFonts w:ascii="Times New Roman" w:eastAsia="Times New Roman" w:hAnsi="Times New Roman" w:cs="Times New Roman"/>
                <w:i/>
                <w:iCs/>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71F3094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-0.097</w:t>
            </w:r>
            <w:r w:rsidRPr="00E915AA">
              <w:rPr>
                <w:rFonts w:ascii="Times New Roman" w:eastAsia="Times New Roman" w:hAnsi="Times New Roman" w:cs="Times New Roman"/>
                <w:color w:val="000000"/>
                <w:sz w:val="14"/>
                <w:szCs w:val="14"/>
                <w:lang w:val="en-GB" w:eastAsia="en-GB"/>
              </w:rPr>
              <w:br/>
              <w:t>(-0.25)</w:t>
            </w:r>
          </w:p>
        </w:tc>
        <w:tc>
          <w:tcPr>
            <w:tcW w:w="960" w:type="dxa"/>
            <w:tcBorders>
              <w:top w:val="nil"/>
              <w:left w:val="nil"/>
              <w:bottom w:val="nil"/>
              <w:right w:val="nil"/>
            </w:tcBorders>
            <w:shd w:val="clear" w:color="auto" w:fill="auto"/>
            <w:vAlign w:val="bottom"/>
            <w:hideMark/>
          </w:tcPr>
          <w:p w14:paraId="13B8C52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0.334**</w:t>
            </w:r>
            <w:r w:rsidRPr="00E915AA">
              <w:rPr>
                <w:rFonts w:ascii="Times New Roman" w:eastAsia="Times New Roman" w:hAnsi="Times New Roman" w:cs="Times New Roman"/>
                <w:color w:val="000000"/>
                <w:sz w:val="14"/>
                <w:szCs w:val="14"/>
                <w:lang w:val="en-GB" w:eastAsia="en-GB"/>
              </w:rPr>
              <w:br/>
              <w:t>(2.56)</w:t>
            </w:r>
          </w:p>
        </w:tc>
        <w:tc>
          <w:tcPr>
            <w:tcW w:w="960" w:type="dxa"/>
            <w:tcBorders>
              <w:top w:val="nil"/>
              <w:left w:val="nil"/>
              <w:bottom w:val="nil"/>
              <w:right w:val="nil"/>
            </w:tcBorders>
            <w:shd w:val="clear" w:color="auto" w:fill="auto"/>
            <w:vAlign w:val="bottom"/>
            <w:hideMark/>
          </w:tcPr>
          <w:p w14:paraId="326F946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1.049**</w:t>
            </w:r>
            <w:r w:rsidRPr="00E915AA">
              <w:rPr>
                <w:rFonts w:ascii="Times New Roman" w:eastAsia="Times New Roman" w:hAnsi="Times New Roman" w:cs="Times New Roman"/>
                <w:color w:val="000000"/>
                <w:sz w:val="14"/>
                <w:szCs w:val="14"/>
                <w:lang w:val="en-GB" w:eastAsia="en-GB"/>
              </w:rPr>
              <w:br/>
              <w:t>(2.38)</w:t>
            </w:r>
          </w:p>
        </w:tc>
        <w:tc>
          <w:tcPr>
            <w:tcW w:w="960" w:type="dxa"/>
            <w:tcBorders>
              <w:top w:val="nil"/>
              <w:left w:val="nil"/>
              <w:bottom w:val="nil"/>
              <w:right w:val="nil"/>
            </w:tcBorders>
            <w:shd w:val="clear" w:color="auto" w:fill="auto"/>
            <w:noWrap/>
            <w:vAlign w:val="bottom"/>
            <w:hideMark/>
          </w:tcPr>
          <w:p w14:paraId="7D9DE2B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2D0FDE3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-0.853*</w:t>
            </w:r>
            <w:r w:rsidRPr="00E915AA">
              <w:rPr>
                <w:rFonts w:ascii="Times New Roman" w:eastAsia="Times New Roman" w:hAnsi="Times New Roman" w:cs="Times New Roman"/>
                <w:color w:val="000000"/>
                <w:sz w:val="14"/>
                <w:szCs w:val="14"/>
                <w:lang w:val="en-GB" w:eastAsia="en-GB"/>
              </w:rPr>
              <w:br/>
              <w:t>(-2)</w:t>
            </w:r>
          </w:p>
        </w:tc>
        <w:tc>
          <w:tcPr>
            <w:tcW w:w="960" w:type="dxa"/>
            <w:tcBorders>
              <w:top w:val="nil"/>
              <w:left w:val="nil"/>
              <w:bottom w:val="nil"/>
              <w:right w:val="nil"/>
            </w:tcBorders>
            <w:shd w:val="clear" w:color="auto" w:fill="auto"/>
            <w:vAlign w:val="bottom"/>
            <w:hideMark/>
          </w:tcPr>
          <w:p w14:paraId="54CC224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0.509*</w:t>
            </w:r>
            <w:r w:rsidRPr="00E915AA">
              <w:rPr>
                <w:rFonts w:ascii="Times New Roman" w:eastAsia="Times New Roman" w:hAnsi="Times New Roman" w:cs="Times New Roman"/>
                <w:color w:val="000000"/>
                <w:sz w:val="14"/>
                <w:szCs w:val="14"/>
                <w:lang w:val="en-GB" w:eastAsia="en-GB"/>
              </w:rPr>
              <w:br/>
              <w:t>(2.1)</w:t>
            </w:r>
          </w:p>
        </w:tc>
        <w:tc>
          <w:tcPr>
            <w:tcW w:w="960" w:type="dxa"/>
            <w:tcBorders>
              <w:top w:val="nil"/>
              <w:left w:val="nil"/>
              <w:bottom w:val="nil"/>
              <w:right w:val="nil"/>
            </w:tcBorders>
            <w:shd w:val="clear" w:color="auto" w:fill="auto"/>
            <w:vAlign w:val="bottom"/>
            <w:hideMark/>
          </w:tcPr>
          <w:p w14:paraId="364B7F7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0.888</w:t>
            </w:r>
            <w:r w:rsidRPr="00E915AA">
              <w:rPr>
                <w:rFonts w:ascii="Times New Roman" w:eastAsia="Times New Roman" w:hAnsi="Times New Roman" w:cs="Times New Roman"/>
                <w:color w:val="000000"/>
                <w:sz w:val="14"/>
                <w:szCs w:val="14"/>
                <w:lang w:val="en-GB" w:eastAsia="en-GB"/>
              </w:rPr>
              <w:br/>
              <w:t>(1.65)</w:t>
            </w:r>
          </w:p>
        </w:tc>
        <w:tc>
          <w:tcPr>
            <w:tcW w:w="960" w:type="dxa"/>
            <w:tcBorders>
              <w:top w:val="nil"/>
              <w:left w:val="nil"/>
              <w:bottom w:val="nil"/>
              <w:right w:val="nil"/>
            </w:tcBorders>
            <w:shd w:val="clear" w:color="auto" w:fill="auto"/>
            <w:noWrap/>
            <w:vAlign w:val="bottom"/>
            <w:hideMark/>
          </w:tcPr>
          <w:p w14:paraId="0964EBB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7FB49BC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0.61</w:t>
            </w:r>
            <w:r w:rsidRPr="00E915AA">
              <w:rPr>
                <w:rFonts w:ascii="Times New Roman" w:eastAsia="Times New Roman" w:hAnsi="Times New Roman" w:cs="Times New Roman"/>
                <w:color w:val="000000"/>
                <w:sz w:val="14"/>
                <w:szCs w:val="14"/>
                <w:lang w:val="en-GB" w:eastAsia="en-GB"/>
              </w:rPr>
              <w:br/>
              <w:t>(0.9)</w:t>
            </w:r>
          </w:p>
        </w:tc>
        <w:tc>
          <w:tcPr>
            <w:tcW w:w="960" w:type="dxa"/>
            <w:tcBorders>
              <w:top w:val="nil"/>
              <w:left w:val="nil"/>
              <w:bottom w:val="nil"/>
              <w:right w:val="nil"/>
            </w:tcBorders>
            <w:shd w:val="clear" w:color="auto" w:fill="auto"/>
            <w:vAlign w:val="bottom"/>
            <w:hideMark/>
          </w:tcPr>
          <w:p w14:paraId="4EC8431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0.722**</w:t>
            </w:r>
            <w:r w:rsidRPr="00E915AA">
              <w:rPr>
                <w:rFonts w:ascii="Times New Roman" w:eastAsia="Times New Roman" w:hAnsi="Times New Roman" w:cs="Times New Roman"/>
                <w:color w:val="000000"/>
                <w:sz w:val="14"/>
                <w:szCs w:val="14"/>
                <w:lang w:val="en-GB" w:eastAsia="en-GB"/>
              </w:rPr>
              <w:br/>
              <w:t>(2.59)</w:t>
            </w:r>
          </w:p>
        </w:tc>
        <w:tc>
          <w:tcPr>
            <w:tcW w:w="960" w:type="dxa"/>
            <w:tcBorders>
              <w:top w:val="nil"/>
              <w:left w:val="nil"/>
              <w:bottom w:val="nil"/>
              <w:right w:val="nil"/>
            </w:tcBorders>
            <w:shd w:val="clear" w:color="auto" w:fill="auto"/>
            <w:vAlign w:val="bottom"/>
            <w:hideMark/>
          </w:tcPr>
          <w:p w14:paraId="73C356B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1.321*</w:t>
            </w:r>
            <w:r w:rsidRPr="00E915AA">
              <w:rPr>
                <w:rFonts w:ascii="Times New Roman" w:eastAsia="Times New Roman" w:hAnsi="Times New Roman" w:cs="Times New Roman"/>
                <w:color w:val="000000"/>
                <w:sz w:val="14"/>
                <w:szCs w:val="14"/>
                <w:lang w:val="en-GB" w:eastAsia="en-GB"/>
              </w:rPr>
              <w:br/>
              <w:t>(1.83)</w:t>
            </w:r>
          </w:p>
        </w:tc>
      </w:tr>
      <w:tr w:rsidR="00F14709" w:rsidRPr="00E915AA" w14:paraId="7C660CBA" w14:textId="77777777" w:rsidTr="00110FF6">
        <w:trPr>
          <w:trHeight w:val="390"/>
        </w:trPr>
        <w:tc>
          <w:tcPr>
            <w:tcW w:w="960" w:type="dxa"/>
            <w:tcBorders>
              <w:top w:val="nil"/>
              <w:left w:val="nil"/>
              <w:bottom w:val="nil"/>
              <w:right w:val="nil"/>
            </w:tcBorders>
            <w:shd w:val="clear" w:color="auto" w:fill="auto"/>
            <w:noWrap/>
            <w:vAlign w:val="bottom"/>
            <w:hideMark/>
          </w:tcPr>
          <w:p w14:paraId="4377AB4F"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Size</w:t>
            </w:r>
          </w:p>
        </w:tc>
        <w:tc>
          <w:tcPr>
            <w:tcW w:w="960" w:type="dxa"/>
            <w:tcBorders>
              <w:top w:val="nil"/>
              <w:left w:val="nil"/>
              <w:bottom w:val="nil"/>
              <w:right w:val="nil"/>
            </w:tcBorders>
            <w:shd w:val="clear" w:color="auto" w:fill="auto"/>
            <w:noWrap/>
            <w:vAlign w:val="bottom"/>
            <w:hideMark/>
          </w:tcPr>
          <w:p w14:paraId="60F3E125"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0711346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0.093**</w:t>
            </w:r>
            <w:r w:rsidRPr="00E915AA">
              <w:rPr>
                <w:rFonts w:ascii="Times New Roman" w:eastAsia="Times New Roman" w:hAnsi="Times New Roman" w:cs="Times New Roman"/>
                <w:color w:val="000000"/>
                <w:sz w:val="14"/>
                <w:szCs w:val="14"/>
                <w:lang w:val="en-GB" w:eastAsia="en-GB"/>
              </w:rPr>
              <w:br/>
              <w:t>(2.26)</w:t>
            </w:r>
          </w:p>
        </w:tc>
        <w:tc>
          <w:tcPr>
            <w:tcW w:w="960" w:type="dxa"/>
            <w:tcBorders>
              <w:top w:val="nil"/>
              <w:left w:val="nil"/>
              <w:bottom w:val="nil"/>
              <w:right w:val="nil"/>
            </w:tcBorders>
            <w:shd w:val="clear" w:color="auto" w:fill="auto"/>
            <w:vAlign w:val="bottom"/>
            <w:hideMark/>
          </w:tcPr>
          <w:p w14:paraId="3A14968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-0.153***</w:t>
            </w:r>
            <w:r w:rsidRPr="00E915AA">
              <w:rPr>
                <w:rFonts w:ascii="Times New Roman" w:eastAsia="Times New Roman" w:hAnsi="Times New Roman" w:cs="Times New Roman"/>
                <w:color w:val="000000"/>
                <w:sz w:val="14"/>
                <w:szCs w:val="14"/>
                <w:lang w:val="en-GB" w:eastAsia="en-GB"/>
              </w:rPr>
              <w:br/>
              <w:t>(-5.91)</w:t>
            </w:r>
          </w:p>
        </w:tc>
        <w:tc>
          <w:tcPr>
            <w:tcW w:w="960" w:type="dxa"/>
            <w:tcBorders>
              <w:top w:val="nil"/>
              <w:left w:val="nil"/>
              <w:bottom w:val="nil"/>
              <w:right w:val="nil"/>
            </w:tcBorders>
            <w:shd w:val="clear" w:color="auto" w:fill="auto"/>
            <w:vAlign w:val="bottom"/>
            <w:hideMark/>
          </w:tcPr>
          <w:p w14:paraId="42DFB8F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-0.158***</w:t>
            </w:r>
            <w:r w:rsidRPr="00E915AA">
              <w:rPr>
                <w:rFonts w:ascii="Times New Roman" w:eastAsia="Times New Roman" w:hAnsi="Times New Roman" w:cs="Times New Roman"/>
                <w:color w:val="000000"/>
                <w:sz w:val="14"/>
                <w:szCs w:val="14"/>
                <w:lang w:val="en-GB" w:eastAsia="en-GB"/>
              </w:rPr>
              <w:br/>
              <w:t>(-3.94)</w:t>
            </w:r>
          </w:p>
        </w:tc>
        <w:tc>
          <w:tcPr>
            <w:tcW w:w="960" w:type="dxa"/>
            <w:tcBorders>
              <w:top w:val="nil"/>
              <w:left w:val="nil"/>
              <w:bottom w:val="nil"/>
              <w:right w:val="nil"/>
            </w:tcBorders>
            <w:shd w:val="clear" w:color="auto" w:fill="auto"/>
            <w:noWrap/>
            <w:vAlign w:val="bottom"/>
            <w:hideMark/>
          </w:tcPr>
          <w:p w14:paraId="1BC6F81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B27DAC7"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w:t>
            </w:r>
            <w:r w:rsidRPr="00E915AA">
              <w:rPr>
                <w:rFonts w:ascii="Times New Roman" w:eastAsia="Times New Roman" w:hAnsi="Times New Roman" w:cs="Times New Roman"/>
                <w:color w:val="000000"/>
                <w:sz w:val="14"/>
                <w:szCs w:val="14"/>
                <w:lang w:val="en-GB" w:eastAsia="en-GB"/>
              </w:rPr>
              <w:br/>
              <w:t>(2.01)</w:t>
            </w:r>
          </w:p>
        </w:tc>
        <w:tc>
          <w:tcPr>
            <w:tcW w:w="960" w:type="dxa"/>
            <w:tcBorders>
              <w:top w:val="nil"/>
              <w:left w:val="nil"/>
              <w:bottom w:val="nil"/>
              <w:right w:val="nil"/>
            </w:tcBorders>
            <w:shd w:val="clear" w:color="auto" w:fill="auto"/>
            <w:vAlign w:val="bottom"/>
            <w:hideMark/>
          </w:tcPr>
          <w:p w14:paraId="0300D10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-0.186***</w:t>
            </w:r>
            <w:r w:rsidRPr="00E915AA">
              <w:rPr>
                <w:rFonts w:ascii="Times New Roman" w:eastAsia="Times New Roman" w:hAnsi="Times New Roman" w:cs="Times New Roman"/>
                <w:color w:val="000000"/>
                <w:sz w:val="14"/>
                <w:szCs w:val="14"/>
                <w:lang w:val="en-GB" w:eastAsia="en-GB"/>
              </w:rPr>
              <w:br/>
              <w:t>(-3.79)</w:t>
            </w:r>
          </w:p>
        </w:tc>
        <w:tc>
          <w:tcPr>
            <w:tcW w:w="960" w:type="dxa"/>
            <w:tcBorders>
              <w:top w:val="nil"/>
              <w:left w:val="nil"/>
              <w:bottom w:val="nil"/>
              <w:right w:val="nil"/>
            </w:tcBorders>
            <w:shd w:val="clear" w:color="auto" w:fill="auto"/>
            <w:vAlign w:val="bottom"/>
            <w:hideMark/>
          </w:tcPr>
          <w:p w14:paraId="515F86A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-0.188***</w:t>
            </w:r>
            <w:r w:rsidRPr="00E915AA">
              <w:rPr>
                <w:rFonts w:ascii="Times New Roman" w:eastAsia="Times New Roman" w:hAnsi="Times New Roman" w:cs="Times New Roman"/>
                <w:color w:val="000000"/>
                <w:sz w:val="14"/>
                <w:szCs w:val="14"/>
                <w:lang w:val="en-GB" w:eastAsia="en-GB"/>
              </w:rPr>
              <w:br/>
              <w:t>(-3.25)</w:t>
            </w:r>
          </w:p>
        </w:tc>
        <w:tc>
          <w:tcPr>
            <w:tcW w:w="960" w:type="dxa"/>
            <w:tcBorders>
              <w:top w:val="nil"/>
              <w:left w:val="nil"/>
              <w:bottom w:val="nil"/>
              <w:right w:val="nil"/>
            </w:tcBorders>
            <w:shd w:val="clear" w:color="auto" w:fill="auto"/>
            <w:noWrap/>
            <w:vAlign w:val="bottom"/>
            <w:hideMark/>
          </w:tcPr>
          <w:p w14:paraId="58BDACB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7F9765C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-0.321***</w:t>
            </w:r>
            <w:r w:rsidRPr="00E915AA">
              <w:rPr>
                <w:rFonts w:ascii="Times New Roman" w:eastAsia="Times New Roman" w:hAnsi="Times New Roman" w:cs="Times New Roman"/>
                <w:color w:val="000000"/>
                <w:sz w:val="14"/>
                <w:szCs w:val="14"/>
                <w:lang w:val="en-GB" w:eastAsia="en-GB"/>
              </w:rPr>
              <w:br/>
              <w:t>(-4.74)</w:t>
            </w:r>
          </w:p>
        </w:tc>
        <w:tc>
          <w:tcPr>
            <w:tcW w:w="960" w:type="dxa"/>
            <w:tcBorders>
              <w:top w:val="nil"/>
              <w:left w:val="nil"/>
              <w:bottom w:val="nil"/>
              <w:right w:val="nil"/>
            </w:tcBorders>
            <w:shd w:val="clear" w:color="auto" w:fill="auto"/>
            <w:vAlign w:val="bottom"/>
            <w:hideMark/>
          </w:tcPr>
          <w:p w14:paraId="6E28952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-0.292***</w:t>
            </w:r>
            <w:r w:rsidRPr="00E915AA">
              <w:rPr>
                <w:rFonts w:ascii="Times New Roman" w:eastAsia="Times New Roman" w:hAnsi="Times New Roman" w:cs="Times New Roman"/>
                <w:color w:val="000000"/>
                <w:sz w:val="14"/>
                <w:szCs w:val="14"/>
                <w:lang w:val="en-GB" w:eastAsia="en-GB"/>
              </w:rPr>
              <w:br/>
              <w:t>(-4.79)</w:t>
            </w:r>
          </w:p>
        </w:tc>
        <w:tc>
          <w:tcPr>
            <w:tcW w:w="960" w:type="dxa"/>
            <w:tcBorders>
              <w:top w:val="nil"/>
              <w:left w:val="nil"/>
              <w:bottom w:val="nil"/>
              <w:right w:val="nil"/>
            </w:tcBorders>
            <w:shd w:val="clear" w:color="auto" w:fill="auto"/>
            <w:vAlign w:val="bottom"/>
            <w:hideMark/>
          </w:tcPr>
          <w:p w14:paraId="25EFD25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-0.307***</w:t>
            </w:r>
            <w:r w:rsidRPr="00E915AA">
              <w:rPr>
                <w:rFonts w:ascii="Times New Roman" w:eastAsia="Times New Roman" w:hAnsi="Times New Roman" w:cs="Times New Roman"/>
                <w:color w:val="000000"/>
                <w:sz w:val="14"/>
                <w:szCs w:val="14"/>
                <w:lang w:val="en-GB" w:eastAsia="en-GB"/>
              </w:rPr>
              <w:br/>
              <w:t>(-4.04)</w:t>
            </w:r>
          </w:p>
        </w:tc>
      </w:tr>
      <w:tr w:rsidR="00F14709" w:rsidRPr="00E915AA" w14:paraId="39832237" w14:textId="77777777" w:rsidTr="00110FF6">
        <w:trPr>
          <w:trHeight w:val="390"/>
        </w:trPr>
        <w:tc>
          <w:tcPr>
            <w:tcW w:w="960" w:type="dxa"/>
            <w:tcBorders>
              <w:top w:val="nil"/>
              <w:left w:val="nil"/>
              <w:bottom w:val="nil"/>
              <w:right w:val="nil"/>
            </w:tcBorders>
            <w:shd w:val="clear" w:color="auto" w:fill="auto"/>
            <w:noWrap/>
            <w:vAlign w:val="bottom"/>
            <w:hideMark/>
          </w:tcPr>
          <w:p w14:paraId="72033EB1"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Leverage</w:t>
            </w:r>
          </w:p>
        </w:tc>
        <w:tc>
          <w:tcPr>
            <w:tcW w:w="960" w:type="dxa"/>
            <w:tcBorders>
              <w:top w:val="nil"/>
              <w:left w:val="nil"/>
              <w:bottom w:val="nil"/>
              <w:right w:val="nil"/>
            </w:tcBorders>
            <w:shd w:val="clear" w:color="auto" w:fill="auto"/>
            <w:noWrap/>
            <w:vAlign w:val="bottom"/>
            <w:hideMark/>
          </w:tcPr>
          <w:p w14:paraId="018907B6"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00F98AE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0.002</w:t>
            </w:r>
            <w:r w:rsidRPr="00E915AA">
              <w:rPr>
                <w:rFonts w:ascii="Times New Roman" w:eastAsia="Times New Roman" w:hAnsi="Times New Roman" w:cs="Times New Roman"/>
                <w:color w:val="000000"/>
                <w:sz w:val="14"/>
                <w:szCs w:val="14"/>
                <w:lang w:val="en-GB" w:eastAsia="en-GB"/>
              </w:rPr>
              <w:br/>
              <w:t>(0.74)</w:t>
            </w:r>
          </w:p>
        </w:tc>
        <w:tc>
          <w:tcPr>
            <w:tcW w:w="960" w:type="dxa"/>
            <w:tcBorders>
              <w:top w:val="nil"/>
              <w:left w:val="nil"/>
              <w:bottom w:val="nil"/>
              <w:right w:val="nil"/>
            </w:tcBorders>
            <w:shd w:val="clear" w:color="auto" w:fill="auto"/>
            <w:vAlign w:val="bottom"/>
            <w:hideMark/>
          </w:tcPr>
          <w:p w14:paraId="0052020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(-0.04)</w:t>
            </w:r>
          </w:p>
        </w:tc>
        <w:tc>
          <w:tcPr>
            <w:tcW w:w="960" w:type="dxa"/>
            <w:tcBorders>
              <w:top w:val="nil"/>
              <w:left w:val="nil"/>
              <w:bottom w:val="nil"/>
              <w:right w:val="nil"/>
            </w:tcBorders>
            <w:shd w:val="clear" w:color="auto" w:fill="auto"/>
            <w:vAlign w:val="bottom"/>
            <w:hideMark/>
          </w:tcPr>
          <w:p w14:paraId="6524AA8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(-0.08)</w:t>
            </w:r>
          </w:p>
        </w:tc>
        <w:tc>
          <w:tcPr>
            <w:tcW w:w="960" w:type="dxa"/>
            <w:tcBorders>
              <w:top w:val="nil"/>
              <w:left w:val="nil"/>
              <w:bottom w:val="nil"/>
              <w:right w:val="nil"/>
            </w:tcBorders>
            <w:shd w:val="clear" w:color="auto" w:fill="auto"/>
            <w:noWrap/>
            <w:vAlign w:val="bottom"/>
            <w:hideMark/>
          </w:tcPr>
          <w:p w14:paraId="4AAF08C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7EFBB1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-0.003</w:t>
            </w:r>
            <w:r w:rsidRPr="00E915AA">
              <w:rPr>
                <w:rFonts w:ascii="Times New Roman" w:eastAsia="Times New Roman" w:hAnsi="Times New Roman" w:cs="Times New Roman"/>
                <w:color w:val="000000"/>
                <w:sz w:val="14"/>
                <w:szCs w:val="14"/>
                <w:lang w:val="en-GB" w:eastAsia="en-GB"/>
              </w:rPr>
              <w:br/>
              <w:t>(-0.99)</w:t>
            </w:r>
          </w:p>
        </w:tc>
        <w:tc>
          <w:tcPr>
            <w:tcW w:w="960" w:type="dxa"/>
            <w:tcBorders>
              <w:top w:val="nil"/>
              <w:left w:val="nil"/>
              <w:bottom w:val="nil"/>
              <w:right w:val="nil"/>
            </w:tcBorders>
            <w:shd w:val="clear" w:color="auto" w:fill="auto"/>
            <w:vAlign w:val="bottom"/>
            <w:hideMark/>
          </w:tcPr>
          <w:p w14:paraId="02E844A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(-0.13)</w:t>
            </w:r>
          </w:p>
        </w:tc>
        <w:tc>
          <w:tcPr>
            <w:tcW w:w="960" w:type="dxa"/>
            <w:tcBorders>
              <w:top w:val="nil"/>
              <w:left w:val="nil"/>
              <w:bottom w:val="nil"/>
              <w:right w:val="nil"/>
            </w:tcBorders>
            <w:shd w:val="clear" w:color="auto" w:fill="auto"/>
            <w:vAlign w:val="bottom"/>
            <w:hideMark/>
          </w:tcPr>
          <w:p w14:paraId="239FA85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(0.16)</w:t>
            </w:r>
          </w:p>
        </w:tc>
        <w:tc>
          <w:tcPr>
            <w:tcW w:w="960" w:type="dxa"/>
            <w:tcBorders>
              <w:top w:val="nil"/>
              <w:left w:val="nil"/>
              <w:bottom w:val="nil"/>
              <w:right w:val="nil"/>
            </w:tcBorders>
            <w:shd w:val="clear" w:color="auto" w:fill="auto"/>
            <w:noWrap/>
            <w:vAlign w:val="bottom"/>
            <w:hideMark/>
          </w:tcPr>
          <w:p w14:paraId="3F0914D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5A71CF7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-0.002</w:t>
            </w:r>
            <w:r w:rsidRPr="00E915AA">
              <w:rPr>
                <w:rFonts w:ascii="Times New Roman" w:eastAsia="Times New Roman" w:hAnsi="Times New Roman" w:cs="Times New Roman"/>
                <w:color w:val="000000"/>
                <w:sz w:val="14"/>
                <w:szCs w:val="14"/>
                <w:lang w:val="en-GB" w:eastAsia="en-GB"/>
              </w:rPr>
              <w:br/>
              <w:t>(-0.81)</w:t>
            </w:r>
          </w:p>
        </w:tc>
        <w:tc>
          <w:tcPr>
            <w:tcW w:w="960" w:type="dxa"/>
            <w:tcBorders>
              <w:top w:val="nil"/>
              <w:left w:val="nil"/>
              <w:bottom w:val="nil"/>
              <w:right w:val="nil"/>
            </w:tcBorders>
            <w:shd w:val="clear" w:color="auto" w:fill="auto"/>
            <w:vAlign w:val="bottom"/>
            <w:hideMark/>
          </w:tcPr>
          <w:p w14:paraId="5B3164D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(0.26)</w:t>
            </w:r>
          </w:p>
        </w:tc>
        <w:tc>
          <w:tcPr>
            <w:tcW w:w="960" w:type="dxa"/>
            <w:tcBorders>
              <w:top w:val="nil"/>
              <w:left w:val="nil"/>
              <w:bottom w:val="nil"/>
              <w:right w:val="nil"/>
            </w:tcBorders>
            <w:shd w:val="clear" w:color="auto" w:fill="auto"/>
            <w:vAlign w:val="bottom"/>
            <w:hideMark/>
          </w:tcPr>
          <w:p w14:paraId="10F59C8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(-0.39)</w:t>
            </w:r>
          </w:p>
        </w:tc>
      </w:tr>
      <w:tr w:rsidR="00F14709" w:rsidRPr="00E915AA" w14:paraId="5DCF7D70" w14:textId="77777777" w:rsidTr="00110FF6">
        <w:trPr>
          <w:trHeight w:val="390"/>
        </w:trPr>
        <w:tc>
          <w:tcPr>
            <w:tcW w:w="960" w:type="dxa"/>
            <w:tcBorders>
              <w:top w:val="nil"/>
              <w:left w:val="nil"/>
              <w:bottom w:val="nil"/>
              <w:right w:val="nil"/>
            </w:tcBorders>
            <w:shd w:val="clear" w:color="auto" w:fill="auto"/>
            <w:noWrap/>
            <w:vAlign w:val="bottom"/>
            <w:hideMark/>
          </w:tcPr>
          <w:p w14:paraId="76C467C7"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Firm age</w:t>
            </w:r>
          </w:p>
        </w:tc>
        <w:tc>
          <w:tcPr>
            <w:tcW w:w="960" w:type="dxa"/>
            <w:tcBorders>
              <w:top w:val="nil"/>
              <w:left w:val="nil"/>
              <w:bottom w:val="nil"/>
              <w:right w:val="nil"/>
            </w:tcBorders>
            <w:shd w:val="clear" w:color="auto" w:fill="auto"/>
            <w:noWrap/>
            <w:vAlign w:val="bottom"/>
            <w:hideMark/>
          </w:tcPr>
          <w:p w14:paraId="67CE284A"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6AEC876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w:t>
            </w:r>
            <w:r w:rsidRPr="00E915AA">
              <w:rPr>
                <w:rFonts w:ascii="Times New Roman" w:eastAsia="Times New Roman" w:hAnsi="Times New Roman" w:cs="Times New Roman"/>
                <w:color w:val="000000"/>
                <w:sz w:val="14"/>
                <w:szCs w:val="14"/>
                <w:lang w:val="en-GB" w:eastAsia="en-GB"/>
              </w:rPr>
              <w:br/>
              <w:t>(-1.52)</w:t>
            </w:r>
          </w:p>
        </w:tc>
        <w:tc>
          <w:tcPr>
            <w:tcW w:w="960" w:type="dxa"/>
            <w:tcBorders>
              <w:top w:val="nil"/>
              <w:left w:val="nil"/>
              <w:bottom w:val="nil"/>
              <w:right w:val="nil"/>
            </w:tcBorders>
            <w:shd w:val="clear" w:color="auto" w:fill="auto"/>
            <w:vAlign w:val="bottom"/>
            <w:hideMark/>
          </w:tcPr>
          <w:p w14:paraId="0F13898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0.003</w:t>
            </w:r>
            <w:r w:rsidRPr="00E915AA">
              <w:rPr>
                <w:rFonts w:ascii="Times New Roman" w:eastAsia="Times New Roman" w:hAnsi="Times New Roman" w:cs="Times New Roman"/>
                <w:color w:val="000000"/>
                <w:sz w:val="14"/>
                <w:szCs w:val="14"/>
                <w:lang w:val="en-GB" w:eastAsia="en-GB"/>
              </w:rPr>
              <w:br/>
              <w:t>(0.48)</w:t>
            </w:r>
          </w:p>
        </w:tc>
        <w:tc>
          <w:tcPr>
            <w:tcW w:w="960" w:type="dxa"/>
            <w:tcBorders>
              <w:top w:val="nil"/>
              <w:left w:val="nil"/>
              <w:bottom w:val="nil"/>
              <w:right w:val="nil"/>
            </w:tcBorders>
            <w:shd w:val="clear" w:color="auto" w:fill="auto"/>
            <w:vAlign w:val="bottom"/>
            <w:hideMark/>
          </w:tcPr>
          <w:p w14:paraId="7B8FFDD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0.009</w:t>
            </w:r>
            <w:r w:rsidRPr="00E915AA">
              <w:rPr>
                <w:rFonts w:ascii="Times New Roman" w:eastAsia="Times New Roman" w:hAnsi="Times New Roman" w:cs="Times New Roman"/>
                <w:color w:val="000000"/>
                <w:sz w:val="14"/>
                <w:szCs w:val="14"/>
                <w:lang w:val="en-GB" w:eastAsia="en-GB"/>
              </w:rPr>
              <w:br/>
              <w:t>(1.19)</w:t>
            </w:r>
          </w:p>
        </w:tc>
        <w:tc>
          <w:tcPr>
            <w:tcW w:w="960" w:type="dxa"/>
            <w:tcBorders>
              <w:top w:val="nil"/>
              <w:left w:val="nil"/>
              <w:bottom w:val="nil"/>
              <w:right w:val="nil"/>
            </w:tcBorders>
            <w:shd w:val="clear" w:color="auto" w:fill="auto"/>
            <w:noWrap/>
            <w:vAlign w:val="bottom"/>
            <w:hideMark/>
          </w:tcPr>
          <w:p w14:paraId="5E0A46B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4B4704F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-0.019**</w:t>
            </w:r>
            <w:r w:rsidRPr="00E915AA">
              <w:rPr>
                <w:rFonts w:ascii="Times New Roman" w:eastAsia="Times New Roman" w:hAnsi="Times New Roman" w:cs="Times New Roman"/>
                <w:color w:val="000000"/>
                <w:sz w:val="14"/>
                <w:szCs w:val="14"/>
                <w:lang w:val="en-GB" w:eastAsia="en-GB"/>
              </w:rPr>
              <w:br/>
              <w:t>(-2.54)</w:t>
            </w:r>
          </w:p>
        </w:tc>
        <w:tc>
          <w:tcPr>
            <w:tcW w:w="960" w:type="dxa"/>
            <w:tcBorders>
              <w:top w:val="nil"/>
              <w:left w:val="nil"/>
              <w:bottom w:val="nil"/>
              <w:right w:val="nil"/>
            </w:tcBorders>
            <w:shd w:val="clear" w:color="auto" w:fill="auto"/>
            <w:vAlign w:val="bottom"/>
            <w:hideMark/>
          </w:tcPr>
          <w:p w14:paraId="7E972E1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w:t>
            </w:r>
            <w:r w:rsidRPr="00E915AA">
              <w:rPr>
                <w:rFonts w:ascii="Times New Roman" w:eastAsia="Times New Roman" w:hAnsi="Times New Roman" w:cs="Times New Roman"/>
                <w:color w:val="000000"/>
                <w:sz w:val="14"/>
                <w:szCs w:val="14"/>
                <w:lang w:val="en-GB" w:eastAsia="en-GB"/>
              </w:rPr>
              <w:br/>
              <w:t>(4.96)</w:t>
            </w:r>
          </w:p>
        </w:tc>
        <w:tc>
          <w:tcPr>
            <w:tcW w:w="960" w:type="dxa"/>
            <w:tcBorders>
              <w:top w:val="nil"/>
              <w:left w:val="nil"/>
              <w:bottom w:val="nil"/>
              <w:right w:val="nil"/>
            </w:tcBorders>
            <w:shd w:val="clear" w:color="auto" w:fill="auto"/>
            <w:vAlign w:val="bottom"/>
            <w:hideMark/>
          </w:tcPr>
          <w:p w14:paraId="08CFC31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0.011***</w:t>
            </w:r>
            <w:r w:rsidRPr="00E915AA">
              <w:rPr>
                <w:rFonts w:ascii="Times New Roman" w:eastAsia="Times New Roman" w:hAnsi="Times New Roman" w:cs="Times New Roman"/>
                <w:color w:val="000000"/>
                <w:sz w:val="14"/>
                <w:szCs w:val="14"/>
                <w:lang w:val="en-GB" w:eastAsia="en-GB"/>
              </w:rPr>
              <w:br/>
              <w:t>(3.64)</w:t>
            </w:r>
          </w:p>
        </w:tc>
        <w:tc>
          <w:tcPr>
            <w:tcW w:w="960" w:type="dxa"/>
            <w:tcBorders>
              <w:top w:val="nil"/>
              <w:left w:val="nil"/>
              <w:bottom w:val="nil"/>
              <w:right w:val="nil"/>
            </w:tcBorders>
            <w:shd w:val="clear" w:color="auto" w:fill="auto"/>
            <w:noWrap/>
            <w:vAlign w:val="bottom"/>
            <w:hideMark/>
          </w:tcPr>
          <w:p w14:paraId="257CB6C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C7DC81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0.023***</w:t>
            </w:r>
            <w:r w:rsidRPr="00E915AA">
              <w:rPr>
                <w:rFonts w:ascii="Times New Roman" w:eastAsia="Times New Roman" w:hAnsi="Times New Roman" w:cs="Times New Roman"/>
                <w:color w:val="000000"/>
                <w:sz w:val="14"/>
                <w:szCs w:val="14"/>
                <w:lang w:val="en-GB" w:eastAsia="en-GB"/>
              </w:rPr>
              <w:br/>
              <w:t>(3.21)</w:t>
            </w:r>
          </w:p>
        </w:tc>
        <w:tc>
          <w:tcPr>
            <w:tcW w:w="960" w:type="dxa"/>
            <w:tcBorders>
              <w:top w:val="nil"/>
              <w:left w:val="nil"/>
              <w:bottom w:val="nil"/>
              <w:right w:val="nil"/>
            </w:tcBorders>
            <w:shd w:val="clear" w:color="auto" w:fill="auto"/>
            <w:vAlign w:val="bottom"/>
            <w:hideMark/>
          </w:tcPr>
          <w:p w14:paraId="4070F5B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0.014***</w:t>
            </w:r>
            <w:r w:rsidRPr="00E915AA">
              <w:rPr>
                <w:rFonts w:ascii="Times New Roman" w:eastAsia="Times New Roman" w:hAnsi="Times New Roman" w:cs="Times New Roman"/>
                <w:color w:val="000000"/>
                <w:sz w:val="14"/>
                <w:szCs w:val="14"/>
                <w:lang w:val="en-GB" w:eastAsia="en-GB"/>
              </w:rPr>
              <w:br/>
              <w:t>(4.95)</w:t>
            </w:r>
          </w:p>
        </w:tc>
        <w:tc>
          <w:tcPr>
            <w:tcW w:w="960" w:type="dxa"/>
            <w:tcBorders>
              <w:top w:val="nil"/>
              <w:left w:val="nil"/>
              <w:bottom w:val="nil"/>
              <w:right w:val="nil"/>
            </w:tcBorders>
            <w:shd w:val="clear" w:color="auto" w:fill="auto"/>
            <w:vAlign w:val="bottom"/>
            <w:hideMark/>
          </w:tcPr>
          <w:p w14:paraId="48902B07"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0.019***</w:t>
            </w:r>
            <w:r w:rsidRPr="00E915AA">
              <w:rPr>
                <w:rFonts w:ascii="Times New Roman" w:eastAsia="Times New Roman" w:hAnsi="Times New Roman" w:cs="Times New Roman"/>
                <w:color w:val="000000"/>
                <w:sz w:val="14"/>
                <w:szCs w:val="14"/>
                <w:lang w:val="en-GB" w:eastAsia="en-GB"/>
              </w:rPr>
              <w:br/>
              <w:t>(3.17)</w:t>
            </w:r>
          </w:p>
        </w:tc>
      </w:tr>
      <w:tr w:rsidR="00F14709" w:rsidRPr="00E915AA" w14:paraId="41D4170E" w14:textId="77777777" w:rsidTr="00110FF6">
        <w:trPr>
          <w:trHeight w:val="390"/>
        </w:trPr>
        <w:tc>
          <w:tcPr>
            <w:tcW w:w="960" w:type="dxa"/>
            <w:tcBorders>
              <w:top w:val="nil"/>
              <w:left w:val="nil"/>
              <w:bottom w:val="nil"/>
              <w:right w:val="nil"/>
            </w:tcBorders>
            <w:shd w:val="clear" w:color="auto" w:fill="auto"/>
            <w:noWrap/>
            <w:vAlign w:val="bottom"/>
            <w:hideMark/>
          </w:tcPr>
          <w:p w14:paraId="7C0C1FFB"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Segments</w:t>
            </w:r>
          </w:p>
        </w:tc>
        <w:tc>
          <w:tcPr>
            <w:tcW w:w="960" w:type="dxa"/>
            <w:tcBorders>
              <w:top w:val="nil"/>
              <w:left w:val="nil"/>
              <w:bottom w:val="nil"/>
              <w:right w:val="nil"/>
            </w:tcBorders>
            <w:shd w:val="clear" w:color="auto" w:fill="auto"/>
            <w:noWrap/>
            <w:vAlign w:val="bottom"/>
            <w:hideMark/>
          </w:tcPr>
          <w:p w14:paraId="7833C868"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759C311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0.037</w:t>
            </w:r>
            <w:r w:rsidRPr="00E915AA">
              <w:rPr>
                <w:rFonts w:ascii="Times New Roman" w:eastAsia="Times New Roman" w:hAnsi="Times New Roman" w:cs="Times New Roman"/>
                <w:color w:val="000000"/>
                <w:sz w:val="14"/>
                <w:szCs w:val="14"/>
                <w:lang w:val="en-GB" w:eastAsia="en-GB"/>
              </w:rPr>
              <w:br/>
              <w:t>(0.71)</w:t>
            </w:r>
          </w:p>
        </w:tc>
        <w:tc>
          <w:tcPr>
            <w:tcW w:w="960" w:type="dxa"/>
            <w:tcBorders>
              <w:top w:val="nil"/>
              <w:left w:val="nil"/>
              <w:bottom w:val="nil"/>
              <w:right w:val="nil"/>
            </w:tcBorders>
            <w:shd w:val="clear" w:color="auto" w:fill="auto"/>
            <w:vAlign w:val="bottom"/>
            <w:hideMark/>
          </w:tcPr>
          <w:p w14:paraId="0414548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0.057</w:t>
            </w:r>
            <w:r w:rsidRPr="00E915AA">
              <w:rPr>
                <w:rFonts w:ascii="Times New Roman" w:eastAsia="Times New Roman" w:hAnsi="Times New Roman" w:cs="Times New Roman"/>
                <w:color w:val="000000"/>
                <w:sz w:val="14"/>
                <w:szCs w:val="14"/>
                <w:lang w:val="en-GB" w:eastAsia="en-GB"/>
              </w:rPr>
              <w:br/>
              <w:t>(1.43)</w:t>
            </w:r>
          </w:p>
        </w:tc>
        <w:tc>
          <w:tcPr>
            <w:tcW w:w="960" w:type="dxa"/>
            <w:tcBorders>
              <w:top w:val="nil"/>
              <w:left w:val="nil"/>
              <w:bottom w:val="nil"/>
              <w:right w:val="nil"/>
            </w:tcBorders>
            <w:shd w:val="clear" w:color="auto" w:fill="auto"/>
            <w:vAlign w:val="bottom"/>
            <w:hideMark/>
          </w:tcPr>
          <w:p w14:paraId="1AFBFE7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0.062</w:t>
            </w:r>
            <w:r w:rsidRPr="00E915AA">
              <w:rPr>
                <w:rFonts w:ascii="Times New Roman" w:eastAsia="Times New Roman" w:hAnsi="Times New Roman" w:cs="Times New Roman"/>
                <w:color w:val="000000"/>
                <w:sz w:val="14"/>
                <w:szCs w:val="14"/>
                <w:lang w:val="en-GB" w:eastAsia="en-GB"/>
              </w:rPr>
              <w:br/>
              <w:t>(1.62)</w:t>
            </w:r>
          </w:p>
        </w:tc>
        <w:tc>
          <w:tcPr>
            <w:tcW w:w="960" w:type="dxa"/>
            <w:tcBorders>
              <w:top w:val="nil"/>
              <w:left w:val="nil"/>
              <w:bottom w:val="nil"/>
              <w:right w:val="nil"/>
            </w:tcBorders>
            <w:shd w:val="clear" w:color="auto" w:fill="auto"/>
            <w:noWrap/>
            <w:vAlign w:val="bottom"/>
            <w:hideMark/>
          </w:tcPr>
          <w:p w14:paraId="505EB86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5CD5540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0.02</w:t>
            </w:r>
            <w:r w:rsidRPr="00E915AA">
              <w:rPr>
                <w:rFonts w:ascii="Times New Roman" w:eastAsia="Times New Roman" w:hAnsi="Times New Roman" w:cs="Times New Roman"/>
                <w:color w:val="000000"/>
                <w:sz w:val="14"/>
                <w:szCs w:val="14"/>
                <w:lang w:val="en-GB" w:eastAsia="en-GB"/>
              </w:rPr>
              <w:br/>
              <w:t>(0.6)</w:t>
            </w:r>
          </w:p>
        </w:tc>
        <w:tc>
          <w:tcPr>
            <w:tcW w:w="960" w:type="dxa"/>
            <w:tcBorders>
              <w:top w:val="nil"/>
              <w:left w:val="nil"/>
              <w:bottom w:val="nil"/>
              <w:right w:val="nil"/>
            </w:tcBorders>
            <w:shd w:val="clear" w:color="auto" w:fill="auto"/>
            <w:vAlign w:val="bottom"/>
            <w:hideMark/>
          </w:tcPr>
          <w:p w14:paraId="7F069AF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0.021</w:t>
            </w:r>
            <w:r w:rsidRPr="00E915AA">
              <w:rPr>
                <w:rFonts w:ascii="Times New Roman" w:eastAsia="Times New Roman" w:hAnsi="Times New Roman" w:cs="Times New Roman"/>
                <w:color w:val="000000"/>
                <w:sz w:val="14"/>
                <w:szCs w:val="14"/>
                <w:lang w:val="en-GB" w:eastAsia="en-GB"/>
              </w:rPr>
              <w:br/>
              <w:t>(0.57)</w:t>
            </w:r>
          </w:p>
        </w:tc>
        <w:tc>
          <w:tcPr>
            <w:tcW w:w="960" w:type="dxa"/>
            <w:tcBorders>
              <w:top w:val="nil"/>
              <w:left w:val="nil"/>
              <w:bottom w:val="nil"/>
              <w:right w:val="nil"/>
            </w:tcBorders>
            <w:shd w:val="clear" w:color="auto" w:fill="auto"/>
            <w:vAlign w:val="bottom"/>
            <w:hideMark/>
          </w:tcPr>
          <w:p w14:paraId="3B73D59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0.017</w:t>
            </w:r>
            <w:r w:rsidRPr="00E915AA">
              <w:rPr>
                <w:rFonts w:ascii="Times New Roman" w:eastAsia="Times New Roman" w:hAnsi="Times New Roman" w:cs="Times New Roman"/>
                <w:color w:val="000000"/>
                <w:sz w:val="14"/>
                <w:szCs w:val="14"/>
                <w:lang w:val="en-GB" w:eastAsia="en-GB"/>
              </w:rPr>
              <w:br/>
              <w:t>(0.53)</w:t>
            </w:r>
          </w:p>
        </w:tc>
        <w:tc>
          <w:tcPr>
            <w:tcW w:w="960" w:type="dxa"/>
            <w:tcBorders>
              <w:top w:val="nil"/>
              <w:left w:val="nil"/>
              <w:bottom w:val="nil"/>
              <w:right w:val="nil"/>
            </w:tcBorders>
            <w:shd w:val="clear" w:color="auto" w:fill="auto"/>
            <w:noWrap/>
            <w:vAlign w:val="bottom"/>
            <w:hideMark/>
          </w:tcPr>
          <w:p w14:paraId="65D4DB7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1F347A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-0.084</w:t>
            </w:r>
            <w:r w:rsidRPr="00E915AA">
              <w:rPr>
                <w:rFonts w:ascii="Times New Roman" w:eastAsia="Times New Roman" w:hAnsi="Times New Roman" w:cs="Times New Roman"/>
                <w:color w:val="000000"/>
                <w:sz w:val="14"/>
                <w:szCs w:val="14"/>
                <w:lang w:val="en-GB" w:eastAsia="en-GB"/>
              </w:rPr>
              <w:br/>
              <w:t>(-1.34)</w:t>
            </w:r>
          </w:p>
        </w:tc>
        <w:tc>
          <w:tcPr>
            <w:tcW w:w="960" w:type="dxa"/>
            <w:tcBorders>
              <w:top w:val="nil"/>
              <w:left w:val="nil"/>
              <w:bottom w:val="nil"/>
              <w:right w:val="nil"/>
            </w:tcBorders>
            <w:shd w:val="clear" w:color="auto" w:fill="auto"/>
            <w:vAlign w:val="bottom"/>
            <w:hideMark/>
          </w:tcPr>
          <w:p w14:paraId="5D0FD39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-0.046</w:t>
            </w:r>
            <w:r w:rsidRPr="00E915AA">
              <w:rPr>
                <w:rFonts w:ascii="Times New Roman" w:eastAsia="Times New Roman" w:hAnsi="Times New Roman" w:cs="Times New Roman"/>
                <w:color w:val="000000"/>
                <w:sz w:val="14"/>
                <w:szCs w:val="14"/>
                <w:lang w:val="en-GB" w:eastAsia="en-GB"/>
              </w:rPr>
              <w:br/>
              <w:t>(-1.17)</w:t>
            </w:r>
          </w:p>
        </w:tc>
        <w:tc>
          <w:tcPr>
            <w:tcW w:w="960" w:type="dxa"/>
            <w:tcBorders>
              <w:top w:val="nil"/>
              <w:left w:val="nil"/>
              <w:bottom w:val="nil"/>
              <w:right w:val="nil"/>
            </w:tcBorders>
            <w:shd w:val="clear" w:color="auto" w:fill="auto"/>
            <w:vAlign w:val="bottom"/>
            <w:hideMark/>
          </w:tcPr>
          <w:p w14:paraId="4334209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-0.036</w:t>
            </w:r>
            <w:r w:rsidRPr="00E915AA">
              <w:rPr>
                <w:rFonts w:ascii="Times New Roman" w:eastAsia="Times New Roman" w:hAnsi="Times New Roman" w:cs="Times New Roman"/>
                <w:color w:val="000000"/>
                <w:sz w:val="14"/>
                <w:szCs w:val="14"/>
                <w:lang w:val="en-GB" w:eastAsia="en-GB"/>
              </w:rPr>
              <w:br/>
              <w:t>(-1.22)</w:t>
            </w:r>
          </w:p>
        </w:tc>
      </w:tr>
      <w:tr w:rsidR="00F14709" w:rsidRPr="00E915AA" w14:paraId="33D86929" w14:textId="77777777" w:rsidTr="00110FF6">
        <w:trPr>
          <w:trHeight w:val="390"/>
        </w:trPr>
        <w:tc>
          <w:tcPr>
            <w:tcW w:w="960" w:type="dxa"/>
            <w:tcBorders>
              <w:top w:val="nil"/>
              <w:left w:val="nil"/>
              <w:bottom w:val="nil"/>
              <w:right w:val="nil"/>
            </w:tcBorders>
            <w:shd w:val="clear" w:color="auto" w:fill="auto"/>
            <w:noWrap/>
            <w:vAlign w:val="bottom"/>
            <w:hideMark/>
          </w:tcPr>
          <w:p w14:paraId="00853CC5"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roofErr w:type="spellStart"/>
            <w:r w:rsidRPr="00E915AA">
              <w:rPr>
                <w:rFonts w:ascii="Times New Roman" w:eastAsia="Times New Roman" w:hAnsi="Times New Roman" w:cs="Times New Roman"/>
                <w:color w:val="000000"/>
                <w:sz w:val="14"/>
                <w:szCs w:val="14"/>
                <w:lang w:val="en-GB" w:eastAsia="en-GB"/>
              </w:rPr>
              <w:t>Zscore</w:t>
            </w:r>
            <w:proofErr w:type="spellEnd"/>
          </w:p>
        </w:tc>
        <w:tc>
          <w:tcPr>
            <w:tcW w:w="960" w:type="dxa"/>
            <w:tcBorders>
              <w:top w:val="nil"/>
              <w:left w:val="nil"/>
              <w:bottom w:val="nil"/>
              <w:right w:val="nil"/>
            </w:tcBorders>
            <w:shd w:val="clear" w:color="auto" w:fill="auto"/>
            <w:noWrap/>
            <w:vAlign w:val="bottom"/>
            <w:hideMark/>
          </w:tcPr>
          <w:p w14:paraId="12790C63"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48DCFBF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0.002</w:t>
            </w:r>
            <w:r w:rsidRPr="00E915AA">
              <w:rPr>
                <w:rFonts w:ascii="Times New Roman" w:eastAsia="Times New Roman" w:hAnsi="Times New Roman" w:cs="Times New Roman"/>
                <w:color w:val="000000"/>
                <w:sz w:val="14"/>
                <w:szCs w:val="14"/>
                <w:lang w:val="en-GB" w:eastAsia="en-GB"/>
              </w:rPr>
              <w:br/>
              <w:t>(1.61)</w:t>
            </w:r>
          </w:p>
        </w:tc>
        <w:tc>
          <w:tcPr>
            <w:tcW w:w="960" w:type="dxa"/>
            <w:tcBorders>
              <w:top w:val="nil"/>
              <w:left w:val="nil"/>
              <w:bottom w:val="nil"/>
              <w:right w:val="nil"/>
            </w:tcBorders>
            <w:shd w:val="clear" w:color="auto" w:fill="auto"/>
            <w:vAlign w:val="bottom"/>
            <w:hideMark/>
          </w:tcPr>
          <w:p w14:paraId="60BC364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(-0.41)</w:t>
            </w:r>
          </w:p>
        </w:tc>
        <w:tc>
          <w:tcPr>
            <w:tcW w:w="960" w:type="dxa"/>
            <w:tcBorders>
              <w:top w:val="nil"/>
              <w:left w:val="nil"/>
              <w:bottom w:val="nil"/>
              <w:right w:val="nil"/>
            </w:tcBorders>
            <w:shd w:val="clear" w:color="auto" w:fill="auto"/>
            <w:vAlign w:val="bottom"/>
            <w:hideMark/>
          </w:tcPr>
          <w:p w14:paraId="2F7BDCE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(-0.46)</w:t>
            </w:r>
          </w:p>
        </w:tc>
        <w:tc>
          <w:tcPr>
            <w:tcW w:w="960" w:type="dxa"/>
            <w:tcBorders>
              <w:top w:val="nil"/>
              <w:left w:val="nil"/>
              <w:bottom w:val="nil"/>
              <w:right w:val="nil"/>
            </w:tcBorders>
            <w:shd w:val="clear" w:color="auto" w:fill="auto"/>
            <w:noWrap/>
            <w:vAlign w:val="bottom"/>
            <w:hideMark/>
          </w:tcPr>
          <w:p w14:paraId="3DD539F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81E9D17"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0.002</w:t>
            </w:r>
            <w:r w:rsidRPr="00E915AA">
              <w:rPr>
                <w:rFonts w:ascii="Times New Roman" w:eastAsia="Times New Roman" w:hAnsi="Times New Roman" w:cs="Times New Roman"/>
                <w:color w:val="000000"/>
                <w:sz w:val="14"/>
                <w:szCs w:val="14"/>
                <w:lang w:val="en-GB" w:eastAsia="en-GB"/>
              </w:rPr>
              <w:br/>
              <w:t>(1.07)</w:t>
            </w:r>
          </w:p>
        </w:tc>
        <w:tc>
          <w:tcPr>
            <w:tcW w:w="960" w:type="dxa"/>
            <w:tcBorders>
              <w:top w:val="nil"/>
              <w:left w:val="nil"/>
              <w:bottom w:val="nil"/>
              <w:right w:val="nil"/>
            </w:tcBorders>
            <w:shd w:val="clear" w:color="auto" w:fill="auto"/>
            <w:vAlign w:val="bottom"/>
            <w:hideMark/>
          </w:tcPr>
          <w:p w14:paraId="097D50B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(-1.45)</w:t>
            </w:r>
          </w:p>
        </w:tc>
        <w:tc>
          <w:tcPr>
            <w:tcW w:w="960" w:type="dxa"/>
            <w:tcBorders>
              <w:top w:val="nil"/>
              <w:left w:val="nil"/>
              <w:bottom w:val="nil"/>
              <w:right w:val="nil"/>
            </w:tcBorders>
            <w:shd w:val="clear" w:color="auto" w:fill="auto"/>
            <w:vAlign w:val="bottom"/>
            <w:hideMark/>
          </w:tcPr>
          <w:p w14:paraId="278DB89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(-1.37)</w:t>
            </w:r>
          </w:p>
        </w:tc>
        <w:tc>
          <w:tcPr>
            <w:tcW w:w="960" w:type="dxa"/>
            <w:tcBorders>
              <w:top w:val="nil"/>
              <w:left w:val="nil"/>
              <w:bottom w:val="nil"/>
              <w:right w:val="nil"/>
            </w:tcBorders>
            <w:shd w:val="clear" w:color="auto" w:fill="auto"/>
            <w:noWrap/>
            <w:vAlign w:val="bottom"/>
            <w:hideMark/>
          </w:tcPr>
          <w:p w14:paraId="02EF89B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3A82296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-0.003**</w:t>
            </w:r>
            <w:r w:rsidRPr="00E915AA">
              <w:rPr>
                <w:rFonts w:ascii="Times New Roman" w:eastAsia="Times New Roman" w:hAnsi="Times New Roman" w:cs="Times New Roman"/>
                <w:color w:val="000000"/>
                <w:sz w:val="14"/>
                <w:szCs w:val="14"/>
                <w:lang w:val="en-GB" w:eastAsia="en-GB"/>
              </w:rPr>
              <w:br/>
              <w:t>(-2.77)</w:t>
            </w:r>
          </w:p>
        </w:tc>
        <w:tc>
          <w:tcPr>
            <w:tcW w:w="960" w:type="dxa"/>
            <w:tcBorders>
              <w:top w:val="nil"/>
              <w:left w:val="nil"/>
              <w:bottom w:val="nil"/>
              <w:right w:val="nil"/>
            </w:tcBorders>
            <w:shd w:val="clear" w:color="auto" w:fill="auto"/>
            <w:vAlign w:val="bottom"/>
            <w:hideMark/>
          </w:tcPr>
          <w:p w14:paraId="2E7B806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(-0.38)</w:t>
            </w:r>
          </w:p>
        </w:tc>
        <w:tc>
          <w:tcPr>
            <w:tcW w:w="960" w:type="dxa"/>
            <w:tcBorders>
              <w:top w:val="nil"/>
              <w:left w:val="nil"/>
              <w:bottom w:val="nil"/>
              <w:right w:val="nil"/>
            </w:tcBorders>
            <w:shd w:val="clear" w:color="auto" w:fill="auto"/>
            <w:vAlign w:val="bottom"/>
            <w:hideMark/>
          </w:tcPr>
          <w:p w14:paraId="52F8F4E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-0.001</w:t>
            </w:r>
            <w:r w:rsidRPr="00E915AA">
              <w:rPr>
                <w:rFonts w:ascii="Times New Roman" w:eastAsia="Times New Roman" w:hAnsi="Times New Roman" w:cs="Times New Roman"/>
                <w:color w:val="000000"/>
                <w:sz w:val="14"/>
                <w:szCs w:val="14"/>
                <w:lang w:val="en-GB" w:eastAsia="en-GB"/>
              </w:rPr>
              <w:br/>
              <w:t>(-0.63)</w:t>
            </w:r>
          </w:p>
        </w:tc>
      </w:tr>
      <w:tr w:rsidR="00F14709" w:rsidRPr="00E915AA" w14:paraId="3E506AEE" w14:textId="77777777" w:rsidTr="00110FF6">
        <w:trPr>
          <w:trHeight w:val="390"/>
        </w:trPr>
        <w:tc>
          <w:tcPr>
            <w:tcW w:w="960" w:type="dxa"/>
            <w:tcBorders>
              <w:top w:val="nil"/>
              <w:left w:val="nil"/>
              <w:bottom w:val="nil"/>
              <w:right w:val="nil"/>
            </w:tcBorders>
            <w:shd w:val="clear" w:color="auto" w:fill="auto"/>
            <w:noWrap/>
            <w:vAlign w:val="bottom"/>
            <w:hideMark/>
          </w:tcPr>
          <w:p w14:paraId="10470D8F"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Big4</w:t>
            </w:r>
          </w:p>
        </w:tc>
        <w:tc>
          <w:tcPr>
            <w:tcW w:w="960" w:type="dxa"/>
            <w:tcBorders>
              <w:top w:val="nil"/>
              <w:left w:val="nil"/>
              <w:bottom w:val="nil"/>
              <w:right w:val="nil"/>
            </w:tcBorders>
            <w:shd w:val="clear" w:color="auto" w:fill="auto"/>
            <w:noWrap/>
            <w:vAlign w:val="bottom"/>
            <w:hideMark/>
          </w:tcPr>
          <w:p w14:paraId="10DFDB41"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76EAF7D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-0.018</w:t>
            </w:r>
            <w:r w:rsidRPr="00E915AA">
              <w:rPr>
                <w:rFonts w:ascii="Times New Roman" w:eastAsia="Times New Roman" w:hAnsi="Times New Roman" w:cs="Times New Roman"/>
                <w:color w:val="000000"/>
                <w:sz w:val="14"/>
                <w:szCs w:val="14"/>
                <w:lang w:val="en-GB" w:eastAsia="en-GB"/>
              </w:rPr>
              <w:br/>
              <w:t>(-0.08)</w:t>
            </w:r>
          </w:p>
        </w:tc>
        <w:tc>
          <w:tcPr>
            <w:tcW w:w="960" w:type="dxa"/>
            <w:tcBorders>
              <w:top w:val="nil"/>
              <w:left w:val="nil"/>
              <w:bottom w:val="nil"/>
              <w:right w:val="nil"/>
            </w:tcBorders>
            <w:shd w:val="clear" w:color="auto" w:fill="auto"/>
            <w:vAlign w:val="bottom"/>
            <w:hideMark/>
          </w:tcPr>
          <w:p w14:paraId="2F33124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-0.407**</w:t>
            </w:r>
            <w:r w:rsidRPr="00E915AA">
              <w:rPr>
                <w:rFonts w:ascii="Times New Roman" w:eastAsia="Times New Roman" w:hAnsi="Times New Roman" w:cs="Times New Roman"/>
                <w:color w:val="000000"/>
                <w:sz w:val="14"/>
                <w:szCs w:val="14"/>
                <w:lang w:val="en-GB" w:eastAsia="en-GB"/>
              </w:rPr>
              <w:br/>
              <w:t>(-2.75)</w:t>
            </w:r>
          </w:p>
        </w:tc>
        <w:tc>
          <w:tcPr>
            <w:tcW w:w="960" w:type="dxa"/>
            <w:tcBorders>
              <w:top w:val="nil"/>
              <w:left w:val="nil"/>
              <w:bottom w:val="nil"/>
              <w:right w:val="nil"/>
            </w:tcBorders>
            <w:shd w:val="clear" w:color="auto" w:fill="auto"/>
            <w:vAlign w:val="bottom"/>
            <w:hideMark/>
          </w:tcPr>
          <w:p w14:paraId="555019F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-0.346***</w:t>
            </w:r>
            <w:r w:rsidRPr="00E915AA">
              <w:rPr>
                <w:rFonts w:ascii="Times New Roman" w:eastAsia="Times New Roman" w:hAnsi="Times New Roman" w:cs="Times New Roman"/>
                <w:color w:val="000000"/>
                <w:sz w:val="14"/>
                <w:szCs w:val="14"/>
                <w:lang w:val="en-GB" w:eastAsia="en-GB"/>
              </w:rPr>
              <w:br/>
              <w:t>(-3.93)</w:t>
            </w:r>
          </w:p>
        </w:tc>
        <w:tc>
          <w:tcPr>
            <w:tcW w:w="960" w:type="dxa"/>
            <w:tcBorders>
              <w:top w:val="nil"/>
              <w:left w:val="nil"/>
              <w:bottom w:val="nil"/>
              <w:right w:val="nil"/>
            </w:tcBorders>
            <w:shd w:val="clear" w:color="auto" w:fill="auto"/>
            <w:noWrap/>
            <w:vAlign w:val="bottom"/>
            <w:hideMark/>
          </w:tcPr>
          <w:p w14:paraId="7D00BDB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207C17E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-0.004</w:t>
            </w:r>
            <w:r w:rsidRPr="00E915AA">
              <w:rPr>
                <w:rFonts w:ascii="Times New Roman" w:eastAsia="Times New Roman" w:hAnsi="Times New Roman" w:cs="Times New Roman"/>
                <w:color w:val="000000"/>
                <w:sz w:val="14"/>
                <w:szCs w:val="14"/>
                <w:lang w:val="en-GB" w:eastAsia="en-GB"/>
              </w:rPr>
              <w:br/>
              <w:t>(-0.03)</w:t>
            </w:r>
          </w:p>
        </w:tc>
        <w:tc>
          <w:tcPr>
            <w:tcW w:w="960" w:type="dxa"/>
            <w:tcBorders>
              <w:top w:val="nil"/>
              <w:left w:val="nil"/>
              <w:bottom w:val="nil"/>
              <w:right w:val="nil"/>
            </w:tcBorders>
            <w:shd w:val="clear" w:color="auto" w:fill="auto"/>
            <w:vAlign w:val="bottom"/>
            <w:hideMark/>
          </w:tcPr>
          <w:p w14:paraId="53AD2EA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-0.052</w:t>
            </w:r>
            <w:r w:rsidRPr="00E915AA">
              <w:rPr>
                <w:rFonts w:ascii="Times New Roman" w:eastAsia="Times New Roman" w:hAnsi="Times New Roman" w:cs="Times New Roman"/>
                <w:color w:val="000000"/>
                <w:sz w:val="14"/>
                <w:szCs w:val="14"/>
                <w:lang w:val="en-GB" w:eastAsia="en-GB"/>
              </w:rPr>
              <w:br/>
              <w:t>(-0.68)</w:t>
            </w:r>
          </w:p>
        </w:tc>
        <w:tc>
          <w:tcPr>
            <w:tcW w:w="960" w:type="dxa"/>
            <w:tcBorders>
              <w:top w:val="nil"/>
              <w:left w:val="nil"/>
              <w:bottom w:val="nil"/>
              <w:right w:val="nil"/>
            </w:tcBorders>
            <w:shd w:val="clear" w:color="auto" w:fill="auto"/>
            <w:vAlign w:val="bottom"/>
            <w:hideMark/>
          </w:tcPr>
          <w:p w14:paraId="35E4095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-0.013</w:t>
            </w:r>
            <w:r w:rsidRPr="00E915AA">
              <w:rPr>
                <w:rFonts w:ascii="Times New Roman" w:eastAsia="Times New Roman" w:hAnsi="Times New Roman" w:cs="Times New Roman"/>
                <w:color w:val="000000"/>
                <w:sz w:val="14"/>
                <w:szCs w:val="14"/>
                <w:lang w:val="en-GB" w:eastAsia="en-GB"/>
              </w:rPr>
              <w:br/>
              <w:t>(-0.14)</w:t>
            </w:r>
          </w:p>
        </w:tc>
        <w:tc>
          <w:tcPr>
            <w:tcW w:w="960" w:type="dxa"/>
            <w:tcBorders>
              <w:top w:val="nil"/>
              <w:left w:val="nil"/>
              <w:bottom w:val="nil"/>
              <w:right w:val="nil"/>
            </w:tcBorders>
            <w:shd w:val="clear" w:color="auto" w:fill="auto"/>
            <w:noWrap/>
            <w:vAlign w:val="bottom"/>
            <w:hideMark/>
          </w:tcPr>
          <w:p w14:paraId="084864A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5C49CD5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0.137</w:t>
            </w:r>
            <w:r w:rsidRPr="00E915AA">
              <w:rPr>
                <w:rFonts w:ascii="Times New Roman" w:eastAsia="Times New Roman" w:hAnsi="Times New Roman" w:cs="Times New Roman"/>
                <w:color w:val="000000"/>
                <w:sz w:val="14"/>
                <w:szCs w:val="14"/>
                <w:lang w:val="en-GB" w:eastAsia="en-GB"/>
              </w:rPr>
              <w:br/>
              <w:t>(0.8)</w:t>
            </w:r>
          </w:p>
        </w:tc>
        <w:tc>
          <w:tcPr>
            <w:tcW w:w="960" w:type="dxa"/>
            <w:tcBorders>
              <w:top w:val="nil"/>
              <w:left w:val="nil"/>
              <w:bottom w:val="nil"/>
              <w:right w:val="nil"/>
            </w:tcBorders>
            <w:shd w:val="clear" w:color="auto" w:fill="auto"/>
            <w:vAlign w:val="bottom"/>
            <w:hideMark/>
          </w:tcPr>
          <w:p w14:paraId="165702F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-0.167</w:t>
            </w:r>
            <w:r w:rsidRPr="00E915AA">
              <w:rPr>
                <w:rFonts w:ascii="Times New Roman" w:eastAsia="Times New Roman" w:hAnsi="Times New Roman" w:cs="Times New Roman"/>
                <w:color w:val="000000"/>
                <w:sz w:val="14"/>
                <w:szCs w:val="14"/>
                <w:lang w:val="en-GB" w:eastAsia="en-GB"/>
              </w:rPr>
              <w:br/>
              <w:t>(-0.98)</w:t>
            </w:r>
          </w:p>
        </w:tc>
        <w:tc>
          <w:tcPr>
            <w:tcW w:w="960" w:type="dxa"/>
            <w:tcBorders>
              <w:top w:val="nil"/>
              <w:left w:val="nil"/>
              <w:bottom w:val="nil"/>
              <w:right w:val="nil"/>
            </w:tcBorders>
            <w:shd w:val="clear" w:color="auto" w:fill="auto"/>
            <w:vAlign w:val="bottom"/>
            <w:hideMark/>
          </w:tcPr>
          <w:p w14:paraId="231A2D8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-0.053</w:t>
            </w:r>
            <w:r w:rsidRPr="00E915AA">
              <w:rPr>
                <w:rFonts w:ascii="Times New Roman" w:eastAsia="Times New Roman" w:hAnsi="Times New Roman" w:cs="Times New Roman"/>
                <w:color w:val="000000"/>
                <w:sz w:val="14"/>
                <w:szCs w:val="14"/>
                <w:lang w:val="en-GB" w:eastAsia="en-GB"/>
              </w:rPr>
              <w:br/>
              <w:t>(-0.61)</w:t>
            </w:r>
          </w:p>
        </w:tc>
      </w:tr>
      <w:tr w:rsidR="00F14709" w:rsidRPr="00E915AA" w14:paraId="5E2C0119" w14:textId="77777777" w:rsidTr="00110FF6">
        <w:trPr>
          <w:trHeight w:val="390"/>
        </w:trPr>
        <w:tc>
          <w:tcPr>
            <w:tcW w:w="960" w:type="dxa"/>
            <w:tcBorders>
              <w:top w:val="nil"/>
              <w:left w:val="nil"/>
              <w:bottom w:val="nil"/>
              <w:right w:val="nil"/>
            </w:tcBorders>
            <w:shd w:val="clear" w:color="auto" w:fill="auto"/>
            <w:noWrap/>
            <w:vAlign w:val="bottom"/>
            <w:hideMark/>
          </w:tcPr>
          <w:p w14:paraId="2E2307BA"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Restructuring</w:t>
            </w:r>
          </w:p>
        </w:tc>
        <w:tc>
          <w:tcPr>
            <w:tcW w:w="960" w:type="dxa"/>
            <w:tcBorders>
              <w:top w:val="nil"/>
              <w:left w:val="nil"/>
              <w:bottom w:val="nil"/>
              <w:right w:val="nil"/>
            </w:tcBorders>
            <w:shd w:val="clear" w:color="auto" w:fill="auto"/>
            <w:noWrap/>
            <w:vAlign w:val="bottom"/>
            <w:hideMark/>
          </w:tcPr>
          <w:p w14:paraId="10EC2731"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4EA8344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0.356*</w:t>
            </w:r>
            <w:r w:rsidRPr="00E915AA">
              <w:rPr>
                <w:rFonts w:ascii="Times New Roman" w:eastAsia="Times New Roman" w:hAnsi="Times New Roman" w:cs="Times New Roman"/>
                <w:color w:val="000000"/>
                <w:sz w:val="14"/>
                <w:szCs w:val="14"/>
                <w:lang w:val="en-GB" w:eastAsia="en-GB"/>
              </w:rPr>
              <w:br/>
              <w:t>(2.12)</w:t>
            </w:r>
          </w:p>
        </w:tc>
        <w:tc>
          <w:tcPr>
            <w:tcW w:w="960" w:type="dxa"/>
            <w:tcBorders>
              <w:top w:val="nil"/>
              <w:left w:val="nil"/>
              <w:bottom w:val="nil"/>
              <w:right w:val="nil"/>
            </w:tcBorders>
            <w:shd w:val="clear" w:color="auto" w:fill="auto"/>
            <w:vAlign w:val="bottom"/>
            <w:hideMark/>
          </w:tcPr>
          <w:p w14:paraId="25E976F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-0.085</w:t>
            </w:r>
            <w:r w:rsidRPr="00E915AA">
              <w:rPr>
                <w:rFonts w:ascii="Times New Roman" w:eastAsia="Times New Roman" w:hAnsi="Times New Roman" w:cs="Times New Roman"/>
                <w:color w:val="000000"/>
                <w:sz w:val="14"/>
                <w:szCs w:val="14"/>
                <w:lang w:val="en-GB" w:eastAsia="en-GB"/>
              </w:rPr>
              <w:br/>
              <w:t>(-0.7)</w:t>
            </w:r>
          </w:p>
        </w:tc>
        <w:tc>
          <w:tcPr>
            <w:tcW w:w="960" w:type="dxa"/>
            <w:tcBorders>
              <w:top w:val="nil"/>
              <w:left w:val="nil"/>
              <w:bottom w:val="nil"/>
              <w:right w:val="nil"/>
            </w:tcBorders>
            <w:shd w:val="clear" w:color="auto" w:fill="auto"/>
            <w:vAlign w:val="bottom"/>
            <w:hideMark/>
          </w:tcPr>
          <w:p w14:paraId="08856A9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-0.223*</w:t>
            </w:r>
            <w:r w:rsidRPr="00E915AA">
              <w:rPr>
                <w:rFonts w:ascii="Times New Roman" w:eastAsia="Times New Roman" w:hAnsi="Times New Roman" w:cs="Times New Roman"/>
                <w:color w:val="000000"/>
                <w:sz w:val="14"/>
                <w:szCs w:val="14"/>
                <w:lang w:val="en-GB" w:eastAsia="en-GB"/>
              </w:rPr>
              <w:br/>
              <w:t>(-2.16)</w:t>
            </w:r>
          </w:p>
        </w:tc>
        <w:tc>
          <w:tcPr>
            <w:tcW w:w="960" w:type="dxa"/>
            <w:tcBorders>
              <w:top w:val="nil"/>
              <w:left w:val="nil"/>
              <w:bottom w:val="nil"/>
              <w:right w:val="nil"/>
            </w:tcBorders>
            <w:shd w:val="clear" w:color="auto" w:fill="auto"/>
            <w:noWrap/>
            <w:vAlign w:val="bottom"/>
            <w:hideMark/>
          </w:tcPr>
          <w:p w14:paraId="01564D8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66E878B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-0.018</w:t>
            </w:r>
            <w:r w:rsidRPr="00E915AA">
              <w:rPr>
                <w:rFonts w:ascii="Times New Roman" w:eastAsia="Times New Roman" w:hAnsi="Times New Roman" w:cs="Times New Roman"/>
                <w:color w:val="000000"/>
                <w:sz w:val="14"/>
                <w:szCs w:val="14"/>
                <w:lang w:val="en-GB" w:eastAsia="en-GB"/>
              </w:rPr>
              <w:br/>
              <w:t>(-0.15)</w:t>
            </w:r>
          </w:p>
        </w:tc>
        <w:tc>
          <w:tcPr>
            <w:tcW w:w="960" w:type="dxa"/>
            <w:tcBorders>
              <w:top w:val="nil"/>
              <w:left w:val="nil"/>
              <w:bottom w:val="nil"/>
              <w:right w:val="nil"/>
            </w:tcBorders>
            <w:shd w:val="clear" w:color="auto" w:fill="auto"/>
            <w:vAlign w:val="bottom"/>
            <w:hideMark/>
          </w:tcPr>
          <w:p w14:paraId="7F6B4A4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-0.261</w:t>
            </w:r>
            <w:r w:rsidRPr="00E915AA">
              <w:rPr>
                <w:rFonts w:ascii="Times New Roman" w:eastAsia="Times New Roman" w:hAnsi="Times New Roman" w:cs="Times New Roman"/>
                <w:color w:val="000000"/>
                <w:sz w:val="14"/>
                <w:szCs w:val="14"/>
                <w:lang w:val="en-GB" w:eastAsia="en-GB"/>
              </w:rPr>
              <w:br/>
              <w:t>(-1.09)</w:t>
            </w:r>
          </w:p>
        </w:tc>
        <w:tc>
          <w:tcPr>
            <w:tcW w:w="960" w:type="dxa"/>
            <w:tcBorders>
              <w:top w:val="nil"/>
              <w:left w:val="nil"/>
              <w:bottom w:val="nil"/>
              <w:right w:val="nil"/>
            </w:tcBorders>
            <w:shd w:val="clear" w:color="auto" w:fill="auto"/>
            <w:vAlign w:val="bottom"/>
            <w:hideMark/>
          </w:tcPr>
          <w:p w14:paraId="520CCC7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-0.24</w:t>
            </w:r>
            <w:r w:rsidRPr="00E915AA">
              <w:rPr>
                <w:rFonts w:ascii="Times New Roman" w:eastAsia="Times New Roman" w:hAnsi="Times New Roman" w:cs="Times New Roman"/>
                <w:color w:val="000000"/>
                <w:sz w:val="14"/>
                <w:szCs w:val="14"/>
                <w:lang w:val="en-GB" w:eastAsia="en-GB"/>
              </w:rPr>
              <w:br/>
              <w:t>(-1.23)</w:t>
            </w:r>
          </w:p>
        </w:tc>
        <w:tc>
          <w:tcPr>
            <w:tcW w:w="960" w:type="dxa"/>
            <w:tcBorders>
              <w:top w:val="nil"/>
              <w:left w:val="nil"/>
              <w:bottom w:val="nil"/>
              <w:right w:val="nil"/>
            </w:tcBorders>
            <w:shd w:val="clear" w:color="auto" w:fill="auto"/>
            <w:noWrap/>
            <w:vAlign w:val="bottom"/>
            <w:hideMark/>
          </w:tcPr>
          <w:p w14:paraId="500D199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219BBBA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-0.086</w:t>
            </w:r>
            <w:r w:rsidRPr="00E915AA">
              <w:rPr>
                <w:rFonts w:ascii="Times New Roman" w:eastAsia="Times New Roman" w:hAnsi="Times New Roman" w:cs="Times New Roman"/>
                <w:color w:val="000000"/>
                <w:sz w:val="14"/>
                <w:szCs w:val="14"/>
                <w:lang w:val="en-GB" w:eastAsia="en-GB"/>
              </w:rPr>
              <w:br/>
              <w:t>(-1.06)</w:t>
            </w:r>
          </w:p>
        </w:tc>
        <w:tc>
          <w:tcPr>
            <w:tcW w:w="960" w:type="dxa"/>
            <w:tcBorders>
              <w:top w:val="nil"/>
              <w:left w:val="nil"/>
              <w:bottom w:val="nil"/>
              <w:right w:val="nil"/>
            </w:tcBorders>
            <w:shd w:val="clear" w:color="auto" w:fill="auto"/>
            <w:vAlign w:val="bottom"/>
            <w:hideMark/>
          </w:tcPr>
          <w:p w14:paraId="6E7BC56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-0.276**</w:t>
            </w:r>
            <w:r w:rsidRPr="00E915AA">
              <w:rPr>
                <w:rFonts w:ascii="Times New Roman" w:eastAsia="Times New Roman" w:hAnsi="Times New Roman" w:cs="Times New Roman"/>
                <w:color w:val="000000"/>
                <w:sz w:val="14"/>
                <w:szCs w:val="14"/>
                <w:lang w:val="en-GB" w:eastAsia="en-GB"/>
              </w:rPr>
              <w:br/>
              <w:t>(-2.32)</w:t>
            </w:r>
          </w:p>
        </w:tc>
        <w:tc>
          <w:tcPr>
            <w:tcW w:w="960" w:type="dxa"/>
            <w:tcBorders>
              <w:top w:val="nil"/>
              <w:left w:val="nil"/>
              <w:bottom w:val="nil"/>
              <w:right w:val="nil"/>
            </w:tcBorders>
            <w:shd w:val="clear" w:color="auto" w:fill="auto"/>
            <w:vAlign w:val="bottom"/>
            <w:hideMark/>
          </w:tcPr>
          <w:p w14:paraId="1D51977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-0.37**</w:t>
            </w:r>
            <w:r w:rsidRPr="00E915AA">
              <w:rPr>
                <w:rFonts w:ascii="Times New Roman" w:eastAsia="Times New Roman" w:hAnsi="Times New Roman" w:cs="Times New Roman"/>
                <w:color w:val="000000"/>
                <w:sz w:val="14"/>
                <w:szCs w:val="14"/>
                <w:lang w:val="en-GB" w:eastAsia="en-GB"/>
              </w:rPr>
              <w:br/>
              <w:t>(-2.92)</w:t>
            </w:r>
          </w:p>
        </w:tc>
      </w:tr>
      <w:tr w:rsidR="00F14709" w:rsidRPr="00E915AA" w14:paraId="2F190BFA" w14:textId="77777777" w:rsidTr="00110FF6">
        <w:trPr>
          <w:trHeight w:val="390"/>
        </w:trPr>
        <w:tc>
          <w:tcPr>
            <w:tcW w:w="960" w:type="dxa"/>
            <w:tcBorders>
              <w:top w:val="nil"/>
              <w:left w:val="nil"/>
              <w:bottom w:val="nil"/>
              <w:right w:val="nil"/>
            </w:tcBorders>
            <w:shd w:val="clear" w:color="auto" w:fill="auto"/>
            <w:noWrap/>
            <w:vAlign w:val="bottom"/>
            <w:hideMark/>
          </w:tcPr>
          <w:p w14:paraId="5933129E"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M&amp;A</w:t>
            </w:r>
          </w:p>
        </w:tc>
        <w:tc>
          <w:tcPr>
            <w:tcW w:w="960" w:type="dxa"/>
            <w:tcBorders>
              <w:top w:val="nil"/>
              <w:left w:val="nil"/>
              <w:bottom w:val="nil"/>
              <w:right w:val="nil"/>
            </w:tcBorders>
            <w:shd w:val="clear" w:color="auto" w:fill="auto"/>
            <w:noWrap/>
            <w:vAlign w:val="bottom"/>
            <w:hideMark/>
          </w:tcPr>
          <w:p w14:paraId="175E1EE1"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10D34B4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-0.213**</w:t>
            </w:r>
            <w:r w:rsidRPr="00E915AA">
              <w:rPr>
                <w:rFonts w:ascii="Times New Roman" w:eastAsia="Times New Roman" w:hAnsi="Times New Roman" w:cs="Times New Roman"/>
                <w:color w:val="000000"/>
                <w:sz w:val="14"/>
                <w:szCs w:val="14"/>
                <w:lang w:val="en-GB" w:eastAsia="en-GB"/>
              </w:rPr>
              <w:br/>
              <w:t>(-2.23)</w:t>
            </w:r>
          </w:p>
        </w:tc>
        <w:tc>
          <w:tcPr>
            <w:tcW w:w="960" w:type="dxa"/>
            <w:tcBorders>
              <w:top w:val="nil"/>
              <w:left w:val="nil"/>
              <w:bottom w:val="nil"/>
              <w:right w:val="nil"/>
            </w:tcBorders>
            <w:shd w:val="clear" w:color="auto" w:fill="auto"/>
            <w:vAlign w:val="bottom"/>
            <w:hideMark/>
          </w:tcPr>
          <w:p w14:paraId="14FC66D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0.049</w:t>
            </w:r>
            <w:r w:rsidRPr="00E915AA">
              <w:rPr>
                <w:rFonts w:ascii="Times New Roman" w:eastAsia="Times New Roman" w:hAnsi="Times New Roman" w:cs="Times New Roman"/>
                <w:color w:val="000000"/>
                <w:sz w:val="14"/>
                <w:szCs w:val="14"/>
                <w:lang w:val="en-GB" w:eastAsia="en-GB"/>
              </w:rPr>
              <w:br/>
              <w:t>(0.66)</w:t>
            </w:r>
          </w:p>
        </w:tc>
        <w:tc>
          <w:tcPr>
            <w:tcW w:w="960" w:type="dxa"/>
            <w:tcBorders>
              <w:top w:val="nil"/>
              <w:left w:val="nil"/>
              <w:bottom w:val="nil"/>
              <w:right w:val="nil"/>
            </w:tcBorders>
            <w:shd w:val="clear" w:color="auto" w:fill="auto"/>
            <w:vAlign w:val="bottom"/>
            <w:hideMark/>
          </w:tcPr>
          <w:p w14:paraId="32033EB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0.049</w:t>
            </w:r>
            <w:r w:rsidRPr="00E915AA">
              <w:rPr>
                <w:rFonts w:ascii="Times New Roman" w:eastAsia="Times New Roman" w:hAnsi="Times New Roman" w:cs="Times New Roman"/>
                <w:color w:val="000000"/>
                <w:sz w:val="14"/>
                <w:szCs w:val="14"/>
                <w:lang w:val="en-GB" w:eastAsia="en-GB"/>
              </w:rPr>
              <w:br/>
              <w:t>(0.43)</w:t>
            </w:r>
          </w:p>
        </w:tc>
        <w:tc>
          <w:tcPr>
            <w:tcW w:w="960" w:type="dxa"/>
            <w:tcBorders>
              <w:top w:val="nil"/>
              <w:left w:val="nil"/>
              <w:bottom w:val="nil"/>
              <w:right w:val="nil"/>
            </w:tcBorders>
            <w:shd w:val="clear" w:color="auto" w:fill="auto"/>
            <w:noWrap/>
            <w:vAlign w:val="bottom"/>
            <w:hideMark/>
          </w:tcPr>
          <w:p w14:paraId="418909A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4144477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-0.249</w:t>
            </w:r>
            <w:r w:rsidRPr="00E915AA">
              <w:rPr>
                <w:rFonts w:ascii="Times New Roman" w:eastAsia="Times New Roman" w:hAnsi="Times New Roman" w:cs="Times New Roman"/>
                <w:color w:val="000000"/>
                <w:sz w:val="14"/>
                <w:szCs w:val="14"/>
                <w:lang w:val="en-GB" w:eastAsia="en-GB"/>
              </w:rPr>
              <w:br/>
              <w:t>(-0.85)</w:t>
            </w:r>
          </w:p>
        </w:tc>
        <w:tc>
          <w:tcPr>
            <w:tcW w:w="960" w:type="dxa"/>
            <w:tcBorders>
              <w:top w:val="nil"/>
              <w:left w:val="nil"/>
              <w:bottom w:val="nil"/>
              <w:right w:val="nil"/>
            </w:tcBorders>
            <w:shd w:val="clear" w:color="auto" w:fill="auto"/>
            <w:vAlign w:val="bottom"/>
            <w:hideMark/>
          </w:tcPr>
          <w:p w14:paraId="7375E35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-0.021</w:t>
            </w:r>
            <w:r w:rsidRPr="00E915AA">
              <w:rPr>
                <w:rFonts w:ascii="Times New Roman" w:eastAsia="Times New Roman" w:hAnsi="Times New Roman" w:cs="Times New Roman"/>
                <w:color w:val="000000"/>
                <w:sz w:val="14"/>
                <w:szCs w:val="14"/>
                <w:lang w:val="en-GB" w:eastAsia="en-GB"/>
              </w:rPr>
              <w:br/>
              <w:t>(-0.26)</w:t>
            </w:r>
          </w:p>
        </w:tc>
        <w:tc>
          <w:tcPr>
            <w:tcW w:w="960" w:type="dxa"/>
            <w:tcBorders>
              <w:top w:val="nil"/>
              <w:left w:val="nil"/>
              <w:bottom w:val="nil"/>
              <w:right w:val="nil"/>
            </w:tcBorders>
            <w:shd w:val="clear" w:color="auto" w:fill="auto"/>
            <w:vAlign w:val="bottom"/>
            <w:hideMark/>
          </w:tcPr>
          <w:p w14:paraId="0C9E5A6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-0.016</w:t>
            </w:r>
            <w:r w:rsidRPr="00E915AA">
              <w:rPr>
                <w:rFonts w:ascii="Times New Roman" w:eastAsia="Times New Roman" w:hAnsi="Times New Roman" w:cs="Times New Roman"/>
                <w:color w:val="000000"/>
                <w:sz w:val="14"/>
                <w:szCs w:val="14"/>
                <w:lang w:val="en-GB" w:eastAsia="en-GB"/>
              </w:rPr>
              <w:br/>
              <w:t>(-0.21)</w:t>
            </w:r>
          </w:p>
        </w:tc>
        <w:tc>
          <w:tcPr>
            <w:tcW w:w="960" w:type="dxa"/>
            <w:tcBorders>
              <w:top w:val="nil"/>
              <w:left w:val="nil"/>
              <w:bottom w:val="nil"/>
              <w:right w:val="nil"/>
            </w:tcBorders>
            <w:shd w:val="clear" w:color="auto" w:fill="auto"/>
            <w:noWrap/>
            <w:vAlign w:val="bottom"/>
            <w:hideMark/>
          </w:tcPr>
          <w:p w14:paraId="31FF732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2FF115B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0.286</w:t>
            </w:r>
            <w:r w:rsidRPr="00E915AA">
              <w:rPr>
                <w:rFonts w:ascii="Times New Roman" w:eastAsia="Times New Roman" w:hAnsi="Times New Roman" w:cs="Times New Roman"/>
                <w:color w:val="000000"/>
                <w:sz w:val="14"/>
                <w:szCs w:val="14"/>
                <w:lang w:val="en-GB" w:eastAsia="en-GB"/>
              </w:rPr>
              <w:br/>
              <w:t>(1.15)</w:t>
            </w:r>
          </w:p>
        </w:tc>
        <w:tc>
          <w:tcPr>
            <w:tcW w:w="960" w:type="dxa"/>
            <w:tcBorders>
              <w:top w:val="nil"/>
              <w:left w:val="nil"/>
              <w:bottom w:val="nil"/>
              <w:right w:val="nil"/>
            </w:tcBorders>
            <w:shd w:val="clear" w:color="auto" w:fill="auto"/>
            <w:vAlign w:val="bottom"/>
            <w:hideMark/>
          </w:tcPr>
          <w:p w14:paraId="4EDB5EC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0.043</w:t>
            </w:r>
            <w:r w:rsidRPr="00E915AA">
              <w:rPr>
                <w:rFonts w:ascii="Times New Roman" w:eastAsia="Times New Roman" w:hAnsi="Times New Roman" w:cs="Times New Roman"/>
                <w:color w:val="000000"/>
                <w:sz w:val="14"/>
                <w:szCs w:val="14"/>
                <w:lang w:val="en-GB" w:eastAsia="en-GB"/>
              </w:rPr>
              <w:br/>
              <w:t>(0.49)</w:t>
            </w:r>
          </w:p>
        </w:tc>
        <w:tc>
          <w:tcPr>
            <w:tcW w:w="960" w:type="dxa"/>
            <w:tcBorders>
              <w:top w:val="nil"/>
              <w:left w:val="nil"/>
              <w:bottom w:val="nil"/>
              <w:right w:val="nil"/>
            </w:tcBorders>
            <w:shd w:val="clear" w:color="auto" w:fill="auto"/>
            <w:vAlign w:val="bottom"/>
            <w:hideMark/>
          </w:tcPr>
          <w:p w14:paraId="50CEF85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0.069</w:t>
            </w:r>
            <w:r w:rsidRPr="00E915AA">
              <w:rPr>
                <w:rFonts w:ascii="Times New Roman" w:eastAsia="Times New Roman" w:hAnsi="Times New Roman" w:cs="Times New Roman"/>
                <w:color w:val="000000"/>
                <w:sz w:val="14"/>
                <w:szCs w:val="14"/>
                <w:lang w:val="en-GB" w:eastAsia="en-GB"/>
              </w:rPr>
              <w:br/>
              <w:t>(0.68)</w:t>
            </w:r>
          </w:p>
        </w:tc>
      </w:tr>
      <w:tr w:rsidR="00F14709" w:rsidRPr="00E915AA" w14:paraId="36AC8138" w14:textId="77777777" w:rsidTr="00110FF6">
        <w:trPr>
          <w:trHeight w:val="390"/>
        </w:trPr>
        <w:tc>
          <w:tcPr>
            <w:tcW w:w="1920" w:type="dxa"/>
            <w:gridSpan w:val="2"/>
            <w:tcBorders>
              <w:top w:val="nil"/>
              <w:left w:val="nil"/>
              <w:bottom w:val="nil"/>
              <w:right w:val="nil"/>
            </w:tcBorders>
            <w:shd w:val="clear" w:color="auto" w:fill="auto"/>
            <w:noWrap/>
            <w:vAlign w:val="bottom"/>
            <w:hideMark/>
          </w:tcPr>
          <w:p w14:paraId="6EED3369"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CEO-chairman</w:t>
            </w:r>
          </w:p>
        </w:tc>
        <w:tc>
          <w:tcPr>
            <w:tcW w:w="960" w:type="dxa"/>
            <w:tcBorders>
              <w:top w:val="nil"/>
              <w:left w:val="nil"/>
              <w:bottom w:val="nil"/>
              <w:right w:val="nil"/>
            </w:tcBorders>
            <w:shd w:val="clear" w:color="auto" w:fill="auto"/>
            <w:vAlign w:val="bottom"/>
            <w:hideMark/>
          </w:tcPr>
          <w:p w14:paraId="1CDA28D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-0.283**</w:t>
            </w:r>
            <w:r w:rsidRPr="00E915AA">
              <w:rPr>
                <w:rFonts w:ascii="Times New Roman" w:eastAsia="Times New Roman" w:hAnsi="Times New Roman" w:cs="Times New Roman"/>
                <w:color w:val="000000"/>
                <w:sz w:val="14"/>
                <w:szCs w:val="14"/>
                <w:lang w:val="en-GB" w:eastAsia="en-GB"/>
              </w:rPr>
              <w:br/>
              <w:t>(-2.23)</w:t>
            </w:r>
          </w:p>
        </w:tc>
        <w:tc>
          <w:tcPr>
            <w:tcW w:w="960" w:type="dxa"/>
            <w:tcBorders>
              <w:top w:val="nil"/>
              <w:left w:val="nil"/>
              <w:bottom w:val="nil"/>
              <w:right w:val="nil"/>
            </w:tcBorders>
            <w:shd w:val="clear" w:color="auto" w:fill="auto"/>
            <w:vAlign w:val="bottom"/>
            <w:hideMark/>
          </w:tcPr>
          <w:p w14:paraId="785CECD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0.282**</w:t>
            </w:r>
            <w:r w:rsidRPr="00E915AA">
              <w:rPr>
                <w:rFonts w:ascii="Times New Roman" w:eastAsia="Times New Roman" w:hAnsi="Times New Roman" w:cs="Times New Roman"/>
                <w:color w:val="000000"/>
                <w:sz w:val="14"/>
                <w:szCs w:val="14"/>
                <w:lang w:val="en-GB" w:eastAsia="en-GB"/>
              </w:rPr>
              <w:br/>
              <w:t>(2.77)</w:t>
            </w:r>
          </w:p>
        </w:tc>
        <w:tc>
          <w:tcPr>
            <w:tcW w:w="960" w:type="dxa"/>
            <w:tcBorders>
              <w:top w:val="nil"/>
              <w:left w:val="nil"/>
              <w:bottom w:val="nil"/>
              <w:right w:val="nil"/>
            </w:tcBorders>
            <w:shd w:val="clear" w:color="auto" w:fill="auto"/>
            <w:vAlign w:val="bottom"/>
            <w:hideMark/>
          </w:tcPr>
          <w:p w14:paraId="1FF7955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0.281**</w:t>
            </w:r>
            <w:r w:rsidRPr="00E915AA">
              <w:rPr>
                <w:rFonts w:ascii="Times New Roman" w:eastAsia="Times New Roman" w:hAnsi="Times New Roman" w:cs="Times New Roman"/>
                <w:color w:val="000000"/>
                <w:sz w:val="14"/>
                <w:szCs w:val="14"/>
                <w:lang w:val="en-GB" w:eastAsia="en-GB"/>
              </w:rPr>
              <w:br/>
              <w:t>(2.67)</w:t>
            </w:r>
          </w:p>
        </w:tc>
        <w:tc>
          <w:tcPr>
            <w:tcW w:w="960" w:type="dxa"/>
            <w:tcBorders>
              <w:top w:val="nil"/>
              <w:left w:val="nil"/>
              <w:bottom w:val="nil"/>
              <w:right w:val="nil"/>
            </w:tcBorders>
            <w:shd w:val="clear" w:color="auto" w:fill="auto"/>
            <w:noWrap/>
            <w:vAlign w:val="bottom"/>
            <w:hideMark/>
          </w:tcPr>
          <w:p w14:paraId="7828967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482098F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-0.218*</w:t>
            </w:r>
            <w:r w:rsidRPr="00E915AA">
              <w:rPr>
                <w:rFonts w:ascii="Times New Roman" w:eastAsia="Times New Roman" w:hAnsi="Times New Roman" w:cs="Times New Roman"/>
                <w:color w:val="000000"/>
                <w:sz w:val="14"/>
                <w:szCs w:val="14"/>
                <w:lang w:val="en-GB" w:eastAsia="en-GB"/>
              </w:rPr>
              <w:br/>
              <w:t>(-2.05)</w:t>
            </w:r>
          </w:p>
        </w:tc>
        <w:tc>
          <w:tcPr>
            <w:tcW w:w="960" w:type="dxa"/>
            <w:tcBorders>
              <w:top w:val="nil"/>
              <w:left w:val="nil"/>
              <w:bottom w:val="nil"/>
              <w:right w:val="nil"/>
            </w:tcBorders>
            <w:shd w:val="clear" w:color="auto" w:fill="auto"/>
            <w:vAlign w:val="bottom"/>
            <w:hideMark/>
          </w:tcPr>
          <w:p w14:paraId="2597FD0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0.317***</w:t>
            </w:r>
            <w:r w:rsidRPr="00E915AA">
              <w:rPr>
                <w:rFonts w:ascii="Times New Roman" w:eastAsia="Times New Roman" w:hAnsi="Times New Roman" w:cs="Times New Roman"/>
                <w:color w:val="000000"/>
                <w:sz w:val="14"/>
                <w:szCs w:val="14"/>
                <w:lang w:val="en-GB" w:eastAsia="en-GB"/>
              </w:rPr>
              <w:br/>
              <w:t>(3.43)</w:t>
            </w:r>
          </w:p>
        </w:tc>
        <w:tc>
          <w:tcPr>
            <w:tcW w:w="960" w:type="dxa"/>
            <w:tcBorders>
              <w:top w:val="nil"/>
              <w:left w:val="nil"/>
              <w:bottom w:val="nil"/>
              <w:right w:val="nil"/>
            </w:tcBorders>
            <w:shd w:val="clear" w:color="auto" w:fill="auto"/>
            <w:vAlign w:val="bottom"/>
            <w:hideMark/>
          </w:tcPr>
          <w:p w14:paraId="52D337E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0.316***</w:t>
            </w:r>
            <w:r w:rsidRPr="00E915AA">
              <w:rPr>
                <w:rFonts w:ascii="Times New Roman" w:eastAsia="Times New Roman" w:hAnsi="Times New Roman" w:cs="Times New Roman"/>
                <w:color w:val="000000"/>
                <w:sz w:val="14"/>
                <w:szCs w:val="14"/>
                <w:lang w:val="en-GB" w:eastAsia="en-GB"/>
              </w:rPr>
              <w:br/>
              <w:t>(3.49)</w:t>
            </w:r>
          </w:p>
        </w:tc>
        <w:tc>
          <w:tcPr>
            <w:tcW w:w="960" w:type="dxa"/>
            <w:tcBorders>
              <w:top w:val="nil"/>
              <w:left w:val="nil"/>
              <w:bottom w:val="nil"/>
              <w:right w:val="nil"/>
            </w:tcBorders>
            <w:shd w:val="clear" w:color="auto" w:fill="auto"/>
            <w:noWrap/>
            <w:vAlign w:val="bottom"/>
            <w:hideMark/>
          </w:tcPr>
          <w:p w14:paraId="0C149FD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vAlign w:val="bottom"/>
            <w:hideMark/>
          </w:tcPr>
          <w:p w14:paraId="0E45C04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0.6**</w:t>
            </w:r>
            <w:r w:rsidRPr="00E915AA">
              <w:rPr>
                <w:rFonts w:ascii="Times New Roman" w:eastAsia="Times New Roman" w:hAnsi="Times New Roman" w:cs="Times New Roman"/>
                <w:color w:val="000000"/>
                <w:sz w:val="14"/>
                <w:szCs w:val="14"/>
                <w:lang w:val="en-GB" w:eastAsia="en-GB"/>
              </w:rPr>
              <w:br/>
              <w:t>(2.23)</w:t>
            </w:r>
          </w:p>
        </w:tc>
        <w:tc>
          <w:tcPr>
            <w:tcW w:w="960" w:type="dxa"/>
            <w:tcBorders>
              <w:top w:val="nil"/>
              <w:left w:val="nil"/>
              <w:bottom w:val="nil"/>
              <w:right w:val="nil"/>
            </w:tcBorders>
            <w:shd w:val="clear" w:color="auto" w:fill="auto"/>
            <w:vAlign w:val="bottom"/>
            <w:hideMark/>
          </w:tcPr>
          <w:p w14:paraId="24EEE36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0.513***</w:t>
            </w:r>
            <w:r w:rsidRPr="00E915AA">
              <w:rPr>
                <w:rFonts w:ascii="Times New Roman" w:eastAsia="Times New Roman" w:hAnsi="Times New Roman" w:cs="Times New Roman"/>
                <w:color w:val="000000"/>
                <w:sz w:val="14"/>
                <w:szCs w:val="14"/>
                <w:lang w:val="en-GB" w:eastAsia="en-GB"/>
              </w:rPr>
              <w:br/>
              <w:t>(8.39)</w:t>
            </w:r>
          </w:p>
        </w:tc>
        <w:tc>
          <w:tcPr>
            <w:tcW w:w="960" w:type="dxa"/>
            <w:tcBorders>
              <w:top w:val="nil"/>
              <w:left w:val="nil"/>
              <w:bottom w:val="nil"/>
              <w:right w:val="nil"/>
            </w:tcBorders>
            <w:shd w:val="clear" w:color="auto" w:fill="auto"/>
            <w:vAlign w:val="bottom"/>
            <w:hideMark/>
          </w:tcPr>
          <w:p w14:paraId="7B95A37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0.502***</w:t>
            </w:r>
            <w:r w:rsidRPr="00E915AA">
              <w:rPr>
                <w:rFonts w:ascii="Times New Roman" w:eastAsia="Times New Roman" w:hAnsi="Times New Roman" w:cs="Times New Roman"/>
                <w:color w:val="000000"/>
                <w:sz w:val="14"/>
                <w:szCs w:val="14"/>
                <w:lang w:val="en-GB" w:eastAsia="en-GB"/>
              </w:rPr>
              <w:br/>
              <w:t>(6.07)</w:t>
            </w:r>
          </w:p>
        </w:tc>
      </w:tr>
      <w:tr w:rsidR="00F14709" w:rsidRPr="00E915AA" w14:paraId="2DB70EEF" w14:textId="77777777" w:rsidTr="00110FF6">
        <w:trPr>
          <w:trHeight w:val="300"/>
        </w:trPr>
        <w:tc>
          <w:tcPr>
            <w:tcW w:w="960" w:type="dxa"/>
            <w:tcBorders>
              <w:top w:val="nil"/>
              <w:left w:val="nil"/>
              <w:bottom w:val="nil"/>
              <w:right w:val="nil"/>
            </w:tcBorders>
            <w:shd w:val="clear" w:color="auto" w:fill="auto"/>
            <w:noWrap/>
            <w:vAlign w:val="bottom"/>
            <w:hideMark/>
          </w:tcPr>
          <w:p w14:paraId="12E6005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1CA89A0C"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B2A82EC"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8ED52ED"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3933AF8"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24A1317"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ECB0868"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E0E80AE"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D6B9092"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295E02B"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AC5B51F"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DC26EDC"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723A67D"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r>
      <w:tr w:rsidR="00F14709" w:rsidRPr="00E915AA" w14:paraId="4E21208E" w14:textId="77777777" w:rsidTr="00110FF6">
        <w:trPr>
          <w:trHeight w:val="300"/>
        </w:trPr>
        <w:tc>
          <w:tcPr>
            <w:tcW w:w="960" w:type="dxa"/>
            <w:tcBorders>
              <w:top w:val="nil"/>
              <w:left w:val="nil"/>
              <w:bottom w:val="nil"/>
              <w:right w:val="nil"/>
            </w:tcBorders>
            <w:shd w:val="clear" w:color="auto" w:fill="auto"/>
            <w:noWrap/>
            <w:vAlign w:val="bottom"/>
            <w:hideMark/>
          </w:tcPr>
          <w:p w14:paraId="62C4B4AC"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FE industry</w:t>
            </w:r>
          </w:p>
        </w:tc>
        <w:tc>
          <w:tcPr>
            <w:tcW w:w="960" w:type="dxa"/>
            <w:tcBorders>
              <w:top w:val="nil"/>
              <w:left w:val="nil"/>
              <w:bottom w:val="nil"/>
              <w:right w:val="nil"/>
            </w:tcBorders>
            <w:shd w:val="clear" w:color="auto" w:fill="auto"/>
            <w:noWrap/>
            <w:vAlign w:val="bottom"/>
            <w:hideMark/>
          </w:tcPr>
          <w:p w14:paraId="2F542020"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496125D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2EF5AE7B"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2233647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28A1595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50EDE02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50BC5DA7"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6561BFAF"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72038B9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0D100D9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3BE5D73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7B7EE4E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r>
      <w:tr w:rsidR="00F14709" w:rsidRPr="00E915AA" w14:paraId="368775B0" w14:textId="77777777" w:rsidTr="00110FF6">
        <w:trPr>
          <w:trHeight w:val="300"/>
        </w:trPr>
        <w:tc>
          <w:tcPr>
            <w:tcW w:w="960" w:type="dxa"/>
            <w:tcBorders>
              <w:top w:val="nil"/>
              <w:left w:val="nil"/>
              <w:bottom w:val="nil"/>
              <w:right w:val="nil"/>
            </w:tcBorders>
            <w:shd w:val="clear" w:color="auto" w:fill="auto"/>
            <w:noWrap/>
            <w:vAlign w:val="bottom"/>
            <w:hideMark/>
          </w:tcPr>
          <w:p w14:paraId="67EAB3F0"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FE year</w:t>
            </w:r>
          </w:p>
        </w:tc>
        <w:tc>
          <w:tcPr>
            <w:tcW w:w="960" w:type="dxa"/>
            <w:tcBorders>
              <w:top w:val="nil"/>
              <w:left w:val="nil"/>
              <w:bottom w:val="nil"/>
              <w:right w:val="nil"/>
            </w:tcBorders>
            <w:shd w:val="clear" w:color="auto" w:fill="auto"/>
            <w:noWrap/>
            <w:vAlign w:val="bottom"/>
            <w:hideMark/>
          </w:tcPr>
          <w:p w14:paraId="3205DB8D"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25C4702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7C0EC63A"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No</w:t>
            </w:r>
          </w:p>
        </w:tc>
        <w:tc>
          <w:tcPr>
            <w:tcW w:w="960" w:type="dxa"/>
            <w:tcBorders>
              <w:top w:val="nil"/>
              <w:left w:val="nil"/>
              <w:bottom w:val="nil"/>
              <w:right w:val="nil"/>
            </w:tcBorders>
            <w:shd w:val="clear" w:color="auto" w:fill="auto"/>
            <w:noWrap/>
            <w:vAlign w:val="bottom"/>
            <w:hideMark/>
          </w:tcPr>
          <w:p w14:paraId="5DD7A544"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34EC07D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5DF53FF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24A3821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No</w:t>
            </w:r>
          </w:p>
        </w:tc>
        <w:tc>
          <w:tcPr>
            <w:tcW w:w="960" w:type="dxa"/>
            <w:tcBorders>
              <w:top w:val="nil"/>
              <w:left w:val="nil"/>
              <w:bottom w:val="nil"/>
              <w:right w:val="nil"/>
            </w:tcBorders>
            <w:shd w:val="clear" w:color="auto" w:fill="auto"/>
            <w:noWrap/>
            <w:vAlign w:val="bottom"/>
            <w:hideMark/>
          </w:tcPr>
          <w:p w14:paraId="2FC21E9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451B90B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4D8AC55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c>
          <w:tcPr>
            <w:tcW w:w="960" w:type="dxa"/>
            <w:tcBorders>
              <w:top w:val="nil"/>
              <w:left w:val="nil"/>
              <w:bottom w:val="nil"/>
              <w:right w:val="nil"/>
            </w:tcBorders>
            <w:shd w:val="clear" w:color="auto" w:fill="auto"/>
            <w:noWrap/>
            <w:vAlign w:val="bottom"/>
            <w:hideMark/>
          </w:tcPr>
          <w:p w14:paraId="5FC1A22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No</w:t>
            </w:r>
          </w:p>
        </w:tc>
        <w:tc>
          <w:tcPr>
            <w:tcW w:w="960" w:type="dxa"/>
            <w:tcBorders>
              <w:top w:val="nil"/>
              <w:left w:val="nil"/>
              <w:bottom w:val="nil"/>
              <w:right w:val="nil"/>
            </w:tcBorders>
            <w:shd w:val="clear" w:color="auto" w:fill="auto"/>
            <w:noWrap/>
            <w:vAlign w:val="bottom"/>
            <w:hideMark/>
          </w:tcPr>
          <w:p w14:paraId="22767C33"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Included</w:t>
            </w:r>
          </w:p>
        </w:tc>
      </w:tr>
      <w:tr w:rsidR="00F14709" w:rsidRPr="00E915AA" w14:paraId="70469526" w14:textId="77777777" w:rsidTr="00110FF6">
        <w:trPr>
          <w:trHeight w:val="300"/>
        </w:trPr>
        <w:tc>
          <w:tcPr>
            <w:tcW w:w="960" w:type="dxa"/>
            <w:tcBorders>
              <w:top w:val="nil"/>
              <w:left w:val="nil"/>
              <w:bottom w:val="nil"/>
              <w:right w:val="nil"/>
            </w:tcBorders>
            <w:shd w:val="clear" w:color="auto" w:fill="auto"/>
            <w:noWrap/>
            <w:vAlign w:val="bottom"/>
            <w:hideMark/>
          </w:tcPr>
          <w:p w14:paraId="05BAAD85"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659F6CDB"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01FE779"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2FFE599"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E17F3DA"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7F2C0CC"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6DB1A56"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E8E5957" w14:textId="77777777" w:rsidR="00F14709" w:rsidRPr="00E915AA" w:rsidRDefault="00F14709" w:rsidP="00110FF6">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6064170"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9092F90"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072AB42"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A20FE3B"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EC615FE" w14:textId="77777777" w:rsidR="00F14709" w:rsidRPr="00E915AA" w:rsidRDefault="00F14709" w:rsidP="00110FF6">
            <w:pPr>
              <w:spacing w:after="0" w:line="240" w:lineRule="auto"/>
              <w:jc w:val="center"/>
              <w:rPr>
                <w:rFonts w:ascii="Times New Roman" w:eastAsia="Times New Roman" w:hAnsi="Times New Roman" w:cs="Times New Roman"/>
                <w:sz w:val="20"/>
                <w:szCs w:val="20"/>
                <w:lang w:val="en-GB" w:eastAsia="en-GB"/>
              </w:rPr>
            </w:pPr>
          </w:p>
        </w:tc>
      </w:tr>
      <w:tr w:rsidR="00F14709" w:rsidRPr="00E915AA" w14:paraId="6233FD28" w14:textId="77777777" w:rsidTr="00110FF6">
        <w:trPr>
          <w:trHeight w:val="300"/>
        </w:trPr>
        <w:tc>
          <w:tcPr>
            <w:tcW w:w="960" w:type="dxa"/>
            <w:tcBorders>
              <w:top w:val="nil"/>
              <w:left w:val="nil"/>
              <w:bottom w:val="nil"/>
              <w:right w:val="nil"/>
            </w:tcBorders>
            <w:shd w:val="clear" w:color="auto" w:fill="auto"/>
            <w:noWrap/>
            <w:vAlign w:val="bottom"/>
            <w:hideMark/>
          </w:tcPr>
          <w:p w14:paraId="5ED4D7E0"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N</w:t>
            </w:r>
          </w:p>
        </w:tc>
        <w:tc>
          <w:tcPr>
            <w:tcW w:w="960" w:type="dxa"/>
            <w:tcBorders>
              <w:top w:val="nil"/>
              <w:left w:val="nil"/>
              <w:bottom w:val="nil"/>
              <w:right w:val="nil"/>
            </w:tcBorders>
            <w:shd w:val="clear" w:color="auto" w:fill="auto"/>
            <w:noWrap/>
            <w:vAlign w:val="bottom"/>
            <w:hideMark/>
          </w:tcPr>
          <w:p w14:paraId="266A9CFE"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6315965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567</w:t>
            </w:r>
          </w:p>
        </w:tc>
        <w:tc>
          <w:tcPr>
            <w:tcW w:w="960" w:type="dxa"/>
            <w:tcBorders>
              <w:top w:val="nil"/>
              <w:left w:val="nil"/>
              <w:bottom w:val="nil"/>
              <w:right w:val="nil"/>
            </w:tcBorders>
            <w:shd w:val="clear" w:color="auto" w:fill="auto"/>
            <w:noWrap/>
            <w:vAlign w:val="bottom"/>
            <w:hideMark/>
          </w:tcPr>
          <w:p w14:paraId="4E3547D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567</w:t>
            </w:r>
          </w:p>
        </w:tc>
        <w:tc>
          <w:tcPr>
            <w:tcW w:w="960" w:type="dxa"/>
            <w:tcBorders>
              <w:top w:val="nil"/>
              <w:left w:val="nil"/>
              <w:bottom w:val="nil"/>
              <w:right w:val="nil"/>
            </w:tcBorders>
            <w:shd w:val="clear" w:color="auto" w:fill="auto"/>
            <w:noWrap/>
            <w:vAlign w:val="bottom"/>
            <w:hideMark/>
          </w:tcPr>
          <w:p w14:paraId="6D11105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567</w:t>
            </w:r>
          </w:p>
        </w:tc>
        <w:tc>
          <w:tcPr>
            <w:tcW w:w="960" w:type="dxa"/>
            <w:tcBorders>
              <w:top w:val="nil"/>
              <w:left w:val="nil"/>
              <w:bottom w:val="nil"/>
              <w:right w:val="nil"/>
            </w:tcBorders>
            <w:shd w:val="clear" w:color="auto" w:fill="auto"/>
            <w:noWrap/>
            <w:vAlign w:val="bottom"/>
            <w:hideMark/>
          </w:tcPr>
          <w:p w14:paraId="42ABC2C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525C0D8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579</w:t>
            </w:r>
          </w:p>
        </w:tc>
        <w:tc>
          <w:tcPr>
            <w:tcW w:w="960" w:type="dxa"/>
            <w:tcBorders>
              <w:top w:val="nil"/>
              <w:left w:val="nil"/>
              <w:bottom w:val="nil"/>
              <w:right w:val="nil"/>
            </w:tcBorders>
            <w:shd w:val="clear" w:color="auto" w:fill="auto"/>
            <w:noWrap/>
            <w:vAlign w:val="bottom"/>
            <w:hideMark/>
          </w:tcPr>
          <w:p w14:paraId="3080E27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579</w:t>
            </w:r>
          </w:p>
        </w:tc>
        <w:tc>
          <w:tcPr>
            <w:tcW w:w="960" w:type="dxa"/>
            <w:tcBorders>
              <w:top w:val="nil"/>
              <w:left w:val="nil"/>
              <w:bottom w:val="nil"/>
              <w:right w:val="nil"/>
            </w:tcBorders>
            <w:shd w:val="clear" w:color="auto" w:fill="auto"/>
            <w:noWrap/>
            <w:vAlign w:val="bottom"/>
            <w:hideMark/>
          </w:tcPr>
          <w:p w14:paraId="5B7BEB6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579</w:t>
            </w:r>
          </w:p>
        </w:tc>
        <w:tc>
          <w:tcPr>
            <w:tcW w:w="960" w:type="dxa"/>
            <w:tcBorders>
              <w:top w:val="nil"/>
              <w:left w:val="nil"/>
              <w:bottom w:val="nil"/>
              <w:right w:val="nil"/>
            </w:tcBorders>
            <w:shd w:val="clear" w:color="auto" w:fill="auto"/>
            <w:noWrap/>
            <w:vAlign w:val="bottom"/>
            <w:hideMark/>
          </w:tcPr>
          <w:p w14:paraId="3C03C7C2"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78132D6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479</w:t>
            </w:r>
          </w:p>
        </w:tc>
        <w:tc>
          <w:tcPr>
            <w:tcW w:w="960" w:type="dxa"/>
            <w:tcBorders>
              <w:top w:val="nil"/>
              <w:left w:val="nil"/>
              <w:bottom w:val="nil"/>
              <w:right w:val="nil"/>
            </w:tcBorders>
            <w:shd w:val="clear" w:color="auto" w:fill="auto"/>
            <w:noWrap/>
            <w:vAlign w:val="bottom"/>
            <w:hideMark/>
          </w:tcPr>
          <w:p w14:paraId="12C2812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479</w:t>
            </w:r>
          </w:p>
        </w:tc>
        <w:tc>
          <w:tcPr>
            <w:tcW w:w="960" w:type="dxa"/>
            <w:tcBorders>
              <w:top w:val="nil"/>
              <w:left w:val="nil"/>
              <w:bottom w:val="nil"/>
              <w:right w:val="nil"/>
            </w:tcBorders>
            <w:shd w:val="clear" w:color="auto" w:fill="auto"/>
            <w:noWrap/>
            <w:vAlign w:val="bottom"/>
            <w:hideMark/>
          </w:tcPr>
          <w:p w14:paraId="4AE22F0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479</w:t>
            </w:r>
          </w:p>
        </w:tc>
      </w:tr>
      <w:tr w:rsidR="00F14709" w:rsidRPr="00E915AA" w14:paraId="47A06CD8" w14:textId="77777777" w:rsidTr="00110FF6">
        <w:trPr>
          <w:trHeight w:val="300"/>
        </w:trPr>
        <w:tc>
          <w:tcPr>
            <w:tcW w:w="960" w:type="dxa"/>
            <w:tcBorders>
              <w:top w:val="nil"/>
              <w:left w:val="nil"/>
              <w:bottom w:val="single" w:sz="4" w:space="0" w:color="auto"/>
              <w:right w:val="nil"/>
            </w:tcBorders>
            <w:shd w:val="clear" w:color="auto" w:fill="auto"/>
            <w:noWrap/>
            <w:vAlign w:val="bottom"/>
            <w:hideMark/>
          </w:tcPr>
          <w:p w14:paraId="7F83D5E6"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Pseudo R2</w:t>
            </w:r>
          </w:p>
        </w:tc>
        <w:tc>
          <w:tcPr>
            <w:tcW w:w="960" w:type="dxa"/>
            <w:tcBorders>
              <w:top w:val="nil"/>
              <w:left w:val="nil"/>
              <w:bottom w:val="single" w:sz="4" w:space="0" w:color="auto"/>
              <w:right w:val="nil"/>
            </w:tcBorders>
            <w:shd w:val="clear" w:color="auto" w:fill="auto"/>
            <w:noWrap/>
            <w:vAlign w:val="bottom"/>
            <w:hideMark/>
          </w:tcPr>
          <w:p w14:paraId="7FB1C7BF"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 </w:t>
            </w:r>
          </w:p>
        </w:tc>
        <w:tc>
          <w:tcPr>
            <w:tcW w:w="960" w:type="dxa"/>
            <w:tcBorders>
              <w:top w:val="nil"/>
              <w:left w:val="nil"/>
              <w:bottom w:val="single" w:sz="4" w:space="0" w:color="auto"/>
              <w:right w:val="nil"/>
            </w:tcBorders>
            <w:shd w:val="clear" w:color="auto" w:fill="auto"/>
            <w:noWrap/>
            <w:vAlign w:val="bottom"/>
            <w:hideMark/>
          </w:tcPr>
          <w:p w14:paraId="6248D981"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0.0791</w:t>
            </w:r>
          </w:p>
        </w:tc>
        <w:tc>
          <w:tcPr>
            <w:tcW w:w="960" w:type="dxa"/>
            <w:tcBorders>
              <w:top w:val="nil"/>
              <w:left w:val="nil"/>
              <w:bottom w:val="single" w:sz="4" w:space="0" w:color="auto"/>
              <w:right w:val="nil"/>
            </w:tcBorders>
            <w:shd w:val="clear" w:color="auto" w:fill="auto"/>
            <w:noWrap/>
            <w:vAlign w:val="bottom"/>
            <w:hideMark/>
          </w:tcPr>
          <w:p w14:paraId="1FCD1217"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0.1323</w:t>
            </w:r>
          </w:p>
        </w:tc>
        <w:tc>
          <w:tcPr>
            <w:tcW w:w="960" w:type="dxa"/>
            <w:tcBorders>
              <w:top w:val="nil"/>
              <w:left w:val="nil"/>
              <w:bottom w:val="single" w:sz="4" w:space="0" w:color="auto"/>
              <w:right w:val="nil"/>
            </w:tcBorders>
            <w:shd w:val="clear" w:color="auto" w:fill="auto"/>
            <w:noWrap/>
            <w:vAlign w:val="bottom"/>
            <w:hideMark/>
          </w:tcPr>
          <w:p w14:paraId="193BC93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0.2174</w:t>
            </w:r>
          </w:p>
        </w:tc>
        <w:tc>
          <w:tcPr>
            <w:tcW w:w="960" w:type="dxa"/>
            <w:tcBorders>
              <w:top w:val="nil"/>
              <w:left w:val="nil"/>
              <w:bottom w:val="single" w:sz="4" w:space="0" w:color="auto"/>
              <w:right w:val="nil"/>
            </w:tcBorders>
            <w:shd w:val="clear" w:color="auto" w:fill="auto"/>
            <w:noWrap/>
            <w:vAlign w:val="bottom"/>
            <w:hideMark/>
          </w:tcPr>
          <w:p w14:paraId="25A3C436"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 </w:t>
            </w:r>
          </w:p>
        </w:tc>
        <w:tc>
          <w:tcPr>
            <w:tcW w:w="960" w:type="dxa"/>
            <w:tcBorders>
              <w:top w:val="nil"/>
              <w:left w:val="nil"/>
              <w:bottom w:val="single" w:sz="4" w:space="0" w:color="auto"/>
              <w:right w:val="nil"/>
            </w:tcBorders>
            <w:shd w:val="clear" w:color="auto" w:fill="auto"/>
            <w:noWrap/>
            <w:vAlign w:val="bottom"/>
            <w:hideMark/>
          </w:tcPr>
          <w:p w14:paraId="16AB150D"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0.1801</w:t>
            </w:r>
          </w:p>
        </w:tc>
        <w:tc>
          <w:tcPr>
            <w:tcW w:w="960" w:type="dxa"/>
            <w:tcBorders>
              <w:top w:val="nil"/>
              <w:left w:val="nil"/>
              <w:bottom w:val="single" w:sz="4" w:space="0" w:color="auto"/>
              <w:right w:val="nil"/>
            </w:tcBorders>
            <w:shd w:val="clear" w:color="auto" w:fill="auto"/>
            <w:noWrap/>
            <w:vAlign w:val="bottom"/>
            <w:hideMark/>
          </w:tcPr>
          <w:p w14:paraId="3C53478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0.2212</w:t>
            </w:r>
          </w:p>
        </w:tc>
        <w:tc>
          <w:tcPr>
            <w:tcW w:w="960" w:type="dxa"/>
            <w:tcBorders>
              <w:top w:val="nil"/>
              <w:left w:val="nil"/>
              <w:bottom w:val="single" w:sz="4" w:space="0" w:color="auto"/>
              <w:right w:val="nil"/>
            </w:tcBorders>
            <w:shd w:val="clear" w:color="auto" w:fill="auto"/>
            <w:noWrap/>
            <w:vAlign w:val="bottom"/>
            <w:hideMark/>
          </w:tcPr>
          <w:p w14:paraId="61EAC0AE"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0.2358</w:t>
            </w:r>
          </w:p>
        </w:tc>
        <w:tc>
          <w:tcPr>
            <w:tcW w:w="960" w:type="dxa"/>
            <w:tcBorders>
              <w:top w:val="nil"/>
              <w:left w:val="nil"/>
              <w:bottom w:val="single" w:sz="4" w:space="0" w:color="auto"/>
              <w:right w:val="nil"/>
            </w:tcBorders>
            <w:shd w:val="clear" w:color="auto" w:fill="auto"/>
            <w:noWrap/>
            <w:vAlign w:val="bottom"/>
            <w:hideMark/>
          </w:tcPr>
          <w:p w14:paraId="05EEC27C"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 </w:t>
            </w:r>
          </w:p>
        </w:tc>
        <w:tc>
          <w:tcPr>
            <w:tcW w:w="960" w:type="dxa"/>
            <w:tcBorders>
              <w:top w:val="nil"/>
              <w:left w:val="nil"/>
              <w:bottom w:val="single" w:sz="4" w:space="0" w:color="auto"/>
              <w:right w:val="nil"/>
            </w:tcBorders>
            <w:shd w:val="clear" w:color="auto" w:fill="auto"/>
            <w:noWrap/>
            <w:vAlign w:val="bottom"/>
            <w:hideMark/>
          </w:tcPr>
          <w:p w14:paraId="33A7B869"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0.1545</w:t>
            </w:r>
          </w:p>
        </w:tc>
        <w:tc>
          <w:tcPr>
            <w:tcW w:w="960" w:type="dxa"/>
            <w:tcBorders>
              <w:top w:val="nil"/>
              <w:left w:val="nil"/>
              <w:bottom w:val="single" w:sz="4" w:space="0" w:color="auto"/>
              <w:right w:val="nil"/>
            </w:tcBorders>
            <w:shd w:val="clear" w:color="auto" w:fill="auto"/>
            <w:noWrap/>
            <w:vAlign w:val="bottom"/>
            <w:hideMark/>
          </w:tcPr>
          <w:p w14:paraId="445A51D0"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0.2265</w:t>
            </w:r>
          </w:p>
        </w:tc>
        <w:tc>
          <w:tcPr>
            <w:tcW w:w="960" w:type="dxa"/>
            <w:tcBorders>
              <w:top w:val="nil"/>
              <w:left w:val="nil"/>
              <w:bottom w:val="single" w:sz="4" w:space="0" w:color="auto"/>
              <w:right w:val="nil"/>
            </w:tcBorders>
            <w:shd w:val="clear" w:color="auto" w:fill="auto"/>
            <w:noWrap/>
            <w:vAlign w:val="bottom"/>
            <w:hideMark/>
          </w:tcPr>
          <w:p w14:paraId="58015ED8" w14:textId="77777777" w:rsidR="00F14709" w:rsidRPr="00E915AA" w:rsidRDefault="00F14709" w:rsidP="00110FF6">
            <w:pPr>
              <w:spacing w:after="0" w:line="240" w:lineRule="auto"/>
              <w:jc w:val="center"/>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0.2557</w:t>
            </w:r>
          </w:p>
        </w:tc>
      </w:tr>
      <w:tr w:rsidR="00F14709" w:rsidRPr="00E915AA" w14:paraId="71AC2AB0" w14:textId="77777777" w:rsidTr="00110FF6">
        <w:trPr>
          <w:trHeight w:val="945"/>
        </w:trPr>
        <w:tc>
          <w:tcPr>
            <w:tcW w:w="12480" w:type="dxa"/>
            <w:gridSpan w:val="13"/>
            <w:tcBorders>
              <w:top w:val="nil"/>
              <w:left w:val="nil"/>
              <w:bottom w:val="nil"/>
              <w:right w:val="nil"/>
            </w:tcBorders>
            <w:shd w:val="clear" w:color="auto" w:fill="auto"/>
            <w:vAlign w:val="bottom"/>
            <w:hideMark/>
          </w:tcPr>
          <w:p w14:paraId="707C7547" w14:textId="77777777" w:rsidR="00F14709" w:rsidRPr="00E915AA" w:rsidRDefault="00F14709" w:rsidP="00110FF6">
            <w:pPr>
              <w:spacing w:after="0" w:line="240" w:lineRule="auto"/>
              <w:rPr>
                <w:rFonts w:ascii="Times New Roman" w:eastAsia="Times New Roman" w:hAnsi="Times New Roman" w:cs="Times New Roman"/>
                <w:color w:val="000000"/>
                <w:sz w:val="14"/>
                <w:szCs w:val="14"/>
                <w:lang w:val="en-GB" w:eastAsia="en-GB"/>
              </w:rPr>
            </w:pPr>
            <w:r w:rsidRPr="00E915AA">
              <w:rPr>
                <w:rFonts w:ascii="Times New Roman" w:eastAsia="Times New Roman" w:hAnsi="Times New Roman" w:cs="Times New Roman"/>
                <w:color w:val="000000"/>
                <w:sz w:val="14"/>
                <w:szCs w:val="14"/>
                <w:lang w:val="en-GB" w:eastAsia="en-GB"/>
              </w:rPr>
              <w:t xml:space="preserve">This table presents the results of impacts of the JOBS Act enactment on level of earnings management engaged by IPO firms when preparing the S-1 filings in the period from 12th May 2005 to 31st December 2017. OLS regressions are employed in this analysis. The dependent variables are signed earning management proxies including </w:t>
            </w:r>
            <w:r w:rsidRPr="00E915AA">
              <w:rPr>
                <w:rFonts w:ascii="Times New Roman" w:eastAsia="Times New Roman" w:hAnsi="Times New Roman" w:cs="Times New Roman"/>
                <w:i/>
                <w:iCs/>
                <w:color w:val="000000"/>
                <w:sz w:val="14"/>
                <w:szCs w:val="14"/>
                <w:lang w:val="en-GB" w:eastAsia="en-GB"/>
              </w:rPr>
              <w:t xml:space="preserve">DAC, ACFO, ADISEXP </w:t>
            </w:r>
            <w:r w:rsidRPr="00E915AA">
              <w:rPr>
                <w:rFonts w:ascii="Times New Roman" w:eastAsia="Times New Roman" w:hAnsi="Times New Roman" w:cs="Times New Roman"/>
                <w:color w:val="000000"/>
                <w:sz w:val="14"/>
                <w:szCs w:val="14"/>
                <w:lang w:val="en-GB" w:eastAsia="en-GB"/>
              </w:rPr>
              <w:t xml:space="preserve">and the absolute value of earnings management proxies </w:t>
            </w:r>
            <w:proofErr w:type="gramStart"/>
            <w:r w:rsidRPr="00E915AA">
              <w:rPr>
                <w:rFonts w:ascii="Times New Roman" w:eastAsia="Times New Roman" w:hAnsi="Times New Roman" w:cs="Times New Roman"/>
                <w:color w:val="000000"/>
                <w:sz w:val="14"/>
                <w:szCs w:val="14"/>
                <w:lang w:val="en-GB" w:eastAsia="en-GB"/>
              </w:rPr>
              <w:t>including;</w:t>
            </w:r>
            <w:proofErr w:type="gramEnd"/>
            <w:r w:rsidRPr="00E915AA">
              <w:rPr>
                <w:rFonts w:ascii="Times New Roman" w:eastAsia="Times New Roman" w:hAnsi="Times New Roman" w:cs="Times New Roman"/>
                <w:color w:val="000000"/>
                <w:sz w:val="14"/>
                <w:szCs w:val="14"/>
                <w:lang w:val="en-GB" w:eastAsia="en-GB"/>
              </w:rPr>
              <w:t xml:space="preserve"> </w:t>
            </w:r>
            <w:proofErr w:type="spellStart"/>
            <w:r w:rsidRPr="00E915AA">
              <w:rPr>
                <w:rFonts w:ascii="Times New Roman" w:eastAsia="Times New Roman" w:hAnsi="Times New Roman" w:cs="Times New Roman"/>
                <w:i/>
                <w:iCs/>
                <w:color w:val="000000"/>
                <w:sz w:val="14"/>
                <w:szCs w:val="14"/>
                <w:lang w:val="en-GB" w:eastAsia="en-GB"/>
              </w:rPr>
              <w:t>DAC_abs</w:t>
            </w:r>
            <w:proofErr w:type="spellEnd"/>
            <w:r w:rsidRPr="00E915AA">
              <w:rPr>
                <w:rFonts w:ascii="Times New Roman" w:eastAsia="Times New Roman" w:hAnsi="Times New Roman" w:cs="Times New Roman"/>
                <w:i/>
                <w:iCs/>
                <w:color w:val="000000"/>
                <w:sz w:val="14"/>
                <w:szCs w:val="14"/>
                <w:lang w:val="en-GB" w:eastAsia="en-GB"/>
              </w:rPr>
              <w:t xml:space="preserve">, ACFO-abs </w:t>
            </w:r>
            <w:r w:rsidRPr="00E915AA">
              <w:rPr>
                <w:rFonts w:ascii="Times New Roman" w:eastAsia="Times New Roman" w:hAnsi="Times New Roman" w:cs="Times New Roman"/>
                <w:color w:val="000000"/>
                <w:sz w:val="14"/>
                <w:szCs w:val="14"/>
                <w:lang w:val="en-GB" w:eastAsia="en-GB"/>
              </w:rPr>
              <w:t xml:space="preserve">and </w:t>
            </w:r>
            <w:proofErr w:type="spellStart"/>
            <w:r w:rsidRPr="00E915AA">
              <w:rPr>
                <w:rFonts w:ascii="Times New Roman" w:eastAsia="Times New Roman" w:hAnsi="Times New Roman" w:cs="Times New Roman"/>
                <w:i/>
                <w:iCs/>
                <w:color w:val="000000"/>
                <w:sz w:val="14"/>
                <w:szCs w:val="14"/>
                <w:lang w:val="en-GB" w:eastAsia="en-GB"/>
              </w:rPr>
              <w:t>ADISEXP_abs</w:t>
            </w:r>
            <w:proofErr w:type="spellEnd"/>
            <w:r w:rsidRPr="00E915AA">
              <w:rPr>
                <w:rFonts w:ascii="Times New Roman" w:eastAsia="Times New Roman" w:hAnsi="Times New Roman" w:cs="Times New Roman"/>
                <w:i/>
                <w:iCs/>
                <w:color w:val="000000"/>
                <w:sz w:val="14"/>
                <w:szCs w:val="14"/>
                <w:lang w:val="en-GB" w:eastAsia="en-GB"/>
              </w:rPr>
              <w:t xml:space="preserve">. </w:t>
            </w:r>
            <w:r w:rsidRPr="00E915AA">
              <w:rPr>
                <w:rFonts w:ascii="Times New Roman" w:eastAsia="Times New Roman" w:hAnsi="Times New Roman" w:cs="Times New Roman"/>
                <w:color w:val="000000"/>
                <w:sz w:val="14"/>
                <w:szCs w:val="14"/>
                <w:lang w:val="en-GB" w:eastAsia="en-GB"/>
              </w:rPr>
              <w:t xml:space="preserve">The independent variables </w:t>
            </w:r>
            <w:proofErr w:type="gramStart"/>
            <w:r w:rsidRPr="00E915AA">
              <w:rPr>
                <w:rFonts w:ascii="Times New Roman" w:eastAsia="Times New Roman" w:hAnsi="Times New Roman" w:cs="Times New Roman"/>
                <w:color w:val="000000"/>
                <w:sz w:val="14"/>
                <w:szCs w:val="14"/>
                <w:lang w:val="en-GB" w:eastAsia="en-GB"/>
              </w:rPr>
              <w:t>is</w:t>
            </w:r>
            <w:proofErr w:type="gramEnd"/>
            <w:r w:rsidRPr="00E915AA">
              <w:rPr>
                <w:rFonts w:ascii="Times New Roman" w:eastAsia="Times New Roman" w:hAnsi="Times New Roman" w:cs="Times New Roman"/>
                <w:color w:val="000000"/>
                <w:sz w:val="14"/>
                <w:szCs w:val="14"/>
                <w:lang w:val="en-GB" w:eastAsia="en-GB"/>
              </w:rPr>
              <w:t xml:space="preserve"> </w:t>
            </w:r>
            <w:r w:rsidRPr="00E915AA">
              <w:rPr>
                <w:rFonts w:ascii="Times New Roman" w:eastAsia="Times New Roman" w:hAnsi="Times New Roman" w:cs="Times New Roman"/>
                <w:i/>
                <w:iCs/>
                <w:color w:val="000000"/>
                <w:sz w:val="14"/>
                <w:szCs w:val="14"/>
                <w:lang w:val="en-GB" w:eastAsia="en-GB"/>
              </w:rPr>
              <w:t>JOBS Act.</w:t>
            </w:r>
            <w:r w:rsidRPr="00E915AA">
              <w:rPr>
                <w:rFonts w:ascii="Times New Roman" w:eastAsia="Times New Roman" w:hAnsi="Times New Roman" w:cs="Times New Roman"/>
                <w:color w:val="000000"/>
                <w:sz w:val="14"/>
                <w:szCs w:val="14"/>
                <w:lang w:val="en-GB" w:eastAsia="en-GB"/>
              </w:rPr>
              <w:t xml:space="preserve"> All variables are defined in Appendix 1. The regressions include year fixed effect and industry fixed effects using 12 </w:t>
            </w:r>
            <w:proofErr w:type="spellStart"/>
            <w:r w:rsidRPr="00E915AA">
              <w:rPr>
                <w:rFonts w:ascii="Times New Roman" w:eastAsia="Times New Roman" w:hAnsi="Times New Roman" w:cs="Times New Roman"/>
                <w:color w:val="000000"/>
                <w:sz w:val="14"/>
                <w:szCs w:val="14"/>
                <w:lang w:val="en-GB" w:eastAsia="en-GB"/>
              </w:rPr>
              <w:t>Fama</w:t>
            </w:r>
            <w:proofErr w:type="spellEnd"/>
            <w:r w:rsidRPr="00E915AA">
              <w:rPr>
                <w:rFonts w:ascii="Times New Roman" w:eastAsia="Times New Roman" w:hAnsi="Times New Roman" w:cs="Times New Roman"/>
                <w:color w:val="000000"/>
                <w:sz w:val="14"/>
                <w:szCs w:val="14"/>
                <w:lang w:val="en-GB" w:eastAsia="en-GB"/>
              </w:rPr>
              <w:t xml:space="preserve">-French industry. Results from t-statistics are presented in parentheses below coefficient </w:t>
            </w:r>
            <w:proofErr w:type="gramStart"/>
            <w:r w:rsidRPr="00E915AA">
              <w:rPr>
                <w:rFonts w:ascii="Times New Roman" w:eastAsia="Times New Roman" w:hAnsi="Times New Roman" w:cs="Times New Roman"/>
                <w:color w:val="000000"/>
                <w:sz w:val="14"/>
                <w:szCs w:val="14"/>
                <w:lang w:val="en-GB" w:eastAsia="en-GB"/>
              </w:rPr>
              <w:t>estimates, and</w:t>
            </w:r>
            <w:proofErr w:type="gramEnd"/>
            <w:r w:rsidRPr="00E915AA">
              <w:rPr>
                <w:rFonts w:ascii="Times New Roman" w:eastAsia="Times New Roman" w:hAnsi="Times New Roman" w:cs="Times New Roman"/>
                <w:color w:val="000000"/>
                <w:sz w:val="14"/>
                <w:szCs w:val="14"/>
                <w:lang w:val="en-GB" w:eastAsia="en-GB"/>
              </w:rPr>
              <w:t xml:space="preserve"> are based on standard errors which are robust and clustered at the industry level. *, **, and *** denote significance at the 10%, 5%, and 1% levels, respectively, based on a two-tailed test.</w:t>
            </w:r>
          </w:p>
        </w:tc>
      </w:tr>
    </w:tbl>
    <w:p w14:paraId="115857B1" w14:textId="7B633752" w:rsidR="00796006" w:rsidRPr="00E915AA" w:rsidRDefault="00796006" w:rsidP="002C6719">
      <w:pPr>
        <w:keepNext/>
        <w:spacing w:before="240" w:after="240" w:line="360" w:lineRule="auto"/>
        <w:rPr>
          <w:rFonts w:ascii="Times New Roman" w:eastAsia="Calibri" w:hAnsi="Times New Roman" w:cs="Times New Roman"/>
          <w:b/>
          <w:iCs/>
          <w:color w:val="000000"/>
          <w:sz w:val="18"/>
          <w:szCs w:val="18"/>
          <w:lang w:val="en-GB" w:eastAsia="en-GB"/>
        </w:rPr>
        <w:sectPr w:rsidR="00796006" w:rsidRPr="00E915AA" w:rsidSect="00835934">
          <w:pgSz w:w="16838" w:h="11906" w:orient="landscape"/>
          <w:pgMar w:top="1440" w:right="1440" w:bottom="1440" w:left="1440" w:header="708" w:footer="708" w:gutter="0"/>
          <w:cols w:space="708"/>
          <w:docGrid w:linePitch="360"/>
        </w:sectPr>
      </w:pPr>
    </w:p>
    <w:p w14:paraId="23911E95" w14:textId="77777777" w:rsidR="00F14709" w:rsidRPr="00E915AA" w:rsidRDefault="00F14709" w:rsidP="00F14709">
      <w:pPr>
        <w:keepNext/>
        <w:spacing w:before="240" w:after="240" w:line="360" w:lineRule="auto"/>
        <w:rPr>
          <w:rFonts w:ascii="Times New Roman" w:eastAsia="Calibri" w:hAnsi="Times New Roman" w:cs="Times New Roman"/>
          <w:b/>
          <w:iCs/>
          <w:color w:val="000000"/>
          <w:sz w:val="18"/>
          <w:szCs w:val="18"/>
          <w:lang w:val="en-GB" w:eastAsia="en-GB"/>
        </w:rPr>
      </w:pPr>
      <w:r w:rsidRPr="00E915AA">
        <w:rPr>
          <w:rFonts w:ascii="Times New Roman" w:eastAsia="Calibri" w:hAnsi="Times New Roman" w:cs="Times New Roman"/>
          <w:b/>
          <w:iCs/>
          <w:color w:val="000000"/>
          <w:sz w:val="18"/>
          <w:szCs w:val="18"/>
          <w:lang w:val="en-GB" w:eastAsia="en-GB"/>
        </w:rPr>
        <w:lastRenderedPageBreak/>
        <w:t xml:space="preserve">Table 6. The impact of the JOBS Act on the effectiveness of SEC reviews in addressing earnings management within S-1 filings </w:t>
      </w:r>
    </w:p>
    <w:tbl>
      <w:tblPr>
        <w:tblW w:w="13627" w:type="dxa"/>
        <w:tblInd w:w="108" w:type="dxa"/>
        <w:tblLayout w:type="fixed"/>
        <w:tblLook w:val="04A0" w:firstRow="1" w:lastRow="0" w:firstColumn="1" w:lastColumn="0" w:noHBand="0" w:noVBand="1"/>
      </w:tblPr>
      <w:tblGrid>
        <w:gridCol w:w="1276"/>
        <w:gridCol w:w="273"/>
        <w:gridCol w:w="720"/>
        <w:gridCol w:w="708"/>
        <w:gridCol w:w="709"/>
        <w:gridCol w:w="264"/>
        <w:gridCol w:w="728"/>
        <w:gridCol w:w="709"/>
        <w:gridCol w:w="709"/>
        <w:gridCol w:w="283"/>
        <w:gridCol w:w="709"/>
        <w:gridCol w:w="709"/>
        <w:gridCol w:w="709"/>
        <w:gridCol w:w="283"/>
        <w:gridCol w:w="709"/>
        <w:gridCol w:w="120"/>
        <w:gridCol w:w="589"/>
        <w:gridCol w:w="112"/>
        <w:gridCol w:w="738"/>
        <w:gridCol w:w="251"/>
        <w:gridCol w:w="33"/>
        <w:gridCol w:w="708"/>
        <w:gridCol w:w="120"/>
        <w:gridCol w:w="731"/>
        <w:gridCol w:w="727"/>
      </w:tblGrid>
      <w:tr w:rsidR="00F14709" w:rsidRPr="00E915AA" w14:paraId="2D720C14" w14:textId="77777777" w:rsidTr="00110FF6">
        <w:trPr>
          <w:trHeight w:val="140"/>
        </w:trPr>
        <w:tc>
          <w:tcPr>
            <w:tcW w:w="1276" w:type="dxa"/>
            <w:tcBorders>
              <w:top w:val="single" w:sz="4" w:space="0" w:color="auto"/>
              <w:left w:val="nil"/>
              <w:bottom w:val="nil"/>
              <w:right w:val="nil"/>
            </w:tcBorders>
            <w:shd w:val="clear" w:color="auto" w:fill="auto"/>
            <w:vAlign w:val="center"/>
            <w:hideMark/>
          </w:tcPr>
          <w:p w14:paraId="114EF54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bookmarkStart w:id="35" w:name="RANGE!A2"/>
            <w:bookmarkEnd w:id="35"/>
            <w:r w:rsidRPr="00E915AA">
              <w:rPr>
                <w:rFonts w:ascii="Times New Roman" w:eastAsia="Times New Roman" w:hAnsi="Times New Roman" w:cs="Times New Roman"/>
                <w:color w:val="000000"/>
                <w:sz w:val="12"/>
                <w:szCs w:val="12"/>
                <w:lang w:val="en-GB" w:eastAsia="en-GB"/>
              </w:rPr>
              <w:t> </w:t>
            </w:r>
          </w:p>
        </w:tc>
        <w:tc>
          <w:tcPr>
            <w:tcW w:w="273" w:type="dxa"/>
            <w:tcBorders>
              <w:top w:val="single" w:sz="4" w:space="0" w:color="auto"/>
              <w:left w:val="nil"/>
              <w:bottom w:val="nil"/>
              <w:right w:val="nil"/>
            </w:tcBorders>
            <w:shd w:val="clear" w:color="auto" w:fill="auto"/>
            <w:vAlign w:val="center"/>
            <w:hideMark/>
          </w:tcPr>
          <w:p w14:paraId="1D236EC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 </w:t>
            </w:r>
          </w:p>
        </w:tc>
        <w:tc>
          <w:tcPr>
            <w:tcW w:w="2137" w:type="dxa"/>
            <w:gridSpan w:val="3"/>
            <w:tcBorders>
              <w:top w:val="single" w:sz="4" w:space="0" w:color="auto"/>
              <w:left w:val="nil"/>
              <w:bottom w:val="single" w:sz="8" w:space="0" w:color="auto"/>
              <w:right w:val="nil"/>
            </w:tcBorders>
            <w:shd w:val="clear" w:color="auto" w:fill="auto"/>
            <w:vAlign w:val="center"/>
            <w:hideMark/>
          </w:tcPr>
          <w:p w14:paraId="735E33B7"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Duration</w:t>
            </w:r>
          </w:p>
        </w:tc>
        <w:tc>
          <w:tcPr>
            <w:tcW w:w="264" w:type="dxa"/>
            <w:tcBorders>
              <w:top w:val="single" w:sz="4" w:space="0" w:color="auto"/>
              <w:left w:val="nil"/>
              <w:bottom w:val="nil"/>
              <w:right w:val="nil"/>
            </w:tcBorders>
            <w:shd w:val="clear" w:color="auto" w:fill="auto"/>
            <w:vAlign w:val="center"/>
            <w:hideMark/>
          </w:tcPr>
          <w:p w14:paraId="7FF2E8BD"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146" w:type="dxa"/>
            <w:gridSpan w:val="3"/>
            <w:tcBorders>
              <w:top w:val="single" w:sz="4" w:space="0" w:color="auto"/>
              <w:left w:val="nil"/>
              <w:bottom w:val="single" w:sz="8" w:space="0" w:color="auto"/>
              <w:right w:val="nil"/>
            </w:tcBorders>
            <w:shd w:val="clear" w:color="auto" w:fill="auto"/>
            <w:vAlign w:val="center"/>
            <w:hideMark/>
          </w:tcPr>
          <w:p w14:paraId="24D7A534"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#Letters</w:t>
            </w:r>
          </w:p>
        </w:tc>
        <w:tc>
          <w:tcPr>
            <w:tcW w:w="283" w:type="dxa"/>
            <w:tcBorders>
              <w:top w:val="single" w:sz="4" w:space="0" w:color="auto"/>
              <w:left w:val="nil"/>
              <w:bottom w:val="nil"/>
              <w:right w:val="nil"/>
            </w:tcBorders>
            <w:shd w:val="clear" w:color="auto" w:fill="auto"/>
            <w:vAlign w:val="center"/>
            <w:hideMark/>
          </w:tcPr>
          <w:p w14:paraId="7FE9902E"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127" w:type="dxa"/>
            <w:gridSpan w:val="3"/>
            <w:tcBorders>
              <w:top w:val="single" w:sz="4" w:space="0" w:color="auto"/>
              <w:left w:val="nil"/>
              <w:bottom w:val="single" w:sz="8" w:space="0" w:color="auto"/>
              <w:right w:val="nil"/>
            </w:tcBorders>
            <w:shd w:val="clear" w:color="auto" w:fill="auto"/>
            <w:vAlign w:val="center"/>
            <w:hideMark/>
          </w:tcPr>
          <w:p w14:paraId="3E4D422D"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#Themes</w:t>
            </w:r>
          </w:p>
        </w:tc>
        <w:tc>
          <w:tcPr>
            <w:tcW w:w="283" w:type="dxa"/>
            <w:tcBorders>
              <w:top w:val="single" w:sz="4" w:space="0" w:color="auto"/>
              <w:left w:val="nil"/>
              <w:bottom w:val="nil"/>
              <w:right w:val="nil"/>
            </w:tcBorders>
            <w:shd w:val="clear" w:color="auto" w:fill="auto"/>
            <w:vAlign w:val="center"/>
            <w:hideMark/>
          </w:tcPr>
          <w:p w14:paraId="34F08FCA"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268" w:type="dxa"/>
            <w:gridSpan w:val="5"/>
            <w:tcBorders>
              <w:top w:val="single" w:sz="4" w:space="0" w:color="auto"/>
              <w:left w:val="nil"/>
              <w:bottom w:val="single" w:sz="8" w:space="0" w:color="auto"/>
              <w:right w:val="nil"/>
            </w:tcBorders>
            <w:shd w:val="clear" w:color="auto" w:fill="auto"/>
            <w:vAlign w:val="center"/>
            <w:hideMark/>
          </w:tcPr>
          <w:p w14:paraId="0BC91140"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#Core-accounting issues</w:t>
            </w:r>
          </w:p>
        </w:tc>
        <w:tc>
          <w:tcPr>
            <w:tcW w:w="251" w:type="dxa"/>
            <w:tcBorders>
              <w:top w:val="single" w:sz="4" w:space="0" w:color="auto"/>
              <w:left w:val="nil"/>
              <w:bottom w:val="nil"/>
              <w:right w:val="nil"/>
            </w:tcBorders>
            <w:shd w:val="clear" w:color="auto" w:fill="auto"/>
            <w:vAlign w:val="center"/>
            <w:hideMark/>
          </w:tcPr>
          <w:p w14:paraId="3BA78810"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319" w:type="dxa"/>
            <w:gridSpan w:val="5"/>
            <w:tcBorders>
              <w:top w:val="single" w:sz="4" w:space="0" w:color="auto"/>
              <w:left w:val="nil"/>
              <w:bottom w:val="single" w:sz="8" w:space="0" w:color="auto"/>
              <w:right w:val="nil"/>
            </w:tcBorders>
            <w:shd w:val="clear" w:color="auto" w:fill="auto"/>
            <w:vAlign w:val="center"/>
            <w:hideMark/>
          </w:tcPr>
          <w:p w14:paraId="251B900D" w14:textId="1DA956CA"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#Non-core</w:t>
            </w:r>
            <w:r w:rsidR="009C015E" w:rsidRPr="00E915AA">
              <w:rPr>
                <w:rFonts w:ascii="Times New Roman" w:eastAsia="Times New Roman" w:hAnsi="Times New Roman" w:cs="Times New Roman"/>
                <w:i/>
                <w:iCs/>
                <w:color w:val="000000"/>
                <w:sz w:val="12"/>
                <w:szCs w:val="12"/>
                <w:lang w:val="en-GB" w:eastAsia="en-GB"/>
              </w:rPr>
              <w:t>-</w:t>
            </w:r>
            <w:r w:rsidRPr="00E915AA">
              <w:rPr>
                <w:rFonts w:ascii="Times New Roman" w:eastAsia="Times New Roman" w:hAnsi="Times New Roman" w:cs="Times New Roman"/>
                <w:i/>
                <w:iCs/>
                <w:color w:val="000000"/>
                <w:sz w:val="12"/>
                <w:szCs w:val="12"/>
                <w:lang w:val="en-GB" w:eastAsia="en-GB"/>
              </w:rPr>
              <w:t>accounting issues</w:t>
            </w:r>
          </w:p>
        </w:tc>
      </w:tr>
      <w:tr w:rsidR="00F14709" w:rsidRPr="00E915AA" w14:paraId="7A9B7331" w14:textId="77777777" w:rsidTr="00110FF6">
        <w:trPr>
          <w:trHeight w:val="132"/>
        </w:trPr>
        <w:tc>
          <w:tcPr>
            <w:tcW w:w="1276" w:type="dxa"/>
            <w:tcBorders>
              <w:top w:val="nil"/>
              <w:left w:val="nil"/>
              <w:bottom w:val="nil"/>
              <w:right w:val="nil"/>
            </w:tcBorders>
            <w:shd w:val="clear" w:color="auto" w:fill="auto"/>
            <w:vAlign w:val="center"/>
            <w:hideMark/>
          </w:tcPr>
          <w:p w14:paraId="0B462E71"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73" w:type="dxa"/>
            <w:tcBorders>
              <w:top w:val="nil"/>
              <w:left w:val="nil"/>
              <w:bottom w:val="nil"/>
              <w:right w:val="nil"/>
            </w:tcBorders>
            <w:shd w:val="clear" w:color="auto" w:fill="auto"/>
            <w:vAlign w:val="center"/>
            <w:hideMark/>
          </w:tcPr>
          <w:p w14:paraId="1E7049F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0" w:type="dxa"/>
            <w:tcBorders>
              <w:top w:val="nil"/>
              <w:left w:val="nil"/>
              <w:bottom w:val="nil"/>
              <w:right w:val="nil"/>
            </w:tcBorders>
            <w:shd w:val="clear" w:color="auto" w:fill="auto"/>
            <w:vAlign w:val="center"/>
            <w:hideMark/>
          </w:tcPr>
          <w:p w14:paraId="54D35DC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w:t>
            </w:r>
          </w:p>
        </w:tc>
        <w:tc>
          <w:tcPr>
            <w:tcW w:w="708" w:type="dxa"/>
            <w:tcBorders>
              <w:top w:val="nil"/>
              <w:left w:val="nil"/>
              <w:bottom w:val="nil"/>
              <w:right w:val="nil"/>
            </w:tcBorders>
            <w:shd w:val="clear" w:color="auto" w:fill="auto"/>
            <w:vAlign w:val="center"/>
            <w:hideMark/>
          </w:tcPr>
          <w:p w14:paraId="4BC27B1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w:t>
            </w:r>
          </w:p>
        </w:tc>
        <w:tc>
          <w:tcPr>
            <w:tcW w:w="709" w:type="dxa"/>
            <w:tcBorders>
              <w:top w:val="nil"/>
              <w:left w:val="nil"/>
              <w:bottom w:val="nil"/>
              <w:right w:val="nil"/>
            </w:tcBorders>
            <w:shd w:val="clear" w:color="auto" w:fill="auto"/>
            <w:vAlign w:val="center"/>
            <w:hideMark/>
          </w:tcPr>
          <w:p w14:paraId="7EF8A6E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(3)</w:t>
            </w:r>
          </w:p>
        </w:tc>
        <w:tc>
          <w:tcPr>
            <w:tcW w:w="264" w:type="dxa"/>
            <w:tcBorders>
              <w:top w:val="nil"/>
              <w:left w:val="nil"/>
              <w:bottom w:val="nil"/>
              <w:right w:val="nil"/>
            </w:tcBorders>
            <w:shd w:val="clear" w:color="auto" w:fill="auto"/>
            <w:vAlign w:val="center"/>
            <w:hideMark/>
          </w:tcPr>
          <w:p w14:paraId="2427B05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21A45A3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w:t>
            </w:r>
          </w:p>
        </w:tc>
        <w:tc>
          <w:tcPr>
            <w:tcW w:w="709" w:type="dxa"/>
            <w:tcBorders>
              <w:top w:val="nil"/>
              <w:left w:val="nil"/>
              <w:bottom w:val="nil"/>
              <w:right w:val="nil"/>
            </w:tcBorders>
            <w:shd w:val="clear" w:color="auto" w:fill="auto"/>
            <w:vAlign w:val="center"/>
            <w:hideMark/>
          </w:tcPr>
          <w:p w14:paraId="39259F5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w:t>
            </w:r>
          </w:p>
        </w:tc>
        <w:tc>
          <w:tcPr>
            <w:tcW w:w="709" w:type="dxa"/>
            <w:tcBorders>
              <w:top w:val="nil"/>
              <w:left w:val="nil"/>
              <w:bottom w:val="nil"/>
              <w:right w:val="nil"/>
            </w:tcBorders>
            <w:shd w:val="clear" w:color="auto" w:fill="auto"/>
            <w:vAlign w:val="center"/>
            <w:hideMark/>
          </w:tcPr>
          <w:p w14:paraId="735E784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(6)</w:t>
            </w:r>
          </w:p>
        </w:tc>
        <w:tc>
          <w:tcPr>
            <w:tcW w:w="283" w:type="dxa"/>
            <w:tcBorders>
              <w:top w:val="nil"/>
              <w:left w:val="nil"/>
              <w:bottom w:val="nil"/>
              <w:right w:val="nil"/>
            </w:tcBorders>
            <w:shd w:val="clear" w:color="auto" w:fill="auto"/>
            <w:vAlign w:val="center"/>
            <w:hideMark/>
          </w:tcPr>
          <w:p w14:paraId="0A3984C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5BA699E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(7)</w:t>
            </w:r>
          </w:p>
        </w:tc>
        <w:tc>
          <w:tcPr>
            <w:tcW w:w="709" w:type="dxa"/>
            <w:tcBorders>
              <w:top w:val="nil"/>
              <w:left w:val="nil"/>
              <w:bottom w:val="nil"/>
              <w:right w:val="nil"/>
            </w:tcBorders>
            <w:shd w:val="clear" w:color="auto" w:fill="auto"/>
            <w:vAlign w:val="center"/>
            <w:hideMark/>
          </w:tcPr>
          <w:p w14:paraId="216A4E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(8)</w:t>
            </w:r>
          </w:p>
        </w:tc>
        <w:tc>
          <w:tcPr>
            <w:tcW w:w="709" w:type="dxa"/>
            <w:tcBorders>
              <w:top w:val="nil"/>
              <w:left w:val="nil"/>
              <w:bottom w:val="nil"/>
              <w:right w:val="nil"/>
            </w:tcBorders>
            <w:shd w:val="clear" w:color="auto" w:fill="auto"/>
            <w:vAlign w:val="center"/>
            <w:hideMark/>
          </w:tcPr>
          <w:p w14:paraId="0658A84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(9)</w:t>
            </w:r>
          </w:p>
        </w:tc>
        <w:tc>
          <w:tcPr>
            <w:tcW w:w="283" w:type="dxa"/>
            <w:tcBorders>
              <w:top w:val="nil"/>
              <w:left w:val="nil"/>
              <w:bottom w:val="nil"/>
              <w:right w:val="nil"/>
            </w:tcBorders>
            <w:shd w:val="clear" w:color="auto" w:fill="auto"/>
            <w:vAlign w:val="center"/>
            <w:hideMark/>
          </w:tcPr>
          <w:p w14:paraId="123B669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0BDB38F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(10)</w:t>
            </w:r>
          </w:p>
        </w:tc>
        <w:tc>
          <w:tcPr>
            <w:tcW w:w="701" w:type="dxa"/>
            <w:gridSpan w:val="2"/>
            <w:tcBorders>
              <w:top w:val="nil"/>
              <w:left w:val="nil"/>
              <w:bottom w:val="nil"/>
              <w:right w:val="nil"/>
            </w:tcBorders>
            <w:shd w:val="clear" w:color="auto" w:fill="auto"/>
            <w:vAlign w:val="center"/>
            <w:hideMark/>
          </w:tcPr>
          <w:p w14:paraId="74256FF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w:t>
            </w:r>
          </w:p>
        </w:tc>
        <w:tc>
          <w:tcPr>
            <w:tcW w:w="738" w:type="dxa"/>
            <w:tcBorders>
              <w:top w:val="nil"/>
              <w:left w:val="nil"/>
              <w:bottom w:val="nil"/>
              <w:right w:val="nil"/>
            </w:tcBorders>
            <w:shd w:val="clear" w:color="auto" w:fill="auto"/>
            <w:vAlign w:val="center"/>
            <w:hideMark/>
          </w:tcPr>
          <w:p w14:paraId="5B442EF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(12)</w:t>
            </w:r>
          </w:p>
        </w:tc>
        <w:tc>
          <w:tcPr>
            <w:tcW w:w="251" w:type="dxa"/>
            <w:tcBorders>
              <w:top w:val="nil"/>
              <w:left w:val="nil"/>
              <w:bottom w:val="nil"/>
              <w:right w:val="nil"/>
            </w:tcBorders>
            <w:shd w:val="clear" w:color="auto" w:fill="auto"/>
            <w:vAlign w:val="center"/>
            <w:hideMark/>
          </w:tcPr>
          <w:p w14:paraId="61CA9F6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355245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(13)</w:t>
            </w:r>
          </w:p>
        </w:tc>
        <w:tc>
          <w:tcPr>
            <w:tcW w:w="731" w:type="dxa"/>
            <w:tcBorders>
              <w:top w:val="nil"/>
              <w:left w:val="nil"/>
              <w:bottom w:val="nil"/>
              <w:right w:val="nil"/>
            </w:tcBorders>
            <w:shd w:val="clear" w:color="auto" w:fill="auto"/>
            <w:vAlign w:val="center"/>
            <w:hideMark/>
          </w:tcPr>
          <w:p w14:paraId="30388F3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(14)</w:t>
            </w:r>
          </w:p>
        </w:tc>
        <w:tc>
          <w:tcPr>
            <w:tcW w:w="726" w:type="dxa"/>
            <w:tcBorders>
              <w:top w:val="nil"/>
              <w:left w:val="nil"/>
              <w:bottom w:val="nil"/>
              <w:right w:val="nil"/>
            </w:tcBorders>
            <w:shd w:val="clear" w:color="auto" w:fill="auto"/>
            <w:vAlign w:val="center"/>
            <w:hideMark/>
          </w:tcPr>
          <w:p w14:paraId="04DBAD7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w:t>
            </w:r>
          </w:p>
        </w:tc>
      </w:tr>
      <w:tr w:rsidR="00F14709" w:rsidRPr="00E915AA" w14:paraId="674F9F7C" w14:textId="77777777" w:rsidTr="00110FF6">
        <w:trPr>
          <w:trHeight w:val="409"/>
        </w:trPr>
        <w:tc>
          <w:tcPr>
            <w:tcW w:w="1276" w:type="dxa"/>
            <w:tcBorders>
              <w:top w:val="nil"/>
              <w:left w:val="nil"/>
              <w:bottom w:val="nil"/>
              <w:right w:val="nil"/>
            </w:tcBorders>
            <w:shd w:val="clear" w:color="auto" w:fill="auto"/>
            <w:vAlign w:val="center"/>
            <w:hideMark/>
          </w:tcPr>
          <w:p w14:paraId="389F1663"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JOBS Act</w:t>
            </w:r>
          </w:p>
        </w:tc>
        <w:tc>
          <w:tcPr>
            <w:tcW w:w="273" w:type="dxa"/>
            <w:tcBorders>
              <w:top w:val="nil"/>
              <w:left w:val="nil"/>
              <w:bottom w:val="nil"/>
              <w:right w:val="nil"/>
            </w:tcBorders>
            <w:shd w:val="clear" w:color="auto" w:fill="auto"/>
            <w:vAlign w:val="center"/>
            <w:hideMark/>
          </w:tcPr>
          <w:p w14:paraId="4A2AA9E8"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61C5103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-1.18***</w:t>
            </w:r>
            <w:r w:rsidRPr="00E915AA">
              <w:rPr>
                <w:rFonts w:ascii="Times New Roman" w:eastAsia="Times New Roman" w:hAnsi="Times New Roman" w:cs="Times New Roman"/>
                <w:color w:val="000000"/>
                <w:sz w:val="12"/>
                <w:szCs w:val="12"/>
                <w:lang w:val="en-GB" w:eastAsia="en-GB"/>
              </w:rPr>
              <w:br/>
              <w:t>(-18.43)</w:t>
            </w:r>
          </w:p>
        </w:tc>
        <w:tc>
          <w:tcPr>
            <w:tcW w:w="708" w:type="dxa"/>
            <w:tcBorders>
              <w:top w:val="nil"/>
              <w:left w:val="nil"/>
              <w:bottom w:val="nil"/>
              <w:right w:val="nil"/>
            </w:tcBorders>
            <w:shd w:val="clear" w:color="auto" w:fill="auto"/>
            <w:vAlign w:val="center"/>
            <w:hideMark/>
          </w:tcPr>
          <w:p w14:paraId="600C97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-1.138***</w:t>
            </w:r>
            <w:r w:rsidRPr="00E915AA">
              <w:rPr>
                <w:rFonts w:ascii="Times New Roman" w:eastAsia="Times New Roman" w:hAnsi="Times New Roman" w:cs="Times New Roman"/>
                <w:color w:val="000000"/>
                <w:sz w:val="12"/>
                <w:szCs w:val="12"/>
                <w:lang w:val="en-GB" w:eastAsia="en-GB"/>
              </w:rPr>
              <w:br/>
              <w:t>(-22.31)</w:t>
            </w:r>
          </w:p>
        </w:tc>
        <w:tc>
          <w:tcPr>
            <w:tcW w:w="709" w:type="dxa"/>
            <w:tcBorders>
              <w:top w:val="nil"/>
              <w:left w:val="nil"/>
              <w:bottom w:val="nil"/>
              <w:right w:val="nil"/>
            </w:tcBorders>
            <w:shd w:val="clear" w:color="auto" w:fill="auto"/>
            <w:vAlign w:val="center"/>
            <w:hideMark/>
          </w:tcPr>
          <w:p w14:paraId="5E15461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-1.197***</w:t>
            </w:r>
            <w:r w:rsidRPr="00E915AA">
              <w:rPr>
                <w:rFonts w:ascii="Times New Roman" w:eastAsia="Times New Roman" w:hAnsi="Times New Roman" w:cs="Times New Roman"/>
                <w:color w:val="000000"/>
                <w:sz w:val="12"/>
                <w:szCs w:val="12"/>
                <w:lang w:val="en-GB" w:eastAsia="en-GB"/>
              </w:rPr>
              <w:br/>
              <w:t>(-12.32)</w:t>
            </w:r>
          </w:p>
        </w:tc>
        <w:tc>
          <w:tcPr>
            <w:tcW w:w="264" w:type="dxa"/>
            <w:tcBorders>
              <w:top w:val="nil"/>
              <w:left w:val="nil"/>
              <w:bottom w:val="nil"/>
              <w:right w:val="nil"/>
            </w:tcBorders>
            <w:shd w:val="clear" w:color="auto" w:fill="auto"/>
            <w:vAlign w:val="center"/>
            <w:hideMark/>
          </w:tcPr>
          <w:p w14:paraId="712E56B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19C08D9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-1.172***</w:t>
            </w:r>
            <w:r w:rsidRPr="00E915AA">
              <w:rPr>
                <w:rFonts w:ascii="Times New Roman" w:eastAsia="Times New Roman" w:hAnsi="Times New Roman" w:cs="Times New Roman"/>
                <w:color w:val="000000"/>
                <w:sz w:val="12"/>
                <w:szCs w:val="12"/>
                <w:lang w:val="en-GB" w:eastAsia="en-GB"/>
              </w:rPr>
              <w:br/>
              <w:t>(-3.42)</w:t>
            </w:r>
          </w:p>
        </w:tc>
        <w:tc>
          <w:tcPr>
            <w:tcW w:w="709" w:type="dxa"/>
            <w:tcBorders>
              <w:top w:val="nil"/>
              <w:left w:val="nil"/>
              <w:bottom w:val="nil"/>
              <w:right w:val="nil"/>
            </w:tcBorders>
            <w:shd w:val="clear" w:color="auto" w:fill="auto"/>
            <w:vAlign w:val="center"/>
            <w:hideMark/>
          </w:tcPr>
          <w:p w14:paraId="0B04597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-1.129***</w:t>
            </w:r>
            <w:r w:rsidRPr="00E915AA">
              <w:rPr>
                <w:rFonts w:ascii="Times New Roman" w:eastAsia="Times New Roman" w:hAnsi="Times New Roman" w:cs="Times New Roman"/>
                <w:color w:val="000000"/>
                <w:sz w:val="12"/>
                <w:szCs w:val="12"/>
                <w:lang w:val="en-GB" w:eastAsia="en-GB"/>
              </w:rPr>
              <w:br/>
              <w:t>(-3.38)</w:t>
            </w:r>
          </w:p>
        </w:tc>
        <w:tc>
          <w:tcPr>
            <w:tcW w:w="709" w:type="dxa"/>
            <w:tcBorders>
              <w:top w:val="nil"/>
              <w:left w:val="nil"/>
              <w:bottom w:val="nil"/>
              <w:right w:val="nil"/>
            </w:tcBorders>
            <w:shd w:val="clear" w:color="auto" w:fill="auto"/>
            <w:vAlign w:val="center"/>
            <w:hideMark/>
          </w:tcPr>
          <w:p w14:paraId="40E9A10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-1.002***</w:t>
            </w:r>
            <w:r w:rsidRPr="00E915AA">
              <w:rPr>
                <w:rFonts w:ascii="Times New Roman" w:eastAsia="Times New Roman" w:hAnsi="Times New Roman" w:cs="Times New Roman"/>
                <w:color w:val="000000"/>
                <w:sz w:val="12"/>
                <w:szCs w:val="12"/>
                <w:lang w:val="en-GB" w:eastAsia="en-GB"/>
              </w:rPr>
              <w:br/>
              <w:t>(-2.69)</w:t>
            </w:r>
          </w:p>
        </w:tc>
        <w:tc>
          <w:tcPr>
            <w:tcW w:w="283" w:type="dxa"/>
            <w:tcBorders>
              <w:top w:val="nil"/>
              <w:left w:val="nil"/>
              <w:bottom w:val="nil"/>
              <w:right w:val="nil"/>
            </w:tcBorders>
            <w:shd w:val="clear" w:color="auto" w:fill="auto"/>
            <w:vAlign w:val="center"/>
            <w:hideMark/>
          </w:tcPr>
          <w:p w14:paraId="5DD4094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A7499F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-1.478***</w:t>
            </w:r>
            <w:r w:rsidRPr="00E915AA">
              <w:rPr>
                <w:rFonts w:ascii="Times New Roman" w:eastAsia="Times New Roman" w:hAnsi="Times New Roman" w:cs="Times New Roman"/>
                <w:color w:val="000000"/>
                <w:sz w:val="12"/>
                <w:szCs w:val="12"/>
                <w:lang w:val="en-GB" w:eastAsia="en-GB"/>
              </w:rPr>
              <w:br/>
              <w:t>(-4.21)</w:t>
            </w:r>
          </w:p>
        </w:tc>
        <w:tc>
          <w:tcPr>
            <w:tcW w:w="709" w:type="dxa"/>
            <w:tcBorders>
              <w:top w:val="nil"/>
              <w:left w:val="nil"/>
              <w:bottom w:val="nil"/>
              <w:right w:val="nil"/>
            </w:tcBorders>
            <w:shd w:val="clear" w:color="auto" w:fill="auto"/>
            <w:vAlign w:val="center"/>
            <w:hideMark/>
          </w:tcPr>
          <w:p w14:paraId="5642B8B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-1.512***</w:t>
            </w:r>
            <w:r w:rsidRPr="00E915AA">
              <w:rPr>
                <w:rFonts w:ascii="Times New Roman" w:eastAsia="Times New Roman" w:hAnsi="Times New Roman" w:cs="Times New Roman"/>
                <w:color w:val="000000"/>
                <w:sz w:val="12"/>
                <w:szCs w:val="12"/>
                <w:lang w:val="en-GB" w:eastAsia="en-GB"/>
              </w:rPr>
              <w:br/>
              <w:t>(-4.8)</w:t>
            </w:r>
          </w:p>
        </w:tc>
        <w:tc>
          <w:tcPr>
            <w:tcW w:w="709" w:type="dxa"/>
            <w:tcBorders>
              <w:top w:val="nil"/>
              <w:left w:val="nil"/>
              <w:bottom w:val="nil"/>
              <w:right w:val="nil"/>
            </w:tcBorders>
            <w:shd w:val="clear" w:color="auto" w:fill="auto"/>
            <w:vAlign w:val="center"/>
            <w:hideMark/>
          </w:tcPr>
          <w:p w14:paraId="58B65D7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-1.305***</w:t>
            </w:r>
            <w:r w:rsidRPr="00E915AA">
              <w:rPr>
                <w:rFonts w:ascii="Times New Roman" w:eastAsia="Times New Roman" w:hAnsi="Times New Roman" w:cs="Times New Roman"/>
                <w:color w:val="000000"/>
                <w:sz w:val="12"/>
                <w:szCs w:val="12"/>
                <w:lang w:val="en-GB" w:eastAsia="en-GB"/>
              </w:rPr>
              <w:br/>
              <w:t>(-3.91)</w:t>
            </w:r>
          </w:p>
        </w:tc>
        <w:tc>
          <w:tcPr>
            <w:tcW w:w="283" w:type="dxa"/>
            <w:tcBorders>
              <w:top w:val="nil"/>
              <w:left w:val="nil"/>
              <w:bottom w:val="nil"/>
              <w:right w:val="nil"/>
            </w:tcBorders>
            <w:shd w:val="clear" w:color="auto" w:fill="auto"/>
            <w:vAlign w:val="center"/>
            <w:hideMark/>
          </w:tcPr>
          <w:p w14:paraId="672B7AA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0A0D919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-2.409***</w:t>
            </w:r>
            <w:r w:rsidRPr="00E915AA">
              <w:rPr>
                <w:rFonts w:ascii="Times New Roman" w:eastAsia="Times New Roman" w:hAnsi="Times New Roman" w:cs="Times New Roman"/>
                <w:color w:val="000000"/>
                <w:sz w:val="12"/>
                <w:szCs w:val="12"/>
                <w:lang w:val="en-GB" w:eastAsia="en-GB"/>
              </w:rPr>
              <w:br/>
              <w:t>(-4.08)</w:t>
            </w:r>
          </w:p>
        </w:tc>
        <w:tc>
          <w:tcPr>
            <w:tcW w:w="709" w:type="dxa"/>
            <w:gridSpan w:val="2"/>
            <w:tcBorders>
              <w:top w:val="nil"/>
              <w:left w:val="nil"/>
              <w:bottom w:val="nil"/>
              <w:right w:val="nil"/>
            </w:tcBorders>
            <w:shd w:val="clear" w:color="auto" w:fill="auto"/>
            <w:vAlign w:val="center"/>
            <w:hideMark/>
          </w:tcPr>
          <w:p w14:paraId="459732C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-2.476***</w:t>
            </w:r>
            <w:r w:rsidRPr="00E915AA">
              <w:rPr>
                <w:rFonts w:ascii="Times New Roman" w:eastAsia="Times New Roman" w:hAnsi="Times New Roman" w:cs="Times New Roman"/>
                <w:color w:val="000000"/>
                <w:sz w:val="12"/>
                <w:szCs w:val="12"/>
                <w:lang w:val="en-GB" w:eastAsia="en-GB"/>
              </w:rPr>
              <w:br/>
              <w:t>(-4.56)</w:t>
            </w:r>
          </w:p>
        </w:tc>
        <w:tc>
          <w:tcPr>
            <w:tcW w:w="850" w:type="dxa"/>
            <w:gridSpan w:val="2"/>
            <w:tcBorders>
              <w:top w:val="nil"/>
              <w:left w:val="nil"/>
              <w:bottom w:val="nil"/>
              <w:right w:val="nil"/>
            </w:tcBorders>
            <w:shd w:val="clear" w:color="auto" w:fill="auto"/>
            <w:vAlign w:val="center"/>
            <w:hideMark/>
          </w:tcPr>
          <w:p w14:paraId="5484163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-2.303***</w:t>
            </w:r>
            <w:r w:rsidRPr="00E915AA">
              <w:rPr>
                <w:rFonts w:ascii="Times New Roman" w:eastAsia="Times New Roman" w:hAnsi="Times New Roman" w:cs="Times New Roman"/>
                <w:color w:val="000000"/>
                <w:sz w:val="12"/>
                <w:szCs w:val="12"/>
                <w:lang w:val="en-GB" w:eastAsia="en-GB"/>
              </w:rPr>
              <w:br/>
              <w:t>(-3.44)</w:t>
            </w:r>
          </w:p>
        </w:tc>
        <w:tc>
          <w:tcPr>
            <w:tcW w:w="284" w:type="dxa"/>
            <w:gridSpan w:val="2"/>
            <w:tcBorders>
              <w:top w:val="nil"/>
              <w:left w:val="nil"/>
              <w:bottom w:val="nil"/>
              <w:right w:val="nil"/>
            </w:tcBorders>
            <w:shd w:val="clear" w:color="auto" w:fill="auto"/>
            <w:vAlign w:val="center"/>
            <w:hideMark/>
          </w:tcPr>
          <w:p w14:paraId="6A54597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vAlign w:val="center"/>
            <w:hideMark/>
          </w:tcPr>
          <w:p w14:paraId="40F8701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-3.324***</w:t>
            </w:r>
            <w:r w:rsidRPr="00E915AA">
              <w:rPr>
                <w:rFonts w:ascii="Times New Roman" w:eastAsia="Times New Roman" w:hAnsi="Times New Roman" w:cs="Times New Roman"/>
                <w:color w:val="000000"/>
                <w:sz w:val="12"/>
                <w:szCs w:val="12"/>
                <w:lang w:val="en-GB" w:eastAsia="en-GB"/>
              </w:rPr>
              <w:br/>
              <w:t>(-8.18)</w:t>
            </w:r>
          </w:p>
        </w:tc>
        <w:tc>
          <w:tcPr>
            <w:tcW w:w="851" w:type="dxa"/>
            <w:gridSpan w:val="2"/>
            <w:tcBorders>
              <w:top w:val="nil"/>
              <w:left w:val="nil"/>
              <w:bottom w:val="nil"/>
              <w:right w:val="nil"/>
            </w:tcBorders>
            <w:shd w:val="clear" w:color="auto" w:fill="auto"/>
            <w:vAlign w:val="center"/>
            <w:hideMark/>
          </w:tcPr>
          <w:p w14:paraId="15F0D7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-3.28***</w:t>
            </w:r>
            <w:r w:rsidRPr="00E915AA">
              <w:rPr>
                <w:rFonts w:ascii="Times New Roman" w:eastAsia="Times New Roman" w:hAnsi="Times New Roman" w:cs="Times New Roman"/>
                <w:color w:val="000000"/>
                <w:sz w:val="12"/>
                <w:szCs w:val="12"/>
                <w:lang w:val="en-GB" w:eastAsia="en-GB"/>
              </w:rPr>
              <w:br/>
              <w:t>(-9.86)</w:t>
            </w:r>
          </w:p>
        </w:tc>
        <w:tc>
          <w:tcPr>
            <w:tcW w:w="726" w:type="dxa"/>
            <w:tcBorders>
              <w:top w:val="nil"/>
              <w:left w:val="nil"/>
              <w:bottom w:val="nil"/>
              <w:right w:val="nil"/>
            </w:tcBorders>
            <w:shd w:val="clear" w:color="auto" w:fill="auto"/>
            <w:vAlign w:val="center"/>
            <w:hideMark/>
          </w:tcPr>
          <w:p w14:paraId="538D1AF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-3.053***</w:t>
            </w:r>
            <w:r w:rsidRPr="00E915AA">
              <w:rPr>
                <w:rFonts w:ascii="Times New Roman" w:eastAsia="Times New Roman" w:hAnsi="Times New Roman" w:cs="Times New Roman"/>
                <w:color w:val="000000"/>
                <w:sz w:val="12"/>
                <w:szCs w:val="12"/>
                <w:lang w:val="en-GB" w:eastAsia="en-GB"/>
              </w:rPr>
              <w:br/>
              <w:t>(-7.15)</w:t>
            </w:r>
          </w:p>
        </w:tc>
      </w:tr>
      <w:tr w:rsidR="00F14709" w:rsidRPr="00E915AA" w14:paraId="6F7F22D5" w14:textId="77777777" w:rsidTr="00110FF6">
        <w:trPr>
          <w:trHeight w:val="430"/>
        </w:trPr>
        <w:tc>
          <w:tcPr>
            <w:tcW w:w="1276" w:type="dxa"/>
            <w:tcBorders>
              <w:top w:val="nil"/>
              <w:left w:val="nil"/>
              <w:bottom w:val="nil"/>
              <w:right w:val="nil"/>
            </w:tcBorders>
            <w:shd w:val="clear" w:color="auto" w:fill="auto"/>
            <w:vAlign w:val="center"/>
            <w:hideMark/>
          </w:tcPr>
          <w:p w14:paraId="74A655A0"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DACC</w:t>
            </w:r>
          </w:p>
        </w:tc>
        <w:tc>
          <w:tcPr>
            <w:tcW w:w="273" w:type="dxa"/>
            <w:tcBorders>
              <w:top w:val="nil"/>
              <w:left w:val="nil"/>
              <w:bottom w:val="nil"/>
              <w:right w:val="nil"/>
            </w:tcBorders>
            <w:shd w:val="clear" w:color="auto" w:fill="auto"/>
            <w:vAlign w:val="center"/>
            <w:hideMark/>
          </w:tcPr>
          <w:p w14:paraId="2C2FC573"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3FB69D0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w:t>
            </w:r>
            <w:r w:rsidRPr="00E915AA">
              <w:rPr>
                <w:rFonts w:ascii="Times New Roman" w:eastAsia="Times New Roman" w:hAnsi="Times New Roman" w:cs="Times New Roman"/>
                <w:color w:val="000000"/>
                <w:sz w:val="12"/>
                <w:szCs w:val="12"/>
                <w:lang w:val="en-GB" w:eastAsia="en-GB"/>
              </w:rPr>
              <w:br/>
              <w:t>(2.45)</w:t>
            </w:r>
          </w:p>
        </w:tc>
        <w:tc>
          <w:tcPr>
            <w:tcW w:w="708" w:type="dxa"/>
            <w:tcBorders>
              <w:top w:val="nil"/>
              <w:left w:val="nil"/>
              <w:bottom w:val="nil"/>
              <w:right w:val="nil"/>
            </w:tcBorders>
            <w:shd w:val="clear" w:color="auto" w:fill="auto"/>
            <w:vAlign w:val="center"/>
            <w:hideMark/>
          </w:tcPr>
          <w:p w14:paraId="5BB2DD9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77ED12E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64" w:type="dxa"/>
            <w:tcBorders>
              <w:top w:val="nil"/>
              <w:left w:val="nil"/>
              <w:bottom w:val="nil"/>
              <w:right w:val="nil"/>
            </w:tcBorders>
            <w:shd w:val="clear" w:color="auto" w:fill="auto"/>
            <w:vAlign w:val="center"/>
            <w:hideMark/>
          </w:tcPr>
          <w:p w14:paraId="5CFBD2B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43D038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(0.6)</w:t>
            </w:r>
          </w:p>
        </w:tc>
        <w:tc>
          <w:tcPr>
            <w:tcW w:w="709" w:type="dxa"/>
            <w:tcBorders>
              <w:top w:val="nil"/>
              <w:left w:val="nil"/>
              <w:bottom w:val="nil"/>
              <w:right w:val="nil"/>
            </w:tcBorders>
            <w:shd w:val="clear" w:color="auto" w:fill="auto"/>
            <w:vAlign w:val="center"/>
            <w:hideMark/>
          </w:tcPr>
          <w:p w14:paraId="2612C94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39BF99E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0680243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CF9F7A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0.017</w:t>
            </w:r>
            <w:r w:rsidRPr="00E915AA">
              <w:rPr>
                <w:rFonts w:ascii="Times New Roman" w:eastAsia="Times New Roman" w:hAnsi="Times New Roman" w:cs="Times New Roman"/>
                <w:color w:val="000000"/>
                <w:sz w:val="12"/>
                <w:szCs w:val="12"/>
                <w:lang w:val="en-GB" w:eastAsia="en-GB"/>
              </w:rPr>
              <w:br/>
              <w:t>(1.29)</w:t>
            </w:r>
          </w:p>
        </w:tc>
        <w:tc>
          <w:tcPr>
            <w:tcW w:w="709" w:type="dxa"/>
            <w:tcBorders>
              <w:top w:val="nil"/>
              <w:left w:val="nil"/>
              <w:bottom w:val="nil"/>
              <w:right w:val="nil"/>
            </w:tcBorders>
            <w:shd w:val="clear" w:color="auto" w:fill="auto"/>
            <w:vAlign w:val="center"/>
            <w:hideMark/>
          </w:tcPr>
          <w:p w14:paraId="1C9F42F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4D91B0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37EDD95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3AB6DE1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0.029**</w:t>
            </w:r>
            <w:r w:rsidRPr="00E915AA">
              <w:rPr>
                <w:rFonts w:ascii="Times New Roman" w:eastAsia="Times New Roman" w:hAnsi="Times New Roman" w:cs="Times New Roman"/>
                <w:color w:val="000000"/>
                <w:sz w:val="12"/>
                <w:szCs w:val="12"/>
                <w:lang w:val="en-GB" w:eastAsia="en-GB"/>
              </w:rPr>
              <w:br/>
              <w:t>(2.06)</w:t>
            </w:r>
          </w:p>
        </w:tc>
        <w:tc>
          <w:tcPr>
            <w:tcW w:w="709" w:type="dxa"/>
            <w:gridSpan w:val="2"/>
            <w:tcBorders>
              <w:top w:val="nil"/>
              <w:left w:val="nil"/>
              <w:bottom w:val="nil"/>
              <w:right w:val="nil"/>
            </w:tcBorders>
            <w:shd w:val="clear" w:color="auto" w:fill="auto"/>
            <w:vAlign w:val="center"/>
            <w:hideMark/>
          </w:tcPr>
          <w:p w14:paraId="147377F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gridSpan w:val="2"/>
            <w:tcBorders>
              <w:top w:val="nil"/>
              <w:left w:val="nil"/>
              <w:bottom w:val="nil"/>
              <w:right w:val="nil"/>
            </w:tcBorders>
            <w:shd w:val="clear" w:color="auto" w:fill="auto"/>
            <w:vAlign w:val="center"/>
            <w:hideMark/>
          </w:tcPr>
          <w:p w14:paraId="2CCD32F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gridSpan w:val="2"/>
            <w:tcBorders>
              <w:top w:val="nil"/>
              <w:left w:val="nil"/>
              <w:bottom w:val="nil"/>
              <w:right w:val="nil"/>
            </w:tcBorders>
            <w:shd w:val="clear" w:color="auto" w:fill="auto"/>
            <w:vAlign w:val="center"/>
            <w:hideMark/>
          </w:tcPr>
          <w:p w14:paraId="5729F6F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7FF4408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-0.008</w:t>
            </w:r>
            <w:r w:rsidRPr="00E915AA">
              <w:rPr>
                <w:rFonts w:ascii="Times New Roman" w:eastAsia="Times New Roman" w:hAnsi="Times New Roman" w:cs="Times New Roman"/>
                <w:color w:val="000000"/>
                <w:sz w:val="12"/>
                <w:szCs w:val="12"/>
                <w:lang w:val="en-GB" w:eastAsia="en-GB"/>
              </w:rPr>
              <w:br/>
              <w:t>(-0.43)</w:t>
            </w:r>
          </w:p>
        </w:tc>
        <w:tc>
          <w:tcPr>
            <w:tcW w:w="851" w:type="dxa"/>
            <w:gridSpan w:val="2"/>
            <w:tcBorders>
              <w:top w:val="nil"/>
              <w:left w:val="nil"/>
              <w:bottom w:val="nil"/>
              <w:right w:val="nil"/>
            </w:tcBorders>
            <w:shd w:val="clear" w:color="auto" w:fill="auto"/>
            <w:vAlign w:val="center"/>
            <w:hideMark/>
          </w:tcPr>
          <w:p w14:paraId="585BD92D"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2"/>
                <w:szCs w:val="12"/>
                <w:lang w:val="en-GB" w:eastAsia="en-GB"/>
              </w:rPr>
            </w:pPr>
          </w:p>
        </w:tc>
        <w:tc>
          <w:tcPr>
            <w:tcW w:w="726" w:type="dxa"/>
            <w:tcBorders>
              <w:top w:val="nil"/>
              <w:left w:val="nil"/>
              <w:bottom w:val="nil"/>
              <w:right w:val="nil"/>
            </w:tcBorders>
            <w:shd w:val="clear" w:color="auto" w:fill="auto"/>
            <w:vAlign w:val="center"/>
            <w:hideMark/>
          </w:tcPr>
          <w:p w14:paraId="56A7694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62FA1BC5" w14:textId="77777777" w:rsidTr="00110FF6">
        <w:trPr>
          <w:trHeight w:val="279"/>
        </w:trPr>
        <w:tc>
          <w:tcPr>
            <w:tcW w:w="1276" w:type="dxa"/>
            <w:tcBorders>
              <w:top w:val="nil"/>
              <w:left w:val="nil"/>
              <w:bottom w:val="nil"/>
              <w:right w:val="nil"/>
            </w:tcBorders>
            <w:shd w:val="clear" w:color="auto" w:fill="auto"/>
            <w:vAlign w:val="center"/>
            <w:hideMark/>
          </w:tcPr>
          <w:p w14:paraId="7B68353E"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DACC*JOBS Act</w:t>
            </w:r>
          </w:p>
        </w:tc>
        <w:tc>
          <w:tcPr>
            <w:tcW w:w="273" w:type="dxa"/>
            <w:tcBorders>
              <w:top w:val="nil"/>
              <w:left w:val="nil"/>
              <w:bottom w:val="nil"/>
              <w:right w:val="nil"/>
            </w:tcBorders>
            <w:shd w:val="clear" w:color="auto" w:fill="auto"/>
            <w:vAlign w:val="center"/>
            <w:hideMark/>
          </w:tcPr>
          <w:p w14:paraId="67CF9311"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2149E3A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-0.012</w:t>
            </w:r>
            <w:r w:rsidRPr="00E915AA">
              <w:rPr>
                <w:rFonts w:ascii="Times New Roman" w:eastAsia="Times New Roman" w:hAnsi="Times New Roman" w:cs="Times New Roman"/>
                <w:color w:val="000000"/>
                <w:sz w:val="12"/>
                <w:szCs w:val="12"/>
                <w:lang w:val="en-GB" w:eastAsia="en-GB"/>
              </w:rPr>
              <w:br/>
              <w:t>(-0.44)</w:t>
            </w:r>
          </w:p>
        </w:tc>
        <w:tc>
          <w:tcPr>
            <w:tcW w:w="708" w:type="dxa"/>
            <w:tcBorders>
              <w:top w:val="nil"/>
              <w:left w:val="nil"/>
              <w:bottom w:val="nil"/>
              <w:right w:val="nil"/>
            </w:tcBorders>
            <w:shd w:val="clear" w:color="auto" w:fill="auto"/>
            <w:vAlign w:val="center"/>
            <w:hideMark/>
          </w:tcPr>
          <w:p w14:paraId="2AAEFD1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162F63F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64" w:type="dxa"/>
            <w:tcBorders>
              <w:top w:val="nil"/>
              <w:left w:val="nil"/>
              <w:bottom w:val="nil"/>
              <w:right w:val="nil"/>
            </w:tcBorders>
            <w:shd w:val="clear" w:color="auto" w:fill="auto"/>
            <w:vAlign w:val="center"/>
            <w:hideMark/>
          </w:tcPr>
          <w:p w14:paraId="331BF9E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534F5C6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0.063</w:t>
            </w:r>
            <w:r w:rsidRPr="00E915AA">
              <w:rPr>
                <w:rFonts w:ascii="Times New Roman" w:eastAsia="Times New Roman" w:hAnsi="Times New Roman" w:cs="Times New Roman"/>
                <w:color w:val="000000"/>
                <w:sz w:val="12"/>
                <w:szCs w:val="12"/>
                <w:lang w:val="en-GB" w:eastAsia="en-GB"/>
              </w:rPr>
              <w:br/>
              <w:t>(1.48)</w:t>
            </w:r>
          </w:p>
        </w:tc>
        <w:tc>
          <w:tcPr>
            <w:tcW w:w="709" w:type="dxa"/>
            <w:tcBorders>
              <w:top w:val="nil"/>
              <w:left w:val="nil"/>
              <w:bottom w:val="nil"/>
              <w:right w:val="nil"/>
            </w:tcBorders>
            <w:shd w:val="clear" w:color="auto" w:fill="auto"/>
            <w:vAlign w:val="center"/>
            <w:hideMark/>
          </w:tcPr>
          <w:p w14:paraId="26989F7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4829FC4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0DC0398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26B2AE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0.102**</w:t>
            </w:r>
            <w:r w:rsidRPr="00E915AA">
              <w:rPr>
                <w:rFonts w:ascii="Times New Roman" w:eastAsia="Times New Roman" w:hAnsi="Times New Roman" w:cs="Times New Roman"/>
                <w:color w:val="000000"/>
                <w:sz w:val="12"/>
                <w:szCs w:val="12"/>
                <w:lang w:val="en-GB" w:eastAsia="en-GB"/>
              </w:rPr>
              <w:br/>
              <w:t>(2.48)</w:t>
            </w:r>
          </w:p>
        </w:tc>
        <w:tc>
          <w:tcPr>
            <w:tcW w:w="709" w:type="dxa"/>
            <w:tcBorders>
              <w:top w:val="nil"/>
              <w:left w:val="nil"/>
              <w:bottom w:val="nil"/>
              <w:right w:val="nil"/>
            </w:tcBorders>
            <w:shd w:val="clear" w:color="auto" w:fill="auto"/>
            <w:vAlign w:val="center"/>
            <w:hideMark/>
          </w:tcPr>
          <w:p w14:paraId="045907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66762D5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5EB5EEB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0494D93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0.064*</w:t>
            </w:r>
            <w:r w:rsidRPr="00E915AA">
              <w:rPr>
                <w:rFonts w:ascii="Times New Roman" w:eastAsia="Times New Roman" w:hAnsi="Times New Roman" w:cs="Times New Roman"/>
                <w:color w:val="000000"/>
                <w:sz w:val="12"/>
                <w:szCs w:val="12"/>
                <w:lang w:val="en-GB" w:eastAsia="en-GB"/>
              </w:rPr>
              <w:br/>
              <w:t>(1.89)</w:t>
            </w:r>
          </w:p>
        </w:tc>
        <w:tc>
          <w:tcPr>
            <w:tcW w:w="709" w:type="dxa"/>
            <w:gridSpan w:val="2"/>
            <w:tcBorders>
              <w:top w:val="nil"/>
              <w:left w:val="nil"/>
              <w:bottom w:val="nil"/>
              <w:right w:val="nil"/>
            </w:tcBorders>
            <w:shd w:val="clear" w:color="auto" w:fill="auto"/>
            <w:vAlign w:val="center"/>
            <w:hideMark/>
          </w:tcPr>
          <w:p w14:paraId="5D5D3BC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gridSpan w:val="2"/>
            <w:tcBorders>
              <w:top w:val="nil"/>
              <w:left w:val="nil"/>
              <w:bottom w:val="nil"/>
              <w:right w:val="nil"/>
            </w:tcBorders>
            <w:shd w:val="clear" w:color="auto" w:fill="auto"/>
            <w:vAlign w:val="center"/>
            <w:hideMark/>
          </w:tcPr>
          <w:p w14:paraId="5CCA978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gridSpan w:val="2"/>
            <w:tcBorders>
              <w:top w:val="nil"/>
              <w:left w:val="nil"/>
              <w:bottom w:val="nil"/>
              <w:right w:val="nil"/>
            </w:tcBorders>
            <w:shd w:val="clear" w:color="auto" w:fill="auto"/>
            <w:vAlign w:val="center"/>
            <w:hideMark/>
          </w:tcPr>
          <w:p w14:paraId="63251C1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21B49C9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0.24***</w:t>
            </w:r>
            <w:r w:rsidRPr="00E915AA">
              <w:rPr>
                <w:rFonts w:ascii="Times New Roman" w:eastAsia="Times New Roman" w:hAnsi="Times New Roman" w:cs="Times New Roman"/>
                <w:color w:val="000000"/>
                <w:sz w:val="12"/>
                <w:szCs w:val="12"/>
                <w:lang w:val="en-GB" w:eastAsia="en-GB"/>
              </w:rPr>
              <w:br/>
              <w:t>(3)</w:t>
            </w:r>
          </w:p>
        </w:tc>
        <w:tc>
          <w:tcPr>
            <w:tcW w:w="851" w:type="dxa"/>
            <w:gridSpan w:val="2"/>
            <w:tcBorders>
              <w:top w:val="nil"/>
              <w:left w:val="nil"/>
              <w:bottom w:val="nil"/>
              <w:right w:val="nil"/>
            </w:tcBorders>
            <w:shd w:val="clear" w:color="auto" w:fill="auto"/>
            <w:vAlign w:val="center"/>
            <w:hideMark/>
          </w:tcPr>
          <w:p w14:paraId="28E72F35" w14:textId="77777777" w:rsidR="00F14709" w:rsidRPr="00E915AA" w:rsidRDefault="00F14709" w:rsidP="00110FF6">
            <w:pPr>
              <w:spacing w:after="0" w:line="240" w:lineRule="auto"/>
              <w:jc w:val="center"/>
              <w:rPr>
                <w:rFonts w:ascii="Times New Roman" w:eastAsia="Times New Roman" w:hAnsi="Times New Roman" w:cs="Times New Roman"/>
                <w:b/>
                <w:bCs/>
                <w:color w:val="000000"/>
                <w:sz w:val="12"/>
                <w:szCs w:val="12"/>
                <w:lang w:val="en-GB" w:eastAsia="en-GB"/>
              </w:rPr>
            </w:pPr>
          </w:p>
        </w:tc>
        <w:tc>
          <w:tcPr>
            <w:tcW w:w="726" w:type="dxa"/>
            <w:tcBorders>
              <w:top w:val="nil"/>
              <w:left w:val="nil"/>
              <w:bottom w:val="nil"/>
              <w:right w:val="nil"/>
            </w:tcBorders>
            <w:shd w:val="clear" w:color="auto" w:fill="auto"/>
            <w:vAlign w:val="center"/>
            <w:hideMark/>
          </w:tcPr>
          <w:p w14:paraId="480AD78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3F7B595A" w14:textId="77777777" w:rsidTr="00110FF6">
        <w:trPr>
          <w:trHeight w:val="424"/>
        </w:trPr>
        <w:tc>
          <w:tcPr>
            <w:tcW w:w="1276" w:type="dxa"/>
            <w:tcBorders>
              <w:top w:val="nil"/>
              <w:left w:val="nil"/>
              <w:bottom w:val="nil"/>
              <w:right w:val="nil"/>
            </w:tcBorders>
            <w:shd w:val="clear" w:color="auto" w:fill="auto"/>
            <w:vAlign w:val="center"/>
            <w:hideMark/>
          </w:tcPr>
          <w:p w14:paraId="30083F57"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ACFO</w:t>
            </w:r>
          </w:p>
        </w:tc>
        <w:tc>
          <w:tcPr>
            <w:tcW w:w="273" w:type="dxa"/>
            <w:tcBorders>
              <w:top w:val="nil"/>
              <w:left w:val="nil"/>
              <w:bottom w:val="nil"/>
              <w:right w:val="nil"/>
            </w:tcBorders>
            <w:shd w:val="clear" w:color="auto" w:fill="auto"/>
            <w:vAlign w:val="center"/>
            <w:hideMark/>
          </w:tcPr>
          <w:p w14:paraId="4772C03A"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18453FD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33AE31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0.038*</w:t>
            </w:r>
            <w:r w:rsidRPr="00E915AA">
              <w:rPr>
                <w:rFonts w:ascii="Times New Roman" w:eastAsia="Times New Roman" w:hAnsi="Times New Roman" w:cs="Times New Roman"/>
                <w:color w:val="000000"/>
                <w:sz w:val="12"/>
                <w:szCs w:val="12"/>
                <w:lang w:val="en-GB" w:eastAsia="en-GB"/>
              </w:rPr>
              <w:br/>
              <w:t>(1.77)</w:t>
            </w:r>
          </w:p>
        </w:tc>
        <w:tc>
          <w:tcPr>
            <w:tcW w:w="709" w:type="dxa"/>
            <w:tcBorders>
              <w:top w:val="nil"/>
              <w:left w:val="nil"/>
              <w:bottom w:val="nil"/>
              <w:right w:val="nil"/>
            </w:tcBorders>
            <w:shd w:val="clear" w:color="auto" w:fill="auto"/>
            <w:vAlign w:val="center"/>
            <w:hideMark/>
          </w:tcPr>
          <w:p w14:paraId="3CAC2AF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64" w:type="dxa"/>
            <w:tcBorders>
              <w:top w:val="nil"/>
              <w:left w:val="nil"/>
              <w:bottom w:val="nil"/>
              <w:right w:val="nil"/>
            </w:tcBorders>
            <w:shd w:val="clear" w:color="auto" w:fill="auto"/>
            <w:vAlign w:val="center"/>
            <w:hideMark/>
          </w:tcPr>
          <w:p w14:paraId="33FA5C2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26ADB35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0C4BC8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w:t>
            </w:r>
            <w:r w:rsidRPr="00E915AA">
              <w:rPr>
                <w:rFonts w:ascii="Times New Roman" w:eastAsia="Times New Roman" w:hAnsi="Times New Roman" w:cs="Times New Roman"/>
                <w:color w:val="000000"/>
                <w:sz w:val="12"/>
                <w:szCs w:val="12"/>
                <w:lang w:val="en-GB" w:eastAsia="en-GB"/>
              </w:rPr>
              <w:br/>
              <w:t>(-0.83)</w:t>
            </w:r>
          </w:p>
        </w:tc>
        <w:tc>
          <w:tcPr>
            <w:tcW w:w="709" w:type="dxa"/>
            <w:tcBorders>
              <w:top w:val="nil"/>
              <w:left w:val="nil"/>
              <w:bottom w:val="nil"/>
              <w:right w:val="nil"/>
            </w:tcBorders>
            <w:shd w:val="clear" w:color="auto" w:fill="auto"/>
            <w:vAlign w:val="center"/>
            <w:hideMark/>
          </w:tcPr>
          <w:p w14:paraId="4682922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1A2D40F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5227EC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76573F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-0.005</w:t>
            </w:r>
            <w:r w:rsidRPr="00E915AA">
              <w:rPr>
                <w:rFonts w:ascii="Times New Roman" w:eastAsia="Times New Roman" w:hAnsi="Times New Roman" w:cs="Times New Roman"/>
                <w:color w:val="000000"/>
                <w:sz w:val="12"/>
                <w:szCs w:val="12"/>
                <w:lang w:val="en-GB" w:eastAsia="en-GB"/>
              </w:rPr>
              <w:br/>
              <w:t>(-0.21)</w:t>
            </w:r>
          </w:p>
        </w:tc>
        <w:tc>
          <w:tcPr>
            <w:tcW w:w="709" w:type="dxa"/>
            <w:tcBorders>
              <w:top w:val="nil"/>
              <w:left w:val="nil"/>
              <w:bottom w:val="nil"/>
              <w:right w:val="nil"/>
            </w:tcBorders>
            <w:shd w:val="clear" w:color="auto" w:fill="auto"/>
            <w:vAlign w:val="center"/>
            <w:hideMark/>
          </w:tcPr>
          <w:p w14:paraId="7A1F0AB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13EA367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1B37568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350066B2" w14:textId="39102B6E"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-0.057*</w:t>
            </w:r>
            <w:r w:rsidRPr="00E915AA">
              <w:rPr>
                <w:rFonts w:ascii="Times New Roman" w:eastAsia="Times New Roman" w:hAnsi="Times New Roman" w:cs="Times New Roman"/>
                <w:color w:val="000000"/>
                <w:sz w:val="12"/>
                <w:szCs w:val="12"/>
                <w:lang w:val="en-GB" w:eastAsia="en-GB"/>
              </w:rPr>
              <w:br/>
              <w:t>(-2.01)</w:t>
            </w:r>
          </w:p>
        </w:tc>
        <w:tc>
          <w:tcPr>
            <w:tcW w:w="738" w:type="dxa"/>
            <w:tcBorders>
              <w:top w:val="nil"/>
              <w:left w:val="nil"/>
              <w:bottom w:val="nil"/>
              <w:right w:val="nil"/>
            </w:tcBorders>
            <w:shd w:val="clear" w:color="auto" w:fill="auto"/>
            <w:vAlign w:val="center"/>
            <w:hideMark/>
          </w:tcPr>
          <w:p w14:paraId="6B707DB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51" w:type="dxa"/>
            <w:tcBorders>
              <w:top w:val="nil"/>
              <w:left w:val="nil"/>
              <w:bottom w:val="nil"/>
              <w:right w:val="nil"/>
            </w:tcBorders>
            <w:shd w:val="clear" w:color="auto" w:fill="auto"/>
            <w:vAlign w:val="center"/>
            <w:hideMark/>
          </w:tcPr>
          <w:p w14:paraId="559411D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2C7DA48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6B1E6C3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0.029</w:t>
            </w:r>
            <w:r w:rsidRPr="00E915AA">
              <w:rPr>
                <w:rFonts w:ascii="Times New Roman" w:eastAsia="Times New Roman" w:hAnsi="Times New Roman" w:cs="Times New Roman"/>
                <w:color w:val="000000"/>
                <w:sz w:val="12"/>
                <w:szCs w:val="12"/>
                <w:lang w:val="en-GB" w:eastAsia="en-GB"/>
              </w:rPr>
              <w:br/>
              <w:t>(0.62)</w:t>
            </w:r>
          </w:p>
        </w:tc>
        <w:tc>
          <w:tcPr>
            <w:tcW w:w="726" w:type="dxa"/>
            <w:tcBorders>
              <w:top w:val="nil"/>
              <w:left w:val="nil"/>
              <w:bottom w:val="nil"/>
              <w:right w:val="nil"/>
            </w:tcBorders>
            <w:shd w:val="clear" w:color="auto" w:fill="auto"/>
            <w:vAlign w:val="center"/>
            <w:hideMark/>
          </w:tcPr>
          <w:p w14:paraId="092A86A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r>
      <w:tr w:rsidR="00F14709" w:rsidRPr="00E915AA" w14:paraId="01289AAC" w14:textId="77777777" w:rsidTr="00110FF6">
        <w:trPr>
          <w:trHeight w:val="431"/>
        </w:trPr>
        <w:tc>
          <w:tcPr>
            <w:tcW w:w="1276" w:type="dxa"/>
            <w:tcBorders>
              <w:top w:val="nil"/>
              <w:left w:val="nil"/>
              <w:bottom w:val="nil"/>
              <w:right w:val="nil"/>
            </w:tcBorders>
            <w:shd w:val="clear" w:color="auto" w:fill="auto"/>
            <w:vAlign w:val="center"/>
            <w:hideMark/>
          </w:tcPr>
          <w:p w14:paraId="7A1FB87E"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ACFO*JOBS Act</w:t>
            </w:r>
          </w:p>
        </w:tc>
        <w:tc>
          <w:tcPr>
            <w:tcW w:w="273" w:type="dxa"/>
            <w:tcBorders>
              <w:top w:val="nil"/>
              <w:left w:val="nil"/>
              <w:bottom w:val="nil"/>
              <w:right w:val="nil"/>
            </w:tcBorders>
            <w:shd w:val="clear" w:color="auto" w:fill="auto"/>
            <w:vAlign w:val="center"/>
            <w:hideMark/>
          </w:tcPr>
          <w:p w14:paraId="2DF5C212"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4822EF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7F4EB03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-0.072*</w:t>
            </w:r>
            <w:r w:rsidRPr="00E915AA">
              <w:rPr>
                <w:rFonts w:ascii="Times New Roman" w:eastAsia="Times New Roman" w:hAnsi="Times New Roman" w:cs="Times New Roman"/>
                <w:color w:val="000000"/>
                <w:sz w:val="12"/>
                <w:szCs w:val="12"/>
                <w:lang w:val="en-GB" w:eastAsia="en-GB"/>
              </w:rPr>
              <w:br/>
              <w:t>(-1.77)</w:t>
            </w:r>
          </w:p>
        </w:tc>
        <w:tc>
          <w:tcPr>
            <w:tcW w:w="709" w:type="dxa"/>
            <w:tcBorders>
              <w:top w:val="nil"/>
              <w:left w:val="nil"/>
              <w:bottom w:val="nil"/>
              <w:right w:val="nil"/>
            </w:tcBorders>
            <w:shd w:val="clear" w:color="auto" w:fill="auto"/>
            <w:vAlign w:val="center"/>
            <w:hideMark/>
          </w:tcPr>
          <w:p w14:paraId="08CB6D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64" w:type="dxa"/>
            <w:tcBorders>
              <w:top w:val="nil"/>
              <w:left w:val="nil"/>
              <w:bottom w:val="nil"/>
              <w:right w:val="nil"/>
            </w:tcBorders>
            <w:shd w:val="clear" w:color="auto" w:fill="auto"/>
            <w:vAlign w:val="center"/>
            <w:hideMark/>
          </w:tcPr>
          <w:p w14:paraId="7F2BE5E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5220AA9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A3D0F2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0.077</w:t>
            </w:r>
            <w:r w:rsidRPr="00E915AA">
              <w:rPr>
                <w:rFonts w:ascii="Times New Roman" w:eastAsia="Times New Roman" w:hAnsi="Times New Roman" w:cs="Times New Roman"/>
                <w:color w:val="000000"/>
                <w:sz w:val="12"/>
                <w:szCs w:val="12"/>
                <w:lang w:val="en-GB" w:eastAsia="en-GB"/>
              </w:rPr>
              <w:br/>
              <w:t>(1.54)</w:t>
            </w:r>
          </w:p>
        </w:tc>
        <w:tc>
          <w:tcPr>
            <w:tcW w:w="709" w:type="dxa"/>
            <w:tcBorders>
              <w:top w:val="nil"/>
              <w:left w:val="nil"/>
              <w:bottom w:val="nil"/>
              <w:right w:val="nil"/>
            </w:tcBorders>
            <w:shd w:val="clear" w:color="auto" w:fill="auto"/>
            <w:vAlign w:val="center"/>
            <w:hideMark/>
          </w:tcPr>
          <w:p w14:paraId="237A98F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314B211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A41FFC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0FEF9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0.074***</w:t>
            </w:r>
            <w:r w:rsidRPr="00E915AA">
              <w:rPr>
                <w:rFonts w:ascii="Times New Roman" w:eastAsia="Times New Roman" w:hAnsi="Times New Roman" w:cs="Times New Roman"/>
                <w:color w:val="000000"/>
                <w:sz w:val="12"/>
                <w:szCs w:val="12"/>
                <w:lang w:val="en-GB" w:eastAsia="en-GB"/>
              </w:rPr>
              <w:br/>
              <w:t>(2.64)</w:t>
            </w:r>
          </w:p>
        </w:tc>
        <w:tc>
          <w:tcPr>
            <w:tcW w:w="709" w:type="dxa"/>
            <w:tcBorders>
              <w:top w:val="nil"/>
              <w:left w:val="nil"/>
              <w:bottom w:val="nil"/>
              <w:right w:val="nil"/>
            </w:tcBorders>
            <w:shd w:val="clear" w:color="auto" w:fill="auto"/>
            <w:vAlign w:val="center"/>
            <w:hideMark/>
          </w:tcPr>
          <w:p w14:paraId="10BCF6A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3C5037B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6C7664C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15045B4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0.193***</w:t>
            </w:r>
            <w:r w:rsidRPr="00E915AA">
              <w:rPr>
                <w:rFonts w:ascii="Times New Roman" w:eastAsia="Times New Roman" w:hAnsi="Times New Roman" w:cs="Times New Roman"/>
                <w:color w:val="000000"/>
                <w:sz w:val="12"/>
                <w:szCs w:val="12"/>
                <w:lang w:val="en-GB" w:eastAsia="en-GB"/>
              </w:rPr>
              <w:br/>
              <w:t>(3.12)</w:t>
            </w:r>
          </w:p>
        </w:tc>
        <w:tc>
          <w:tcPr>
            <w:tcW w:w="738" w:type="dxa"/>
            <w:tcBorders>
              <w:top w:val="nil"/>
              <w:left w:val="nil"/>
              <w:bottom w:val="nil"/>
              <w:right w:val="nil"/>
            </w:tcBorders>
            <w:shd w:val="clear" w:color="auto" w:fill="auto"/>
            <w:vAlign w:val="center"/>
            <w:hideMark/>
          </w:tcPr>
          <w:p w14:paraId="632F069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51" w:type="dxa"/>
            <w:tcBorders>
              <w:top w:val="nil"/>
              <w:left w:val="nil"/>
              <w:bottom w:val="nil"/>
              <w:right w:val="nil"/>
            </w:tcBorders>
            <w:shd w:val="clear" w:color="auto" w:fill="auto"/>
            <w:vAlign w:val="center"/>
            <w:hideMark/>
          </w:tcPr>
          <w:p w14:paraId="1E1DA1F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71DBF81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1EC894D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0.122***</w:t>
            </w:r>
            <w:r w:rsidRPr="00E915AA">
              <w:rPr>
                <w:rFonts w:ascii="Times New Roman" w:eastAsia="Times New Roman" w:hAnsi="Times New Roman" w:cs="Times New Roman"/>
                <w:color w:val="000000"/>
                <w:sz w:val="12"/>
                <w:szCs w:val="12"/>
                <w:lang w:val="en-GB" w:eastAsia="en-GB"/>
              </w:rPr>
              <w:br/>
              <w:t>(3.66)</w:t>
            </w:r>
          </w:p>
        </w:tc>
        <w:tc>
          <w:tcPr>
            <w:tcW w:w="726" w:type="dxa"/>
            <w:tcBorders>
              <w:top w:val="nil"/>
              <w:left w:val="nil"/>
              <w:bottom w:val="nil"/>
              <w:right w:val="nil"/>
            </w:tcBorders>
            <w:shd w:val="clear" w:color="auto" w:fill="auto"/>
            <w:vAlign w:val="center"/>
            <w:hideMark/>
          </w:tcPr>
          <w:p w14:paraId="1003E9A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r>
      <w:tr w:rsidR="00F14709" w:rsidRPr="00E915AA" w14:paraId="3C373849" w14:textId="77777777" w:rsidTr="00110FF6">
        <w:trPr>
          <w:trHeight w:val="281"/>
        </w:trPr>
        <w:tc>
          <w:tcPr>
            <w:tcW w:w="1276" w:type="dxa"/>
            <w:tcBorders>
              <w:top w:val="nil"/>
              <w:left w:val="nil"/>
              <w:bottom w:val="nil"/>
              <w:right w:val="nil"/>
            </w:tcBorders>
            <w:shd w:val="clear" w:color="auto" w:fill="auto"/>
            <w:vAlign w:val="center"/>
            <w:hideMark/>
          </w:tcPr>
          <w:p w14:paraId="0DC25F87"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ADISEXP</w:t>
            </w:r>
          </w:p>
        </w:tc>
        <w:tc>
          <w:tcPr>
            <w:tcW w:w="273" w:type="dxa"/>
            <w:tcBorders>
              <w:top w:val="nil"/>
              <w:left w:val="nil"/>
              <w:bottom w:val="nil"/>
              <w:right w:val="nil"/>
            </w:tcBorders>
            <w:shd w:val="clear" w:color="auto" w:fill="auto"/>
            <w:vAlign w:val="center"/>
            <w:hideMark/>
          </w:tcPr>
          <w:p w14:paraId="74D76381"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061150A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6150C20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22F93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-0.018</w:t>
            </w:r>
            <w:r w:rsidRPr="00E915AA">
              <w:rPr>
                <w:rFonts w:ascii="Times New Roman" w:eastAsia="Times New Roman" w:hAnsi="Times New Roman" w:cs="Times New Roman"/>
                <w:color w:val="000000"/>
                <w:sz w:val="12"/>
                <w:szCs w:val="12"/>
                <w:lang w:val="en-GB" w:eastAsia="en-GB"/>
              </w:rPr>
              <w:br/>
              <w:t>(-0.87)</w:t>
            </w:r>
          </w:p>
        </w:tc>
        <w:tc>
          <w:tcPr>
            <w:tcW w:w="264" w:type="dxa"/>
            <w:tcBorders>
              <w:top w:val="nil"/>
              <w:left w:val="nil"/>
              <w:bottom w:val="nil"/>
              <w:right w:val="nil"/>
            </w:tcBorders>
            <w:shd w:val="clear" w:color="auto" w:fill="auto"/>
            <w:vAlign w:val="center"/>
            <w:hideMark/>
          </w:tcPr>
          <w:p w14:paraId="2632E3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0944752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24F126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E823D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(-0.18)</w:t>
            </w:r>
          </w:p>
        </w:tc>
        <w:tc>
          <w:tcPr>
            <w:tcW w:w="283" w:type="dxa"/>
            <w:tcBorders>
              <w:top w:val="nil"/>
              <w:left w:val="nil"/>
              <w:bottom w:val="nil"/>
              <w:right w:val="nil"/>
            </w:tcBorders>
            <w:shd w:val="clear" w:color="auto" w:fill="auto"/>
            <w:vAlign w:val="center"/>
            <w:hideMark/>
          </w:tcPr>
          <w:p w14:paraId="7584250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698C826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E74CBE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1BED56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0.005</w:t>
            </w:r>
            <w:r w:rsidRPr="00E915AA">
              <w:rPr>
                <w:rFonts w:ascii="Times New Roman" w:eastAsia="Times New Roman" w:hAnsi="Times New Roman" w:cs="Times New Roman"/>
                <w:color w:val="000000"/>
                <w:sz w:val="12"/>
                <w:szCs w:val="12"/>
                <w:lang w:val="en-GB" w:eastAsia="en-GB"/>
              </w:rPr>
              <w:br/>
              <w:t>(0.23)</w:t>
            </w:r>
          </w:p>
        </w:tc>
        <w:tc>
          <w:tcPr>
            <w:tcW w:w="283" w:type="dxa"/>
            <w:tcBorders>
              <w:top w:val="nil"/>
              <w:left w:val="nil"/>
              <w:bottom w:val="nil"/>
              <w:right w:val="nil"/>
            </w:tcBorders>
            <w:shd w:val="clear" w:color="auto" w:fill="auto"/>
            <w:vAlign w:val="center"/>
            <w:hideMark/>
          </w:tcPr>
          <w:p w14:paraId="410E8A2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65D6754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6F5EC5D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8" w:type="dxa"/>
            <w:tcBorders>
              <w:top w:val="nil"/>
              <w:left w:val="nil"/>
              <w:bottom w:val="nil"/>
              <w:right w:val="nil"/>
            </w:tcBorders>
            <w:shd w:val="clear" w:color="auto" w:fill="auto"/>
            <w:vAlign w:val="center"/>
            <w:hideMark/>
          </w:tcPr>
          <w:p w14:paraId="21D9A6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0.016</w:t>
            </w:r>
            <w:r w:rsidRPr="00E915AA">
              <w:rPr>
                <w:rFonts w:ascii="Times New Roman" w:eastAsia="Times New Roman" w:hAnsi="Times New Roman" w:cs="Times New Roman"/>
                <w:color w:val="000000"/>
                <w:sz w:val="12"/>
                <w:szCs w:val="12"/>
                <w:lang w:val="en-GB" w:eastAsia="en-GB"/>
              </w:rPr>
              <w:br/>
              <w:t>(0.75)</w:t>
            </w:r>
          </w:p>
        </w:tc>
        <w:tc>
          <w:tcPr>
            <w:tcW w:w="251" w:type="dxa"/>
            <w:tcBorders>
              <w:top w:val="nil"/>
              <w:left w:val="nil"/>
              <w:bottom w:val="nil"/>
              <w:right w:val="nil"/>
            </w:tcBorders>
            <w:shd w:val="clear" w:color="auto" w:fill="auto"/>
            <w:vAlign w:val="center"/>
            <w:hideMark/>
          </w:tcPr>
          <w:p w14:paraId="35DAEF6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2B1FAFC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79A7C30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6" w:type="dxa"/>
            <w:tcBorders>
              <w:top w:val="nil"/>
              <w:left w:val="nil"/>
              <w:bottom w:val="nil"/>
              <w:right w:val="nil"/>
            </w:tcBorders>
            <w:shd w:val="clear" w:color="auto" w:fill="auto"/>
            <w:vAlign w:val="center"/>
            <w:hideMark/>
          </w:tcPr>
          <w:p w14:paraId="33F0E9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-0.021</w:t>
            </w:r>
            <w:r w:rsidRPr="00E915AA">
              <w:rPr>
                <w:rFonts w:ascii="Times New Roman" w:eastAsia="Times New Roman" w:hAnsi="Times New Roman" w:cs="Times New Roman"/>
                <w:color w:val="000000"/>
                <w:sz w:val="12"/>
                <w:szCs w:val="12"/>
                <w:lang w:val="en-GB" w:eastAsia="en-GB"/>
              </w:rPr>
              <w:br/>
              <w:t>(-0.54)</w:t>
            </w:r>
          </w:p>
        </w:tc>
      </w:tr>
      <w:tr w:rsidR="00F14709" w:rsidRPr="00E915AA" w14:paraId="42EE0346" w14:textId="77777777" w:rsidTr="00110FF6">
        <w:trPr>
          <w:trHeight w:val="568"/>
        </w:trPr>
        <w:tc>
          <w:tcPr>
            <w:tcW w:w="1276" w:type="dxa"/>
            <w:tcBorders>
              <w:top w:val="nil"/>
              <w:left w:val="nil"/>
              <w:bottom w:val="nil"/>
              <w:right w:val="nil"/>
            </w:tcBorders>
            <w:shd w:val="clear" w:color="auto" w:fill="auto"/>
            <w:vAlign w:val="center"/>
            <w:hideMark/>
          </w:tcPr>
          <w:p w14:paraId="2D772BE0"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ADISEXP*JOBS Act</w:t>
            </w:r>
          </w:p>
        </w:tc>
        <w:tc>
          <w:tcPr>
            <w:tcW w:w="273" w:type="dxa"/>
            <w:tcBorders>
              <w:top w:val="nil"/>
              <w:left w:val="nil"/>
              <w:bottom w:val="nil"/>
              <w:right w:val="nil"/>
            </w:tcBorders>
            <w:shd w:val="clear" w:color="auto" w:fill="auto"/>
            <w:vAlign w:val="center"/>
            <w:hideMark/>
          </w:tcPr>
          <w:p w14:paraId="4FDB04A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204EFB3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1108912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10B537A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(0.22)</w:t>
            </w:r>
          </w:p>
        </w:tc>
        <w:tc>
          <w:tcPr>
            <w:tcW w:w="264" w:type="dxa"/>
            <w:tcBorders>
              <w:top w:val="nil"/>
              <w:left w:val="nil"/>
              <w:bottom w:val="nil"/>
              <w:right w:val="nil"/>
            </w:tcBorders>
            <w:shd w:val="clear" w:color="auto" w:fill="auto"/>
            <w:vAlign w:val="center"/>
            <w:hideMark/>
          </w:tcPr>
          <w:p w14:paraId="1325854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217776D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F172C2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3707009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(-0.31)</w:t>
            </w:r>
          </w:p>
        </w:tc>
        <w:tc>
          <w:tcPr>
            <w:tcW w:w="283" w:type="dxa"/>
            <w:tcBorders>
              <w:top w:val="nil"/>
              <w:left w:val="nil"/>
              <w:bottom w:val="nil"/>
              <w:right w:val="nil"/>
            </w:tcBorders>
            <w:shd w:val="clear" w:color="auto" w:fill="auto"/>
            <w:vAlign w:val="center"/>
            <w:hideMark/>
          </w:tcPr>
          <w:p w14:paraId="22AF2C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353C9E1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189C9B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E0C913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-0.083***</w:t>
            </w:r>
            <w:r w:rsidRPr="00E915AA">
              <w:rPr>
                <w:rFonts w:ascii="Times New Roman" w:eastAsia="Times New Roman" w:hAnsi="Times New Roman" w:cs="Times New Roman"/>
                <w:color w:val="000000"/>
                <w:sz w:val="12"/>
                <w:szCs w:val="12"/>
                <w:lang w:val="en-GB" w:eastAsia="en-GB"/>
              </w:rPr>
              <w:br/>
              <w:t>(-3.78)</w:t>
            </w:r>
          </w:p>
        </w:tc>
        <w:tc>
          <w:tcPr>
            <w:tcW w:w="283" w:type="dxa"/>
            <w:tcBorders>
              <w:top w:val="nil"/>
              <w:left w:val="nil"/>
              <w:bottom w:val="nil"/>
              <w:right w:val="nil"/>
            </w:tcBorders>
            <w:shd w:val="clear" w:color="auto" w:fill="auto"/>
            <w:vAlign w:val="center"/>
            <w:hideMark/>
          </w:tcPr>
          <w:p w14:paraId="532C41C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63E5263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68F9116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8" w:type="dxa"/>
            <w:tcBorders>
              <w:top w:val="nil"/>
              <w:left w:val="nil"/>
              <w:bottom w:val="nil"/>
              <w:right w:val="nil"/>
            </w:tcBorders>
            <w:shd w:val="clear" w:color="auto" w:fill="auto"/>
            <w:vAlign w:val="center"/>
            <w:hideMark/>
          </w:tcPr>
          <w:p w14:paraId="361CB5E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-0.14*</w:t>
            </w:r>
            <w:r w:rsidRPr="00E915AA">
              <w:rPr>
                <w:rFonts w:ascii="Times New Roman" w:eastAsia="Times New Roman" w:hAnsi="Times New Roman" w:cs="Times New Roman"/>
                <w:color w:val="000000"/>
                <w:sz w:val="12"/>
                <w:szCs w:val="12"/>
                <w:lang w:val="en-GB" w:eastAsia="en-GB"/>
              </w:rPr>
              <w:br/>
              <w:t>(-1.92)</w:t>
            </w:r>
          </w:p>
        </w:tc>
        <w:tc>
          <w:tcPr>
            <w:tcW w:w="251" w:type="dxa"/>
            <w:tcBorders>
              <w:top w:val="nil"/>
              <w:left w:val="nil"/>
              <w:bottom w:val="nil"/>
              <w:right w:val="nil"/>
            </w:tcBorders>
            <w:shd w:val="clear" w:color="auto" w:fill="auto"/>
            <w:vAlign w:val="center"/>
            <w:hideMark/>
          </w:tcPr>
          <w:p w14:paraId="067BBF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5473535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6751E26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6" w:type="dxa"/>
            <w:tcBorders>
              <w:top w:val="nil"/>
              <w:left w:val="nil"/>
              <w:bottom w:val="nil"/>
              <w:right w:val="nil"/>
            </w:tcBorders>
            <w:shd w:val="clear" w:color="auto" w:fill="auto"/>
            <w:vAlign w:val="center"/>
            <w:hideMark/>
          </w:tcPr>
          <w:p w14:paraId="4B66D45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-0.121***</w:t>
            </w:r>
            <w:r w:rsidRPr="00E915AA">
              <w:rPr>
                <w:rFonts w:ascii="Times New Roman" w:eastAsia="Times New Roman" w:hAnsi="Times New Roman" w:cs="Times New Roman"/>
                <w:color w:val="000000"/>
                <w:sz w:val="12"/>
                <w:szCs w:val="12"/>
                <w:lang w:val="en-GB" w:eastAsia="en-GB"/>
              </w:rPr>
              <w:br/>
              <w:t>(-5.73)</w:t>
            </w:r>
          </w:p>
        </w:tc>
      </w:tr>
      <w:tr w:rsidR="00F14709" w:rsidRPr="00E915AA" w14:paraId="1D8F474E" w14:textId="77777777" w:rsidTr="00110FF6">
        <w:trPr>
          <w:trHeight w:val="434"/>
        </w:trPr>
        <w:tc>
          <w:tcPr>
            <w:tcW w:w="1276" w:type="dxa"/>
            <w:tcBorders>
              <w:top w:val="nil"/>
              <w:left w:val="nil"/>
              <w:bottom w:val="nil"/>
              <w:right w:val="nil"/>
            </w:tcBorders>
            <w:shd w:val="clear" w:color="auto" w:fill="auto"/>
            <w:vAlign w:val="center"/>
            <w:hideMark/>
          </w:tcPr>
          <w:p w14:paraId="40006833" w14:textId="64904EA0"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Size</w:t>
            </w:r>
          </w:p>
        </w:tc>
        <w:tc>
          <w:tcPr>
            <w:tcW w:w="273" w:type="dxa"/>
            <w:tcBorders>
              <w:top w:val="nil"/>
              <w:left w:val="nil"/>
              <w:bottom w:val="nil"/>
              <w:right w:val="nil"/>
            </w:tcBorders>
            <w:shd w:val="clear" w:color="auto" w:fill="auto"/>
            <w:vAlign w:val="center"/>
            <w:hideMark/>
          </w:tcPr>
          <w:p w14:paraId="6AAA493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21C790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-0.024</w:t>
            </w:r>
            <w:r w:rsidRPr="00E915AA">
              <w:rPr>
                <w:rFonts w:ascii="Times New Roman" w:eastAsia="Times New Roman" w:hAnsi="Times New Roman" w:cs="Times New Roman"/>
                <w:color w:val="000000"/>
                <w:sz w:val="12"/>
                <w:szCs w:val="12"/>
                <w:lang w:val="en-GB" w:eastAsia="en-GB"/>
              </w:rPr>
              <w:br/>
              <w:t>(-0.72)</w:t>
            </w:r>
          </w:p>
        </w:tc>
        <w:tc>
          <w:tcPr>
            <w:tcW w:w="708" w:type="dxa"/>
            <w:tcBorders>
              <w:top w:val="nil"/>
              <w:left w:val="nil"/>
              <w:bottom w:val="nil"/>
              <w:right w:val="nil"/>
            </w:tcBorders>
            <w:shd w:val="clear" w:color="auto" w:fill="auto"/>
            <w:vAlign w:val="center"/>
            <w:hideMark/>
          </w:tcPr>
          <w:p w14:paraId="000EEA8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-0.027</w:t>
            </w:r>
            <w:r w:rsidRPr="00E915AA">
              <w:rPr>
                <w:rFonts w:ascii="Times New Roman" w:eastAsia="Times New Roman" w:hAnsi="Times New Roman" w:cs="Times New Roman"/>
                <w:color w:val="000000"/>
                <w:sz w:val="12"/>
                <w:szCs w:val="12"/>
                <w:lang w:val="en-GB" w:eastAsia="en-GB"/>
              </w:rPr>
              <w:br/>
              <w:t>(-0.83)</w:t>
            </w:r>
          </w:p>
        </w:tc>
        <w:tc>
          <w:tcPr>
            <w:tcW w:w="709" w:type="dxa"/>
            <w:tcBorders>
              <w:top w:val="nil"/>
              <w:left w:val="nil"/>
              <w:bottom w:val="nil"/>
              <w:right w:val="nil"/>
            </w:tcBorders>
            <w:shd w:val="clear" w:color="auto" w:fill="auto"/>
            <w:vAlign w:val="center"/>
            <w:hideMark/>
          </w:tcPr>
          <w:p w14:paraId="5747F32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-0.023</w:t>
            </w:r>
            <w:r w:rsidRPr="00E915AA">
              <w:rPr>
                <w:rFonts w:ascii="Times New Roman" w:eastAsia="Times New Roman" w:hAnsi="Times New Roman" w:cs="Times New Roman"/>
                <w:color w:val="000000"/>
                <w:sz w:val="12"/>
                <w:szCs w:val="12"/>
                <w:lang w:val="en-GB" w:eastAsia="en-GB"/>
              </w:rPr>
              <w:br/>
              <w:t>(-0.79)</w:t>
            </w:r>
          </w:p>
        </w:tc>
        <w:tc>
          <w:tcPr>
            <w:tcW w:w="264" w:type="dxa"/>
            <w:tcBorders>
              <w:top w:val="nil"/>
              <w:left w:val="nil"/>
              <w:bottom w:val="nil"/>
              <w:right w:val="nil"/>
            </w:tcBorders>
            <w:shd w:val="clear" w:color="auto" w:fill="auto"/>
            <w:vAlign w:val="center"/>
            <w:hideMark/>
          </w:tcPr>
          <w:p w14:paraId="7E478B7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19BE1E1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-0.017</w:t>
            </w:r>
            <w:r w:rsidRPr="00E915AA">
              <w:rPr>
                <w:rFonts w:ascii="Times New Roman" w:eastAsia="Times New Roman" w:hAnsi="Times New Roman" w:cs="Times New Roman"/>
                <w:color w:val="000000"/>
                <w:sz w:val="12"/>
                <w:szCs w:val="12"/>
                <w:lang w:val="en-GB" w:eastAsia="en-GB"/>
              </w:rPr>
              <w:br/>
              <w:t>(-0.43)</w:t>
            </w:r>
          </w:p>
        </w:tc>
        <w:tc>
          <w:tcPr>
            <w:tcW w:w="709" w:type="dxa"/>
            <w:tcBorders>
              <w:top w:val="nil"/>
              <w:left w:val="nil"/>
              <w:bottom w:val="nil"/>
              <w:right w:val="nil"/>
            </w:tcBorders>
            <w:shd w:val="clear" w:color="auto" w:fill="auto"/>
            <w:vAlign w:val="center"/>
            <w:hideMark/>
          </w:tcPr>
          <w:p w14:paraId="2D95F5E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-0.021</w:t>
            </w:r>
            <w:r w:rsidRPr="00E915AA">
              <w:rPr>
                <w:rFonts w:ascii="Times New Roman" w:eastAsia="Times New Roman" w:hAnsi="Times New Roman" w:cs="Times New Roman"/>
                <w:color w:val="000000"/>
                <w:sz w:val="12"/>
                <w:szCs w:val="12"/>
                <w:lang w:val="en-GB" w:eastAsia="en-GB"/>
              </w:rPr>
              <w:br/>
              <w:t>(-0.46)</w:t>
            </w:r>
          </w:p>
        </w:tc>
        <w:tc>
          <w:tcPr>
            <w:tcW w:w="709" w:type="dxa"/>
            <w:tcBorders>
              <w:top w:val="nil"/>
              <w:left w:val="nil"/>
              <w:bottom w:val="nil"/>
              <w:right w:val="nil"/>
            </w:tcBorders>
            <w:shd w:val="clear" w:color="auto" w:fill="auto"/>
            <w:vAlign w:val="center"/>
            <w:hideMark/>
          </w:tcPr>
          <w:p w14:paraId="6D07A80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-0.019</w:t>
            </w:r>
            <w:r w:rsidRPr="00E915AA">
              <w:rPr>
                <w:rFonts w:ascii="Times New Roman" w:eastAsia="Times New Roman" w:hAnsi="Times New Roman" w:cs="Times New Roman"/>
                <w:color w:val="000000"/>
                <w:sz w:val="12"/>
                <w:szCs w:val="12"/>
                <w:lang w:val="en-GB" w:eastAsia="en-GB"/>
              </w:rPr>
              <w:br/>
              <w:t>(-0.41)</w:t>
            </w:r>
          </w:p>
        </w:tc>
        <w:tc>
          <w:tcPr>
            <w:tcW w:w="283" w:type="dxa"/>
            <w:tcBorders>
              <w:top w:val="nil"/>
              <w:left w:val="nil"/>
              <w:bottom w:val="nil"/>
              <w:right w:val="nil"/>
            </w:tcBorders>
            <w:shd w:val="clear" w:color="auto" w:fill="auto"/>
            <w:vAlign w:val="center"/>
            <w:hideMark/>
          </w:tcPr>
          <w:p w14:paraId="59C64A8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726984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0.017</w:t>
            </w:r>
            <w:r w:rsidRPr="00E915AA">
              <w:rPr>
                <w:rFonts w:ascii="Times New Roman" w:eastAsia="Times New Roman" w:hAnsi="Times New Roman" w:cs="Times New Roman"/>
                <w:color w:val="000000"/>
                <w:sz w:val="12"/>
                <w:szCs w:val="12"/>
                <w:lang w:val="en-GB" w:eastAsia="en-GB"/>
              </w:rPr>
              <w:br/>
              <w:t>(0.77)</w:t>
            </w:r>
          </w:p>
        </w:tc>
        <w:tc>
          <w:tcPr>
            <w:tcW w:w="709" w:type="dxa"/>
            <w:tcBorders>
              <w:top w:val="nil"/>
              <w:left w:val="nil"/>
              <w:bottom w:val="nil"/>
              <w:right w:val="nil"/>
            </w:tcBorders>
            <w:shd w:val="clear" w:color="auto" w:fill="auto"/>
            <w:vAlign w:val="center"/>
            <w:hideMark/>
          </w:tcPr>
          <w:p w14:paraId="0EACB7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0.009</w:t>
            </w:r>
            <w:r w:rsidRPr="00E915AA">
              <w:rPr>
                <w:rFonts w:ascii="Times New Roman" w:eastAsia="Times New Roman" w:hAnsi="Times New Roman" w:cs="Times New Roman"/>
                <w:color w:val="000000"/>
                <w:sz w:val="12"/>
                <w:szCs w:val="12"/>
                <w:lang w:val="en-GB" w:eastAsia="en-GB"/>
              </w:rPr>
              <w:br/>
              <w:t>(0.37)</w:t>
            </w:r>
          </w:p>
        </w:tc>
        <w:tc>
          <w:tcPr>
            <w:tcW w:w="709" w:type="dxa"/>
            <w:tcBorders>
              <w:top w:val="nil"/>
              <w:left w:val="nil"/>
              <w:bottom w:val="nil"/>
              <w:right w:val="nil"/>
            </w:tcBorders>
            <w:shd w:val="clear" w:color="auto" w:fill="auto"/>
            <w:vAlign w:val="center"/>
            <w:hideMark/>
          </w:tcPr>
          <w:p w14:paraId="12FD36D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0.008</w:t>
            </w:r>
            <w:r w:rsidRPr="00E915AA">
              <w:rPr>
                <w:rFonts w:ascii="Times New Roman" w:eastAsia="Times New Roman" w:hAnsi="Times New Roman" w:cs="Times New Roman"/>
                <w:color w:val="000000"/>
                <w:sz w:val="12"/>
                <w:szCs w:val="12"/>
                <w:lang w:val="en-GB" w:eastAsia="en-GB"/>
              </w:rPr>
              <w:br/>
              <w:t>(0.24)</w:t>
            </w:r>
          </w:p>
        </w:tc>
        <w:tc>
          <w:tcPr>
            <w:tcW w:w="283" w:type="dxa"/>
            <w:tcBorders>
              <w:top w:val="nil"/>
              <w:left w:val="nil"/>
              <w:bottom w:val="nil"/>
              <w:right w:val="nil"/>
            </w:tcBorders>
            <w:shd w:val="clear" w:color="auto" w:fill="auto"/>
            <w:vAlign w:val="center"/>
            <w:hideMark/>
          </w:tcPr>
          <w:p w14:paraId="172C72C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1F3BEC0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0.067*</w:t>
            </w:r>
            <w:r w:rsidRPr="00E915AA">
              <w:rPr>
                <w:rFonts w:ascii="Times New Roman" w:eastAsia="Times New Roman" w:hAnsi="Times New Roman" w:cs="Times New Roman"/>
                <w:color w:val="000000"/>
                <w:sz w:val="12"/>
                <w:szCs w:val="12"/>
                <w:lang w:val="en-GB" w:eastAsia="en-GB"/>
              </w:rPr>
              <w:br/>
              <w:t>(1.75)</w:t>
            </w:r>
          </w:p>
        </w:tc>
        <w:tc>
          <w:tcPr>
            <w:tcW w:w="701" w:type="dxa"/>
            <w:gridSpan w:val="2"/>
            <w:tcBorders>
              <w:top w:val="nil"/>
              <w:left w:val="nil"/>
              <w:bottom w:val="nil"/>
              <w:right w:val="nil"/>
            </w:tcBorders>
            <w:shd w:val="clear" w:color="auto" w:fill="auto"/>
            <w:vAlign w:val="center"/>
            <w:hideMark/>
          </w:tcPr>
          <w:p w14:paraId="58DA70B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w:t>
            </w:r>
            <w:r w:rsidRPr="00E915AA">
              <w:rPr>
                <w:rFonts w:ascii="Times New Roman" w:eastAsia="Times New Roman" w:hAnsi="Times New Roman" w:cs="Times New Roman"/>
                <w:color w:val="000000"/>
                <w:sz w:val="12"/>
                <w:szCs w:val="12"/>
                <w:lang w:val="en-GB" w:eastAsia="en-GB"/>
              </w:rPr>
              <w:br/>
              <w:t>(1.64)</w:t>
            </w:r>
          </w:p>
        </w:tc>
        <w:tc>
          <w:tcPr>
            <w:tcW w:w="738" w:type="dxa"/>
            <w:tcBorders>
              <w:top w:val="nil"/>
              <w:left w:val="nil"/>
              <w:bottom w:val="nil"/>
              <w:right w:val="nil"/>
            </w:tcBorders>
            <w:shd w:val="clear" w:color="auto" w:fill="auto"/>
            <w:vAlign w:val="center"/>
            <w:hideMark/>
          </w:tcPr>
          <w:p w14:paraId="4F22910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0.032</w:t>
            </w:r>
            <w:r w:rsidRPr="00E915AA">
              <w:rPr>
                <w:rFonts w:ascii="Times New Roman" w:eastAsia="Times New Roman" w:hAnsi="Times New Roman" w:cs="Times New Roman"/>
                <w:color w:val="000000"/>
                <w:sz w:val="12"/>
                <w:szCs w:val="12"/>
                <w:lang w:val="en-GB" w:eastAsia="en-GB"/>
              </w:rPr>
              <w:br/>
              <w:t>(0.67)</w:t>
            </w:r>
          </w:p>
        </w:tc>
        <w:tc>
          <w:tcPr>
            <w:tcW w:w="251" w:type="dxa"/>
            <w:tcBorders>
              <w:top w:val="nil"/>
              <w:left w:val="nil"/>
              <w:bottom w:val="nil"/>
              <w:right w:val="nil"/>
            </w:tcBorders>
            <w:shd w:val="clear" w:color="auto" w:fill="auto"/>
            <w:vAlign w:val="center"/>
            <w:hideMark/>
          </w:tcPr>
          <w:p w14:paraId="7C22284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4571411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0.093*</w:t>
            </w:r>
            <w:r w:rsidRPr="00E915AA">
              <w:rPr>
                <w:rFonts w:ascii="Times New Roman" w:eastAsia="Times New Roman" w:hAnsi="Times New Roman" w:cs="Times New Roman"/>
                <w:color w:val="000000"/>
                <w:sz w:val="12"/>
                <w:szCs w:val="12"/>
                <w:lang w:val="en-GB" w:eastAsia="en-GB"/>
              </w:rPr>
              <w:br/>
              <w:t>(1.78)</w:t>
            </w:r>
          </w:p>
        </w:tc>
        <w:tc>
          <w:tcPr>
            <w:tcW w:w="731" w:type="dxa"/>
            <w:tcBorders>
              <w:top w:val="nil"/>
              <w:left w:val="nil"/>
              <w:bottom w:val="nil"/>
              <w:right w:val="nil"/>
            </w:tcBorders>
            <w:shd w:val="clear" w:color="auto" w:fill="auto"/>
            <w:vAlign w:val="center"/>
            <w:hideMark/>
          </w:tcPr>
          <w:p w14:paraId="24DA892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0.071</w:t>
            </w:r>
            <w:r w:rsidRPr="00E915AA">
              <w:rPr>
                <w:rFonts w:ascii="Times New Roman" w:eastAsia="Times New Roman" w:hAnsi="Times New Roman" w:cs="Times New Roman"/>
                <w:color w:val="000000"/>
                <w:sz w:val="12"/>
                <w:szCs w:val="12"/>
                <w:lang w:val="en-GB" w:eastAsia="en-GB"/>
              </w:rPr>
              <w:br/>
              <w:t>(1.27)</w:t>
            </w:r>
          </w:p>
        </w:tc>
        <w:tc>
          <w:tcPr>
            <w:tcW w:w="726" w:type="dxa"/>
            <w:tcBorders>
              <w:top w:val="nil"/>
              <w:left w:val="nil"/>
              <w:bottom w:val="nil"/>
              <w:right w:val="nil"/>
            </w:tcBorders>
            <w:shd w:val="clear" w:color="auto" w:fill="auto"/>
            <w:vAlign w:val="center"/>
            <w:hideMark/>
          </w:tcPr>
          <w:p w14:paraId="6ECBDAA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0.066</w:t>
            </w:r>
            <w:r w:rsidRPr="00E915AA">
              <w:rPr>
                <w:rFonts w:ascii="Times New Roman" w:eastAsia="Times New Roman" w:hAnsi="Times New Roman" w:cs="Times New Roman"/>
                <w:color w:val="000000"/>
                <w:sz w:val="12"/>
                <w:szCs w:val="12"/>
                <w:lang w:val="en-GB" w:eastAsia="en-GB"/>
              </w:rPr>
              <w:br/>
              <w:t>(1.06)</w:t>
            </w:r>
          </w:p>
        </w:tc>
      </w:tr>
      <w:tr w:rsidR="00F14709" w:rsidRPr="00E915AA" w14:paraId="4BBDB794" w14:textId="77777777" w:rsidTr="00110FF6">
        <w:trPr>
          <w:trHeight w:val="271"/>
        </w:trPr>
        <w:tc>
          <w:tcPr>
            <w:tcW w:w="1276" w:type="dxa"/>
            <w:tcBorders>
              <w:top w:val="nil"/>
              <w:left w:val="nil"/>
              <w:bottom w:val="nil"/>
              <w:right w:val="nil"/>
            </w:tcBorders>
            <w:shd w:val="clear" w:color="auto" w:fill="auto"/>
            <w:vAlign w:val="center"/>
            <w:hideMark/>
          </w:tcPr>
          <w:p w14:paraId="1CAF35B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Leverage</w:t>
            </w:r>
          </w:p>
        </w:tc>
        <w:tc>
          <w:tcPr>
            <w:tcW w:w="273" w:type="dxa"/>
            <w:tcBorders>
              <w:top w:val="nil"/>
              <w:left w:val="nil"/>
              <w:bottom w:val="nil"/>
              <w:right w:val="nil"/>
            </w:tcBorders>
            <w:shd w:val="clear" w:color="auto" w:fill="auto"/>
            <w:vAlign w:val="center"/>
            <w:hideMark/>
          </w:tcPr>
          <w:p w14:paraId="08AC275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4F6DEC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(-0.01)</w:t>
            </w:r>
          </w:p>
        </w:tc>
        <w:tc>
          <w:tcPr>
            <w:tcW w:w="708" w:type="dxa"/>
            <w:tcBorders>
              <w:top w:val="nil"/>
              <w:left w:val="nil"/>
              <w:bottom w:val="nil"/>
              <w:right w:val="nil"/>
            </w:tcBorders>
            <w:shd w:val="clear" w:color="auto" w:fill="auto"/>
            <w:vAlign w:val="center"/>
            <w:hideMark/>
          </w:tcPr>
          <w:p w14:paraId="4708785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(0.07)</w:t>
            </w:r>
          </w:p>
        </w:tc>
        <w:tc>
          <w:tcPr>
            <w:tcW w:w="709" w:type="dxa"/>
            <w:tcBorders>
              <w:top w:val="nil"/>
              <w:left w:val="nil"/>
              <w:bottom w:val="nil"/>
              <w:right w:val="nil"/>
            </w:tcBorders>
            <w:shd w:val="clear" w:color="auto" w:fill="auto"/>
            <w:vAlign w:val="center"/>
            <w:hideMark/>
          </w:tcPr>
          <w:p w14:paraId="2AFC9C7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(-0.97)</w:t>
            </w:r>
          </w:p>
        </w:tc>
        <w:tc>
          <w:tcPr>
            <w:tcW w:w="264" w:type="dxa"/>
            <w:tcBorders>
              <w:top w:val="nil"/>
              <w:left w:val="nil"/>
              <w:bottom w:val="nil"/>
              <w:right w:val="nil"/>
            </w:tcBorders>
            <w:shd w:val="clear" w:color="auto" w:fill="auto"/>
            <w:vAlign w:val="center"/>
            <w:hideMark/>
          </w:tcPr>
          <w:p w14:paraId="380B16F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1C7CA8C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(1.15)</w:t>
            </w:r>
          </w:p>
        </w:tc>
        <w:tc>
          <w:tcPr>
            <w:tcW w:w="709" w:type="dxa"/>
            <w:tcBorders>
              <w:top w:val="nil"/>
              <w:left w:val="nil"/>
              <w:bottom w:val="nil"/>
              <w:right w:val="nil"/>
            </w:tcBorders>
            <w:shd w:val="clear" w:color="auto" w:fill="auto"/>
            <w:vAlign w:val="center"/>
            <w:hideMark/>
          </w:tcPr>
          <w:p w14:paraId="7563596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(1.05)</w:t>
            </w:r>
          </w:p>
        </w:tc>
        <w:tc>
          <w:tcPr>
            <w:tcW w:w="709" w:type="dxa"/>
            <w:tcBorders>
              <w:top w:val="nil"/>
              <w:left w:val="nil"/>
              <w:bottom w:val="nil"/>
              <w:right w:val="nil"/>
            </w:tcBorders>
            <w:shd w:val="clear" w:color="auto" w:fill="auto"/>
            <w:vAlign w:val="center"/>
            <w:hideMark/>
          </w:tcPr>
          <w:p w14:paraId="7F694A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(0.82)</w:t>
            </w:r>
          </w:p>
        </w:tc>
        <w:tc>
          <w:tcPr>
            <w:tcW w:w="283" w:type="dxa"/>
            <w:tcBorders>
              <w:top w:val="nil"/>
              <w:left w:val="nil"/>
              <w:bottom w:val="nil"/>
              <w:right w:val="nil"/>
            </w:tcBorders>
            <w:shd w:val="clear" w:color="auto" w:fill="auto"/>
            <w:vAlign w:val="center"/>
            <w:hideMark/>
          </w:tcPr>
          <w:p w14:paraId="05612C0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7BE3CA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(0.13)</w:t>
            </w:r>
          </w:p>
        </w:tc>
        <w:tc>
          <w:tcPr>
            <w:tcW w:w="709" w:type="dxa"/>
            <w:tcBorders>
              <w:top w:val="nil"/>
              <w:left w:val="nil"/>
              <w:bottom w:val="nil"/>
              <w:right w:val="nil"/>
            </w:tcBorders>
            <w:shd w:val="clear" w:color="auto" w:fill="auto"/>
            <w:vAlign w:val="center"/>
            <w:hideMark/>
          </w:tcPr>
          <w:p w14:paraId="6CE28A5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(0.42)</w:t>
            </w:r>
          </w:p>
        </w:tc>
        <w:tc>
          <w:tcPr>
            <w:tcW w:w="709" w:type="dxa"/>
            <w:tcBorders>
              <w:top w:val="nil"/>
              <w:left w:val="nil"/>
              <w:bottom w:val="nil"/>
              <w:right w:val="nil"/>
            </w:tcBorders>
            <w:shd w:val="clear" w:color="auto" w:fill="auto"/>
            <w:vAlign w:val="center"/>
            <w:hideMark/>
          </w:tcPr>
          <w:p w14:paraId="49E2EB0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(0.23)</w:t>
            </w:r>
          </w:p>
        </w:tc>
        <w:tc>
          <w:tcPr>
            <w:tcW w:w="283" w:type="dxa"/>
            <w:tcBorders>
              <w:top w:val="nil"/>
              <w:left w:val="nil"/>
              <w:bottom w:val="nil"/>
              <w:right w:val="nil"/>
            </w:tcBorders>
            <w:shd w:val="clear" w:color="auto" w:fill="auto"/>
            <w:vAlign w:val="center"/>
            <w:hideMark/>
          </w:tcPr>
          <w:p w14:paraId="215F2BE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5B243E3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(-0.4)</w:t>
            </w:r>
          </w:p>
        </w:tc>
        <w:tc>
          <w:tcPr>
            <w:tcW w:w="701" w:type="dxa"/>
            <w:gridSpan w:val="2"/>
            <w:tcBorders>
              <w:top w:val="nil"/>
              <w:left w:val="nil"/>
              <w:bottom w:val="nil"/>
              <w:right w:val="nil"/>
            </w:tcBorders>
            <w:shd w:val="clear" w:color="auto" w:fill="auto"/>
            <w:vAlign w:val="center"/>
            <w:hideMark/>
          </w:tcPr>
          <w:p w14:paraId="1874BDF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(-0.19)</w:t>
            </w:r>
          </w:p>
        </w:tc>
        <w:tc>
          <w:tcPr>
            <w:tcW w:w="738" w:type="dxa"/>
            <w:tcBorders>
              <w:top w:val="nil"/>
              <w:left w:val="nil"/>
              <w:bottom w:val="nil"/>
              <w:right w:val="nil"/>
            </w:tcBorders>
            <w:shd w:val="clear" w:color="auto" w:fill="auto"/>
            <w:vAlign w:val="center"/>
            <w:hideMark/>
          </w:tcPr>
          <w:p w14:paraId="51A9A19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(0.24)</w:t>
            </w:r>
          </w:p>
        </w:tc>
        <w:tc>
          <w:tcPr>
            <w:tcW w:w="251" w:type="dxa"/>
            <w:tcBorders>
              <w:top w:val="nil"/>
              <w:left w:val="nil"/>
              <w:bottom w:val="nil"/>
              <w:right w:val="nil"/>
            </w:tcBorders>
            <w:shd w:val="clear" w:color="auto" w:fill="auto"/>
            <w:vAlign w:val="center"/>
            <w:hideMark/>
          </w:tcPr>
          <w:p w14:paraId="73A8583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C4E4C8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(-0.45)</w:t>
            </w:r>
          </w:p>
        </w:tc>
        <w:tc>
          <w:tcPr>
            <w:tcW w:w="731" w:type="dxa"/>
            <w:tcBorders>
              <w:top w:val="nil"/>
              <w:left w:val="nil"/>
              <w:bottom w:val="nil"/>
              <w:right w:val="nil"/>
            </w:tcBorders>
            <w:shd w:val="clear" w:color="auto" w:fill="auto"/>
            <w:vAlign w:val="center"/>
            <w:hideMark/>
          </w:tcPr>
          <w:p w14:paraId="02DB3A7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(-0.25)</w:t>
            </w:r>
          </w:p>
        </w:tc>
        <w:tc>
          <w:tcPr>
            <w:tcW w:w="726" w:type="dxa"/>
            <w:tcBorders>
              <w:top w:val="nil"/>
              <w:left w:val="nil"/>
              <w:bottom w:val="nil"/>
              <w:right w:val="nil"/>
            </w:tcBorders>
            <w:shd w:val="clear" w:color="auto" w:fill="auto"/>
            <w:vAlign w:val="center"/>
            <w:hideMark/>
          </w:tcPr>
          <w:p w14:paraId="2F5E325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(-0.3)</w:t>
            </w:r>
          </w:p>
        </w:tc>
      </w:tr>
      <w:tr w:rsidR="00F14709" w:rsidRPr="00E915AA" w14:paraId="054DD8B8" w14:textId="77777777" w:rsidTr="00110FF6">
        <w:trPr>
          <w:trHeight w:val="431"/>
        </w:trPr>
        <w:tc>
          <w:tcPr>
            <w:tcW w:w="1276" w:type="dxa"/>
            <w:tcBorders>
              <w:top w:val="nil"/>
              <w:left w:val="nil"/>
              <w:bottom w:val="nil"/>
              <w:right w:val="nil"/>
            </w:tcBorders>
            <w:shd w:val="clear" w:color="auto" w:fill="auto"/>
            <w:vAlign w:val="center"/>
            <w:hideMark/>
          </w:tcPr>
          <w:p w14:paraId="48388B4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Firm age</w:t>
            </w:r>
          </w:p>
        </w:tc>
        <w:tc>
          <w:tcPr>
            <w:tcW w:w="273" w:type="dxa"/>
            <w:tcBorders>
              <w:top w:val="nil"/>
              <w:left w:val="nil"/>
              <w:bottom w:val="nil"/>
              <w:right w:val="nil"/>
            </w:tcBorders>
            <w:shd w:val="clear" w:color="auto" w:fill="auto"/>
            <w:vAlign w:val="center"/>
            <w:hideMark/>
          </w:tcPr>
          <w:p w14:paraId="3C44B6F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332C82E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(3.44)</w:t>
            </w:r>
          </w:p>
        </w:tc>
        <w:tc>
          <w:tcPr>
            <w:tcW w:w="708" w:type="dxa"/>
            <w:tcBorders>
              <w:top w:val="nil"/>
              <w:left w:val="nil"/>
              <w:bottom w:val="nil"/>
              <w:right w:val="nil"/>
            </w:tcBorders>
            <w:shd w:val="clear" w:color="auto" w:fill="auto"/>
            <w:vAlign w:val="center"/>
            <w:hideMark/>
          </w:tcPr>
          <w:p w14:paraId="4DA6382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(3.44)</w:t>
            </w:r>
          </w:p>
        </w:tc>
        <w:tc>
          <w:tcPr>
            <w:tcW w:w="709" w:type="dxa"/>
            <w:tcBorders>
              <w:top w:val="nil"/>
              <w:left w:val="nil"/>
              <w:bottom w:val="nil"/>
              <w:right w:val="nil"/>
            </w:tcBorders>
            <w:shd w:val="clear" w:color="auto" w:fill="auto"/>
            <w:vAlign w:val="center"/>
            <w:hideMark/>
          </w:tcPr>
          <w:p w14:paraId="7CC4E30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(3.16)</w:t>
            </w:r>
          </w:p>
        </w:tc>
        <w:tc>
          <w:tcPr>
            <w:tcW w:w="264" w:type="dxa"/>
            <w:tcBorders>
              <w:top w:val="nil"/>
              <w:left w:val="nil"/>
              <w:bottom w:val="nil"/>
              <w:right w:val="nil"/>
            </w:tcBorders>
            <w:shd w:val="clear" w:color="auto" w:fill="auto"/>
            <w:vAlign w:val="center"/>
            <w:hideMark/>
          </w:tcPr>
          <w:p w14:paraId="284703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4763CB7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0.014**</w:t>
            </w:r>
            <w:r w:rsidRPr="00E915AA">
              <w:rPr>
                <w:rFonts w:ascii="Times New Roman" w:eastAsia="Times New Roman" w:hAnsi="Times New Roman" w:cs="Times New Roman"/>
                <w:color w:val="000000"/>
                <w:sz w:val="12"/>
                <w:szCs w:val="12"/>
                <w:lang w:val="en-GB" w:eastAsia="en-GB"/>
              </w:rPr>
              <w:br/>
              <w:t>(2.3)</w:t>
            </w:r>
          </w:p>
        </w:tc>
        <w:tc>
          <w:tcPr>
            <w:tcW w:w="709" w:type="dxa"/>
            <w:tcBorders>
              <w:top w:val="nil"/>
              <w:left w:val="nil"/>
              <w:bottom w:val="nil"/>
              <w:right w:val="nil"/>
            </w:tcBorders>
            <w:shd w:val="clear" w:color="auto" w:fill="auto"/>
            <w:vAlign w:val="center"/>
            <w:hideMark/>
          </w:tcPr>
          <w:p w14:paraId="5A80D3F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0.015**</w:t>
            </w:r>
            <w:r w:rsidRPr="00E915AA">
              <w:rPr>
                <w:rFonts w:ascii="Times New Roman" w:eastAsia="Times New Roman" w:hAnsi="Times New Roman" w:cs="Times New Roman"/>
                <w:color w:val="000000"/>
                <w:sz w:val="12"/>
                <w:szCs w:val="12"/>
                <w:lang w:val="en-GB" w:eastAsia="en-GB"/>
              </w:rPr>
              <w:br/>
              <w:t>(2.35)</w:t>
            </w:r>
          </w:p>
        </w:tc>
        <w:tc>
          <w:tcPr>
            <w:tcW w:w="709" w:type="dxa"/>
            <w:tcBorders>
              <w:top w:val="nil"/>
              <w:left w:val="nil"/>
              <w:bottom w:val="nil"/>
              <w:right w:val="nil"/>
            </w:tcBorders>
            <w:shd w:val="clear" w:color="auto" w:fill="auto"/>
            <w:vAlign w:val="center"/>
            <w:hideMark/>
          </w:tcPr>
          <w:p w14:paraId="1B4FA4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0.015**</w:t>
            </w:r>
            <w:r w:rsidRPr="00E915AA">
              <w:rPr>
                <w:rFonts w:ascii="Times New Roman" w:eastAsia="Times New Roman" w:hAnsi="Times New Roman" w:cs="Times New Roman"/>
                <w:color w:val="000000"/>
                <w:sz w:val="12"/>
                <w:szCs w:val="12"/>
                <w:lang w:val="en-GB" w:eastAsia="en-GB"/>
              </w:rPr>
              <w:br/>
              <w:t>(2.38)</w:t>
            </w:r>
          </w:p>
        </w:tc>
        <w:tc>
          <w:tcPr>
            <w:tcW w:w="283" w:type="dxa"/>
            <w:tcBorders>
              <w:top w:val="nil"/>
              <w:left w:val="nil"/>
              <w:bottom w:val="nil"/>
              <w:right w:val="nil"/>
            </w:tcBorders>
            <w:shd w:val="clear" w:color="auto" w:fill="auto"/>
            <w:vAlign w:val="center"/>
            <w:hideMark/>
          </w:tcPr>
          <w:p w14:paraId="595C69E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495800D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0.005*</w:t>
            </w:r>
            <w:r w:rsidRPr="00E915AA">
              <w:rPr>
                <w:rFonts w:ascii="Times New Roman" w:eastAsia="Times New Roman" w:hAnsi="Times New Roman" w:cs="Times New Roman"/>
                <w:color w:val="000000"/>
                <w:sz w:val="12"/>
                <w:szCs w:val="12"/>
                <w:lang w:val="en-GB" w:eastAsia="en-GB"/>
              </w:rPr>
              <w:br/>
              <w:t>(1.65)</w:t>
            </w:r>
          </w:p>
        </w:tc>
        <w:tc>
          <w:tcPr>
            <w:tcW w:w="709" w:type="dxa"/>
            <w:tcBorders>
              <w:top w:val="nil"/>
              <w:left w:val="nil"/>
              <w:bottom w:val="nil"/>
              <w:right w:val="nil"/>
            </w:tcBorders>
            <w:shd w:val="clear" w:color="auto" w:fill="auto"/>
            <w:vAlign w:val="center"/>
            <w:hideMark/>
          </w:tcPr>
          <w:p w14:paraId="5025E35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0.005</w:t>
            </w:r>
            <w:r w:rsidRPr="00E915AA">
              <w:rPr>
                <w:rFonts w:ascii="Times New Roman" w:eastAsia="Times New Roman" w:hAnsi="Times New Roman" w:cs="Times New Roman"/>
                <w:color w:val="000000"/>
                <w:sz w:val="12"/>
                <w:szCs w:val="12"/>
                <w:lang w:val="en-GB" w:eastAsia="en-GB"/>
              </w:rPr>
              <w:br/>
              <w:t>(1.44)</w:t>
            </w:r>
          </w:p>
        </w:tc>
        <w:tc>
          <w:tcPr>
            <w:tcW w:w="709" w:type="dxa"/>
            <w:tcBorders>
              <w:top w:val="nil"/>
              <w:left w:val="nil"/>
              <w:bottom w:val="nil"/>
              <w:right w:val="nil"/>
            </w:tcBorders>
            <w:shd w:val="clear" w:color="auto" w:fill="auto"/>
            <w:vAlign w:val="center"/>
            <w:hideMark/>
          </w:tcPr>
          <w:p w14:paraId="5890791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0.004</w:t>
            </w:r>
            <w:r w:rsidRPr="00E915AA">
              <w:rPr>
                <w:rFonts w:ascii="Times New Roman" w:eastAsia="Times New Roman" w:hAnsi="Times New Roman" w:cs="Times New Roman"/>
                <w:color w:val="000000"/>
                <w:sz w:val="12"/>
                <w:szCs w:val="12"/>
                <w:lang w:val="en-GB" w:eastAsia="en-GB"/>
              </w:rPr>
              <w:br/>
              <w:t>(1.39)</w:t>
            </w:r>
          </w:p>
        </w:tc>
        <w:tc>
          <w:tcPr>
            <w:tcW w:w="283" w:type="dxa"/>
            <w:tcBorders>
              <w:top w:val="nil"/>
              <w:left w:val="nil"/>
              <w:bottom w:val="nil"/>
              <w:right w:val="nil"/>
            </w:tcBorders>
            <w:shd w:val="clear" w:color="auto" w:fill="auto"/>
            <w:vAlign w:val="center"/>
            <w:hideMark/>
          </w:tcPr>
          <w:p w14:paraId="39836A4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01914C1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(1.38)</w:t>
            </w:r>
          </w:p>
        </w:tc>
        <w:tc>
          <w:tcPr>
            <w:tcW w:w="701" w:type="dxa"/>
            <w:gridSpan w:val="2"/>
            <w:tcBorders>
              <w:top w:val="nil"/>
              <w:left w:val="nil"/>
              <w:bottom w:val="nil"/>
              <w:right w:val="nil"/>
            </w:tcBorders>
            <w:shd w:val="clear" w:color="auto" w:fill="auto"/>
            <w:vAlign w:val="center"/>
            <w:hideMark/>
          </w:tcPr>
          <w:p w14:paraId="3E1FB79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(1.52)</w:t>
            </w:r>
          </w:p>
        </w:tc>
        <w:tc>
          <w:tcPr>
            <w:tcW w:w="738" w:type="dxa"/>
            <w:tcBorders>
              <w:top w:val="nil"/>
              <w:left w:val="nil"/>
              <w:bottom w:val="nil"/>
              <w:right w:val="nil"/>
            </w:tcBorders>
            <w:shd w:val="clear" w:color="auto" w:fill="auto"/>
            <w:vAlign w:val="center"/>
            <w:hideMark/>
          </w:tcPr>
          <w:p w14:paraId="61D3C58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(1.57)</w:t>
            </w:r>
          </w:p>
        </w:tc>
        <w:tc>
          <w:tcPr>
            <w:tcW w:w="251" w:type="dxa"/>
            <w:tcBorders>
              <w:top w:val="nil"/>
              <w:left w:val="nil"/>
              <w:bottom w:val="nil"/>
              <w:right w:val="nil"/>
            </w:tcBorders>
            <w:shd w:val="clear" w:color="auto" w:fill="auto"/>
            <w:vAlign w:val="center"/>
            <w:hideMark/>
          </w:tcPr>
          <w:p w14:paraId="144E640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E61188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0.006</w:t>
            </w:r>
            <w:r w:rsidRPr="00E915AA">
              <w:rPr>
                <w:rFonts w:ascii="Times New Roman" w:eastAsia="Times New Roman" w:hAnsi="Times New Roman" w:cs="Times New Roman"/>
                <w:color w:val="000000"/>
                <w:sz w:val="12"/>
                <w:szCs w:val="12"/>
                <w:lang w:val="en-GB" w:eastAsia="en-GB"/>
              </w:rPr>
              <w:br/>
              <w:t>(1.12)</w:t>
            </w:r>
          </w:p>
        </w:tc>
        <w:tc>
          <w:tcPr>
            <w:tcW w:w="731" w:type="dxa"/>
            <w:tcBorders>
              <w:top w:val="nil"/>
              <w:left w:val="nil"/>
              <w:bottom w:val="nil"/>
              <w:right w:val="nil"/>
            </w:tcBorders>
            <w:shd w:val="clear" w:color="auto" w:fill="auto"/>
            <w:vAlign w:val="center"/>
            <w:hideMark/>
          </w:tcPr>
          <w:p w14:paraId="0DF773D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0.007</w:t>
            </w:r>
            <w:r w:rsidRPr="00E915AA">
              <w:rPr>
                <w:rFonts w:ascii="Times New Roman" w:eastAsia="Times New Roman" w:hAnsi="Times New Roman" w:cs="Times New Roman"/>
                <w:color w:val="000000"/>
                <w:sz w:val="12"/>
                <w:szCs w:val="12"/>
                <w:lang w:val="en-GB" w:eastAsia="en-GB"/>
              </w:rPr>
              <w:br/>
              <w:t>(1.3)</w:t>
            </w:r>
          </w:p>
        </w:tc>
        <w:tc>
          <w:tcPr>
            <w:tcW w:w="726" w:type="dxa"/>
            <w:tcBorders>
              <w:top w:val="nil"/>
              <w:left w:val="nil"/>
              <w:bottom w:val="nil"/>
              <w:right w:val="nil"/>
            </w:tcBorders>
            <w:shd w:val="clear" w:color="auto" w:fill="auto"/>
            <w:vAlign w:val="center"/>
            <w:hideMark/>
          </w:tcPr>
          <w:p w14:paraId="69232B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0.006</w:t>
            </w:r>
            <w:r w:rsidRPr="00E915AA">
              <w:rPr>
                <w:rFonts w:ascii="Times New Roman" w:eastAsia="Times New Roman" w:hAnsi="Times New Roman" w:cs="Times New Roman"/>
                <w:color w:val="000000"/>
                <w:sz w:val="12"/>
                <w:szCs w:val="12"/>
                <w:lang w:val="en-GB" w:eastAsia="en-GB"/>
              </w:rPr>
              <w:br/>
              <w:t>(0.96)</w:t>
            </w:r>
          </w:p>
        </w:tc>
      </w:tr>
      <w:tr w:rsidR="00F14709" w:rsidRPr="00E915AA" w14:paraId="2B8A8250" w14:textId="77777777" w:rsidTr="00110FF6">
        <w:trPr>
          <w:trHeight w:val="280"/>
        </w:trPr>
        <w:tc>
          <w:tcPr>
            <w:tcW w:w="1276" w:type="dxa"/>
            <w:tcBorders>
              <w:top w:val="nil"/>
              <w:left w:val="nil"/>
              <w:bottom w:val="nil"/>
              <w:right w:val="nil"/>
            </w:tcBorders>
            <w:shd w:val="clear" w:color="auto" w:fill="auto"/>
            <w:vAlign w:val="center"/>
            <w:hideMark/>
          </w:tcPr>
          <w:p w14:paraId="167FCFC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Segments</w:t>
            </w:r>
          </w:p>
        </w:tc>
        <w:tc>
          <w:tcPr>
            <w:tcW w:w="273" w:type="dxa"/>
            <w:tcBorders>
              <w:top w:val="nil"/>
              <w:left w:val="nil"/>
              <w:bottom w:val="nil"/>
              <w:right w:val="nil"/>
            </w:tcBorders>
            <w:shd w:val="clear" w:color="auto" w:fill="auto"/>
            <w:vAlign w:val="center"/>
            <w:hideMark/>
          </w:tcPr>
          <w:p w14:paraId="4052E35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46E7E5C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0.054**</w:t>
            </w:r>
            <w:r w:rsidRPr="00E915AA">
              <w:rPr>
                <w:rFonts w:ascii="Times New Roman" w:eastAsia="Times New Roman" w:hAnsi="Times New Roman" w:cs="Times New Roman"/>
                <w:color w:val="000000"/>
                <w:sz w:val="12"/>
                <w:szCs w:val="12"/>
                <w:lang w:val="en-GB" w:eastAsia="en-GB"/>
              </w:rPr>
              <w:br/>
              <w:t>(2.1)</w:t>
            </w:r>
          </w:p>
        </w:tc>
        <w:tc>
          <w:tcPr>
            <w:tcW w:w="708" w:type="dxa"/>
            <w:tcBorders>
              <w:top w:val="nil"/>
              <w:left w:val="nil"/>
              <w:bottom w:val="nil"/>
              <w:right w:val="nil"/>
            </w:tcBorders>
            <w:shd w:val="clear" w:color="auto" w:fill="auto"/>
            <w:vAlign w:val="center"/>
            <w:hideMark/>
          </w:tcPr>
          <w:p w14:paraId="4967027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w:t>
            </w:r>
            <w:r w:rsidRPr="00E915AA">
              <w:rPr>
                <w:rFonts w:ascii="Times New Roman" w:eastAsia="Times New Roman" w:hAnsi="Times New Roman" w:cs="Times New Roman"/>
                <w:color w:val="000000"/>
                <w:sz w:val="12"/>
                <w:szCs w:val="12"/>
                <w:lang w:val="en-GB" w:eastAsia="en-GB"/>
              </w:rPr>
              <w:br/>
              <w:t>(1.97)</w:t>
            </w:r>
          </w:p>
        </w:tc>
        <w:tc>
          <w:tcPr>
            <w:tcW w:w="709" w:type="dxa"/>
            <w:tcBorders>
              <w:top w:val="nil"/>
              <w:left w:val="nil"/>
              <w:bottom w:val="nil"/>
              <w:right w:val="nil"/>
            </w:tcBorders>
            <w:shd w:val="clear" w:color="auto" w:fill="auto"/>
            <w:vAlign w:val="center"/>
            <w:hideMark/>
          </w:tcPr>
          <w:p w14:paraId="0FD5B29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0.049*</w:t>
            </w:r>
            <w:r w:rsidRPr="00E915AA">
              <w:rPr>
                <w:rFonts w:ascii="Times New Roman" w:eastAsia="Times New Roman" w:hAnsi="Times New Roman" w:cs="Times New Roman"/>
                <w:color w:val="000000"/>
                <w:sz w:val="12"/>
                <w:szCs w:val="12"/>
                <w:lang w:val="en-GB" w:eastAsia="en-GB"/>
              </w:rPr>
              <w:br/>
              <w:t>(1.78)</w:t>
            </w:r>
          </w:p>
        </w:tc>
        <w:tc>
          <w:tcPr>
            <w:tcW w:w="264" w:type="dxa"/>
            <w:tcBorders>
              <w:top w:val="nil"/>
              <w:left w:val="nil"/>
              <w:bottom w:val="nil"/>
              <w:right w:val="nil"/>
            </w:tcBorders>
            <w:shd w:val="clear" w:color="auto" w:fill="auto"/>
            <w:vAlign w:val="center"/>
            <w:hideMark/>
          </w:tcPr>
          <w:p w14:paraId="1432441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676C22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0.041</w:t>
            </w:r>
            <w:r w:rsidRPr="00E915AA">
              <w:rPr>
                <w:rFonts w:ascii="Times New Roman" w:eastAsia="Times New Roman" w:hAnsi="Times New Roman" w:cs="Times New Roman"/>
                <w:color w:val="000000"/>
                <w:sz w:val="12"/>
                <w:szCs w:val="12"/>
                <w:lang w:val="en-GB" w:eastAsia="en-GB"/>
              </w:rPr>
              <w:br/>
              <w:t>(1.57)</w:t>
            </w:r>
          </w:p>
        </w:tc>
        <w:tc>
          <w:tcPr>
            <w:tcW w:w="709" w:type="dxa"/>
            <w:tcBorders>
              <w:top w:val="nil"/>
              <w:left w:val="nil"/>
              <w:bottom w:val="nil"/>
              <w:right w:val="nil"/>
            </w:tcBorders>
            <w:shd w:val="clear" w:color="auto" w:fill="auto"/>
            <w:vAlign w:val="center"/>
            <w:hideMark/>
          </w:tcPr>
          <w:p w14:paraId="3A6A7B3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0.041</w:t>
            </w:r>
            <w:r w:rsidRPr="00E915AA">
              <w:rPr>
                <w:rFonts w:ascii="Times New Roman" w:eastAsia="Times New Roman" w:hAnsi="Times New Roman" w:cs="Times New Roman"/>
                <w:color w:val="000000"/>
                <w:sz w:val="12"/>
                <w:szCs w:val="12"/>
                <w:lang w:val="en-GB" w:eastAsia="en-GB"/>
              </w:rPr>
              <w:br/>
              <w:t>(1.44)</w:t>
            </w:r>
          </w:p>
        </w:tc>
        <w:tc>
          <w:tcPr>
            <w:tcW w:w="709" w:type="dxa"/>
            <w:tcBorders>
              <w:top w:val="nil"/>
              <w:left w:val="nil"/>
              <w:bottom w:val="nil"/>
              <w:right w:val="nil"/>
            </w:tcBorders>
            <w:shd w:val="clear" w:color="auto" w:fill="auto"/>
            <w:vAlign w:val="center"/>
            <w:hideMark/>
          </w:tcPr>
          <w:p w14:paraId="2205CCE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0.037</w:t>
            </w:r>
            <w:r w:rsidRPr="00E915AA">
              <w:rPr>
                <w:rFonts w:ascii="Times New Roman" w:eastAsia="Times New Roman" w:hAnsi="Times New Roman" w:cs="Times New Roman"/>
                <w:color w:val="000000"/>
                <w:sz w:val="12"/>
                <w:szCs w:val="12"/>
                <w:lang w:val="en-GB" w:eastAsia="en-GB"/>
              </w:rPr>
              <w:br/>
              <w:t>(1.26)</w:t>
            </w:r>
          </w:p>
        </w:tc>
        <w:tc>
          <w:tcPr>
            <w:tcW w:w="283" w:type="dxa"/>
            <w:tcBorders>
              <w:top w:val="nil"/>
              <w:left w:val="nil"/>
              <w:bottom w:val="nil"/>
              <w:right w:val="nil"/>
            </w:tcBorders>
            <w:shd w:val="clear" w:color="auto" w:fill="auto"/>
            <w:vAlign w:val="center"/>
            <w:hideMark/>
          </w:tcPr>
          <w:p w14:paraId="53920D7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51C32E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(1.16)</w:t>
            </w:r>
          </w:p>
        </w:tc>
        <w:tc>
          <w:tcPr>
            <w:tcW w:w="709" w:type="dxa"/>
            <w:tcBorders>
              <w:top w:val="nil"/>
              <w:left w:val="nil"/>
              <w:bottom w:val="nil"/>
              <w:right w:val="nil"/>
            </w:tcBorders>
            <w:shd w:val="clear" w:color="auto" w:fill="auto"/>
            <w:vAlign w:val="center"/>
            <w:hideMark/>
          </w:tcPr>
          <w:p w14:paraId="45D98E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0.029</w:t>
            </w:r>
            <w:r w:rsidRPr="00E915AA">
              <w:rPr>
                <w:rFonts w:ascii="Times New Roman" w:eastAsia="Times New Roman" w:hAnsi="Times New Roman" w:cs="Times New Roman"/>
                <w:color w:val="000000"/>
                <w:sz w:val="12"/>
                <w:szCs w:val="12"/>
                <w:lang w:val="en-GB" w:eastAsia="en-GB"/>
              </w:rPr>
              <w:br/>
              <w:t>(1.24)</w:t>
            </w:r>
          </w:p>
        </w:tc>
        <w:tc>
          <w:tcPr>
            <w:tcW w:w="709" w:type="dxa"/>
            <w:tcBorders>
              <w:top w:val="nil"/>
              <w:left w:val="nil"/>
              <w:bottom w:val="nil"/>
              <w:right w:val="nil"/>
            </w:tcBorders>
            <w:shd w:val="clear" w:color="auto" w:fill="auto"/>
            <w:vAlign w:val="center"/>
            <w:hideMark/>
          </w:tcPr>
          <w:p w14:paraId="462E430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(1.07)</w:t>
            </w:r>
          </w:p>
        </w:tc>
        <w:tc>
          <w:tcPr>
            <w:tcW w:w="283" w:type="dxa"/>
            <w:tcBorders>
              <w:top w:val="nil"/>
              <w:left w:val="nil"/>
              <w:bottom w:val="nil"/>
              <w:right w:val="nil"/>
            </w:tcBorders>
            <w:shd w:val="clear" w:color="auto" w:fill="auto"/>
            <w:vAlign w:val="center"/>
            <w:hideMark/>
          </w:tcPr>
          <w:p w14:paraId="77CE68D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4498DF4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0.034</w:t>
            </w:r>
            <w:r w:rsidRPr="00E915AA">
              <w:rPr>
                <w:rFonts w:ascii="Times New Roman" w:eastAsia="Times New Roman" w:hAnsi="Times New Roman" w:cs="Times New Roman"/>
                <w:color w:val="000000"/>
                <w:sz w:val="12"/>
                <w:szCs w:val="12"/>
                <w:lang w:val="en-GB" w:eastAsia="en-GB"/>
              </w:rPr>
              <w:br/>
              <w:t>(0.54)</w:t>
            </w:r>
          </w:p>
        </w:tc>
        <w:tc>
          <w:tcPr>
            <w:tcW w:w="701" w:type="dxa"/>
            <w:gridSpan w:val="2"/>
            <w:tcBorders>
              <w:top w:val="nil"/>
              <w:left w:val="nil"/>
              <w:bottom w:val="nil"/>
              <w:right w:val="nil"/>
            </w:tcBorders>
            <w:shd w:val="clear" w:color="auto" w:fill="auto"/>
            <w:vAlign w:val="center"/>
            <w:hideMark/>
          </w:tcPr>
          <w:p w14:paraId="37BA018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0.041</w:t>
            </w:r>
            <w:r w:rsidRPr="00E915AA">
              <w:rPr>
                <w:rFonts w:ascii="Times New Roman" w:eastAsia="Times New Roman" w:hAnsi="Times New Roman" w:cs="Times New Roman"/>
                <w:color w:val="000000"/>
                <w:sz w:val="12"/>
                <w:szCs w:val="12"/>
                <w:lang w:val="en-GB" w:eastAsia="en-GB"/>
              </w:rPr>
              <w:br/>
              <w:t>(0.68)</w:t>
            </w:r>
          </w:p>
        </w:tc>
        <w:tc>
          <w:tcPr>
            <w:tcW w:w="738" w:type="dxa"/>
            <w:tcBorders>
              <w:top w:val="nil"/>
              <w:left w:val="nil"/>
              <w:bottom w:val="nil"/>
              <w:right w:val="nil"/>
            </w:tcBorders>
            <w:shd w:val="clear" w:color="auto" w:fill="auto"/>
            <w:vAlign w:val="center"/>
            <w:hideMark/>
          </w:tcPr>
          <w:p w14:paraId="75DA73D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0.057</w:t>
            </w:r>
            <w:r w:rsidRPr="00E915AA">
              <w:rPr>
                <w:rFonts w:ascii="Times New Roman" w:eastAsia="Times New Roman" w:hAnsi="Times New Roman" w:cs="Times New Roman"/>
                <w:color w:val="000000"/>
                <w:sz w:val="12"/>
                <w:szCs w:val="12"/>
                <w:lang w:val="en-GB" w:eastAsia="en-GB"/>
              </w:rPr>
              <w:br/>
              <w:t>(0.89)</w:t>
            </w:r>
          </w:p>
        </w:tc>
        <w:tc>
          <w:tcPr>
            <w:tcW w:w="251" w:type="dxa"/>
            <w:tcBorders>
              <w:top w:val="nil"/>
              <w:left w:val="nil"/>
              <w:bottom w:val="nil"/>
              <w:right w:val="nil"/>
            </w:tcBorders>
            <w:shd w:val="clear" w:color="auto" w:fill="auto"/>
            <w:vAlign w:val="center"/>
            <w:hideMark/>
          </w:tcPr>
          <w:p w14:paraId="589B9F8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6542F6F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0.039</w:t>
            </w:r>
            <w:r w:rsidRPr="00E915AA">
              <w:rPr>
                <w:rFonts w:ascii="Times New Roman" w:eastAsia="Times New Roman" w:hAnsi="Times New Roman" w:cs="Times New Roman"/>
                <w:color w:val="000000"/>
                <w:sz w:val="12"/>
                <w:szCs w:val="12"/>
                <w:lang w:val="en-GB" w:eastAsia="en-GB"/>
              </w:rPr>
              <w:br/>
              <w:t>(0.85)</w:t>
            </w:r>
          </w:p>
        </w:tc>
        <w:tc>
          <w:tcPr>
            <w:tcW w:w="731" w:type="dxa"/>
            <w:tcBorders>
              <w:top w:val="nil"/>
              <w:left w:val="nil"/>
              <w:bottom w:val="nil"/>
              <w:right w:val="nil"/>
            </w:tcBorders>
            <w:shd w:val="clear" w:color="auto" w:fill="auto"/>
            <w:vAlign w:val="center"/>
            <w:hideMark/>
          </w:tcPr>
          <w:p w14:paraId="55088F0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0.046</w:t>
            </w:r>
            <w:r w:rsidRPr="00E915AA">
              <w:rPr>
                <w:rFonts w:ascii="Times New Roman" w:eastAsia="Times New Roman" w:hAnsi="Times New Roman" w:cs="Times New Roman"/>
                <w:color w:val="000000"/>
                <w:sz w:val="12"/>
                <w:szCs w:val="12"/>
                <w:lang w:val="en-GB" w:eastAsia="en-GB"/>
              </w:rPr>
              <w:br/>
              <w:t>(0.98)</w:t>
            </w:r>
          </w:p>
        </w:tc>
        <w:tc>
          <w:tcPr>
            <w:tcW w:w="726" w:type="dxa"/>
            <w:tcBorders>
              <w:top w:val="nil"/>
              <w:left w:val="nil"/>
              <w:bottom w:val="nil"/>
              <w:right w:val="nil"/>
            </w:tcBorders>
            <w:shd w:val="clear" w:color="auto" w:fill="auto"/>
            <w:vAlign w:val="center"/>
            <w:hideMark/>
          </w:tcPr>
          <w:p w14:paraId="44632B8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0.039</w:t>
            </w:r>
            <w:r w:rsidRPr="00E915AA">
              <w:rPr>
                <w:rFonts w:ascii="Times New Roman" w:eastAsia="Times New Roman" w:hAnsi="Times New Roman" w:cs="Times New Roman"/>
                <w:color w:val="000000"/>
                <w:sz w:val="12"/>
                <w:szCs w:val="12"/>
                <w:lang w:val="en-GB" w:eastAsia="en-GB"/>
              </w:rPr>
              <w:br/>
              <w:t>(0.73)</w:t>
            </w:r>
          </w:p>
        </w:tc>
      </w:tr>
      <w:tr w:rsidR="00F14709" w:rsidRPr="00E915AA" w14:paraId="1BA3319B" w14:textId="77777777" w:rsidTr="00110FF6">
        <w:trPr>
          <w:trHeight w:val="271"/>
        </w:trPr>
        <w:tc>
          <w:tcPr>
            <w:tcW w:w="1276" w:type="dxa"/>
            <w:tcBorders>
              <w:top w:val="nil"/>
              <w:left w:val="nil"/>
              <w:bottom w:val="nil"/>
              <w:right w:val="nil"/>
            </w:tcBorders>
            <w:shd w:val="clear" w:color="auto" w:fill="auto"/>
            <w:vAlign w:val="center"/>
            <w:hideMark/>
          </w:tcPr>
          <w:p w14:paraId="7BB5F27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roofErr w:type="spellStart"/>
            <w:r w:rsidRPr="00E915AA">
              <w:rPr>
                <w:rFonts w:ascii="Times New Roman" w:eastAsia="Times New Roman" w:hAnsi="Times New Roman" w:cs="Times New Roman"/>
                <w:color w:val="000000"/>
                <w:sz w:val="12"/>
                <w:szCs w:val="12"/>
                <w:lang w:val="en-GB" w:eastAsia="en-GB"/>
              </w:rPr>
              <w:t>Zscore</w:t>
            </w:r>
            <w:proofErr w:type="spellEnd"/>
          </w:p>
        </w:tc>
        <w:tc>
          <w:tcPr>
            <w:tcW w:w="273" w:type="dxa"/>
            <w:tcBorders>
              <w:top w:val="nil"/>
              <w:left w:val="nil"/>
              <w:bottom w:val="nil"/>
              <w:right w:val="nil"/>
            </w:tcBorders>
            <w:shd w:val="clear" w:color="auto" w:fill="auto"/>
            <w:vAlign w:val="center"/>
            <w:hideMark/>
          </w:tcPr>
          <w:p w14:paraId="0E24341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1DEF6DA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(-1.12)</w:t>
            </w:r>
          </w:p>
        </w:tc>
        <w:tc>
          <w:tcPr>
            <w:tcW w:w="708" w:type="dxa"/>
            <w:tcBorders>
              <w:top w:val="nil"/>
              <w:left w:val="nil"/>
              <w:bottom w:val="nil"/>
              <w:right w:val="nil"/>
            </w:tcBorders>
            <w:shd w:val="clear" w:color="auto" w:fill="auto"/>
            <w:vAlign w:val="center"/>
            <w:hideMark/>
          </w:tcPr>
          <w:p w14:paraId="054DD5C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(-1.41)</w:t>
            </w:r>
          </w:p>
        </w:tc>
        <w:tc>
          <w:tcPr>
            <w:tcW w:w="709" w:type="dxa"/>
            <w:tcBorders>
              <w:top w:val="nil"/>
              <w:left w:val="nil"/>
              <w:bottom w:val="nil"/>
              <w:right w:val="nil"/>
            </w:tcBorders>
            <w:shd w:val="clear" w:color="auto" w:fill="auto"/>
            <w:vAlign w:val="center"/>
            <w:hideMark/>
          </w:tcPr>
          <w:p w14:paraId="160F7C7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(-1.78)</w:t>
            </w:r>
          </w:p>
        </w:tc>
        <w:tc>
          <w:tcPr>
            <w:tcW w:w="264" w:type="dxa"/>
            <w:tcBorders>
              <w:top w:val="nil"/>
              <w:left w:val="nil"/>
              <w:bottom w:val="nil"/>
              <w:right w:val="nil"/>
            </w:tcBorders>
            <w:shd w:val="clear" w:color="auto" w:fill="auto"/>
            <w:vAlign w:val="center"/>
            <w:hideMark/>
          </w:tcPr>
          <w:p w14:paraId="6B2722D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5770A01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(-1.46)</w:t>
            </w:r>
          </w:p>
        </w:tc>
        <w:tc>
          <w:tcPr>
            <w:tcW w:w="709" w:type="dxa"/>
            <w:tcBorders>
              <w:top w:val="nil"/>
              <w:left w:val="nil"/>
              <w:bottom w:val="nil"/>
              <w:right w:val="nil"/>
            </w:tcBorders>
            <w:shd w:val="clear" w:color="auto" w:fill="auto"/>
            <w:vAlign w:val="center"/>
            <w:hideMark/>
          </w:tcPr>
          <w:p w14:paraId="16BA9AA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(-0.86)</w:t>
            </w:r>
          </w:p>
        </w:tc>
        <w:tc>
          <w:tcPr>
            <w:tcW w:w="709" w:type="dxa"/>
            <w:tcBorders>
              <w:top w:val="nil"/>
              <w:left w:val="nil"/>
              <w:bottom w:val="nil"/>
              <w:right w:val="nil"/>
            </w:tcBorders>
            <w:shd w:val="clear" w:color="auto" w:fill="auto"/>
            <w:vAlign w:val="center"/>
            <w:hideMark/>
          </w:tcPr>
          <w:p w14:paraId="0FCBBB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(-1.69)</w:t>
            </w:r>
          </w:p>
        </w:tc>
        <w:tc>
          <w:tcPr>
            <w:tcW w:w="283" w:type="dxa"/>
            <w:tcBorders>
              <w:top w:val="nil"/>
              <w:left w:val="nil"/>
              <w:bottom w:val="nil"/>
              <w:right w:val="nil"/>
            </w:tcBorders>
            <w:shd w:val="clear" w:color="auto" w:fill="auto"/>
            <w:vAlign w:val="center"/>
            <w:hideMark/>
          </w:tcPr>
          <w:p w14:paraId="15EADE5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6E60A64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(-5.16)</w:t>
            </w:r>
          </w:p>
        </w:tc>
        <w:tc>
          <w:tcPr>
            <w:tcW w:w="709" w:type="dxa"/>
            <w:tcBorders>
              <w:top w:val="nil"/>
              <w:left w:val="nil"/>
              <w:bottom w:val="nil"/>
              <w:right w:val="nil"/>
            </w:tcBorders>
            <w:shd w:val="clear" w:color="auto" w:fill="auto"/>
            <w:vAlign w:val="center"/>
            <w:hideMark/>
          </w:tcPr>
          <w:p w14:paraId="0CD85A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(-4.27)</w:t>
            </w:r>
          </w:p>
        </w:tc>
        <w:tc>
          <w:tcPr>
            <w:tcW w:w="709" w:type="dxa"/>
            <w:tcBorders>
              <w:top w:val="nil"/>
              <w:left w:val="nil"/>
              <w:bottom w:val="nil"/>
              <w:right w:val="nil"/>
            </w:tcBorders>
            <w:shd w:val="clear" w:color="auto" w:fill="auto"/>
            <w:vAlign w:val="center"/>
            <w:hideMark/>
          </w:tcPr>
          <w:p w14:paraId="630CE15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(-3.54)</w:t>
            </w:r>
          </w:p>
        </w:tc>
        <w:tc>
          <w:tcPr>
            <w:tcW w:w="283" w:type="dxa"/>
            <w:tcBorders>
              <w:top w:val="nil"/>
              <w:left w:val="nil"/>
              <w:bottom w:val="nil"/>
              <w:right w:val="nil"/>
            </w:tcBorders>
            <w:shd w:val="clear" w:color="auto" w:fill="auto"/>
            <w:vAlign w:val="center"/>
            <w:hideMark/>
          </w:tcPr>
          <w:p w14:paraId="002E78C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11DBB1B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(-2.58)</w:t>
            </w:r>
          </w:p>
        </w:tc>
        <w:tc>
          <w:tcPr>
            <w:tcW w:w="701" w:type="dxa"/>
            <w:gridSpan w:val="2"/>
            <w:tcBorders>
              <w:top w:val="nil"/>
              <w:left w:val="nil"/>
              <w:bottom w:val="nil"/>
              <w:right w:val="nil"/>
            </w:tcBorders>
            <w:shd w:val="clear" w:color="auto" w:fill="auto"/>
            <w:vAlign w:val="center"/>
            <w:hideMark/>
          </w:tcPr>
          <w:p w14:paraId="343DDAB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(-1.72)</w:t>
            </w:r>
          </w:p>
        </w:tc>
        <w:tc>
          <w:tcPr>
            <w:tcW w:w="738" w:type="dxa"/>
            <w:tcBorders>
              <w:top w:val="nil"/>
              <w:left w:val="nil"/>
              <w:bottom w:val="nil"/>
              <w:right w:val="nil"/>
            </w:tcBorders>
            <w:shd w:val="clear" w:color="auto" w:fill="auto"/>
            <w:vAlign w:val="center"/>
            <w:hideMark/>
          </w:tcPr>
          <w:p w14:paraId="43FCF59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(-1.55)</w:t>
            </w:r>
          </w:p>
        </w:tc>
        <w:tc>
          <w:tcPr>
            <w:tcW w:w="251" w:type="dxa"/>
            <w:tcBorders>
              <w:top w:val="nil"/>
              <w:left w:val="nil"/>
              <w:bottom w:val="nil"/>
              <w:right w:val="nil"/>
            </w:tcBorders>
            <w:shd w:val="clear" w:color="auto" w:fill="auto"/>
            <w:vAlign w:val="center"/>
            <w:hideMark/>
          </w:tcPr>
          <w:p w14:paraId="5A6623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B6445F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(-2.91)</w:t>
            </w:r>
          </w:p>
        </w:tc>
        <w:tc>
          <w:tcPr>
            <w:tcW w:w="731" w:type="dxa"/>
            <w:tcBorders>
              <w:top w:val="nil"/>
              <w:left w:val="nil"/>
              <w:bottom w:val="nil"/>
              <w:right w:val="nil"/>
            </w:tcBorders>
            <w:shd w:val="clear" w:color="auto" w:fill="auto"/>
            <w:vAlign w:val="center"/>
            <w:hideMark/>
          </w:tcPr>
          <w:p w14:paraId="70DBFEA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(-2.33)</w:t>
            </w:r>
          </w:p>
        </w:tc>
        <w:tc>
          <w:tcPr>
            <w:tcW w:w="726" w:type="dxa"/>
            <w:tcBorders>
              <w:top w:val="nil"/>
              <w:left w:val="nil"/>
              <w:bottom w:val="nil"/>
              <w:right w:val="nil"/>
            </w:tcBorders>
            <w:shd w:val="clear" w:color="auto" w:fill="auto"/>
            <w:vAlign w:val="center"/>
            <w:hideMark/>
          </w:tcPr>
          <w:p w14:paraId="42C506D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-0.001**</w:t>
            </w:r>
            <w:r w:rsidRPr="00E915AA">
              <w:rPr>
                <w:rFonts w:ascii="Times New Roman" w:eastAsia="Times New Roman" w:hAnsi="Times New Roman" w:cs="Times New Roman"/>
                <w:color w:val="000000"/>
                <w:sz w:val="12"/>
                <w:szCs w:val="12"/>
                <w:lang w:val="en-GB" w:eastAsia="en-GB"/>
              </w:rPr>
              <w:br/>
              <w:t>(-2.36)</w:t>
            </w:r>
          </w:p>
        </w:tc>
      </w:tr>
      <w:tr w:rsidR="00F14709" w:rsidRPr="00E915AA" w14:paraId="7EE02BFF" w14:textId="77777777" w:rsidTr="00110FF6">
        <w:trPr>
          <w:trHeight w:val="430"/>
        </w:trPr>
        <w:tc>
          <w:tcPr>
            <w:tcW w:w="1276" w:type="dxa"/>
            <w:tcBorders>
              <w:top w:val="nil"/>
              <w:left w:val="nil"/>
              <w:bottom w:val="nil"/>
              <w:right w:val="nil"/>
            </w:tcBorders>
            <w:shd w:val="clear" w:color="auto" w:fill="auto"/>
            <w:vAlign w:val="center"/>
            <w:hideMark/>
          </w:tcPr>
          <w:p w14:paraId="5EB2CB3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Big4</w:t>
            </w:r>
          </w:p>
        </w:tc>
        <w:tc>
          <w:tcPr>
            <w:tcW w:w="273" w:type="dxa"/>
            <w:tcBorders>
              <w:top w:val="nil"/>
              <w:left w:val="nil"/>
              <w:bottom w:val="nil"/>
              <w:right w:val="nil"/>
            </w:tcBorders>
            <w:shd w:val="clear" w:color="auto" w:fill="auto"/>
            <w:vAlign w:val="center"/>
            <w:hideMark/>
          </w:tcPr>
          <w:p w14:paraId="0C2A065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43432FB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-0.126***</w:t>
            </w:r>
            <w:r w:rsidRPr="00E915AA">
              <w:rPr>
                <w:rFonts w:ascii="Times New Roman" w:eastAsia="Times New Roman" w:hAnsi="Times New Roman" w:cs="Times New Roman"/>
                <w:color w:val="000000"/>
                <w:sz w:val="12"/>
                <w:szCs w:val="12"/>
                <w:lang w:val="en-GB" w:eastAsia="en-GB"/>
              </w:rPr>
              <w:br/>
              <w:t>(-2.92)</w:t>
            </w:r>
          </w:p>
        </w:tc>
        <w:tc>
          <w:tcPr>
            <w:tcW w:w="708" w:type="dxa"/>
            <w:tcBorders>
              <w:top w:val="nil"/>
              <w:left w:val="nil"/>
              <w:bottom w:val="nil"/>
              <w:right w:val="nil"/>
            </w:tcBorders>
            <w:shd w:val="clear" w:color="auto" w:fill="auto"/>
            <w:vAlign w:val="center"/>
            <w:hideMark/>
          </w:tcPr>
          <w:p w14:paraId="038B85F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-0.124***</w:t>
            </w:r>
            <w:r w:rsidRPr="00E915AA">
              <w:rPr>
                <w:rFonts w:ascii="Times New Roman" w:eastAsia="Times New Roman" w:hAnsi="Times New Roman" w:cs="Times New Roman"/>
                <w:color w:val="000000"/>
                <w:sz w:val="12"/>
                <w:szCs w:val="12"/>
                <w:lang w:val="en-GB" w:eastAsia="en-GB"/>
              </w:rPr>
              <w:br/>
              <w:t>(-2.93)</w:t>
            </w:r>
          </w:p>
        </w:tc>
        <w:tc>
          <w:tcPr>
            <w:tcW w:w="709" w:type="dxa"/>
            <w:tcBorders>
              <w:top w:val="nil"/>
              <w:left w:val="nil"/>
              <w:bottom w:val="nil"/>
              <w:right w:val="nil"/>
            </w:tcBorders>
            <w:shd w:val="clear" w:color="auto" w:fill="auto"/>
            <w:vAlign w:val="center"/>
            <w:hideMark/>
          </w:tcPr>
          <w:p w14:paraId="1A9DE99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-0.062</w:t>
            </w:r>
            <w:r w:rsidRPr="00E915AA">
              <w:rPr>
                <w:rFonts w:ascii="Times New Roman" w:eastAsia="Times New Roman" w:hAnsi="Times New Roman" w:cs="Times New Roman"/>
                <w:color w:val="000000"/>
                <w:sz w:val="12"/>
                <w:szCs w:val="12"/>
                <w:lang w:val="en-GB" w:eastAsia="en-GB"/>
              </w:rPr>
              <w:br/>
              <w:t>(-1.16)</w:t>
            </w:r>
          </w:p>
        </w:tc>
        <w:tc>
          <w:tcPr>
            <w:tcW w:w="264" w:type="dxa"/>
            <w:tcBorders>
              <w:top w:val="nil"/>
              <w:left w:val="nil"/>
              <w:bottom w:val="nil"/>
              <w:right w:val="nil"/>
            </w:tcBorders>
            <w:shd w:val="clear" w:color="auto" w:fill="auto"/>
            <w:vAlign w:val="center"/>
            <w:hideMark/>
          </w:tcPr>
          <w:p w14:paraId="3717B99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2437F7B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-0.107</w:t>
            </w:r>
            <w:r w:rsidRPr="00E915AA">
              <w:rPr>
                <w:rFonts w:ascii="Times New Roman" w:eastAsia="Times New Roman" w:hAnsi="Times New Roman" w:cs="Times New Roman"/>
                <w:color w:val="000000"/>
                <w:sz w:val="12"/>
                <w:szCs w:val="12"/>
                <w:lang w:val="en-GB" w:eastAsia="en-GB"/>
              </w:rPr>
              <w:br/>
              <w:t>(-0.93)</w:t>
            </w:r>
          </w:p>
        </w:tc>
        <w:tc>
          <w:tcPr>
            <w:tcW w:w="709" w:type="dxa"/>
            <w:tcBorders>
              <w:top w:val="nil"/>
              <w:left w:val="nil"/>
              <w:bottom w:val="nil"/>
              <w:right w:val="nil"/>
            </w:tcBorders>
            <w:shd w:val="clear" w:color="auto" w:fill="auto"/>
            <w:vAlign w:val="center"/>
            <w:hideMark/>
          </w:tcPr>
          <w:p w14:paraId="1226750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-0.099</w:t>
            </w:r>
            <w:r w:rsidRPr="00E915AA">
              <w:rPr>
                <w:rFonts w:ascii="Times New Roman" w:eastAsia="Times New Roman" w:hAnsi="Times New Roman" w:cs="Times New Roman"/>
                <w:color w:val="000000"/>
                <w:sz w:val="12"/>
                <w:szCs w:val="12"/>
                <w:lang w:val="en-GB" w:eastAsia="en-GB"/>
              </w:rPr>
              <w:br/>
              <w:t>(-0.88)</w:t>
            </w:r>
          </w:p>
        </w:tc>
        <w:tc>
          <w:tcPr>
            <w:tcW w:w="709" w:type="dxa"/>
            <w:tcBorders>
              <w:top w:val="nil"/>
              <w:left w:val="nil"/>
              <w:bottom w:val="nil"/>
              <w:right w:val="nil"/>
            </w:tcBorders>
            <w:shd w:val="clear" w:color="auto" w:fill="auto"/>
            <w:vAlign w:val="center"/>
            <w:hideMark/>
          </w:tcPr>
          <w:p w14:paraId="68656A8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-0.093</w:t>
            </w:r>
            <w:r w:rsidRPr="00E915AA">
              <w:rPr>
                <w:rFonts w:ascii="Times New Roman" w:eastAsia="Times New Roman" w:hAnsi="Times New Roman" w:cs="Times New Roman"/>
                <w:color w:val="000000"/>
                <w:sz w:val="12"/>
                <w:szCs w:val="12"/>
                <w:lang w:val="en-GB" w:eastAsia="en-GB"/>
              </w:rPr>
              <w:br/>
              <w:t>(-0.75)</w:t>
            </w:r>
          </w:p>
        </w:tc>
        <w:tc>
          <w:tcPr>
            <w:tcW w:w="283" w:type="dxa"/>
            <w:tcBorders>
              <w:top w:val="nil"/>
              <w:left w:val="nil"/>
              <w:bottom w:val="nil"/>
              <w:right w:val="nil"/>
            </w:tcBorders>
            <w:shd w:val="clear" w:color="auto" w:fill="auto"/>
            <w:vAlign w:val="center"/>
            <w:hideMark/>
          </w:tcPr>
          <w:p w14:paraId="15B5CCF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7A83D69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-0.062</w:t>
            </w:r>
            <w:r w:rsidRPr="00E915AA">
              <w:rPr>
                <w:rFonts w:ascii="Times New Roman" w:eastAsia="Times New Roman" w:hAnsi="Times New Roman" w:cs="Times New Roman"/>
                <w:color w:val="000000"/>
                <w:sz w:val="12"/>
                <w:szCs w:val="12"/>
                <w:lang w:val="en-GB" w:eastAsia="en-GB"/>
              </w:rPr>
              <w:br/>
              <w:t>(-0.58)</w:t>
            </w:r>
          </w:p>
        </w:tc>
        <w:tc>
          <w:tcPr>
            <w:tcW w:w="709" w:type="dxa"/>
            <w:tcBorders>
              <w:top w:val="nil"/>
              <w:left w:val="nil"/>
              <w:bottom w:val="nil"/>
              <w:right w:val="nil"/>
            </w:tcBorders>
            <w:shd w:val="clear" w:color="auto" w:fill="auto"/>
            <w:vAlign w:val="center"/>
            <w:hideMark/>
          </w:tcPr>
          <w:p w14:paraId="2ECD7DE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-0.055</w:t>
            </w:r>
            <w:r w:rsidRPr="00E915AA">
              <w:rPr>
                <w:rFonts w:ascii="Times New Roman" w:eastAsia="Times New Roman" w:hAnsi="Times New Roman" w:cs="Times New Roman"/>
                <w:color w:val="000000"/>
                <w:sz w:val="12"/>
                <w:szCs w:val="12"/>
                <w:lang w:val="en-GB" w:eastAsia="en-GB"/>
              </w:rPr>
              <w:br/>
              <w:t>(-0.5)</w:t>
            </w:r>
          </w:p>
        </w:tc>
        <w:tc>
          <w:tcPr>
            <w:tcW w:w="709" w:type="dxa"/>
            <w:tcBorders>
              <w:top w:val="nil"/>
              <w:left w:val="nil"/>
              <w:bottom w:val="nil"/>
              <w:right w:val="nil"/>
            </w:tcBorders>
            <w:shd w:val="clear" w:color="auto" w:fill="auto"/>
            <w:vAlign w:val="center"/>
            <w:hideMark/>
          </w:tcPr>
          <w:p w14:paraId="1C63252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-0.043</w:t>
            </w:r>
            <w:r w:rsidRPr="00E915AA">
              <w:rPr>
                <w:rFonts w:ascii="Times New Roman" w:eastAsia="Times New Roman" w:hAnsi="Times New Roman" w:cs="Times New Roman"/>
                <w:color w:val="000000"/>
                <w:sz w:val="12"/>
                <w:szCs w:val="12"/>
                <w:lang w:val="en-GB" w:eastAsia="en-GB"/>
              </w:rPr>
              <w:br/>
              <w:t>(-0.36)</w:t>
            </w:r>
          </w:p>
        </w:tc>
        <w:tc>
          <w:tcPr>
            <w:tcW w:w="283" w:type="dxa"/>
            <w:tcBorders>
              <w:top w:val="nil"/>
              <w:left w:val="nil"/>
              <w:bottom w:val="nil"/>
              <w:right w:val="nil"/>
            </w:tcBorders>
            <w:shd w:val="clear" w:color="auto" w:fill="auto"/>
            <w:vAlign w:val="center"/>
            <w:hideMark/>
          </w:tcPr>
          <w:p w14:paraId="229487F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373180F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-0.368***</w:t>
            </w:r>
            <w:r w:rsidRPr="00E915AA">
              <w:rPr>
                <w:rFonts w:ascii="Times New Roman" w:eastAsia="Times New Roman" w:hAnsi="Times New Roman" w:cs="Times New Roman"/>
                <w:color w:val="000000"/>
                <w:sz w:val="12"/>
                <w:szCs w:val="12"/>
                <w:lang w:val="en-GB" w:eastAsia="en-GB"/>
              </w:rPr>
              <w:br/>
              <w:t>(-2.97)</w:t>
            </w:r>
          </w:p>
        </w:tc>
        <w:tc>
          <w:tcPr>
            <w:tcW w:w="701" w:type="dxa"/>
            <w:gridSpan w:val="2"/>
            <w:tcBorders>
              <w:top w:val="nil"/>
              <w:left w:val="nil"/>
              <w:bottom w:val="nil"/>
              <w:right w:val="nil"/>
            </w:tcBorders>
            <w:shd w:val="clear" w:color="auto" w:fill="auto"/>
            <w:vAlign w:val="center"/>
            <w:hideMark/>
          </w:tcPr>
          <w:p w14:paraId="012DB3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-0.388***</w:t>
            </w:r>
            <w:r w:rsidRPr="00E915AA">
              <w:rPr>
                <w:rFonts w:ascii="Times New Roman" w:eastAsia="Times New Roman" w:hAnsi="Times New Roman" w:cs="Times New Roman"/>
                <w:color w:val="000000"/>
                <w:sz w:val="12"/>
                <w:szCs w:val="12"/>
                <w:lang w:val="en-GB" w:eastAsia="en-GB"/>
              </w:rPr>
              <w:br/>
              <w:t>(-3.28)</w:t>
            </w:r>
          </w:p>
        </w:tc>
        <w:tc>
          <w:tcPr>
            <w:tcW w:w="738" w:type="dxa"/>
            <w:tcBorders>
              <w:top w:val="nil"/>
              <w:left w:val="nil"/>
              <w:bottom w:val="nil"/>
              <w:right w:val="nil"/>
            </w:tcBorders>
            <w:shd w:val="clear" w:color="auto" w:fill="auto"/>
            <w:vAlign w:val="center"/>
            <w:hideMark/>
          </w:tcPr>
          <w:p w14:paraId="5152471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-0.386***</w:t>
            </w:r>
            <w:r w:rsidRPr="00E915AA">
              <w:rPr>
                <w:rFonts w:ascii="Times New Roman" w:eastAsia="Times New Roman" w:hAnsi="Times New Roman" w:cs="Times New Roman"/>
                <w:color w:val="000000"/>
                <w:sz w:val="12"/>
                <w:szCs w:val="12"/>
                <w:lang w:val="en-GB" w:eastAsia="en-GB"/>
              </w:rPr>
              <w:br/>
              <w:t>(-2.92)</w:t>
            </w:r>
          </w:p>
        </w:tc>
        <w:tc>
          <w:tcPr>
            <w:tcW w:w="251" w:type="dxa"/>
            <w:tcBorders>
              <w:top w:val="nil"/>
              <w:left w:val="nil"/>
              <w:bottom w:val="nil"/>
              <w:right w:val="nil"/>
            </w:tcBorders>
            <w:shd w:val="clear" w:color="auto" w:fill="auto"/>
            <w:vAlign w:val="center"/>
            <w:hideMark/>
          </w:tcPr>
          <w:p w14:paraId="5C7F12E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20423E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-0.454***</w:t>
            </w:r>
            <w:r w:rsidRPr="00E915AA">
              <w:rPr>
                <w:rFonts w:ascii="Times New Roman" w:eastAsia="Times New Roman" w:hAnsi="Times New Roman" w:cs="Times New Roman"/>
                <w:color w:val="000000"/>
                <w:sz w:val="12"/>
                <w:szCs w:val="12"/>
                <w:lang w:val="en-GB" w:eastAsia="en-GB"/>
              </w:rPr>
              <w:br/>
              <w:t>(-3.08)</w:t>
            </w:r>
          </w:p>
        </w:tc>
        <w:tc>
          <w:tcPr>
            <w:tcW w:w="731" w:type="dxa"/>
            <w:tcBorders>
              <w:top w:val="nil"/>
              <w:left w:val="nil"/>
              <w:bottom w:val="nil"/>
              <w:right w:val="nil"/>
            </w:tcBorders>
            <w:shd w:val="clear" w:color="auto" w:fill="auto"/>
            <w:vAlign w:val="center"/>
            <w:hideMark/>
          </w:tcPr>
          <w:p w14:paraId="43E1E01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-0.451***</w:t>
            </w:r>
            <w:r w:rsidRPr="00E915AA">
              <w:rPr>
                <w:rFonts w:ascii="Times New Roman" w:eastAsia="Times New Roman" w:hAnsi="Times New Roman" w:cs="Times New Roman"/>
                <w:color w:val="000000"/>
                <w:sz w:val="12"/>
                <w:szCs w:val="12"/>
                <w:lang w:val="en-GB" w:eastAsia="en-GB"/>
              </w:rPr>
              <w:br/>
              <w:t>(-2.91)</w:t>
            </w:r>
          </w:p>
        </w:tc>
        <w:tc>
          <w:tcPr>
            <w:tcW w:w="726" w:type="dxa"/>
            <w:tcBorders>
              <w:top w:val="nil"/>
              <w:left w:val="nil"/>
              <w:bottom w:val="nil"/>
              <w:right w:val="nil"/>
            </w:tcBorders>
            <w:shd w:val="clear" w:color="auto" w:fill="auto"/>
            <w:vAlign w:val="center"/>
            <w:hideMark/>
          </w:tcPr>
          <w:p w14:paraId="4B5E61F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-0.465***</w:t>
            </w:r>
            <w:r w:rsidRPr="00E915AA">
              <w:rPr>
                <w:rFonts w:ascii="Times New Roman" w:eastAsia="Times New Roman" w:hAnsi="Times New Roman" w:cs="Times New Roman"/>
                <w:color w:val="000000"/>
                <w:sz w:val="12"/>
                <w:szCs w:val="12"/>
                <w:lang w:val="en-GB" w:eastAsia="en-GB"/>
              </w:rPr>
              <w:br/>
              <w:t>(-2.65)</w:t>
            </w:r>
          </w:p>
        </w:tc>
      </w:tr>
      <w:tr w:rsidR="00F14709" w:rsidRPr="00E915AA" w14:paraId="5102448D" w14:textId="77777777" w:rsidTr="00110FF6">
        <w:trPr>
          <w:trHeight w:val="281"/>
        </w:trPr>
        <w:tc>
          <w:tcPr>
            <w:tcW w:w="1276" w:type="dxa"/>
            <w:tcBorders>
              <w:top w:val="nil"/>
              <w:left w:val="nil"/>
              <w:bottom w:val="nil"/>
              <w:right w:val="nil"/>
            </w:tcBorders>
            <w:shd w:val="clear" w:color="auto" w:fill="auto"/>
            <w:vAlign w:val="center"/>
            <w:hideMark/>
          </w:tcPr>
          <w:p w14:paraId="7904C07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Restructuring</w:t>
            </w:r>
          </w:p>
        </w:tc>
        <w:tc>
          <w:tcPr>
            <w:tcW w:w="273" w:type="dxa"/>
            <w:tcBorders>
              <w:top w:val="nil"/>
              <w:left w:val="nil"/>
              <w:bottom w:val="nil"/>
              <w:right w:val="nil"/>
            </w:tcBorders>
            <w:shd w:val="clear" w:color="auto" w:fill="auto"/>
            <w:vAlign w:val="center"/>
            <w:hideMark/>
          </w:tcPr>
          <w:p w14:paraId="46592FC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668B0A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0.222***</w:t>
            </w:r>
            <w:r w:rsidRPr="00E915AA">
              <w:rPr>
                <w:rFonts w:ascii="Times New Roman" w:eastAsia="Times New Roman" w:hAnsi="Times New Roman" w:cs="Times New Roman"/>
                <w:color w:val="000000"/>
                <w:sz w:val="12"/>
                <w:szCs w:val="12"/>
                <w:lang w:val="en-GB" w:eastAsia="en-GB"/>
              </w:rPr>
              <w:br/>
              <w:t>(3.63)</w:t>
            </w:r>
          </w:p>
        </w:tc>
        <w:tc>
          <w:tcPr>
            <w:tcW w:w="708" w:type="dxa"/>
            <w:tcBorders>
              <w:top w:val="nil"/>
              <w:left w:val="nil"/>
              <w:bottom w:val="nil"/>
              <w:right w:val="nil"/>
            </w:tcBorders>
            <w:shd w:val="clear" w:color="auto" w:fill="auto"/>
            <w:vAlign w:val="center"/>
            <w:hideMark/>
          </w:tcPr>
          <w:p w14:paraId="7F24CAA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0.253***</w:t>
            </w:r>
            <w:r w:rsidRPr="00E915AA">
              <w:rPr>
                <w:rFonts w:ascii="Times New Roman" w:eastAsia="Times New Roman" w:hAnsi="Times New Roman" w:cs="Times New Roman"/>
                <w:color w:val="000000"/>
                <w:sz w:val="12"/>
                <w:szCs w:val="12"/>
                <w:lang w:val="en-GB" w:eastAsia="en-GB"/>
              </w:rPr>
              <w:br/>
              <w:t>(4.32)</w:t>
            </w:r>
          </w:p>
        </w:tc>
        <w:tc>
          <w:tcPr>
            <w:tcW w:w="709" w:type="dxa"/>
            <w:tcBorders>
              <w:top w:val="nil"/>
              <w:left w:val="nil"/>
              <w:bottom w:val="nil"/>
              <w:right w:val="nil"/>
            </w:tcBorders>
            <w:shd w:val="clear" w:color="auto" w:fill="auto"/>
            <w:vAlign w:val="center"/>
            <w:hideMark/>
          </w:tcPr>
          <w:p w14:paraId="417FAA5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0.244***</w:t>
            </w:r>
            <w:r w:rsidRPr="00E915AA">
              <w:rPr>
                <w:rFonts w:ascii="Times New Roman" w:eastAsia="Times New Roman" w:hAnsi="Times New Roman" w:cs="Times New Roman"/>
                <w:color w:val="000000"/>
                <w:sz w:val="12"/>
                <w:szCs w:val="12"/>
                <w:lang w:val="en-GB" w:eastAsia="en-GB"/>
              </w:rPr>
              <w:br/>
              <w:t>(3.07)</w:t>
            </w:r>
          </w:p>
        </w:tc>
        <w:tc>
          <w:tcPr>
            <w:tcW w:w="264" w:type="dxa"/>
            <w:tcBorders>
              <w:top w:val="nil"/>
              <w:left w:val="nil"/>
              <w:bottom w:val="nil"/>
              <w:right w:val="nil"/>
            </w:tcBorders>
            <w:shd w:val="clear" w:color="auto" w:fill="auto"/>
            <w:vAlign w:val="center"/>
            <w:hideMark/>
          </w:tcPr>
          <w:p w14:paraId="59B753B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6913EB4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0.252***</w:t>
            </w:r>
            <w:r w:rsidRPr="00E915AA">
              <w:rPr>
                <w:rFonts w:ascii="Times New Roman" w:eastAsia="Times New Roman" w:hAnsi="Times New Roman" w:cs="Times New Roman"/>
                <w:color w:val="000000"/>
                <w:sz w:val="12"/>
                <w:szCs w:val="12"/>
                <w:lang w:val="en-GB" w:eastAsia="en-GB"/>
              </w:rPr>
              <w:br/>
              <w:t>(2.98)</w:t>
            </w:r>
          </w:p>
        </w:tc>
        <w:tc>
          <w:tcPr>
            <w:tcW w:w="709" w:type="dxa"/>
            <w:tcBorders>
              <w:top w:val="nil"/>
              <w:left w:val="nil"/>
              <w:bottom w:val="nil"/>
              <w:right w:val="nil"/>
            </w:tcBorders>
            <w:shd w:val="clear" w:color="auto" w:fill="auto"/>
            <w:vAlign w:val="center"/>
            <w:hideMark/>
          </w:tcPr>
          <w:p w14:paraId="3C35BB1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0.277***</w:t>
            </w:r>
            <w:r w:rsidRPr="00E915AA">
              <w:rPr>
                <w:rFonts w:ascii="Times New Roman" w:eastAsia="Times New Roman" w:hAnsi="Times New Roman" w:cs="Times New Roman"/>
                <w:color w:val="000000"/>
                <w:sz w:val="12"/>
                <w:szCs w:val="12"/>
                <w:lang w:val="en-GB" w:eastAsia="en-GB"/>
              </w:rPr>
              <w:br/>
              <w:t>(3.2)</w:t>
            </w:r>
          </w:p>
        </w:tc>
        <w:tc>
          <w:tcPr>
            <w:tcW w:w="709" w:type="dxa"/>
            <w:tcBorders>
              <w:top w:val="nil"/>
              <w:left w:val="nil"/>
              <w:bottom w:val="nil"/>
              <w:right w:val="nil"/>
            </w:tcBorders>
            <w:shd w:val="clear" w:color="auto" w:fill="auto"/>
            <w:vAlign w:val="center"/>
            <w:hideMark/>
          </w:tcPr>
          <w:p w14:paraId="74563E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0.275**</w:t>
            </w:r>
            <w:r w:rsidRPr="00E915AA">
              <w:rPr>
                <w:rFonts w:ascii="Times New Roman" w:eastAsia="Times New Roman" w:hAnsi="Times New Roman" w:cs="Times New Roman"/>
                <w:color w:val="000000"/>
                <w:sz w:val="12"/>
                <w:szCs w:val="12"/>
                <w:lang w:val="en-GB" w:eastAsia="en-GB"/>
              </w:rPr>
              <w:br/>
              <w:t>(2.33)</w:t>
            </w:r>
          </w:p>
        </w:tc>
        <w:tc>
          <w:tcPr>
            <w:tcW w:w="283" w:type="dxa"/>
            <w:tcBorders>
              <w:top w:val="nil"/>
              <w:left w:val="nil"/>
              <w:bottom w:val="nil"/>
              <w:right w:val="nil"/>
            </w:tcBorders>
            <w:shd w:val="clear" w:color="auto" w:fill="auto"/>
            <w:vAlign w:val="center"/>
            <w:hideMark/>
          </w:tcPr>
          <w:p w14:paraId="2BA7130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4392C00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0.314***</w:t>
            </w:r>
            <w:r w:rsidRPr="00E915AA">
              <w:rPr>
                <w:rFonts w:ascii="Times New Roman" w:eastAsia="Times New Roman" w:hAnsi="Times New Roman" w:cs="Times New Roman"/>
                <w:color w:val="000000"/>
                <w:sz w:val="12"/>
                <w:szCs w:val="12"/>
                <w:lang w:val="en-GB" w:eastAsia="en-GB"/>
              </w:rPr>
              <w:br/>
              <w:t>(6.18)</w:t>
            </w:r>
          </w:p>
        </w:tc>
        <w:tc>
          <w:tcPr>
            <w:tcW w:w="709" w:type="dxa"/>
            <w:tcBorders>
              <w:top w:val="nil"/>
              <w:left w:val="nil"/>
              <w:bottom w:val="nil"/>
              <w:right w:val="nil"/>
            </w:tcBorders>
            <w:shd w:val="clear" w:color="auto" w:fill="auto"/>
            <w:vAlign w:val="center"/>
            <w:hideMark/>
          </w:tcPr>
          <w:p w14:paraId="6FDC978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0.36***</w:t>
            </w:r>
            <w:r w:rsidRPr="00E915AA">
              <w:rPr>
                <w:rFonts w:ascii="Times New Roman" w:eastAsia="Times New Roman" w:hAnsi="Times New Roman" w:cs="Times New Roman"/>
                <w:color w:val="000000"/>
                <w:sz w:val="12"/>
                <w:szCs w:val="12"/>
                <w:lang w:val="en-GB" w:eastAsia="en-GB"/>
              </w:rPr>
              <w:br/>
              <w:t>(7.74)</w:t>
            </w:r>
          </w:p>
        </w:tc>
        <w:tc>
          <w:tcPr>
            <w:tcW w:w="709" w:type="dxa"/>
            <w:tcBorders>
              <w:top w:val="nil"/>
              <w:left w:val="nil"/>
              <w:bottom w:val="nil"/>
              <w:right w:val="nil"/>
            </w:tcBorders>
            <w:shd w:val="clear" w:color="auto" w:fill="auto"/>
            <w:vAlign w:val="center"/>
            <w:hideMark/>
          </w:tcPr>
          <w:p w14:paraId="7CAD82C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0.403***</w:t>
            </w:r>
            <w:r w:rsidRPr="00E915AA">
              <w:rPr>
                <w:rFonts w:ascii="Times New Roman" w:eastAsia="Times New Roman" w:hAnsi="Times New Roman" w:cs="Times New Roman"/>
                <w:color w:val="000000"/>
                <w:sz w:val="12"/>
                <w:szCs w:val="12"/>
                <w:lang w:val="en-GB" w:eastAsia="en-GB"/>
              </w:rPr>
              <w:br/>
              <w:t>(5.22)</w:t>
            </w:r>
          </w:p>
        </w:tc>
        <w:tc>
          <w:tcPr>
            <w:tcW w:w="283" w:type="dxa"/>
            <w:tcBorders>
              <w:top w:val="nil"/>
              <w:left w:val="nil"/>
              <w:bottom w:val="nil"/>
              <w:right w:val="nil"/>
            </w:tcBorders>
            <w:shd w:val="clear" w:color="auto" w:fill="auto"/>
            <w:vAlign w:val="center"/>
            <w:hideMark/>
          </w:tcPr>
          <w:p w14:paraId="277F3F2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57A65E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0.645***</w:t>
            </w:r>
            <w:r w:rsidRPr="00E915AA">
              <w:rPr>
                <w:rFonts w:ascii="Times New Roman" w:eastAsia="Times New Roman" w:hAnsi="Times New Roman" w:cs="Times New Roman"/>
                <w:color w:val="000000"/>
                <w:sz w:val="12"/>
                <w:szCs w:val="12"/>
                <w:lang w:val="en-GB" w:eastAsia="en-GB"/>
              </w:rPr>
              <w:br/>
              <w:t>(3.35)</w:t>
            </w:r>
          </w:p>
        </w:tc>
        <w:tc>
          <w:tcPr>
            <w:tcW w:w="701" w:type="dxa"/>
            <w:gridSpan w:val="2"/>
            <w:tcBorders>
              <w:top w:val="nil"/>
              <w:left w:val="nil"/>
              <w:bottom w:val="nil"/>
              <w:right w:val="nil"/>
            </w:tcBorders>
            <w:shd w:val="clear" w:color="auto" w:fill="auto"/>
            <w:vAlign w:val="center"/>
            <w:hideMark/>
          </w:tcPr>
          <w:p w14:paraId="24829D8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0.706***</w:t>
            </w:r>
            <w:r w:rsidRPr="00E915AA">
              <w:rPr>
                <w:rFonts w:ascii="Times New Roman" w:eastAsia="Times New Roman" w:hAnsi="Times New Roman" w:cs="Times New Roman"/>
                <w:color w:val="000000"/>
                <w:sz w:val="12"/>
                <w:szCs w:val="12"/>
                <w:lang w:val="en-GB" w:eastAsia="en-GB"/>
              </w:rPr>
              <w:br/>
              <w:t>(3.8)</w:t>
            </w:r>
          </w:p>
        </w:tc>
        <w:tc>
          <w:tcPr>
            <w:tcW w:w="738" w:type="dxa"/>
            <w:tcBorders>
              <w:top w:val="nil"/>
              <w:left w:val="nil"/>
              <w:bottom w:val="nil"/>
              <w:right w:val="nil"/>
            </w:tcBorders>
            <w:shd w:val="clear" w:color="auto" w:fill="auto"/>
            <w:vAlign w:val="center"/>
            <w:hideMark/>
          </w:tcPr>
          <w:p w14:paraId="41E2E50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0.786***</w:t>
            </w:r>
            <w:r w:rsidRPr="00E915AA">
              <w:rPr>
                <w:rFonts w:ascii="Times New Roman" w:eastAsia="Times New Roman" w:hAnsi="Times New Roman" w:cs="Times New Roman"/>
                <w:color w:val="000000"/>
                <w:sz w:val="12"/>
                <w:szCs w:val="12"/>
                <w:lang w:val="en-GB" w:eastAsia="en-GB"/>
              </w:rPr>
              <w:br/>
              <w:t>(3.2)</w:t>
            </w:r>
          </w:p>
        </w:tc>
        <w:tc>
          <w:tcPr>
            <w:tcW w:w="251" w:type="dxa"/>
            <w:tcBorders>
              <w:top w:val="nil"/>
              <w:left w:val="nil"/>
              <w:bottom w:val="nil"/>
              <w:right w:val="nil"/>
            </w:tcBorders>
            <w:shd w:val="clear" w:color="auto" w:fill="auto"/>
            <w:vAlign w:val="center"/>
            <w:hideMark/>
          </w:tcPr>
          <w:p w14:paraId="3879A10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2D234EB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0.648***</w:t>
            </w:r>
            <w:r w:rsidRPr="00E915AA">
              <w:rPr>
                <w:rFonts w:ascii="Times New Roman" w:eastAsia="Times New Roman" w:hAnsi="Times New Roman" w:cs="Times New Roman"/>
                <w:color w:val="000000"/>
                <w:sz w:val="12"/>
                <w:szCs w:val="12"/>
                <w:lang w:val="en-GB" w:eastAsia="en-GB"/>
              </w:rPr>
              <w:br/>
              <w:t>(4.32)</w:t>
            </w:r>
          </w:p>
        </w:tc>
        <w:tc>
          <w:tcPr>
            <w:tcW w:w="731" w:type="dxa"/>
            <w:tcBorders>
              <w:top w:val="nil"/>
              <w:left w:val="nil"/>
              <w:bottom w:val="nil"/>
              <w:right w:val="nil"/>
            </w:tcBorders>
            <w:shd w:val="clear" w:color="auto" w:fill="auto"/>
            <w:vAlign w:val="center"/>
            <w:hideMark/>
          </w:tcPr>
          <w:p w14:paraId="3E8F1BF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0.743***</w:t>
            </w:r>
            <w:r w:rsidRPr="00E915AA">
              <w:rPr>
                <w:rFonts w:ascii="Times New Roman" w:eastAsia="Times New Roman" w:hAnsi="Times New Roman" w:cs="Times New Roman"/>
                <w:color w:val="000000"/>
                <w:sz w:val="12"/>
                <w:szCs w:val="12"/>
                <w:lang w:val="en-GB" w:eastAsia="en-GB"/>
              </w:rPr>
              <w:br/>
              <w:t>(6.99)</w:t>
            </w:r>
          </w:p>
        </w:tc>
        <w:tc>
          <w:tcPr>
            <w:tcW w:w="726" w:type="dxa"/>
            <w:tcBorders>
              <w:top w:val="nil"/>
              <w:left w:val="nil"/>
              <w:bottom w:val="nil"/>
              <w:right w:val="nil"/>
            </w:tcBorders>
            <w:shd w:val="clear" w:color="auto" w:fill="auto"/>
            <w:vAlign w:val="center"/>
            <w:hideMark/>
          </w:tcPr>
          <w:p w14:paraId="1330C50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0.831***</w:t>
            </w:r>
            <w:r w:rsidRPr="00E915AA">
              <w:rPr>
                <w:rFonts w:ascii="Times New Roman" w:eastAsia="Times New Roman" w:hAnsi="Times New Roman" w:cs="Times New Roman"/>
                <w:color w:val="000000"/>
                <w:sz w:val="12"/>
                <w:szCs w:val="12"/>
                <w:lang w:val="en-GB" w:eastAsia="en-GB"/>
              </w:rPr>
              <w:br/>
              <w:t>(5.28)</w:t>
            </w:r>
          </w:p>
        </w:tc>
      </w:tr>
      <w:tr w:rsidR="00F14709" w:rsidRPr="00E915AA" w14:paraId="2A904CD1" w14:textId="77777777" w:rsidTr="00110FF6">
        <w:trPr>
          <w:trHeight w:val="427"/>
        </w:trPr>
        <w:tc>
          <w:tcPr>
            <w:tcW w:w="1276" w:type="dxa"/>
            <w:tcBorders>
              <w:top w:val="nil"/>
              <w:left w:val="nil"/>
              <w:bottom w:val="nil"/>
              <w:right w:val="nil"/>
            </w:tcBorders>
            <w:shd w:val="clear" w:color="auto" w:fill="auto"/>
            <w:vAlign w:val="center"/>
            <w:hideMark/>
          </w:tcPr>
          <w:p w14:paraId="5F0CADD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M&amp;A</w:t>
            </w:r>
          </w:p>
        </w:tc>
        <w:tc>
          <w:tcPr>
            <w:tcW w:w="273" w:type="dxa"/>
            <w:tcBorders>
              <w:top w:val="nil"/>
              <w:left w:val="nil"/>
              <w:bottom w:val="nil"/>
              <w:right w:val="nil"/>
            </w:tcBorders>
            <w:shd w:val="clear" w:color="auto" w:fill="auto"/>
            <w:vAlign w:val="center"/>
            <w:hideMark/>
          </w:tcPr>
          <w:p w14:paraId="0476CC8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5C92322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0.094</w:t>
            </w:r>
            <w:r w:rsidRPr="00E915AA">
              <w:rPr>
                <w:rFonts w:ascii="Times New Roman" w:eastAsia="Times New Roman" w:hAnsi="Times New Roman" w:cs="Times New Roman"/>
                <w:color w:val="000000"/>
                <w:sz w:val="12"/>
                <w:szCs w:val="12"/>
                <w:lang w:val="en-GB" w:eastAsia="en-GB"/>
              </w:rPr>
              <w:br/>
              <w:t>(1.33)</w:t>
            </w:r>
          </w:p>
        </w:tc>
        <w:tc>
          <w:tcPr>
            <w:tcW w:w="708" w:type="dxa"/>
            <w:tcBorders>
              <w:top w:val="nil"/>
              <w:left w:val="nil"/>
              <w:bottom w:val="nil"/>
              <w:right w:val="nil"/>
            </w:tcBorders>
            <w:shd w:val="clear" w:color="auto" w:fill="auto"/>
            <w:vAlign w:val="center"/>
            <w:hideMark/>
          </w:tcPr>
          <w:p w14:paraId="6F9C23A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0.097</w:t>
            </w:r>
            <w:r w:rsidRPr="00E915AA">
              <w:rPr>
                <w:rFonts w:ascii="Times New Roman" w:eastAsia="Times New Roman" w:hAnsi="Times New Roman" w:cs="Times New Roman"/>
                <w:color w:val="000000"/>
                <w:sz w:val="12"/>
                <w:szCs w:val="12"/>
                <w:lang w:val="en-GB" w:eastAsia="en-GB"/>
              </w:rPr>
              <w:br/>
              <w:t>(1.31)</w:t>
            </w:r>
          </w:p>
        </w:tc>
        <w:tc>
          <w:tcPr>
            <w:tcW w:w="709" w:type="dxa"/>
            <w:tcBorders>
              <w:top w:val="nil"/>
              <w:left w:val="nil"/>
              <w:bottom w:val="nil"/>
              <w:right w:val="nil"/>
            </w:tcBorders>
            <w:shd w:val="clear" w:color="auto" w:fill="auto"/>
            <w:vAlign w:val="center"/>
            <w:hideMark/>
          </w:tcPr>
          <w:p w14:paraId="541134D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0.062</w:t>
            </w:r>
            <w:r w:rsidRPr="00E915AA">
              <w:rPr>
                <w:rFonts w:ascii="Times New Roman" w:eastAsia="Times New Roman" w:hAnsi="Times New Roman" w:cs="Times New Roman"/>
                <w:color w:val="000000"/>
                <w:sz w:val="12"/>
                <w:szCs w:val="12"/>
                <w:lang w:val="en-GB" w:eastAsia="en-GB"/>
              </w:rPr>
              <w:br/>
              <w:t>(1.11)</w:t>
            </w:r>
          </w:p>
        </w:tc>
        <w:tc>
          <w:tcPr>
            <w:tcW w:w="264" w:type="dxa"/>
            <w:tcBorders>
              <w:top w:val="nil"/>
              <w:left w:val="nil"/>
              <w:bottom w:val="nil"/>
              <w:right w:val="nil"/>
            </w:tcBorders>
            <w:shd w:val="clear" w:color="auto" w:fill="auto"/>
            <w:vAlign w:val="center"/>
            <w:hideMark/>
          </w:tcPr>
          <w:p w14:paraId="3325986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4453FE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0.079*</w:t>
            </w:r>
            <w:r w:rsidRPr="00E915AA">
              <w:rPr>
                <w:rFonts w:ascii="Times New Roman" w:eastAsia="Times New Roman" w:hAnsi="Times New Roman" w:cs="Times New Roman"/>
                <w:color w:val="000000"/>
                <w:sz w:val="12"/>
                <w:szCs w:val="12"/>
                <w:lang w:val="en-GB" w:eastAsia="en-GB"/>
              </w:rPr>
              <w:br/>
              <w:t>(1.95)</w:t>
            </w:r>
          </w:p>
        </w:tc>
        <w:tc>
          <w:tcPr>
            <w:tcW w:w="709" w:type="dxa"/>
            <w:tcBorders>
              <w:top w:val="nil"/>
              <w:left w:val="nil"/>
              <w:bottom w:val="nil"/>
              <w:right w:val="nil"/>
            </w:tcBorders>
            <w:shd w:val="clear" w:color="auto" w:fill="auto"/>
            <w:vAlign w:val="center"/>
            <w:hideMark/>
          </w:tcPr>
          <w:p w14:paraId="654C14D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0.074**</w:t>
            </w:r>
            <w:r w:rsidRPr="00E915AA">
              <w:rPr>
                <w:rFonts w:ascii="Times New Roman" w:eastAsia="Times New Roman" w:hAnsi="Times New Roman" w:cs="Times New Roman"/>
                <w:color w:val="000000"/>
                <w:sz w:val="12"/>
                <w:szCs w:val="12"/>
                <w:lang w:val="en-GB" w:eastAsia="en-GB"/>
              </w:rPr>
              <w:br/>
              <w:t>(1.98)</w:t>
            </w:r>
          </w:p>
        </w:tc>
        <w:tc>
          <w:tcPr>
            <w:tcW w:w="709" w:type="dxa"/>
            <w:tcBorders>
              <w:top w:val="nil"/>
              <w:left w:val="nil"/>
              <w:bottom w:val="nil"/>
              <w:right w:val="nil"/>
            </w:tcBorders>
            <w:shd w:val="clear" w:color="auto" w:fill="auto"/>
            <w:vAlign w:val="center"/>
            <w:hideMark/>
          </w:tcPr>
          <w:p w14:paraId="32C850E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0.062</w:t>
            </w:r>
            <w:r w:rsidRPr="00E915AA">
              <w:rPr>
                <w:rFonts w:ascii="Times New Roman" w:eastAsia="Times New Roman" w:hAnsi="Times New Roman" w:cs="Times New Roman"/>
                <w:color w:val="000000"/>
                <w:sz w:val="12"/>
                <w:szCs w:val="12"/>
                <w:lang w:val="en-GB" w:eastAsia="en-GB"/>
              </w:rPr>
              <w:br/>
              <w:t>(1.48)</w:t>
            </w:r>
          </w:p>
        </w:tc>
        <w:tc>
          <w:tcPr>
            <w:tcW w:w="283" w:type="dxa"/>
            <w:tcBorders>
              <w:top w:val="nil"/>
              <w:left w:val="nil"/>
              <w:bottom w:val="nil"/>
              <w:right w:val="nil"/>
            </w:tcBorders>
            <w:shd w:val="clear" w:color="auto" w:fill="auto"/>
            <w:vAlign w:val="center"/>
            <w:hideMark/>
          </w:tcPr>
          <w:p w14:paraId="49D55F4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19B3FB3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0.189***</w:t>
            </w:r>
            <w:r w:rsidRPr="00E915AA">
              <w:rPr>
                <w:rFonts w:ascii="Times New Roman" w:eastAsia="Times New Roman" w:hAnsi="Times New Roman" w:cs="Times New Roman"/>
                <w:color w:val="000000"/>
                <w:sz w:val="12"/>
                <w:szCs w:val="12"/>
                <w:lang w:val="en-GB" w:eastAsia="en-GB"/>
              </w:rPr>
              <w:br/>
              <w:t>(3.53)</w:t>
            </w:r>
          </w:p>
        </w:tc>
        <w:tc>
          <w:tcPr>
            <w:tcW w:w="709" w:type="dxa"/>
            <w:tcBorders>
              <w:top w:val="nil"/>
              <w:left w:val="nil"/>
              <w:bottom w:val="nil"/>
              <w:right w:val="nil"/>
            </w:tcBorders>
            <w:shd w:val="clear" w:color="auto" w:fill="auto"/>
            <w:vAlign w:val="center"/>
            <w:hideMark/>
          </w:tcPr>
          <w:p w14:paraId="28B8FBB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0.185***</w:t>
            </w:r>
            <w:r w:rsidRPr="00E915AA">
              <w:rPr>
                <w:rFonts w:ascii="Times New Roman" w:eastAsia="Times New Roman" w:hAnsi="Times New Roman" w:cs="Times New Roman"/>
                <w:color w:val="000000"/>
                <w:sz w:val="12"/>
                <w:szCs w:val="12"/>
                <w:lang w:val="en-GB" w:eastAsia="en-GB"/>
              </w:rPr>
              <w:br/>
              <w:t>(3.09)</w:t>
            </w:r>
          </w:p>
        </w:tc>
        <w:tc>
          <w:tcPr>
            <w:tcW w:w="709" w:type="dxa"/>
            <w:tcBorders>
              <w:top w:val="nil"/>
              <w:left w:val="nil"/>
              <w:bottom w:val="nil"/>
              <w:right w:val="nil"/>
            </w:tcBorders>
            <w:shd w:val="clear" w:color="auto" w:fill="auto"/>
            <w:vAlign w:val="center"/>
            <w:hideMark/>
          </w:tcPr>
          <w:p w14:paraId="5B9E798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0.152***</w:t>
            </w:r>
            <w:r w:rsidRPr="00E915AA">
              <w:rPr>
                <w:rFonts w:ascii="Times New Roman" w:eastAsia="Times New Roman" w:hAnsi="Times New Roman" w:cs="Times New Roman"/>
                <w:color w:val="000000"/>
                <w:sz w:val="12"/>
                <w:szCs w:val="12"/>
                <w:lang w:val="en-GB" w:eastAsia="en-GB"/>
              </w:rPr>
              <w:br/>
              <w:t>(3.38)</w:t>
            </w:r>
          </w:p>
        </w:tc>
        <w:tc>
          <w:tcPr>
            <w:tcW w:w="283" w:type="dxa"/>
            <w:tcBorders>
              <w:top w:val="nil"/>
              <w:left w:val="nil"/>
              <w:bottom w:val="nil"/>
              <w:right w:val="nil"/>
            </w:tcBorders>
            <w:shd w:val="clear" w:color="auto" w:fill="auto"/>
            <w:vAlign w:val="center"/>
            <w:hideMark/>
          </w:tcPr>
          <w:p w14:paraId="69A9BB4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2F83C28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0.229</w:t>
            </w:r>
            <w:r w:rsidRPr="00E915AA">
              <w:rPr>
                <w:rFonts w:ascii="Times New Roman" w:eastAsia="Times New Roman" w:hAnsi="Times New Roman" w:cs="Times New Roman"/>
                <w:color w:val="000000"/>
                <w:sz w:val="12"/>
                <w:szCs w:val="12"/>
                <w:lang w:val="en-GB" w:eastAsia="en-GB"/>
              </w:rPr>
              <w:br/>
              <w:t>(1.16)</w:t>
            </w:r>
          </w:p>
        </w:tc>
        <w:tc>
          <w:tcPr>
            <w:tcW w:w="701" w:type="dxa"/>
            <w:gridSpan w:val="2"/>
            <w:tcBorders>
              <w:top w:val="nil"/>
              <w:left w:val="nil"/>
              <w:bottom w:val="nil"/>
              <w:right w:val="nil"/>
            </w:tcBorders>
            <w:shd w:val="clear" w:color="auto" w:fill="auto"/>
            <w:vAlign w:val="center"/>
            <w:hideMark/>
          </w:tcPr>
          <w:p w14:paraId="6CCAA66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0.208</w:t>
            </w:r>
            <w:r w:rsidRPr="00E915AA">
              <w:rPr>
                <w:rFonts w:ascii="Times New Roman" w:eastAsia="Times New Roman" w:hAnsi="Times New Roman" w:cs="Times New Roman"/>
                <w:color w:val="000000"/>
                <w:sz w:val="12"/>
                <w:szCs w:val="12"/>
                <w:lang w:val="en-GB" w:eastAsia="en-GB"/>
              </w:rPr>
              <w:br/>
              <w:t>(1.02)</w:t>
            </w:r>
          </w:p>
        </w:tc>
        <w:tc>
          <w:tcPr>
            <w:tcW w:w="738" w:type="dxa"/>
            <w:tcBorders>
              <w:top w:val="nil"/>
              <w:left w:val="nil"/>
              <w:bottom w:val="nil"/>
              <w:right w:val="nil"/>
            </w:tcBorders>
            <w:shd w:val="clear" w:color="auto" w:fill="auto"/>
            <w:vAlign w:val="center"/>
            <w:hideMark/>
          </w:tcPr>
          <w:p w14:paraId="355EDD2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0.142</w:t>
            </w:r>
            <w:r w:rsidRPr="00E915AA">
              <w:rPr>
                <w:rFonts w:ascii="Times New Roman" w:eastAsia="Times New Roman" w:hAnsi="Times New Roman" w:cs="Times New Roman"/>
                <w:color w:val="000000"/>
                <w:sz w:val="12"/>
                <w:szCs w:val="12"/>
                <w:lang w:val="en-GB" w:eastAsia="en-GB"/>
              </w:rPr>
              <w:br/>
              <w:t>(0.65)</w:t>
            </w:r>
          </w:p>
        </w:tc>
        <w:tc>
          <w:tcPr>
            <w:tcW w:w="251" w:type="dxa"/>
            <w:tcBorders>
              <w:top w:val="nil"/>
              <w:left w:val="nil"/>
              <w:bottom w:val="nil"/>
              <w:right w:val="nil"/>
            </w:tcBorders>
            <w:shd w:val="clear" w:color="auto" w:fill="auto"/>
            <w:vAlign w:val="center"/>
            <w:hideMark/>
          </w:tcPr>
          <w:p w14:paraId="135777F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DA2F5A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0.313**</w:t>
            </w:r>
            <w:r w:rsidRPr="00E915AA">
              <w:rPr>
                <w:rFonts w:ascii="Times New Roman" w:eastAsia="Times New Roman" w:hAnsi="Times New Roman" w:cs="Times New Roman"/>
                <w:color w:val="000000"/>
                <w:sz w:val="12"/>
                <w:szCs w:val="12"/>
                <w:lang w:val="en-GB" w:eastAsia="en-GB"/>
              </w:rPr>
              <w:br/>
              <w:t>(2.04)</w:t>
            </w:r>
          </w:p>
        </w:tc>
        <w:tc>
          <w:tcPr>
            <w:tcW w:w="731" w:type="dxa"/>
            <w:tcBorders>
              <w:top w:val="nil"/>
              <w:left w:val="nil"/>
              <w:bottom w:val="nil"/>
              <w:right w:val="nil"/>
            </w:tcBorders>
            <w:shd w:val="clear" w:color="auto" w:fill="auto"/>
            <w:vAlign w:val="center"/>
            <w:hideMark/>
          </w:tcPr>
          <w:p w14:paraId="0FB80D1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0.319*</w:t>
            </w:r>
            <w:r w:rsidRPr="00E915AA">
              <w:rPr>
                <w:rFonts w:ascii="Times New Roman" w:eastAsia="Times New Roman" w:hAnsi="Times New Roman" w:cs="Times New Roman"/>
                <w:color w:val="000000"/>
                <w:sz w:val="12"/>
                <w:szCs w:val="12"/>
                <w:lang w:val="en-GB" w:eastAsia="en-GB"/>
              </w:rPr>
              <w:br/>
              <w:t>(1.88)</w:t>
            </w:r>
          </w:p>
        </w:tc>
        <w:tc>
          <w:tcPr>
            <w:tcW w:w="726" w:type="dxa"/>
            <w:tcBorders>
              <w:top w:val="nil"/>
              <w:left w:val="nil"/>
              <w:bottom w:val="nil"/>
              <w:right w:val="nil"/>
            </w:tcBorders>
            <w:shd w:val="clear" w:color="auto" w:fill="auto"/>
            <w:vAlign w:val="center"/>
            <w:hideMark/>
          </w:tcPr>
          <w:p w14:paraId="22DA44D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0.27*</w:t>
            </w:r>
            <w:r w:rsidRPr="00E915AA">
              <w:rPr>
                <w:rFonts w:ascii="Times New Roman" w:eastAsia="Times New Roman" w:hAnsi="Times New Roman" w:cs="Times New Roman"/>
                <w:color w:val="000000"/>
                <w:sz w:val="12"/>
                <w:szCs w:val="12"/>
                <w:lang w:val="en-GB" w:eastAsia="en-GB"/>
              </w:rPr>
              <w:br/>
              <w:t>(1.67)</w:t>
            </w:r>
          </w:p>
        </w:tc>
      </w:tr>
      <w:tr w:rsidR="00F14709" w:rsidRPr="00E915AA" w14:paraId="71F62F91" w14:textId="77777777" w:rsidTr="00110FF6">
        <w:trPr>
          <w:trHeight w:val="291"/>
        </w:trPr>
        <w:tc>
          <w:tcPr>
            <w:tcW w:w="1276" w:type="dxa"/>
            <w:tcBorders>
              <w:top w:val="nil"/>
              <w:left w:val="nil"/>
              <w:bottom w:val="nil"/>
              <w:right w:val="nil"/>
            </w:tcBorders>
            <w:shd w:val="clear" w:color="auto" w:fill="auto"/>
            <w:vAlign w:val="center"/>
            <w:hideMark/>
          </w:tcPr>
          <w:p w14:paraId="7CDFBDC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CEO-chairman</w:t>
            </w:r>
          </w:p>
        </w:tc>
        <w:tc>
          <w:tcPr>
            <w:tcW w:w="273" w:type="dxa"/>
            <w:tcBorders>
              <w:top w:val="nil"/>
              <w:left w:val="nil"/>
              <w:bottom w:val="nil"/>
              <w:right w:val="nil"/>
            </w:tcBorders>
            <w:shd w:val="clear" w:color="auto" w:fill="auto"/>
            <w:vAlign w:val="center"/>
            <w:hideMark/>
          </w:tcPr>
          <w:p w14:paraId="2E812D1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2CAB166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-0.013</w:t>
            </w:r>
            <w:r w:rsidRPr="00E915AA">
              <w:rPr>
                <w:rFonts w:ascii="Times New Roman" w:eastAsia="Times New Roman" w:hAnsi="Times New Roman" w:cs="Times New Roman"/>
                <w:color w:val="000000"/>
                <w:sz w:val="12"/>
                <w:szCs w:val="12"/>
                <w:lang w:val="en-GB" w:eastAsia="en-GB"/>
              </w:rPr>
              <w:br/>
              <w:t>(-0.24)</w:t>
            </w:r>
          </w:p>
        </w:tc>
        <w:tc>
          <w:tcPr>
            <w:tcW w:w="708" w:type="dxa"/>
            <w:tcBorders>
              <w:top w:val="nil"/>
              <w:left w:val="nil"/>
              <w:bottom w:val="nil"/>
              <w:right w:val="nil"/>
            </w:tcBorders>
            <w:shd w:val="clear" w:color="auto" w:fill="auto"/>
            <w:vAlign w:val="center"/>
            <w:hideMark/>
          </w:tcPr>
          <w:p w14:paraId="3A86775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-0.016</w:t>
            </w:r>
            <w:r w:rsidRPr="00E915AA">
              <w:rPr>
                <w:rFonts w:ascii="Times New Roman" w:eastAsia="Times New Roman" w:hAnsi="Times New Roman" w:cs="Times New Roman"/>
                <w:color w:val="000000"/>
                <w:sz w:val="12"/>
                <w:szCs w:val="12"/>
                <w:lang w:val="en-GB" w:eastAsia="en-GB"/>
              </w:rPr>
              <w:br/>
              <w:t>(-0.31)</w:t>
            </w:r>
          </w:p>
        </w:tc>
        <w:tc>
          <w:tcPr>
            <w:tcW w:w="709" w:type="dxa"/>
            <w:tcBorders>
              <w:top w:val="nil"/>
              <w:left w:val="nil"/>
              <w:bottom w:val="nil"/>
              <w:right w:val="nil"/>
            </w:tcBorders>
            <w:shd w:val="clear" w:color="auto" w:fill="auto"/>
            <w:vAlign w:val="center"/>
            <w:hideMark/>
          </w:tcPr>
          <w:p w14:paraId="539CC78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-0.012</w:t>
            </w:r>
            <w:r w:rsidRPr="00E915AA">
              <w:rPr>
                <w:rFonts w:ascii="Times New Roman" w:eastAsia="Times New Roman" w:hAnsi="Times New Roman" w:cs="Times New Roman"/>
                <w:color w:val="000000"/>
                <w:sz w:val="12"/>
                <w:szCs w:val="12"/>
                <w:lang w:val="en-GB" w:eastAsia="en-GB"/>
              </w:rPr>
              <w:br/>
              <w:t>(-0.23)</w:t>
            </w:r>
          </w:p>
        </w:tc>
        <w:tc>
          <w:tcPr>
            <w:tcW w:w="264" w:type="dxa"/>
            <w:tcBorders>
              <w:top w:val="nil"/>
              <w:left w:val="nil"/>
              <w:bottom w:val="nil"/>
              <w:right w:val="nil"/>
            </w:tcBorders>
            <w:shd w:val="clear" w:color="auto" w:fill="auto"/>
            <w:vAlign w:val="center"/>
            <w:hideMark/>
          </w:tcPr>
          <w:p w14:paraId="409F631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3DA9CD3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0.069</w:t>
            </w:r>
            <w:r w:rsidRPr="00E915AA">
              <w:rPr>
                <w:rFonts w:ascii="Times New Roman" w:eastAsia="Times New Roman" w:hAnsi="Times New Roman" w:cs="Times New Roman"/>
                <w:color w:val="000000"/>
                <w:sz w:val="12"/>
                <w:szCs w:val="12"/>
                <w:lang w:val="en-GB" w:eastAsia="en-GB"/>
              </w:rPr>
              <w:br/>
              <w:t>(1.07)</w:t>
            </w:r>
          </w:p>
        </w:tc>
        <w:tc>
          <w:tcPr>
            <w:tcW w:w="709" w:type="dxa"/>
            <w:tcBorders>
              <w:top w:val="nil"/>
              <w:left w:val="nil"/>
              <w:bottom w:val="nil"/>
              <w:right w:val="nil"/>
            </w:tcBorders>
            <w:shd w:val="clear" w:color="auto" w:fill="auto"/>
            <w:vAlign w:val="center"/>
            <w:hideMark/>
          </w:tcPr>
          <w:p w14:paraId="3632789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0.056</w:t>
            </w:r>
            <w:r w:rsidRPr="00E915AA">
              <w:rPr>
                <w:rFonts w:ascii="Times New Roman" w:eastAsia="Times New Roman" w:hAnsi="Times New Roman" w:cs="Times New Roman"/>
                <w:color w:val="000000"/>
                <w:sz w:val="12"/>
                <w:szCs w:val="12"/>
                <w:lang w:val="en-GB" w:eastAsia="en-GB"/>
              </w:rPr>
              <w:br/>
              <w:t>(0.81)</w:t>
            </w:r>
          </w:p>
        </w:tc>
        <w:tc>
          <w:tcPr>
            <w:tcW w:w="709" w:type="dxa"/>
            <w:tcBorders>
              <w:top w:val="nil"/>
              <w:left w:val="nil"/>
              <w:bottom w:val="nil"/>
              <w:right w:val="nil"/>
            </w:tcBorders>
            <w:shd w:val="clear" w:color="auto" w:fill="auto"/>
            <w:vAlign w:val="center"/>
            <w:hideMark/>
          </w:tcPr>
          <w:p w14:paraId="494A23B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0.079</w:t>
            </w:r>
            <w:r w:rsidRPr="00E915AA">
              <w:rPr>
                <w:rFonts w:ascii="Times New Roman" w:eastAsia="Times New Roman" w:hAnsi="Times New Roman" w:cs="Times New Roman"/>
                <w:color w:val="000000"/>
                <w:sz w:val="12"/>
                <w:szCs w:val="12"/>
                <w:lang w:val="en-GB" w:eastAsia="en-GB"/>
              </w:rPr>
              <w:br/>
              <w:t>(1.09)</w:t>
            </w:r>
          </w:p>
        </w:tc>
        <w:tc>
          <w:tcPr>
            <w:tcW w:w="283" w:type="dxa"/>
            <w:tcBorders>
              <w:top w:val="nil"/>
              <w:left w:val="nil"/>
              <w:bottom w:val="nil"/>
              <w:right w:val="nil"/>
            </w:tcBorders>
            <w:shd w:val="clear" w:color="auto" w:fill="auto"/>
            <w:vAlign w:val="center"/>
            <w:hideMark/>
          </w:tcPr>
          <w:p w14:paraId="3C49B11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721AEE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-0.028</w:t>
            </w:r>
            <w:r w:rsidRPr="00E915AA">
              <w:rPr>
                <w:rFonts w:ascii="Times New Roman" w:eastAsia="Times New Roman" w:hAnsi="Times New Roman" w:cs="Times New Roman"/>
                <w:color w:val="000000"/>
                <w:sz w:val="12"/>
                <w:szCs w:val="12"/>
                <w:lang w:val="en-GB" w:eastAsia="en-GB"/>
              </w:rPr>
              <w:br/>
              <w:t>(-0.55)</w:t>
            </w:r>
          </w:p>
        </w:tc>
        <w:tc>
          <w:tcPr>
            <w:tcW w:w="709" w:type="dxa"/>
            <w:tcBorders>
              <w:top w:val="nil"/>
              <w:left w:val="nil"/>
              <w:bottom w:val="nil"/>
              <w:right w:val="nil"/>
            </w:tcBorders>
            <w:shd w:val="clear" w:color="auto" w:fill="auto"/>
            <w:vAlign w:val="center"/>
            <w:hideMark/>
          </w:tcPr>
          <w:p w14:paraId="0E314BF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-0.046</w:t>
            </w:r>
            <w:r w:rsidRPr="00E915AA">
              <w:rPr>
                <w:rFonts w:ascii="Times New Roman" w:eastAsia="Times New Roman" w:hAnsi="Times New Roman" w:cs="Times New Roman"/>
                <w:color w:val="000000"/>
                <w:sz w:val="12"/>
                <w:szCs w:val="12"/>
                <w:lang w:val="en-GB" w:eastAsia="en-GB"/>
              </w:rPr>
              <w:br/>
              <w:t>(-0.84)</w:t>
            </w:r>
          </w:p>
        </w:tc>
        <w:tc>
          <w:tcPr>
            <w:tcW w:w="709" w:type="dxa"/>
            <w:tcBorders>
              <w:top w:val="nil"/>
              <w:left w:val="nil"/>
              <w:bottom w:val="nil"/>
              <w:right w:val="nil"/>
            </w:tcBorders>
            <w:shd w:val="clear" w:color="auto" w:fill="auto"/>
            <w:vAlign w:val="center"/>
            <w:hideMark/>
          </w:tcPr>
          <w:p w14:paraId="143BD4A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-0.054</w:t>
            </w:r>
            <w:r w:rsidRPr="00E915AA">
              <w:rPr>
                <w:rFonts w:ascii="Times New Roman" w:eastAsia="Times New Roman" w:hAnsi="Times New Roman" w:cs="Times New Roman"/>
                <w:color w:val="000000"/>
                <w:sz w:val="12"/>
                <w:szCs w:val="12"/>
                <w:lang w:val="en-GB" w:eastAsia="en-GB"/>
              </w:rPr>
              <w:br/>
              <w:t>(-0.94)</w:t>
            </w:r>
          </w:p>
        </w:tc>
        <w:tc>
          <w:tcPr>
            <w:tcW w:w="283" w:type="dxa"/>
            <w:tcBorders>
              <w:top w:val="nil"/>
              <w:left w:val="nil"/>
              <w:bottom w:val="nil"/>
              <w:right w:val="nil"/>
            </w:tcBorders>
            <w:shd w:val="clear" w:color="auto" w:fill="auto"/>
            <w:vAlign w:val="center"/>
            <w:hideMark/>
          </w:tcPr>
          <w:p w14:paraId="56595AD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3CFFAE7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w:t>
            </w:r>
            <w:r w:rsidRPr="00E915AA">
              <w:rPr>
                <w:rFonts w:ascii="Times New Roman" w:eastAsia="Times New Roman" w:hAnsi="Times New Roman" w:cs="Times New Roman"/>
                <w:color w:val="000000"/>
                <w:sz w:val="12"/>
                <w:szCs w:val="12"/>
                <w:lang w:val="en-GB" w:eastAsia="en-GB"/>
              </w:rPr>
              <w:br/>
              <w:t>(-0.67)</w:t>
            </w:r>
          </w:p>
        </w:tc>
        <w:tc>
          <w:tcPr>
            <w:tcW w:w="701" w:type="dxa"/>
            <w:gridSpan w:val="2"/>
            <w:tcBorders>
              <w:top w:val="nil"/>
              <w:left w:val="nil"/>
              <w:bottom w:val="nil"/>
              <w:right w:val="nil"/>
            </w:tcBorders>
            <w:shd w:val="clear" w:color="auto" w:fill="auto"/>
            <w:vAlign w:val="center"/>
            <w:hideMark/>
          </w:tcPr>
          <w:p w14:paraId="37D517C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-0.074</w:t>
            </w:r>
            <w:r w:rsidRPr="00E915AA">
              <w:rPr>
                <w:rFonts w:ascii="Times New Roman" w:eastAsia="Times New Roman" w:hAnsi="Times New Roman" w:cs="Times New Roman"/>
                <w:color w:val="000000"/>
                <w:sz w:val="12"/>
                <w:szCs w:val="12"/>
                <w:lang w:val="en-GB" w:eastAsia="en-GB"/>
              </w:rPr>
              <w:br/>
              <w:t>(-0.7)</w:t>
            </w:r>
          </w:p>
        </w:tc>
        <w:tc>
          <w:tcPr>
            <w:tcW w:w="738" w:type="dxa"/>
            <w:tcBorders>
              <w:top w:val="nil"/>
              <w:left w:val="nil"/>
              <w:bottom w:val="nil"/>
              <w:right w:val="nil"/>
            </w:tcBorders>
            <w:shd w:val="clear" w:color="auto" w:fill="auto"/>
            <w:vAlign w:val="center"/>
            <w:hideMark/>
          </w:tcPr>
          <w:p w14:paraId="04FEBDA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-0.06</w:t>
            </w:r>
            <w:r w:rsidRPr="00E915AA">
              <w:rPr>
                <w:rFonts w:ascii="Times New Roman" w:eastAsia="Times New Roman" w:hAnsi="Times New Roman" w:cs="Times New Roman"/>
                <w:color w:val="000000"/>
                <w:sz w:val="12"/>
                <w:szCs w:val="12"/>
                <w:lang w:val="en-GB" w:eastAsia="en-GB"/>
              </w:rPr>
              <w:br/>
              <w:t>(-0.59)</w:t>
            </w:r>
          </w:p>
        </w:tc>
        <w:tc>
          <w:tcPr>
            <w:tcW w:w="251" w:type="dxa"/>
            <w:tcBorders>
              <w:top w:val="nil"/>
              <w:left w:val="nil"/>
              <w:bottom w:val="nil"/>
              <w:right w:val="nil"/>
            </w:tcBorders>
            <w:shd w:val="clear" w:color="auto" w:fill="auto"/>
            <w:vAlign w:val="center"/>
            <w:hideMark/>
          </w:tcPr>
          <w:p w14:paraId="3BBEB9F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1EF1DE3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0.006</w:t>
            </w:r>
            <w:r w:rsidRPr="00E915AA">
              <w:rPr>
                <w:rFonts w:ascii="Times New Roman" w:eastAsia="Times New Roman" w:hAnsi="Times New Roman" w:cs="Times New Roman"/>
                <w:color w:val="000000"/>
                <w:sz w:val="12"/>
                <w:szCs w:val="12"/>
                <w:lang w:val="en-GB" w:eastAsia="en-GB"/>
              </w:rPr>
              <w:br/>
              <w:t>(0.05)</w:t>
            </w:r>
          </w:p>
        </w:tc>
        <w:tc>
          <w:tcPr>
            <w:tcW w:w="731" w:type="dxa"/>
            <w:tcBorders>
              <w:top w:val="nil"/>
              <w:left w:val="nil"/>
              <w:bottom w:val="nil"/>
              <w:right w:val="nil"/>
            </w:tcBorders>
            <w:shd w:val="clear" w:color="auto" w:fill="auto"/>
            <w:vAlign w:val="center"/>
            <w:hideMark/>
          </w:tcPr>
          <w:p w14:paraId="3FE71D3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-0.045</w:t>
            </w:r>
            <w:r w:rsidRPr="00E915AA">
              <w:rPr>
                <w:rFonts w:ascii="Times New Roman" w:eastAsia="Times New Roman" w:hAnsi="Times New Roman" w:cs="Times New Roman"/>
                <w:color w:val="000000"/>
                <w:sz w:val="12"/>
                <w:szCs w:val="12"/>
                <w:lang w:val="en-GB" w:eastAsia="en-GB"/>
              </w:rPr>
              <w:br/>
              <w:t>(-0.36)</w:t>
            </w:r>
          </w:p>
        </w:tc>
        <w:tc>
          <w:tcPr>
            <w:tcW w:w="726" w:type="dxa"/>
            <w:tcBorders>
              <w:top w:val="nil"/>
              <w:left w:val="nil"/>
              <w:bottom w:val="nil"/>
              <w:right w:val="nil"/>
            </w:tcBorders>
            <w:shd w:val="clear" w:color="auto" w:fill="auto"/>
            <w:vAlign w:val="center"/>
            <w:hideMark/>
          </w:tcPr>
          <w:p w14:paraId="20582E5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-0.072</w:t>
            </w:r>
            <w:r w:rsidRPr="00E915AA">
              <w:rPr>
                <w:rFonts w:ascii="Times New Roman" w:eastAsia="Times New Roman" w:hAnsi="Times New Roman" w:cs="Times New Roman"/>
                <w:color w:val="000000"/>
                <w:sz w:val="12"/>
                <w:szCs w:val="12"/>
                <w:lang w:val="en-GB" w:eastAsia="en-GB"/>
              </w:rPr>
              <w:br/>
              <w:t>(-0.52)</w:t>
            </w:r>
          </w:p>
        </w:tc>
      </w:tr>
      <w:tr w:rsidR="00F14709" w:rsidRPr="00E915AA" w14:paraId="43517DB0" w14:textId="77777777" w:rsidTr="00110FF6">
        <w:trPr>
          <w:trHeight w:val="139"/>
        </w:trPr>
        <w:tc>
          <w:tcPr>
            <w:tcW w:w="1276" w:type="dxa"/>
            <w:tcBorders>
              <w:top w:val="nil"/>
              <w:left w:val="nil"/>
              <w:bottom w:val="nil"/>
              <w:right w:val="nil"/>
            </w:tcBorders>
            <w:shd w:val="clear" w:color="auto" w:fill="auto"/>
            <w:vAlign w:val="center"/>
            <w:hideMark/>
          </w:tcPr>
          <w:p w14:paraId="0C8BD2D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73" w:type="dxa"/>
            <w:tcBorders>
              <w:top w:val="nil"/>
              <w:left w:val="nil"/>
              <w:bottom w:val="nil"/>
              <w:right w:val="nil"/>
            </w:tcBorders>
            <w:shd w:val="clear" w:color="auto" w:fill="auto"/>
            <w:vAlign w:val="center"/>
            <w:hideMark/>
          </w:tcPr>
          <w:p w14:paraId="6B23B9F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0" w:type="dxa"/>
            <w:tcBorders>
              <w:top w:val="nil"/>
              <w:left w:val="nil"/>
              <w:bottom w:val="nil"/>
              <w:right w:val="nil"/>
            </w:tcBorders>
            <w:shd w:val="clear" w:color="auto" w:fill="auto"/>
            <w:vAlign w:val="center"/>
            <w:hideMark/>
          </w:tcPr>
          <w:p w14:paraId="54A17C3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5226204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1BB0C0F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64" w:type="dxa"/>
            <w:tcBorders>
              <w:top w:val="nil"/>
              <w:left w:val="nil"/>
              <w:bottom w:val="nil"/>
              <w:right w:val="nil"/>
            </w:tcBorders>
            <w:shd w:val="clear" w:color="auto" w:fill="auto"/>
            <w:vAlign w:val="center"/>
            <w:hideMark/>
          </w:tcPr>
          <w:p w14:paraId="66E6E17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4265C05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48FD4F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CE9028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021210B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0A180E0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7DE07D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BDECA6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2D0710F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03233EE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7A3210D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8" w:type="dxa"/>
            <w:tcBorders>
              <w:top w:val="nil"/>
              <w:left w:val="nil"/>
              <w:bottom w:val="nil"/>
              <w:right w:val="nil"/>
            </w:tcBorders>
            <w:shd w:val="clear" w:color="auto" w:fill="auto"/>
            <w:vAlign w:val="center"/>
            <w:hideMark/>
          </w:tcPr>
          <w:p w14:paraId="6DBC126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51" w:type="dxa"/>
            <w:tcBorders>
              <w:top w:val="nil"/>
              <w:left w:val="nil"/>
              <w:bottom w:val="nil"/>
              <w:right w:val="nil"/>
            </w:tcBorders>
            <w:shd w:val="clear" w:color="auto" w:fill="auto"/>
            <w:vAlign w:val="center"/>
            <w:hideMark/>
          </w:tcPr>
          <w:p w14:paraId="631A8FD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0D0C511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2C90BFF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6" w:type="dxa"/>
            <w:tcBorders>
              <w:top w:val="nil"/>
              <w:left w:val="nil"/>
              <w:bottom w:val="nil"/>
              <w:right w:val="nil"/>
            </w:tcBorders>
            <w:shd w:val="clear" w:color="auto" w:fill="auto"/>
            <w:vAlign w:val="center"/>
            <w:hideMark/>
          </w:tcPr>
          <w:p w14:paraId="48215F4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018B03BB" w14:textId="77777777" w:rsidTr="00110FF6">
        <w:trPr>
          <w:trHeight w:val="127"/>
        </w:trPr>
        <w:tc>
          <w:tcPr>
            <w:tcW w:w="1276" w:type="dxa"/>
            <w:tcBorders>
              <w:top w:val="nil"/>
              <w:left w:val="nil"/>
              <w:bottom w:val="nil"/>
              <w:right w:val="nil"/>
            </w:tcBorders>
            <w:shd w:val="clear" w:color="auto" w:fill="auto"/>
            <w:vAlign w:val="center"/>
            <w:hideMark/>
          </w:tcPr>
          <w:p w14:paraId="284FA0A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industry</w:t>
            </w:r>
          </w:p>
        </w:tc>
        <w:tc>
          <w:tcPr>
            <w:tcW w:w="273" w:type="dxa"/>
            <w:tcBorders>
              <w:top w:val="nil"/>
              <w:left w:val="nil"/>
              <w:bottom w:val="nil"/>
              <w:right w:val="nil"/>
            </w:tcBorders>
            <w:shd w:val="clear" w:color="auto" w:fill="auto"/>
            <w:vAlign w:val="center"/>
            <w:hideMark/>
          </w:tcPr>
          <w:p w14:paraId="11D4019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0D4DB12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vAlign w:val="center"/>
            <w:hideMark/>
          </w:tcPr>
          <w:p w14:paraId="78931BC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3E9EB5D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64" w:type="dxa"/>
            <w:tcBorders>
              <w:top w:val="nil"/>
              <w:left w:val="nil"/>
              <w:bottom w:val="nil"/>
              <w:right w:val="nil"/>
            </w:tcBorders>
            <w:shd w:val="clear" w:color="auto" w:fill="auto"/>
            <w:vAlign w:val="center"/>
            <w:hideMark/>
          </w:tcPr>
          <w:p w14:paraId="69B279E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7EFC793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36C370C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02CA398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vAlign w:val="center"/>
            <w:hideMark/>
          </w:tcPr>
          <w:p w14:paraId="230D51C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5106E41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1068F19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250900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vAlign w:val="center"/>
            <w:hideMark/>
          </w:tcPr>
          <w:p w14:paraId="655C762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272D0E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1" w:type="dxa"/>
            <w:gridSpan w:val="2"/>
            <w:tcBorders>
              <w:top w:val="nil"/>
              <w:left w:val="nil"/>
              <w:bottom w:val="nil"/>
              <w:right w:val="nil"/>
            </w:tcBorders>
            <w:shd w:val="clear" w:color="auto" w:fill="auto"/>
            <w:vAlign w:val="center"/>
            <w:hideMark/>
          </w:tcPr>
          <w:p w14:paraId="06906E0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38" w:type="dxa"/>
            <w:tcBorders>
              <w:top w:val="nil"/>
              <w:left w:val="nil"/>
              <w:bottom w:val="nil"/>
              <w:right w:val="nil"/>
            </w:tcBorders>
            <w:shd w:val="clear" w:color="auto" w:fill="auto"/>
            <w:vAlign w:val="center"/>
            <w:hideMark/>
          </w:tcPr>
          <w:p w14:paraId="6DD8EB7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51" w:type="dxa"/>
            <w:tcBorders>
              <w:top w:val="nil"/>
              <w:left w:val="nil"/>
              <w:bottom w:val="nil"/>
              <w:right w:val="nil"/>
            </w:tcBorders>
            <w:shd w:val="clear" w:color="auto" w:fill="auto"/>
            <w:vAlign w:val="center"/>
            <w:hideMark/>
          </w:tcPr>
          <w:p w14:paraId="35CEED0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5E6919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31" w:type="dxa"/>
            <w:tcBorders>
              <w:top w:val="nil"/>
              <w:left w:val="nil"/>
              <w:bottom w:val="nil"/>
              <w:right w:val="nil"/>
            </w:tcBorders>
            <w:shd w:val="clear" w:color="auto" w:fill="auto"/>
            <w:vAlign w:val="center"/>
            <w:hideMark/>
          </w:tcPr>
          <w:p w14:paraId="0100BD7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26" w:type="dxa"/>
            <w:tcBorders>
              <w:top w:val="nil"/>
              <w:left w:val="nil"/>
              <w:bottom w:val="nil"/>
              <w:right w:val="nil"/>
            </w:tcBorders>
            <w:shd w:val="clear" w:color="auto" w:fill="auto"/>
            <w:vAlign w:val="center"/>
            <w:hideMark/>
          </w:tcPr>
          <w:p w14:paraId="147257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77BFCFDE" w14:textId="77777777" w:rsidTr="00110FF6">
        <w:trPr>
          <w:trHeight w:val="143"/>
        </w:trPr>
        <w:tc>
          <w:tcPr>
            <w:tcW w:w="1276" w:type="dxa"/>
            <w:tcBorders>
              <w:top w:val="nil"/>
              <w:left w:val="nil"/>
              <w:bottom w:val="nil"/>
              <w:right w:val="nil"/>
            </w:tcBorders>
            <w:shd w:val="clear" w:color="auto" w:fill="auto"/>
            <w:vAlign w:val="center"/>
            <w:hideMark/>
          </w:tcPr>
          <w:p w14:paraId="4D1AE01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year</w:t>
            </w:r>
          </w:p>
        </w:tc>
        <w:tc>
          <w:tcPr>
            <w:tcW w:w="273" w:type="dxa"/>
            <w:tcBorders>
              <w:top w:val="nil"/>
              <w:left w:val="nil"/>
              <w:bottom w:val="nil"/>
              <w:right w:val="nil"/>
            </w:tcBorders>
            <w:shd w:val="clear" w:color="auto" w:fill="auto"/>
            <w:vAlign w:val="center"/>
            <w:hideMark/>
          </w:tcPr>
          <w:p w14:paraId="1B1452B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75B667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vAlign w:val="center"/>
            <w:hideMark/>
          </w:tcPr>
          <w:p w14:paraId="71BD344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028B718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64" w:type="dxa"/>
            <w:tcBorders>
              <w:top w:val="nil"/>
              <w:left w:val="nil"/>
              <w:bottom w:val="nil"/>
              <w:right w:val="nil"/>
            </w:tcBorders>
            <w:shd w:val="clear" w:color="auto" w:fill="auto"/>
            <w:vAlign w:val="center"/>
            <w:hideMark/>
          </w:tcPr>
          <w:p w14:paraId="3A8EBA2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10895FC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012B9F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019854B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vAlign w:val="center"/>
            <w:hideMark/>
          </w:tcPr>
          <w:p w14:paraId="4BF58BF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606CE7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6E2B8D0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vAlign w:val="center"/>
            <w:hideMark/>
          </w:tcPr>
          <w:p w14:paraId="17CD878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vAlign w:val="center"/>
            <w:hideMark/>
          </w:tcPr>
          <w:p w14:paraId="42D42A6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606C1A7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1" w:type="dxa"/>
            <w:gridSpan w:val="2"/>
            <w:tcBorders>
              <w:top w:val="nil"/>
              <w:left w:val="nil"/>
              <w:bottom w:val="nil"/>
              <w:right w:val="nil"/>
            </w:tcBorders>
            <w:shd w:val="clear" w:color="auto" w:fill="auto"/>
            <w:vAlign w:val="center"/>
            <w:hideMark/>
          </w:tcPr>
          <w:p w14:paraId="2E3F5D8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38" w:type="dxa"/>
            <w:tcBorders>
              <w:top w:val="nil"/>
              <w:left w:val="nil"/>
              <w:bottom w:val="nil"/>
              <w:right w:val="nil"/>
            </w:tcBorders>
            <w:shd w:val="clear" w:color="auto" w:fill="auto"/>
            <w:vAlign w:val="center"/>
            <w:hideMark/>
          </w:tcPr>
          <w:p w14:paraId="4FF312C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51" w:type="dxa"/>
            <w:tcBorders>
              <w:top w:val="nil"/>
              <w:left w:val="nil"/>
              <w:bottom w:val="nil"/>
              <w:right w:val="nil"/>
            </w:tcBorders>
            <w:shd w:val="clear" w:color="auto" w:fill="auto"/>
            <w:vAlign w:val="center"/>
            <w:hideMark/>
          </w:tcPr>
          <w:p w14:paraId="3B23376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51103FB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31" w:type="dxa"/>
            <w:tcBorders>
              <w:top w:val="nil"/>
              <w:left w:val="nil"/>
              <w:bottom w:val="nil"/>
              <w:right w:val="nil"/>
            </w:tcBorders>
            <w:shd w:val="clear" w:color="auto" w:fill="auto"/>
            <w:vAlign w:val="center"/>
            <w:hideMark/>
          </w:tcPr>
          <w:p w14:paraId="7769CB5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26" w:type="dxa"/>
            <w:tcBorders>
              <w:top w:val="nil"/>
              <w:left w:val="nil"/>
              <w:bottom w:val="nil"/>
              <w:right w:val="nil"/>
            </w:tcBorders>
            <w:shd w:val="clear" w:color="auto" w:fill="auto"/>
            <w:vAlign w:val="center"/>
            <w:hideMark/>
          </w:tcPr>
          <w:p w14:paraId="30A9A8D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094273EC" w14:textId="77777777" w:rsidTr="00110FF6">
        <w:trPr>
          <w:trHeight w:val="146"/>
        </w:trPr>
        <w:tc>
          <w:tcPr>
            <w:tcW w:w="1276" w:type="dxa"/>
            <w:tcBorders>
              <w:top w:val="nil"/>
              <w:left w:val="nil"/>
              <w:bottom w:val="nil"/>
              <w:right w:val="nil"/>
            </w:tcBorders>
            <w:shd w:val="clear" w:color="auto" w:fill="auto"/>
            <w:vAlign w:val="center"/>
            <w:hideMark/>
          </w:tcPr>
          <w:p w14:paraId="1496709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73" w:type="dxa"/>
            <w:tcBorders>
              <w:top w:val="nil"/>
              <w:left w:val="nil"/>
              <w:bottom w:val="nil"/>
              <w:right w:val="nil"/>
            </w:tcBorders>
            <w:shd w:val="clear" w:color="auto" w:fill="auto"/>
            <w:vAlign w:val="center"/>
            <w:hideMark/>
          </w:tcPr>
          <w:p w14:paraId="6A69E48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0" w:type="dxa"/>
            <w:tcBorders>
              <w:top w:val="nil"/>
              <w:left w:val="nil"/>
              <w:bottom w:val="nil"/>
              <w:right w:val="nil"/>
            </w:tcBorders>
            <w:shd w:val="clear" w:color="auto" w:fill="auto"/>
            <w:vAlign w:val="center"/>
            <w:hideMark/>
          </w:tcPr>
          <w:p w14:paraId="7B72396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681052F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54BE35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64" w:type="dxa"/>
            <w:tcBorders>
              <w:top w:val="nil"/>
              <w:left w:val="nil"/>
              <w:bottom w:val="nil"/>
              <w:right w:val="nil"/>
            </w:tcBorders>
            <w:shd w:val="clear" w:color="auto" w:fill="auto"/>
            <w:vAlign w:val="center"/>
            <w:hideMark/>
          </w:tcPr>
          <w:p w14:paraId="5B5E368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8" w:type="dxa"/>
            <w:tcBorders>
              <w:top w:val="nil"/>
              <w:left w:val="nil"/>
              <w:bottom w:val="nil"/>
              <w:right w:val="nil"/>
            </w:tcBorders>
            <w:shd w:val="clear" w:color="auto" w:fill="auto"/>
            <w:vAlign w:val="center"/>
            <w:hideMark/>
          </w:tcPr>
          <w:p w14:paraId="485DFD4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8C9934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82333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0975DE8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09E600C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7B8030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958A9E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vAlign w:val="center"/>
            <w:hideMark/>
          </w:tcPr>
          <w:p w14:paraId="697B3A5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377A0E9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1" w:type="dxa"/>
            <w:gridSpan w:val="2"/>
            <w:tcBorders>
              <w:top w:val="nil"/>
              <w:left w:val="nil"/>
              <w:bottom w:val="nil"/>
              <w:right w:val="nil"/>
            </w:tcBorders>
            <w:shd w:val="clear" w:color="auto" w:fill="auto"/>
            <w:vAlign w:val="center"/>
            <w:hideMark/>
          </w:tcPr>
          <w:p w14:paraId="608FBCA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8" w:type="dxa"/>
            <w:tcBorders>
              <w:top w:val="nil"/>
              <w:left w:val="nil"/>
              <w:bottom w:val="nil"/>
              <w:right w:val="nil"/>
            </w:tcBorders>
            <w:shd w:val="clear" w:color="auto" w:fill="auto"/>
            <w:vAlign w:val="center"/>
            <w:hideMark/>
          </w:tcPr>
          <w:p w14:paraId="054468A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51" w:type="dxa"/>
            <w:tcBorders>
              <w:top w:val="nil"/>
              <w:left w:val="nil"/>
              <w:bottom w:val="nil"/>
              <w:right w:val="nil"/>
            </w:tcBorders>
            <w:shd w:val="clear" w:color="auto" w:fill="auto"/>
            <w:vAlign w:val="center"/>
            <w:hideMark/>
          </w:tcPr>
          <w:p w14:paraId="2C6F5AF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47013AC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31" w:type="dxa"/>
            <w:tcBorders>
              <w:top w:val="nil"/>
              <w:left w:val="nil"/>
              <w:bottom w:val="nil"/>
              <w:right w:val="nil"/>
            </w:tcBorders>
            <w:shd w:val="clear" w:color="auto" w:fill="auto"/>
            <w:vAlign w:val="center"/>
            <w:hideMark/>
          </w:tcPr>
          <w:p w14:paraId="1537B81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26" w:type="dxa"/>
            <w:tcBorders>
              <w:top w:val="nil"/>
              <w:left w:val="nil"/>
              <w:bottom w:val="nil"/>
              <w:right w:val="nil"/>
            </w:tcBorders>
            <w:shd w:val="clear" w:color="auto" w:fill="auto"/>
            <w:vAlign w:val="center"/>
            <w:hideMark/>
          </w:tcPr>
          <w:p w14:paraId="159ED44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2FDFD9AE" w14:textId="77777777" w:rsidTr="00110FF6">
        <w:trPr>
          <w:trHeight w:val="133"/>
        </w:trPr>
        <w:tc>
          <w:tcPr>
            <w:tcW w:w="1276" w:type="dxa"/>
            <w:tcBorders>
              <w:top w:val="nil"/>
              <w:left w:val="nil"/>
              <w:bottom w:val="nil"/>
              <w:right w:val="nil"/>
            </w:tcBorders>
            <w:shd w:val="clear" w:color="auto" w:fill="auto"/>
            <w:vAlign w:val="center"/>
            <w:hideMark/>
          </w:tcPr>
          <w:p w14:paraId="5565ED3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N</w:t>
            </w:r>
          </w:p>
        </w:tc>
        <w:tc>
          <w:tcPr>
            <w:tcW w:w="273" w:type="dxa"/>
            <w:tcBorders>
              <w:top w:val="nil"/>
              <w:left w:val="nil"/>
              <w:bottom w:val="nil"/>
              <w:right w:val="nil"/>
            </w:tcBorders>
            <w:shd w:val="clear" w:color="auto" w:fill="auto"/>
            <w:vAlign w:val="center"/>
            <w:hideMark/>
          </w:tcPr>
          <w:p w14:paraId="42493D1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0" w:type="dxa"/>
            <w:tcBorders>
              <w:top w:val="nil"/>
              <w:left w:val="nil"/>
              <w:bottom w:val="nil"/>
              <w:right w:val="nil"/>
            </w:tcBorders>
            <w:shd w:val="clear" w:color="auto" w:fill="auto"/>
            <w:vAlign w:val="center"/>
            <w:hideMark/>
          </w:tcPr>
          <w:p w14:paraId="0EB8FEA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8" w:type="dxa"/>
            <w:tcBorders>
              <w:top w:val="nil"/>
              <w:left w:val="nil"/>
              <w:bottom w:val="nil"/>
              <w:right w:val="nil"/>
            </w:tcBorders>
            <w:shd w:val="clear" w:color="auto" w:fill="auto"/>
            <w:vAlign w:val="center"/>
            <w:hideMark/>
          </w:tcPr>
          <w:p w14:paraId="6A0E5D6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vAlign w:val="center"/>
            <w:hideMark/>
          </w:tcPr>
          <w:p w14:paraId="44231C1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64" w:type="dxa"/>
            <w:tcBorders>
              <w:top w:val="nil"/>
              <w:left w:val="nil"/>
              <w:bottom w:val="nil"/>
              <w:right w:val="nil"/>
            </w:tcBorders>
            <w:shd w:val="clear" w:color="auto" w:fill="auto"/>
            <w:vAlign w:val="center"/>
            <w:hideMark/>
          </w:tcPr>
          <w:p w14:paraId="11F9F4C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nil"/>
              <w:right w:val="nil"/>
            </w:tcBorders>
            <w:shd w:val="clear" w:color="auto" w:fill="auto"/>
            <w:vAlign w:val="center"/>
            <w:hideMark/>
          </w:tcPr>
          <w:p w14:paraId="3D3130C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vAlign w:val="center"/>
            <w:hideMark/>
          </w:tcPr>
          <w:p w14:paraId="2328B64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vAlign w:val="center"/>
            <w:hideMark/>
          </w:tcPr>
          <w:p w14:paraId="6BE6A5C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3" w:type="dxa"/>
            <w:tcBorders>
              <w:top w:val="nil"/>
              <w:left w:val="nil"/>
              <w:bottom w:val="nil"/>
              <w:right w:val="nil"/>
            </w:tcBorders>
            <w:shd w:val="clear" w:color="auto" w:fill="auto"/>
            <w:vAlign w:val="center"/>
            <w:hideMark/>
          </w:tcPr>
          <w:p w14:paraId="0A729C2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69DD94D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vAlign w:val="center"/>
            <w:hideMark/>
          </w:tcPr>
          <w:p w14:paraId="74A465B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vAlign w:val="center"/>
            <w:hideMark/>
          </w:tcPr>
          <w:p w14:paraId="61DF9E6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3" w:type="dxa"/>
            <w:tcBorders>
              <w:top w:val="nil"/>
              <w:left w:val="nil"/>
              <w:bottom w:val="nil"/>
              <w:right w:val="nil"/>
            </w:tcBorders>
            <w:shd w:val="clear" w:color="auto" w:fill="auto"/>
            <w:vAlign w:val="center"/>
            <w:hideMark/>
          </w:tcPr>
          <w:p w14:paraId="5ACCF62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nil"/>
              <w:right w:val="nil"/>
            </w:tcBorders>
            <w:shd w:val="clear" w:color="auto" w:fill="auto"/>
            <w:vAlign w:val="center"/>
            <w:hideMark/>
          </w:tcPr>
          <w:p w14:paraId="040B8E4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1" w:type="dxa"/>
            <w:gridSpan w:val="2"/>
            <w:tcBorders>
              <w:top w:val="nil"/>
              <w:left w:val="nil"/>
              <w:bottom w:val="nil"/>
              <w:right w:val="nil"/>
            </w:tcBorders>
            <w:shd w:val="clear" w:color="auto" w:fill="auto"/>
            <w:vAlign w:val="center"/>
            <w:hideMark/>
          </w:tcPr>
          <w:p w14:paraId="4A5F2E4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38" w:type="dxa"/>
            <w:tcBorders>
              <w:top w:val="nil"/>
              <w:left w:val="nil"/>
              <w:bottom w:val="nil"/>
              <w:right w:val="nil"/>
            </w:tcBorders>
            <w:shd w:val="clear" w:color="auto" w:fill="auto"/>
            <w:vAlign w:val="center"/>
            <w:hideMark/>
          </w:tcPr>
          <w:p w14:paraId="407E97B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51" w:type="dxa"/>
            <w:tcBorders>
              <w:top w:val="nil"/>
              <w:left w:val="nil"/>
              <w:bottom w:val="nil"/>
              <w:right w:val="nil"/>
            </w:tcBorders>
            <w:shd w:val="clear" w:color="auto" w:fill="auto"/>
            <w:vAlign w:val="center"/>
            <w:hideMark/>
          </w:tcPr>
          <w:p w14:paraId="538ECC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nil"/>
              <w:right w:val="nil"/>
            </w:tcBorders>
            <w:shd w:val="clear" w:color="auto" w:fill="auto"/>
            <w:vAlign w:val="center"/>
            <w:hideMark/>
          </w:tcPr>
          <w:p w14:paraId="284DEA9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31" w:type="dxa"/>
            <w:tcBorders>
              <w:top w:val="nil"/>
              <w:left w:val="nil"/>
              <w:bottom w:val="nil"/>
              <w:right w:val="nil"/>
            </w:tcBorders>
            <w:shd w:val="clear" w:color="auto" w:fill="auto"/>
            <w:vAlign w:val="center"/>
            <w:hideMark/>
          </w:tcPr>
          <w:p w14:paraId="502DD7C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26" w:type="dxa"/>
            <w:tcBorders>
              <w:top w:val="nil"/>
              <w:left w:val="nil"/>
              <w:bottom w:val="nil"/>
              <w:right w:val="nil"/>
            </w:tcBorders>
            <w:shd w:val="clear" w:color="auto" w:fill="auto"/>
            <w:vAlign w:val="center"/>
            <w:hideMark/>
          </w:tcPr>
          <w:p w14:paraId="09BCED1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r>
      <w:tr w:rsidR="00F14709" w:rsidRPr="00E915AA" w14:paraId="3B983E37" w14:textId="77777777" w:rsidTr="00110FF6">
        <w:trPr>
          <w:trHeight w:val="149"/>
        </w:trPr>
        <w:tc>
          <w:tcPr>
            <w:tcW w:w="1276" w:type="dxa"/>
            <w:tcBorders>
              <w:top w:val="nil"/>
              <w:left w:val="nil"/>
              <w:bottom w:val="single" w:sz="8" w:space="0" w:color="auto"/>
              <w:right w:val="nil"/>
            </w:tcBorders>
            <w:shd w:val="clear" w:color="auto" w:fill="auto"/>
            <w:vAlign w:val="center"/>
            <w:hideMark/>
          </w:tcPr>
          <w:p w14:paraId="39AEB1A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Pseudo R2</w:t>
            </w:r>
          </w:p>
        </w:tc>
        <w:tc>
          <w:tcPr>
            <w:tcW w:w="273" w:type="dxa"/>
            <w:tcBorders>
              <w:top w:val="nil"/>
              <w:left w:val="nil"/>
              <w:bottom w:val="single" w:sz="8" w:space="0" w:color="auto"/>
              <w:right w:val="nil"/>
            </w:tcBorders>
            <w:shd w:val="clear" w:color="auto" w:fill="auto"/>
            <w:vAlign w:val="center"/>
            <w:hideMark/>
          </w:tcPr>
          <w:p w14:paraId="7DE1BAB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 </w:t>
            </w:r>
          </w:p>
        </w:tc>
        <w:tc>
          <w:tcPr>
            <w:tcW w:w="720" w:type="dxa"/>
            <w:tcBorders>
              <w:top w:val="nil"/>
              <w:left w:val="nil"/>
              <w:bottom w:val="single" w:sz="8" w:space="0" w:color="auto"/>
              <w:right w:val="nil"/>
            </w:tcBorders>
            <w:shd w:val="clear" w:color="auto" w:fill="auto"/>
            <w:vAlign w:val="center"/>
            <w:hideMark/>
          </w:tcPr>
          <w:p w14:paraId="57C4EC0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0.0825</w:t>
            </w:r>
          </w:p>
        </w:tc>
        <w:tc>
          <w:tcPr>
            <w:tcW w:w="708" w:type="dxa"/>
            <w:tcBorders>
              <w:top w:val="nil"/>
              <w:left w:val="nil"/>
              <w:bottom w:val="single" w:sz="8" w:space="0" w:color="auto"/>
              <w:right w:val="nil"/>
            </w:tcBorders>
            <w:shd w:val="clear" w:color="auto" w:fill="auto"/>
            <w:vAlign w:val="center"/>
            <w:hideMark/>
          </w:tcPr>
          <w:p w14:paraId="389F919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0.0826</w:t>
            </w:r>
          </w:p>
        </w:tc>
        <w:tc>
          <w:tcPr>
            <w:tcW w:w="709" w:type="dxa"/>
            <w:tcBorders>
              <w:top w:val="nil"/>
              <w:left w:val="nil"/>
              <w:bottom w:val="single" w:sz="8" w:space="0" w:color="auto"/>
              <w:right w:val="nil"/>
            </w:tcBorders>
            <w:shd w:val="clear" w:color="auto" w:fill="auto"/>
            <w:vAlign w:val="center"/>
            <w:hideMark/>
          </w:tcPr>
          <w:p w14:paraId="5CA1783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0.0834</w:t>
            </w:r>
          </w:p>
        </w:tc>
        <w:tc>
          <w:tcPr>
            <w:tcW w:w="264" w:type="dxa"/>
            <w:tcBorders>
              <w:top w:val="nil"/>
              <w:left w:val="nil"/>
              <w:bottom w:val="single" w:sz="8" w:space="0" w:color="auto"/>
              <w:right w:val="nil"/>
            </w:tcBorders>
            <w:shd w:val="clear" w:color="auto" w:fill="auto"/>
            <w:vAlign w:val="center"/>
            <w:hideMark/>
          </w:tcPr>
          <w:p w14:paraId="398EBE5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28" w:type="dxa"/>
            <w:tcBorders>
              <w:top w:val="nil"/>
              <w:left w:val="nil"/>
              <w:bottom w:val="single" w:sz="8" w:space="0" w:color="auto"/>
              <w:right w:val="nil"/>
            </w:tcBorders>
            <w:shd w:val="clear" w:color="auto" w:fill="auto"/>
            <w:vAlign w:val="center"/>
            <w:hideMark/>
          </w:tcPr>
          <w:p w14:paraId="3427CA1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0.1372</w:t>
            </w:r>
          </w:p>
        </w:tc>
        <w:tc>
          <w:tcPr>
            <w:tcW w:w="709" w:type="dxa"/>
            <w:tcBorders>
              <w:top w:val="nil"/>
              <w:left w:val="nil"/>
              <w:bottom w:val="single" w:sz="8" w:space="0" w:color="auto"/>
              <w:right w:val="nil"/>
            </w:tcBorders>
            <w:shd w:val="clear" w:color="auto" w:fill="auto"/>
            <w:vAlign w:val="center"/>
            <w:hideMark/>
          </w:tcPr>
          <w:p w14:paraId="7580DC0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0.1352</w:t>
            </w:r>
          </w:p>
        </w:tc>
        <w:tc>
          <w:tcPr>
            <w:tcW w:w="709" w:type="dxa"/>
            <w:tcBorders>
              <w:top w:val="nil"/>
              <w:left w:val="nil"/>
              <w:bottom w:val="single" w:sz="8" w:space="0" w:color="auto"/>
              <w:right w:val="nil"/>
            </w:tcBorders>
            <w:shd w:val="clear" w:color="auto" w:fill="auto"/>
            <w:vAlign w:val="center"/>
            <w:hideMark/>
          </w:tcPr>
          <w:p w14:paraId="6B86B6B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0.1356</w:t>
            </w:r>
          </w:p>
        </w:tc>
        <w:tc>
          <w:tcPr>
            <w:tcW w:w="283" w:type="dxa"/>
            <w:tcBorders>
              <w:top w:val="nil"/>
              <w:left w:val="nil"/>
              <w:bottom w:val="single" w:sz="8" w:space="0" w:color="auto"/>
              <w:right w:val="nil"/>
            </w:tcBorders>
            <w:shd w:val="clear" w:color="auto" w:fill="auto"/>
            <w:vAlign w:val="center"/>
            <w:hideMark/>
          </w:tcPr>
          <w:p w14:paraId="2A1B615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8" w:space="0" w:color="auto"/>
              <w:right w:val="nil"/>
            </w:tcBorders>
            <w:shd w:val="clear" w:color="auto" w:fill="auto"/>
            <w:vAlign w:val="center"/>
            <w:hideMark/>
          </w:tcPr>
          <w:p w14:paraId="77732E7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0.1183</w:t>
            </w:r>
          </w:p>
        </w:tc>
        <w:tc>
          <w:tcPr>
            <w:tcW w:w="709" w:type="dxa"/>
            <w:tcBorders>
              <w:top w:val="nil"/>
              <w:left w:val="nil"/>
              <w:bottom w:val="single" w:sz="8" w:space="0" w:color="auto"/>
              <w:right w:val="nil"/>
            </w:tcBorders>
            <w:shd w:val="clear" w:color="auto" w:fill="auto"/>
            <w:vAlign w:val="center"/>
            <w:hideMark/>
          </w:tcPr>
          <w:p w14:paraId="18CB350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0.116</w:t>
            </w:r>
          </w:p>
        </w:tc>
        <w:tc>
          <w:tcPr>
            <w:tcW w:w="709" w:type="dxa"/>
            <w:tcBorders>
              <w:top w:val="nil"/>
              <w:left w:val="nil"/>
              <w:bottom w:val="single" w:sz="8" w:space="0" w:color="auto"/>
              <w:right w:val="nil"/>
            </w:tcBorders>
            <w:shd w:val="clear" w:color="auto" w:fill="auto"/>
            <w:vAlign w:val="center"/>
            <w:hideMark/>
          </w:tcPr>
          <w:p w14:paraId="46BCEE7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0.1171</w:t>
            </w:r>
          </w:p>
        </w:tc>
        <w:tc>
          <w:tcPr>
            <w:tcW w:w="283" w:type="dxa"/>
            <w:tcBorders>
              <w:top w:val="nil"/>
              <w:left w:val="nil"/>
              <w:bottom w:val="single" w:sz="8" w:space="0" w:color="auto"/>
              <w:right w:val="nil"/>
            </w:tcBorders>
            <w:shd w:val="clear" w:color="auto" w:fill="auto"/>
            <w:vAlign w:val="center"/>
            <w:hideMark/>
          </w:tcPr>
          <w:p w14:paraId="5915C85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29" w:type="dxa"/>
            <w:gridSpan w:val="2"/>
            <w:tcBorders>
              <w:top w:val="nil"/>
              <w:left w:val="nil"/>
              <w:bottom w:val="single" w:sz="8" w:space="0" w:color="auto"/>
              <w:right w:val="nil"/>
            </w:tcBorders>
            <w:shd w:val="clear" w:color="auto" w:fill="auto"/>
            <w:vAlign w:val="center"/>
            <w:hideMark/>
          </w:tcPr>
          <w:p w14:paraId="33B37B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0.1042</w:t>
            </w:r>
          </w:p>
        </w:tc>
        <w:tc>
          <w:tcPr>
            <w:tcW w:w="701" w:type="dxa"/>
            <w:gridSpan w:val="2"/>
            <w:tcBorders>
              <w:top w:val="nil"/>
              <w:left w:val="nil"/>
              <w:bottom w:val="single" w:sz="8" w:space="0" w:color="auto"/>
              <w:right w:val="nil"/>
            </w:tcBorders>
            <w:shd w:val="clear" w:color="auto" w:fill="auto"/>
            <w:vAlign w:val="center"/>
            <w:hideMark/>
          </w:tcPr>
          <w:p w14:paraId="079241C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0.1045</w:t>
            </w:r>
          </w:p>
        </w:tc>
        <w:tc>
          <w:tcPr>
            <w:tcW w:w="738" w:type="dxa"/>
            <w:tcBorders>
              <w:top w:val="nil"/>
              <w:left w:val="nil"/>
              <w:bottom w:val="single" w:sz="8" w:space="0" w:color="auto"/>
              <w:right w:val="nil"/>
            </w:tcBorders>
            <w:shd w:val="clear" w:color="auto" w:fill="auto"/>
            <w:vAlign w:val="center"/>
            <w:hideMark/>
          </w:tcPr>
          <w:p w14:paraId="10F1AEC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0.0962</w:t>
            </w:r>
          </w:p>
        </w:tc>
        <w:tc>
          <w:tcPr>
            <w:tcW w:w="251" w:type="dxa"/>
            <w:tcBorders>
              <w:top w:val="nil"/>
              <w:left w:val="nil"/>
              <w:bottom w:val="single" w:sz="8" w:space="0" w:color="auto"/>
              <w:right w:val="nil"/>
            </w:tcBorders>
            <w:shd w:val="clear" w:color="auto" w:fill="auto"/>
            <w:vAlign w:val="center"/>
            <w:hideMark/>
          </w:tcPr>
          <w:p w14:paraId="22CAF97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61" w:type="dxa"/>
            <w:gridSpan w:val="3"/>
            <w:tcBorders>
              <w:top w:val="nil"/>
              <w:left w:val="nil"/>
              <w:bottom w:val="single" w:sz="8" w:space="0" w:color="auto"/>
              <w:right w:val="nil"/>
            </w:tcBorders>
            <w:shd w:val="clear" w:color="auto" w:fill="auto"/>
            <w:vAlign w:val="center"/>
            <w:hideMark/>
          </w:tcPr>
          <w:p w14:paraId="5FCFFBC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0.0828</w:t>
            </w:r>
          </w:p>
        </w:tc>
        <w:tc>
          <w:tcPr>
            <w:tcW w:w="731" w:type="dxa"/>
            <w:tcBorders>
              <w:top w:val="nil"/>
              <w:left w:val="nil"/>
              <w:bottom w:val="single" w:sz="8" w:space="0" w:color="auto"/>
              <w:right w:val="nil"/>
            </w:tcBorders>
            <w:shd w:val="clear" w:color="auto" w:fill="auto"/>
            <w:vAlign w:val="center"/>
            <w:hideMark/>
          </w:tcPr>
          <w:p w14:paraId="48FBD79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0.0818</w:t>
            </w:r>
          </w:p>
        </w:tc>
        <w:tc>
          <w:tcPr>
            <w:tcW w:w="726" w:type="dxa"/>
            <w:tcBorders>
              <w:top w:val="nil"/>
              <w:left w:val="nil"/>
              <w:bottom w:val="single" w:sz="8" w:space="0" w:color="auto"/>
              <w:right w:val="nil"/>
            </w:tcBorders>
            <w:shd w:val="clear" w:color="auto" w:fill="auto"/>
            <w:vAlign w:val="center"/>
            <w:hideMark/>
          </w:tcPr>
          <w:p w14:paraId="0089A55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0.0781</w:t>
            </w:r>
          </w:p>
        </w:tc>
      </w:tr>
      <w:tr w:rsidR="00F14709" w:rsidRPr="00E915AA" w14:paraId="033E3912" w14:textId="77777777" w:rsidTr="00110FF6">
        <w:trPr>
          <w:trHeight w:val="831"/>
        </w:trPr>
        <w:tc>
          <w:tcPr>
            <w:tcW w:w="13627" w:type="dxa"/>
            <w:gridSpan w:val="25"/>
            <w:tcBorders>
              <w:top w:val="single" w:sz="8" w:space="0" w:color="auto"/>
              <w:left w:val="nil"/>
              <w:bottom w:val="nil"/>
              <w:right w:val="nil"/>
            </w:tcBorders>
            <w:shd w:val="clear" w:color="auto" w:fill="auto"/>
            <w:vAlign w:val="center"/>
            <w:hideMark/>
          </w:tcPr>
          <w:p w14:paraId="5A978E62" w14:textId="31C2CC34" w:rsidR="00F14709" w:rsidRPr="00E915AA" w:rsidRDefault="00F14709" w:rsidP="00110FF6">
            <w:pPr>
              <w:spacing w:after="0" w:line="240" w:lineRule="auto"/>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This table presents the results of the moderating effect of the JOBs Act enactment in 2012 on the impact of IPO firms' earnings management on the degree of the SEC review  for my sample of EGC IPOs between 2005 and 2017. Negative binomial regression is employed in this analysis. The dependent variables are SEC review including Duration (Model 1 - 3), #Letters (Models 4 - 6), #Comments (Model 7 - 9), #Core-accounting issues (Model 10 - 12) and #Non-core</w:t>
            </w:r>
            <w:r w:rsidR="009C015E" w:rsidRPr="00E915AA">
              <w:rPr>
                <w:rFonts w:ascii="Times New Roman" w:eastAsia="Times New Roman" w:hAnsi="Times New Roman" w:cs="Times New Roman"/>
                <w:color w:val="000000"/>
                <w:sz w:val="12"/>
                <w:szCs w:val="12"/>
                <w:lang w:val="en-GB" w:eastAsia="en-GB"/>
              </w:rPr>
              <w:t>-</w:t>
            </w:r>
            <w:r w:rsidRPr="00E915AA">
              <w:rPr>
                <w:rFonts w:ascii="Times New Roman" w:eastAsia="Times New Roman" w:hAnsi="Times New Roman" w:cs="Times New Roman"/>
                <w:color w:val="000000"/>
                <w:sz w:val="12"/>
                <w:szCs w:val="12"/>
                <w:lang w:val="en-GB" w:eastAsia="en-GB"/>
              </w:rPr>
              <w:t xml:space="preserve">accounting issues (Models 13 - 15). The independent variables of interest are JOBS Act and proxies od earnings management including; DACC (Model 1, 4, 7, 10, 13) , ACFO (Model 2, 5, 8, 11, 14) and ADISEXP (Model 3, 6, 9, 12, 15). Moderating effects is indicated by interaction of earnings management proxies and JOBS Act.  EM proxies and the dummy variable JOBS Act are mean </w:t>
            </w:r>
            <w:proofErr w:type="spellStart"/>
            <w:r w:rsidRPr="00E915AA">
              <w:rPr>
                <w:rFonts w:ascii="Times New Roman" w:eastAsia="Times New Roman" w:hAnsi="Times New Roman" w:cs="Times New Roman"/>
                <w:color w:val="000000"/>
                <w:sz w:val="12"/>
                <w:szCs w:val="12"/>
                <w:lang w:val="en-GB" w:eastAsia="en-GB"/>
              </w:rPr>
              <w:t>centered</w:t>
            </w:r>
            <w:proofErr w:type="spellEnd"/>
            <w:r w:rsidRPr="00E915AA">
              <w:rPr>
                <w:rFonts w:ascii="Times New Roman" w:eastAsia="Times New Roman" w:hAnsi="Times New Roman" w:cs="Times New Roman"/>
                <w:color w:val="000000"/>
                <w:sz w:val="12"/>
                <w:szCs w:val="12"/>
                <w:lang w:val="en-GB" w:eastAsia="en-GB"/>
              </w:rPr>
              <w:t xml:space="preserve">. The regressions include year fixed effects and industry fixed effects using 12 </w:t>
            </w:r>
            <w:proofErr w:type="spellStart"/>
            <w:r w:rsidRPr="00E915AA">
              <w:rPr>
                <w:rFonts w:ascii="Times New Roman" w:eastAsia="Times New Roman" w:hAnsi="Times New Roman" w:cs="Times New Roman"/>
                <w:color w:val="000000"/>
                <w:sz w:val="12"/>
                <w:szCs w:val="12"/>
                <w:lang w:val="en-GB" w:eastAsia="en-GB"/>
              </w:rPr>
              <w:t>Fama</w:t>
            </w:r>
            <w:proofErr w:type="spellEnd"/>
            <w:r w:rsidRPr="00E915AA">
              <w:rPr>
                <w:rFonts w:ascii="Times New Roman" w:eastAsia="Times New Roman" w:hAnsi="Times New Roman" w:cs="Times New Roman"/>
                <w:color w:val="000000"/>
                <w:sz w:val="12"/>
                <w:szCs w:val="12"/>
                <w:lang w:val="en-GB" w:eastAsia="en-GB"/>
              </w:rPr>
              <w:t>-French industry. Results from Z-statistics are presented in parentheses below coefficient estimates, and are based on standard errors which are robust and clustered at the year level. *, **, and *** denote significance at the 10%, 5%, and 1% levels, respectively, based on a two-tailed test.</w:t>
            </w:r>
          </w:p>
        </w:tc>
      </w:tr>
    </w:tbl>
    <w:p w14:paraId="3D366708" w14:textId="77777777" w:rsidR="00CA46E5" w:rsidRPr="00E915AA" w:rsidRDefault="00CA46E5" w:rsidP="00E13BBB">
      <w:pPr>
        <w:rPr>
          <w:rFonts w:ascii="Times New Roman" w:hAnsi="Times New Roman" w:cs="Times New Roman"/>
          <w:b/>
          <w:bCs/>
          <w:sz w:val="20"/>
          <w:szCs w:val="20"/>
        </w:rPr>
        <w:sectPr w:rsidR="00CA46E5" w:rsidRPr="00E915AA" w:rsidSect="0073176B">
          <w:pgSz w:w="16838" w:h="11906" w:orient="landscape"/>
          <w:pgMar w:top="1440" w:right="1440" w:bottom="1440" w:left="1440" w:header="708" w:footer="708" w:gutter="0"/>
          <w:cols w:space="708"/>
          <w:docGrid w:linePitch="360"/>
        </w:sectPr>
      </w:pPr>
    </w:p>
    <w:p w14:paraId="10D66C87" w14:textId="77777777" w:rsidR="00F14709" w:rsidRPr="00E915AA" w:rsidRDefault="00F14709" w:rsidP="00F14709">
      <w:pPr>
        <w:rPr>
          <w:rFonts w:ascii="Times New Roman" w:hAnsi="Times New Roman" w:cs="Times New Roman"/>
          <w:b/>
          <w:bCs/>
        </w:rPr>
      </w:pPr>
      <w:r w:rsidRPr="00E915AA">
        <w:rPr>
          <w:rFonts w:ascii="Times New Roman" w:hAnsi="Times New Roman" w:cs="Times New Roman"/>
          <w:b/>
          <w:bCs/>
          <w:sz w:val="20"/>
          <w:szCs w:val="20"/>
        </w:rPr>
        <w:lastRenderedPageBreak/>
        <w:t>Table 7. Robustness test of the effect of earnings management on the SEC review</w:t>
      </w:r>
    </w:p>
    <w:tbl>
      <w:tblPr>
        <w:tblW w:w="14247" w:type="dxa"/>
        <w:tblInd w:w="108" w:type="dxa"/>
        <w:tblLayout w:type="fixed"/>
        <w:tblLook w:val="04A0" w:firstRow="1" w:lastRow="0" w:firstColumn="1" w:lastColumn="0" w:noHBand="0" w:noVBand="1"/>
      </w:tblPr>
      <w:tblGrid>
        <w:gridCol w:w="1276"/>
        <w:gridCol w:w="236"/>
        <w:gridCol w:w="756"/>
        <w:gridCol w:w="709"/>
        <w:gridCol w:w="709"/>
        <w:gridCol w:w="283"/>
        <w:gridCol w:w="709"/>
        <w:gridCol w:w="851"/>
        <w:gridCol w:w="708"/>
        <w:gridCol w:w="426"/>
        <w:gridCol w:w="708"/>
        <w:gridCol w:w="709"/>
        <w:gridCol w:w="709"/>
        <w:gridCol w:w="284"/>
        <w:gridCol w:w="708"/>
        <w:gridCol w:w="709"/>
        <w:gridCol w:w="709"/>
        <w:gridCol w:w="284"/>
        <w:gridCol w:w="850"/>
        <w:gridCol w:w="851"/>
        <w:gridCol w:w="1037"/>
        <w:gridCol w:w="26"/>
      </w:tblGrid>
      <w:tr w:rsidR="00F14709" w:rsidRPr="00E915AA" w14:paraId="742E7A3A" w14:textId="77777777" w:rsidTr="00110FF6">
        <w:trPr>
          <w:gridAfter w:val="1"/>
          <w:wAfter w:w="26" w:type="dxa"/>
          <w:trHeight w:val="124"/>
        </w:trPr>
        <w:tc>
          <w:tcPr>
            <w:tcW w:w="14221" w:type="dxa"/>
            <w:gridSpan w:val="21"/>
            <w:tcBorders>
              <w:top w:val="single" w:sz="4" w:space="0" w:color="auto"/>
              <w:left w:val="nil"/>
              <w:bottom w:val="nil"/>
              <w:right w:val="nil"/>
            </w:tcBorders>
            <w:shd w:val="clear" w:color="auto" w:fill="auto"/>
            <w:noWrap/>
            <w:vAlign w:val="center"/>
            <w:hideMark/>
          </w:tcPr>
          <w:p w14:paraId="0D0E2F05" w14:textId="77777777" w:rsidR="00F14709" w:rsidRPr="00E915AA" w:rsidRDefault="00F14709" w:rsidP="00110FF6">
            <w:pPr>
              <w:spacing w:after="0" w:line="240" w:lineRule="auto"/>
              <w:rPr>
                <w:rFonts w:ascii="Times New Roman" w:eastAsia="Times New Roman" w:hAnsi="Times New Roman" w:cs="Times New Roman"/>
                <w:b/>
                <w:bCs/>
                <w:color w:val="000000"/>
                <w:sz w:val="12"/>
                <w:szCs w:val="12"/>
                <w:lang w:val="en-GB" w:eastAsia="en-GB"/>
              </w:rPr>
            </w:pPr>
            <w:r w:rsidRPr="00E915AA">
              <w:rPr>
                <w:rFonts w:ascii="Times New Roman" w:eastAsia="Times New Roman" w:hAnsi="Times New Roman" w:cs="Times New Roman"/>
                <w:b/>
                <w:bCs/>
                <w:color w:val="000000"/>
                <w:sz w:val="12"/>
                <w:szCs w:val="12"/>
                <w:lang w:val="en-GB" w:eastAsia="en-GB"/>
              </w:rPr>
              <w:t>Panel A. IPO firms filing the drafts of their registration statements</w:t>
            </w:r>
          </w:p>
        </w:tc>
      </w:tr>
      <w:tr w:rsidR="00F14709" w:rsidRPr="00E915AA" w14:paraId="027EE23A" w14:textId="77777777" w:rsidTr="00110FF6">
        <w:trPr>
          <w:trHeight w:val="98"/>
        </w:trPr>
        <w:tc>
          <w:tcPr>
            <w:tcW w:w="1276" w:type="dxa"/>
            <w:tcBorders>
              <w:top w:val="single" w:sz="4" w:space="0" w:color="auto"/>
              <w:left w:val="nil"/>
              <w:bottom w:val="nil"/>
              <w:right w:val="nil"/>
            </w:tcBorders>
            <w:shd w:val="clear" w:color="auto" w:fill="auto"/>
            <w:noWrap/>
            <w:vAlign w:val="center"/>
            <w:hideMark/>
          </w:tcPr>
          <w:p w14:paraId="3613F1B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single" w:sz="4" w:space="0" w:color="auto"/>
              <w:left w:val="nil"/>
              <w:bottom w:val="nil"/>
              <w:right w:val="nil"/>
            </w:tcBorders>
            <w:shd w:val="clear" w:color="auto" w:fill="auto"/>
            <w:noWrap/>
            <w:vAlign w:val="center"/>
            <w:hideMark/>
          </w:tcPr>
          <w:p w14:paraId="362DC47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174" w:type="dxa"/>
            <w:gridSpan w:val="3"/>
            <w:tcBorders>
              <w:top w:val="single" w:sz="4" w:space="0" w:color="auto"/>
              <w:left w:val="nil"/>
              <w:bottom w:val="nil"/>
              <w:right w:val="nil"/>
            </w:tcBorders>
            <w:shd w:val="clear" w:color="auto" w:fill="auto"/>
            <w:noWrap/>
            <w:vAlign w:val="center"/>
            <w:hideMark/>
          </w:tcPr>
          <w:p w14:paraId="14D5E24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Duration</w:t>
            </w:r>
          </w:p>
        </w:tc>
        <w:tc>
          <w:tcPr>
            <w:tcW w:w="283" w:type="dxa"/>
            <w:tcBorders>
              <w:top w:val="single" w:sz="4" w:space="0" w:color="auto"/>
              <w:left w:val="nil"/>
              <w:bottom w:val="nil"/>
              <w:right w:val="nil"/>
            </w:tcBorders>
            <w:shd w:val="clear" w:color="auto" w:fill="auto"/>
            <w:noWrap/>
            <w:vAlign w:val="center"/>
            <w:hideMark/>
          </w:tcPr>
          <w:p w14:paraId="6C5716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268" w:type="dxa"/>
            <w:gridSpan w:val="3"/>
            <w:tcBorders>
              <w:top w:val="single" w:sz="4" w:space="0" w:color="auto"/>
              <w:left w:val="nil"/>
              <w:bottom w:val="nil"/>
              <w:right w:val="nil"/>
            </w:tcBorders>
            <w:shd w:val="clear" w:color="auto" w:fill="auto"/>
            <w:noWrap/>
            <w:vAlign w:val="center"/>
            <w:hideMark/>
          </w:tcPr>
          <w:p w14:paraId="640398B4"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#Letters</w:t>
            </w:r>
          </w:p>
        </w:tc>
        <w:tc>
          <w:tcPr>
            <w:tcW w:w="426" w:type="dxa"/>
            <w:tcBorders>
              <w:top w:val="single" w:sz="4" w:space="0" w:color="auto"/>
              <w:left w:val="nil"/>
              <w:bottom w:val="nil"/>
              <w:right w:val="nil"/>
            </w:tcBorders>
            <w:shd w:val="clear" w:color="auto" w:fill="auto"/>
            <w:noWrap/>
            <w:vAlign w:val="center"/>
            <w:hideMark/>
          </w:tcPr>
          <w:p w14:paraId="79061438"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126" w:type="dxa"/>
            <w:gridSpan w:val="3"/>
            <w:tcBorders>
              <w:top w:val="single" w:sz="4" w:space="0" w:color="auto"/>
              <w:left w:val="nil"/>
              <w:bottom w:val="nil"/>
              <w:right w:val="nil"/>
            </w:tcBorders>
            <w:shd w:val="clear" w:color="auto" w:fill="auto"/>
            <w:noWrap/>
            <w:vAlign w:val="center"/>
            <w:hideMark/>
          </w:tcPr>
          <w:p w14:paraId="79429895"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#Themes</w:t>
            </w:r>
          </w:p>
        </w:tc>
        <w:tc>
          <w:tcPr>
            <w:tcW w:w="284" w:type="dxa"/>
            <w:tcBorders>
              <w:top w:val="single" w:sz="4" w:space="0" w:color="auto"/>
              <w:left w:val="nil"/>
              <w:bottom w:val="nil"/>
              <w:right w:val="nil"/>
            </w:tcBorders>
            <w:shd w:val="clear" w:color="auto" w:fill="auto"/>
            <w:noWrap/>
            <w:vAlign w:val="center"/>
            <w:hideMark/>
          </w:tcPr>
          <w:p w14:paraId="0AE4903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126" w:type="dxa"/>
            <w:gridSpan w:val="3"/>
            <w:tcBorders>
              <w:top w:val="single" w:sz="4" w:space="0" w:color="auto"/>
              <w:left w:val="nil"/>
              <w:bottom w:val="nil"/>
              <w:right w:val="nil"/>
            </w:tcBorders>
            <w:shd w:val="clear" w:color="auto" w:fill="auto"/>
            <w:noWrap/>
            <w:vAlign w:val="center"/>
            <w:hideMark/>
          </w:tcPr>
          <w:p w14:paraId="7D7DE3E6" w14:textId="6D9DEE30"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w:t>
            </w:r>
            <w:r w:rsidR="00DA5862" w:rsidRPr="00E915AA">
              <w:rPr>
                <w:rFonts w:ascii="Times New Roman" w:eastAsia="Times New Roman" w:hAnsi="Times New Roman" w:cs="Times New Roman"/>
                <w:i/>
                <w:iCs/>
                <w:color w:val="000000"/>
                <w:sz w:val="12"/>
                <w:szCs w:val="12"/>
                <w:lang w:val="en-GB" w:eastAsia="en-GB"/>
              </w:rPr>
              <w:t xml:space="preserve"> Core-accounting issues</w:t>
            </w:r>
          </w:p>
        </w:tc>
        <w:tc>
          <w:tcPr>
            <w:tcW w:w="284" w:type="dxa"/>
            <w:tcBorders>
              <w:top w:val="single" w:sz="4" w:space="0" w:color="auto"/>
              <w:left w:val="nil"/>
              <w:bottom w:val="nil"/>
              <w:right w:val="nil"/>
            </w:tcBorders>
            <w:shd w:val="clear" w:color="auto" w:fill="auto"/>
            <w:noWrap/>
            <w:vAlign w:val="center"/>
            <w:hideMark/>
          </w:tcPr>
          <w:p w14:paraId="619CDECC"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764" w:type="dxa"/>
            <w:gridSpan w:val="4"/>
            <w:tcBorders>
              <w:top w:val="single" w:sz="4" w:space="0" w:color="auto"/>
              <w:left w:val="nil"/>
              <w:bottom w:val="nil"/>
              <w:right w:val="nil"/>
            </w:tcBorders>
            <w:shd w:val="clear" w:color="auto" w:fill="auto"/>
            <w:noWrap/>
            <w:vAlign w:val="center"/>
            <w:hideMark/>
          </w:tcPr>
          <w:p w14:paraId="5A1C15D8" w14:textId="5EC7A398"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#Non-</w:t>
            </w:r>
            <w:r w:rsidR="009C015E" w:rsidRPr="00E915AA">
              <w:rPr>
                <w:rFonts w:ascii="Times New Roman" w:eastAsia="Times New Roman" w:hAnsi="Times New Roman" w:cs="Times New Roman"/>
                <w:i/>
                <w:iCs/>
                <w:color w:val="000000"/>
                <w:sz w:val="12"/>
                <w:szCs w:val="12"/>
                <w:lang w:val="en-GB" w:eastAsia="en-GB"/>
              </w:rPr>
              <w:t>Core-accounting issues</w:t>
            </w:r>
          </w:p>
        </w:tc>
      </w:tr>
      <w:tr w:rsidR="00F14709" w:rsidRPr="00E915AA" w14:paraId="4034FD09" w14:textId="77777777" w:rsidTr="00110FF6">
        <w:trPr>
          <w:trHeight w:val="200"/>
        </w:trPr>
        <w:tc>
          <w:tcPr>
            <w:tcW w:w="1276" w:type="dxa"/>
            <w:tcBorders>
              <w:top w:val="nil"/>
              <w:left w:val="nil"/>
              <w:bottom w:val="nil"/>
              <w:right w:val="nil"/>
            </w:tcBorders>
            <w:shd w:val="clear" w:color="auto" w:fill="auto"/>
            <w:noWrap/>
            <w:vAlign w:val="center"/>
            <w:hideMark/>
          </w:tcPr>
          <w:p w14:paraId="58B98DF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6188B7E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single" w:sz="4" w:space="0" w:color="auto"/>
              <w:left w:val="nil"/>
              <w:bottom w:val="nil"/>
              <w:right w:val="nil"/>
            </w:tcBorders>
            <w:shd w:val="clear" w:color="auto" w:fill="auto"/>
            <w:noWrap/>
            <w:vAlign w:val="center"/>
            <w:hideMark/>
          </w:tcPr>
          <w:p w14:paraId="5503914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w:t>
            </w:r>
          </w:p>
        </w:tc>
        <w:tc>
          <w:tcPr>
            <w:tcW w:w="709" w:type="dxa"/>
            <w:tcBorders>
              <w:top w:val="single" w:sz="4" w:space="0" w:color="auto"/>
              <w:left w:val="nil"/>
              <w:bottom w:val="nil"/>
              <w:right w:val="nil"/>
            </w:tcBorders>
            <w:shd w:val="clear" w:color="auto" w:fill="auto"/>
            <w:noWrap/>
            <w:vAlign w:val="center"/>
            <w:hideMark/>
          </w:tcPr>
          <w:p w14:paraId="04E9166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w:t>
            </w:r>
          </w:p>
        </w:tc>
        <w:tc>
          <w:tcPr>
            <w:tcW w:w="709" w:type="dxa"/>
            <w:tcBorders>
              <w:top w:val="single" w:sz="4" w:space="0" w:color="auto"/>
              <w:left w:val="nil"/>
              <w:bottom w:val="nil"/>
              <w:right w:val="nil"/>
            </w:tcBorders>
            <w:shd w:val="clear" w:color="auto" w:fill="auto"/>
            <w:noWrap/>
            <w:vAlign w:val="center"/>
            <w:hideMark/>
          </w:tcPr>
          <w:p w14:paraId="7D0D3D7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(3)</w:t>
            </w:r>
          </w:p>
        </w:tc>
        <w:tc>
          <w:tcPr>
            <w:tcW w:w="283" w:type="dxa"/>
            <w:tcBorders>
              <w:top w:val="nil"/>
              <w:left w:val="nil"/>
              <w:bottom w:val="nil"/>
              <w:right w:val="nil"/>
            </w:tcBorders>
            <w:shd w:val="clear" w:color="auto" w:fill="auto"/>
            <w:noWrap/>
            <w:vAlign w:val="center"/>
            <w:hideMark/>
          </w:tcPr>
          <w:p w14:paraId="7FFAF19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single" w:sz="4" w:space="0" w:color="auto"/>
              <w:left w:val="nil"/>
              <w:bottom w:val="nil"/>
              <w:right w:val="nil"/>
            </w:tcBorders>
            <w:shd w:val="clear" w:color="auto" w:fill="auto"/>
            <w:noWrap/>
            <w:vAlign w:val="center"/>
            <w:hideMark/>
          </w:tcPr>
          <w:p w14:paraId="59130A1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w:t>
            </w:r>
          </w:p>
        </w:tc>
        <w:tc>
          <w:tcPr>
            <w:tcW w:w="851" w:type="dxa"/>
            <w:tcBorders>
              <w:top w:val="single" w:sz="4" w:space="0" w:color="auto"/>
              <w:left w:val="nil"/>
              <w:bottom w:val="nil"/>
              <w:right w:val="nil"/>
            </w:tcBorders>
            <w:shd w:val="clear" w:color="auto" w:fill="auto"/>
            <w:noWrap/>
            <w:vAlign w:val="center"/>
            <w:hideMark/>
          </w:tcPr>
          <w:p w14:paraId="4A77054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w:t>
            </w:r>
          </w:p>
        </w:tc>
        <w:tc>
          <w:tcPr>
            <w:tcW w:w="708" w:type="dxa"/>
            <w:tcBorders>
              <w:top w:val="single" w:sz="4" w:space="0" w:color="auto"/>
              <w:left w:val="nil"/>
              <w:bottom w:val="nil"/>
              <w:right w:val="nil"/>
            </w:tcBorders>
            <w:shd w:val="clear" w:color="auto" w:fill="auto"/>
            <w:noWrap/>
            <w:vAlign w:val="center"/>
            <w:hideMark/>
          </w:tcPr>
          <w:p w14:paraId="53121E0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(6)</w:t>
            </w:r>
          </w:p>
        </w:tc>
        <w:tc>
          <w:tcPr>
            <w:tcW w:w="426" w:type="dxa"/>
            <w:tcBorders>
              <w:top w:val="nil"/>
              <w:left w:val="nil"/>
              <w:bottom w:val="nil"/>
              <w:right w:val="nil"/>
            </w:tcBorders>
            <w:shd w:val="clear" w:color="auto" w:fill="auto"/>
            <w:noWrap/>
            <w:vAlign w:val="center"/>
            <w:hideMark/>
          </w:tcPr>
          <w:p w14:paraId="7915E27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single" w:sz="4" w:space="0" w:color="auto"/>
              <w:left w:val="nil"/>
              <w:bottom w:val="nil"/>
              <w:right w:val="nil"/>
            </w:tcBorders>
            <w:shd w:val="clear" w:color="auto" w:fill="auto"/>
            <w:noWrap/>
            <w:vAlign w:val="center"/>
            <w:hideMark/>
          </w:tcPr>
          <w:p w14:paraId="579D710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(7)</w:t>
            </w:r>
          </w:p>
        </w:tc>
        <w:tc>
          <w:tcPr>
            <w:tcW w:w="709" w:type="dxa"/>
            <w:tcBorders>
              <w:top w:val="single" w:sz="4" w:space="0" w:color="auto"/>
              <w:left w:val="nil"/>
              <w:bottom w:val="nil"/>
              <w:right w:val="nil"/>
            </w:tcBorders>
            <w:shd w:val="clear" w:color="auto" w:fill="auto"/>
            <w:noWrap/>
            <w:vAlign w:val="center"/>
            <w:hideMark/>
          </w:tcPr>
          <w:p w14:paraId="4E06012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(8)</w:t>
            </w:r>
          </w:p>
        </w:tc>
        <w:tc>
          <w:tcPr>
            <w:tcW w:w="709" w:type="dxa"/>
            <w:tcBorders>
              <w:top w:val="single" w:sz="4" w:space="0" w:color="auto"/>
              <w:left w:val="nil"/>
              <w:bottom w:val="nil"/>
              <w:right w:val="nil"/>
            </w:tcBorders>
            <w:shd w:val="clear" w:color="auto" w:fill="auto"/>
            <w:noWrap/>
            <w:vAlign w:val="center"/>
            <w:hideMark/>
          </w:tcPr>
          <w:p w14:paraId="5767B07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(9)</w:t>
            </w:r>
          </w:p>
        </w:tc>
        <w:tc>
          <w:tcPr>
            <w:tcW w:w="284" w:type="dxa"/>
            <w:tcBorders>
              <w:top w:val="nil"/>
              <w:left w:val="nil"/>
              <w:bottom w:val="nil"/>
              <w:right w:val="nil"/>
            </w:tcBorders>
            <w:shd w:val="clear" w:color="auto" w:fill="auto"/>
            <w:noWrap/>
            <w:vAlign w:val="center"/>
            <w:hideMark/>
          </w:tcPr>
          <w:p w14:paraId="3FEA1AB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single" w:sz="4" w:space="0" w:color="auto"/>
              <w:left w:val="nil"/>
              <w:bottom w:val="nil"/>
              <w:right w:val="nil"/>
            </w:tcBorders>
            <w:shd w:val="clear" w:color="auto" w:fill="auto"/>
            <w:noWrap/>
            <w:vAlign w:val="center"/>
            <w:hideMark/>
          </w:tcPr>
          <w:p w14:paraId="130F31D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(10)</w:t>
            </w:r>
          </w:p>
        </w:tc>
        <w:tc>
          <w:tcPr>
            <w:tcW w:w="709" w:type="dxa"/>
            <w:tcBorders>
              <w:top w:val="single" w:sz="4" w:space="0" w:color="auto"/>
              <w:left w:val="nil"/>
              <w:bottom w:val="nil"/>
              <w:right w:val="nil"/>
            </w:tcBorders>
            <w:shd w:val="clear" w:color="auto" w:fill="auto"/>
            <w:noWrap/>
            <w:vAlign w:val="center"/>
            <w:hideMark/>
          </w:tcPr>
          <w:p w14:paraId="48F73B9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w:t>
            </w:r>
          </w:p>
        </w:tc>
        <w:tc>
          <w:tcPr>
            <w:tcW w:w="709" w:type="dxa"/>
            <w:tcBorders>
              <w:top w:val="single" w:sz="4" w:space="0" w:color="auto"/>
              <w:left w:val="nil"/>
              <w:bottom w:val="nil"/>
              <w:right w:val="nil"/>
            </w:tcBorders>
            <w:shd w:val="clear" w:color="auto" w:fill="auto"/>
            <w:noWrap/>
            <w:vAlign w:val="center"/>
            <w:hideMark/>
          </w:tcPr>
          <w:p w14:paraId="4FB6558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(12)</w:t>
            </w:r>
          </w:p>
        </w:tc>
        <w:tc>
          <w:tcPr>
            <w:tcW w:w="284" w:type="dxa"/>
            <w:tcBorders>
              <w:top w:val="nil"/>
              <w:left w:val="nil"/>
              <w:bottom w:val="nil"/>
              <w:right w:val="nil"/>
            </w:tcBorders>
            <w:shd w:val="clear" w:color="auto" w:fill="auto"/>
            <w:noWrap/>
            <w:vAlign w:val="center"/>
            <w:hideMark/>
          </w:tcPr>
          <w:p w14:paraId="20FB89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single" w:sz="4" w:space="0" w:color="auto"/>
              <w:left w:val="nil"/>
              <w:bottom w:val="nil"/>
              <w:right w:val="nil"/>
            </w:tcBorders>
            <w:shd w:val="clear" w:color="auto" w:fill="auto"/>
            <w:noWrap/>
            <w:vAlign w:val="center"/>
            <w:hideMark/>
          </w:tcPr>
          <w:p w14:paraId="6CCCAC4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(13)</w:t>
            </w:r>
          </w:p>
        </w:tc>
        <w:tc>
          <w:tcPr>
            <w:tcW w:w="851" w:type="dxa"/>
            <w:tcBorders>
              <w:top w:val="single" w:sz="4" w:space="0" w:color="auto"/>
              <w:left w:val="nil"/>
              <w:bottom w:val="nil"/>
              <w:right w:val="nil"/>
            </w:tcBorders>
            <w:shd w:val="clear" w:color="auto" w:fill="auto"/>
            <w:noWrap/>
            <w:vAlign w:val="center"/>
            <w:hideMark/>
          </w:tcPr>
          <w:p w14:paraId="02FAAFD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(14)</w:t>
            </w:r>
          </w:p>
        </w:tc>
        <w:tc>
          <w:tcPr>
            <w:tcW w:w="1063" w:type="dxa"/>
            <w:gridSpan w:val="2"/>
            <w:tcBorders>
              <w:top w:val="single" w:sz="4" w:space="0" w:color="auto"/>
              <w:left w:val="nil"/>
              <w:bottom w:val="nil"/>
              <w:right w:val="nil"/>
            </w:tcBorders>
            <w:shd w:val="clear" w:color="auto" w:fill="auto"/>
            <w:noWrap/>
            <w:vAlign w:val="center"/>
            <w:hideMark/>
          </w:tcPr>
          <w:p w14:paraId="6639531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w:t>
            </w:r>
          </w:p>
        </w:tc>
      </w:tr>
      <w:tr w:rsidR="00F14709" w:rsidRPr="00E915AA" w14:paraId="7576548E" w14:textId="77777777" w:rsidTr="00110FF6">
        <w:trPr>
          <w:trHeight w:val="328"/>
        </w:trPr>
        <w:tc>
          <w:tcPr>
            <w:tcW w:w="1276" w:type="dxa"/>
            <w:tcBorders>
              <w:top w:val="nil"/>
              <w:left w:val="nil"/>
              <w:bottom w:val="nil"/>
              <w:right w:val="nil"/>
            </w:tcBorders>
            <w:shd w:val="clear" w:color="auto" w:fill="auto"/>
            <w:noWrap/>
            <w:vAlign w:val="center"/>
            <w:hideMark/>
          </w:tcPr>
          <w:p w14:paraId="4BDC19C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roofErr w:type="spellStart"/>
            <w:r w:rsidRPr="00E915AA">
              <w:rPr>
                <w:rFonts w:ascii="Times New Roman" w:eastAsia="Times New Roman" w:hAnsi="Times New Roman" w:cs="Times New Roman"/>
                <w:color w:val="000000"/>
                <w:sz w:val="12"/>
                <w:szCs w:val="12"/>
                <w:lang w:val="en-GB" w:eastAsia="en-GB"/>
              </w:rPr>
              <w:t>Draftfiling</w:t>
            </w:r>
            <w:proofErr w:type="spellEnd"/>
          </w:p>
        </w:tc>
        <w:tc>
          <w:tcPr>
            <w:tcW w:w="236" w:type="dxa"/>
            <w:tcBorders>
              <w:top w:val="nil"/>
              <w:left w:val="nil"/>
              <w:bottom w:val="nil"/>
              <w:right w:val="nil"/>
            </w:tcBorders>
            <w:shd w:val="clear" w:color="auto" w:fill="auto"/>
            <w:noWrap/>
            <w:vAlign w:val="center"/>
            <w:hideMark/>
          </w:tcPr>
          <w:p w14:paraId="55D613D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vAlign w:val="center"/>
            <w:hideMark/>
          </w:tcPr>
          <w:p w14:paraId="10C4784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-0.515***</w:t>
            </w:r>
            <w:r w:rsidRPr="00E915AA">
              <w:rPr>
                <w:rFonts w:ascii="Times New Roman" w:eastAsia="Times New Roman" w:hAnsi="Times New Roman" w:cs="Times New Roman"/>
                <w:color w:val="000000"/>
                <w:sz w:val="12"/>
                <w:szCs w:val="12"/>
                <w:lang w:val="en-GB" w:eastAsia="en-GB"/>
              </w:rPr>
              <w:br/>
              <w:t>(-7.18)</w:t>
            </w:r>
          </w:p>
        </w:tc>
        <w:tc>
          <w:tcPr>
            <w:tcW w:w="709" w:type="dxa"/>
            <w:tcBorders>
              <w:top w:val="nil"/>
              <w:left w:val="nil"/>
              <w:bottom w:val="nil"/>
              <w:right w:val="nil"/>
            </w:tcBorders>
            <w:shd w:val="clear" w:color="auto" w:fill="auto"/>
            <w:vAlign w:val="center"/>
            <w:hideMark/>
          </w:tcPr>
          <w:p w14:paraId="5C45F1D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-0.503***</w:t>
            </w:r>
            <w:r w:rsidRPr="00E915AA">
              <w:rPr>
                <w:rFonts w:ascii="Times New Roman" w:eastAsia="Times New Roman" w:hAnsi="Times New Roman" w:cs="Times New Roman"/>
                <w:color w:val="000000"/>
                <w:sz w:val="12"/>
                <w:szCs w:val="12"/>
                <w:lang w:val="en-GB" w:eastAsia="en-GB"/>
              </w:rPr>
              <w:br/>
              <w:t>(-7.11)</w:t>
            </w:r>
          </w:p>
        </w:tc>
        <w:tc>
          <w:tcPr>
            <w:tcW w:w="709" w:type="dxa"/>
            <w:tcBorders>
              <w:top w:val="nil"/>
              <w:left w:val="nil"/>
              <w:bottom w:val="nil"/>
              <w:right w:val="nil"/>
            </w:tcBorders>
            <w:shd w:val="clear" w:color="auto" w:fill="auto"/>
            <w:vAlign w:val="center"/>
            <w:hideMark/>
          </w:tcPr>
          <w:p w14:paraId="025C711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-0.483***</w:t>
            </w:r>
            <w:r w:rsidRPr="00E915AA">
              <w:rPr>
                <w:rFonts w:ascii="Times New Roman" w:eastAsia="Times New Roman" w:hAnsi="Times New Roman" w:cs="Times New Roman"/>
                <w:color w:val="000000"/>
                <w:sz w:val="12"/>
                <w:szCs w:val="12"/>
                <w:lang w:val="en-GB" w:eastAsia="en-GB"/>
              </w:rPr>
              <w:br/>
              <w:t>(-5.31)</w:t>
            </w:r>
          </w:p>
        </w:tc>
        <w:tc>
          <w:tcPr>
            <w:tcW w:w="283" w:type="dxa"/>
            <w:tcBorders>
              <w:top w:val="nil"/>
              <w:left w:val="nil"/>
              <w:bottom w:val="nil"/>
              <w:right w:val="nil"/>
            </w:tcBorders>
            <w:shd w:val="clear" w:color="auto" w:fill="auto"/>
            <w:noWrap/>
            <w:vAlign w:val="center"/>
            <w:hideMark/>
          </w:tcPr>
          <w:p w14:paraId="2F6C70D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6E31423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-0.576***</w:t>
            </w:r>
            <w:r w:rsidRPr="00E915AA">
              <w:rPr>
                <w:rFonts w:ascii="Times New Roman" w:eastAsia="Times New Roman" w:hAnsi="Times New Roman" w:cs="Times New Roman"/>
                <w:color w:val="000000"/>
                <w:sz w:val="12"/>
                <w:szCs w:val="12"/>
                <w:lang w:val="en-GB" w:eastAsia="en-GB"/>
              </w:rPr>
              <w:br/>
              <w:t>(-5.51)</w:t>
            </w:r>
          </w:p>
        </w:tc>
        <w:tc>
          <w:tcPr>
            <w:tcW w:w="851" w:type="dxa"/>
            <w:tcBorders>
              <w:top w:val="nil"/>
              <w:left w:val="nil"/>
              <w:bottom w:val="nil"/>
              <w:right w:val="nil"/>
            </w:tcBorders>
            <w:shd w:val="clear" w:color="auto" w:fill="auto"/>
            <w:vAlign w:val="center"/>
            <w:hideMark/>
          </w:tcPr>
          <w:p w14:paraId="72C5461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-0.579***</w:t>
            </w:r>
            <w:r w:rsidRPr="00E915AA">
              <w:rPr>
                <w:rFonts w:ascii="Times New Roman" w:eastAsia="Times New Roman" w:hAnsi="Times New Roman" w:cs="Times New Roman"/>
                <w:color w:val="000000"/>
                <w:sz w:val="12"/>
                <w:szCs w:val="12"/>
                <w:lang w:val="en-GB" w:eastAsia="en-GB"/>
              </w:rPr>
              <w:br/>
              <w:t>(-5.77)</w:t>
            </w:r>
          </w:p>
        </w:tc>
        <w:tc>
          <w:tcPr>
            <w:tcW w:w="708" w:type="dxa"/>
            <w:tcBorders>
              <w:top w:val="nil"/>
              <w:left w:val="nil"/>
              <w:bottom w:val="nil"/>
              <w:right w:val="nil"/>
            </w:tcBorders>
            <w:shd w:val="clear" w:color="auto" w:fill="auto"/>
            <w:vAlign w:val="center"/>
            <w:hideMark/>
          </w:tcPr>
          <w:p w14:paraId="151EB69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-0.616***</w:t>
            </w:r>
            <w:r w:rsidRPr="00E915AA">
              <w:rPr>
                <w:rFonts w:ascii="Times New Roman" w:eastAsia="Times New Roman" w:hAnsi="Times New Roman" w:cs="Times New Roman"/>
                <w:color w:val="000000"/>
                <w:sz w:val="12"/>
                <w:szCs w:val="12"/>
                <w:lang w:val="en-GB" w:eastAsia="en-GB"/>
              </w:rPr>
              <w:br/>
              <w:t>(-5.79)</w:t>
            </w:r>
          </w:p>
        </w:tc>
        <w:tc>
          <w:tcPr>
            <w:tcW w:w="426" w:type="dxa"/>
            <w:tcBorders>
              <w:top w:val="nil"/>
              <w:left w:val="nil"/>
              <w:bottom w:val="nil"/>
              <w:right w:val="nil"/>
            </w:tcBorders>
            <w:shd w:val="clear" w:color="auto" w:fill="auto"/>
            <w:noWrap/>
            <w:vAlign w:val="center"/>
            <w:hideMark/>
          </w:tcPr>
          <w:p w14:paraId="564FE81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vAlign w:val="center"/>
            <w:hideMark/>
          </w:tcPr>
          <w:p w14:paraId="5288AD4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-0.845***</w:t>
            </w:r>
            <w:r w:rsidRPr="00E915AA">
              <w:rPr>
                <w:rFonts w:ascii="Times New Roman" w:eastAsia="Times New Roman" w:hAnsi="Times New Roman" w:cs="Times New Roman"/>
                <w:color w:val="000000"/>
                <w:sz w:val="12"/>
                <w:szCs w:val="12"/>
                <w:lang w:val="en-GB" w:eastAsia="en-GB"/>
              </w:rPr>
              <w:br/>
              <w:t>(-8.13)</w:t>
            </w:r>
          </w:p>
        </w:tc>
        <w:tc>
          <w:tcPr>
            <w:tcW w:w="709" w:type="dxa"/>
            <w:tcBorders>
              <w:top w:val="nil"/>
              <w:left w:val="nil"/>
              <w:bottom w:val="nil"/>
              <w:right w:val="nil"/>
            </w:tcBorders>
            <w:shd w:val="clear" w:color="auto" w:fill="auto"/>
            <w:vAlign w:val="center"/>
            <w:hideMark/>
          </w:tcPr>
          <w:p w14:paraId="606B4EB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-0.839***</w:t>
            </w:r>
            <w:r w:rsidRPr="00E915AA">
              <w:rPr>
                <w:rFonts w:ascii="Times New Roman" w:eastAsia="Times New Roman" w:hAnsi="Times New Roman" w:cs="Times New Roman"/>
                <w:color w:val="000000"/>
                <w:sz w:val="12"/>
                <w:szCs w:val="12"/>
                <w:lang w:val="en-GB" w:eastAsia="en-GB"/>
              </w:rPr>
              <w:br/>
              <w:t>(-7.66)</w:t>
            </w:r>
          </w:p>
        </w:tc>
        <w:tc>
          <w:tcPr>
            <w:tcW w:w="709" w:type="dxa"/>
            <w:tcBorders>
              <w:top w:val="nil"/>
              <w:left w:val="nil"/>
              <w:bottom w:val="nil"/>
              <w:right w:val="nil"/>
            </w:tcBorders>
            <w:shd w:val="clear" w:color="auto" w:fill="auto"/>
            <w:vAlign w:val="center"/>
            <w:hideMark/>
          </w:tcPr>
          <w:p w14:paraId="0FB85E0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-0.838***</w:t>
            </w:r>
            <w:r w:rsidRPr="00E915AA">
              <w:rPr>
                <w:rFonts w:ascii="Times New Roman" w:eastAsia="Times New Roman" w:hAnsi="Times New Roman" w:cs="Times New Roman"/>
                <w:color w:val="000000"/>
                <w:sz w:val="12"/>
                <w:szCs w:val="12"/>
                <w:lang w:val="en-GB" w:eastAsia="en-GB"/>
              </w:rPr>
              <w:br/>
              <w:t>(-6.98)</w:t>
            </w:r>
          </w:p>
        </w:tc>
        <w:tc>
          <w:tcPr>
            <w:tcW w:w="284" w:type="dxa"/>
            <w:tcBorders>
              <w:top w:val="nil"/>
              <w:left w:val="nil"/>
              <w:bottom w:val="nil"/>
              <w:right w:val="nil"/>
            </w:tcBorders>
            <w:shd w:val="clear" w:color="auto" w:fill="auto"/>
            <w:noWrap/>
            <w:vAlign w:val="center"/>
            <w:hideMark/>
          </w:tcPr>
          <w:p w14:paraId="2EFB592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vAlign w:val="center"/>
            <w:hideMark/>
          </w:tcPr>
          <w:p w14:paraId="7B98129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-1.554***</w:t>
            </w:r>
            <w:r w:rsidRPr="00E915AA">
              <w:rPr>
                <w:rFonts w:ascii="Times New Roman" w:eastAsia="Times New Roman" w:hAnsi="Times New Roman" w:cs="Times New Roman"/>
                <w:color w:val="000000"/>
                <w:sz w:val="12"/>
                <w:szCs w:val="12"/>
                <w:lang w:val="en-GB" w:eastAsia="en-GB"/>
              </w:rPr>
              <w:br/>
              <w:t>(-11.97)</w:t>
            </w:r>
          </w:p>
        </w:tc>
        <w:tc>
          <w:tcPr>
            <w:tcW w:w="709" w:type="dxa"/>
            <w:tcBorders>
              <w:top w:val="nil"/>
              <w:left w:val="nil"/>
              <w:bottom w:val="nil"/>
              <w:right w:val="nil"/>
            </w:tcBorders>
            <w:shd w:val="clear" w:color="auto" w:fill="auto"/>
            <w:vAlign w:val="center"/>
            <w:hideMark/>
          </w:tcPr>
          <w:p w14:paraId="140F355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-1.543***</w:t>
            </w:r>
            <w:r w:rsidRPr="00E915AA">
              <w:rPr>
                <w:rFonts w:ascii="Times New Roman" w:eastAsia="Times New Roman" w:hAnsi="Times New Roman" w:cs="Times New Roman"/>
                <w:color w:val="000000"/>
                <w:sz w:val="12"/>
                <w:szCs w:val="12"/>
                <w:lang w:val="en-GB" w:eastAsia="en-GB"/>
              </w:rPr>
              <w:br/>
              <w:t>(-10.9)</w:t>
            </w:r>
          </w:p>
        </w:tc>
        <w:tc>
          <w:tcPr>
            <w:tcW w:w="709" w:type="dxa"/>
            <w:tcBorders>
              <w:top w:val="nil"/>
              <w:left w:val="nil"/>
              <w:bottom w:val="nil"/>
              <w:right w:val="nil"/>
            </w:tcBorders>
            <w:shd w:val="clear" w:color="auto" w:fill="auto"/>
            <w:vAlign w:val="center"/>
            <w:hideMark/>
          </w:tcPr>
          <w:p w14:paraId="267EA49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-1.569***</w:t>
            </w:r>
            <w:r w:rsidRPr="00E915AA">
              <w:rPr>
                <w:rFonts w:ascii="Times New Roman" w:eastAsia="Times New Roman" w:hAnsi="Times New Roman" w:cs="Times New Roman"/>
                <w:color w:val="000000"/>
                <w:sz w:val="12"/>
                <w:szCs w:val="12"/>
                <w:lang w:val="en-GB" w:eastAsia="en-GB"/>
              </w:rPr>
              <w:br/>
              <w:t>(-11.07)</w:t>
            </w:r>
          </w:p>
        </w:tc>
        <w:tc>
          <w:tcPr>
            <w:tcW w:w="284" w:type="dxa"/>
            <w:tcBorders>
              <w:top w:val="nil"/>
              <w:left w:val="nil"/>
              <w:bottom w:val="nil"/>
              <w:right w:val="nil"/>
            </w:tcBorders>
            <w:shd w:val="clear" w:color="auto" w:fill="auto"/>
            <w:noWrap/>
            <w:vAlign w:val="center"/>
            <w:hideMark/>
          </w:tcPr>
          <w:p w14:paraId="637C5DF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vAlign w:val="center"/>
            <w:hideMark/>
          </w:tcPr>
          <w:p w14:paraId="352CA56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-1.626***</w:t>
            </w:r>
            <w:r w:rsidRPr="00E915AA">
              <w:rPr>
                <w:rFonts w:ascii="Times New Roman" w:eastAsia="Times New Roman" w:hAnsi="Times New Roman" w:cs="Times New Roman"/>
                <w:color w:val="000000"/>
                <w:sz w:val="12"/>
                <w:szCs w:val="12"/>
                <w:lang w:val="en-GB" w:eastAsia="en-GB"/>
              </w:rPr>
              <w:br/>
              <w:t>(-12.99)</w:t>
            </w:r>
          </w:p>
        </w:tc>
        <w:tc>
          <w:tcPr>
            <w:tcW w:w="851" w:type="dxa"/>
            <w:tcBorders>
              <w:top w:val="nil"/>
              <w:left w:val="nil"/>
              <w:bottom w:val="nil"/>
              <w:right w:val="nil"/>
            </w:tcBorders>
            <w:shd w:val="clear" w:color="auto" w:fill="auto"/>
            <w:vAlign w:val="center"/>
            <w:hideMark/>
          </w:tcPr>
          <w:p w14:paraId="0CD2BC9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-1.62***</w:t>
            </w:r>
            <w:r w:rsidRPr="00E915AA">
              <w:rPr>
                <w:rFonts w:ascii="Times New Roman" w:eastAsia="Times New Roman" w:hAnsi="Times New Roman" w:cs="Times New Roman"/>
                <w:color w:val="000000"/>
                <w:sz w:val="12"/>
                <w:szCs w:val="12"/>
                <w:lang w:val="en-GB" w:eastAsia="en-GB"/>
              </w:rPr>
              <w:br/>
              <w:t>(-12.33)</w:t>
            </w:r>
          </w:p>
        </w:tc>
        <w:tc>
          <w:tcPr>
            <w:tcW w:w="1063" w:type="dxa"/>
            <w:gridSpan w:val="2"/>
            <w:tcBorders>
              <w:top w:val="nil"/>
              <w:left w:val="nil"/>
              <w:bottom w:val="nil"/>
              <w:right w:val="nil"/>
            </w:tcBorders>
            <w:shd w:val="clear" w:color="auto" w:fill="auto"/>
            <w:vAlign w:val="center"/>
            <w:hideMark/>
          </w:tcPr>
          <w:p w14:paraId="0B9886C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-1.647***</w:t>
            </w:r>
            <w:r w:rsidRPr="00E915AA">
              <w:rPr>
                <w:rFonts w:ascii="Times New Roman" w:eastAsia="Times New Roman" w:hAnsi="Times New Roman" w:cs="Times New Roman"/>
                <w:color w:val="000000"/>
                <w:sz w:val="12"/>
                <w:szCs w:val="12"/>
                <w:lang w:val="en-GB" w:eastAsia="en-GB"/>
              </w:rPr>
              <w:br/>
              <w:t>(-11.18)</w:t>
            </w:r>
          </w:p>
        </w:tc>
      </w:tr>
      <w:tr w:rsidR="00F14709" w:rsidRPr="00E915AA" w14:paraId="3E7DA0F6" w14:textId="77777777" w:rsidTr="00110FF6">
        <w:trPr>
          <w:trHeight w:val="104"/>
        </w:trPr>
        <w:tc>
          <w:tcPr>
            <w:tcW w:w="1276" w:type="dxa"/>
            <w:tcBorders>
              <w:top w:val="nil"/>
              <w:left w:val="nil"/>
              <w:bottom w:val="nil"/>
              <w:right w:val="nil"/>
            </w:tcBorders>
            <w:shd w:val="clear" w:color="auto" w:fill="auto"/>
            <w:noWrap/>
            <w:vAlign w:val="center"/>
            <w:hideMark/>
          </w:tcPr>
          <w:p w14:paraId="5796BF8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4D3D6B5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484BBA4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C360F2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0F14C4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2408F1B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62E388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363C33B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E99D48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2E7BAE2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9D4662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445FE68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E1B5BE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6AA2643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72EC93D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8F149F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BB084D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1DE517C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78CE07C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30E53D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27B3F9A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44B695A0" w14:textId="77777777" w:rsidTr="00110FF6">
        <w:trPr>
          <w:trHeight w:val="276"/>
        </w:trPr>
        <w:tc>
          <w:tcPr>
            <w:tcW w:w="1276" w:type="dxa"/>
            <w:tcBorders>
              <w:top w:val="nil"/>
              <w:left w:val="nil"/>
              <w:bottom w:val="nil"/>
              <w:right w:val="nil"/>
            </w:tcBorders>
            <w:shd w:val="clear" w:color="auto" w:fill="auto"/>
            <w:noWrap/>
            <w:vAlign w:val="center"/>
            <w:hideMark/>
          </w:tcPr>
          <w:p w14:paraId="7494CBA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DACC</w:t>
            </w:r>
          </w:p>
        </w:tc>
        <w:tc>
          <w:tcPr>
            <w:tcW w:w="236" w:type="dxa"/>
            <w:tcBorders>
              <w:top w:val="nil"/>
              <w:left w:val="nil"/>
              <w:bottom w:val="nil"/>
              <w:right w:val="nil"/>
            </w:tcBorders>
            <w:shd w:val="clear" w:color="auto" w:fill="auto"/>
            <w:noWrap/>
            <w:vAlign w:val="center"/>
            <w:hideMark/>
          </w:tcPr>
          <w:p w14:paraId="0B5631D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vAlign w:val="center"/>
            <w:hideMark/>
          </w:tcPr>
          <w:p w14:paraId="04C2F35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(4.11)</w:t>
            </w:r>
          </w:p>
        </w:tc>
        <w:tc>
          <w:tcPr>
            <w:tcW w:w="709" w:type="dxa"/>
            <w:tcBorders>
              <w:top w:val="nil"/>
              <w:left w:val="nil"/>
              <w:bottom w:val="nil"/>
              <w:right w:val="nil"/>
            </w:tcBorders>
            <w:shd w:val="clear" w:color="auto" w:fill="auto"/>
            <w:vAlign w:val="center"/>
            <w:hideMark/>
          </w:tcPr>
          <w:p w14:paraId="45FD98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2CCCC52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46B3DD7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D4484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0.022***</w:t>
            </w:r>
            <w:r w:rsidRPr="00E915AA">
              <w:rPr>
                <w:rFonts w:ascii="Times New Roman" w:eastAsia="Times New Roman" w:hAnsi="Times New Roman" w:cs="Times New Roman"/>
                <w:color w:val="000000"/>
                <w:sz w:val="12"/>
                <w:szCs w:val="12"/>
                <w:lang w:val="en-GB" w:eastAsia="en-GB"/>
              </w:rPr>
              <w:br/>
              <w:t>(2.73)</w:t>
            </w:r>
          </w:p>
        </w:tc>
        <w:tc>
          <w:tcPr>
            <w:tcW w:w="851" w:type="dxa"/>
            <w:tcBorders>
              <w:top w:val="nil"/>
              <w:left w:val="nil"/>
              <w:bottom w:val="nil"/>
              <w:right w:val="nil"/>
            </w:tcBorders>
            <w:shd w:val="clear" w:color="auto" w:fill="auto"/>
            <w:vAlign w:val="center"/>
            <w:hideMark/>
          </w:tcPr>
          <w:p w14:paraId="48A1299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vAlign w:val="center"/>
            <w:hideMark/>
          </w:tcPr>
          <w:p w14:paraId="69C5980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5C66A01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681827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0.17</w:t>
            </w:r>
            <w:r w:rsidRPr="00E915AA">
              <w:rPr>
                <w:rFonts w:ascii="Times New Roman" w:eastAsia="Times New Roman" w:hAnsi="Times New Roman" w:cs="Times New Roman"/>
                <w:color w:val="000000"/>
                <w:sz w:val="12"/>
                <w:szCs w:val="12"/>
                <w:lang w:val="en-GB" w:eastAsia="en-GB"/>
              </w:rPr>
              <w:br/>
              <w:t>(1.37)</w:t>
            </w:r>
          </w:p>
        </w:tc>
        <w:tc>
          <w:tcPr>
            <w:tcW w:w="709" w:type="dxa"/>
            <w:tcBorders>
              <w:top w:val="nil"/>
              <w:left w:val="nil"/>
              <w:bottom w:val="nil"/>
              <w:right w:val="nil"/>
            </w:tcBorders>
            <w:shd w:val="clear" w:color="auto" w:fill="auto"/>
            <w:vAlign w:val="center"/>
            <w:hideMark/>
          </w:tcPr>
          <w:p w14:paraId="01ACC29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5BB0B28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24BCCE7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7A488BC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0.033***</w:t>
            </w:r>
            <w:r w:rsidRPr="00E915AA">
              <w:rPr>
                <w:rFonts w:ascii="Times New Roman" w:eastAsia="Times New Roman" w:hAnsi="Times New Roman" w:cs="Times New Roman"/>
                <w:color w:val="000000"/>
                <w:sz w:val="12"/>
                <w:szCs w:val="12"/>
                <w:lang w:val="en-GB" w:eastAsia="en-GB"/>
              </w:rPr>
              <w:br/>
              <w:t>(3.14)</w:t>
            </w:r>
          </w:p>
        </w:tc>
        <w:tc>
          <w:tcPr>
            <w:tcW w:w="709" w:type="dxa"/>
            <w:tcBorders>
              <w:top w:val="nil"/>
              <w:left w:val="nil"/>
              <w:bottom w:val="nil"/>
              <w:right w:val="nil"/>
            </w:tcBorders>
            <w:shd w:val="clear" w:color="auto" w:fill="auto"/>
            <w:vAlign w:val="center"/>
            <w:hideMark/>
          </w:tcPr>
          <w:p w14:paraId="4C27637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vAlign w:val="center"/>
            <w:hideMark/>
          </w:tcPr>
          <w:p w14:paraId="1E2027D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52A5723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vAlign w:val="center"/>
            <w:hideMark/>
          </w:tcPr>
          <w:p w14:paraId="301BA5A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0.426</w:t>
            </w:r>
            <w:r w:rsidRPr="00E915AA">
              <w:rPr>
                <w:rFonts w:ascii="Times New Roman" w:eastAsia="Times New Roman" w:hAnsi="Times New Roman" w:cs="Times New Roman"/>
                <w:color w:val="000000"/>
                <w:sz w:val="12"/>
                <w:szCs w:val="12"/>
                <w:lang w:val="en-GB" w:eastAsia="en-GB"/>
              </w:rPr>
              <w:br/>
              <w:t>(0.8)</w:t>
            </w:r>
          </w:p>
        </w:tc>
        <w:tc>
          <w:tcPr>
            <w:tcW w:w="851" w:type="dxa"/>
            <w:tcBorders>
              <w:top w:val="nil"/>
              <w:left w:val="nil"/>
              <w:bottom w:val="nil"/>
              <w:right w:val="nil"/>
            </w:tcBorders>
            <w:shd w:val="clear" w:color="auto" w:fill="auto"/>
            <w:vAlign w:val="center"/>
            <w:hideMark/>
          </w:tcPr>
          <w:p w14:paraId="2FAE292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1063" w:type="dxa"/>
            <w:gridSpan w:val="2"/>
            <w:tcBorders>
              <w:top w:val="nil"/>
              <w:left w:val="nil"/>
              <w:bottom w:val="nil"/>
              <w:right w:val="nil"/>
            </w:tcBorders>
            <w:shd w:val="clear" w:color="auto" w:fill="auto"/>
            <w:vAlign w:val="center"/>
            <w:hideMark/>
          </w:tcPr>
          <w:p w14:paraId="476D3C7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6F9564DD" w14:textId="77777777" w:rsidTr="00110FF6">
        <w:trPr>
          <w:trHeight w:val="237"/>
        </w:trPr>
        <w:tc>
          <w:tcPr>
            <w:tcW w:w="1276" w:type="dxa"/>
            <w:tcBorders>
              <w:top w:val="nil"/>
              <w:left w:val="nil"/>
              <w:bottom w:val="nil"/>
              <w:right w:val="nil"/>
            </w:tcBorders>
            <w:shd w:val="clear" w:color="auto" w:fill="auto"/>
            <w:noWrap/>
            <w:vAlign w:val="center"/>
            <w:hideMark/>
          </w:tcPr>
          <w:p w14:paraId="2B96EB8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ACFO</w:t>
            </w:r>
          </w:p>
        </w:tc>
        <w:tc>
          <w:tcPr>
            <w:tcW w:w="236" w:type="dxa"/>
            <w:tcBorders>
              <w:top w:val="nil"/>
              <w:left w:val="nil"/>
              <w:bottom w:val="nil"/>
              <w:right w:val="nil"/>
            </w:tcBorders>
            <w:shd w:val="clear" w:color="auto" w:fill="auto"/>
            <w:noWrap/>
            <w:vAlign w:val="center"/>
            <w:hideMark/>
          </w:tcPr>
          <w:p w14:paraId="57D649B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52D61F9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B8682D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0.008**</w:t>
            </w:r>
            <w:r w:rsidRPr="00E915AA">
              <w:rPr>
                <w:rFonts w:ascii="Times New Roman" w:eastAsia="Times New Roman" w:hAnsi="Times New Roman" w:cs="Times New Roman"/>
                <w:sz w:val="12"/>
                <w:szCs w:val="12"/>
                <w:lang w:val="en-GB" w:eastAsia="en-GB"/>
              </w:rPr>
              <w:br/>
              <w:t>(2.2)</w:t>
            </w:r>
          </w:p>
        </w:tc>
        <w:tc>
          <w:tcPr>
            <w:tcW w:w="709" w:type="dxa"/>
            <w:tcBorders>
              <w:top w:val="nil"/>
              <w:left w:val="nil"/>
              <w:bottom w:val="nil"/>
              <w:right w:val="nil"/>
            </w:tcBorders>
            <w:shd w:val="clear" w:color="auto" w:fill="auto"/>
            <w:noWrap/>
            <w:vAlign w:val="center"/>
            <w:hideMark/>
          </w:tcPr>
          <w:p w14:paraId="7257ACD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288F338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8B8F0D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09FCAC1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0.009</w:t>
            </w:r>
            <w:r w:rsidRPr="00E915AA">
              <w:rPr>
                <w:rFonts w:ascii="Times New Roman" w:eastAsia="Times New Roman" w:hAnsi="Times New Roman" w:cs="Times New Roman"/>
                <w:sz w:val="12"/>
                <w:szCs w:val="12"/>
                <w:lang w:val="en-GB" w:eastAsia="en-GB"/>
              </w:rPr>
              <w:br/>
              <w:t>(0.68)</w:t>
            </w:r>
          </w:p>
        </w:tc>
        <w:tc>
          <w:tcPr>
            <w:tcW w:w="708" w:type="dxa"/>
            <w:tcBorders>
              <w:top w:val="nil"/>
              <w:left w:val="nil"/>
              <w:bottom w:val="nil"/>
              <w:right w:val="nil"/>
            </w:tcBorders>
            <w:shd w:val="clear" w:color="auto" w:fill="auto"/>
            <w:noWrap/>
            <w:vAlign w:val="center"/>
            <w:hideMark/>
          </w:tcPr>
          <w:p w14:paraId="3D63DB5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3AE21CF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0F7D84A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D569D2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0.021</w:t>
            </w:r>
            <w:r w:rsidRPr="00E915AA">
              <w:rPr>
                <w:rFonts w:ascii="Times New Roman" w:eastAsia="Times New Roman" w:hAnsi="Times New Roman" w:cs="Times New Roman"/>
                <w:sz w:val="12"/>
                <w:szCs w:val="12"/>
                <w:lang w:val="en-GB" w:eastAsia="en-GB"/>
              </w:rPr>
              <w:br/>
              <w:t>(1.19)</w:t>
            </w:r>
          </w:p>
        </w:tc>
        <w:tc>
          <w:tcPr>
            <w:tcW w:w="709" w:type="dxa"/>
            <w:tcBorders>
              <w:top w:val="nil"/>
              <w:left w:val="nil"/>
              <w:bottom w:val="nil"/>
              <w:right w:val="nil"/>
            </w:tcBorders>
            <w:shd w:val="clear" w:color="auto" w:fill="auto"/>
            <w:noWrap/>
            <w:vAlign w:val="center"/>
            <w:hideMark/>
          </w:tcPr>
          <w:p w14:paraId="5ED7107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7B9FB3B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8BF6C4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2AA653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0.014</w:t>
            </w:r>
            <w:r w:rsidRPr="00E915AA">
              <w:rPr>
                <w:rFonts w:ascii="Times New Roman" w:eastAsia="Times New Roman" w:hAnsi="Times New Roman" w:cs="Times New Roman"/>
                <w:sz w:val="12"/>
                <w:szCs w:val="12"/>
                <w:lang w:val="en-GB" w:eastAsia="en-GB"/>
              </w:rPr>
              <w:br/>
              <w:t>(0.86)</w:t>
            </w:r>
          </w:p>
        </w:tc>
        <w:tc>
          <w:tcPr>
            <w:tcW w:w="709" w:type="dxa"/>
            <w:tcBorders>
              <w:top w:val="nil"/>
              <w:left w:val="nil"/>
              <w:bottom w:val="nil"/>
              <w:right w:val="nil"/>
            </w:tcBorders>
            <w:shd w:val="clear" w:color="auto" w:fill="auto"/>
            <w:noWrap/>
            <w:vAlign w:val="center"/>
            <w:hideMark/>
          </w:tcPr>
          <w:p w14:paraId="7DF9E55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76E120A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35AFDC2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369E74E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0.069</w:t>
            </w:r>
            <w:r w:rsidRPr="00E915AA">
              <w:rPr>
                <w:rFonts w:ascii="Times New Roman" w:eastAsia="Times New Roman" w:hAnsi="Times New Roman" w:cs="Times New Roman"/>
                <w:sz w:val="12"/>
                <w:szCs w:val="12"/>
                <w:lang w:val="en-GB" w:eastAsia="en-GB"/>
              </w:rPr>
              <w:br/>
              <w:t>(1.51)</w:t>
            </w:r>
          </w:p>
        </w:tc>
        <w:tc>
          <w:tcPr>
            <w:tcW w:w="1063" w:type="dxa"/>
            <w:gridSpan w:val="2"/>
            <w:tcBorders>
              <w:top w:val="nil"/>
              <w:left w:val="nil"/>
              <w:bottom w:val="nil"/>
              <w:right w:val="nil"/>
            </w:tcBorders>
            <w:shd w:val="clear" w:color="auto" w:fill="auto"/>
            <w:noWrap/>
            <w:vAlign w:val="center"/>
            <w:hideMark/>
          </w:tcPr>
          <w:p w14:paraId="77F7917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0AF6944C" w14:textId="77777777" w:rsidTr="00110FF6">
        <w:trPr>
          <w:trHeight w:val="199"/>
        </w:trPr>
        <w:tc>
          <w:tcPr>
            <w:tcW w:w="1276" w:type="dxa"/>
            <w:tcBorders>
              <w:top w:val="nil"/>
              <w:left w:val="nil"/>
              <w:bottom w:val="nil"/>
              <w:right w:val="nil"/>
            </w:tcBorders>
            <w:shd w:val="clear" w:color="auto" w:fill="auto"/>
            <w:noWrap/>
            <w:vAlign w:val="center"/>
            <w:hideMark/>
          </w:tcPr>
          <w:p w14:paraId="514B673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ADISEXP</w:t>
            </w:r>
          </w:p>
        </w:tc>
        <w:tc>
          <w:tcPr>
            <w:tcW w:w="236" w:type="dxa"/>
            <w:tcBorders>
              <w:top w:val="nil"/>
              <w:left w:val="nil"/>
              <w:bottom w:val="nil"/>
              <w:right w:val="nil"/>
            </w:tcBorders>
            <w:shd w:val="clear" w:color="auto" w:fill="auto"/>
            <w:noWrap/>
            <w:vAlign w:val="center"/>
            <w:hideMark/>
          </w:tcPr>
          <w:p w14:paraId="54C4CA8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1C9B8E4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6AE8B8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12B30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-0.015***</w:t>
            </w:r>
            <w:r w:rsidRPr="00E915AA">
              <w:rPr>
                <w:rFonts w:ascii="Times New Roman" w:eastAsia="Times New Roman" w:hAnsi="Times New Roman" w:cs="Times New Roman"/>
                <w:sz w:val="12"/>
                <w:szCs w:val="12"/>
                <w:lang w:val="en-GB" w:eastAsia="en-GB"/>
              </w:rPr>
              <w:br/>
              <w:t>(-6.52)</w:t>
            </w:r>
          </w:p>
        </w:tc>
        <w:tc>
          <w:tcPr>
            <w:tcW w:w="283" w:type="dxa"/>
            <w:tcBorders>
              <w:top w:val="nil"/>
              <w:left w:val="nil"/>
              <w:bottom w:val="nil"/>
              <w:right w:val="nil"/>
            </w:tcBorders>
            <w:shd w:val="clear" w:color="auto" w:fill="auto"/>
            <w:noWrap/>
            <w:vAlign w:val="center"/>
            <w:hideMark/>
          </w:tcPr>
          <w:p w14:paraId="30F4622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A65723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0DA92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2C2D444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-0.008</w:t>
            </w:r>
            <w:r w:rsidRPr="00E915AA">
              <w:rPr>
                <w:rFonts w:ascii="Times New Roman" w:eastAsia="Times New Roman" w:hAnsi="Times New Roman" w:cs="Times New Roman"/>
                <w:sz w:val="12"/>
                <w:szCs w:val="12"/>
                <w:lang w:val="en-GB" w:eastAsia="en-GB"/>
              </w:rPr>
              <w:br/>
              <w:t>(-1.06)</w:t>
            </w:r>
          </w:p>
        </w:tc>
        <w:tc>
          <w:tcPr>
            <w:tcW w:w="426" w:type="dxa"/>
            <w:tcBorders>
              <w:top w:val="nil"/>
              <w:left w:val="nil"/>
              <w:bottom w:val="nil"/>
              <w:right w:val="nil"/>
            </w:tcBorders>
            <w:shd w:val="clear" w:color="auto" w:fill="auto"/>
            <w:noWrap/>
            <w:vAlign w:val="center"/>
            <w:hideMark/>
          </w:tcPr>
          <w:p w14:paraId="5FA18A3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33F8CA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480409D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DFA136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-0.015</w:t>
            </w:r>
            <w:r w:rsidRPr="00E915AA">
              <w:rPr>
                <w:rFonts w:ascii="Times New Roman" w:eastAsia="Times New Roman" w:hAnsi="Times New Roman" w:cs="Times New Roman"/>
                <w:sz w:val="12"/>
                <w:szCs w:val="12"/>
                <w:lang w:val="en-GB" w:eastAsia="en-GB"/>
              </w:rPr>
              <w:br/>
              <w:t>(-0.84)</w:t>
            </w:r>
          </w:p>
        </w:tc>
        <w:tc>
          <w:tcPr>
            <w:tcW w:w="284" w:type="dxa"/>
            <w:tcBorders>
              <w:top w:val="nil"/>
              <w:left w:val="nil"/>
              <w:bottom w:val="nil"/>
              <w:right w:val="nil"/>
            </w:tcBorders>
            <w:shd w:val="clear" w:color="auto" w:fill="auto"/>
            <w:noWrap/>
            <w:vAlign w:val="center"/>
            <w:hideMark/>
          </w:tcPr>
          <w:p w14:paraId="5DC8681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6C4ECB6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5DDB7A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5DAA8E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-0.008</w:t>
            </w:r>
            <w:r w:rsidRPr="00E915AA">
              <w:rPr>
                <w:rFonts w:ascii="Times New Roman" w:eastAsia="Times New Roman" w:hAnsi="Times New Roman" w:cs="Times New Roman"/>
                <w:sz w:val="12"/>
                <w:szCs w:val="12"/>
                <w:lang w:val="en-GB" w:eastAsia="en-GB"/>
              </w:rPr>
              <w:br/>
              <w:t>(-0.98)</w:t>
            </w:r>
          </w:p>
        </w:tc>
        <w:tc>
          <w:tcPr>
            <w:tcW w:w="284" w:type="dxa"/>
            <w:tcBorders>
              <w:top w:val="nil"/>
              <w:left w:val="nil"/>
              <w:bottom w:val="nil"/>
              <w:right w:val="nil"/>
            </w:tcBorders>
            <w:shd w:val="clear" w:color="auto" w:fill="auto"/>
            <w:noWrap/>
            <w:vAlign w:val="center"/>
            <w:hideMark/>
          </w:tcPr>
          <w:p w14:paraId="708D903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01E2449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606EB1D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vAlign w:val="center"/>
            <w:hideMark/>
          </w:tcPr>
          <w:p w14:paraId="11A8920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-0.038</w:t>
            </w:r>
            <w:r w:rsidRPr="00E915AA">
              <w:rPr>
                <w:rFonts w:ascii="Times New Roman" w:eastAsia="Times New Roman" w:hAnsi="Times New Roman" w:cs="Times New Roman"/>
                <w:sz w:val="12"/>
                <w:szCs w:val="12"/>
                <w:lang w:val="en-GB" w:eastAsia="en-GB"/>
              </w:rPr>
              <w:br/>
              <w:t>(-1.1)</w:t>
            </w:r>
          </w:p>
        </w:tc>
      </w:tr>
      <w:tr w:rsidR="00F14709" w:rsidRPr="00E915AA" w14:paraId="437FD03F" w14:textId="77777777" w:rsidTr="00110FF6">
        <w:trPr>
          <w:trHeight w:val="161"/>
        </w:trPr>
        <w:tc>
          <w:tcPr>
            <w:tcW w:w="1276" w:type="dxa"/>
            <w:tcBorders>
              <w:top w:val="nil"/>
              <w:left w:val="nil"/>
              <w:bottom w:val="nil"/>
              <w:right w:val="nil"/>
            </w:tcBorders>
            <w:shd w:val="clear" w:color="auto" w:fill="auto"/>
            <w:noWrap/>
            <w:vAlign w:val="center"/>
            <w:hideMark/>
          </w:tcPr>
          <w:p w14:paraId="30A3F03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36" w:type="dxa"/>
            <w:tcBorders>
              <w:top w:val="nil"/>
              <w:left w:val="nil"/>
              <w:bottom w:val="nil"/>
              <w:right w:val="nil"/>
            </w:tcBorders>
            <w:shd w:val="clear" w:color="auto" w:fill="auto"/>
            <w:noWrap/>
            <w:vAlign w:val="center"/>
            <w:hideMark/>
          </w:tcPr>
          <w:p w14:paraId="1C43483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5C35745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9BC0C3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0E2D43B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798BA3F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D1EF8F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28416C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70F0203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470FE63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800CED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20BBA5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6F76F5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0D776C7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98907D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8FEB18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3DEE3E0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77CE30D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3C33841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F5F28D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vAlign w:val="center"/>
            <w:hideMark/>
          </w:tcPr>
          <w:p w14:paraId="20ADB83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449E9AE9" w14:textId="77777777" w:rsidTr="00110FF6">
        <w:trPr>
          <w:trHeight w:val="151"/>
        </w:trPr>
        <w:tc>
          <w:tcPr>
            <w:tcW w:w="1276" w:type="dxa"/>
            <w:tcBorders>
              <w:top w:val="nil"/>
              <w:left w:val="nil"/>
              <w:bottom w:val="nil"/>
              <w:right w:val="nil"/>
            </w:tcBorders>
            <w:shd w:val="clear" w:color="auto" w:fill="auto"/>
            <w:noWrap/>
            <w:vAlign w:val="center"/>
            <w:hideMark/>
          </w:tcPr>
          <w:p w14:paraId="1964CD5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Control</w:t>
            </w:r>
          </w:p>
        </w:tc>
        <w:tc>
          <w:tcPr>
            <w:tcW w:w="236" w:type="dxa"/>
            <w:tcBorders>
              <w:top w:val="nil"/>
              <w:left w:val="nil"/>
              <w:bottom w:val="nil"/>
              <w:right w:val="nil"/>
            </w:tcBorders>
            <w:shd w:val="clear" w:color="auto" w:fill="auto"/>
            <w:noWrap/>
            <w:vAlign w:val="center"/>
            <w:hideMark/>
          </w:tcPr>
          <w:p w14:paraId="4B255A6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vAlign w:val="center"/>
            <w:hideMark/>
          </w:tcPr>
          <w:p w14:paraId="7309907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50F8BCF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71751F9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3" w:type="dxa"/>
            <w:tcBorders>
              <w:top w:val="nil"/>
              <w:left w:val="nil"/>
              <w:bottom w:val="nil"/>
              <w:right w:val="nil"/>
            </w:tcBorders>
            <w:shd w:val="clear" w:color="auto" w:fill="auto"/>
            <w:noWrap/>
            <w:vAlign w:val="center"/>
            <w:hideMark/>
          </w:tcPr>
          <w:p w14:paraId="354922D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1C992A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851" w:type="dxa"/>
            <w:tcBorders>
              <w:top w:val="nil"/>
              <w:left w:val="nil"/>
              <w:bottom w:val="nil"/>
              <w:right w:val="nil"/>
            </w:tcBorders>
            <w:shd w:val="clear" w:color="auto" w:fill="auto"/>
            <w:vAlign w:val="center"/>
            <w:hideMark/>
          </w:tcPr>
          <w:p w14:paraId="3D0BEBA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8" w:type="dxa"/>
            <w:tcBorders>
              <w:top w:val="nil"/>
              <w:left w:val="nil"/>
              <w:bottom w:val="nil"/>
              <w:right w:val="nil"/>
            </w:tcBorders>
            <w:shd w:val="clear" w:color="auto" w:fill="auto"/>
            <w:vAlign w:val="center"/>
            <w:hideMark/>
          </w:tcPr>
          <w:p w14:paraId="0D5B6CF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426" w:type="dxa"/>
            <w:tcBorders>
              <w:top w:val="nil"/>
              <w:left w:val="nil"/>
              <w:bottom w:val="nil"/>
              <w:right w:val="nil"/>
            </w:tcBorders>
            <w:shd w:val="clear" w:color="auto" w:fill="auto"/>
            <w:noWrap/>
            <w:vAlign w:val="center"/>
            <w:hideMark/>
          </w:tcPr>
          <w:p w14:paraId="076FDB4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693D132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6715AF5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45F572F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7447D14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0233A9E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130A673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1126E12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1B98982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vAlign w:val="center"/>
            <w:hideMark/>
          </w:tcPr>
          <w:p w14:paraId="48118A6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851" w:type="dxa"/>
            <w:tcBorders>
              <w:top w:val="nil"/>
              <w:left w:val="nil"/>
              <w:bottom w:val="nil"/>
              <w:right w:val="nil"/>
            </w:tcBorders>
            <w:shd w:val="clear" w:color="auto" w:fill="auto"/>
            <w:vAlign w:val="center"/>
            <w:hideMark/>
          </w:tcPr>
          <w:p w14:paraId="63F7456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1063" w:type="dxa"/>
            <w:gridSpan w:val="2"/>
            <w:tcBorders>
              <w:top w:val="nil"/>
              <w:left w:val="nil"/>
              <w:bottom w:val="nil"/>
              <w:right w:val="nil"/>
            </w:tcBorders>
            <w:shd w:val="clear" w:color="auto" w:fill="auto"/>
            <w:vAlign w:val="center"/>
            <w:hideMark/>
          </w:tcPr>
          <w:p w14:paraId="202EF5F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r>
      <w:tr w:rsidR="00F14709" w:rsidRPr="00E915AA" w14:paraId="272965A8" w14:textId="77777777" w:rsidTr="00110FF6">
        <w:trPr>
          <w:trHeight w:val="125"/>
        </w:trPr>
        <w:tc>
          <w:tcPr>
            <w:tcW w:w="1276" w:type="dxa"/>
            <w:tcBorders>
              <w:top w:val="nil"/>
              <w:left w:val="nil"/>
              <w:bottom w:val="nil"/>
              <w:right w:val="nil"/>
            </w:tcBorders>
            <w:shd w:val="clear" w:color="auto" w:fill="auto"/>
            <w:noWrap/>
            <w:vAlign w:val="center"/>
            <w:hideMark/>
          </w:tcPr>
          <w:p w14:paraId="13A9AD7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36" w:type="dxa"/>
            <w:tcBorders>
              <w:top w:val="nil"/>
              <w:left w:val="nil"/>
              <w:bottom w:val="nil"/>
              <w:right w:val="nil"/>
            </w:tcBorders>
            <w:shd w:val="clear" w:color="auto" w:fill="auto"/>
            <w:noWrap/>
            <w:vAlign w:val="center"/>
            <w:hideMark/>
          </w:tcPr>
          <w:p w14:paraId="6F71943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7350BD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B7D13C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86C19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361EE2D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9F221C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3906EC4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9A2DB2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57BE10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18FCEF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502DC1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9C1ADA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662FB71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F90860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672F17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32A564A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0E13240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0F59CD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0327C10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2723E58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40AFAEC8" w14:textId="77777777" w:rsidTr="00110FF6">
        <w:trPr>
          <w:trHeight w:val="300"/>
        </w:trPr>
        <w:tc>
          <w:tcPr>
            <w:tcW w:w="1276" w:type="dxa"/>
            <w:tcBorders>
              <w:top w:val="nil"/>
              <w:left w:val="nil"/>
              <w:bottom w:val="nil"/>
              <w:right w:val="nil"/>
            </w:tcBorders>
            <w:shd w:val="clear" w:color="auto" w:fill="auto"/>
            <w:noWrap/>
            <w:vAlign w:val="center"/>
            <w:hideMark/>
          </w:tcPr>
          <w:p w14:paraId="7A2DA0F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industry</w:t>
            </w:r>
          </w:p>
        </w:tc>
        <w:tc>
          <w:tcPr>
            <w:tcW w:w="236" w:type="dxa"/>
            <w:tcBorders>
              <w:top w:val="nil"/>
              <w:left w:val="nil"/>
              <w:bottom w:val="nil"/>
              <w:right w:val="nil"/>
            </w:tcBorders>
            <w:shd w:val="clear" w:color="auto" w:fill="auto"/>
            <w:noWrap/>
            <w:vAlign w:val="center"/>
            <w:hideMark/>
          </w:tcPr>
          <w:p w14:paraId="43841F4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3EAFFB6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004D2CE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2BC0B5D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noWrap/>
            <w:vAlign w:val="center"/>
            <w:hideMark/>
          </w:tcPr>
          <w:p w14:paraId="1B0CF91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5BBC8C2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851" w:type="dxa"/>
            <w:tcBorders>
              <w:top w:val="nil"/>
              <w:left w:val="nil"/>
              <w:bottom w:val="nil"/>
              <w:right w:val="nil"/>
            </w:tcBorders>
            <w:shd w:val="clear" w:color="auto" w:fill="auto"/>
            <w:noWrap/>
            <w:vAlign w:val="center"/>
            <w:hideMark/>
          </w:tcPr>
          <w:p w14:paraId="6B59486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noWrap/>
            <w:vAlign w:val="center"/>
            <w:hideMark/>
          </w:tcPr>
          <w:p w14:paraId="5B3B4C8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426" w:type="dxa"/>
            <w:tcBorders>
              <w:top w:val="nil"/>
              <w:left w:val="nil"/>
              <w:bottom w:val="nil"/>
              <w:right w:val="nil"/>
            </w:tcBorders>
            <w:shd w:val="clear" w:color="auto" w:fill="auto"/>
            <w:noWrap/>
            <w:vAlign w:val="center"/>
            <w:hideMark/>
          </w:tcPr>
          <w:p w14:paraId="0CF4421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1198652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1E6CE86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531D68F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2A510E5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029F2EE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2FD799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7D2E82E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7C616DC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40BC4CA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851" w:type="dxa"/>
            <w:tcBorders>
              <w:top w:val="nil"/>
              <w:left w:val="nil"/>
              <w:bottom w:val="nil"/>
              <w:right w:val="nil"/>
            </w:tcBorders>
            <w:shd w:val="clear" w:color="auto" w:fill="auto"/>
            <w:noWrap/>
            <w:vAlign w:val="center"/>
            <w:hideMark/>
          </w:tcPr>
          <w:p w14:paraId="12D627F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1063" w:type="dxa"/>
            <w:gridSpan w:val="2"/>
            <w:tcBorders>
              <w:top w:val="nil"/>
              <w:left w:val="nil"/>
              <w:bottom w:val="nil"/>
              <w:right w:val="nil"/>
            </w:tcBorders>
            <w:shd w:val="clear" w:color="auto" w:fill="auto"/>
            <w:noWrap/>
            <w:vAlign w:val="center"/>
            <w:hideMark/>
          </w:tcPr>
          <w:p w14:paraId="3CC7310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78E0E45A" w14:textId="77777777" w:rsidTr="00110FF6">
        <w:trPr>
          <w:trHeight w:val="131"/>
        </w:trPr>
        <w:tc>
          <w:tcPr>
            <w:tcW w:w="1276" w:type="dxa"/>
            <w:tcBorders>
              <w:top w:val="nil"/>
              <w:left w:val="nil"/>
              <w:bottom w:val="nil"/>
              <w:right w:val="nil"/>
            </w:tcBorders>
            <w:shd w:val="clear" w:color="auto" w:fill="auto"/>
            <w:noWrap/>
            <w:vAlign w:val="center"/>
            <w:hideMark/>
          </w:tcPr>
          <w:p w14:paraId="2ED10A1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year</w:t>
            </w:r>
          </w:p>
        </w:tc>
        <w:tc>
          <w:tcPr>
            <w:tcW w:w="236" w:type="dxa"/>
            <w:tcBorders>
              <w:top w:val="nil"/>
              <w:left w:val="nil"/>
              <w:bottom w:val="nil"/>
              <w:right w:val="nil"/>
            </w:tcBorders>
            <w:shd w:val="clear" w:color="auto" w:fill="auto"/>
            <w:noWrap/>
            <w:vAlign w:val="center"/>
            <w:hideMark/>
          </w:tcPr>
          <w:p w14:paraId="247C1F1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48C1AB4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48D5325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35F9022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noWrap/>
            <w:vAlign w:val="center"/>
            <w:hideMark/>
          </w:tcPr>
          <w:p w14:paraId="2CD3939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4BD2CFE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851" w:type="dxa"/>
            <w:tcBorders>
              <w:top w:val="nil"/>
              <w:left w:val="nil"/>
              <w:bottom w:val="nil"/>
              <w:right w:val="nil"/>
            </w:tcBorders>
            <w:shd w:val="clear" w:color="auto" w:fill="auto"/>
            <w:noWrap/>
            <w:vAlign w:val="center"/>
            <w:hideMark/>
          </w:tcPr>
          <w:p w14:paraId="717E40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noWrap/>
            <w:vAlign w:val="center"/>
            <w:hideMark/>
          </w:tcPr>
          <w:p w14:paraId="13721E0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426" w:type="dxa"/>
            <w:tcBorders>
              <w:top w:val="nil"/>
              <w:left w:val="nil"/>
              <w:bottom w:val="nil"/>
              <w:right w:val="nil"/>
            </w:tcBorders>
            <w:shd w:val="clear" w:color="auto" w:fill="auto"/>
            <w:noWrap/>
            <w:vAlign w:val="center"/>
            <w:hideMark/>
          </w:tcPr>
          <w:p w14:paraId="1BF7A8A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070EA10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5745765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1EDADD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4D75F98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41F384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363563E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3947195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77A513A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12F096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851" w:type="dxa"/>
            <w:tcBorders>
              <w:top w:val="nil"/>
              <w:left w:val="nil"/>
              <w:bottom w:val="nil"/>
              <w:right w:val="nil"/>
            </w:tcBorders>
            <w:shd w:val="clear" w:color="auto" w:fill="auto"/>
            <w:noWrap/>
            <w:vAlign w:val="center"/>
            <w:hideMark/>
          </w:tcPr>
          <w:p w14:paraId="32C0533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1063" w:type="dxa"/>
            <w:gridSpan w:val="2"/>
            <w:tcBorders>
              <w:top w:val="nil"/>
              <w:left w:val="nil"/>
              <w:bottom w:val="nil"/>
              <w:right w:val="nil"/>
            </w:tcBorders>
            <w:shd w:val="clear" w:color="auto" w:fill="auto"/>
            <w:noWrap/>
            <w:vAlign w:val="center"/>
            <w:hideMark/>
          </w:tcPr>
          <w:p w14:paraId="1746240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04A3B093" w14:textId="77777777" w:rsidTr="00110FF6">
        <w:trPr>
          <w:trHeight w:val="105"/>
        </w:trPr>
        <w:tc>
          <w:tcPr>
            <w:tcW w:w="1276" w:type="dxa"/>
            <w:tcBorders>
              <w:top w:val="nil"/>
              <w:left w:val="nil"/>
              <w:bottom w:val="nil"/>
              <w:right w:val="nil"/>
            </w:tcBorders>
            <w:shd w:val="clear" w:color="auto" w:fill="auto"/>
            <w:noWrap/>
            <w:vAlign w:val="center"/>
            <w:hideMark/>
          </w:tcPr>
          <w:p w14:paraId="66A5394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6B93E1F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235093E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546D05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8B4A2F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74DD422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740FE7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436EB23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08B8789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27F64B8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2EBCA01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556334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6F8EE2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36D40D3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000C4E7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32B611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238366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218BD18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0BF2062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5EE2E56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4187751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59560839" w14:textId="77777777" w:rsidTr="00110FF6">
        <w:trPr>
          <w:trHeight w:val="300"/>
        </w:trPr>
        <w:tc>
          <w:tcPr>
            <w:tcW w:w="1276" w:type="dxa"/>
            <w:tcBorders>
              <w:top w:val="nil"/>
              <w:left w:val="nil"/>
              <w:bottom w:val="nil"/>
              <w:right w:val="nil"/>
            </w:tcBorders>
            <w:shd w:val="clear" w:color="auto" w:fill="auto"/>
            <w:noWrap/>
            <w:vAlign w:val="center"/>
            <w:hideMark/>
          </w:tcPr>
          <w:p w14:paraId="16B9BA3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N</w:t>
            </w:r>
          </w:p>
        </w:tc>
        <w:tc>
          <w:tcPr>
            <w:tcW w:w="236" w:type="dxa"/>
            <w:tcBorders>
              <w:top w:val="nil"/>
              <w:left w:val="nil"/>
              <w:bottom w:val="nil"/>
              <w:right w:val="nil"/>
            </w:tcBorders>
            <w:shd w:val="clear" w:color="auto" w:fill="auto"/>
            <w:noWrap/>
            <w:vAlign w:val="center"/>
            <w:hideMark/>
          </w:tcPr>
          <w:p w14:paraId="6E2A90E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7205A01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5CDC93B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noWrap/>
            <w:vAlign w:val="center"/>
            <w:hideMark/>
          </w:tcPr>
          <w:p w14:paraId="151B8DD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3" w:type="dxa"/>
            <w:tcBorders>
              <w:top w:val="nil"/>
              <w:left w:val="nil"/>
              <w:bottom w:val="nil"/>
              <w:right w:val="nil"/>
            </w:tcBorders>
            <w:shd w:val="clear" w:color="auto" w:fill="auto"/>
            <w:noWrap/>
            <w:vAlign w:val="center"/>
            <w:hideMark/>
          </w:tcPr>
          <w:p w14:paraId="5D1DAAC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562D722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851" w:type="dxa"/>
            <w:tcBorders>
              <w:top w:val="nil"/>
              <w:left w:val="nil"/>
              <w:bottom w:val="nil"/>
              <w:right w:val="nil"/>
            </w:tcBorders>
            <w:shd w:val="clear" w:color="auto" w:fill="auto"/>
            <w:noWrap/>
            <w:vAlign w:val="center"/>
            <w:hideMark/>
          </w:tcPr>
          <w:p w14:paraId="2882190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8" w:type="dxa"/>
            <w:tcBorders>
              <w:top w:val="nil"/>
              <w:left w:val="nil"/>
              <w:bottom w:val="nil"/>
              <w:right w:val="nil"/>
            </w:tcBorders>
            <w:shd w:val="clear" w:color="auto" w:fill="auto"/>
            <w:noWrap/>
            <w:vAlign w:val="center"/>
            <w:hideMark/>
          </w:tcPr>
          <w:p w14:paraId="220775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426" w:type="dxa"/>
            <w:tcBorders>
              <w:top w:val="nil"/>
              <w:left w:val="nil"/>
              <w:bottom w:val="nil"/>
              <w:right w:val="nil"/>
            </w:tcBorders>
            <w:shd w:val="clear" w:color="auto" w:fill="auto"/>
            <w:noWrap/>
            <w:vAlign w:val="center"/>
            <w:hideMark/>
          </w:tcPr>
          <w:p w14:paraId="1339DD3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2DE8546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44F9FF6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noWrap/>
            <w:vAlign w:val="center"/>
            <w:hideMark/>
          </w:tcPr>
          <w:p w14:paraId="45C8F1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4" w:type="dxa"/>
            <w:tcBorders>
              <w:top w:val="nil"/>
              <w:left w:val="nil"/>
              <w:bottom w:val="nil"/>
              <w:right w:val="nil"/>
            </w:tcBorders>
            <w:shd w:val="clear" w:color="auto" w:fill="auto"/>
            <w:noWrap/>
            <w:vAlign w:val="center"/>
            <w:hideMark/>
          </w:tcPr>
          <w:p w14:paraId="48F52E0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00F430E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33046CF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709" w:type="dxa"/>
            <w:tcBorders>
              <w:top w:val="nil"/>
              <w:left w:val="nil"/>
              <w:bottom w:val="nil"/>
              <w:right w:val="nil"/>
            </w:tcBorders>
            <w:shd w:val="clear" w:color="auto" w:fill="auto"/>
            <w:noWrap/>
            <w:vAlign w:val="center"/>
            <w:hideMark/>
          </w:tcPr>
          <w:p w14:paraId="4BD4831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4" w:type="dxa"/>
            <w:tcBorders>
              <w:top w:val="nil"/>
              <w:left w:val="nil"/>
              <w:bottom w:val="nil"/>
              <w:right w:val="nil"/>
            </w:tcBorders>
            <w:shd w:val="clear" w:color="auto" w:fill="auto"/>
            <w:noWrap/>
            <w:vAlign w:val="center"/>
            <w:hideMark/>
          </w:tcPr>
          <w:p w14:paraId="32B6D6E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2B5F122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851" w:type="dxa"/>
            <w:tcBorders>
              <w:top w:val="nil"/>
              <w:left w:val="nil"/>
              <w:bottom w:val="nil"/>
              <w:right w:val="nil"/>
            </w:tcBorders>
            <w:shd w:val="clear" w:color="auto" w:fill="auto"/>
            <w:noWrap/>
            <w:vAlign w:val="center"/>
            <w:hideMark/>
          </w:tcPr>
          <w:p w14:paraId="7948C29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579</w:t>
            </w:r>
          </w:p>
        </w:tc>
        <w:tc>
          <w:tcPr>
            <w:tcW w:w="1063" w:type="dxa"/>
            <w:gridSpan w:val="2"/>
            <w:tcBorders>
              <w:top w:val="nil"/>
              <w:left w:val="nil"/>
              <w:bottom w:val="nil"/>
              <w:right w:val="nil"/>
            </w:tcBorders>
            <w:shd w:val="clear" w:color="auto" w:fill="auto"/>
            <w:noWrap/>
            <w:vAlign w:val="center"/>
            <w:hideMark/>
          </w:tcPr>
          <w:p w14:paraId="775D82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r>
      <w:tr w:rsidR="00F14709" w:rsidRPr="00E915AA" w14:paraId="02B7464B" w14:textId="77777777" w:rsidTr="00110FF6">
        <w:trPr>
          <w:trHeight w:val="300"/>
        </w:trPr>
        <w:tc>
          <w:tcPr>
            <w:tcW w:w="1276" w:type="dxa"/>
            <w:tcBorders>
              <w:top w:val="nil"/>
              <w:left w:val="nil"/>
              <w:bottom w:val="single" w:sz="4" w:space="0" w:color="auto"/>
              <w:right w:val="nil"/>
            </w:tcBorders>
            <w:shd w:val="clear" w:color="auto" w:fill="auto"/>
            <w:noWrap/>
            <w:vAlign w:val="center"/>
            <w:hideMark/>
          </w:tcPr>
          <w:p w14:paraId="5486639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Pseudo R2</w:t>
            </w:r>
          </w:p>
        </w:tc>
        <w:tc>
          <w:tcPr>
            <w:tcW w:w="236" w:type="dxa"/>
            <w:tcBorders>
              <w:top w:val="nil"/>
              <w:left w:val="nil"/>
              <w:bottom w:val="single" w:sz="4" w:space="0" w:color="auto"/>
              <w:right w:val="nil"/>
            </w:tcBorders>
            <w:shd w:val="clear" w:color="auto" w:fill="auto"/>
            <w:noWrap/>
            <w:vAlign w:val="center"/>
            <w:hideMark/>
          </w:tcPr>
          <w:p w14:paraId="42A8C0B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single" w:sz="4" w:space="0" w:color="auto"/>
              <w:right w:val="nil"/>
            </w:tcBorders>
            <w:shd w:val="clear" w:color="auto" w:fill="auto"/>
            <w:noWrap/>
            <w:vAlign w:val="center"/>
            <w:hideMark/>
          </w:tcPr>
          <w:p w14:paraId="5EF5691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0.0884</w:t>
            </w:r>
          </w:p>
        </w:tc>
        <w:tc>
          <w:tcPr>
            <w:tcW w:w="709" w:type="dxa"/>
            <w:tcBorders>
              <w:top w:val="nil"/>
              <w:left w:val="nil"/>
              <w:bottom w:val="single" w:sz="4" w:space="0" w:color="auto"/>
              <w:right w:val="nil"/>
            </w:tcBorders>
            <w:shd w:val="clear" w:color="auto" w:fill="auto"/>
            <w:noWrap/>
            <w:vAlign w:val="center"/>
            <w:hideMark/>
          </w:tcPr>
          <w:p w14:paraId="07CE98C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0.0878</w:t>
            </w:r>
          </w:p>
        </w:tc>
        <w:tc>
          <w:tcPr>
            <w:tcW w:w="709" w:type="dxa"/>
            <w:tcBorders>
              <w:top w:val="nil"/>
              <w:left w:val="nil"/>
              <w:bottom w:val="single" w:sz="4" w:space="0" w:color="auto"/>
              <w:right w:val="nil"/>
            </w:tcBorders>
            <w:shd w:val="clear" w:color="auto" w:fill="auto"/>
            <w:noWrap/>
            <w:vAlign w:val="center"/>
            <w:hideMark/>
          </w:tcPr>
          <w:p w14:paraId="1BC83E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0.0886</w:t>
            </w:r>
          </w:p>
        </w:tc>
        <w:tc>
          <w:tcPr>
            <w:tcW w:w="283" w:type="dxa"/>
            <w:tcBorders>
              <w:top w:val="nil"/>
              <w:left w:val="nil"/>
              <w:bottom w:val="single" w:sz="4" w:space="0" w:color="auto"/>
              <w:right w:val="nil"/>
            </w:tcBorders>
            <w:shd w:val="clear" w:color="auto" w:fill="auto"/>
            <w:noWrap/>
            <w:vAlign w:val="center"/>
            <w:hideMark/>
          </w:tcPr>
          <w:p w14:paraId="6C1821C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4" w:space="0" w:color="auto"/>
              <w:right w:val="nil"/>
            </w:tcBorders>
            <w:shd w:val="clear" w:color="auto" w:fill="auto"/>
            <w:noWrap/>
            <w:vAlign w:val="center"/>
            <w:hideMark/>
          </w:tcPr>
          <w:p w14:paraId="74D5717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0.1462</w:t>
            </w:r>
          </w:p>
        </w:tc>
        <w:tc>
          <w:tcPr>
            <w:tcW w:w="851" w:type="dxa"/>
            <w:tcBorders>
              <w:top w:val="nil"/>
              <w:left w:val="nil"/>
              <w:bottom w:val="single" w:sz="4" w:space="0" w:color="auto"/>
              <w:right w:val="nil"/>
            </w:tcBorders>
            <w:shd w:val="clear" w:color="auto" w:fill="auto"/>
            <w:noWrap/>
            <w:vAlign w:val="center"/>
            <w:hideMark/>
          </w:tcPr>
          <w:p w14:paraId="3B6FB54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0.1442</w:t>
            </w:r>
          </w:p>
        </w:tc>
        <w:tc>
          <w:tcPr>
            <w:tcW w:w="708" w:type="dxa"/>
            <w:tcBorders>
              <w:top w:val="nil"/>
              <w:left w:val="nil"/>
              <w:bottom w:val="single" w:sz="4" w:space="0" w:color="auto"/>
              <w:right w:val="nil"/>
            </w:tcBorders>
            <w:shd w:val="clear" w:color="auto" w:fill="auto"/>
            <w:noWrap/>
            <w:vAlign w:val="center"/>
            <w:hideMark/>
          </w:tcPr>
          <w:p w14:paraId="478A622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0.1469</w:t>
            </w:r>
          </w:p>
        </w:tc>
        <w:tc>
          <w:tcPr>
            <w:tcW w:w="426" w:type="dxa"/>
            <w:tcBorders>
              <w:top w:val="nil"/>
              <w:left w:val="nil"/>
              <w:bottom w:val="single" w:sz="4" w:space="0" w:color="auto"/>
              <w:right w:val="nil"/>
            </w:tcBorders>
            <w:shd w:val="clear" w:color="auto" w:fill="auto"/>
            <w:noWrap/>
            <w:vAlign w:val="center"/>
            <w:hideMark/>
          </w:tcPr>
          <w:p w14:paraId="22E4213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single" w:sz="4" w:space="0" w:color="auto"/>
              <w:right w:val="nil"/>
            </w:tcBorders>
            <w:shd w:val="clear" w:color="auto" w:fill="auto"/>
            <w:noWrap/>
            <w:vAlign w:val="center"/>
            <w:hideMark/>
          </w:tcPr>
          <w:p w14:paraId="24DB643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0.1398</w:t>
            </w:r>
          </w:p>
        </w:tc>
        <w:tc>
          <w:tcPr>
            <w:tcW w:w="709" w:type="dxa"/>
            <w:tcBorders>
              <w:top w:val="nil"/>
              <w:left w:val="nil"/>
              <w:bottom w:val="single" w:sz="4" w:space="0" w:color="auto"/>
              <w:right w:val="nil"/>
            </w:tcBorders>
            <w:shd w:val="clear" w:color="auto" w:fill="auto"/>
            <w:noWrap/>
            <w:vAlign w:val="center"/>
            <w:hideMark/>
          </w:tcPr>
          <w:p w14:paraId="0FA184E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0.1378</w:t>
            </w:r>
          </w:p>
        </w:tc>
        <w:tc>
          <w:tcPr>
            <w:tcW w:w="709" w:type="dxa"/>
            <w:tcBorders>
              <w:top w:val="nil"/>
              <w:left w:val="nil"/>
              <w:bottom w:val="single" w:sz="4" w:space="0" w:color="auto"/>
              <w:right w:val="nil"/>
            </w:tcBorders>
            <w:shd w:val="clear" w:color="auto" w:fill="auto"/>
            <w:noWrap/>
            <w:vAlign w:val="center"/>
            <w:hideMark/>
          </w:tcPr>
          <w:p w14:paraId="427363D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0.1381</w:t>
            </w:r>
          </w:p>
        </w:tc>
        <w:tc>
          <w:tcPr>
            <w:tcW w:w="284" w:type="dxa"/>
            <w:tcBorders>
              <w:top w:val="nil"/>
              <w:left w:val="nil"/>
              <w:bottom w:val="single" w:sz="4" w:space="0" w:color="auto"/>
              <w:right w:val="nil"/>
            </w:tcBorders>
            <w:shd w:val="clear" w:color="auto" w:fill="auto"/>
            <w:noWrap/>
            <w:vAlign w:val="center"/>
            <w:hideMark/>
          </w:tcPr>
          <w:p w14:paraId="5FCACA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single" w:sz="4" w:space="0" w:color="auto"/>
              <w:right w:val="nil"/>
            </w:tcBorders>
            <w:shd w:val="clear" w:color="auto" w:fill="auto"/>
            <w:noWrap/>
            <w:vAlign w:val="center"/>
            <w:hideMark/>
          </w:tcPr>
          <w:p w14:paraId="01CC8F4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0.1251</w:t>
            </w:r>
          </w:p>
        </w:tc>
        <w:tc>
          <w:tcPr>
            <w:tcW w:w="709" w:type="dxa"/>
            <w:tcBorders>
              <w:top w:val="nil"/>
              <w:left w:val="nil"/>
              <w:bottom w:val="single" w:sz="4" w:space="0" w:color="auto"/>
              <w:right w:val="nil"/>
            </w:tcBorders>
            <w:shd w:val="clear" w:color="auto" w:fill="auto"/>
            <w:noWrap/>
            <w:vAlign w:val="center"/>
            <w:hideMark/>
          </w:tcPr>
          <w:p w14:paraId="1FA17C4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0.1241</w:t>
            </w:r>
          </w:p>
        </w:tc>
        <w:tc>
          <w:tcPr>
            <w:tcW w:w="709" w:type="dxa"/>
            <w:tcBorders>
              <w:top w:val="nil"/>
              <w:left w:val="nil"/>
              <w:bottom w:val="single" w:sz="4" w:space="0" w:color="auto"/>
              <w:right w:val="nil"/>
            </w:tcBorders>
            <w:shd w:val="clear" w:color="auto" w:fill="auto"/>
            <w:noWrap/>
            <w:vAlign w:val="center"/>
            <w:hideMark/>
          </w:tcPr>
          <w:p w14:paraId="1128547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0.1163</w:t>
            </w:r>
          </w:p>
        </w:tc>
        <w:tc>
          <w:tcPr>
            <w:tcW w:w="284" w:type="dxa"/>
            <w:tcBorders>
              <w:top w:val="nil"/>
              <w:left w:val="nil"/>
              <w:bottom w:val="single" w:sz="4" w:space="0" w:color="auto"/>
              <w:right w:val="nil"/>
            </w:tcBorders>
            <w:shd w:val="clear" w:color="auto" w:fill="auto"/>
            <w:noWrap/>
            <w:vAlign w:val="center"/>
            <w:hideMark/>
          </w:tcPr>
          <w:p w14:paraId="533DCA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single" w:sz="4" w:space="0" w:color="auto"/>
              <w:right w:val="nil"/>
            </w:tcBorders>
            <w:shd w:val="clear" w:color="auto" w:fill="auto"/>
            <w:noWrap/>
            <w:vAlign w:val="center"/>
            <w:hideMark/>
          </w:tcPr>
          <w:p w14:paraId="0480067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0.0974</w:t>
            </w:r>
          </w:p>
        </w:tc>
        <w:tc>
          <w:tcPr>
            <w:tcW w:w="851" w:type="dxa"/>
            <w:tcBorders>
              <w:top w:val="nil"/>
              <w:left w:val="nil"/>
              <w:bottom w:val="single" w:sz="4" w:space="0" w:color="auto"/>
              <w:right w:val="nil"/>
            </w:tcBorders>
            <w:shd w:val="clear" w:color="auto" w:fill="auto"/>
            <w:noWrap/>
            <w:vAlign w:val="center"/>
            <w:hideMark/>
          </w:tcPr>
          <w:p w14:paraId="3E85D39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0.0978</w:t>
            </w:r>
          </w:p>
        </w:tc>
        <w:tc>
          <w:tcPr>
            <w:tcW w:w="1063" w:type="dxa"/>
            <w:gridSpan w:val="2"/>
            <w:tcBorders>
              <w:top w:val="nil"/>
              <w:left w:val="nil"/>
              <w:bottom w:val="single" w:sz="4" w:space="0" w:color="auto"/>
              <w:right w:val="nil"/>
            </w:tcBorders>
            <w:shd w:val="clear" w:color="auto" w:fill="auto"/>
            <w:noWrap/>
            <w:vAlign w:val="center"/>
            <w:hideMark/>
          </w:tcPr>
          <w:p w14:paraId="2F12E3B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0.0943</w:t>
            </w:r>
          </w:p>
        </w:tc>
      </w:tr>
      <w:tr w:rsidR="00F14709" w:rsidRPr="00E915AA" w14:paraId="2A0EDC65" w14:textId="77777777" w:rsidTr="00110FF6">
        <w:trPr>
          <w:gridAfter w:val="1"/>
          <w:wAfter w:w="26" w:type="dxa"/>
          <w:trHeight w:val="245"/>
        </w:trPr>
        <w:tc>
          <w:tcPr>
            <w:tcW w:w="14221" w:type="dxa"/>
            <w:gridSpan w:val="21"/>
            <w:tcBorders>
              <w:top w:val="single" w:sz="4" w:space="0" w:color="auto"/>
              <w:left w:val="nil"/>
              <w:bottom w:val="nil"/>
              <w:right w:val="nil"/>
            </w:tcBorders>
            <w:shd w:val="clear" w:color="auto" w:fill="auto"/>
            <w:noWrap/>
            <w:vAlign w:val="center"/>
            <w:hideMark/>
          </w:tcPr>
          <w:p w14:paraId="4C10580E" w14:textId="77777777" w:rsidR="00F14709" w:rsidRPr="00E915AA" w:rsidRDefault="00F14709" w:rsidP="00110FF6">
            <w:pPr>
              <w:spacing w:after="0" w:line="240" w:lineRule="auto"/>
              <w:rPr>
                <w:rFonts w:ascii="Times New Roman" w:eastAsia="Times New Roman" w:hAnsi="Times New Roman" w:cs="Times New Roman"/>
                <w:b/>
                <w:bCs/>
                <w:color w:val="000000"/>
                <w:sz w:val="12"/>
                <w:szCs w:val="12"/>
                <w:lang w:val="en-GB" w:eastAsia="en-GB"/>
              </w:rPr>
            </w:pPr>
            <w:r w:rsidRPr="00E915AA">
              <w:rPr>
                <w:rFonts w:ascii="Times New Roman" w:eastAsia="Times New Roman" w:hAnsi="Times New Roman" w:cs="Times New Roman"/>
                <w:b/>
                <w:bCs/>
                <w:color w:val="000000"/>
                <w:sz w:val="12"/>
                <w:szCs w:val="12"/>
                <w:lang w:val="en-GB" w:eastAsia="en-GB"/>
              </w:rPr>
              <w:t>Panel B. Simultaneous effects of abnormal cash flow from operations and other earnings management proxies</w:t>
            </w:r>
          </w:p>
        </w:tc>
      </w:tr>
      <w:tr w:rsidR="00F14709" w:rsidRPr="00E915AA" w14:paraId="1CACBA35" w14:textId="77777777" w:rsidTr="00110FF6">
        <w:trPr>
          <w:trHeight w:val="222"/>
        </w:trPr>
        <w:tc>
          <w:tcPr>
            <w:tcW w:w="1276" w:type="dxa"/>
            <w:tcBorders>
              <w:top w:val="single" w:sz="4" w:space="0" w:color="auto"/>
              <w:left w:val="nil"/>
              <w:bottom w:val="nil"/>
              <w:right w:val="nil"/>
            </w:tcBorders>
            <w:shd w:val="clear" w:color="auto" w:fill="auto"/>
            <w:noWrap/>
            <w:vAlign w:val="center"/>
            <w:hideMark/>
          </w:tcPr>
          <w:p w14:paraId="1729C7D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single" w:sz="4" w:space="0" w:color="auto"/>
              <w:left w:val="nil"/>
              <w:bottom w:val="nil"/>
              <w:right w:val="nil"/>
            </w:tcBorders>
            <w:shd w:val="clear" w:color="auto" w:fill="auto"/>
            <w:noWrap/>
            <w:vAlign w:val="center"/>
            <w:hideMark/>
          </w:tcPr>
          <w:p w14:paraId="38E5337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single" w:sz="4" w:space="0" w:color="auto"/>
              <w:left w:val="nil"/>
              <w:bottom w:val="nil"/>
              <w:right w:val="nil"/>
            </w:tcBorders>
            <w:shd w:val="clear" w:color="auto" w:fill="auto"/>
            <w:noWrap/>
            <w:vAlign w:val="center"/>
            <w:hideMark/>
          </w:tcPr>
          <w:p w14:paraId="4BF42F5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71C86DD9"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Duration</w:t>
            </w:r>
          </w:p>
        </w:tc>
        <w:tc>
          <w:tcPr>
            <w:tcW w:w="283" w:type="dxa"/>
            <w:tcBorders>
              <w:top w:val="single" w:sz="4" w:space="0" w:color="auto"/>
              <w:left w:val="nil"/>
              <w:bottom w:val="nil"/>
              <w:right w:val="nil"/>
            </w:tcBorders>
            <w:shd w:val="clear" w:color="auto" w:fill="auto"/>
            <w:noWrap/>
            <w:vAlign w:val="center"/>
            <w:hideMark/>
          </w:tcPr>
          <w:p w14:paraId="312B10D9"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09" w:type="dxa"/>
            <w:tcBorders>
              <w:top w:val="single" w:sz="4" w:space="0" w:color="auto"/>
              <w:left w:val="nil"/>
              <w:bottom w:val="nil"/>
              <w:right w:val="nil"/>
            </w:tcBorders>
            <w:shd w:val="clear" w:color="auto" w:fill="auto"/>
            <w:noWrap/>
            <w:vAlign w:val="center"/>
            <w:hideMark/>
          </w:tcPr>
          <w:p w14:paraId="5C3227C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1559" w:type="dxa"/>
            <w:gridSpan w:val="2"/>
            <w:tcBorders>
              <w:top w:val="single" w:sz="4" w:space="0" w:color="auto"/>
              <w:left w:val="nil"/>
              <w:bottom w:val="single" w:sz="4" w:space="0" w:color="auto"/>
              <w:right w:val="nil"/>
            </w:tcBorders>
            <w:shd w:val="clear" w:color="auto" w:fill="auto"/>
            <w:noWrap/>
            <w:vAlign w:val="center"/>
            <w:hideMark/>
          </w:tcPr>
          <w:p w14:paraId="0B2CDA0F"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#Letters</w:t>
            </w:r>
          </w:p>
        </w:tc>
        <w:tc>
          <w:tcPr>
            <w:tcW w:w="426" w:type="dxa"/>
            <w:tcBorders>
              <w:top w:val="single" w:sz="4" w:space="0" w:color="auto"/>
              <w:left w:val="nil"/>
              <w:bottom w:val="nil"/>
              <w:right w:val="nil"/>
            </w:tcBorders>
            <w:shd w:val="clear" w:color="auto" w:fill="auto"/>
            <w:noWrap/>
            <w:vAlign w:val="center"/>
            <w:hideMark/>
          </w:tcPr>
          <w:p w14:paraId="52B61FF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08" w:type="dxa"/>
            <w:tcBorders>
              <w:top w:val="single" w:sz="4" w:space="0" w:color="auto"/>
              <w:left w:val="nil"/>
              <w:bottom w:val="nil"/>
              <w:right w:val="nil"/>
            </w:tcBorders>
            <w:shd w:val="clear" w:color="auto" w:fill="auto"/>
            <w:noWrap/>
            <w:vAlign w:val="center"/>
            <w:hideMark/>
          </w:tcPr>
          <w:p w14:paraId="2FF5B24E"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7FC6372B"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#Themes</w:t>
            </w:r>
          </w:p>
        </w:tc>
        <w:tc>
          <w:tcPr>
            <w:tcW w:w="284" w:type="dxa"/>
            <w:tcBorders>
              <w:top w:val="single" w:sz="4" w:space="0" w:color="auto"/>
              <w:left w:val="nil"/>
              <w:bottom w:val="nil"/>
              <w:right w:val="nil"/>
            </w:tcBorders>
            <w:shd w:val="clear" w:color="auto" w:fill="auto"/>
            <w:noWrap/>
            <w:vAlign w:val="center"/>
            <w:hideMark/>
          </w:tcPr>
          <w:p w14:paraId="723F6ED8"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708" w:type="dxa"/>
            <w:tcBorders>
              <w:top w:val="single" w:sz="4" w:space="0" w:color="auto"/>
              <w:left w:val="nil"/>
              <w:bottom w:val="nil"/>
              <w:right w:val="nil"/>
            </w:tcBorders>
            <w:shd w:val="clear" w:color="auto" w:fill="auto"/>
            <w:noWrap/>
            <w:vAlign w:val="center"/>
            <w:hideMark/>
          </w:tcPr>
          <w:p w14:paraId="068C48FC"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4ED8B068" w14:textId="2BDBD74F"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w:t>
            </w:r>
            <w:r w:rsidR="009C015E" w:rsidRPr="00E915AA">
              <w:rPr>
                <w:rFonts w:ascii="Times New Roman" w:eastAsia="Times New Roman" w:hAnsi="Times New Roman" w:cs="Times New Roman"/>
                <w:i/>
                <w:iCs/>
                <w:color w:val="000000"/>
                <w:sz w:val="12"/>
                <w:szCs w:val="12"/>
                <w:lang w:val="en-GB" w:eastAsia="en-GB"/>
              </w:rPr>
              <w:t xml:space="preserve"> Core-accounting issues</w:t>
            </w:r>
          </w:p>
        </w:tc>
        <w:tc>
          <w:tcPr>
            <w:tcW w:w="284" w:type="dxa"/>
            <w:tcBorders>
              <w:top w:val="single" w:sz="4" w:space="0" w:color="auto"/>
              <w:left w:val="nil"/>
              <w:bottom w:val="nil"/>
              <w:right w:val="nil"/>
            </w:tcBorders>
            <w:shd w:val="clear" w:color="auto" w:fill="auto"/>
            <w:noWrap/>
            <w:vAlign w:val="center"/>
            <w:hideMark/>
          </w:tcPr>
          <w:p w14:paraId="69F45CD8"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850" w:type="dxa"/>
            <w:tcBorders>
              <w:top w:val="single" w:sz="4" w:space="0" w:color="auto"/>
              <w:left w:val="nil"/>
              <w:bottom w:val="nil"/>
              <w:right w:val="nil"/>
            </w:tcBorders>
            <w:shd w:val="clear" w:color="auto" w:fill="auto"/>
            <w:noWrap/>
            <w:vAlign w:val="center"/>
            <w:hideMark/>
          </w:tcPr>
          <w:p w14:paraId="5E9ACD38"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1914" w:type="dxa"/>
            <w:gridSpan w:val="3"/>
            <w:tcBorders>
              <w:top w:val="single" w:sz="4" w:space="0" w:color="auto"/>
              <w:left w:val="nil"/>
              <w:bottom w:val="single" w:sz="4" w:space="0" w:color="auto"/>
              <w:right w:val="nil"/>
            </w:tcBorders>
            <w:shd w:val="clear" w:color="auto" w:fill="auto"/>
            <w:noWrap/>
            <w:vAlign w:val="center"/>
            <w:hideMark/>
          </w:tcPr>
          <w:p w14:paraId="73BFB5C2" w14:textId="2BDFCA6A"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r w:rsidRPr="00E915AA">
              <w:rPr>
                <w:rFonts w:ascii="Times New Roman" w:eastAsia="Times New Roman" w:hAnsi="Times New Roman" w:cs="Times New Roman"/>
                <w:i/>
                <w:iCs/>
                <w:color w:val="000000"/>
                <w:sz w:val="12"/>
                <w:szCs w:val="12"/>
                <w:lang w:val="en-GB" w:eastAsia="en-GB"/>
              </w:rPr>
              <w:t>#Non-</w:t>
            </w:r>
            <w:r w:rsidR="009C015E" w:rsidRPr="00E915AA">
              <w:rPr>
                <w:rFonts w:ascii="Times New Roman" w:eastAsia="Times New Roman" w:hAnsi="Times New Roman" w:cs="Times New Roman"/>
                <w:i/>
                <w:iCs/>
                <w:color w:val="000000"/>
                <w:sz w:val="12"/>
                <w:szCs w:val="12"/>
                <w:lang w:val="en-GB" w:eastAsia="en-GB"/>
              </w:rPr>
              <w:t xml:space="preserve"> Core-accounting issues</w:t>
            </w:r>
          </w:p>
        </w:tc>
      </w:tr>
      <w:tr w:rsidR="00F14709" w:rsidRPr="00E915AA" w14:paraId="3CB2BD8D" w14:textId="77777777" w:rsidTr="00110FF6">
        <w:trPr>
          <w:trHeight w:val="300"/>
        </w:trPr>
        <w:tc>
          <w:tcPr>
            <w:tcW w:w="1276" w:type="dxa"/>
            <w:tcBorders>
              <w:top w:val="nil"/>
              <w:left w:val="nil"/>
              <w:bottom w:val="nil"/>
              <w:right w:val="nil"/>
            </w:tcBorders>
            <w:shd w:val="clear" w:color="auto" w:fill="auto"/>
            <w:noWrap/>
            <w:vAlign w:val="center"/>
            <w:hideMark/>
          </w:tcPr>
          <w:p w14:paraId="297037EE" w14:textId="77777777" w:rsidR="00F14709" w:rsidRPr="00E915AA" w:rsidRDefault="00F14709" w:rsidP="00110FF6">
            <w:pPr>
              <w:spacing w:after="0" w:line="240" w:lineRule="auto"/>
              <w:jc w:val="center"/>
              <w:rPr>
                <w:rFonts w:ascii="Times New Roman" w:eastAsia="Times New Roman" w:hAnsi="Times New Roman" w:cs="Times New Roman"/>
                <w:i/>
                <w:iCs/>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511E738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184332F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506687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w:t>
            </w:r>
          </w:p>
        </w:tc>
        <w:tc>
          <w:tcPr>
            <w:tcW w:w="709" w:type="dxa"/>
            <w:tcBorders>
              <w:top w:val="nil"/>
              <w:left w:val="nil"/>
              <w:bottom w:val="nil"/>
              <w:right w:val="nil"/>
            </w:tcBorders>
            <w:shd w:val="clear" w:color="auto" w:fill="auto"/>
            <w:noWrap/>
            <w:vAlign w:val="center"/>
            <w:hideMark/>
          </w:tcPr>
          <w:p w14:paraId="41E3B04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(2)</w:t>
            </w:r>
          </w:p>
        </w:tc>
        <w:tc>
          <w:tcPr>
            <w:tcW w:w="283" w:type="dxa"/>
            <w:tcBorders>
              <w:top w:val="nil"/>
              <w:left w:val="nil"/>
              <w:bottom w:val="nil"/>
              <w:right w:val="nil"/>
            </w:tcBorders>
            <w:shd w:val="clear" w:color="auto" w:fill="auto"/>
            <w:noWrap/>
            <w:vAlign w:val="center"/>
            <w:hideMark/>
          </w:tcPr>
          <w:p w14:paraId="56EE22A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08B352F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62832E8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w:t>
            </w:r>
          </w:p>
        </w:tc>
        <w:tc>
          <w:tcPr>
            <w:tcW w:w="708" w:type="dxa"/>
            <w:tcBorders>
              <w:top w:val="nil"/>
              <w:left w:val="nil"/>
              <w:bottom w:val="nil"/>
              <w:right w:val="nil"/>
            </w:tcBorders>
            <w:shd w:val="clear" w:color="auto" w:fill="auto"/>
            <w:noWrap/>
            <w:vAlign w:val="center"/>
            <w:hideMark/>
          </w:tcPr>
          <w:p w14:paraId="5D9C54C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w:t>
            </w:r>
          </w:p>
        </w:tc>
        <w:tc>
          <w:tcPr>
            <w:tcW w:w="426" w:type="dxa"/>
            <w:tcBorders>
              <w:top w:val="nil"/>
              <w:left w:val="nil"/>
              <w:bottom w:val="nil"/>
              <w:right w:val="nil"/>
            </w:tcBorders>
            <w:shd w:val="clear" w:color="auto" w:fill="auto"/>
            <w:noWrap/>
            <w:vAlign w:val="center"/>
            <w:hideMark/>
          </w:tcPr>
          <w:p w14:paraId="516DDD9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7EDACEA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B3602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(7)</w:t>
            </w:r>
          </w:p>
        </w:tc>
        <w:tc>
          <w:tcPr>
            <w:tcW w:w="709" w:type="dxa"/>
            <w:tcBorders>
              <w:top w:val="nil"/>
              <w:left w:val="nil"/>
              <w:bottom w:val="nil"/>
              <w:right w:val="nil"/>
            </w:tcBorders>
            <w:shd w:val="clear" w:color="auto" w:fill="auto"/>
            <w:noWrap/>
            <w:vAlign w:val="center"/>
            <w:hideMark/>
          </w:tcPr>
          <w:p w14:paraId="520901A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(8)</w:t>
            </w:r>
          </w:p>
        </w:tc>
        <w:tc>
          <w:tcPr>
            <w:tcW w:w="284" w:type="dxa"/>
            <w:tcBorders>
              <w:top w:val="nil"/>
              <w:left w:val="nil"/>
              <w:bottom w:val="nil"/>
              <w:right w:val="nil"/>
            </w:tcBorders>
            <w:shd w:val="clear" w:color="auto" w:fill="auto"/>
            <w:noWrap/>
            <w:vAlign w:val="center"/>
            <w:hideMark/>
          </w:tcPr>
          <w:p w14:paraId="3E91DBA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7CA584E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4E8012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(10)</w:t>
            </w:r>
          </w:p>
        </w:tc>
        <w:tc>
          <w:tcPr>
            <w:tcW w:w="709" w:type="dxa"/>
            <w:tcBorders>
              <w:top w:val="nil"/>
              <w:left w:val="nil"/>
              <w:bottom w:val="nil"/>
              <w:right w:val="nil"/>
            </w:tcBorders>
            <w:shd w:val="clear" w:color="auto" w:fill="auto"/>
            <w:noWrap/>
            <w:vAlign w:val="center"/>
            <w:hideMark/>
          </w:tcPr>
          <w:p w14:paraId="03805B2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(11)</w:t>
            </w:r>
          </w:p>
        </w:tc>
        <w:tc>
          <w:tcPr>
            <w:tcW w:w="284" w:type="dxa"/>
            <w:tcBorders>
              <w:top w:val="nil"/>
              <w:left w:val="nil"/>
              <w:bottom w:val="nil"/>
              <w:right w:val="nil"/>
            </w:tcBorders>
            <w:shd w:val="clear" w:color="auto" w:fill="auto"/>
            <w:noWrap/>
            <w:vAlign w:val="center"/>
            <w:hideMark/>
          </w:tcPr>
          <w:p w14:paraId="6E36C7D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469DF5B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34E89A0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(13)</w:t>
            </w:r>
          </w:p>
        </w:tc>
        <w:tc>
          <w:tcPr>
            <w:tcW w:w="1063" w:type="dxa"/>
            <w:gridSpan w:val="2"/>
            <w:tcBorders>
              <w:top w:val="nil"/>
              <w:left w:val="nil"/>
              <w:bottom w:val="nil"/>
              <w:right w:val="nil"/>
            </w:tcBorders>
            <w:shd w:val="clear" w:color="auto" w:fill="auto"/>
            <w:noWrap/>
            <w:vAlign w:val="center"/>
            <w:hideMark/>
          </w:tcPr>
          <w:p w14:paraId="5A6A57A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(14)</w:t>
            </w:r>
          </w:p>
        </w:tc>
      </w:tr>
      <w:tr w:rsidR="00F14709" w:rsidRPr="00E915AA" w14:paraId="21DA579D" w14:textId="77777777" w:rsidTr="00110FF6">
        <w:trPr>
          <w:trHeight w:val="167"/>
        </w:trPr>
        <w:tc>
          <w:tcPr>
            <w:tcW w:w="1276" w:type="dxa"/>
            <w:tcBorders>
              <w:top w:val="nil"/>
              <w:left w:val="nil"/>
              <w:bottom w:val="nil"/>
              <w:right w:val="nil"/>
            </w:tcBorders>
            <w:shd w:val="clear" w:color="auto" w:fill="auto"/>
            <w:noWrap/>
            <w:vAlign w:val="center"/>
            <w:hideMark/>
          </w:tcPr>
          <w:p w14:paraId="301E900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DACC</w:t>
            </w:r>
          </w:p>
        </w:tc>
        <w:tc>
          <w:tcPr>
            <w:tcW w:w="236" w:type="dxa"/>
            <w:tcBorders>
              <w:top w:val="nil"/>
              <w:left w:val="nil"/>
              <w:bottom w:val="nil"/>
              <w:right w:val="nil"/>
            </w:tcBorders>
            <w:shd w:val="clear" w:color="auto" w:fill="auto"/>
            <w:noWrap/>
            <w:vAlign w:val="center"/>
            <w:hideMark/>
          </w:tcPr>
          <w:p w14:paraId="1F894E0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7182BCA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3F8B49C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0.023***</w:t>
            </w:r>
            <w:r w:rsidRPr="00E915AA">
              <w:rPr>
                <w:rFonts w:ascii="Times New Roman" w:eastAsia="Times New Roman" w:hAnsi="Times New Roman" w:cs="Times New Roman"/>
                <w:color w:val="000000"/>
                <w:sz w:val="12"/>
                <w:szCs w:val="12"/>
                <w:lang w:val="en-GB" w:eastAsia="en-GB"/>
              </w:rPr>
              <w:br/>
              <w:t>(4.95)</w:t>
            </w:r>
          </w:p>
        </w:tc>
        <w:tc>
          <w:tcPr>
            <w:tcW w:w="709" w:type="dxa"/>
            <w:tcBorders>
              <w:top w:val="nil"/>
              <w:left w:val="nil"/>
              <w:bottom w:val="nil"/>
              <w:right w:val="nil"/>
            </w:tcBorders>
            <w:shd w:val="clear" w:color="auto" w:fill="auto"/>
            <w:vAlign w:val="center"/>
            <w:hideMark/>
          </w:tcPr>
          <w:p w14:paraId="5D9A105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7A70AFA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0100E7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1307888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0.026**</w:t>
            </w:r>
            <w:r w:rsidRPr="00E915AA">
              <w:rPr>
                <w:rFonts w:ascii="Times New Roman" w:eastAsia="Times New Roman" w:hAnsi="Times New Roman" w:cs="Times New Roman"/>
                <w:color w:val="000000"/>
                <w:sz w:val="12"/>
                <w:szCs w:val="12"/>
                <w:lang w:val="en-GB" w:eastAsia="en-GB"/>
              </w:rPr>
              <w:br/>
              <w:t>(2.18)</w:t>
            </w:r>
          </w:p>
        </w:tc>
        <w:tc>
          <w:tcPr>
            <w:tcW w:w="708" w:type="dxa"/>
            <w:tcBorders>
              <w:top w:val="nil"/>
              <w:left w:val="nil"/>
              <w:bottom w:val="nil"/>
              <w:right w:val="nil"/>
            </w:tcBorders>
            <w:shd w:val="clear" w:color="auto" w:fill="auto"/>
            <w:vAlign w:val="center"/>
            <w:hideMark/>
          </w:tcPr>
          <w:p w14:paraId="230D7DB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426" w:type="dxa"/>
            <w:tcBorders>
              <w:top w:val="nil"/>
              <w:left w:val="nil"/>
              <w:bottom w:val="nil"/>
              <w:right w:val="nil"/>
            </w:tcBorders>
            <w:shd w:val="clear" w:color="auto" w:fill="auto"/>
            <w:vAlign w:val="center"/>
            <w:hideMark/>
          </w:tcPr>
          <w:p w14:paraId="579C5A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2443011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398EAE3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0.043</w:t>
            </w:r>
            <w:r w:rsidRPr="00E915AA">
              <w:rPr>
                <w:rFonts w:ascii="Times New Roman" w:eastAsia="Times New Roman" w:hAnsi="Times New Roman" w:cs="Times New Roman"/>
                <w:color w:val="000000"/>
                <w:sz w:val="12"/>
                <w:szCs w:val="12"/>
                <w:lang w:val="en-GB" w:eastAsia="en-GB"/>
              </w:rPr>
              <w:br/>
              <w:t>(1.36)</w:t>
            </w:r>
          </w:p>
        </w:tc>
        <w:tc>
          <w:tcPr>
            <w:tcW w:w="709" w:type="dxa"/>
            <w:tcBorders>
              <w:top w:val="nil"/>
              <w:left w:val="nil"/>
              <w:bottom w:val="nil"/>
              <w:right w:val="nil"/>
            </w:tcBorders>
            <w:shd w:val="clear" w:color="auto" w:fill="auto"/>
            <w:vAlign w:val="center"/>
            <w:hideMark/>
          </w:tcPr>
          <w:p w14:paraId="31BF724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4" w:type="dxa"/>
            <w:tcBorders>
              <w:top w:val="nil"/>
              <w:left w:val="nil"/>
              <w:bottom w:val="nil"/>
              <w:right w:val="nil"/>
            </w:tcBorders>
            <w:shd w:val="clear" w:color="auto" w:fill="auto"/>
            <w:vAlign w:val="center"/>
            <w:hideMark/>
          </w:tcPr>
          <w:p w14:paraId="188F6A3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0EA1C0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041981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0.042***</w:t>
            </w:r>
            <w:r w:rsidRPr="00E915AA">
              <w:rPr>
                <w:rFonts w:ascii="Times New Roman" w:eastAsia="Times New Roman" w:hAnsi="Times New Roman" w:cs="Times New Roman"/>
                <w:color w:val="000000"/>
                <w:sz w:val="12"/>
                <w:szCs w:val="12"/>
                <w:lang w:val="en-GB" w:eastAsia="en-GB"/>
              </w:rPr>
              <w:br/>
              <w:t>(3.18)</w:t>
            </w:r>
          </w:p>
        </w:tc>
        <w:tc>
          <w:tcPr>
            <w:tcW w:w="709" w:type="dxa"/>
            <w:tcBorders>
              <w:top w:val="nil"/>
              <w:left w:val="nil"/>
              <w:bottom w:val="nil"/>
              <w:right w:val="nil"/>
            </w:tcBorders>
            <w:shd w:val="clear" w:color="auto" w:fill="auto"/>
            <w:vAlign w:val="center"/>
            <w:hideMark/>
          </w:tcPr>
          <w:p w14:paraId="2F74DE5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4" w:type="dxa"/>
            <w:tcBorders>
              <w:top w:val="nil"/>
              <w:left w:val="nil"/>
              <w:bottom w:val="nil"/>
              <w:right w:val="nil"/>
            </w:tcBorders>
            <w:shd w:val="clear" w:color="auto" w:fill="auto"/>
            <w:vAlign w:val="center"/>
            <w:hideMark/>
          </w:tcPr>
          <w:p w14:paraId="3182484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6E1ADC9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178DC48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w:t>
            </w:r>
            <w:r w:rsidRPr="00E915AA">
              <w:rPr>
                <w:rFonts w:ascii="Times New Roman" w:eastAsia="Times New Roman" w:hAnsi="Times New Roman" w:cs="Times New Roman"/>
                <w:color w:val="000000"/>
                <w:sz w:val="12"/>
                <w:szCs w:val="12"/>
                <w:lang w:val="en-GB" w:eastAsia="en-GB"/>
              </w:rPr>
              <w:br/>
              <w:t>(1.45)</w:t>
            </w:r>
          </w:p>
        </w:tc>
        <w:tc>
          <w:tcPr>
            <w:tcW w:w="1063" w:type="dxa"/>
            <w:gridSpan w:val="2"/>
            <w:tcBorders>
              <w:top w:val="nil"/>
              <w:left w:val="nil"/>
              <w:bottom w:val="nil"/>
              <w:right w:val="nil"/>
            </w:tcBorders>
            <w:shd w:val="clear" w:color="auto" w:fill="auto"/>
            <w:vAlign w:val="center"/>
            <w:hideMark/>
          </w:tcPr>
          <w:p w14:paraId="34B86A7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r>
      <w:tr w:rsidR="00F14709" w:rsidRPr="00E915AA" w14:paraId="56179ACC" w14:textId="77777777" w:rsidTr="00110FF6">
        <w:trPr>
          <w:trHeight w:val="271"/>
        </w:trPr>
        <w:tc>
          <w:tcPr>
            <w:tcW w:w="1276" w:type="dxa"/>
            <w:tcBorders>
              <w:top w:val="nil"/>
              <w:left w:val="nil"/>
              <w:bottom w:val="nil"/>
              <w:right w:val="nil"/>
            </w:tcBorders>
            <w:shd w:val="clear" w:color="auto" w:fill="auto"/>
            <w:noWrap/>
            <w:vAlign w:val="center"/>
            <w:hideMark/>
          </w:tcPr>
          <w:p w14:paraId="505FF4D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DACC_ACFO</w:t>
            </w:r>
          </w:p>
        </w:tc>
        <w:tc>
          <w:tcPr>
            <w:tcW w:w="236" w:type="dxa"/>
            <w:tcBorders>
              <w:top w:val="nil"/>
              <w:left w:val="nil"/>
              <w:bottom w:val="nil"/>
              <w:right w:val="nil"/>
            </w:tcBorders>
            <w:shd w:val="clear" w:color="auto" w:fill="auto"/>
            <w:noWrap/>
            <w:vAlign w:val="center"/>
            <w:hideMark/>
          </w:tcPr>
          <w:p w14:paraId="0C405E3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1C6ACE0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486EB3E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0.004</w:t>
            </w:r>
            <w:r w:rsidRPr="00E915AA">
              <w:rPr>
                <w:rFonts w:ascii="Times New Roman" w:eastAsia="Times New Roman" w:hAnsi="Times New Roman" w:cs="Times New Roman"/>
                <w:color w:val="000000"/>
                <w:sz w:val="12"/>
                <w:szCs w:val="12"/>
                <w:lang w:val="en-GB" w:eastAsia="en-GB"/>
              </w:rPr>
              <w:br/>
              <w:t>(0.97)</w:t>
            </w:r>
          </w:p>
        </w:tc>
        <w:tc>
          <w:tcPr>
            <w:tcW w:w="709" w:type="dxa"/>
            <w:tcBorders>
              <w:top w:val="nil"/>
              <w:left w:val="nil"/>
              <w:bottom w:val="nil"/>
              <w:right w:val="nil"/>
            </w:tcBorders>
            <w:shd w:val="clear" w:color="auto" w:fill="auto"/>
            <w:vAlign w:val="center"/>
            <w:hideMark/>
          </w:tcPr>
          <w:p w14:paraId="59F8FBE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3" w:type="dxa"/>
            <w:tcBorders>
              <w:top w:val="nil"/>
              <w:left w:val="nil"/>
              <w:bottom w:val="nil"/>
              <w:right w:val="nil"/>
            </w:tcBorders>
            <w:shd w:val="clear" w:color="auto" w:fill="auto"/>
            <w:vAlign w:val="center"/>
            <w:hideMark/>
          </w:tcPr>
          <w:p w14:paraId="3FE4122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B9A12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50C8780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-0.005</w:t>
            </w:r>
            <w:r w:rsidRPr="00E915AA">
              <w:rPr>
                <w:rFonts w:ascii="Times New Roman" w:eastAsia="Times New Roman" w:hAnsi="Times New Roman" w:cs="Times New Roman"/>
                <w:color w:val="000000"/>
                <w:sz w:val="12"/>
                <w:szCs w:val="12"/>
                <w:lang w:val="en-GB" w:eastAsia="en-GB"/>
              </w:rPr>
              <w:br/>
              <w:t>(-0.31)</w:t>
            </w:r>
          </w:p>
        </w:tc>
        <w:tc>
          <w:tcPr>
            <w:tcW w:w="708" w:type="dxa"/>
            <w:tcBorders>
              <w:top w:val="nil"/>
              <w:left w:val="nil"/>
              <w:bottom w:val="nil"/>
              <w:right w:val="nil"/>
            </w:tcBorders>
            <w:shd w:val="clear" w:color="auto" w:fill="auto"/>
            <w:vAlign w:val="center"/>
            <w:hideMark/>
          </w:tcPr>
          <w:p w14:paraId="35B0CB4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426" w:type="dxa"/>
            <w:tcBorders>
              <w:top w:val="nil"/>
              <w:left w:val="nil"/>
              <w:bottom w:val="nil"/>
              <w:right w:val="nil"/>
            </w:tcBorders>
            <w:shd w:val="clear" w:color="auto" w:fill="auto"/>
            <w:vAlign w:val="center"/>
            <w:hideMark/>
          </w:tcPr>
          <w:p w14:paraId="5A743C5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83C8B2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05B27E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-0.011</w:t>
            </w:r>
            <w:r w:rsidRPr="00E915AA">
              <w:rPr>
                <w:rFonts w:ascii="Times New Roman" w:eastAsia="Times New Roman" w:hAnsi="Times New Roman" w:cs="Times New Roman"/>
                <w:color w:val="000000"/>
                <w:sz w:val="12"/>
                <w:szCs w:val="12"/>
                <w:lang w:val="en-GB" w:eastAsia="en-GB"/>
              </w:rPr>
              <w:br/>
              <w:t>(-0.6)</w:t>
            </w:r>
          </w:p>
        </w:tc>
        <w:tc>
          <w:tcPr>
            <w:tcW w:w="709" w:type="dxa"/>
            <w:tcBorders>
              <w:top w:val="nil"/>
              <w:left w:val="nil"/>
              <w:bottom w:val="nil"/>
              <w:right w:val="nil"/>
            </w:tcBorders>
            <w:shd w:val="clear" w:color="auto" w:fill="auto"/>
            <w:vAlign w:val="center"/>
            <w:hideMark/>
          </w:tcPr>
          <w:p w14:paraId="2BBB3EC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4" w:type="dxa"/>
            <w:tcBorders>
              <w:top w:val="nil"/>
              <w:left w:val="nil"/>
              <w:bottom w:val="nil"/>
              <w:right w:val="nil"/>
            </w:tcBorders>
            <w:shd w:val="clear" w:color="auto" w:fill="auto"/>
            <w:vAlign w:val="center"/>
            <w:hideMark/>
          </w:tcPr>
          <w:p w14:paraId="49654B5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E080EA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627633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(-0.1)</w:t>
            </w:r>
          </w:p>
        </w:tc>
        <w:tc>
          <w:tcPr>
            <w:tcW w:w="709" w:type="dxa"/>
            <w:tcBorders>
              <w:top w:val="nil"/>
              <w:left w:val="nil"/>
              <w:bottom w:val="nil"/>
              <w:right w:val="nil"/>
            </w:tcBorders>
            <w:shd w:val="clear" w:color="auto" w:fill="auto"/>
            <w:vAlign w:val="center"/>
            <w:hideMark/>
          </w:tcPr>
          <w:p w14:paraId="50168F3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84" w:type="dxa"/>
            <w:tcBorders>
              <w:top w:val="nil"/>
              <w:left w:val="nil"/>
              <w:bottom w:val="nil"/>
              <w:right w:val="nil"/>
            </w:tcBorders>
            <w:shd w:val="clear" w:color="auto" w:fill="auto"/>
            <w:vAlign w:val="center"/>
            <w:hideMark/>
          </w:tcPr>
          <w:p w14:paraId="0C82424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7C3632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4636913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w:t>
            </w:r>
            <w:r w:rsidRPr="00E915AA">
              <w:rPr>
                <w:rFonts w:ascii="Times New Roman" w:eastAsia="Times New Roman" w:hAnsi="Times New Roman" w:cs="Times New Roman"/>
                <w:color w:val="000000"/>
                <w:sz w:val="12"/>
                <w:szCs w:val="12"/>
                <w:lang w:val="en-GB" w:eastAsia="en-GB"/>
              </w:rPr>
              <w:br/>
              <w:t>(-1.78)</w:t>
            </w:r>
          </w:p>
        </w:tc>
        <w:tc>
          <w:tcPr>
            <w:tcW w:w="1063" w:type="dxa"/>
            <w:gridSpan w:val="2"/>
            <w:tcBorders>
              <w:top w:val="nil"/>
              <w:left w:val="nil"/>
              <w:bottom w:val="nil"/>
              <w:right w:val="nil"/>
            </w:tcBorders>
            <w:shd w:val="clear" w:color="auto" w:fill="auto"/>
            <w:vAlign w:val="center"/>
            <w:hideMark/>
          </w:tcPr>
          <w:p w14:paraId="366EDCC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r>
      <w:tr w:rsidR="00F14709" w:rsidRPr="00E915AA" w14:paraId="49D8D814" w14:textId="77777777" w:rsidTr="00110FF6">
        <w:trPr>
          <w:trHeight w:val="219"/>
        </w:trPr>
        <w:tc>
          <w:tcPr>
            <w:tcW w:w="1276" w:type="dxa"/>
            <w:tcBorders>
              <w:top w:val="nil"/>
              <w:left w:val="nil"/>
              <w:bottom w:val="nil"/>
              <w:right w:val="nil"/>
            </w:tcBorders>
            <w:shd w:val="clear" w:color="auto" w:fill="auto"/>
            <w:noWrap/>
            <w:vAlign w:val="center"/>
            <w:hideMark/>
          </w:tcPr>
          <w:p w14:paraId="629A774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ADISEXP</w:t>
            </w:r>
          </w:p>
        </w:tc>
        <w:tc>
          <w:tcPr>
            <w:tcW w:w="236" w:type="dxa"/>
            <w:tcBorders>
              <w:top w:val="nil"/>
              <w:left w:val="nil"/>
              <w:bottom w:val="nil"/>
              <w:right w:val="nil"/>
            </w:tcBorders>
            <w:shd w:val="clear" w:color="auto" w:fill="auto"/>
            <w:noWrap/>
            <w:vAlign w:val="center"/>
            <w:hideMark/>
          </w:tcPr>
          <w:p w14:paraId="5ADE993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28A986B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AA1CDE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C6421C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-0.018**</w:t>
            </w:r>
            <w:r w:rsidRPr="00E915AA">
              <w:rPr>
                <w:rFonts w:ascii="Times New Roman" w:eastAsia="Times New Roman" w:hAnsi="Times New Roman" w:cs="Times New Roman"/>
                <w:color w:val="000000"/>
                <w:sz w:val="12"/>
                <w:szCs w:val="12"/>
                <w:lang w:val="en-GB" w:eastAsia="en-GB"/>
              </w:rPr>
              <w:br/>
              <w:t>(-2.47)</w:t>
            </w:r>
          </w:p>
        </w:tc>
        <w:tc>
          <w:tcPr>
            <w:tcW w:w="283" w:type="dxa"/>
            <w:tcBorders>
              <w:top w:val="nil"/>
              <w:left w:val="nil"/>
              <w:bottom w:val="nil"/>
              <w:right w:val="nil"/>
            </w:tcBorders>
            <w:shd w:val="clear" w:color="auto" w:fill="auto"/>
            <w:vAlign w:val="center"/>
            <w:hideMark/>
          </w:tcPr>
          <w:p w14:paraId="2871B95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2DE0592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2CA2F5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718749E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-0.006</w:t>
            </w:r>
            <w:r w:rsidRPr="00E915AA">
              <w:rPr>
                <w:rFonts w:ascii="Times New Roman" w:eastAsia="Times New Roman" w:hAnsi="Times New Roman" w:cs="Times New Roman"/>
                <w:color w:val="000000"/>
                <w:sz w:val="12"/>
                <w:szCs w:val="12"/>
                <w:lang w:val="en-GB" w:eastAsia="en-GB"/>
              </w:rPr>
              <w:br/>
              <w:t>(-0.41)</w:t>
            </w:r>
          </w:p>
        </w:tc>
        <w:tc>
          <w:tcPr>
            <w:tcW w:w="426" w:type="dxa"/>
            <w:tcBorders>
              <w:top w:val="nil"/>
              <w:left w:val="nil"/>
              <w:bottom w:val="nil"/>
              <w:right w:val="nil"/>
            </w:tcBorders>
            <w:shd w:val="clear" w:color="auto" w:fill="auto"/>
            <w:vAlign w:val="center"/>
            <w:hideMark/>
          </w:tcPr>
          <w:p w14:paraId="6E2B750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1435009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0641DC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2BD770B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-0.036*</w:t>
            </w:r>
            <w:r w:rsidRPr="00E915AA">
              <w:rPr>
                <w:rFonts w:ascii="Times New Roman" w:eastAsia="Times New Roman" w:hAnsi="Times New Roman" w:cs="Times New Roman"/>
                <w:color w:val="000000"/>
                <w:sz w:val="12"/>
                <w:szCs w:val="12"/>
                <w:lang w:val="en-GB" w:eastAsia="en-GB"/>
              </w:rPr>
              <w:br/>
              <w:t>(-1.7)</w:t>
            </w:r>
          </w:p>
        </w:tc>
        <w:tc>
          <w:tcPr>
            <w:tcW w:w="284" w:type="dxa"/>
            <w:tcBorders>
              <w:top w:val="nil"/>
              <w:left w:val="nil"/>
              <w:bottom w:val="nil"/>
              <w:right w:val="nil"/>
            </w:tcBorders>
            <w:shd w:val="clear" w:color="auto" w:fill="auto"/>
            <w:vAlign w:val="center"/>
            <w:hideMark/>
          </w:tcPr>
          <w:p w14:paraId="030B643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671035A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3E6E67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C2446C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-0.015</w:t>
            </w:r>
            <w:r w:rsidRPr="00E915AA">
              <w:rPr>
                <w:rFonts w:ascii="Times New Roman" w:eastAsia="Times New Roman" w:hAnsi="Times New Roman" w:cs="Times New Roman"/>
                <w:color w:val="000000"/>
                <w:sz w:val="12"/>
                <w:szCs w:val="12"/>
                <w:lang w:val="en-GB" w:eastAsia="en-GB"/>
              </w:rPr>
              <w:br/>
              <w:t>(-0.85)</w:t>
            </w:r>
          </w:p>
        </w:tc>
        <w:tc>
          <w:tcPr>
            <w:tcW w:w="284" w:type="dxa"/>
            <w:tcBorders>
              <w:top w:val="nil"/>
              <w:left w:val="nil"/>
              <w:bottom w:val="nil"/>
              <w:right w:val="nil"/>
            </w:tcBorders>
            <w:shd w:val="clear" w:color="auto" w:fill="auto"/>
            <w:vAlign w:val="center"/>
            <w:hideMark/>
          </w:tcPr>
          <w:p w14:paraId="16BD5C7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79916FB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5B78811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vAlign w:val="center"/>
            <w:hideMark/>
          </w:tcPr>
          <w:p w14:paraId="38FC80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-0.096*</w:t>
            </w:r>
            <w:r w:rsidRPr="00E915AA">
              <w:rPr>
                <w:rFonts w:ascii="Times New Roman" w:eastAsia="Times New Roman" w:hAnsi="Times New Roman" w:cs="Times New Roman"/>
                <w:color w:val="000000"/>
                <w:sz w:val="12"/>
                <w:szCs w:val="12"/>
                <w:lang w:val="en-GB" w:eastAsia="en-GB"/>
              </w:rPr>
              <w:br/>
              <w:t>(-1.84)</w:t>
            </w:r>
          </w:p>
        </w:tc>
      </w:tr>
      <w:tr w:rsidR="00F14709" w:rsidRPr="00E915AA" w14:paraId="00B5458D" w14:textId="77777777" w:rsidTr="00110FF6">
        <w:trPr>
          <w:trHeight w:val="390"/>
        </w:trPr>
        <w:tc>
          <w:tcPr>
            <w:tcW w:w="1276" w:type="dxa"/>
            <w:tcBorders>
              <w:top w:val="nil"/>
              <w:left w:val="nil"/>
              <w:bottom w:val="nil"/>
              <w:right w:val="nil"/>
            </w:tcBorders>
            <w:shd w:val="clear" w:color="auto" w:fill="auto"/>
            <w:noWrap/>
            <w:vAlign w:val="center"/>
            <w:hideMark/>
          </w:tcPr>
          <w:p w14:paraId="1EE64D5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ADISEXP_ACFO</w:t>
            </w:r>
          </w:p>
        </w:tc>
        <w:tc>
          <w:tcPr>
            <w:tcW w:w="236" w:type="dxa"/>
            <w:tcBorders>
              <w:top w:val="nil"/>
              <w:left w:val="nil"/>
              <w:bottom w:val="nil"/>
              <w:right w:val="nil"/>
            </w:tcBorders>
            <w:shd w:val="clear" w:color="auto" w:fill="auto"/>
            <w:noWrap/>
            <w:vAlign w:val="center"/>
            <w:hideMark/>
          </w:tcPr>
          <w:p w14:paraId="043290F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22EF7B8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8633EF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274524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0.01</w:t>
            </w:r>
            <w:r w:rsidRPr="00E915AA">
              <w:rPr>
                <w:rFonts w:ascii="Times New Roman" w:eastAsia="Times New Roman" w:hAnsi="Times New Roman" w:cs="Times New Roman"/>
                <w:color w:val="000000"/>
                <w:sz w:val="12"/>
                <w:szCs w:val="12"/>
                <w:lang w:val="en-GB" w:eastAsia="en-GB"/>
              </w:rPr>
              <w:br/>
              <w:t>(0.62)</w:t>
            </w:r>
          </w:p>
        </w:tc>
        <w:tc>
          <w:tcPr>
            <w:tcW w:w="283" w:type="dxa"/>
            <w:tcBorders>
              <w:top w:val="nil"/>
              <w:left w:val="nil"/>
              <w:bottom w:val="nil"/>
              <w:right w:val="nil"/>
            </w:tcBorders>
            <w:shd w:val="clear" w:color="auto" w:fill="auto"/>
            <w:vAlign w:val="center"/>
            <w:hideMark/>
          </w:tcPr>
          <w:p w14:paraId="7385CDA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6F305C2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2D4C638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vAlign w:val="center"/>
            <w:hideMark/>
          </w:tcPr>
          <w:p w14:paraId="66938C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0.002</w:t>
            </w:r>
            <w:r w:rsidRPr="00E915AA">
              <w:rPr>
                <w:rFonts w:ascii="Times New Roman" w:eastAsia="Times New Roman" w:hAnsi="Times New Roman" w:cs="Times New Roman"/>
                <w:color w:val="000000"/>
                <w:sz w:val="12"/>
                <w:szCs w:val="12"/>
                <w:lang w:val="en-GB" w:eastAsia="en-GB"/>
              </w:rPr>
              <w:br/>
              <w:t>(0.09)</w:t>
            </w:r>
          </w:p>
        </w:tc>
        <w:tc>
          <w:tcPr>
            <w:tcW w:w="426" w:type="dxa"/>
            <w:tcBorders>
              <w:top w:val="nil"/>
              <w:left w:val="nil"/>
              <w:bottom w:val="nil"/>
              <w:right w:val="nil"/>
            </w:tcBorders>
            <w:shd w:val="clear" w:color="auto" w:fill="auto"/>
            <w:vAlign w:val="center"/>
            <w:hideMark/>
          </w:tcPr>
          <w:p w14:paraId="458050D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66AA87B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3724A2F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138C956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0.047***</w:t>
            </w:r>
            <w:r w:rsidRPr="00E915AA">
              <w:rPr>
                <w:rFonts w:ascii="Times New Roman" w:eastAsia="Times New Roman" w:hAnsi="Times New Roman" w:cs="Times New Roman"/>
                <w:color w:val="000000"/>
                <w:sz w:val="12"/>
                <w:szCs w:val="12"/>
                <w:lang w:val="en-GB" w:eastAsia="en-GB"/>
              </w:rPr>
              <w:br/>
              <w:t>(5.84)</w:t>
            </w:r>
          </w:p>
        </w:tc>
        <w:tc>
          <w:tcPr>
            <w:tcW w:w="284" w:type="dxa"/>
            <w:tcBorders>
              <w:top w:val="nil"/>
              <w:left w:val="nil"/>
              <w:bottom w:val="nil"/>
              <w:right w:val="nil"/>
            </w:tcBorders>
            <w:shd w:val="clear" w:color="auto" w:fill="auto"/>
            <w:vAlign w:val="center"/>
            <w:hideMark/>
          </w:tcPr>
          <w:p w14:paraId="134C68B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7558DA5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CBE04F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50D24AA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0.003</w:t>
            </w:r>
            <w:r w:rsidRPr="00E915AA">
              <w:rPr>
                <w:rFonts w:ascii="Times New Roman" w:eastAsia="Times New Roman" w:hAnsi="Times New Roman" w:cs="Times New Roman"/>
                <w:color w:val="000000"/>
                <w:sz w:val="12"/>
                <w:szCs w:val="12"/>
                <w:lang w:val="en-GB" w:eastAsia="en-GB"/>
              </w:rPr>
              <w:br/>
              <w:t>(0.11)</w:t>
            </w:r>
          </w:p>
        </w:tc>
        <w:tc>
          <w:tcPr>
            <w:tcW w:w="284" w:type="dxa"/>
            <w:tcBorders>
              <w:top w:val="nil"/>
              <w:left w:val="nil"/>
              <w:bottom w:val="nil"/>
              <w:right w:val="nil"/>
            </w:tcBorders>
            <w:shd w:val="clear" w:color="auto" w:fill="auto"/>
            <w:vAlign w:val="center"/>
            <w:hideMark/>
          </w:tcPr>
          <w:p w14:paraId="2E85F1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639E2EF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467BAF5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vAlign w:val="center"/>
            <w:hideMark/>
          </w:tcPr>
          <w:p w14:paraId="120263A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w:t>
            </w:r>
            <w:r w:rsidRPr="00E915AA">
              <w:rPr>
                <w:rFonts w:ascii="Times New Roman" w:eastAsia="Times New Roman" w:hAnsi="Times New Roman" w:cs="Times New Roman"/>
                <w:color w:val="000000"/>
                <w:sz w:val="12"/>
                <w:szCs w:val="12"/>
                <w:lang w:val="en-GB" w:eastAsia="en-GB"/>
              </w:rPr>
              <w:br/>
              <w:t>(2.65)</w:t>
            </w:r>
          </w:p>
        </w:tc>
      </w:tr>
      <w:tr w:rsidR="00F14709" w:rsidRPr="00E915AA" w14:paraId="292C86C5" w14:textId="77777777" w:rsidTr="00110FF6">
        <w:trPr>
          <w:trHeight w:val="87"/>
        </w:trPr>
        <w:tc>
          <w:tcPr>
            <w:tcW w:w="1276" w:type="dxa"/>
            <w:tcBorders>
              <w:top w:val="nil"/>
              <w:left w:val="nil"/>
              <w:bottom w:val="nil"/>
              <w:right w:val="nil"/>
            </w:tcBorders>
            <w:shd w:val="clear" w:color="auto" w:fill="auto"/>
            <w:noWrap/>
            <w:vAlign w:val="center"/>
            <w:hideMark/>
          </w:tcPr>
          <w:p w14:paraId="4539E3D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58E5F8E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098BC19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18F873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A441BE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71EE761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434DA5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5AA85BC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07D5888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25E4905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C81605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A5AFA6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F44E56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0120C1A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60B1464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BE3121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13A46B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53B88B9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69CFEBE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689A0B2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78A9E7B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6FBBF3E8" w14:textId="77777777" w:rsidTr="00110FF6">
        <w:trPr>
          <w:trHeight w:val="300"/>
        </w:trPr>
        <w:tc>
          <w:tcPr>
            <w:tcW w:w="1276" w:type="dxa"/>
            <w:tcBorders>
              <w:top w:val="nil"/>
              <w:left w:val="nil"/>
              <w:bottom w:val="nil"/>
              <w:right w:val="nil"/>
            </w:tcBorders>
            <w:shd w:val="clear" w:color="auto" w:fill="auto"/>
            <w:noWrap/>
            <w:vAlign w:val="center"/>
            <w:hideMark/>
          </w:tcPr>
          <w:p w14:paraId="2C3AFB2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Control</w:t>
            </w:r>
          </w:p>
        </w:tc>
        <w:tc>
          <w:tcPr>
            <w:tcW w:w="236" w:type="dxa"/>
            <w:tcBorders>
              <w:top w:val="nil"/>
              <w:left w:val="nil"/>
              <w:bottom w:val="nil"/>
              <w:right w:val="nil"/>
            </w:tcBorders>
            <w:shd w:val="clear" w:color="auto" w:fill="auto"/>
            <w:noWrap/>
            <w:vAlign w:val="center"/>
            <w:hideMark/>
          </w:tcPr>
          <w:p w14:paraId="6DC0C00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1692EE3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1DC94D3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4EA4B27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3" w:type="dxa"/>
            <w:tcBorders>
              <w:top w:val="nil"/>
              <w:left w:val="nil"/>
              <w:bottom w:val="nil"/>
              <w:right w:val="nil"/>
            </w:tcBorders>
            <w:shd w:val="clear" w:color="auto" w:fill="auto"/>
            <w:vAlign w:val="center"/>
            <w:hideMark/>
          </w:tcPr>
          <w:p w14:paraId="1F5E630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30901E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0B9B651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8" w:type="dxa"/>
            <w:tcBorders>
              <w:top w:val="nil"/>
              <w:left w:val="nil"/>
              <w:bottom w:val="nil"/>
              <w:right w:val="nil"/>
            </w:tcBorders>
            <w:shd w:val="clear" w:color="auto" w:fill="auto"/>
            <w:vAlign w:val="center"/>
            <w:hideMark/>
          </w:tcPr>
          <w:p w14:paraId="63812F1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426" w:type="dxa"/>
            <w:tcBorders>
              <w:top w:val="nil"/>
              <w:left w:val="nil"/>
              <w:bottom w:val="nil"/>
              <w:right w:val="nil"/>
            </w:tcBorders>
            <w:shd w:val="clear" w:color="auto" w:fill="auto"/>
            <w:vAlign w:val="center"/>
            <w:hideMark/>
          </w:tcPr>
          <w:p w14:paraId="6DF793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DE6763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1D517B1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59EBDEC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4" w:type="dxa"/>
            <w:tcBorders>
              <w:top w:val="nil"/>
              <w:left w:val="nil"/>
              <w:bottom w:val="nil"/>
              <w:right w:val="nil"/>
            </w:tcBorders>
            <w:shd w:val="clear" w:color="auto" w:fill="auto"/>
            <w:vAlign w:val="center"/>
            <w:hideMark/>
          </w:tcPr>
          <w:p w14:paraId="48CF0FD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4A9FEC9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vAlign w:val="center"/>
            <w:hideMark/>
          </w:tcPr>
          <w:p w14:paraId="744376B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709" w:type="dxa"/>
            <w:tcBorders>
              <w:top w:val="nil"/>
              <w:left w:val="nil"/>
              <w:bottom w:val="nil"/>
              <w:right w:val="nil"/>
            </w:tcBorders>
            <w:shd w:val="clear" w:color="auto" w:fill="auto"/>
            <w:vAlign w:val="center"/>
            <w:hideMark/>
          </w:tcPr>
          <w:p w14:paraId="5B2EA7A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284" w:type="dxa"/>
            <w:tcBorders>
              <w:top w:val="nil"/>
              <w:left w:val="nil"/>
              <w:bottom w:val="nil"/>
              <w:right w:val="nil"/>
            </w:tcBorders>
            <w:shd w:val="clear" w:color="auto" w:fill="auto"/>
            <w:vAlign w:val="center"/>
            <w:hideMark/>
          </w:tcPr>
          <w:p w14:paraId="27E32CC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5138B59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vAlign w:val="center"/>
            <w:hideMark/>
          </w:tcPr>
          <w:p w14:paraId="079B34A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c>
          <w:tcPr>
            <w:tcW w:w="1063" w:type="dxa"/>
            <w:gridSpan w:val="2"/>
            <w:tcBorders>
              <w:top w:val="nil"/>
              <w:left w:val="nil"/>
              <w:bottom w:val="nil"/>
              <w:right w:val="nil"/>
            </w:tcBorders>
            <w:shd w:val="clear" w:color="auto" w:fill="auto"/>
            <w:vAlign w:val="center"/>
            <w:hideMark/>
          </w:tcPr>
          <w:p w14:paraId="683FB97E"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r w:rsidRPr="00E915AA">
              <w:rPr>
                <w:rFonts w:ascii="Times New Roman" w:eastAsia="Times New Roman" w:hAnsi="Times New Roman" w:cs="Times New Roman"/>
                <w:sz w:val="12"/>
                <w:szCs w:val="12"/>
                <w:lang w:val="en-GB" w:eastAsia="en-GB"/>
              </w:rPr>
              <w:t>Included</w:t>
            </w:r>
          </w:p>
        </w:tc>
      </w:tr>
      <w:tr w:rsidR="00F14709" w:rsidRPr="00E915AA" w14:paraId="44B89DC0" w14:textId="77777777" w:rsidTr="00110FF6">
        <w:trPr>
          <w:trHeight w:val="121"/>
        </w:trPr>
        <w:tc>
          <w:tcPr>
            <w:tcW w:w="1276" w:type="dxa"/>
            <w:tcBorders>
              <w:top w:val="nil"/>
              <w:left w:val="nil"/>
              <w:bottom w:val="nil"/>
              <w:right w:val="nil"/>
            </w:tcBorders>
            <w:shd w:val="clear" w:color="auto" w:fill="auto"/>
            <w:noWrap/>
            <w:vAlign w:val="center"/>
            <w:hideMark/>
          </w:tcPr>
          <w:p w14:paraId="1889030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36" w:type="dxa"/>
            <w:tcBorders>
              <w:top w:val="nil"/>
              <w:left w:val="nil"/>
              <w:bottom w:val="nil"/>
              <w:right w:val="nil"/>
            </w:tcBorders>
            <w:shd w:val="clear" w:color="auto" w:fill="auto"/>
            <w:noWrap/>
            <w:vAlign w:val="center"/>
            <w:hideMark/>
          </w:tcPr>
          <w:p w14:paraId="5B45947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175E1F5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0E4C1E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32EF22A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1B10CD1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E999BB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5F78E9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525882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1BE5F9F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60B36DD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E89CDA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7A2BBB5"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6907F24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70E5B03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36A5C01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FC7F0E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0470A123"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6FE2746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5D99B36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6C84FBB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3D327F65" w14:textId="77777777" w:rsidTr="00110FF6">
        <w:trPr>
          <w:trHeight w:val="300"/>
        </w:trPr>
        <w:tc>
          <w:tcPr>
            <w:tcW w:w="1276" w:type="dxa"/>
            <w:tcBorders>
              <w:top w:val="nil"/>
              <w:left w:val="nil"/>
              <w:bottom w:val="nil"/>
              <w:right w:val="nil"/>
            </w:tcBorders>
            <w:shd w:val="clear" w:color="auto" w:fill="auto"/>
            <w:noWrap/>
            <w:vAlign w:val="center"/>
            <w:hideMark/>
          </w:tcPr>
          <w:p w14:paraId="7988B0A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industry</w:t>
            </w:r>
          </w:p>
        </w:tc>
        <w:tc>
          <w:tcPr>
            <w:tcW w:w="236" w:type="dxa"/>
            <w:tcBorders>
              <w:top w:val="nil"/>
              <w:left w:val="nil"/>
              <w:bottom w:val="nil"/>
              <w:right w:val="nil"/>
            </w:tcBorders>
            <w:shd w:val="clear" w:color="auto" w:fill="auto"/>
            <w:noWrap/>
            <w:vAlign w:val="center"/>
            <w:hideMark/>
          </w:tcPr>
          <w:p w14:paraId="0BEEEC9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67F612C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63B143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0382629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noWrap/>
            <w:vAlign w:val="center"/>
            <w:hideMark/>
          </w:tcPr>
          <w:p w14:paraId="3C0DC71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779BEE6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341614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noWrap/>
            <w:vAlign w:val="center"/>
            <w:hideMark/>
          </w:tcPr>
          <w:p w14:paraId="4E15A60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426" w:type="dxa"/>
            <w:tcBorders>
              <w:top w:val="nil"/>
              <w:left w:val="nil"/>
              <w:bottom w:val="nil"/>
              <w:right w:val="nil"/>
            </w:tcBorders>
            <w:shd w:val="clear" w:color="auto" w:fill="auto"/>
            <w:noWrap/>
            <w:vAlign w:val="center"/>
            <w:hideMark/>
          </w:tcPr>
          <w:p w14:paraId="2F8EAB5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0F4FF1D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8FC7DC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5972CEA7"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246ECAD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496767D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F07EB5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0DDB431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2FA999D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187F370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636DE4C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1063" w:type="dxa"/>
            <w:gridSpan w:val="2"/>
            <w:tcBorders>
              <w:top w:val="nil"/>
              <w:left w:val="nil"/>
              <w:bottom w:val="nil"/>
              <w:right w:val="nil"/>
            </w:tcBorders>
            <w:shd w:val="clear" w:color="auto" w:fill="auto"/>
            <w:noWrap/>
            <w:vAlign w:val="center"/>
            <w:hideMark/>
          </w:tcPr>
          <w:p w14:paraId="09EF523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016C8C2D" w14:textId="77777777" w:rsidTr="00110FF6">
        <w:trPr>
          <w:trHeight w:val="269"/>
        </w:trPr>
        <w:tc>
          <w:tcPr>
            <w:tcW w:w="1276" w:type="dxa"/>
            <w:tcBorders>
              <w:top w:val="nil"/>
              <w:left w:val="nil"/>
              <w:bottom w:val="nil"/>
              <w:right w:val="nil"/>
            </w:tcBorders>
            <w:shd w:val="clear" w:color="auto" w:fill="auto"/>
            <w:noWrap/>
            <w:vAlign w:val="center"/>
            <w:hideMark/>
          </w:tcPr>
          <w:p w14:paraId="554E16F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FE year</w:t>
            </w:r>
          </w:p>
        </w:tc>
        <w:tc>
          <w:tcPr>
            <w:tcW w:w="236" w:type="dxa"/>
            <w:tcBorders>
              <w:top w:val="nil"/>
              <w:left w:val="nil"/>
              <w:bottom w:val="nil"/>
              <w:right w:val="nil"/>
            </w:tcBorders>
            <w:shd w:val="clear" w:color="auto" w:fill="auto"/>
            <w:noWrap/>
            <w:vAlign w:val="center"/>
            <w:hideMark/>
          </w:tcPr>
          <w:p w14:paraId="2FD4C4D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108F8F1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6E72622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352BDCA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3" w:type="dxa"/>
            <w:tcBorders>
              <w:top w:val="nil"/>
              <w:left w:val="nil"/>
              <w:bottom w:val="nil"/>
              <w:right w:val="nil"/>
            </w:tcBorders>
            <w:shd w:val="clear" w:color="auto" w:fill="auto"/>
            <w:noWrap/>
            <w:vAlign w:val="center"/>
            <w:hideMark/>
          </w:tcPr>
          <w:p w14:paraId="6EBD3AA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6C7FEAC9"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025F243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8" w:type="dxa"/>
            <w:tcBorders>
              <w:top w:val="nil"/>
              <w:left w:val="nil"/>
              <w:bottom w:val="nil"/>
              <w:right w:val="nil"/>
            </w:tcBorders>
            <w:shd w:val="clear" w:color="auto" w:fill="auto"/>
            <w:noWrap/>
            <w:vAlign w:val="center"/>
            <w:hideMark/>
          </w:tcPr>
          <w:p w14:paraId="16FD544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426" w:type="dxa"/>
            <w:tcBorders>
              <w:top w:val="nil"/>
              <w:left w:val="nil"/>
              <w:bottom w:val="nil"/>
              <w:right w:val="nil"/>
            </w:tcBorders>
            <w:shd w:val="clear" w:color="auto" w:fill="auto"/>
            <w:noWrap/>
            <w:vAlign w:val="center"/>
            <w:hideMark/>
          </w:tcPr>
          <w:p w14:paraId="0F97232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342B72B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1DCCC7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0E9DDAD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58E10E2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4CE8A07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3600AA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709" w:type="dxa"/>
            <w:tcBorders>
              <w:top w:val="nil"/>
              <w:left w:val="nil"/>
              <w:bottom w:val="nil"/>
              <w:right w:val="nil"/>
            </w:tcBorders>
            <w:shd w:val="clear" w:color="auto" w:fill="auto"/>
            <w:noWrap/>
            <w:vAlign w:val="center"/>
            <w:hideMark/>
          </w:tcPr>
          <w:p w14:paraId="6686AA2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284" w:type="dxa"/>
            <w:tcBorders>
              <w:top w:val="nil"/>
              <w:left w:val="nil"/>
              <w:bottom w:val="nil"/>
              <w:right w:val="nil"/>
            </w:tcBorders>
            <w:shd w:val="clear" w:color="auto" w:fill="auto"/>
            <w:noWrap/>
            <w:vAlign w:val="center"/>
            <w:hideMark/>
          </w:tcPr>
          <w:p w14:paraId="573B489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185C338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2430984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c>
          <w:tcPr>
            <w:tcW w:w="1063" w:type="dxa"/>
            <w:gridSpan w:val="2"/>
            <w:tcBorders>
              <w:top w:val="nil"/>
              <w:left w:val="nil"/>
              <w:bottom w:val="nil"/>
              <w:right w:val="nil"/>
            </w:tcBorders>
            <w:shd w:val="clear" w:color="auto" w:fill="auto"/>
            <w:noWrap/>
            <w:vAlign w:val="center"/>
            <w:hideMark/>
          </w:tcPr>
          <w:p w14:paraId="774DDEE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Included</w:t>
            </w:r>
          </w:p>
        </w:tc>
      </w:tr>
      <w:tr w:rsidR="00F14709" w:rsidRPr="00E915AA" w14:paraId="2ABFC735" w14:textId="77777777" w:rsidTr="00110FF6">
        <w:trPr>
          <w:trHeight w:val="146"/>
        </w:trPr>
        <w:tc>
          <w:tcPr>
            <w:tcW w:w="1276" w:type="dxa"/>
            <w:tcBorders>
              <w:top w:val="nil"/>
              <w:left w:val="nil"/>
              <w:bottom w:val="nil"/>
              <w:right w:val="nil"/>
            </w:tcBorders>
            <w:shd w:val="clear" w:color="auto" w:fill="auto"/>
            <w:noWrap/>
            <w:vAlign w:val="center"/>
            <w:hideMark/>
          </w:tcPr>
          <w:p w14:paraId="3C4A486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236" w:type="dxa"/>
            <w:tcBorders>
              <w:top w:val="nil"/>
              <w:left w:val="nil"/>
              <w:bottom w:val="nil"/>
              <w:right w:val="nil"/>
            </w:tcBorders>
            <w:shd w:val="clear" w:color="auto" w:fill="auto"/>
            <w:noWrap/>
            <w:vAlign w:val="center"/>
            <w:hideMark/>
          </w:tcPr>
          <w:p w14:paraId="08C972A4"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56" w:type="dxa"/>
            <w:tcBorders>
              <w:top w:val="nil"/>
              <w:left w:val="nil"/>
              <w:bottom w:val="nil"/>
              <w:right w:val="nil"/>
            </w:tcBorders>
            <w:shd w:val="clear" w:color="auto" w:fill="auto"/>
            <w:noWrap/>
            <w:vAlign w:val="center"/>
            <w:hideMark/>
          </w:tcPr>
          <w:p w14:paraId="333FB1E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D97D65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350673A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3" w:type="dxa"/>
            <w:tcBorders>
              <w:top w:val="nil"/>
              <w:left w:val="nil"/>
              <w:bottom w:val="nil"/>
              <w:right w:val="nil"/>
            </w:tcBorders>
            <w:shd w:val="clear" w:color="auto" w:fill="auto"/>
            <w:noWrap/>
            <w:vAlign w:val="center"/>
            <w:hideMark/>
          </w:tcPr>
          <w:p w14:paraId="5390131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5939BE2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74206F0"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5B10F44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426" w:type="dxa"/>
            <w:tcBorders>
              <w:top w:val="nil"/>
              <w:left w:val="nil"/>
              <w:bottom w:val="nil"/>
              <w:right w:val="nil"/>
            </w:tcBorders>
            <w:shd w:val="clear" w:color="auto" w:fill="auto"/>
            <w:noWrap/>
            <w:vAlign w:val="center"/>
            <w:hideMark/>
          </w:tcPr>
          <w:p w14:paraId="347973B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258CE02"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13E3E1BF"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285806A6"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5403D2D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8" w:type="dxa"/>
            <w:tcBorders>
              <w:top w:val="nil"/>
              <w:left w:val="nil"/>
              <w:bottom w:val="nil"/>
              <w:right w:val="nil"/>
            </w:tcBorders>
            <w:shd w:val="clear" w:color="auto" w:fill="auto"/>
            <w:noWrap/>
            <w:vAlign w:val="center"/>
            <w:hideMark/>
          </w:tcPr>
          <w:p w14:paraId="31BD49D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45C6A9F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173B2BC"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284" w:type="dxa"/>
            <w:tcBorders>
              <w:top w:val="nil"/>
              <w:left w:val="nil"/>
              <w:bottom w:val="nil"/>
              <w:right w:val="nil"/>
            </w:tcBorders>
            <w:shd w:val="clear" w:color="auto" w:fill="auto"/>
            <w:noWrap/>
            <w:vAlign w:val="center"/>
            <w:hideMark/>
          </w:tcPr>
          <w:p w14:paraId="7E9CCB1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0" w:type="dxa"/>
            <w:tcBorders>
              <w:top w:val="nil"/>
              <w:left w:val="nil"/>
              <w:bottom w:val="nil"/>
              <w:right w:val="nil"/>
            </w:tcBorders>
            <w:shd w:val="clear" w:color="auto" w:fill="auto"/>
            <w:noWrap/>
            <w:vAlign w:val="center"/>
            <w:hideMark/>
          </w:tcPr>
          <w:p w14:paraId="6028D1E7"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190977F1"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1063" w:type="dxa"/>
            <w:gridSpan w:val="2"/>
            <w:tcBorders>
              <w:top w:val="nil"/>
              <w:left w:val="nil"/>
              <w:bottom w:val="nil"/>
              <w:right w:val="nil"/>
            </w:tcBorders>
            <w:shd w:val="clear" w:color="auto" w:fill="auto"/>
            <w:noWrap/>
            <w:vAlign w:val="center"/>
            <w:hideMark/>
          </w:tcPr>
          <w:p w14:paraId="1B4B170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r>
      <w:tr w:rsidR="00F14709" w:rsidRPr="00E915AA" w14:paraId="7A92D5FE" w14:textId="77777777" w:rsidTr="00110FF6">
        <w:trPr>
          <w:trHeight w:val="300"/>
        </w:trPr>
        <w:tc>
          <w:tcPr>
            <w:tcW w:w="1276" w:type="dxa"/>
            <w:tcBorders>
              <w:top w:val="nil"/>
              <w:left w:val="nil"/>
              <w:bottom w:val="nil"/>
              <w:right w:val="nil"/>
            </w:tcBorders>
            <w:shd w:val="clear" w:color="auto" w:fill="auto"/>
            <w:noWrap/>
            <w:vAlign w:val="center"/>
            <w:hideMark/>
          </w:tcPr>
          <w:p w14:paraId="1A49F7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N</w:t>
            </w:r>
          </w:p>
        </w:tc>
        <w:tc>
          <w:tcPr>
            <w:tcW w:w="236" w:type="dxa"/>
            <w:tcBorders>
              <w:top w:val="nil"/>
              <w:left w:val="nil"/>
              <w:bottom w:val="nil"/>
              <w:right w:val="nil"/>
            </w:tcBorders>
            <w:shd w:val="clear" w:color="auto" w:fill="auto"/>
            <w:noWrap/>
            <w:vAlign w:val="center"/>
            <w:hideMark/>
          </w:tcPr>
          <w:p w14:paraId="22A0FD8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nil"/>
              <w:right w:val="nil"/>
            </w:tcBorders>
            <w:shd w:val="clear" w:color="auto" w:fill="auto"/>
            <w:noWrap/>
            <w:vAlign w:val="center"/>
            <w:hideMark/>
          </w:tcPr>
          <w:p w14:paraId="152B9CA8"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4525A6B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507A3BA2"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3" w:type="dxa"/>
            <w:tcBorders>
              <w:top w:val="nil"/>
              <w:left w:val="nil"/>
              <w:bottom w:val="nil"/>
              <w:right w:val="nil"/>
            </w:tcBorders>
            <w:shd w:val="clear" w:color="auto" w:fill="auto"/>
            <w:noWrap/>
            <w:vAlign w:val="center"/>
            <w:hideMark/>
          </w:tcPr>
          <w:p w14:paraId="7C4E9EA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nil"/>
              <w:right w:val="nil"/>
            </w:tcBorders>
            <w:shd w:val="clear" w:color="auto" w:fill="auto"/>
            <w:noWrap/>
            <w:vAlign w:val="center"/>
            <w:hideMark/>
          </w:tcPr>
          <w:p w14:paraId="6F2A311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40AAC62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8" w:type="dxa"/>
            <w:tcBorders>
              <w:top w:val="nil"/>
              <w:left w:val="nil"/>
              <w:bottom w:val="nil"/>
              <w:right w:val="nil"/>
            </w:tcBorders>
            <w:shd w:val="clear" w:color="auto" w:fill="auto"/>
            <w:noWrap/>
            <w:vAlign w:val="center"/>
            <w:hideMark/>
          </w:tcPr>
          <w:p w14:paraId="727FBA6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426" w:type="dxa"/>
            <w:tcBorders>
              <w:top w:val="nil"/>
              <w:left w:val="nil"/>
              <w:bottom w:val="nil"/>
              <w:right w:val="nil"/>
            </w:tcBorders>
            <w:shd w:val="clear" w:color="auto" w:fill="auto"/>
            <w:noWrap/>
            <w:vAlign w:val="center"/>
            <w:hideMark/>
          </w:tcPr>
          <w:p w14:paraId="291FCAA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43AE479A"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0FFDBE1C"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1472DF8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4" w:type="dxa"/>
            <w:tcBorders>
              <w:top w:val="nil"/>
              <w:left w:val="nil"/>
              <w:bottom w:val="nil"/>
              <w:right w:val="nil"/>
            </w:tcBorders>
            <w:shd w:val="clear" w:color="auto" w:fill="auto"/>
            <w:noWrap/>
            <w:vAlign w:val="center"/>
            <w:hideMark/>
          </w:tcPr>
          <w:p w14:paraId="15F565E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nil"/>
              <w:right w:val="nil"/>
            </w:tcBorders>
            <w:shd w:val="clear" w:color="auto" w:fill="auto"/>
            <w:noWrap/>
            <w:vAlign w:val="center"/>
            <w:hideMark/>
          </w:tcPr>
          <w:p w14:paraId="02541DED"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709" w:type="dxa"/>
            <w:tcBorders>
              <w:top w:val="nil"/>
              <w:left w:val="nil"/>
              <w:bottom w:val="nil"/>
              <w:right w:val="nil"/>
            </w:tcBorders>
            <w:shd w:val="clear" w:color="auto" w:fill="auto"/>
            <w:noWrap/>
            <w:vAlign w:val="center"/>
            <w:hideMark/>
          </w:tcPr>
          <w:p w14:paraId="700CC4F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709" w:type="dxa"/>
            <w:tcBorders>
              <w:top w:val="nil"/>
              <w:left w:val="nil"/>
              <w:bottom w:val="nil"/>
              <w:right w:val="nil"/>
            </w:tcBorders>
            <w:shd w:val="clear" w:color="auto" w:fill="auto"/>
            <w:noWrap/>
            <w:vAlign w:val="center"/>
            <w:hideMark/>
          </w:tcPr>
          <w:p w14:paraId="34EE317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c>
          <w:tcPr>
            <w:tcW w:w="284" w:type="dxa"/>
            <w:tcBorders>
              <w:top w:val="nil"/>
              <w:left w:val="nil"/>
              <w:bottom w:val="nil"/>
              <w:right w:val="nil"/>
            </w:tcBorders>
            <w:shd w:val="clear" w:color="auto" w:fill="auto"/>
            <w:noWrap/>
            <w:vAlign w:val="center"/>
            <w:hideMark/>
          </w:tcPr>
          <w:p w14:paraId="30EBC5D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nil"/>
              <w:right w:val="nil"/>
            </w:tcBorders>
            <w:shd w:val="clear" w:color="auto" w:fill="auto"/>
            <w:noWrap/>
            <w:vAlign w:val="center"/>
            <w:hideMark/>
          </w:tcPr>
          <w:p w14:paraId="6011CABB" w14:textId="77777777" w:rsidR="00F14709" w:rsidRPr="00E915AA" w:rsidRDefault="00F14709" w:rsidP="00110FF6">
            <w:pPr>
              <w:spacing w:after="0" w:line="240" w:lineRule="auto"/>
              <w:jc w:val="center"/>
              <w:rPr>
                <w:rFonts w:ascii="Times New Roman" w:eastAsia="Times New Roman" w:hAnsi="Times New Roman" w:cs="Times New Roman"/>
                <w:sz w:val="12"/>
                <w:szCs w:val="12"/>
                <w:lang w:val="en-GB" w:eastAsia="en-GB"/>
              </w:rPr>
            </w:pPr>
          </w:p>
        </w:tc>
        <w:tc>
          <w:tcPr>
            <w:tcW w:w="851" w:type="dxa"/>
            <w:tcBorders>
              <w:top w:val="nil"/>
              <w:left w:val="nil"/>
              <w:bottom w:val="nil"/>
              <w:right w:val="nil"/>
            </w:tcBorders>
            <w:shd w:val="clear" w:color="auto" w:fill="auto"/>
            <w:noWrap/>
            <w:vAlign w:val="center"/>
            <w:hideMark/>
          </w:tcPr>
          <w:p w14:paraId="259B4AE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567</w:t>
            </w:r>
          </w:p>
        </w:tc>
        <w:tc>
          <w:tcPr>
            <w:tcW w:w="1063" w:type="dxa"/>
            <w:gridSpan w:val="2"/>
            <w:tcBorders>
              <w:top w:val="nil"/>
              <w:left w:val="nil"/>
              <w:bottom w:val="nil"/>
              <w:right w:val="nil"/>
            </w:tcBorders>
            <w:shd w:val="clear" w:color="auto" w:fill="auto"/>
            <w:noWrap/>
            <w:vAlign w:val="center"/>
            <w:hideMark/>
          </w:tcPr>
          <w:p w14:paraId="5195CAD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479</w:t>
            </w:r>
          </w:p>
        </w:tc>
      </w:tr>
      <w:tr w:rsidR="00F14709" w:rsidRPr="00E915AA" w14:paraId="04AF32E3" w14:textId="77777777" w:rsidTr="00110FF6">
        <w:trPr>
          <w:trHeight w:val="300"/>
        </w:trPr>
        <w:tc>
          <w:tcPr>
            <w:tcW w:w="1276" w:type="dxa"/>
            <w:tcBorders>
              <w:top w:val="nil"/>
              <w:left w:val="nil"/>
              <w:bottom w:val="single" w:sz="4" w:space="0" w:color="auto"/>
              <w:right w:val="nil"/>
            </w:tcBorders>
            <w:shd w:val="clear" w:color="auto" w:fill="auto"/>
            <w:noWrap/>
            <w:vAlign w:val="center"/>
            <w:hideMark/>
          </w:tcPr>
          <w:p w14:paraId="6E286D3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Pseudo R2</w:t>
            </w:r>
          </w:p>
        </w:tc>
        <w:tc>
          <w:tcPr>
            <w:tcW w:w="236" w:type="dxa"/>
            <w:tcBorders>
              <w:top w:val="nil"/>
              <w:left w:val="nil"/>
              <w:bottom w:val="single" w:sz="4" w:space="0" w:color="auto"/>
              <w:right w:val="nil"/>
            </w:tcBorders>
            <w:shd w:val="clear" w:color="auto" w:fill="auto"/>
            <w:noWrap/>
            <w:vAlign w:val="center"/>
            <w:hideMark/>
          </w:tcPr>
          <w:p w14:paraId="1FF24E8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56" w:type="dxa"/>
            <w:tcBorders>
              <w:top w:val="nil"/>
              <w:left w:val="nil"/>
              <w:bottom w:val="single" w:sz="4" w:space="0" w:color="auto"/>
              <w:right w:val="nil"/>
            </w:tcBorders>
            <w:shd w:val="clear" w:color="auto" w:fill="auto"/>
            <w:noWrap/>
            <w:vAlign w:val="center"/>
            <w:hideMark/>
          </w:tcPr>
          <w:p w14:paraId="2DBAE3B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4" w:space="0" w:color="auto"/>
              <w:right w:val="nil"/>
            </w:tcBorders>
            <w:shd w:val="clear" w:color="auto" w:fill="auto"/>
            <w:noWrap/>
            <w:vAlign w:val="center"/>
            <w:hideMark/>
          </w:tcPr>
          <w:p w14:paraId="75BE9B1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0.0825</w:t>
            </w:r>
          </w:p>
        </w:tc>
        <w:tc>
          <w:tcPr>
            <w:tcW w:w="709" w:type="dxa"/>
            <w:tcBorders>
              <w:top w:val="nil"/>
              <w:left w:val="nil"/>
              <w:bottom w:val="single" w:sz="4" w:space="0" w:color="auto"/>
              <w:right w:val="nil"/>
            </w:tcBorders>
            <w:shd w:val="clear" w:color="auto" w:fill="auto"/>
            <w:noWrap/>
            <w:vAlign w:val="center"/>
            <w:hideMark/>
          </w:tcPr>
          <w:p w14:paraId="2C501F90"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0.0835</w:t>
            </w:r>
          </w:p>
        </w:tc>
        <w:tc>
          <w:tcPr>
            <w:tcW w:w="283" w:type="dxa"/>
            <w:tcBorders>
              <w:top w:val="nil"/>
              <w:left w:val="nil"/>
              <w:bottom w:val="single" w:sz="4" w:space="0" w:color="auto"/>
              <w:right w:val="nil"/>
            </w:tcBorders>
            <w:shd w:val="clear" w:color="auto" w:fill="auto"/>
            <w:noWrap/>
            <w:vAlign w:val="center"/>
            <w:hideMark/>
          </w:tcPr>
          <w:p w14:paraId="18D7B44D"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4" w:space="0" w:color="auto"/>
              <w:right w:val="nil"/>
            </w:tcBorders>
            <w:shd w:val="clear" w:color="auto" w:fill="auto"/>
            <w:noWrap/>
            <w:vAlign w:val="center"/>
            <w:hideMark/>
          </w:tcPr>
          <w:p w14:paraId="262CB169"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1" w:type="dxa"/>
            <w:tcBorders>
              <w:top w:val="nil"/>
              <w:left w:val="nil"/>
              <w:bottom w:val="single" w:sz="4" w:space="0" w:color="auto"/>
              <w:right w:val="nil"/>
            </w:tcBorders>
            <w:shd w:val="clear" w:color="auto" w:fill="auto"/>
            <w:vAlign w:val="center"/>
            <w:hideMark/>
          </w:tcPr>
          <w:p w14:paraId="1B9ECEE8"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0.1365</w:t>
            </w:r>
          </w:p>
        </w:tc>
        <w:tc>
          <w:tcPr>
            <w:tcW w:w="708" w:type="dxa"/>
            <w:tcBorders>
              <w:top w:val="nil"/>
              <w:left w:val="nil"/>
              <w:bottom w:val="single" w:sz="4" w:space="0" w:color="auto"/>
              <w:right w:val="nil"/>
            </w:tcBorders>
            <w:shd w:val="clear" w:color="auto" w:fill="auto"/>
            <w:noWrap/>
            <w:vAlign w:val="center"/>
            <w:hideMark/>
          </w:tcPr>
          <w:p w14:paraId="367451E1"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0.1355</w:t>
            </w:r>
          </w:p>
        </w:tc>
        <w:tc>
          <w:tcPr>
            <w:tcW w:w="426" w:type="dxa"/>
            <w:tcBorders>
              <w:top w:val="nil"/>
              <w:left w:val="nil"/>
              <w:bottom w:val="single" w:sz="4" w:space="0" w:color="auto"/>
              <w:right w:val="nil"/>
            </w:tcBorders>
            <w:shd w:val="clear" w:color="auto" w:fill="auto"/>
            <w:noWrap/>
            <w:vAlign w:val="center"/>
            <w:hideMark/>
          </w:tcPr>
          <w:p w14:paraId="2775F60A"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single" w:sz="4" w:space="0" w:color="auto"/>
              <w:right w:val="nil"/>
            </w:tcBorders>
            <w:shd w:val="clear" w:color="auto" w:fill="auto"/>
            <w:noWrap/>
            <w:vAlign w:val="center"/>
            <w:hideMark/>
          </w:tcPr>
          <w:p w14:paraId="736C942E"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4" w:space="0" w:color="auto"/>
              <w:right w:val="nil"/>
            </w:tcBorders>
            <w:shd w:val="clear" w:color="auto" w:fill="auto"/>
            <w:noWrap/>
            <w:vAlign w:val="center"/>
            <w:hideMark/>
          </w:tcPr>
          <w:p w14:paraId="277D8B8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0.1165</w:t>
            </w:r>
          </w:p>
        </w:tc>
        <w:tc>
          <w:tcPr>
            <w:tcW w:w="709" w:type="dxa"/>
            <w:tcBorders>
              <w:top w:val="nil"/>
              <w:left w:val="nil"/>
              <w:bottom w:val="single" w:sz="4" w:space="0" w:color="auto"/>
              <w:right w:val="nil"/>
            </w:tcBorders>
            <w:shd w:val="clear" w:color="auto" w:fill="auto"/>
            <w:noWrap/>
            <w:vAlign w:val="center"/>
            <w:hideMark/>
          </w:tcPr>
          <w:p w14:paraId="165F1D7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0.1152</w:t>
            </w:r>
          </w:p>
        </w:tc>
        <w:tc>
          <w:tcPr>
            <w:tcW w:w="284" w:type="dxa"/>
            <w:tcBorders>
              <w:top w:val="nil"/>
              <w:left w:val="nil"/>
              <w:bottom w:val="single" w:sz="4" w:space="0" w:color="auto"/>
              <w:right w:val="nil"/>
            </w:tcBorders>
            <w:shd w:val="clear" w:color="auto" w:fill="auto"/>
            <w:noWrap/>
            <w:vAlign w:val="center"/>
            <w:hideMark/>
          </w:tcPr>
          <w:p w14:paraId="59F9A954"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8" w:type="dxa"/>
            <w:tcBorders>
              <w:top w:val="nil"/>
              <w:left w:val="nil"/>
              <w:bottom w:val="single" w:sz="4" w:space="0" w:color="auto"/>
              <w:right w:val="nil"/>
            </w:tcBorders>
            <w:shd w:val="clear" w:color="auto" w:fill="auto"/>
            <w:noWrap/>
            <w:vAlign w:val="center"/>
            <w:hideMark/>
          </w:tcPr>
          <w:p w14:paraId="59E1F29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709" w:type="dxa"/>
            <w:tcBorders>
              <w:top w:val="nil"/>
              <w:left w:val="nil"/>
              <w:bottom w:val="single" w:sz="4" w:space="0" w:color="auto"/>
              <w:right w:val="nil"/>
            </w:tcBorders>
            <w:shd w:val="clear" w:color="auto" w:fill="auto"/>
            <w:noWrap/>
            <w:vAlign w:val="center"/>
            <w:hideMark/>
          </w:tcPr>
          <w:p w14:paraId="4C23E34B"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0.1040</w:t>
            </w:r>
          </w:p>
        </w:tc>
        <w:tc>
          <w:tcPr>
            <w:tcW w:w="709" w:type="dxa"/>
            <w:tcBorders>
              <w:top w:val="nil"/>
              <w:left w:val="nil"/>
              <w:bottom w:val="single" w:sz="4" w:space="0" w:color="auto"/>
              <w:right w:val="nil"/>
            </w:tcBorders>
            <w:shd w:val="clear" w:color="auto" w:fill="auto"/>
            <w:noWrap/>
            <w:vAlign w:val="center"/>
            <w:hideMark/>
          </w:tcPr>
          <w:p w14:paraId="17D391A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0.0944</w:t>
            </w:r>
          </w:p>
        </w:tc>
        <w:tc>
          <w:tcPr>
            <w:tcW w:w="284" w:type="dxa"/>
            <w:tcBorders>
              <w:top w:val="nil"/>
              <w:left w:val="nil"/>
              <w:bottom w:val="single" w:sz="4" w:space="0" w:color="auto"/>
              <w:right w:val="nil"/>
            </w:tcBorders>
            <w:shd w:val="clear" w:color="auto" w:fill="auto"/>
            <w:noWrap/>
            <w:vAlign w:val="center"/>
            <w:hideMark/>
          </w:tcPr>
          <w:p w14:paraId="2A88AD75"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0" w:type="dxa"/>
            <w:tcBorders>
              <w:top w:val="nil"/>
              <w:left w:val="nil"/>
              <w:bottom w:val="single" w:sz="4" w:space="0" w:color="auto"/>
              <w:right w:val="nil"/>
            </w:tcBorders>
            <w:shd w:val="clear" w:color="auto" w:fill="auto"/>
            <w:noWrap/>
            <w:vAlign w:val="center"/>
            <w:hideMark/>
          </w:tcPr>
          <w:p w14:paraId="587334E6"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p>
        </w:tc>
        <w:tc>
          <w:tcPr>
            <w:tcW w:w="851" w:type="dxa"/>
            <w:tcBorders>
              <w:top w:val="nil"/>
              <w:left w:val="nil"/>
              <w:bottom w:val="single" w:sz="4" w:space="0" w:color="auto"/>
              <w:right w:val="nil"/>
            </w:tcBorders>
            <w:shd w:val="clear" w:color="auto" w:fill="auto"/>
            <w:noWrap/>
            <w:vAlign w:val="center"/>
            <w:hideMark/>
          </w:tcPr>
          <w:p w14:paraId="56C13BC3"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0.0818</w:t>
            </w:r>
          </w:p>
        </w:tc>
        <w:tc>
          <w:tcPr>
            <w:tcW w:w="1063" w:type="dxa"/>
            <w:gridSpan w:val="2"/>
            <w:tcBorders>
              <w:top w:val="nil"/>
              <w:left w:val="nil"/>
              <w:bottom w:val="single" w:sz="4" w:space="0" w:color="auto"/>
              <w:right w:val="nil"/>
            </w:tcBorders>
            <w:shd w:val="clear" w:color="auto" w:fill="auto"/>
            <w:noWrap/>
            <w:vAlign w:val="center"/>
            <w:hideMark/>
          </w:tcPr>
          <w:p w14:paraId="4E1E8A5F" w14:textId="77777777" w:rsidR="00F14709" w:rsidRPr="00E915AA" w:rsidRDefault="00F14709" w:rsidP="00110FF6">
            <w:pPr>
              <w:spacing w:after="0" w:line="240" w:lineRule="auto"/>
              <w:jc w:val="center"/>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0.0776</w:t>
            </w:r>
          </w:p>
        </w:tc>
      </w:tr>
      <w:tr w:rsidR="00F14709" w:rsidRPr="00EC3B0B" w14:paraId="3B140B85" w14:textId="77777777" w:rsidTr="00110FF6">
        <w:trPr>
          <w:gridAfter w:val="1"/>
          <w:wAfter w:w="26" w:type="dxa"/>
          <w:trHeight w:val="1020"/>
        </w:trPr>
        <w:tc>
          <w:tcPr>
            <w:tcW w:w="14221" w:type="dxa"/>
            <w:gridSpan w:val="21"/>
            <w:tcBorders>
              <w:top w:val="single" w:sz="4" w:space="0" w:color="auto"/>
              <w:left w:val="nil"/>
              <w:bottom w:val="nil"/>
              <w:right w:val="nil"/>
            </w:tcBorders>
            <w:shd w:val="clear" w:color="auto" w:fill="auto"/>
            <w:vAlign w:val="center"/>
            <w:hideMark/>
          </w:tcPr>
          <w:p w14:paraId="503FCFCF" w14:textId="19A609DE" w:rsidR="00F14709" w:rsidRPr="0085611E" w:rsidRDefault="00F14709" w:rsidP="00110FF6">
            <w:pPr>
              <w:spacing w:after="0" w:line="240" w:lineRule="auto"/>
              <w:jc w:val="both"/>
              <w:rPr>
                <w:rFonts w:ascii="Times New Roman" w:eastAsia="Times New Roman" w:hAnsi="Times New Roman" w:cs="Times New Roman"/>
                <w:color w:val="000000"/>
                <w:sz w:val="12"/>
                <w:szCs w:val="12"/>
                <w:lang w:val="en-GB" w:eastAsia="en-GB"/>
              </w:rPr>
            </w:pPr>
            <w:r w:rsidRPr="00E915AA">
              <w:rPr>
                <w:rFonts w:ascii="Times New Roman" w:eastAsia="Times New Roman" w:hAnsi="Times New Roman" w:cs="Times New Roman"/>
                <w:color w:val="000000"/>
                <w:sz w:val="12"/>
                <w:szCs w:val="12"/>
                <w:lang w:val="en-GB" w:eastAsia="en-GB"/>
              </w:rPr>
              <w:t xml:space="preserve">This table presents the robustness tests to validate the sensitivity of the SEC review on S-1 filings to earnings management engaged by IPO firms when preparing the S-1 filings in the period from 12th May 2005 to 31st December 2017. Negative binomial regressions are employed in this analysis. The dependent variables are the extent of the SEC review including; </w:t>
            </w:r>
            <w:r w:rsidRPr="00E915AA">
              <w:rPr>
                <w:rFonts w:ascii="Times New Roman" w:eastAsia="Times New Roman" w:hAnsi="Times New Roman" w:cs="Times New Roman"/>
                <w:i/>
                <w:iCs/>
                <w:color w:val="000000"/>
                <w:sz w:val="12"/>
                <w:szCs w:val="12"/>
                <w:lang w:val="en-GB" w:eastAsia="en-GB"/>
              </w:rPr>
              <w:t>Duration, #Letters, #</w:t>
            </w:r>
            <w:proofErr w:type="gramStart"/>
            <w:r w:rsidRPr="00E915AA">
              <w:rPr>
                <w:rFonts w:ascii="Times New Roman" w:eastAsia="Times New Roman" w:hAnsi="Times New Roman" w:cs="Times New Roman"/>
                <w:i/>
                <w:iCs/>
                <w:color w:val="000000"/>
                <w:sz w:val="12"/>
                <w:szCs w:val="12"/>
                <w:lang w:val="en-GB" w:eastAsia="en-GB"/>
              </w:rPr>
              <w:t>Themes ,</w:t>
            </w:r>
            <w:proofErr w:type="gramEnd"/>
            <w:r w:rsidRPr="00E915AA">
              <w:rPr>
                <w:rFonts w:ascii="Times New Roman" w:eastAsia="Times New Roman" w:hAnsi="Times New Roman" w:cs="Times New Roman"/>
                <w:i/>
                <w:iCs/>
                <w:color w:val="000000"/>
                <w:sz w:val="12"/>
                <w:szCs w:val="12"/>
                <w:lang w:val="en-GB" w:eastAsia="en-GB"/>
              </w:rPr>
              <w:t xml:space="preserve">  #</w:t>
            </w:r>
            <w:r w:rsidR="009C015E" w:rsidRPr="00E915AA">
              <w:rPr>
                <w:rFonts w:ascii="Times New Roman" w:eastAsia="Times New Roman" w:hAnsi="Times New Roman" w:cs="Times New Roman"/>
                <w:i/>
                <w:iCs/>
                <w:color w:val="000000"/>
                <w:sz w:val="12"/>
                <w:szCs w:val="12"/>
                <w:lang w:val="en-GB" w:eastAsia="en-GB"/>
              </w:rPr>
              <w:t xml:space="preserve"> Core-accounting issues</w:t>
            </w:r>
            <w:r w:rsidR="009C015E" w:rsidRPr="00E915AA" w:rsidDel="009C015E">
              <w:rPr>
                <w:rFonts w:ascii="Times New Roman" w:eastAsia="Times New Roman" w:hAnsi="Times New Roman" w:cs="Times New Roman"/>
                <w:i/>
                <w:iCs/>
                <w:color w:val="000000"/>
                <w:sz w:val="12"/>
                <w:szCs w:val="12"/>
                <w:lang w:val="en-GB" w:eastAsia="en-GB"/>
              </w:rPr>
              <w:t xml:space="preserve"> </w:t>
            </w:r>
            <w:r w:rsidRPr="00E915AA">
              <w:rPr>
                <w:rFonts w:ascii="Times New Roman" w:eastAsia="Times New Roman" w:hAnsi="Times New Roman" w:cs="Times New Roman"/>
                <w:i/>
                <w:iCs/>
                <w:color w:val="000000"/>
                <w:sz w:val="12"/>
                <w:szCs w:val="12"/>
                <w:lang w:val="en-GB" w:eastAsia="en-GB"/>
              </w:rPr>
              <w:t>and #Non-</w:t>
            </w:r>
            <w:r w:rsidR="009C015E" w:rsidRPr="00E915AA">
              <w:rPr>
                <w:rFonts w:ascii="Times New Roman" w:eastAsia="Times New Roman" w:hAnsi="Times New Roman" w:cs="Times New Roman"/>
                <w:i/>
                <w:iCs/>
                <w:color w:val="000000"/>
                <w:sz w:val="12"/>
                <w:szCs w:val="12"/>
                <w:lang w:val="en-GB" w:eastAsia="en-GB"/>
              </w:rPr>
              <w:t>core-accounting issues</w:t>
            </w:r>
            <w:r w:rsidRPr="00E915AA">
              <w:rPr>
                <w:rFonts w:ascii="Times New Roman" w:eastAsia="Times New Roman" w:hAnsi="Times New Roman" w:cs="Times New Roman"/>
                <w:i/>
                <w:iCs/>
                <w:color w:val="000000"/>
                <w:sz w:val="12"/>
                <w:szCs w:val="12"/>
                <w:lang w:val="en-GB" w:eastAsia="en-GB"/>
              </w:rPr>
              <w:t>.</w:t>
            </w:r>
            <w:r w:rsidRPr="00E915AA">
              <w:rPr>
                <w:rFonts w:ascii="Times New Roman" w:eastAsia="Times New Roman" w:hAnsi="Times New Roman" w:cs="Times New Roman"/>
                <w:color w:val="000000"/>
                <w:sz w:val="12"/>
                <w:szCs w:val="12"/>
                <w:lang w:val="en-GB" w:eastAsia="en-GB"/>
              </w:rPr>
              <w:t xml:space="preserve"> Panel A examines the impact of the draft registration statement on the sensitivity of the SEC review to earnings management within the S-1 filing. </w:t>
            </w:r>
            <w:r w:rsidRPr="00E915AA">
              <w:rPr>
                <w:rFonts w:ascii="Times New Roman" w:eastAsia="Times New Roman" w:hAnsi="Times New Roman" w:cs="Times New Roman"/>
                <w:i/>
                <w:iCs/>
                <w:color w:val="000000"/>
                <w:sz w:val="12"/>
                <w:szCs w:val="12"/>
                <w:lang w:val="en-GB" w:eastAsia="en-GB"/>
              </w:rPr>
              <w:t xml:space="preserve"> </w:t>
            </w:r>
            <w:proofErr w:type="spellStart"/>
            <w:r w:rsidRPr="00E915AA">
              <w:rPr>
                <w:rFonts w:ascii="Times New Roman" w:eastAsia="Times New Roman" w:hAnsi="Times New Roman" w:cs="Times New Roman"/>
                <w:i/>
                <w:iCs/>
                <w:color w:val="000000"/>
                <w:sz w:val="12"/>
                <w:szCs w:val="12"/>
                <w:lang w:val="en-GB" w:eastAsia="en-GB"/>
              </w:rPr>
              <w:t>Draftfiling</w:t>
            </w:r>
            <w:proofErr w:type="spellEnd"/>
            <w:r w:rsidRPr="00E915AA">
              <w:rPr>
                <w:rFonts w:ascii="Times New Roman" w:eastAsia="Times New Roman" w:hAnsi="Times New Roman" w:cs="Times New Roman"/>
                <w:color w:val="000000"/>
                <w:sz w:val="12"/>
                <w:szCs w:val="12"/>
                <w:lang w:val="en-GB" w:eastAsia="en-GB"/>
              </w:rPr>
              <w:t xml:space="preserve"> equals to 1 if the issuing firm has filed a draft registration statement under the “de-risking” provision of the JOBS Act, and 0 otherwise. Panel B examines the simultaneous effect of abnormal cash flow from operations and other earnings management proxies on the SEC review attributes. </w:t>
            </w:r>
            <w:r w:rsidRPr="00E915AA">
              <w:rPr>
                <w:rFonts w:ascii="Times New Roman" w:eastAsia="Times New Roman" w:hAnsi="Times New Roman" w:cs="Times New Roman"/>
                <w:i/>
                <w:iCs/>
                <w:color w:val="000000"/>
                <w:sz w:val="12"/>
                <w:szCs w:val="12"/>
                <w:lang w:val="en-GB" w:eastAsia="en-GB"/>
              </w:rPr>
              <w:t>DACC_ACFO</w:t>
            </w:r>
            <w:r w:rsidRPr="00E915AA">
              <w:rPr>
                <w:rFonts w:ascii="Times New Roman" w:eastAsia="Times New Roman" w:hAnsi="Times New Roman" w:cs="Times New Roman"/>
                <w:color w:val="000000"/>
                <w:sz w:val="12"/>
                <w:szCs w:val="12"/>
                <w:lang w:val="en-GB" w:eastAsia="en-GB"/>
              </w:rPr>
              <w:t xml:space="preserve"> equals the sum of abnormal accruals and abnormal cash flows from operations. ADISEXP_ACFO equals the sum of abnormal discretionary expense and abnormal cash flows from operations. All other variables are defined in Appendix 1. The regressions include S-1 filings year fixed effects and industry fixed effects using 12 </w:t>
            </w:r>
            <w:proofErr w:type="spellStart"/>
            <w:r w:rsidRPr="00E915AA">
              <w:rPr>
                <w:rFonts w:ascii="Times New Roman" w:eastAsia="Times New Roman" w:hAnsi="Times New Roman" w:cs="Times New Roman"/>
                <w:color w:val="000000"/>
                <w:sz w:val="12"/>
                <w:szCs w:val="12"/>
                <w:lang w:val="en-GB" w:eastAsia="en-GB"/>
              </w:rPr>
              <w:t>Fama</w:t>
            </w:r>
            <w:proofErr w:type="spellEnd"/>
            <w:r w:rsidRPr="00E915AA">
              <w:rPr>
                <w:rFonts w:ascii="Times New Roman" w:eastAsia="Times New Roman" w:hAnsi="Times New Roman" w:cs="Times New Roman"/>
                <w:color w:val="000000"/>
                <w:sz w:val="12"/>
                <w:szCs w:val="12"/>
                <w:lang w:val="en-GB" w:eastAsia="en-GB"/>
              </w:rPr>
              <w:t xml:space="preserve">-French industry. Results from Z-statistics are presented in parentheses below coefficient </w:t>
            </w:r>
            <w:proofErr w:type="gramStart"/>
            <w:r w:rsidRPr="00E915AA">
              <w:rPr>
                <w:rFonts w:ascii="Times New Roman" w:eastAsia="Times New Roman" w:hAnsi="Times New Roman" w:cs="Times New Roman"/>
                <w:color w:val="000000"/>
                <w:sz w:val="12"/>
                <w:szCs w:val="12"/>
                <w:lang w:val="en-GB" w:eastAsia="en-GB"/>
              </w:rPr>
              <w:t>estimates, and</w:t>
            </w:r>
            <w:proofErr w:type="gramEnd"/>
            <w:r w:rsidRPr="00E915AA">
              <w:rPr>
                <w:rFonts w:ascii="Times New Roman" w:eastAsia="Times New Roman" w:hAnsi="Times New Roman" w:cs="Times New Roman"/>
                <w:color w:val="000000"/>
                <w:sz w:val="12"/>
                <w:szCs w:val="12"/>
                <w:lang w:val="en-GB" w:eastAsia="en-GB"/>
              </w:rPr>
              <w:t xml:space="preserve"> are based on standard errors which are robust and clustered at the industry level. *, **, and *** denote significance at the 10%, 5%, and 1% levels, respectively, based on a two-tailed test.</w:t>
            </w:r>
          </w:p>
        </w:tc>
      </w:tr>
    </w:tbl>
    <w:p w14:paraId="4063A3DA" w14:textId="77777777" w:rsidR="0085611E" w:rsidRPr="0085611E" w:rsidRDefault="0085611E" w:rsidP="00E13BBB">
      <w:pPr>
        <w:rPr>
          <w:rFonts w:ascii="Times New Roman" w:hAnsi="Times New Roman" w:cs="Times New Roman"/>
          <w:b/>
          <w:bCs/>
        </w:rPr>
      </w:pPr>
    </w:p>
    <w:sectPr w:rsidR="0085611E" w:rsidRPr="0085611E" w:rsidSect="007317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A1E9" w14:textId="77777777" w:rsidR="00CF6F3C" w:rsidRDefault="00CF6F3C" w:rsidP="002C6719">
      <w:pPr>
        <w:spacing w:after="0" w:line="240" w:lineRule="auto"/>
      </w:pPr>
      <w:r>
        <w:separator/>
      </w:r>
    </w:p>
  </w:endnote>
  <w:endnote w:type="continuationSeparator" w:id="0">
    <w:p w14:paraId="283BDA1C" w14:textId="77777777" w:rsidR="00CF6F3C" w:rsidRDefault="00CF6F3C" w:rsidP="002C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79699"/>
      <w:docPartObj>
        <w:docPartGallery w:val="Page Numbers (Bottom of Page)"/>
        <w:docPartUnique/>
      </w:docPartObj>
    </w:sdtPr>
    <w:sdtEndPr>
      <w:rPr>
        <w:noProof/>
      </w:rPr>
    </w:sdtEndPr>
    <w:sdtContent>
      <w:p w14:paraId="702A7CBF" w14:textId="6E28BB64" w:rsidR="00670BAD" w:rsidRDefault="00670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D7B0" w14:textId="77777777" w:rsidR="00670BAD" w:rsidRDefault="0067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623F" w14:textId="77777777" w:rsidR="00CF6F3C" w:rsidRDefault="00CF6F3C" w:rsidP="002C6719">
      <w:pPr>
        <w:spacing w:after="0" w:line="240" w:lineRule="auto"/>
      </w:pPr>
      <w:r>
        <w:separator/>
      </w:r>
    </w:p>
  </w:footnote>
  <w:footnote w:type="continuationSeparator" w:id="0">
    <w:p w14:paraId="2144C352" w14:textId="77777777" w:rsidR="00CF6F3C" w:rsidRDefault="00CF6F3C" w:rsidP="002C6719">
      <w:pPr>
        <w:spacing w:after="0" w:line="240" w:lineRule="auto"/>
      </w:pPr>
      <w:r>
        <w:continuationSeparator/>
      </w:r>
    </w:p>
  </w:footnote>
  <w:footnote w:id="1">
    <w:p w14:paraId="02CB0C08" w14:textId="77777777" w:rsidR="002C6719" w:rsidRDefault="002C6719" w:rsidP="002C6719">
      <w:pPr>
        <w:pStyle w:val="FootnoteText"/>
      </w:pPr>
      <w:r>
        <w:rPr>
          <w:rStyle w:val="FootnoteReference"/>
        </w:rPr>
        <w:footnoteRef/>
      </w:r>
      <w:r>
        <w:t xml:space="preserve"> T</w:t>
      </w:r>
      <w:r w:rsidRPr="00EA2BAC">
        <w:t xml:space="preserve">he Better Regulation Task Force, </w:t>
      </w:r>
      <w:r>
        <w:t xml:space="preserve">set up </w:t>
      </w:r>
      <w:r w:rsidRPr="00EA2BAC">
        <w:t xml:space="preserve">by the British government in 1997, </w:t>
      </w:r>
      <w:r>
        <w:t>emphasised</w:t>
      </w:r>
      <w:r w:rsidRPr="00EA2BAC">
        <w:t xml:space="preserve"> five principles of </w:t>
      </w:r>
      <w:r>
        <w:t>effective regulatory settings</w:t>
      </w:r>
      <w:r w:rsidRPr="00EA2BAC">
        <w:t xml:space="preserve"> </w:t>
      </w:r>
      <w:r>
        <w:t>including</w:t>
      </w:r>
      <w:r w:rsidRPr="00EA2BAC">
        <w:t xml:space="preserve"> proportionality, accountability, consistency, transparency and targeting. (</w:t>
      </w:r>
      <w:hyperlink r:id="rId1" w:history="1">
        <w:r w:rsidRPr="00AA1C4E">
          <w:rPr>
            <w:rStyle w:val="Hyperlink"/>
          </w:rPr>
          <w:t>https://publications.parliament.uk/pa/ld200304/ldselect/ldconst/68/6810.htm</w:t>
        </w:r>
      </w:hyperlink>
      <w:r>
        <w:t xml:space="preserve">) </w:t>
      </w:r>
    </w:p>
  </w:footnote>
  <w:footnote w:id="2">
    <w:p w14:paraId="42993DBD" w14:textId="3FEB90E0" w:rsidR="002C6719" w:rsidRPr="007C5410" w:rsidRDefault="002C6719" w:rsidP="006D1F29">
      <w:pPr>
        <w:pStyle w:val="FootnoteText"/>
        <w:rPr>
          <w:lang w:val="en-US"/>
        </w:rPr>
      </w:pPr>
      <w:r>
        <w:rPr>
          <w:rStyle w:val="FootnoteReference"/>
        </w:rPr>
        <w:footnoteRef/>
      </w:r>
      <w:hyperlink r:id="rId2" w:history="1">
        <w:r w:rsidR="0086157E" w:rsidRPr="0086157E">
          <w:rPr>
            <w:rStyle w:val="Hyperlink"/>
          </w:rPr>
          <w:t>h</w:t>
        </w:r>
        <w:r w:rsidR="0086157E" w:rsidRPr="00082F6F">
          <w:rPr>
            <w:rStyle w:val="Hyperlink"/>
          </w:rPr>
          <w:t>ttps://www.casey.senate.gov/newsroom/releases/casey-to-sec-protect-us-investors-in-chinese-ipos-transactions-could-leave-us-investors-with-few-safeguards-if-they-invest-in-shell-corporations</w:t>
        </w:r>
      </w:hyperlink>
    </w:p>
  </w:footnote>
  <w:footnote w:id="3">
    <w:p w14:paraId="41345F72" w14:textId="77777777" w:rsidR="00E6589B" w:rsidRPr="00B84857" w:rsidRDefault="00E6589B" w:rsidP="00E6589B">
      <w:pPr>
        <w:pStyle w:val="FootnoteText"/>
        <w:jc w:val="both"/>
      </w:pPr>
      <w:r>
        <w:rPr>
          <w:rStyle w:val="FootnoteReference"/>
        </w:rPr>
        <w:footnoteRef/>
      </w:r>
      <w:r>
        <w:t xml:space="preserve"> </w:t>
      </w:r>
      <w:r w:rsidRPr="00B84857">
        <w:t xml:space="preserve">EGC status is </w:t>
      </w:r>
      <w:r>
        <w:t>given</w:t>
      </w:r>
      <w:r w:rsidRPr="00B84857">
        <w:t xml:space="preserve"> to companies having total annual gross revenues less than $1 billion.</w:t>
      </w:r>
    </w:p>
    <w:p w14:paraId="113E7ED8" w14:textId="77777777" w:rsidR="00E6589B" w:rsidRDefault="00E6589B" w:rsidP="00E6589B">
      <w:pPr>
        <w:pStyle w:val="FootnoteText"/>
      </w:pPr>
    </w:p>
  </w:footnote>
  <w:footnote w:id="4">
    <w:p w14:paraId="744DD6D5" w14:textId="447DE2EE" w:rsidR="00015A74" w:rsidRDefault="00015A74" w:rsidP="00015A74">
      <w:pPr>
        <w:pStyle w:val="FootnoteText"/>
        <w:jc w:val="both"/>
      </w:pPr>
      <w:r>
        <w:rPr>
          <w:rStyle w:val="FootnoteReference"/>
        </w:rPr>
        <w:footnoteRef/>
      </w:r>
      <w:r>
        <w:t xml:space="preserve"> </w:t>
      </w:r>
      <w:r w:rsidRPr="00015A74">
        <w:t xml:space="preserve">These findings are in a similar vein to those suggest that auditors, </w:t>
      </w:r>
      <w:proofErr w:type="gramStart"/>
      <w:r w:rsidRPr="00015A74">
        <w:t>investors</w:t>
      </w:r>
      <w:proofErr w:type="gramEnd"/>
      <w:r w:rsidRPr="00015A74">
        <w:t xml:space="preserve"> and regulators are less likely to uncover sales-based earnings management. </w:t>
      </w:r>
      <w:proofErr w:type="spellStart"/>
      <w:r w:rsidRPr="00015A74">
        <w:t>Gounopoulos</w:t>
      </w:r>
      <w:proofErr w:type="spellEnd"/>
      <w:r w:rsidRPr="00015A74">
        <w:t xml:space="preserve"> &amp; Pham (2017) and </w:t>
      </w:r>
      <w:proofErr w:type="spellStart"/>
      <w:r w:rsidRPr="00015A74">
        <w:t>Alhadab</w:t>
      </w:r>
      <w:proofErr w:type="spellEnd"/>
      <w:r w:rsidRPr="00015A74">
        <w:t xml:space="preserve"> &amp; </w:t>
      </w:r>
      <w:proofErr w:type="spellStart"/>
      <w:r w:rsidRPr="00015A74">
        <w:t>Clacher</w:t>
      </w:r>
      <w:proofErr w:type="spellEnd"/>
      <w:r w:rsidRPr="00015A74">
        <w:t xml:space="preserve"> (2018) explain that high sales growth may </w:t>
      </w:r>
      <w:r w:rsidR="00AC4296">
        <w:t>constrain the</w:t>
      </w:r>
      <w:r w:rsidRPr="00015A74">
        <w:t xml:space="preserve"> detection of sales-based manipulation.</w:t>
      </w:r>
      <w:r w:rsidR="00AC4296">
        <w:t xml:space="preserve"> </w:t>
      </w:r>
      <w:r w:rsidRPr="00015A74">
        <w:t>Cunningham et al. (2020)</w:t>
      </w:r>
      <w:r w:rsidR="00AC4296">
        <w:t xml:space="preserve"> suppose that </w:t>
      </w:r>
      <w:r w:rsidRPr="00015A74">
        <w:t>the SEC tend to focus on accruals quality (i.e., AEM) rather than real economic transactions (i.e., REM).</w:t>
      </w:r>
      <w:r w:rsidR="00AC4296" w:rsidRPr="00AC4296">
        <w:t xml:space="preserve"> </w:t>
      </w:r>
      <w:r w:rsidR="00993AD7" w:rsidRPr="00993AD7">
        <w:t xml:space="preserve">No researcher has explored how regulators </w:t>
      </w:r>
      <w:r w:rsidR="00993AD7">
        <w:t xml:space="preserve">detect </w:t>
      </w:r>
      <w:r w:rsidR="00993AD7" w:rsidRPr="00015A74">
        <w:t>sales-based manipulation</w:t>
      </w:r>
      <w:r w:rsidR="00993AD7">
        <w:t xml:space="preserve"> during the IPO approval process</w:t>
      </w:r>
      <w:r w:rsidR="00993AD7" w:rsidRPr="00993AD7">
        <w:t xml:space="preserve">. </w:t>
      </w:r>
      <w:r w:rsidR="00AC4296" w:rsidRPr="00AC4296">
        <w:t xml:space="preserve">We </w:t>
      </w:r>
      <w:r w:rsidR="00993AD7">
        <w:t xml:space="preserve">contribute such </w:t>
      </w:r>
      <w:r w:rsidR="00AC4296" w:rsidRPr="00AC4296">
        <w:t xml:space="preserve">evidence on the </w:t>
      </w:r>
      <w:r w:rsidR="00993AD7">
        <w:t xml:space="preserve">ineffectiveness of </w:t>
      </w:r>
      <w:r w:rsidR="00AC4296" w:rsidRPr="00AC4296">
        <w:t xml:space="preserve">SEC </w:t>
      </w:r>
      <w:r w:rsidR="00993AD7">
        <w:t>review in addressing sales-based earnings management within IPO registration statement</w:t>
      </w:r>
    </w:p>
  </w:footnote>
  <w:footnote w:id="5">
    <w:p w14:paraId="01E45D5C" w14:textId="77777777" w:rsidR="00D955E0" w:rsidRDefault="00D955E0" w:rsidP="00D955E0">
      <w:pPr>
        <w:pStyle w:val="FootnoteText"/>
        <w:jc w:val="both"/>
      </w:pPr>
      <w:r>
        <w:rPr>
          <w:rStyle w:val="FootnoteReference"/>
        </w:rPr>
        <w:footnoteRef/>
      </w:r>
      <w:r>
        <w:t xml:space="preserve"> </w:t>
      </w:r>
      <w:r w:rsidRPr="004449D0">
        <w:t xml:space="preserve">  The SEC started publishing the IPO firms’ filings and the SEC comment letters from 12th </w:t>
      </w:r>
      <w:proofErr w:type="gramStart"/>
      <w:r w:rsidRPr="004449D0">
        <w:t>May,</w:t>
      </w:r>
      <w:proofErr w:type="gramEnd"/>
      <w:r w:rsidRPr="004449D0">
        <w:t xml:space="preserve"> 2005.</w:t>
      </w:r>
    </w:p>
  </w:footnote>
  <w:footnote w:id="6">
    <w:p w14:paraId="624BF4BD" w14:textId="77777777" w:rsidR="002C6719" w:rsidRDefault="002C6719" w:rsidP="002C6719">
      <w:pPr>
        <w:pStyle w:val="FootnoteText"/>
        <w:jc w:val="both"/>
      </w:pPr>
      <w:r>
        <w:rPr>
          <w:rStyle w:val="FootnoteReference"/>
        </w:rPr>
        <w:footnoteRef/>
      </w:r>
      <w:r>
        <w:t xml:space="preserve"> </w:t>
      </w:r>
      <w:r w:rsidRPr="008A1B01">
        <w:t xml:space="preserve">We restrict our focus to initial comment letters, </w:t>
      </w:r>
      <w:proofErr w:type="gramStart"/>
      <w:r w:rsidRPr="008A1B01">
        <w:t>i.e.</w:t>
      </w:r>
      <w:proofErr w:type="gramEnd"/>
      <w:r w:rsidRPr="008A1B01">
        <w:t xml:space="preserve"> the first comment letter issued by the SEC for each IPO. We do so to avoid duplication, as subsequent comment letters tend to involve ongoing discussion of issues identified in the in</w:t>
      </w:r>
      <w:r>
        <w:t>i</w:t>
      </w:r>
      <w:r w:rsidRPr="008A1B01">
        <w:t>tial letter and/or merely acknowledge the company’s response.</w:t>
      </w:r>
    </w:p>
  </w:footnote>
  <w:footnote w:id="7">
    <w:p w14:paraId="38C2E4F6" w14:textId="7F99AD31" w:rsidR="004449D0" w:rsidRDefault="004449D0" w:rsidP="009B08AA">
      <w:pPr>
        <w:pStyle w:val="FootnoteText"/>
        <w:jc w:val="both"/>
      </w:pPr>
      <w:r>
        <w:rPr>
          <w:rStyle w:val="FootnoteReference"/>
        </w:rPr>
        <w:footnoteRef/>
      </w:r>
      <w:r>
        <w:t xml:space="preserve"> According to the likelihood tests of overdispersion, </w:t>
      </w:r>
      <w:r w:rsidRPr="004449D0">
        <w:t>SEC review attributes (Duration, #Letters, #Themes, #Core-accounting issues, #</w:t>
      </w:r>
      <w:proofErr w:type="gramStart"/>
      <w:r w:rsidRPr="004449D0">
        <w:t>Non-core</w:t>
      </w:r>
      <w:proofErr w:type="gramEnd"/>
      <w:r w:rsidRPr="004449D0">
        <w:t xml:space="preserve">-accounting issues) display </w:t>
      </w:r>
      <w:r>
        <w:t xml:space="preserve">the </w:t>
      </w:r>
      <w:r w:rsidRPr="004449D0">
        <w:t>signs of overdispersion</w:t>
      </w:r>
      <w:r>
        <w:t xml:space="preserve">. </w:t>
      </w:r>
      <w:r w:rsidRPr="004449D0">
        <w:t>Therefore, negative binomial regressions are more appropriate than Poisson regressions</w:t>
      </w:r>
      <w:r>
        <w:t xml:space="preserve"> which is also </w:t>
      </w:r>
      <w:r w:rsidRPr="004449D0">
        <w:t>a</w:t>
      </w:r>
      <w:r>
        <w:t xml:space="preserve"> </w:t>
      </w:r>
      <w:r w:rsidRPr="004449D0">
        <w:t>method to model relationships among discrete and countable variables.</w:t>
      </w:r>
    </w:p>
  </w:footnote>
  <w:footnote w:id="8">
    <w:p w14:paraId="79BA06A9" w14:textId="37BBED57" w:rsidR="002C6719" w:rsidRPr="004241EC" w:rsidRDefault="002C6719" w:rsidP="002C6719">
      <w:pPr>
        <w:pStyle w:val="FootnoteText"/>
        <w:jc w:val="both"/>
        <w:rPr>
          <w:sz w:val="24"/>
          <w:szCs w:val="24"/>
        </w:rPr>
      </w:pPr>
      <w:r w:rsidRPr="004241EC">
        <w:rPr>
          <w:rStyle w:val="FootnoteReference"/>
        </w:rPr>
        <w:footnoteRef/>
      </w:r>
      <w:r w:rsidRPr="004241EC">
        <w:t xml:space="preserve"> </w:t>
      </w:r>
      <w:r w:rsidRPr="002F6777">
        <w:t xml:space="preserve">A variable is discrete if the set of its values is finite or countable and these values are obtained through the counts of occurrence </w:t>
      </w:r>
      <w:r w:rsidR="00073625">
        <w:t>(</w:t>
      </w:r>
      <w:r w:rsidRPr="002F6777">
        <w:t>Greene</w:t>
      </w:r>
      <w:r w:rsidR="00073625">
        <w:t>,</w:t>
      </w:r>
      <w:r w:rsidRPr="002F6777">
        <w:t xml:space="preserve"> 2012).</w:t>
      </w:r>
    </w:p>
  </w:footnote>
  <w:footnote w:id="9">
    <w:p w14:paraId="02E302F1" w14:textId="77777777" w:rsidR="0052484C" w:rsidRDefault="0052484C" w:rsidP="0052484C">
      <w:pPr>
        <w:pStyle w:val="FootnoteText"/>
        <w:jc w:val="both"/>
      </w:pPr>
      <w:r>
        <w:rPr>
          <w:rStyle w:val="FootnoteReference"/>
        </w:rPr>
        <w:footnoteRef/>
      </w:r>
      <w:r>
        <w:t xml:space="preserve"> Strong</w:t>
      </w:r>
      <w:r w:rsidRPr="009100F2">
        <w:t xml:space="preserve"> correlations are observed among the three proxies of earnings management</w:t>
      </w:r>
      <w:r>
        <w:t xml:space="preserve"> as shown in Table 3. Therefore, </w:t>
      </w:r>
      <w:r w:rsidRPr="009100F2">
        <w:t xml:space="preserve">in the empirical models, the effects of these three proxies on the extent of SEC reviews are examined in separate models </w:t>
      </w:r>
      <w:proofErr w:type="gramStart"/>
      <w:r w:rsidRPr="009100F2">
        <w:t>in order to</w:t>
      </w:r>
      <w:proofErr w:type="gramEnd"/>
      <w:r w:rsidRPr="009100F2">
        <w:t xml:space="preserve"> avoid multicollinearity problems.</w:t>
      </w:r>
    </w:p>
  </w:footnote>
  <w:footnote w:id="10">
    <w:p w14:paraId="2255D2EB" w14:textId="72B2B1C7" w:rsidR="002C6719" w:rsidRPr="006A5721" w:rsidRDefault="002C6719" w:rsidP="002C6719">
      <w:pPr>
        <w:pStyle w:val="FootnoteText"/>
        <w:jc w:val="both"/>
      </w:pPr>
      <w:r>
        <w:rPr>
          <w:rStyle w:val="FootnoteReference"/>
        </w:rPr>
        <w:footnoteRef/>
      </w:r>
      <w:r>
        <w:t xml:space="preserve"> </w:t>
      </w:r>
      <w:r w:rsidR="00D955E0">
        <w:t>S</w:t>
      </w:r>
      <w:r w:rsidR="00D955E0" w:rsidRPr="00B04333">
        <w:t xml:space="preserve">tandard errors are clustered at the industry level </w:t>
      </w:r>
      <w:proofErr w:type="gramStart"/>
      <w:r w:rsidR="00D955E0" w:rsidRPr="00B04333">
        <w:t>in order to</w:t>
      </w:r>
      <w:proofErr w:type="gramEnd"/>
      <w:r w:rsidR="00D955E0" w:rsidRPr="00B04333">
        <w:t xml:space="preserve"> mitigate possible correlations across IPO firms within a given industry (Petersen, 2009; Rogers, 1994). </w:t>
      </w:r>
      <w:r w:rsidR="00D955E0">
        <w:t>Our</w:t>
      </w:r>
      <w:r w:rsidR="00D955E0" w:rsidRPr="00B04333">
        <w:t xml:space="preserve"> study does not cluster at the year level since there in no appreciable difference in clustered standard errors as compared with default standard errors</w:t>
      </w:r>
      <w:r w:rsidR="00D955E0">
        <w:t xml:space="preserve"> (</w:t>
      </w:r>
      <w:r w:rsidR="00D955E0" w:rsidRPr="00B04333">
        <w:t>Petersen</w:t>
      </w:r>
      <w:r w:rsidR="00D955E0">
        <w:t xml:space="preserve">, </w:t>
      </w:r>
      <w:r w:rsidR="00D955E0" w:rsidRPr="00B04333">
        <w:t>2009)</w:t>
      </w:r>
    </w:p>
  </w:footnote>
  <w:footnote w:id="11">
    <w:p w14:paraId="289EA4A4" w14:textId="066D0928" w:rsidR="0052484C" w:rsidRPr="0052484C" w:rsidRDefault="0052484C" w:rsidP="0052484C">
      <w:pPr>
        <w:pStyle w:val="FootnoteText"/>
        <w:jc w:val="both"/>
      </w:pPr>
      <w:r>
        <w:rPr>
          <w:rStyle w:val="FootnoteReference"/>
        </w:rPr>
        <w:footnoteRef/>
      </w:r>
      <w:r>
        <w:t xml:space="preserve"> We conduct mean </w:t>
      </w:r>
      <w:proofErr w:type="spellStart"/>
      <w:r>
        <w:t>centering</w:t>
      </w:r>
      <w:proofErr w:type="spellEnd"/>
      <w:r>
        <w:t xml:space="preserve"> EM proxies and the dummy variable </w:t>
      </w:r>
      <w:r>
        <w:rPr>
          <w:i/>
          <w:iCs/>
        </w:rPr>
        <w:t xml:space="preserve">JOBS Act </w:t>
      </w:r>
      <w:r>
        <w:t xml:space="preserve">before running Equation 3 to </w:t>
      </w:r>
      <w:r w:rsidRPr="0052484C">
        <w:t>alleviate</w:t>
      </w:r>
      <w:r>
        <w:t xml:space="preserve"> the </w:t>
      </w:r>
      <w:r w:rsidRPr="0052484C">
        <w:t>collinear</w:t>
      </w:r>
      <w:r>
        <w:t xml:space="preserve">ity between EM proxies and the interaction </w:t>
      </w:r>
      <w:r w:rsidRPr="00DC044F">
        <w:rPr>
          <w:i/>
          <w:iCs/>
        </w:rPr>
        <w:t>EM proxies*JOBS Act</w:t>
      </w:r>
      <w:r w:rsidR="00DC044F">
        <w:t xml:space="preserve"> (</w:t>
      </w:r>
      <w:proofErr w:type="spellStart"/>
      <w:r w:rsidR="00DC044F" w:rsidRPr="00DC044F">
        <w:t>Echambadi</w:t>
      </w:r>
      <w:proofErr w:type="spellEnd"/>
      <w:r w:rsidR="00DC044F">
        <w:t xml:space="preserve"> </w:t>
      </w:r>
      <w:r w:rsidR="00DC044F" w:rsidRPr="00DC044F">
        <w:t>&amp; Hess,</w:t>
      </w:r>
      <w:r w:rsidR="00DC044F">
        <w:t xml:space="preserve"> </w:t>
      </w:r>
      <w:r w:rsidR="00DC044F" w:rsidRPr="00DC044F">
        <w:t>2007)</w:t>
      </w:r>
    </w:p>
  </w:footnote>
  <w:footnote w:id="12">
    <w:p w14:paraId="43217A42" w14:textId="77777777" w:rsidR="00D955E0" w:rsidRDefault="00D955E0" w:rsidP="00D955E0">
      <w:pPr>
        <w:pStyle w:val="FootnoteText"/>
        <w:jc w:val="both"/>
      </w:pPr>
      <w:r>
        <w:rPr>
          <w:rStyle w:val="FootnoteReference"/>
        </w:rPr>
        <w:footnoteRef/>
      </w:r>
      <w:r>
        <w:t xml:space="preserve"> </w:t>
      </w:r>
      <w:r w:rsidRPr="002B3D70">
        <w:t>As compared with statistics reported for similar proxies in other studies on the topic (</w:t>
      </w:r>
      <w:proofErr w:type="gramStart"/>
      <w:r w:rsidRPr="002B3D70">
        <w:t>i.e.</w:t>
      </w:r>
      <w:proofErr w:type="gramEnd"/>
      <w:r w:rsidRPr="002B3D70">
        <w:t xml:space="preserve"> </w:t>
      </w:r>
      <w:proofErr w:type="spellStart"/>
      <w:r w:rsidRPr="002B3D70">
        <w:t>Ertimur</w:t>
      </w:r>
      <w:proofErr w:type="spellEnd"/>
      <w:r w:rsidRPr="002B3D70">
        <w:t xml:space="preserve"> &amp; </w:t>
      </w:r>
      <w:proofErr w:type="spellStart"/>
      <w:r w:rsidRPr="002B3D70">
        <w:t>Nondorf</w:t>
      </w:r>
      <w:proofErr w:type="spellEnd"/>
      <w:r w:rsidRPr="002B3D70">
        <w:t xml:space="preserve">, 2006; and Li &amp; Liu, 2017), SEC review proxies appear to have low averages. This is likely to be because </w:t>
      </w:r>
      <w:r>
        <w:t xml:space="preserve">we </w:t>
      </w:r>
      <w:r w:rsidRPr="002B3D70">
        <w:t>includ</w:t>
      </w:r>
      <w:r>
        <w:t>e</w:t>
      </w:r>
      <w:r w:rsidRPr="002B3D70">
        <w:t xml:space="preserve"> the period after the passing of JOBS Act which was enacted to reduce regulatory burdens on IPO firms.</w:t>
      </w:r>
    </w:p>
  </w:footnote>
  <w:footnote w:id="13">
    <w:p w14:paraId="765C1B80" w14:textId="77777777" w:rsidR="00D955E0" w:rsidRDefault="00D955E0" w:rsidP="00D955E0">
      <w:pPr>
        <w:pStyle w:val="FootnoteText"/>
        <w:jc w:val="both"/>
      </w:pPr>
      <w:r>
        <w:rPr>
          <w:rStyle w:val="FootnoteReference"/>
        </w:rPr>
        <w:footnoteRef/>
      </w:r>
      <w:r>
        <w:t xml:space="preserve"> </w:t>
      </w:r>
      <w:proofErr w:type="spellStart"/>
      <w:r w:rsidRPr="00366991">
        <w:t>Gounopoulos</w:t>
      </w:r>
      <w:proofErr w:type="spellEnd"/>
      <w:r w:rsidRPr="00366991">
        <w:t xml:space="preserve"> &amp; Pham (2017) observe similar mean value and median value of </w:t>
      </w:r>
      <w:r>
        <w:t>REM</w:t>
      </w:r>
      <w:r w:rsidRPr="00366991">
        <w:t xml:space="preserve"> as compared with the study. Specifically, the mean value of abnormal cash flow from operations and abnormal discretionary expense are -0.10 and 0.65 respectively, and their median value are -0.03 and 0.25, respectively</w:t>
      </w:r>
      <w:r>
        <w:t xml:space="preserve">. </w:t>
      </w:r>
      <w:proofErr w:type="spellStart"/>
      <w:r w:rsidRPr="00366991">
        <w:t>Gounopoulos</w:t>
      </w:r>
      <w:proofErr w:type="spellEnd"/>
      <w:r w:rsidRPr="00366991">
        <w:t xml:space="preserve"> &amp; Pham (2018) identify similar mean value and median of the abnormal accruals to the study, which are -0.21 and -0.07, respectively.</w:t>
      </w:r>
    </w:p>
  </w:footnote>
  <w:footnote w:id="14">
    <w:p w14:paraId="4698026C" w14:textId="5E6294E6" w:rsidR="00D955E0" w:rsidRPr="00694975" w:rsidRDefault="00D955E0" w:rsidP="00D955E0">
      <w:pPr>
        <w:pStyle w:val="FootnoteText"/>
        <w:jc w:val="both"/>
      </w:pPr>
      <w:r w:rsidRPr="00694975">
        <w:rPr>
          <w:rStyle w:val="FootnoteReference"/>
        </w:rPr>
        <w:footnoteRef/>
      </w:r>
      <w:r w:rsidRPr="00694975">
        <w:t xml:space="preserve"> </w:t>
      </w:r>
      <w:r w:rsidR="00A66C63">
        <w:t xml:space="preserve">For contrast, </w:t>
      </w:r>
      <w:r w:rsidR="009F24DE">
        <w:t xml:space="preserve">the </w:t>
      </w:r>
      <w:r w:rsidRPr="005668ED">
        <w:t>Internal Revenue Service (</w:t>
      </w:r>
      <w:proofErr w:type="gramStart"/>
      <w:r w:rsidRPr="005668ED">
        <w:t>IRS)  classify</w:t>
      </w:r>
      <w:proofErr w:type="gramEnd"/>
      <w:r w:rsidRPr="005668ED">
        <w:t xml:space="preserve"> IPO firms as small (or large) when they have total assets less (or greater) than $10 million.</w:t>
      </w:r>
    </w:p>
  </w:footnote>
  <w:footnote w:id="15">
    <w:p w14:paraId="26A9BAFE" w14:textId="17E8AB8A" w:rsidR="002C6719" w:rsidRPr="003443BC" w:rsidRDefault="002C6719" w:rsidP="002C6719">
      <w:pPr>
        <w:pStyle w:val="FootnoteText"/>
        <w:rPr>
          <w:lang w:val="en-US"/>
        </w:rPr>
      </w:pPr>
      <w:r>
        <w:rPr>
          <w:rStyle w:val="FootnoteReference"/>
        </w:rPr>
        <w:footnoteRef/>
      </w:r>
      <w:r>
        <w:t xml:space="preserve"> </w:t>
      </w:r>
      <w:r>
        <w:rPr>
          <w:lang w:val="en-US"/>
        </w:rPr>
        <w:t xml:space="preserve">Appendix </w:t>
      </w:r>
      <w:r w:rsidR="00180559">
        <w:rPr>
          <w:lang w:val="en-US"/>
        </w:rPr>
        <w:t>E</w:t>
      </w:r>
      <w:r>
        <w:rPr>
          <w:lang w:val="en-US"/>
        </w:rPr>
        <w:t xml:space="preserve"> show</w:t>
      </w:r>
      <w:r w:rsidR="00346FAA">
        <w:rPr>
          <w:lang w:val="en-US"/>
        </w:rPr>
        <w:t>s</w:t>
      </w:r>
      <w:r>
        <w:rPr>
          <w:lang w:val="en-US"/>
        </w:rPr>
        <w:t xml:space="preserve"> the marginal effects of </w:t>
      </w:r>
      <w:r>
        <w:rPr>
          <w:i/>
          <w:iCs/>
          <w:lang w:val="en-US"/>
        </w:rPr>
        <w:t xml:space="preserve">DACC, ADISEXP, ACFO </w:t>
      </w:r>
      <w:r>
        <w:rPr>
          <w:lang w:val="en-US"/>
        </w:rPr>
        <w:t>on SEC review attributes in more detail.</w:t>
      </w:r>
    </w:p>
  </w:footnote>
  <w:footnote w:id="16">
    <w:p w14:paraId="142C9FA6" w14:textId="387C0794" w:rsidR="00AB082F" w:rsidRDefault="00AB082F">
      <w:pPr>
        <w:pStyle w:val="FootnoteText"/>
      </w:pPr>
      <w:r>
        <w:rPr>
          <w:rStyle w:val="FootnoteReference"/>
        </w:rPr>
        <w:footnoteRef/>
      </w:r>
      <w:r>
        <w:t xml:space="preserve"> As EGC </w:t>
      </w:r>
      <w:r w:rsidR="0068239A">
        <w:t xml:space="preserve">IPOs </w:t>
      </w:r>
      <w:r>
        <w:t xml:space="preserve">account for the majority </w:t>
      </w:r>
      <w:r w:rsidR="008E4782">
        <w:t xml:space="preserve">(i.e., 90%) </w:t>
      </w:r>
      <w:r>
        <w:t xml:space="preserve">of our main sample, we run Equation 2 and 3 on the whole sample rather than </w:t>
      </w:r>
      <w:r w:rsidR="008E4782">
        <w:t>the sample of</w:t>
      </w:r>
      <w:r>
        <w:t xml:space="preserve"> EGC IPOs to make the results</w:t>
      </w:r>
      <w:r w:rsidR="008E4782">
        <w:t xml:space="preserve"> more</w:t>
      </w:r>
      <w:r>
        <w:t xml:space="preserve"> comparable to the results obtained from the estimation of Equation 1.</w:t>
      </w:r>
      <w:r w:rsidR="000D0309">
        <w:t xml:space="preserve"> R</w:t>
      </w:r>
      <w:r w:rsidR="000D0309" w:rsidRPr="000D0309">
        <w:t xml:space="preserve">esults are similar when restricting the sample to firms below $1bn in </w:t>
      </w:r>
      <w:r w:rsidR="000D0309">
        <w:t>s</w:t>
      </w:r>
      <w:r w:rsidR="000D0309" w:rsidRPr="000D0309">
        <w:t>ales which would qualify for EGC status under the Ac</w:t>
      </w:r>
    </w:p>
  </w:footnote>
  <w:footnote w:id="17">
    <w:p w14:paraId="40EEC347" w14:textId="77777777" w:rsidR="001C6406" w:rsidRPr="00D03FC0" w:rsidRDefault="001C6406" w:rsidP="001C6406">
      <w:pPr>
        <w:pStyle w:val="FootnoteText"/>
        <w:jc w:val="both"/>
      </w:pPr>
      <w:r>
        <w:rPr>
          <w:rStyle w:val="FootnoteReference"/>
        </w:rPr>
        <w:footnoteRef/>
      </w:r>
      <w:r>
        <w:t xml:space="preserve"> </w:t>
      </w:r>
      <w:r w:rsidRPr="006A5A27">
        <w:t xml:space="preserve">Coefficients on </w:t>
      </w:r>
      <w:r w:rsidRPr="00D955E0">
        <w:rPr>
          <w:i/>
          <w:iCs/>
        </w:rPr>
        <w:t>DACC</w:t>
      </w:r>
      <w:r w:rsidRPr="006A5A27">
        <w:t xml:space="preserve"> </w:t>
      </w:r>
      <w:r>
        <w:t xml:space="preserve">and </w:t>
      </w:r>
      <w:r>
        <w:rPr>
          <w:i/>
          <w:iCs/>
        </w:rPr>
        <w:t xml:space="preserve">DACC*JOBS Act </w:t>
      </w:r>
      <w:r w:rsidRPr="006A5A27">
        <w:t>in column (</w:t>
      </w:r>
      <w:r>
        <w:t>4</w:t>
      </w:r>
      <w:r w:rsidRPr="006A5A27">
        <w:t>) consistently positive, though insignificant.</w:t>
      </w:r>
      <w:r>
        <w:t xml:space="preserve"> However, when we estimate Equation 2 </w:t>
      </w:r>
      <w:r w:rsidRPr="007966D1">
        <w:t>separately for the pre- and post-JOBS Act periods</w:t>
      </w:r>
      <w:r>
        <w:t xml:space="preserve">, </w:t>
      </w:r>
      <w:proofErr w:type="spellStart"/>
      <w:r>
        <w:t>untabulated</w:t>
      </w:r>
      <w:proofErr w:type="spellEnd"/>
      <w:r>
        <w:t xml:space="preserve"> Chow-test results reveal that </w:t>
      </w:r>
      <w:r>
        <w:rPr>
          <w:i/>
          <w:iCs/>
        </w:rPr>
        <w:t xml:space="preserve">DACC </w:t>
      </w:r>
      <w:r>
        <w:t>is positively related to #</w:t>
      </w:r>
      <w:r>
        <w:rPr>
          <w:i/>
          <w:iCs/>
        </w:rPr>
        <w:t>Letters</w:t>
      </w:r>
      <w:r>
        <w:t xml:space="preserve"> only in the post-JOBS Act period, indicating that the effectiveness of the SEC review in addressing accruals-based EM under the Act.</w:t>
      </w:r>
    </w:p>
  </w:footnote>
  <w:footnote w:id="18">
    <w:p w14:paraId="138206D3" w14:textId="77777777" w:rsidR="001C6406" w:rsidRDefault="001C6406" w:rsidP="001C6406">
      <w:pPr>
        <w:pStyle w:val="FootnoteText"/>
      </w:pPr>
      <w:r>
        <w:rPr>
          <w:rStyle w:val="FootnoteReference"/>
        </w:rPr>
        <w:footnoteRef/>
      </w:r>
      <w:r>
        <w:t xml:space="preserve"> We multiply the abnormal accruals by negative one to have the same interpretation as the abnormal cash flow from operations.</w:t>
      </w:r>
    </w:p>
  </w:footnote>
  <w:footnote w:id="19">
    <w:p w14:paraId="39492D4D" w14:textId="77777777" w:rsidR="00D955E0" w:rsidRPr="00574B38" w:rsidRDefault="00D955E0" w:rsidP="00D955E0">
      <w:pPr>
        <w:pStyle w:val="FootnoteText"/>
        <w:jc w:val="both"/>
      </w:pPr>
      <w:r>
        <w:rPr>
          <w:rStyle w:val="FootnoteReference"/>
        </w:rPr>
        <w:footnoteRef/>
      </w:r>
      <w:r>
        <w:t xml:space="preserve"> Specifically, the discretionary accruals </w:t>
      </w:r>
      <w:proofErr w:type="gramStart"/>
      <w:r>
        <w:t>is</w:t>
      </w:r>
      <w:proofErr w:type="gramEnd"/>
      <w:r>
        <w:t xml:space="preserve"> calculated as the difference between total accruals and non-discretionary accruals</w:t>
      </w:r>
    </w:p>
  </w:footnote>
  <w:footnote w:id="20">
    <w:p w14:paraId="475BC833" w14:textId="77777777" w:rsidR="00D955E0" w:rsidRDefault="00D955E0" w:rsidP="00D955E0">
      <w:pPr>
        <w:pStyle w:val="FootnoteText"/>
        <w:spacing w:after="240"/>
        <w:jc w:val="both"/>
      </w:pPr>
      <w:r>
        <w:rPr>
          <w:rStyle w:val="FootnoteReference"/>
        </w:rPr>
        <w:footnoteRef/>
      </w:r>
      <w:r>
        <w:t xml:space="preserve"> T</w:t>
      </w:r>
      <w:r w:rsidRPr="00553D28">
        <w:t>here are two methods often employed in various prior literature, including statement-of-cash-flows method (CFM)</w:t>
      </w:r>
      <w:r>
        <w:t xml:space="preserve"> and balance-sheet method (BSM) </w:t>
      </w:r>
      <w:r>
        <w:fldChar w:fldCharType="begin" w:fldLock="1"/>
      </w:r>
      <w:r>
        <w:instrText>ADDIN CSL_CITATION {"citationItems":[{"id":"ITEM-1","itemData":{"ISBN":"1-281-13738-3","abstract":"Address the questions: Why earnings are so important that firms feel compelled to manipulate them? What is earnings management? What set of circumstances will induce earnings management? And how will the interaction among management, boards of directors, investors, employees, suppliers, customers and regulators affect earnings management?","author":[{"dropping-particle":"","family":"Ronen","given":"Joshua","non-dropping-particle":"","parse-names":false,"suffix":""},{"dropping-particle":"","family":"Yaari","given":"Varda","non-dropping-particle":"","parse-names":false,"suffix":""}],"collection-title":"Springer Series in Accounting Scholarship, v. 3","id":"ITEM-1","issued":{"date-parts":[["2008"]]},"publisher":"Springer","publisher-place":"New York","title":"Earnings Management Emerging Insights in Theory, Practice, and Research","type":"book"},"uris":["http://www.mendeley.com/documents/?uuid=71a72e1d-b425-45d9-90d9-72bff877a152"]}],"mendeley":{"formattedCitation":"(Ronen &amp; Yaari, 2008)","manualFormatting":"(Ronen and Yaari, 2008)","plainTextFormattedCitation":"(Ronen &amp; Yaari, 2008)","previouslyFormattedCitation":"(Ronen &amp; Yaari, 2008)"},"properties":{"noteIndex":0},"schema":"https://github.com/citation-style-language/schema/raw/master/csl-citation.json"}</w:instrText>
      </w:r>
      <w:r>
        <w:fldChar w:fldCharType="separate"/>
      </w:r>
      <w:r>
        <w:rPr>
          <w:noProof/>
        </w:rPr>
        <w:t xml:space="preserve">(Ronen and </w:t>
      </w:r>
      <w:r w:rsidRPr="00E32221">
        <w:rPr>
          <w:noProof/>
        </w:rPr>
        <w:t>Yaari, 2008)</w:t>
      </w:r>
      <w:r>
        <w:fldChar w:fldCharType="end"/>
      </w:r>
      <w:r>
        <w:t>. When comparing these two methods,</w:t>
      </w:r>
      <w:r w:rsidRPr="00553D28">
        <w:t xml:space="preserve"> </w:t>
      </w:r>
      <w:r>
        <w:fldChar w:fldCharType="begin" w:fldLock="1"/>
      </w:r>
      <w:r>
        <w:instrText>ADDIN CSL_CITATION {"citationItems":[{"id":"ITEM-1","itemData":{"author":[{"dropping-particle":"","family":"Hribar","given":"Paul","non-dropping-particle":"","parse-names":false,"suffix":""},{"dropping-particle":"","family":"Collins","given":"Daniel W.","non-dropping-particle":"","parse-names":false,"suffix":""}],"container-title":"Journal of Accounting Research","id":"ITEM-1","issue":"1","issued":{"date-parts":[["2002"]]},"page":"105-134","title":"Errors in Estimating Accruals: Implications for Empirical Research","type":"article-journal","volume":"40"},"uris":["http://www.mendeley.com/documents/?uuid=21ca994f-cb03-49e7-a2fe-89b26de6780e"]}],"mendeley":{"formattedCitation":"(Hribar &amp; Collins, 2002)","manualFormatting":"Hribar and Collins (2002)","plainTextFormattedCitation":"(Hribar &amp; Collins, 2002)","previouslyFormattedCitation":"(Hribar &amp; Collins, 2002)"},"properties":{"noteIndex":0},"schema":"https://github.com/citation-style-language/schema/raw/master/csl-citation.json"}</w:instrText>
      </w:r>
      <w:r>
        <w:fldChar w:fldCharType="separate"/>
      </w:r>
      <w:r>
        <w:rPr>
          <w:noProof/>
        </w:rPr>
        <w:t>Hribar and Collins (</w:t>
      </w:r>
      <w:r w:rsidRPr="009E480E">
        <w:rPr>
          <w:noProof/>
        </w:rPr>
        <w:t>2002)</w:t>
      </w:r>
      <w:r>
        <w:fldChar w:fldCharType="end"/>
      </w:r>
      <w:r w:rsidRPr="00553D28">
        <w:t xml:space="preserve"> find that total accruals captured by the CFM are </w:t>
      </w:r>
      <w:r>
        <w:t xml:space="preserve">superior since it mitigates the </w:t>
      </w:r>
      <w:r w:rsidRPr="003D116D">
        <w:t xml:space="preserve">non-articulation problem of the </w:t>
      </w:r>
      <w:r>
        <w:t>BSM.</w:t>
      </w:r>
    </w:p>
  </w:footnote>
  <w:footnote w:id="21">
    <w:p w14:paraId="271C3594" w14:textId="77777777" w:rsidR="00D955E0" w:rsidRPr="002A2F9F" w:rsidRDefault="00D955E0" w:rsidP="00D955E0">
      <w:pPr>
        <w:pStyle w:val="FootnoteText"/>
        <w:jc w:val="both"/>
      </w:pPr>
      <w:r w:rsidRPr="002A2F9F">
        <w:rPr>
          <w:rStyle w:val="FootnoteReference"/>
        </w:rPr>
        <w:footnoteRef/>
      </w:r>
      <w:r w:rsidRPr="002A2F9F">
        <w:t xml:space="preserve"> </w:t>
      </w:r>
      <w:r>
        <w:t xml:space="preserve">Following </w:t>
      </w:r>
      <w:r>
        <w:fldChar w:fldCharType="begin" w:fldLock="1"/>
      </w:r>
      <w:r>
        <w:instrText>ADDIN CSL_CITATION {"citationItems":[{"id":"ITEM-1","itemData":{"abstract":"In this paper, we investigate the conservative earnings management strategies of tech- nology firms in the IPO market. We hypothesize that technology IPOs, due to their fewer tangible assets, more information asymmetry, and higher uncertainties of future cash flows, tend to have higher litigation risk. At equilibrium, technology firms are more motivated to strategically employ conservative earnings management during the IPO process, to mitigate their higher litigation risk. Using a sample of U.S. IPOs, we find that technology IPOs, on average, involve significantly more conservative earnings management, especially dur- ing the bubble periods. Our results also show that the conservative earnings management strategies of technology firms tends to have a greater impact on their underpricing than for non-tech firms, and thus effectively reduce their risk of being a target in the securities class action lawsuits.","author":[{"dropping-particle":"","family":"Francis","given":"B.B.","non-dropping-particle":"","parse-names":false,"suffix":""},{"dropping-particle":"","family":"Hasan","given":"I.","non-dropping-particle":"","parse-names":false,"suffix":""},{"dropping-particle":"","family":"Zhou","given":"M.","non-dropping-particle":"","parse-names":false,"suffix":""}],"container-title":"Financial Markets, Institutions &amp; Instruments","id":"ITEM-1","issue":"5","issued":{"date-parts":[["2012"]]},"page":"261-293","title":"Strategic Conservative Earnings Management of Technology Firms : Evidence from the IPO Market","type":"article-journal","volume":"21"},"uris":["http://www.mendeley.com/documents/?uuid=5f1abcac-cbaa-4985-ab6d-18194faec0f3"]}],"mendeley":{"formattedCitation":"(Francis, Hasan, &amp; Zhou, 2012)","manualFormatting":"Francis et al. (2012)","plainTextFormattedCitation":"(Francis, Hasan, &amp; Zhou, 2012)","previouslyFormattedCitation":"(Francis, Hasan, &amp; Zhou, 2012)"},"properties":{"noteIndex":0},"schema":"https://github.com/citation-style-language/schema/raw/master/csl-citation.json"}</w:instrText>
      </w:r>
      <w:r>
        <w:fldChar w:fldCharType="separate"/>
      </w:r>
      <w:r>
        <w:rPr>
          <w:noProof/>
        </w:rPr>
        <w:t>Francis et al. (</w:t>
      </w:r>
      <w:r w:rsidRPr="00E8695B">
        <w:rPr>
          <w:noProof/>
        </w:rPr>
        <w:t>2012)</w:t>
      </w:r>
      <w:r>
        <w:fldChar w:fldCharType="end"/>
      </w:r>
      <w:r>
        <w:t>, we</w:t>
      </w:r>
      <w:r w:rsidRPr="002A2F9F">
        <w:t xml:space="preserve"> </w:t>
      </w:r>
      <w:r>
        <w:t xml:space="preserve">also </w:t>
      </w:r>
      <w:r w:rsidRPr="002A2F9F">
        <w:t xml:space="preserve">exclude </w:t>
      </w:r>
      <w:r>
        <w:t xml:space="preserve">from the estimations </w:t>
      </w:r>
      <w:r w:rsidRPr="002A2F9F">
        <w:t>IPO firms issuing their IPO</w:t>
      </w:r>
      <w:r>
        <w:t>s</w:t>
      </w:r>
      <w:r w:rsidRPr="002A2F9F">
        <w:t xml:space="preserve"> within 2 years of the issuers in </w:t>
      </w:r>
      <w:r>
        <w:t>the</w:t>
      </w:r>
      <w:r w:rsidRPr="002A2F9F">
        <w:t xml:space="preserve"> sample</w:t>
      </w:r>
      <w:r>
        <w:t>.</w:t>
      </w:r>
    </w:p>
  </w:footnote>
  <w:footnote w:id="22">
    <w:p w14:paraId="00403B92" w14:textId="77777777" w:rsidR="00D955E0" w:rsidRDefault="00D955E0" w:rsidP="00D955E0">
      <w:pPr>
        <w:pStyle w:val="FootnoteText"/>
        <w:jc w:val="both"/>
      </w:pPr>
      <w:r>
        <w:rPr>
          <w:rStyle w:val="FootnoteReference"/>
        </w:rPr>
        <w:footnoteRef/>
      </w:r>
      <w:r>
        <w:t xml:space="preserve"> Due to the limited data availability of R&amp;D and advertising expense, we follow </w:t>
      </w:r>
      <w:r>
        <w:fldChar w:fldCharType="begin" w:fldLock="1"/>
      </w:r>
      <w:r>
        <w:instrText>ADDIN CSL_CITATION {"citationItems":[{"id":"ITEM-1","itemData":{"abstract":"This study examines changes in CEOs'incentive to manage their firms'reported earnings during their tenure. Earnings overstatement is greater in the early years than in the later years of CEOs' service, and this relation is less pronounced for firms with greater external and internal monitoring. These results suggest that new CEOs try to favorably influence the market's perception of their ability in their early years of service, when the market is more uncertain. Also, consistent with the horizon problem, earnings overstatement is greater in the CEOs' final year, but this result obtains only after controlling for earnings overstatement in their early years of service.","author":[{"dropping-particle":"","family":"Ali","given":"A.","non-dropping-particle":"","parse-names":false,"suffix":""},{"dropping-particle":"","family":"Zhang","given":"W.","non-dropping-particle":"","parse-names":false,"suffix":""}],"container-title":"Journal of Accounting and Economics","id":"ITEM-1","issue":"1","issued":{"date-parts":[["2015"]]},"page":"60-79","publisher":"Elsevier","title":"CEO tenure and earnings management","type":"article-journal","volume":"59"},"uris":["http://www.mendeley.com/documents/?uuid=6cc85ee7-5d1e-4413-8d38-2cc8c34934cd"]}],"mendeley":{"formattedCitation":"(Ali &amp; Zhang, 2015)","manualFormatting":"Ali &amp; Zhang (2015)","plainTextFormattedCitation":"(Ali &amp; Zhang, 2015)","previouslyFormattedCitation":"(Ali &amp; Zhang, 2015)"},"properties":{"noteIndex":0},"schema":"https://github.com/citation-style-language/schema/raw/master/csl-citation.json"}</w:instrText>
      </w:r>
      <w:r>
        <w:fldChar w:fldCharType="separate"/>
      </w:r>
      <w:r>
        <w:rPr>
          <w:noProof/>
        </w:rPr>
        <w:t>Ali &amp; Zhang (</w:t>
      </w:r>
      <w:r w:rsidRPr="00326DA8">
        <w:rPr>
          <w:noProof/>
        </w:rPr>
        <w:t>2015)</w:t>
      </w:r>
      <w:r>
        <w:fldChar w:fldCharType="end"/>
      </w:r>
      <w:r>
        <w:t xml:space="preserve"> by setting the values of these expenses to 0 if their data are missing but</w:t>
      </w:r>
      <w:r w:rsidRPr="006F1D19">
        <w:t xml:space="preserve"> data for selling, general, and admin</w:t>
      </w:r>
      <w:r>
        <w:t>istrative expense is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0A"/>
    <w:multiLevelType w:val="hybridMultilevel"/>
    <w:tmpl w:val="79427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D96394"/>
    <w:multiLevelType w:val="multilevel"/>
    <w:tmpl w:val="B6242CA4"/>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2" w15:restartNumberingAfterBreak="0">
    <w:nsid w:val="080A2154"/>
    <w:multiLevelType w:val="hybridMultilevel"/>
    <w:tmpl w:val="5CFE00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4919"/>
    <w:multiLevelType w:val="hybridMultilevel"/>
    <w:tmpl w:val="F8964F5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0C4852D7"/>
    <w:multiLevelType w:val="multilevel"/>
    <w:tmpl w:val="6D164696"/>
    <w:lvl w:ilvl="0">
      <w:start w:val="2"/>
      <w:numFmt w:val="decimal"/>
      <w:lvlText w:val="%1."/>
      <w:lvlJc w:val="left"/>
      <w:pPr>
        <w:ind w:left="360" w:hanging="360"/>
      </w:pPr>
      <w:rPr>
        <w:rFonts w:hint="default"/>
      </w:rPr>
    </w:lvl>
    <w:lvl w:ilvl="1">
      <w:start w:val="1"/>
      <w:numFmt w:val="decimal"/>
      <w:lvlText w:val="%1.%2."/>
      <w:lvlJc w:val="left"/>
      <w:pPr>
        <w:ind w:left="4590" w:hanging="360"/>
      </w:pPr>
      <w:rPr>
        <w:rFonts w:hint="default"/>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381067"/>
    <w:multiLevelType w:val="hybridMultilevel"/>
    <w:tmpl w:val="D2606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0F0A2D"/>
    <w:multiLevelType w:val="hybridMultilevel"/>
    <w:tmpl w:val="0F687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069DC"/>
    <w:multiLevelType w:val="multilevel"/>
    <w:tmpl w:val="76A29DF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265"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D5150A"/>
    <w:multiLevelType w:val="multilevel"/>
    <w:tmpl w:val="6D164696"/>
    <w:lvl w:ilvl="0">
      <w:start w:val="2"/>
      <w:numFmt w:val="decimal"/>
      <w:lvlText w:val="%1."/>
      <w:lvlJc w:val="left"/>
      <w:pPr>
        <w:ind w:left="360" w:hanging="360"/>
      </w:pPr>
      <w:rPr>
        <w:rFonts w:hint="default"/>
      </w:rPr>
    </w:lvl>
    <w:lvl w:ilvl="1">
      <w:start w:val="1"/>
      <w:numFmt w:val="decimal"/>
      <w:lvlText w:val="%1.%2."/>
      <w:lvlJc w:val="left"/>
      <w:pPr>
        <w:ind w:left="4590" w:hanging="360"/>
      </w:pPr>
      <w:rPr>
        <w:rFonts w:hint="default"/>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FA2A75"/>
    <w:multiLevelType w:val="hybridMultilevel"/>
    <w:tmpl w:val="47B2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27029"/>
    <w:multiLevelType w:val="hybridMultilevel"/>
    <w:tmpl w:val="749617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104AA"/>
    <w:multiLevelType w:val="multilevel"/>
    <w:tmpl w:val="1A7C4D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341732"/>
    <w:multiLevelType w:val="hybridMultilevel"/>
    <w:tmpl w:val="7882A614"/>
    <w:lvl w:ilvl="0" w:tplc="2032A8BA">
      <w:start w:val="90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B5A5B"/>
    <w:multiLevelType w:val="hybridMultilevel"/>
    <w:tmpl w:val="296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82952"/>
    <w:multiLevelType w:val="hybridMultilevel"/>
    <w:tmpl w:val="D61E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E56F9"/>
    <w:multiLevelType w:val="hybridMultilevel"/>
    <w:tmpl w:val="C3CA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6290E"/>
    <w:multiLevelType w:val="multilevel"/>
    <w:tmpl w:val="CBE6C472"/>
    <w:lvl w:ilvl="0">
      <w:start w:val="1"/>
      <w:numFmt w:val="decimal"/>
      <w:lvlText w:val="%1."/>
      <w:lvlJc w:val="left"/>
      <w:pPr>
        <w:ind w:left="360" w:hanging="360"/>
      </w:pPr>
      <w:rPr>
        <w:rFonts w:hint="default"/>
      </w:rPr>
    </w:lvl>
    <w:lvl w:ilvl="1">
      <w:start w:val="3"/>
      <w:numFmt w:val="decimal"/>
      <w:lvlText w:val="%1.%2."/>
      <w:lvlJc w:val="left"/>
      <w:pPr>
        <w:ind w:left="1430" w:hanging="360"/>
      </w:pPr>
      <w:rPr>
        <w:rFonts w:hint="default"/>
        <w:color w:val="000000" w:themeColor="text1"/>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15:restartNumberingAfterBreak="0">
    <w:nsid w:val="25E86482"/>
    <w:multiLevelType w:val="multilevel"/>
    <w:tmpl w:val="D5885EE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bCs/>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D1A6DB4"/>
    <w:multiLevelType w:val="multilevel"/>
    <w:tmpl w:val="C28E7AA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9" w15:restartNumberingAfterBreak="0">
    <w:nsid w:val="2E356224"/>
    <w:multiLevelType w:val="hybridMultilevel"/>
    <w:tmpl w:val="0A0246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D4F37"/>
    <w:multiLevelType w:val="hybridMultilevel"/>
    <w:tmpl w:val="53EA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9D203D"/>
    <w:multiLevelType w:val="hybridMultilevel"/>
    <w:tmpl w:val="584A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23705"/>
    <w:multiLevelType w:val="hybridMultilevel"/>
    <w:tmpl w:val="139A4F1C"/>
    <w:lvl w:ilvl="0" w:tplc="6E08AB6C">
      <w:start w:val="1"/>
      <w:numFmt w:val="decimal"/>
      <w:lvlText w:val="%1."/>
      <w:lvlJc w:val="left"/>
      <w:pPr>
        <w:ind w:left="840" w:hanging="720"/>
        <w:jc w:val="right"/>
      </w:pPr>
      <w:rPr>
        <w:rFonts w:ascii="Times New Roman" w:eastAsia="Times New Roman" w:hAnsi="Times New Roman" w:cs="Times New Roman" w:hint="default"/>
        <w:spacing w:val="-2"/>
        <w:w w:val="99"/>
        <w:sz w:val="24"/>
        <w:szCs w:val="24"/>
        <w:lang w:val="en-US" w:eastAsia="en-US" w:bidi="ar-SA"/>
      </w:rPr>
    </w:lvl>
    <w:lvl w:ilvl="1" w:tplc="F1AE61C4">
      <w:numFmt w:val="bullet"/>
      <w:lvlText w:val="•"/>
      <w:lvlJc w:val="left"/>
      <w:pPr>
        <w:ind w:left="1642" w:hanging="720"/>
      </w:pPr>
      <w:rPr>
        <w:rFonts w:hint="default"/>
        <w:lang w:val="en-US" w:eastAsia="en-US" w:bidi="ar-SA"/>
      </w:rPr>
    </w:lvl>
    <w:lvl w:ilvl="2" w:tplc="2E0031D0">
      <w:numFmt w:val="bullet"/>
      <w:lvlText w:val="•"/>
      <w:lvlJc w:val="left"/>
      <w:pPr>
        <w:ind w:left="2444" w:hanging="720"/>
      </w:pPr>
      <w:rPr>
        <w:rFonts w:hint="default"/>
        <w:lang w:val="en-US" w:eastAsia="en-US" w:bidi="ar-SA"/>
      </w:rPr>
    </w:lvl>
    <w:lvl w:ilvl="3" w:tplc="57E8CF36">
      <w:numFmt w:val="bullet"/>
      <w:lvlText w:val="•"/>
      <w:lvlJc w:val="left"/>
      <w:pPr>
        <w:ind w:left="3246" w:hanging="720"/>
      </w:pPr>
      <w:rPr>
        <w:rFonts w:hint="default"/>
        <w:lang w:val="en-US" w:eastAsia="en-US" w:bidi="ar-SA"/>
      </w:rPr>
    </w:lvl>
    <w:lvl w:ilvl="4" w:tplc="CFF0A470">
      <w:numFmt w:val="bullet"/>
      <w:lvlText w:val="•"/>
      <w:lvlJc w:val="left"/>
      <w:pPr>
        <w:ind w:left="4048" w:hanging="720"/>
      </w:pPr>
      <w:rPr>
        <w:rFonts w:hint="default"/>
        <w:lang w:val="en-US" w:eastAsia="en-US" w:bidi="ar-SA"/>
      </w:rPr>
    </w:lvl>
    <w:lvl w:ilvl="5" w:tplc="04E2C6A6">
      <w:numFmt w:val="bullet"/>
      <w:lvlText w:val="•"/>
      <w:lvlJc w:val="left"/>
      <w:pPr>
        <w:ind w:left="4850" w:hanging="720"/>
      </w:pPr>
      <w:rPr>
        <w:rFonts w:hint="default"/>
        <w:lang w:val="en-US" w:eastAsia="en-US" w:bidi="ar-SA"/>
      </w:rPr>
    </w:lvl>
    <w:lvl w:ilvl="6" w:tplc="79341ACE">
      <w:numFmt w:val="bullet"/>
      <w:lvlText w:val="•"/>
      <w:lvlJc w:val="left"/>
      <w:pPr>
        <w:ind w:left="5652" w:hanging="720"/>
      </w:pPr>
      <w:rPr>
        <w:rFonts w:hint="default"/>
        <w:lang w:val="en-US" w:eastAsia="en-US" w:bidi="ar-SA"/>
      </w:rPr>
    </w:lvl>
    <w:lvl w:ilvl="7" w:tplc="C00E6A52">
      <w:numFmt w:val="bullet"/>
      <w:lvlText w:val="•"/>
      <w:lvlJc w:val="left"/>
      <w:pPr>
        <w:ind w:left="6454" w:hanging="720"/>
      </w:pPr>
      <w:rPr>
        <w:rFonts w:hint="default"/>
        <w:lang w:val="en-US" w:eastAsia="en-US" w:bidi="ar-SA"/>
      </w:rPr>
    </w:lvl>
    <w:lvl w:ilvl="8" w:tplc="5CDE4CD8">
      <w:numFmt w:val="bullet"/>
      <w:lvlText w:val="•"/>
      <w:lvlJc w:val="left"/>
      <w:pPr>
        <w:ind w:left="7256" w:hanging="720"/>
      </w:pPr>
      <w:rPr>
        <w:rFonts w:hint="default"/>
        <w:lang w:val="en-US" w:eastAsia="en-US" w:bidi="ar-SA"/>
      </w:rPr>
    </w:lvl>
  </w:abstractNum>
  <w:abstractNum w:abstractNumId="23" w15:restartNumberingAfterBreak="0">
    <w:nsid w:val="41AF23DE"/>
    <w:multiLevelType w:val="hybridMultilevel"/>
    <w:tmpl w:val="448E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49748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B4313"/>
    <w:multiLevelType w:val="hybridMultilevel"/>
    <w:tmpl w:val="0732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405462"/>
    <w:multiLevelType w:val="multilevel"/>
    <w:tmpl w:val="EF8C8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B4D68"/>
    <w:multiLevelType w:val="hybridMultilevel"/>
    <w:tmpl w:val="C4AA22CA"/>
    <w:lvl w:ilvl="0" w:tplc="1DC80572">
      <w:start w:val="1"/>
      <w:numFmt w:val="decimal"/>
      <w:lvlText w:val="Appendix %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276EE"/>
    <w:multiLevelType w:val="multilevel"/>
    <w:tmpl w:val="A69C532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5D01414C"/>
    <w:multiLevelType w:val="hybridMultilevel"/>
    <w:tmpl w:val="86C83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A571DE"/>
    <w:multiLevelType w:val="hybridMultilevel"/>
    <w:tmpl w:val="1CBA7EC4"/>
    <w:lvl w:ilvl="0" w:tplc="6C3A65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132F2"/>
    <w:multiLevelType w:val="hybridMultilevel"/>
    <w:tmpl w:val="53EE56A6"/>
    <w:lvl w:ilvl="0" w:tplc="8DF6B18A">
      <w:numFmt w:val="bullet"/>
      <w:lvlText w:val=""/>
      <w:lvlJc w:val="left"/>
      <w:pPr>
        <w:ind w:left="840" w:hanging="360"/>
      </w:pPr>
      <w:rPr>
        <w:rFonts w:ascii="Symbol" w:eastAsia="Symbol" w:hAnsi="Symbol" w:cs="Symbol" w:hint="default"/>
        <w:w w:val="100"/>
        <w:sz w:val="24"/>
        <w:szCs w:val="24"/>
        <w:lang w:val="en-US" w:eastAsia="en-US" w:bidi="ar-SA"/>
      </w:rPr>
    </w:lvl>
    <w:lvl w:ilvl="1" w:tplc="6F1E5632">
      <w:numFmt w:val="bullet"/>
      <w:lvlText w:val="•"/>
      <w:lvlJc w:val="left"/>
      <w:pPr>
        <w:ind w:left="1642" w:hanging="360"/>
      </w:pPr>
      <w:rPr>
        <w:rFonts w:hint="default"/>
        <w:lang w:val="en-US" w:eastAsia="en-US" w:bidi="ar-SA"/>
      </w:rPr>
    </w:lvl>
    <w:lvl w:ilvl="2" w:tplc="350093D4">
      <w:numFmt w:val="bullet"/>
      <w:lvlText w:val="•"/>
      <w:lvlJc w:val="left"/>
      <w:pPr>
        <w:ind w:left="2444" w:hanging="360"/>
      </w:pPr>
      <w:rPr>
        <w:rFonts w:hint="default"/>
        <w:lang w:val="en-US" w:eastAsia="en-US" w:bidi="ar-SA"/>
      </w:rPr>
    </w:lvl>
    <w:lvl w:ilvl="3" w:tplc="A65CA15C">
      <w:numFmt w:val="bullet"/>
      <w:lvlText w:val="•"/>
      <w:lvlJc w:val="left"/>
      <w:pPr>
        <w:ind w:left="3246" w:hanging="360"/>
      </w:pPr>
      <w:rPr>
        <w:rFonts w:hint="default"/>
        <w:lang w:val="en-US" w:eastAsia="en-US" w:bidi="ar-SA"/>
      </w:rPr>
    </w:lvl>
    <w:lvl w:ilvl="4" w:tplc="DEEED2C4">
      <w:numFmt w:val="bullet"/>
      <w:lvlText w:val="•"/>
      <w:lvlJc w:val="left"/>
      <w:pPr>
        <w:ind w:left="4048" w:hanging="360"/>
      </w:pPr>
      <w:rPr>
        <w:rFonts w:hint="default"/>
        <w:lang w:val="en-US" w:eastAsia="en-US" w:bidi="ar-SA"/>
      </w:rPr>
    </w:lvl>
    <w:lvl w:ilvl="5" w:tplc="3680191A">
      <w:numFmt w:val="bullet"/>
      <w:lvlText w:val="•"/>
      <w:lvlJc w:val="left"/>
      <w:pPr>
        <w:ind w:left="4850" w:hanging="360"/>
      </w:pPr>
      <w:rPr>
        <w:rFonts w:hint="default"/>
        <w:lang w:val="en-US" w:eastAsia="en-US" w:bidi="ar-SA"/>
      </w:rPr>
    </w:lvl>
    <w:lvl w:ilvl="6" w:tplc="6BD89CCC">
      <w:numFmt w:val="bullet"/>
      <w:lvlText w:val="•"/>
      <w:lvlJc w:val="left"/>
      <w:pPr>
        <w:ind w:left="5652" w:hanging="360"/>
      </w:pPr>
      <w:rPr>
        <w:rFonts w:hint="default"/>
        <w:lang w:val="en-US" w:eastAsia="en-US" w:bidi="ar-SA"/>
      </w:rPr>
    </w:lvl>
    <w:lvl w:ilvl="7" w:tplc="A49C902C">
      <w:numFmt w:val="bullet"/>
      <w:lvlText w:val="•"/>
      <w:lvlJc w:val="left"/>
      <w:pPr>
        <w:ind w:left="6454" w:hanging="360"/>
      </w:pPr>
      <w:rPr>
        <w:rFonts w:hint="default"/>
        <w:lang w:val="en-US" w:eastAsia="en-US" w:bidi="ar-SA"/>
      </w:rPr>
    </w:lvl>
    <w:lvl w:ilvl="8" w:tplc="5AC0085E">
      <w:numFmt w:val="bullet"/>
      <w:lvlText w:val="•"/>
      <w:lvlJc w:val="left"/>
      <w:pPr>
        <w:ind w:left="7256" w:hanging="360"/>
      </w:pPr>
      <w:rPr>
        <w:rFonts w:hint="default"/>
        <w:lang w:val="en-US" w:eastAsia="en-US" w:bidi="ar-SA"/>
      </w:rPr>
    </w:lvl>
  </w:abstractNum>
  <w:abstractNum w:abstractNumId="32" w15:restartNumberingAfterBreak="0">
    <w:nsid w:val="64D03D7D"/>
    <w:multiLevelType w:val="multilevel"/>
    <w:tmpl w:val="39304BCA"/>
    <w:lvl w:ilvl="0">
      <w:start w:val="2"/>
      <w:numFmt w:val="decimal"/>
      <w:lvlText w:val="%1."/>
      <w:lvlJc w:val="left"/>
      <w:pPr>
        <w:ind w:left="720" w:hanging="720"/>
      </w:pPr>
      <w:rPr>
        <w:rFonts w:hint="default"/>
      </w:rPr>
    </w:lvl>
    <w:lvl w:ilvl="1">
      <w:start w:val="3"/>
      <w:numFmt w:val="decimal"/>
      <w:lvlText w:val="%1.%2."/>
      <w:lvlJc w:val="left"/>
      <w:pPr>
        <w:ind w:left="1076" w:hanging="720"/>
      </w:pPr>
      <w:rPr>
        <w:rFonts w:hint="default"/>
      </w:rPr>
    </w:lvl>
    <w:lvl w:ilvl="2">
      <w:start w:val="3"/>
      <w:numFmt w:val="decimal"/>
      <w:lvlText w:val="%1.%2.%3."/>
      <w:lvlJc w:val="left"/>
      <w:pPr>
        <w:ind w:left="1432" w:hanging="720"/>
      </w:pPr>
      <w:rPr>
        <w:rFonts w:hint="default"/>
      </w:rPr>
    </w:lvl>
    <w:lvl w:ilvl="3">
      <w:start w:val="4"/>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3" w15:restartNumberingAfterBreak="0">
    <w:nsid w:val="68CA4B10"/>
    <w:multiLevelType w:val="hybridMultilevel"/>
    <w:tmpl w:val="1ABA9CB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D549A"/>
    <w:multiLevelType w:val="hybridMultilevel"/>
    <w:tmpl w:val="A62C51AE"/>
    <w:lvl w:ilvl="0" w:tplc="1DC80572">
      <w:start w:val="1"/>
      <w:numFmt w:val="decimal"/>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50283"/>
    <w:multiLevelType w:val="hybridMultilevel"/>
    <w:tmpl w:val="059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5085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E2A9E3"/>
    <w:multiLevelType w:val="hybridMultilevel"/>
    <w:tmpl w:val="6BAC0B6E"/>
    <w:lvl w:ilvl="0" w:tplc="ED881A8C">
      <w:start w:val="1"/>
      <w:numFmt w:val="bullet"/>
      <w:lvlText w:val="*"/>
      <w:lvlJc w:val="left"/>
    </w:lvl>
    <w:lvl w:ilvl="1" w:tplc="B7F494AE">
      <w:numFmt w:val="decimal"/>
      <w:lvlText w:val=""/>
      <w:lvlJc w:val="left"/>
    </w:lvl>
    <w:lvl w:ilvl="2" w:tplc="59D85120">
      <w:numFmt w:val="decimal"/>
      <w:lvlText w:val=""/>
      <w:lvlJc w:val="left"/>
    </w:lvl>
    <w:lvl w:ilvl="3" w:tplc="C97E603C">
      <w:numFmt w:val="decimal"/>
      <w:lvlText w:val=""/>
      <w:lvlJc w:val="left"/>
    </w:lvl>
    <w:lvl w:ilvl="4" w:tplc="5F628FAE">
      <w:numFmt w:val="decimal"/>
      <w:lvlText w:val=""/>
      <w:lvlJc w:val="left"/>
    </w:lvl>
    <w:lvl w:ilvl="5" w:tplc="A9301CF0">
      <w:numFmt w:val="decimal"/>
      <w:lvlText w:val=""/>
      <w:lvlJc w:val="left"/>
    </w:lvl>
    <w:lvl w:ilvl="6" w:tplc="72DE5392">
      <w:numFmt w:val="decimal"/>
      <w:lvlText w:val=""/>
      <w:lvlJc w:val="left"/>
    </w:lvl>
    <w:lvl w:ilvl="7" w:tplc="87E025C2">
      <w:numFmt w:val="decimal"/>
      <w:lvlText w:val=""/>
      <w:lvlJc w:val="left"/>
    </w:lvl>
    <w:lvl w:ilvl="8" w:tplc="D040B318">
      <w:numFmt w:val="decimal"/>
      <w:lvlText w:val=""/>
      <w:lvlJc w:val="left"/>
    </w:lvl>
  </w:abstractNum>
  <w:abstractNum w:abstractNumId="38" w15:restartNumberingAfterBreak="0">
    <w:nsid w:val="7BBF2941"/>
    <w:multiLevelType w:val="hybridMultilevel"/>
    <w:tmpl w:val="A23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F398C"/>
    <w:multiLevelType w:val="hybridMultilevel"/>
    <w:tmpl w:val="C46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947902">
    <w:abstractNumId w:val="14"/>
  </w:num>
  <w:num w:numId="2" w16cid:durableId="1517234557">
    <w:abstractNumId w:val="7"/>
  </w:num>
  <w:num w:numId="3" w16cid:durableId="1950627580">
    <w:abstractNumId w:val="35"/>
  </w:num>
  <w:num w:numId="4" w16cid:durableId="923882635">
    <w:abstractNumId w:val="19"/>
  </w:num>
  <w:num w:numId="5" w16cid:durableId="1182010993">
    <w:abstractNumId w:val="31"/>
  </w:num>
  <w:num w:numId="6" w16cid:durableId="1599872672">
    <w:abstractNumId w:val="22"/>
  </w:num>
  <w:num w:numId="7" w16cid:durableId="2144469502">
    <w:abstractNumId w:val="30"/>
  </w:num>
  <w:num w:numId="8" w16cid:durableId="1600719795">
    <w:abstractNumId w:val="33"/>
  </w:num>
  <w:num w:numId="9" w16cid:durableId="1880506347">
    <w:abstractNumId w:val="12"/>
  </w:num>
  <w:num w:numId="10" w16cid:durableId="1612203985">
    <w:abstractNumId w:val="6"/>
  </w:num>
  <w:num w:numId="11" w16cid:durableId="21899636">
    <w:abstractNumId w:val="23"/>
  </w:num>
  <w:num w:numId="12" w16cid:durableId="2102408119">
    <w:abstractNumId w:val="27"/>
  </w:num>
  <w:num w:numId="13" w16cid:durableId="495615705">
    <w:abstractNumId w:val="36"/>
  </w:num>
  <w:num w:numId="14" w16cid:durableId="13922523">
    <w:abstractNumId w:val="9"/>
  </w:num>
  <w:num w:numId="15" w16cid:durableId="296179184">
    <w:abstractNumId w:val="24"/>
  </w:num>
  <w:num w:numId="16" w16cid:durableId="2140879551">
    <w:abstractNumId w:val="20"/>
  </w:num>
  <w:num w:numId="17" w16cid:durableId="349571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1153977">
    <w:abstractNumId w:val="5"/>
  </w:num>
  <w:num w:numId="19" w16cid:durableId="1907717484">
    <w:abstractNumId w:val="34"/>
  </w:num>
  <w:num w:numId="20" w16cid:durableId="80836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5760376">
    <w:abstractNumId w:val="3"/>
  </w:num>
  <w:num w:numId="22" w16cid:durableId="419758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10974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4877905">
    <w:abstractNumId w:val="29"/>
  </w:num>
  <w:num w:numId="25" w16cid:durableId="1833375379">
    <w:abstractNumId w:val="25"/>
  </w:num>
  <w:num w:numId="26" w16cid:durableId="2043357986">
    <w:abstractNumId w:val="32"/>
  </w:num>
  <w:num w:numId="27" w16cid:durableId="530802734">
    <w:abstractNumId w:val="16"/>
  </w:num>
  <w:num w:numId="28" w16cid:durableId="114376021">
    <w:abstractNumId w:val="11"/>
  </w:num>
  <w:num w:numId="29" w16cid:durableId="564335164">
    <w:abstractNumId w:val="0"/>
  </w:num>
  <w:num w:numId="30" w16cid:durableId="1764574071">
    <w:abstractNumId w:val="17"/>
  </w:num>
  <w:num w:numId="31" w16cid:durableId="1789228927">
    <w:abstractNumId w:val="10"/>
  </w:num>
  <w:num w:numId="32" w16cid:durableId="1562208817">
    <w:abstractNumId w:val="4"/>
  </w:num>
  <w:num w:numId="33" w16cid:durableId="1916625346">
    <w:abstractNumId w:val="8"/>
  </w:num>
  <w:num w:numId="34" w16cid:durableId="955253794">
    <w:abstractNumId w:val="39"/>
  </w:num>
  <w:num w:numId="35" w16cid:durableId="1565413376">
    <w:abstractNumId w:val="13"/>
  </w:num>
  <w:num w:numId="36" w16cid:durableId="254869732">
    <w:abstractNumId w:val="38"/>
  </w:num>
  <w:num w:numId="37" w16cid:durableId="1238442988">
    <w:abstractNumId w:val="2"/>
  </w:num>
  <w:num w:numId="38" w16cid:durableId="490097314">
    <w:abstractNumId w:val="37"/>
  </w:num>
  <w:num w:numId="39" w16cid:durableId="880554248">
    <w:abstractNumId w:val="1"/>
  </w:num>
  <w:num w:numId="40" w16cid:durableId="119081336">
    <w:abstractNumId w:val="15"/>
  </w:num>
  <w:num w:numId="41" w16cid:durableId="2100985441">
    <w:abstractNumId w:val="21"/>
  </w:num>
  <w:num w:numId="42" w16cid:durableId="6142135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UyMTA0NTe0tLRQ0lEKTi0uzszPAykwqQUAaWjfjSwAAAA="/>
  </w:docVars>
  <w:rsids>
    <w:rsidRoot w:val="002C6719"/>
    <w:rsid w:val="00003EAD"/>
    <w:rsid w:val="00003F28"/>
    <w:rsid w:val="00006253"/>
    <w:rsid w:val="000105E6"/>
    <w:rsid w:val="00012B09"/>
    <w:rsid w:val="00013279"/>
    <w:rsid w:val="000149E3"/>
    <w:rsid w:val="00014DD6"/>
    <w:rsid w:val="00015A74"/>
    <w:rsid w:val="00015CD8"/>
    <w:rsid w:val="00016849"/>
    <w:rsid w:val="00017D0D"/>
    <w:rsid w:val="0002069E"/>
    <w:rsid w:val="00020C75"/>
    <w:rsid w:val="00022CE3"/>
    <w:rsid w:val="0002485C"/>
    <w:rsid w:val="0002794C"/>
    <w:rsid w:val="00031B48"/>
    <w:rsid w:val="000340CB"/>
    <w:rsid w:val="0003525C"/>
    <w:rsid w:val="00037421"/>
    <w:rsid w:val="000408C6"/>
    <w:rsid w:val="00040980"/>
    <w:rsid w:val="00041763"/>
    <w:rsid w:val="00042DB7"/>
    <w:rsid w:val="00043A11"/>
    <w:rsid w:val="00044033"/>
    <w:rsid w:val="000445A3"/>
    <w:rsid w:val="00047B59"/>
    <w:rsid w:val="000513F0"/>
    <w:rsid w:val="0005262A"/>
    <w:rsid w:val="00052941"/>
    <w:rsid w:val="00054947"/>
    <w:rsid w:val="0005545A"/>
    <w:rsid w:val="00055D97"/>
    <w:rsid w:val="000601D8"/>
    <w:rsid w:val="00061A50"/>
    <w:rsid w:val="00061B27"/>
    <w:rsid w:val="00065B74"/>
    <w:rsid w:val="00067A09"/>
    <w:rsid w:val="00071D0F"/>
    <w:rsid w:val="00072CCE"/>
    <w:rsid w:val="00073595"/>
    <w:rsid w:val="00073625"/>
    <w:rsid w:val="00074B97"/>
    <w:rsid w:val="00077745"/>
    <w:rsid w:val="00082F6F"/>
    <w:rsid w:val="00084076"/>
    <w:rsid w:val="00087C7B"/>
    <w:rsid w:val="00087F0F"/>
    <w:rsid w:val="00090903"/>
    <w:rsid w:val="00091DBE"/>
    <w:rsid w:val="00091FF3"/>
    <w:rsid w:val="000952F9"/>
    <w:rsid w:val="000954C4"/>
    <w:rsid w:val="0009665E"/>
    <w:rsid w:val="00097815"/>
    <w:rsid w:val="000A132C"/>
    <w:rsid w:val="000A2A62"/>
    <w:rsid w:val="000A3B9C"/>
    <w:rsid w:val="000A3BC0"/>
    <w:rsid w:val="000A564B"/>
    <w:rsid w:val="000A5F51"/>
    <w:rsid w:val="000A6310"/>
    <w:rsid w:val="000A687F"/>
    <w:rsid w:val="000B0E17"/>
    <w:rsid w:val="000B459B"/>
    <w:rsid w:val="000B4929"/>
    <w:rsid w:val="000C011B"/>
    <w:rsid w:val="000C03DB"/>
    <w:rsid w:val="000C07C7"/>
    <w:rsid w:val="000C305C"/>
    <w:rsid w:val="000C4895"/>
    <w:rsid w:val="000C5256"/>
    <w:rsid w:val="000C5B02"/>
    <w:rsid w:val="000C72FF"/>
    <w:rsid w:val="000C7368"/>
    <w:rsid w:val="000D0309"/>
    <w:rsid w:val="000D19C9"/>
    <w:rsid w:val="000D2587"/>
    <w:rsid w:val="000D7C9A"/>
    <w:rsid w:val="000E52AC"/>
    <w:rsid w:val="000E586D"/>
    <w:rsid w:val="000E63F1"/>
    <w:rsid w:val="000E6412"/>
    <w:rsid w:val="000E7671"/>
    <w:rsid w:val="000E7E07"/>
    <w:rsid w:val="000F056B"/>
    <w:rsid w:val="000F1724"/>
    <w:rsid w:val="000F2AFF"/>
    <w:rsid w:val="000F355B"/>
    <w:rsid w:val="000F4CA8"/>
    <w:rsid w:val="000F61C6"/>
    <w:rsid w:val="000F661C"/>
    <w:rsid w:val="000F7858"/>
    <w:rsid w:val="001036DE"/>
    <w:rsid w:val="0011014A"/>
    <w:rsid w:val="0011055A"/>
    <w:rsid w:val="0011061B"/>
    <w:rsid w:val="001147BE"/>
    <w:rsid w:val="001147FB"/>
    <w:rsid w:val="001166DC"/>
    <w:rsid w:val="0011764C"/>
    <w:rsid w:val="0012478D"/>
    <w:rsid w:val="001259F1"/>
    <w:rsid w:val="00125D4B"/>
    <w:rsid w:val="00125F5A"/>
    <w:rsid w:val="00126880"/>
    <w:rsid w:val="00127A48"/>
    <w:rsid w:val="00130410"/>
    <w:rsid w:val="00131F61"/>
    <w:rsid w:val="00132909"/>
    <w:rsid w:val="00135AA9"/>
    <w:rsid w:val="00141B82"/>
    <w:rsid w:val="00143441"/>
    <w:rsid w:val="001435BA"/>
    <w:rsid w:val="0014387F"/>
    <w:rsid w:val="001447C4"/>
    <w:rsid w:val="00145137"/>
    <w:rsid w:val="00146866"/>
    <w:rsid w:val="001479C2"/>
    <w:rsid w:val="0015097E"/>
    <w:rsid w:val="00151F98"/>
    <w:rsid w:val="0015459C"/>
    <w:rsid w:val="001551CA"/>
    <w:rsid w:val="0015524C"/>
    <w:rsid w:val="001566E5"/>
    <w:rsid w:val="00161729"/>
    <w:rsid w:val="00165DFB"/>
    <w:rsid w:val="001706BC"/>
    <w:rsid w:val="00171841"/>
    <w:rsid w:val="00172100"/>
    <w:rsid w:val="00172970"/>
    <w:rsid w:val="001735D1"/>
    <w:rsid w:val="001804BF"/>
    <w:rsid w:val="00180559"/>
    <w:rsid w:val="001820A5"/>
    <w:rsid w:val="001858CB"/>
    <w:rsid w:val="00191F87"/>
    <w:rsid w:val="00193965"/>
    <w:rsid w:val="0019403A"/>
    <w:rsid w:val="001947AE"/>
    <w:rsid w:val="00195305"/>
    <w:rsid w:val="0019733C"/>
    <w:rsid w:val="001A058B"/>
    <w:rsid w:val="001A191F"/>
    <w:rsid w:val="001A2037"/>
    <w:rsid w:val="001A35D1"/>
    <w:rsid w:val="001A50E2"/>
    <w:rsid w:val="001A5483"/>
    <w:rsid w:val="001B33A3"/>
    <w:rsid w:val="001B3961"/>
    <w:rsid w:val="001B3CE8"/>
    <w:rsid w:val="001B4E97"/>
    <w:rsid w:val="001B67EA"/>
    <w:rsid w:val="001B7103"/>
    <w:rsid w:val="001C29F6"/>
    <w:rsid w:val="001C6406"/>
    <w:rsid w:val="001D0A19"/>
    <w:rsid w:val="001D1096"/>
    <w:rsid w:val="001D1C9E"/>
    <w:rsid w:val="001D330F"/>
    <w:rsid w:val="001D464F"/>
    <w:rsid w:val="001D541B"/>
    <w:rsid w:val="001D60E8"/>
    <w:rsid w:val="001D64CE"/>
    <w:rsid w:val="001F3CCE"/>
    <w:rsid w:val="001F3E3F"/>
    <w:rsid w:val="001F5D12"/>
    <w:rsid w:val="0020257D"/>
    <w:rsid w:val="002036F0"/>
    <w:rsid w:val="00203EE9"/>
    <w:rsid w:val="00207D08"/>
    <w:rsid w:val="00211AE9"/>
    <w:rsid w:val="002164F4"/>
    <w:rsid w:val="00220080"/>
    <w:rsid w:val="002247E9"/>
    <w:rsid w:val="00224B27"/>
    <w:rsid w:val="002251FF"/>
    <w:rsid w:val="00226DC5"/>
    <w:rsid w:val="002324DC"/>
    <w:rsid w:val="002325FB"/>
    <w:rsid w:val="00232E4C"/>
    <w:rsid w:val="0023631A"/>
    <w:rsid w:val="00236537"/>
    <w:rsid w:val="00236D98"/>
    <w:rsid w:val="002451E0"/>
    <w:rsid w:val="00245A60"/>
    <w:rsid w:val="00247498"/>
    <w:rsid w:val="002573B2"/>
    <w:rsid w:val="002575AE"/>
    <w:rsid w:val="00257DC6"/>
    <w:rsid w:val="00261BC2"/>
    <w:rsid w:val="00262EEC"/>
    <w:rsid w:val="00264543"/>
    <w:rsid w:val="00264D2D"/>
    <w:rsid w:val="00265CC8"/>
    <w:rsid w:val="00275DF0"/>
    <w:rsid w:val="00277238"/>
    <w:rsid w:val="00282004"/>
    <w:rsid w:val="00283987"/>
    <w:rsid w:val="00283B76"/>
    <w:rsid w:val="00285AFA"/>
    <w:rsid w:val="00287384"/>
    <w:rsid w:val="00287513"/>
    <w:rsid w:val="00290786"/>
    <w:rsid w:val="002936A4"/>
    <w:rsid w:val="002938F1"/>
    <w:rsid w:val="00293BED"/>
    <w:rsid w:val="00296F58"/>
    <w:rsid w:val="002A1BC5"/>
    <w:rsid w:val="002A5846"/>
    <w:rsid w:val="002B0F33"/>
    <w:rsid w:val="002B1646"/>
    <w:rsid w:val="002B2369"/>
    <w:rsid w:val="002B38AE"/>
    <w:rsid w:val="002B3D70"/>
    <w:rsid w:val="002B3E4E"/>
    <w:rsid w:val="002B4019"/>
    <w:rsid w:val="002C026B"/>
    <w:rsid w:val="002C0E97"/>
    <w:rsid w:val="002C21AB"/>
    <w:rsid w:val="002C2ACB"/>
    <w:rsid w:val="002C43F9"/>
    <w:rsid w:val="002C6719"/>
    <w:rsid w:val="002C6A0E"/>
    <w:rsid w:val="002D16D3"/>
    <w:rsid w:val="002D3D2E"/>
    <w:rsid w:val="002E03A2"/>
    <w:rsid w:val="002E090C"/>
    <w:rsid w:val="002E3755"/>
    <w:rsid w:val="002E53A1"/>
    <w:rsid w:val="002F3D54"/>
    <w:rsid w:val="002F5A18"/>
    <w:rsid w:val="003009A5"/>
    <w:rsid w:val="00300B2C"/>
    <w:rsid w:val="003017AE"/>
    <w:rsid w:val="003018C5"/>
    <w:rsid w:val="003027E5"/>
    <w:rsid w:val="00302E67"/>
    <w:rsid w:val="00304A7F"/>
    <w:rsid w:val="00305EEA"/>
    <w:rsid w:val="0030664F"/>
    <w:rsid w:val="003066D1"/>
    <w:rsid w:val="00307ED5"/>
    <w:rsid w:val="00310438"/>
    <w:rsid w:val="00311232"/>
    <w:rsid w:val="003127F5"/>
    <w:rsid w:val="003141E4"/>
    <w:rsid w:val="003153B3"/>
    <w:rsid w:val="00316D50"/>
    <w:rsid w:val="00317E04"/>
    <w:rsid w:val="00320CEF"/>
    <w:rsid w:val="00321B04"/>
    <w:rsid w:val="00321E25"/>
    <w:rsid w:val="00322BBE"/>
    <w:rsid w:val="00324496"/>
    <w:rsid w:val="00326942"/>
    <w:rsid w:val="00330C7C"/>
    <w:rsid w:val="00331406"/>
    <w:rsid w:val="003314B1"/>
    <w:rsid w:val="00334650"/>
    <w:rsid w:val="00336368"/>
    <w:rsid w:val="0033691A"/>
    <w:rsid w:val="003370C5"/>
    <w:rsid w:val="003374C1"/>
    <w:rsid w:val="003431D4"/>
    <w:rsid w:val="00345B5F"/>
    <w:rsid w:val="0034626E"/>
    <w:rsid w:val="00346FAA"/>
    <w:rsid w:val="00352912"/>
    <w:rsid w:val="0035365C"/>
    <w:rsid w:val="00353918"/>
    <w:rsid w:val="00353CFF"/>
    <w:rsid w:val="0035758B"/>
    <w:rsid w:val="00357F9B"/>
    <w:rsid w:val="0036082A"/>
    <w:rsid w:val="003614D0"/>
    <w:rsid w:val="00361A38"/>
    <w:rsid w:val="00366991"/>
    <w:rsid w:val="00366B50"/>
    <w:rsid w:val="00367015"/>
    <w:rsid w:val="00367D17"/>
    <w:rsid w:val="00374F24"/>
    <w:rsid w:val="0037701F"/>
    <w:rsid w:val="003803E4"/>
    <w:rsid w:val="0038099D"/>
    <w:rsid w:val="003837F0"/>
    <w:rsid w:val="00386440"/>
    <w:rsid w:val="00386D4D"/>
    <w:rsid w:val="003870A1"/>
    <w:rsid w:val="003961D0"/>
    <w:rsid w:val="00396C16"/>
    <w:rsid w:val="00397A9D"/>
    <w:rsid w:val="003A1446"/>
    <w:rsid w:val="003A313A"/>
    <w:rsid w:val="003A348E"/>
    <w:rsid w:val="003A770F"/>
    <w:rsid w:val="003B0453"/>
    <w:rsid w:val="003B28ED"/>
    <w:rsid w:val="003B4B1F"/>
    <w:rsid w:val="003B5B1A"/>
    <w:rsid w:val="003C0869"/>
    <w:rsid w:val="003C1996"/>
    <w:rsid w:val="003C1DEA"/>
    <w:rsid w:val="003C2E5C"/>
    <w:rsid w:val="003C3D7E"/>
    <w:rsid w:val="003C4E48"/>
    <w:rsid w:val="003C5F9A"/>
    <w:rsid w:val="003C7214"/>
    <w:rsid w:val="003D0F62"/>
    <w:rsid w:val="003D18D8"/>
    <w:rsid w:val="003D2965"/>
    <w:rsid w:val="003D5876"/>
    <w:rsid w:val="003E1317"/>
    <w:rsid w:val="003E186B"/>
    <w:rsid w:val="003E5962"/>
    <w:rsid w:val="003E59A9"/>
    <w:rsid w:val="003E6352"/>
    <w:rsid w:val="003E6C26"/>
    <w:rsid w:val="003F290C"/>
    <w:rsid w:val="004015DF"/>
    <w:rsid w:val="00402425"/>
    <w:rsid w:val="0040543C"/>
    <w:rsid w:val="0040584A"/>
    <w:rsid w:val="00412371"/>
    <w:rsid w:val="00412C4F"/>
    <w:rsid w:val="00414596"/>
    <w:rsid w:val="004155FE"/>
    <w:rsid w:val="00415B28"/>
    <w:rsid w:val="00423752"/>
    <w:rsid w:val="00424A78"/>
    <w:rsid w:val="00430304"/>
    <w:rsid w:val="0043357E"/>
    <w:rsid w:val="00433DF3"/>
    <w:rsid w:val="00434677"/>
    <w:rsid w:val="004400D5"/>
    <w:rsid w:val="004419D8"/>
    <w:rsid w:val="00441A19"/>
    <w:rsid w:val="00444073"/>
    <w:rsid w:val="004449D0"/>
    <w:rsid w:val="004452E8"/>
    <w:rsid w:val="00447830"/>
    <w:rsid w:val="00452741"/>
    <w:rsid w:val="004565B1"/>
    <w:rsid w:val="004569DF"/>
    <w:rsid w:val="00461D3F"/>
    <w:rsid w:val="00462A6A"/>
    <w:rsid w:val="00462ACD"/>
    <w:rsid w:val="00463FEF"/>
    <w:rsid w:val="00464C1D"/>
    <w:rsid w:val="004663F5"/>
    <w:rsid w:val="004705F4"/>
    <w:rsid w:val="00471720"/>
    <w:rsid w:val="004749F8"/>
    <w:rsid w:val="004774ED"/>
    <w:rsid w:val="0048243E"/>
    <w:rsid w:val="00484E03"/>
    <w:rsid w:val="004859BB"/>
    <w:rsid w:val="00485BDB"/>
    <w:rsid w:val="004860BD"/>
    <w:rsid w:val="00491162"/>
    <w:rsid w:val="004913FA"/>
    <w:rsid w:val="004966E3"/>
    <w:rsid w:val="00496F44"/>
    <w:rsid w:val="004A118C"/>
    <w:rsid w:val="004A2AF9"/>
    <w:rsid w:val="004A33D6"/>
    <w:rsid w:val="004A3DDF"/>
    <w:rsid w:val="004A517C"/>
    <w:rsid w:val="004A59A4"/>
    <w:rsid w:val="004A7652"/>
    <w:rsid w:val="004A787B"/>
    <w:rsid w:val="004B19DB"/>
    <w:rsid w:val="004B738D"/>
    <w:rsid w:val="004C20AD"/>
    <w:rsid w:val="004C2482"/>
    <w:rsid w:val="004C2D8C"/>
    <w:rsid w:val="004D499C"/>
    <w:rsid w:val="004D6F36"/>
    <w:rsid w:val="004D70B6"/>
    <w:rsid w:val="004D7293"/>
    <w:rsid w:val="004E0FFC"/>
    <w:rsid w:val="004E292D"/>
    <w:rsid w:val="004E4C8E"/>
    <w:rsid w:val="004E4CE3"/>
    <w:rsid w:val="004E5EF3"/>
    <w:rsid w:val="004E7B22"/>
    <w:rsid w:val="004F1616"/>
    <w:rsid w:val="004F1EE9"/>
    <w:rsid w:val="004F5076"/>
    <w:rsid w:val="004F5767"/>
    <w:rsid w:val="004F6502"/>
    <w:rsid w:val="004F7CDF"/>
    <w:rsid w:val="00500D3A"/>
    <w:rsid w:val="00501582"/>
    <w:rsid w:val="005029D3"/>
    <w:rsid w:val="005037A6"/>
    <w:rsid w:val="0050393B"/>
    <w:rsid w:val="0050429C"/>
    <w:rsid w:val="00504CC9"/>
    <w:rsid w:val="00507C4B"/>
    <w:rsid w:val="00512DC4"/>
    <w:rsid w:val="00513713"/>
    <w:rsid w:val="00514A77"/>
    <w:rsid w:val="00520BBC"/>
    <w:rsid w:val="00520D2B"/>
    <w:rsid w:val="005216E9"/>
    <w:rsid w:val="00521717"/>
    <w:rsid w:val="005218AB"/>
    <w:rsid w:val="0052484C"/>
    <w:rsid w:val="00527731"/>
    <w:rsid w:val="00531081"/>
    <w:rsid w:val="005319DA"/>
    <w:rsid w:val="0053315D"/>
    <w:rsid w:val="00533C34"/>
    <w:rsid w:val="00534E85"/>
    <w:rsid w:val="0053520A"/>
    <w:rsid w:val="00535A4D"/>
    <w:rsid w:val="00535C82"/>
    <w:rsid w:val="0053630E"/>
    <w:rsid w:val="0053675D"/>
    <w:rsid w:val="00537D8E"/>
    <w:rsid w:val="00540A3C"/>
    <w:rsid w:val="0054273E"/>
    <w:rsid w:val="00542EA8"/>
    <w:rsid w:val="005442E6"/>
    <w:rsid w:val="0054550E"/>
    <w:rsid w:val="005456F9"/>
    <w:rsid w:val="00546D35"/>
    <w:rsid w:val="00550B25"/>
    <w:rsid w:val="00551040"/>
    <w:rsid w:val="00553A24"/>
    <w:rsid w:val="00554F64"/>
    <w:rsid w:val="00555144"/>
    <w:rsid w:val="0055703C"/>
    <w:rsid w:val="00560161"/>
    <w:rsid w:val="005641FF"/>
    <w:rsid w:val="0056465F"/>
    <w:rsid w:val="00565A7B"/>
    <w:rsid w:val="00570978"/>
    <w:rsid w:val="00571747"/>
    <w:rsid w:val="00571B49"/>
    <w:rsid w:val="005760B1"/>
    <w:rsid w:val="00576728"/>
    <w:rsid w:val="005771E8"/>
    <w:rsid w:val="0057728D"/>
    <w:rsid w:val="00577678"/>
    <w:rsid w:val="00580E37"/>
    <w:rsid w:val="00584436"/>
    <w:rsid w:val="00585CED"/>
    <w:rsid w:val="005863BD"/>
    <w:rsid w:val="00587370"/>
    <w:rsid w:val="005A00C2"/>
    <w:rsid w:val="005A0F98"/>
    <w:rsid w:val="005A4CC0"/>
    <w:rsid w:val="005A5944"/>
    <w:rsid w:val="005B1DCE"/>
    <w:rsid w:val="005B5D33"/>
    <w:rsid w:val="005B6A7E"/>
    <w:rsid w:val="005C02A6"/>
    <w:rsid w:val="005C21AA"/>
    <w:rsid w:val="005C5831"/>
    <w:rsid w:val="005C6759"/>
    <w:rsid w:val="005D0AA1"/>
    <w:rsid w:val="005D0DE9"/>
    <w:rsid w:val="005D3229"/>
    <w:rsid w:val="005D3C04"/>
    <w:rsid w:val="005D5C28"/>
    <w:rsid w:val="005D77AE"/>
    <w:rsid w:val="005E0176"/>
    <w:rsid w:val="005E044D"/>
    <w:rsid w:val="005E1195"/>
    <w:rsid w:val="005E182C"/>
    <w:rsid w:val="005E2690"/>
    <w:rsid w:val="005E4CF3"/>
    <w:rsid w:val="005E5774"/>
    <w:rsid w:val="005E7E03"/>
    <w:rsid w:val="005F3360"/>
    <w:rsid w:val="005F5267"/>
    <w:rsid w:val="005F68F5"/>
    <w:rsid w:val="005F7DC0"/>
    <w:rsid w:val="005F7F77"/>
    <w:rsid w:val="00600437"/>
    <w:rsid w:val="00601F87"/>
    <w:rsid w:val="00602489"/>
    <w:rsid w:val="00602C01"/>
    <w:rsid w:val="00605EF8"/>
    <w:rsid w:val="0060692E"/>
    <w:rsid w:val="006113AC"/>
    <w:rsid w:val="006175C9"/>
    <w:rsid w:val="006244E5"/>
    <w:rsid w:val="006254C0"/>
    <w:rsid w:val="00625CC5"/>
    <w:rsid w:val="00625DE6"/>
    <w:rsid w:val="00625E21"/>
    <w:rsid w:val="006260B0"/>
    <w:rsid w:val="00630614"/>
    <w:rsid w:val="00631BFD"/>
    <w:rsid w:val="006332AA"/>
    <w:rsid w:val="006332B6"/>
    <w:rsid w:val="00634342"/>
    <w:rsid w:val="006361D1"/>
    <w:rsid w:val="00636FDD"/>
    <w:rsid w:val="00641C90"/>
    <w:rsid w:val="00643432"/>
    <w:rsid w:val="00643C36"/>
    <w:rsid w:val="00644639"/>
    <w:rsid w:val="00646A9C"/>
    <w:rsid w:val="00647891"/>
    <w:rsid w:val="00651EAD"/>
    <w:rsid w:val="00652056"/>
    <w:rsid w:val="00654BC3"/>
    <w:rsid w:val="0065523F"/>
    <w:rsid w:val="00655258"/>
    <w:rsid w:val="006555D5"/>
    <w:rsid w:val="00657681"/>
    <w:rsid w:val="006628D0"/>
    <w:rsid w:val="006634A9"/>
    <w:rsid w:val="00664785"/>
    <w:rsid w:val="006672EE"/>
    <w:rsid w:val="00670BAD"/>
    <w:rsid w:val="00672AD6"/>
    <w:rsid w:val="00672FB0"/>
    <w:rsid w:val="006744E4"/>
    <w:rsid w:val="006745F9"/>
    <w:rsid w:val="00675800"/>
    <w:rsid w:val="00676AAA"/>
    <w:rsid w:val="00677E2F"/>
    <w:rsid w:val="0068239A"/>
    <w:rsid w:val="00684D32"/>
    <w:rsid w:val="00686BD1"/>
    <w:rsid w:val="006870E3"/>
    <w:rsid w:val="00687154"/>
    <w:rsid w:val="006928A6"/>
    <w:rsid w:val="00692D41"/>
    <w:rsid w:val="00693409"/>
    <w:rsid w:val="0069634C"/>
    <w:rsid w:val="00696BE9"/>
    <w:rsid w:val="00697B0C"/>
    <w:rsid w:val="00697BE3"/>
    <w:rsid w:val="00697C13"/>
    <w:rsid w:val="006A094E"/>
    <w:rsid w:val="006A12BB"/>
    <w:rsid w:val="006A2CBC"/>
    <w:rsid w:val="006A4005"/>
    <w:rsid w:val="006A47BA"/>
    <w:rsid w:val="006A5A27"/>
    <w:rsid w:val="006A5BE4"/>
    <w:rsid w:val="006A6F56"/>
    <w:rsid w:val="006B1B12"/>
    <w:rsid w:val="006B2A02"/>
    <w:rsid w:val="006B4B74"/>
    <w:rsid w:val="006B50CA"/>
    <w:rsid w:val="006B7346"/>
    <w:rsid w:val="006C1B25"/>
    <w:rsid w:val="006C3DA0"/>
    <w:rsid w:val="006C42A2"/>
    <w:rsid w:val="006C7D1E"/>
    <w:rsid w:val="006D0B25"/>
    <w:rsid w:val="006D1AA6"/>
    <w:rsid w:val="006D1F29"/>
    <w:rsid w:val="006D312A"/>
    <w:rsid w:val="006D32CE"/>
    <w:rsid w:val="006D42F1"/>
    <w:rsid w:val="006D5661"/>
    <w:rsid w:val="006D6415"/>
    <w:rsid w:val="006E3304"/>
    <w:rsid w:val="006E368B"/>
    <w:rsid w:val="006E4FAC"/>
    <w:rsid w:val="006F20D9"/>
    <w:rsid w:val="006F226F"/>
    <w:rsid w:val="006F305B"/>
    <w:rsid w:val="006F4E0D"/>
    <w:rsid w:val="006F6ACE"/>
    <w:rsid w:val="006F7227"/>
    <w:rsid w:val="00703C97"/>
    <w:rsid w:val="00706F0C"/>
    <w:rsid w:val="0070782E"/>
    <w:rsid w:val="00707FE5"/>
    <w:rsid w:val="00710B14"/>
    <w:rsid w:val="00710B4D"/>
    <w:rsid w:val="007123DD"/>
    <w:rsid w:val="0071343F"/>
    <w:rsid w:val="007139B4"/>
    <w:rsid w:val="00713C38"/>
    <w:rsid w:val="0071480A"/>
    <w:rsid w:val="00714A0A"/>
    <w:rsid w:val="00715826"/>
    <w:rsid w:val="00716416"/>
    <w:rsid w:val="00720D7C"/>
    <w:rsid w:val="00720F29"/>
    <w:rsid w:val="00721A73"/>
    <w:rsid w:val="00722296"/>
    <w:rsid w:val="00724CDB"/>
    <w:rsid w:val="007254B2"/>
    <w:rsid w:val="00726417"/>
    <w:rsid w:val="00726A58"/>
    <w:rsid w:val="0072724B"/>
    <w:rsid w:val="0073176B"/>
    <w:rsid w:val="00731FBD"/>
    <w:rsid w:val="00734C5E"/>
    <w:rsid w:val="0073644B"/>
    <w:rsid w:val="007368B9"/>
    <w:rsid w:val="00737C2D"/>
    <w:rsid w:val="00745E0F"/>
    <w:rsid w:val="00746B50"/>
    <w:rsid w:val="00754BEF"/>
    <w:rsid w:val="0075685E"/>
    <w:rsid w:val="00756DA4"/>
    <w:rsid w:val="007579B7"/>
    <w:rsid w:val="0076378A"/>
    <w:rsid w:val="00763850"/>
    <w:rsid w:val="00764947"/>
    <w:rsid w:val="007650EC"/>
    <w:rsid w:val="007677D3"/>
    <w:rsid w:val="00767D4F"/>
    <w:rsid w:val="00770B53"/>
    <w:rsid w:val="00770BFF"/>
    <w:rsid w:val="007720CD"/>
    <w:rsid w:val="00774194"/>
    <w:rsid w:val="00775289"/>
    <w:rsid w:val="007754AD"/>
    <w:rsid w:val="007755A2"/>
    <w:rsid w:val="00776758"/>
    <w:rsid w:val="00776D72"/>
    <w:rsid w:val="007772CA"/>
    <w:rsid w:val="0078082F"/>
    <w:rsid w:val="007818F7"/>
    <w:rsid w:val="00781F6C"/>
    <w:rsid w:val="007823F6"/>
    <w:rsid w:val="0078298D"/>
    <w:rsid w:val="00783B5F"/>
    <w:rsid w:val="0079011E"/>
    <w:rsid w:val="007937B8"/>
    <w:rsid w:val="00794E82"/>
    <w:rsid w:val="00796006"/>
    <w:rsid w:val="007966D1"/>
    <w:rsid w:val="007A4A00"/>
    <w:rsid w:val="007A792E"/>
    <w:rsid w:val="007B25A3"/>
    <w:rsid w:val="007B2781"/>
    <w:rsid w:val="007B347B"/>
    <w:rsid w:val="007C0146"/>
    <w:rsid w:val="007C04CB"/>
    <w:rsid w:val="007C0757"/>
    <w:rsid w:val="007C1FBE"/>
    <w:rsid w:val="007C44B1"/>
    <w:rsid w:val="007C4A40"/>
    <w:rsid w:val="007C4F77"/>
    <w:rsid w:val="007C6E37"/>
    <w:rsid w:val="007C6FA7"/>
    <w:rsid w:val="007C7F55"/>
    <w:rsid w:val="007D0B29"/>
    <w:rsid w:val="007D10DC"/>
    <w:rsid w:val="007D1301"/>
    <w:rsid w:val="007D63AC"/>
    <w:rsid w:val="007E142E"/>
    <w:rsid w:val="007E79C3"/>
    <w:rsid w:val="007E7A4B"/>
    <w:rsid w:val="007F0A23"/>
    <w:rsid w:val="007F2C0A"/>
    <w:rsid w:val="007F3956"/>
    <w:rsid w:val="007F6F6A"/>
    <w:rsid w:val="00802573"/>
    <w:rsid w:val="00805B86"/>
    <w:rsid w:val="00806C0F"/>
    <w:rsid w:val="00812915"/>
    <w:rsid w:val="00812A82"/>
    <w:rsid w:val="00814287"/>
    <w:rsid w:val="00815F3F"/>
    <w:rsid w:val="008174AD"/>
    <w:rsid w:val="00821150"/>
    <w:rsid w:val="00821F51"/>
    <w:rsid w:val="00824399"/>
    <w:rsid w:val="00824CDD"/>
    <w:rsid w:val="008255BA"/>
    <w:rsid w:val="00835934"/>
    <w:rsid w:val="0084088E"/>
    <w:rsid w:val="00842B15"/>
    <w:rsid w:val="0084376C"/>
    <w:rsid w:val="0084623E"/>
    <w:rsid w:val="0084624A"/>
    <w:rsid w:val="0084650D"/>
    <w:rsid w:val="008503F1"/>
    <w:rsid w:val="00852295"/>
    <w:rsid w:val="00853679"/>
    <w:rsid w:val="00854A78"/>
    <w:rsid w:val="008552C0"/>
    <w:rsid w:val="00855B4E"/>
    <w:rsid w:val="00855EC5"/>
    <w:rsid w:val="0085611E"/>
    <w:rsid w:val="008568D9"/>
    <w:rsid w:val="0086157E"/>
    <w:rsid w:val="00862DB7"/>
    <w:rsid w:val="00864D06"/>
    <w:rsid w:val="00866D99"/>
    <w:rsid w:val="00867787"/>
    <w:rsid w:val="00867F97"/>
    <w:rsid w:val="0087208D"/>
    <w:rsid w:val="008736F5"/>
    <w:rsid w:val="00874329"/>
    <w:rsid w:val="00880FB3"/>
    <w:rsid w:val="00885C0C"/>
    <w:rsid w:val="0088705E"/>
    <w:rsid w:val="00894E6E"/>
    <w:rsid w:val="00896318"/>
    <w:rsid w:val="008A1453"/>
    <w:rsid w:val="008A3700"/>
    <w:rsid w:val="008A4D78"/>
    <w:rsid w:val="008A53DA"/>
    <w:rsid w:val="008A7722"/>
    <w:rsid w:val="008B2211"/>
    <w:rsid w:val="008B222C"/>
    <w:rsid w:val="008B38AA"/>
    <w:rsid w:val="008B400D"/>
    <w:rsid w:val="008B5C40"/>
    <w:rsid w:val="008B79C0"/>
    <w:rsid w:val="008C1C19"/>
    <w:rsid w:val="008C1FE4"/>
    <w:rsid w:val="008C3378"/>
    <w:rsid w:val="008C4F5F"/>
    <w:rsid w:val="008D2F62"/>
    <w:rsid w:val="008D4149"/>
    <w:rsid w:val="008D53A9"/>
    <w:rsid w:val="008D53E9"/>
    <w:rsid w:val="008D603C"/>
    <w:rsid w:val="008D6844"/>
    <w:rsid w:val="008E0B83"/>
    <w:rsid w:val="008E10C0"/>
    <w:rsid w:val="008E25B1"/>
    <w:rsid w:val="008E30BA"/>
    <w:rsid w:val="008E3335"/>
    <w:rsid w:val="008E3712"/>
    <w:rsid w:val="008E4704"/>
    <w:rsid w:val="008E4782"/>
    <w:rsid w:val="008E4E8C"/>
    <w:rsid w:val="008E6D75"/>
    <w:rsid w:val="008E7E48"/>
    <w:rsid w:val="008F1FC5"/>
    <w:rsid w:val="008F240A"/>
    <w:rsid w:val="008F4C82"/>
    <w:rsid w:val="008F4D57"/>
    <w:rsid w:val="0090086F"/>
    <w:rsid w:val="0090104A"/>
    <w:rsid w:val="00905143"/>
    <w:rsid w:val="009070DF"/>
    <w:rsid w:val="0090784F"/>
    <w:rsid w:val="009100F2"/>
    <w:rsid w:val="00910901"/>
    <w:rsid w:val="0091157C"/>
    <w:rsid w:val="00912EC3"/>
    <w:rsid w:val="009200A1"/>
    <w:rsid w:val="009216E2"/>
    <w:rsid w:val="00921A47"/>
    <w:rsid w:val="00922485"/>
    <w:rsid w:val="00922C8B"/>
    <w:rsid w:val="009238AE"/>
    <w:rsid w:val="00925F6C"/>
    <w:rsid w:val="00927DE0"/>
    <w:rsid w:val="00927EF9"/>
    <w:rsid w:val="00931204"/>
    <w:rsid w:val="00933F95"/>
    <w:rsid w:val="00935F7E"/>
    <w:rsid w:val="009420EF"/>
    <w:rsid w:val="00943695"/>
    <w:rsid w:val="00944BA6"/>
    <w:rsid w:val="00945658"/>
    <w:rsid w:val="009518BD"/>
    <w:rsid w:val="00957DB8"/>
    <w:rsid w:val="009605B2"/>
    <w:rsid w:val="009652A6"/>
    <w:rsid w:val="00966C2F"/>
    <w:rsid w:val="00970B3B"/>
    <w:rsid w:val="00970C3B"/>
    <w:rsid w:val="00971F75"/>
    <w:rsid w:val="009731F2"/>
    <w:rsid w:val="00975DF0"/>
    <w:rsid w:val="00977D2D"/>
    <w:rsid w:val="00980B04"/>
    <w:rsid w:val="0098241B"/>
    <w:rsid w:val="009825EC"/>
    <w:rsid w:val="009850CE"/>
    <w:rsid w:val="00985703"/>
    <w:rsid w:val="00985A72"/>
    <w:rsid w:val="00985BDD"/>
    <w:rsid w:val="00987F02"/>
    <w:rsid w:val="009933C7"/>
    <w:rsid w:val="00993AD7"/>
    <w:rsid w:val="00994081"/>
    <w:rsid w:val="009945A2"/>
    <w:rsid w:val="00994FAB"/>
    <w:rsid w:val="0099540B"/>
    <w:rsid w:val="0099649D"/>
    <w:rsid w:val="009974CB"/>
    <w:rsid w:val="009975F3"/>
    <w:rsid w:val="009A289D"/>
    <w:rsid w:val="009A2B85"/>
    <w:rsid w:val="009A30BA"/>
    <w:rsid w:val="009A41A5"/>
    <w:rsid w:val="009A6403"/>
    <w:rsid w:val="009A73A2"/>
    <w:rsid w:val="009B08AA"/>
    <w:rsid w:val="009B4A8A"/>
    <w:rsid w:val="009B4B9C"/>
    <w:rsid w:val="009B5413"/>
    <w:rsid w:val="009B79DA"/>
    <w:rsid w:val="009C015E"/>
    <w:rsid w:val="009C10BE"/>
    <w:rsid w:val="009C277F"/>
    <w:rsid w:val="009C33E7"/>
    <w:rsid w:val="009C4734"/>
    <w:rsid w:val="009C4C36"/>
    <w:rsid w:val="009C56FC"/>
    <w:rsid w:val="009C5923"/>
    <w:rsid w:val="009C6275"/>
    <w:rsid w:val="009C7B04"/>
    <w:rsid w:val="009D1F37"/>
    <w:rsid w:val="009D3217"/>
    <w:rsid w:val="009D50D2"/>
    <w:rsid w:val="009E0741"/>
    <w:rsid w:val="009E3B05"/>
    <w:rsid w:val="009E55B2"/>
    <w:rsid w:val="009E773A"/>
    <w:rsid w:val="009E795B"/>
    <w:rsid w:val="009F0F48"/>
    <w:rsid w:val="009F24DE"/>
    <w:rsid w:val="009F2863"/>
    <w:rsid w:val="009F3AD0"/>
    <w:rsid w:val="00A016E8"/>
    <w:rsid w:val="00A01E40"/>
    <w:rsid w:val="00A01E80"/>
    <w:rsid w:val="00A03534"/>
    <w:rsid w:val="00A04D27"/>
    <w:rsid w:val="00A051A5"/>
    <w:rsid w:val="00A05D1D"/>
    <w:rsid w:val="00A07F3E"/>
    <w:rsid w:val="00A07FDB"/>
    <w:rsid w:val="00A10E66"/>
    <w:rsid w:val="00A11953"/>
    <w:rsid w:val="00A1411A"/>
    <w:rsid w:val="00A156F5"/>
    <w:rsid w:val="00A15F1B"/>
    <w:rsid w:val="00A16337"/>
    <w:rsid w:val="00A1647D"/>
    <w:rsid w:val="00A21519"/>
    <w:rsid w:val="00A22998"/>
    <w:rsid w:val="00A22A8F"/>
    <w:rsid w:val="00A26599"/>
    <w:rsid w:val="00A33539"/>
    <w:rsid w:val="00A36782"/>
    <w:rsid w:val="00A367A9"/>
    <w:rsid w:val="00A4145C"/>
    <w:rsid w:val="00A45174"/>
    <w:rsid w:val="00A462E5"/>
    <w:rsid w:val="00A46A29"/>
    <w:rsid w:val="00A51D25"/>
    <w:rsid w:val="00A53EAC"/>
    <w:rsid w:val="00A5462A"/>
    <w:rsid w:val="00A56037"/>
    <w:rsid w:val="00A56E24"/>
    <w:rsid w:val="00A60423"/>
    <w:rsid w:val="00A60580"/>
    <w:rsid w:val="00A62582"/>
    <w:rsid w:val="00A63D59"/>
    <w:rsid w:val="00A658E6"/>
    <w:rsid w:val="00A66C63"/>
    <w:rsid w:val="00A675A1"/>
    <w:rsid w:val="00A72F65"/>
    <w:rsid w:val="00A81B12"/>
    <w:rsid w:val="00A81D2B"/>
    <w:rsid w:val="00A825B0"/>
    <w:rsid w:val="00A839D1"/>
    <w:rsid w:val="00A85D68"/>
    <w:rsid w:val="00A86941"/>
    <w:rsid w:val="00A9220C"/>
    <w:rsid w:val="00A94E65"/>
    <w:rsid w:val="00A96EC2"/>
    <w:rsid w:val="00A97402"/>
    <w:rsid w:val="00A97BD6"/>
    <w:rsid w:val="00A97DB3"/>
    <w:rsid w:val="00AA067D"/>
    <w:rsid w:val="00AA6DF1"/>
    <w:rsid w:val="00AB082F"/>
    <w:rsid w:val="00AB22A7"/>
    <w:rsid w:val="00AB64A6"/>
    <w:rsid w:val="00AB6DD9"/>
    <w:rsid w:val="00AC2C4C"/>
    <w:rsid w:val="00AC4296"/>
    <w:rsid w:val="00AC79F8"/>
    <w:rsid w:val="00AD42E0"/>
    <w:rsid w:val="00AD51BC"/>
    <w:rsid w:val="00AD76B4"/>
    <w:rsid w:val="00AE0DE2"/>
    <w:rsid w:val="00AE11C8"/>
    <w:rsid w:val="00AE1542"/>
    <w:rsid w:val="00AE1A1F"/>
    <w:rsid w:val="00AE1A91"/>
    <w:rsid w:val="00AE283D"/>
    <w:rsid w:val="00AE2C27"/>
    <w:rsid w:val="00AE3646"/>
    <w:rsid w:val="00AE46CB"/>
    <w:rsid w:val="00AE4C26"/>
    <w:rsid w:val="00AE4DC8"/>
    <w:rsid w:val="00AE6495"/>
    <w:rsid w:val="00AE6FC4"/>
    <w:rsid w:val="00AF094C"/>
    <w:rsid w:val="00AF1480"/>
    <w:rsid w:val="00AF218F"/>
    <w:rsid w:val="00AF59F4"/>
    <w:rsid w:val="00AF7187"/>
    <w:rsid w:val="00AF7A64"/>
    <w:rsid w:val="00B015C1"/>
    <w:rsid w:val="00B04333"/>
    <w:rsid w:val="00B0458D"/>
    <w:rsid w:val="00B051F9"/>
    <w:rsid w:val="00B061FF"/>
    <w:rsid w:val="00B1037E"/>
    <w:rsid w:val="00B10A47"/>
    <w:rsid w:val="00B10CC3"/>
    <w:rsid w:val="00B13884"/>
    <w:rsid w:val="00B14550"/>
    <w:rsid w:val="00B14B2D"/>
    <w:rsid w:val="00B22F0A"/>
    <w:rsid w:val="00B25A08"/>
    <w:rsid w:val="00B3029A"/>
    <w:rsid w:val="00B33E74"/>
    <w:rsid w:val="00B33F2E"/>
    <w:rsid w:val="00B37444"/>
    <w:rsid w:val="00B442B4"/>
    <w:rsid w:val="00B4439B"/>
    <w:rsid w:val="00B44AC1"/>
    <w:rsid w:val="00B47D65"/>
    <w:rsid w:val="00B503E7"/>
    <w:rsid w:val="00B52310"/>
    <w:rsid w:val="00B5273D"/>
    <w:rsid w:val="00B5434F"/>
    <w:rsid w:val="00B5612C"/>
    <w:rsid w:val="00B56295"/>
    <w:rsid w:val="00B60BB8"/>
    <w:rsid w:val="00B60CE5"/>
    <w:rsid w:val="00B61490"/>
    <w:rsid w:val="00B62C2F"/>
    <w:rsid w:val="00B62C92"/>
    <w:rsid w:val="00B62D8C"/>
    <w:rsid w:val="00B633C5"/>
    <w:rsid w:val="00B6360D"/>
    <w:rsid w:val="00B70E7A"/>
    <w:rsid w:val="00B7177F"/>
    <w:rsid w:val="00B71EB4"/>
    <w:rsid w:val="00B7633C"/>
    <w:rsid w:val="00B76746"/>
    <w:rsid w:val="00B7758A"/>
    <w:rsid w:val="00B80DD9"/>
    <w:rsid w:val="00B80E04"/>
    <w:rsid w:val="00B84E80"/>
    <w:rsid w:val="00B85F7F"/>
    <w:rsid w:val="00B87F92"/>
    <w:rsid w:val="00B903A8"/>
    <w:rsid w:val="00B921D2"/>
    <w:rsid w:val="00B94039"/>
    <w:rsid w:val="00B96078"/>
    <w:rsid w:val="00BA087B"/>
    <w:rsid w:val="00BA1248"/>
    <w:rsid w:val="00BA2B2F"/>
    <w:rsid w:val="00BB6C74"/>
    <w:rsid w:val="00BB6D52"/>
    <w:rsid w:val="00BC1F64"/>
    <w:rsid w:val="00BC2467"/>
    <w:rsid w:val="00BC2DDC"/>
    <w:rsid w:val="00BC3DFB"/>
    <w:rsid w:val="00BC4DE2"/>
    <w:rsid w:val="00BC712E"/>
    <w:rsid w:val="00BD5396"/>
    <w:rsid w:val="00BD65D7"/>
    <w:rsid w:val="00BD6F80"/>
    <w:rsid w:val="00BE15AB"/>
    <w:rsid w:val="00BE15F6"/>
    <w:rsid w:val="00BE1972"/>
    <w:rsid w:val="00BE2717"/>
    <w:rsid w:val="00BE2A50"/>
    <w:rsid w:val="00BE7161"/>
    <w:rsid w:val="00BE7FCA"/>
    <w:rsid w:val="00BF014B"/>
    <w:rsid w:val="00BF02EB"/>
    <w:rsid w:val="00BF6E9E"/>
    <w:rsid w:val="00C00537"/>
    <w:rsid w:val="00C02B88"/>
    <w:rsid w:val="00C03C2A"/>
    <w:rsid w:val="00C04B71"/>
    <w:rsid w:val="00C06011"/>
    <w:rsid w:val="00C10A89"/>
    <w:rsid w:val="00C10C41"/>
    <w:rsid w:val="00C1239D"/>
    <w:rsid w:val="00C135FE"/>
    <w:rsid w:val="00C13CB1"/>
    <w:rsid w:val="00C153B0"/>
    <w:rsid w:val="00C16F08"/>
    <w:rsid w:val="00C30F37"/>
    <w:rsid w:val="00C31DBA"/>
    <w:rsid w:val="00C32515"/>
    <w:rsid w:val="00C3357C"/>
    <w:rsid w:val="00C34E1F"/>
    <w:rsid w:val="00C35730"/>
    <w:rsid w:val="00C40330"/>
    <w:rsid w:val="00C43907"/>
    <w:rsid w:val="00C46349"/>
    <w:rsid w:val="00C501D3"/>
    <w:rsid w:val="00C51604"/>
    <w:rsid w:val="00C53F51"/>
    <w:rsid w:val="00C540C0"/>
    <w:rsid w:val="00C543CC"/>
    <w:rsid w:val="00C543DD"/>
    <w:rsid w:val="00C61562"/>
    <w:rsid w:val="00C63A7A"/>
    <w:rsid w:val="00C64283"/>
    <w:rsid w:val="00C705FC"/>
    <w:rsid w:val="00C709C8"/>
    <w:rsid w:val="00C71FB2"/>
    <w:rsid w:val="00C729ED"/>
    <w:rsid w:val="00C73A72"/>
    <w:rsid w:val="00C73B8F"/>
    <w:rsid w:val="00C750E7"/>
    <w:rsid w:val="00C765F0"/>
    <w:rsid w:val="00C831CC"/>
    <w:rsid w:val="00C83CC7"/>
    <w:rsid w:val="00C853B7"/>
    <w:rsid w:val="00C85445"/>
    <w:rsid w:val="00C85DAC"/>
    <w:rsid w:val="00C93AF0"/>
    <w:rsid w:val="00C94B50"/>
    <w:rsid w:val="00CA339F"/>
    <w:rsid w:val="00CA46E5"/>
    <w:rsid w:val="00CA7598"/>
    <w:rsid w:val="00CA7E4B"/>
    <w:rsid w:val="00CB0BBC"/>
    <w:rsid w:val="00CB0CEA"/>
    <w:rsid w:val="00CB2209"/>
    <w:rsid w:val="00CB4650"/>
    <w:rsid w:val="00CC2278"/>
    <w:rsid w:val="00CC5DDC"/>
    <w:rsid w:val="00CD2A21"/>
    <w:rsid w:val="00CD56E9"/>
    <w:rsid w:val="00CE1B82"/>
    <w:rsid w:val="00CE1F48"/>
    <w:rsid w:val="00CE4DFD"/>
    <w:rsid w:val="00CE7F24"/>
    <w:rsid w:val="00CF3031"/>
    <w:rsid w:val="00CF536F"/>
    <w:rsid w:val="00CF5F9E"/>
    <w:rsid w:val="00CF6F3C"/>
    <w:rsid w:val="00D001D5"/>
    <w:rsid w:val="00D0260A"/>
    <w:rsid w:val="00D03358"/>
    <w:rsid w:val="00D03B81"/>
    <w:rsid w:val="00D03FC0"/>
    <w:rsid w:val="00D061F5"/>
    <w:rsid w:val="00D111CB"/>
    <w:rsid w:val="00D135AD"/>
    <w:rsid w:val="00D14D5F"/>
    <w:rsid w:val="00D167AD"/>
    <w:rsid w:val="00D1732B"/>
    <w:rsid w:val="00D17554"/>
    <w:rsid w:val="00D17583"/>
    <w:rsid w:val="00D21F1F"/>
    <w:rsid w:val="00D23961"/>
    <w:rsid w:val="00D24079"/>
    <w:rsid w:val="00D2463D"/>
    <w:rsid w:val="00D2494B"/>
    <w:rsid w:val="00D261A5"/>
    <w:rsid w:val="00D3084D"/>
    <w:rsid w:val="00D30BDF"/>
    <w:rsid w:val="00D30DDB"/>
    <w:rsid w:val="00D33A9A"/>
    <w:rsid w:val="00D40F35"/>
    <w:rsid w:val="00D44E76"/>
    <w:rsid w:val="00D47629"/>
    <w:rsid w:val="00D5388C"/>
    <w:rsid w:val="00D5486F"/>
    <w:rsid w:val="00D56C15"/>
    <w:rsid w:val="00D57514"/>
    <w:rsid w:val="00D6090A"/>
    <w:rsid w:val="00D61B2D"/>
    <w:rsid w:val="00D65918"/>
    <w:rsid w:val="00D71E9B"/>
    <w:rsid w:val="00D74048"/>
    <w:rsid w:val="00D755BB"/>
    <w:rsid w:val="00D77773"/>
    <w:rsid w:val="00D779F6"/>
    <w:rsid w:val="00D825A8"/>
    <w:rsid w:val="00D826CA"/>
    <w:rsid w:val="00D83AF9"/>
    <w:rsid w:val="00D85E8B"/>
    <w:rsid w:val="00D90389"/>
    <w:rsid w:val="00D926EF"/>
    <w:rsid w:val="00D92C63"/>
    <w:rsid w:val="00D935AA"/>
    <w:rsid w:val="00D947DA"/>
    <w:rsid w:val="00D94CC1"/>
    <w:rsid w:val="00D95513"/>
    <w:rsid w:val="00D955E0"/>
    <w:rsid w:val="00D96BB3"/>
    <w:rsid w:val="00DA2CE4"/>
    <w:rsid w:val="00DA5862"/>
    <w:rsid w:val="00DB062D"/>
    <w:rsid w:val="00DB2163"/>
    <w:rsid w:val="00DB411C"/>
    <w:rsid w:val="00DB6D49"/>
    <w:rsid w:val="00DB7376"/>
    <w:rsid w:val="00DB7C94"/>
    <w:rsid w:val="00DC044F"/>
    <w:rsid w:val="00DC08C6"/>
    <w:rsid w:val="00DC18B2"/>
    <w:rsid w:val="00DC3191"/>
    <w:rsid w:val="00DC3999"/>
    <w:rsid w:val="00DC3E3D"/>
    <w:rsid w:val="00DC45B0"/>
    <w:rsid w:val="00DC4EC9"/>
    <w:rsid w:val="00DC56E8"/>
    <w:rsid w:val="00DC5D1D"/>
    <w:rsid w:val="00DC5FDD"/>
    <w:rsid w:val="00DD10DC"/>
    <w:rsid w:val="00DD4315"/>
    <w:rsid w:val="00DD6E14"/>
    <w:rsid w:val="00DE2BDA"/>
    <w:rsid w:val="00DE4487"/>
    <w:rsid w:val="00DE4E19"/>
    <w:rsid w:val="00DE6E0D"/>
    <w:rsid w:val="00DE773F"/>
    <w:rsid w:val="00DE7B05"/>
    <w:rsid w:val="00DF503E"/>
    <w:rsid w:val="00DF6459"/>
    <w:rsid w:val="00DF7790"/>
    <w:rsid w:val="00E020AA"/>
    <w:rsid w:val="00E05734"/>
    <w:rsid w:val="00E06E56"/>
    <w:rsid w:val="00E10BC4"/>
    <w:rsid w:val="00E11429"/>
    <w:rsid w:val="00E13BBB"/>
    <w:rsid w:val="00E1586C"/>
    <w:rsid w:val="00E20E80"/>
    <w:rsid w:val="00E20FB0"/>
    <w:rsid w:val="00E21AB4"/>
    <w:rsid w:val="00E23FB2"/>
    <w:rsid w:val="00E25007"/>
    <w:rsid w:val="00E27014"/>
    <w:rsid w:val="00E32F42"/>
    <w:rsid w:val="00E3394B"/>
    <w:rsid w:val="00E34F6E"/>
    <w:rsid w:val="00E35977"/>
    <w:rsid w:val="00E371B0"/>
    <w:rsid w:val="00E477B1"/>
    <w:rsid w:val="00E479C0"/>
    <w:rsid w:val="00E47BA9"/>
    <w:rsid w:val="00E47D1F"/>
    <w:rsid w:val="00E50419"/>
    <w:rsid w:val="00E54F37"/>
    <w:rsid w:val="00E550E9"/>
    <w:rsid w:val="00E55FAD"/>
    <w:rsid w:val="00E57BAE"/>
    <w:rsid w:val="00E61374"/>
    <w:rsid w:val="00E633FF"/>
    <w:rsid w:val="00E63F05"/>
    <w:rsid w:val="00E64881"/>
    <w:rsid w:val="00E6589B"/>
    <w:rsid w:val="00E65F57"/>
    <w:rsid w:val="00E661C6"/>
    <w:rsid w:val="00E73006"/>
    <w:rsid w:val="00E730BC"/>
    <w:rsid w:val="00E736AD"/>
    <w:rsid w:val="00E75567"/>
    <w:rsid w:val="00E774C1"/>
    <w:rsid w:val="00E83DFD"/>
    <w:rsid w:val="00E901B2"/>
    <w:rsid w:val="00E90C8D"/>
    <w:rsid w:val="00E915AA"/>
    <w:rsid w:val="00E92496"/>
    <w:rsid w:val="00E95A11"/>
    <w:rsid w:val="00E97704"/>
    <w:rsid w:val="00EA02EB"/>
    <w:rsid w:val="00EA212C"/>
    <w:rsid w:val="00EA2F7A"/>
    <w:rsid w:val="00EA31BE"/>
    <w:rsid w:val="00EA35CC"/>
    <w:rsid w:val="00EA4EFE"/>
    <w:rsid w:val="00EA528C"/>
    <w:rsid w:val="00EA54D0"/>
    <w:rsid w:val="00EA57AA"/>
    <w:rsid w:val="00EA612D"/>
    <w:rsid w:val="00EA7FFB"/>
    <w:rsid w:val="00EB2741"/>
    <w:rsid w:val="00EB38D9"/>
    <w:rsid w:val="00EB6580"/>
    <w:rsid w:val="00EB6A42"/>
    <w:rsid w:val="00EB7DE6"/>
    <w:rsid w:val="00EC06A8"/>
    <w:rsid w:val="00EC1362"/>
    <w:rsid w:val="00EC232C"/>
    <w:rsid w:val="00EC3B0B"/>
    <w:rsid w:val="00EC401F"/>
    <w:rsid w:val="00EC4D93"/>
    <w:rsid w:val="00EC4DD9"/>
    <w:rsid w:val="00EC5571"/>
    <w:rsid w:val="00EC5750"/>
    <w:rsid w:val="00ED159B"/>
    <w:rsid w:val="00ED20A4"/>
    <w:rsid w:val="00EE00AF"/>
    <w:rsid w:val="00EE0989"/>
    <w:rsid w:val="00EE67FE"/>
    <w:rsid w:val="00EE7080"/>
    <w:rsid w:val="00EE7D46"/>
    <w:rsid w:val="00EF1F61"/>
    <w:rsid w:val="00EF358A"/>
    <w:rsid w:val="00EF5FDB"/>
    <w:rsid w:val="00EF699C"/>
    <w:rsid w:val="00EF71ED"/>
    <w:rsid w:val="00EF7E84"/>
    <w:rsid w:val="00F0132E"/>
    <w:rsid w:val="00F0498F"/>
    <w:rsid w:val="00F04C0A"/>
    <w:rsid w:val="00F05FFA"/>
    <w:rsid w:val="00F073CF"/>
    <w:rsid w:val="00F106F9"/>
    <w:rsid w:val="00F10C90"/>
    <w:rsid w:val="00F11511"/>
    <w:rsid w:val="00F14709"/>
    <w:rsid w:val="00F15996"/>
    <w:rsid w:val="00F15B4F"/>
    <w:rsid w:val="00F15E90"/>
    <w:rsid w:val="00F2034C"/>
    <w:rsid w:val="00F2039C"/>
    <w:rsid w:val="00F249E9"/>
    <w:rsid w:val="00F2533D"/>
    <w:rsid w:val="00F25EEF"/>
    <w:rsid w:val="00F323D6"/>
    <w:rsid w:val="00F32ECD"/>
    <w:rsid w:val="00F330ED"/>
    <w:rsid w:val="00F334EF"/>
    <w:rsid w:val="00F4234A"/>
    <w:rsid w:val="00F444D3"/>
    <w:rsid w:val="00F45C92"/>
    <w:rsid w:val="00F4717C"/>
    <w:rsid w:val="00F51ECC"/>
    <w:rsid w:val="00F556F6"/>
    <w:rsid w:val="00F6097D"/>
    <w:rsid w:val="00F64538"/>
    <w:rsid w:val="00F70755"/>
    <w:rsid w:val="00F71E4C"/>
    <w:rsid w:val="00F75690"/>
    <w:rsid w:val="00F75CA5"/>
    <w:rsid w:val="00F8197E"/>
    <w:rsid w:val="00F81C83"/>
    <w:rsid w:val="00F83400"/>
    <w:rsid w:val="00F838B8"/>
    <w:rsid w:val="00F84B69"/>
    <w:rsid w:val="00F85AA5"/>
    <w:rsid w:val="00F86F41"/>
    <w:rsid w:val="00F901A0"/>
    <w:rsid w:val="00F91646"/>
    <w:rsid w:val="00F91C45"/>
    <w:rsid w:val="00F94312"/>
    <w:rsid w:val="00F95D9D"/>
    <w:rsid w:val="00F971E3"/>
    <w:rsid w:val="00F97FE4"/>
    <w:rsid w:val="00FA1D5C"/>
    <w:rsid w:val="00FA720D"/>
    <w:rsid w:val="00FB08DE"/>
    <w:rsid w:val="00FB302F"/>
    <w:rsid w:val="00FB5064"/>
    <w:rsid w:val="00FC0A95"/>
    <w:rsid w:val="00FC1476"/>
    <w:rsid w:val="00FC1C50"/>
    <w:rsid w:val="00FC2B95"/>
    <w:rsid w:val="00FC5830"/>
    <w:rsid w:val="00FC6658"/>
    <w:rsid w:val="00FD074A"/>
    <w:rsid w:val="00FD20E6"/>
    <w:rsid w:val="00FD2E65"/>
    <w:rsid w:val="00FD5213"/>
    <w:rsid w:val="00FE06A4"/>
    <w:rsid w:val="00FE2CAB"/>
    <w:rsid w:val="00FE6AFC"/>
    <w:rsid w:val="00FF3193"/>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ED90"/>
  <w15:docId w15:val="{8A248EF0-ABD5-49AD-AD9E-A5DDE203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19"/>
  </w:style>
  <w:style w:type="paragraph" w:styleId="Heading1">
    <w:name w:val="heading 1"/>
    <w:basedOn w:val="Normal"/>
    <w:link w:val="Heading1Char"/>
    <w:uiPriority w:val="9"/>
    <w:qFormat/>
    <w:rsid w:val="002C6719"/>
    <w:pPr>
      <w:widowControl w:val="0"/>
      <w:autoSpaceDE w:val="0"/>
      <w:autoSpaceDN w:val="0"/>
      <w:spacing w:after="0" w:line="240" w:lineRule="auto"/>
      <w:ind w:left="8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C6719"/>
    <w:pPr>
      <w:keepNext/>
      <w:keepLines/>
      <w:spacing w:before="40" w:after="0"/>
      <w:outlineLvl w:val="1"/>
    </w:pPr>
    <w:rPr>
      <w:rFonts w:ascii="Calibri Light" w:eastAsia="Times New Roman" w:hAnsi="Calibri Light" w:cs="Times New Roman"/>
      <w:color w:val="2F5496"/>
      <w:sz w:val="26"/>
      <w:szCs w:val="26"/>
      <w:lang w:eastAsia="en-GB"/>
    </w:rPr>
  </w:style>
  <w:style w:type="paragraph" w:styleId="Heading3">
    <w:name w:val="heading 3"/>
    <w:basedOn w:val="Normal"/>
    <w:next w:val="Normal"/>
    <w:link w:val="Heading3Char"/>
    <w:uiPriority w:val="9"/>
    <w:semiHidden/>
    <w:unhideWhenUsed/>
    <w:qFormat/>
    <w:rsid w:val="002C6719"/>
    <w:pPr>
      <w:keepNext/>
      <w:keepLines/>
      <w:spacing w:before="40" w:after="0"/>
      <w:outlineLvl w:val="2"/>
    </w:pPr>
    <w:rPr>
      <w:rFonts w:ascii="Calibri Light" w:eastAsia="Times New Roman" w:hAnsi="Calibri Light" w:cs="Times New Roman"/>
      <w:color w:val="1F3763"/>
      <w:sz w:val="24"/>
      <w:szCs w:val="24"/>
      <w:lang w:eastAsia="en-GB"/>
    </w:rPr>
  </w:style>
  <w:style w:type="paragraph" w:styleId="Heading4">
    <w:name w:val="heading 4"/>
    <w:basedOn w:val="Normal"/>
    <w:next w:val="Normal"/>
    <w:link w:val="Heading4Char"/>
    <w:uiPriority w:val="9"/>
    <w:semiHidden/>
    <w:unhideWhenUsed/>
    <w:qFormat/>
    <w:rsid w:val="002C6719"/>
    <w:pPr>
      <w:keepNext/>
      <w:keepLines/>
      <w:spacing w:before="40" w:after="0"/>
      <w:outlineLvl w:val="3"/>
    </w:pPr>
    <w:rPr>
      <w:rFonts w:ascii="Calibri Light" w:eastAsia="Times New Roman" w:hAnsi="Calibri Light" w:cs="Times New Roman"/>
      <w:i/>
      <w:iCs/>
      <w:color w:val="2F549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7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C6719"/>
    <w:rPr>
      <w:rFonts w:ascii="Calibri Light" w:eastAsia="Times New Roman" w:hAnsi="Calibri Light" w:cs="Times New Roman"/>
      <w:color w:val="2F5496"/>
      <w:sz w:val="26"/>
      <w:szCs w:val="26"/>
      <w:lang w:eastAsia="en-GB"/>
    </w:rPr>
  </w:style>
  <w:style w:type="character" w:customStyle="1" w:styleId="Heading3Char">
    <w:name w:val="Heading 3 Char"/>
    <w:basedOn w:val="DefaultParagraphFont"/>
    <w:link w:val="Heading3"/>
    <w:uiPriority w:val="9"/>
    <w:semiHidden/>
    <w:rsid w:val="002C6719"/>
    <w:rPr>
      <w:rFonts w:ascii="Calibri Light" w:eastAsia="Times New Roman" w:hAnsi="Calibri Light" w:cs="Times New Roman"/>
      <w:color w:val="1F3763"/>
      <w:sz w:val="24"/>
      <w:szCs w:val="24"/>
      <w:lang w:eastAsia="en-GB"/>
    </w:rPr>
  </w:style>
  <w:style w:type="character" w:customStyle="1" w:styleId="Heading4Char">
    <w:name w:val="Heading 4 Char"/>
    <w:basedOn w:val="DefaultParagraphFont"/>
    <w:link w:val="Heading4"/>
    <w:uiPriority w:val="9"/>
    <w:semiHidden/>
    <w:rsid w:val="002C6719"/>
    <w:rPr>
      <w:rFonts w:ascii="Calibri Light" w:eastAsia="Times New Roman" w:hAnsi="Calibri Light" w:cs="Times New Roman"/>
      <w:i/>
      <w:iCs/>
      <w:color w:val="2F5496"/>
      <w:sz w:val="24"/>
      <w:szCs w:val="24"/>
      <w:lang w:eastAsia="en-GB"/>
    </w:rPr>
  </w:style>
  <w:style w:type="paragraph" w:styleId="ListParagraph">
    <w:name w:val="List Paragraph"/>
    <w:basedOn w:val="Normal"/>
    <w:uiPriority w:val="34"/>
    <w:qFormat/>
    <w:rsid w:val="002C6719"/>
    <w:pPr>
      <w:ind w:left="720"/>
      <w:contextualSpacing/>
    </w:pPr>
  </w:style>
  <w:style w:type="paragraph" w:customStyle="1" w:styleId="Heading21">
    <w:name w:val="Heading 21"/>
    <w:basedOn w:val="Normal"/>
    <w:next w:val="Normal"/>
    <w:uiPriority w:val="9"/>
    <w:unhideWhenUsed/>
    <w:qFormat/>
    <w:rsid w:val="002C6719"/>
    <w:pPr>
      <w:keepNext/>
      <w:keepLines/>
      <w:spacing w:before="40" w:after="0" w:line="240" w:lineRule="auto"/>
      <w:outlineLvl w:val="1"/>
    </w:pPr>
    <w:rPr>
      <w:rFonts w:ascii="Calibri Light" w:eastAsia="Times New Roman" w:hAnsi="Calibri Light" w:cs="Times New Roman"/>
      <w:color w:val="2F5496"/>
      <w:sz w:val="26"/>
      <w:szCs w:val="26"/>
      <w:lang w:val="en-GB" w:eastAsia="en-GB"/>
    </w:rPr>
  </w:style>
  <w:style w:type="paragraph" w:customStyle="1" w:styleId="Heading31">
    <w:name w:val="Heading 31"/>
    <w:basedOn w:val="Normal"/>
    <w:next w:val="Normal"/>
    <w:uiPriority w:val="9"/>
    <w:semiHidden/>
    <w:unhideWhenUsed/>
    <w:qFormat/>
    <w:rsid w:val="002C6719"/>
    <w:pPr>
      <w:keepNext/>
      <w:keepLines/>
      <w:spacing w:before="40" w:after="0" w:line="240" w:lineRule="auto"/>
      <w:outlineLvl w:val="2"/>
    </w:pPr>
    <w:rPr>
      <w:rFonts w:ascii="Calibri Light" w:eastAsia="Times New Roman" w:hAnsi="Calibri Light" w:cs="Times New Roman"/>
      <w:color w:val="1F3763"/>
      <w:sz w:val="24"/>
      <w:szCs w:val="24"/>
      <w:lang w:val="en-GB" w:eastAsia="en-GB"/>
    </w:rPr>
  </w:style>
  <w:style w:type="paragraph" w:customStyle="1" w:styleId="Heading41">
    <w:name w:val="Heading 41"/>
    <w:basedOn w:val="Normal"/>
    <w:next w:val="Normal"/>
    <w:uiPriority w:val="9"/>
    <w:semiHidden/>
    <w:unhideWhenUsed/>
    <w:qFormat/>
    <w:rsid w:val="002C6719"/>
    <w:pPr>
      <w:keepNext/>
      <w:keepLines/>
      <w:spacing w:before="40" w:after="0" w:line="240" w:lineRule="auto"/>
      <w:outlineLvl w:val="3"/>
    </w:pPr>
    <w:rPr>
      <w:rFonts w:ascii="Calibri Light" w:eastAsia="Times New Roman" w:hAnsi="Calibri Light" w:cs="Times New Roman"/>
      <w:i/>
      <w:iCs/>
      <w:color w:val="2F5496"/>
      <w:sz w:val="24"/>
      <w:szCs w:val="24"/>
      <w:lang w:val="en-GB" w:eastAsia="en-GB"/>
    </w:rPr>
  </w:style>
  <w:style w:type="paragraph" w:styleId="FootnoteText">
    <w:name w:val="footnote text"/>
    <w:basedOn w:val="Normal"/>
    <w:link w:val="FootnoteTextChar"/>
    <w:uiPriority w:val="99"/>
    <w:semiHidden/>
    <w:unhideWhenUsed/>
    <w:rsid w:val="002C6719"/>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2C6719"/>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2C6719"/>
    <w:rPr>
      <w:vertAlign w:val="superscript"/>
    </w:rPr>
  </w:style>
  <w:style w:type="character" w:customStyle="1" w:styleId="Hyperlink1">
    <w:name w:val="Hyperlink1"/>
    <w:basedOn w:val="DefaultParagraphFont"/>
    <w:uiPriority w:val="99"/>
    <w:unhideWhenUsed/>
    <w:rsid w:val="002C6719"/>
    <w:rPr>
      <w:color w:val="0563C1"/>
      <w:u w:val="single"/>
    </w:rPr>
  </w:style>
  <w:style w:type="paragraph" w:customStyle="1" w:styleId="Caption1">
    <w:name w:val="Caption1"/>
    <w:basedOn w:val="Normal"/>
    <w:next w:val="Normal"/>
    <w:uiPriority w:val="35"/>
    <w:unhideWhenUsed/>
    <w:qFormat/>
    <w:rsid w:val="002C6719"/>
    <w:pPr>
      <w:spacing w:after="200" w:line="240" w:lineRule="auto"/>
    </w:pPr>
    <w:rPr>
      <w:rFonts w:ascii="Times New Roman" w:hAnsi="Times New Roman" w:cs="Times New Roman"/>
      <w:i/>
      <w:iCs/>
      <w:color w:val="44546A"/>
      <w:sz w:val="18"/>
      <w:szCs w:val="18"/>
      <w:lang w:val="en-GB" w:eastAsia="en-GB"/>
    </w:rPr>
  </w:style>
  <w:style w:type="paragraph" w:styleId="Header">
    <w:name w:val="header"/>
    <w:basedOn w:val="Normal"/>
    <w:link w:val="HeaderChar"/>
    <w:uiPriority w:val="99"/>
    <w:unhideWhenUsed/>
    <w:rsid w:val="002C6719"/>
    <w:pPr>
      <w:tabs>
        <w:tab w:val="center" w:pos="4513"/>
        <w:tab w:val="right" w:pos="9026"/>
      </w:tabs>
      <w:spacing w:after="0" w:line="240" w:lineRule="auto"/>
    </w:pPr>
    <w:rPr>
      <w:rFonts w:ascii="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2C6719"/>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C6719"/>
    <w:pPr>
      <w:tabs>
        <w:tab w:val="center" w:pos="4513"/>
        <w:tab w:val="right" w:pos="9026"/>
      </w:tabs>
      <w:spacing w:after="0" w:line="240" w:lineRule="auto"/>
    </w:pPr>
    <w:rPr>
      <w:rFonts w:ascii="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C6719"/>
    <w:rPr>
      <w:rFonts w:ascii="Times New Roman" w:hAnsi="Times New Roman" w:cs="Times New Roman"/>
      <w:sz w:val="24"/>
      <w:szCs w:val="24"/>
      <w:lang w:val="en-GB" w:eastAsia="en-GB"/>
    </w:rPr>
  </w:style>
  <w:style w:type="paragraph" w:styleId="BodyText">
    <w:name w:val="Body Text"/>
    <w:basedOn w:val="Normal"/>
    <w:link w:val="BodyTextChar"/>
    <w:uiPriority w:val="1"/>
    <w:qFormat/>
    <w:rsid w:val="002C67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C6719"/>
    <w:rPr>
      <w:rFonts w:ascii="Times New Roman" w:eastAsia="Times New Roman" w:hAnsi="Times New Roman" w:cs="Times New Roman"/>
      <w:sz w:val="24"/>
      <w:szCs w:val="24"/>
    </w:rPr>
  </w:style>
  <w:style w:type="character" w:customStyle="1" w:styleId="normaltextrun">
    <w:name w:val="normaltextrun"/>
    <w:basedOn w:val="DefaultParagraphFont"/>
    <w:rsid w:val="002C6719"/>
  </w:style>
  <w:style w:type="paragraph" w:styleId="TOC1">
    <w:name w:val="toc 1"/>
    <w:basedOn w:val="Normal"/>
    <w:next w:val="Normal"/>
    <w:autoRedefine/>
    <w:uiPriority w:val="39"/>
    <w:unhideWhenUsed/>
    <w:rsid w:val="002C6719"/>
    <w:pPr>
      <w:spacing w:after="100" w:line="240" w:lineRule="auto"/>
    </w:pPr>
    <w:rPr>
      <w:rFonts w:ascii="Times New Roman" w:hAnsi="Times New Roman" w:cs="Times New Roman"/>
      <w:sz w:val="24"/>
      <w:szCs w:val="24"/>
      <w:lang w:val="en-GB" w:eastAsia="en-GB"/>
    </w:rPr>
  </w:style>
  <w:style w:type="paragraph" w:styleId="TOC2">
    <w:name w:val="toc 2"/>
    <w:basedOn w:val="Normal"/>
    <w:next w:val="Normal"/>
    <w:autoRedefine/>
    <w:uiPriority w:val="39"/>
    <w:unhideWhenUsed/>
    <w:rsid w:val="002C6719"/>
    <w:pPr>
      <w:spacing w:after="100" w:line="240" w:lineRule="auto"/>
      <w:ind w:left="240"/>
    </w:pPr>
    <w:rPr>
      <w:rFonts w:ascii="Times New Roman" w:hAnsi="Times New Roman" w:cs="Times New Roman"/>
      <w:sz w:val="24"/>
      <w:szCs w:val="24"/>
      <w:lang w:val="en-GB" w:eastAsia="en-GB"/>
    </w:rPr>
  </w:style>
  <w:style w:type="paragraph" w:styleId="TOC3">
    <w:name w:val="toc 3"/>
    <w:basedOn w:val="Normal"/>
    <w:next w:val="Normal"/>
    <w:autoRedefine/>
    <w:uiPriority w:val="39"/>
    <w:unhideWhenUsed/>
    <w:rsid w:val="002C6719"/>
    <w:pPr>
      <w:spacing w:after="100" w:line="240" w:lineRule="auto"/>
      <w:ind w:left="480"/>
    </w:pPr>
    <w:rPr>
      <w:rFonts w:ascii="Times New Roman" w:hAnsi="Times New Roman" w:cs="Times New Roman"/>
      <w:sz w:val="24"/>
      <w:szCs w:val="24"/>
      <w:lang w:val="en-GB" w:eastAsia="en-GB"/>
    </w:rPr>
  </w:style>
  <w:style w:type="paragraph" w:customStyle="1" w:styleId="msonormal0">
    <w:name w:val="msonormal"/>
    <w:basedOn w:val="Normal"/>
    <w:rsid w:val="002C67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2C6719"/>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6">
    <w:name w:val="xl66"/>
    <w:basedOn w:val="Normal"/>
    <w:rsid w:val="002C6719"/>
    <w:pP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67">
    <w:name w:val="xl67"/>
    <w:basedOn w:val="Normal"/>
    <w:rsid w:val="002C6719"/>
    <w:pPr>
      <w:pBdr>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68">
    <w:name w:val="xl68"/>
    <w:basedOn w:val="Normal"/>
    <w:rsid w:val="002C6719"/>
    <w:pP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9">
    <w:name w:val="xl69"/>
    <w:basedOn w:val="Normal"/>
    <w:rsid w:val="002C6719"/>
    <w:pPr>
      <w:pBdr>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70">
    <w:name w:val="xl70"/>
    <w:basedOn w:val="Normal"/>
    <w:rsid w:val="002C6719"/>
    <w:pP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71">
    <w:name w:val="xl71"/>
    <w:basedOn w:val="Normal"/>
    <w:rsid w:val="002C6719"/>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72">
    <w:name w:val="xl72"/>
    <w:basedOn w:val="Normal"/>
    <w:rsid w:val="002C6719"/>
    <w:pP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3">
    <w:name w:val="xl73"/>
    <w:basedOn w:val="Normal"/>
    <w:rsid w:val="002C6719"/>
    <w:pPr>
      <w:shd w:val="clear" w:color="000000" w:fill="BDD7E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4">
    <w:name w:val="xl74"/>
    <w:basedOn w:val="Normal"/>
    <w:rsid w:val="002C6719"/>
    <w:pPr>
      <w:shd w:val="clear" w:color="000000" w:fill="BDD7E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5">
    <w:name w:val="xl75"/>
    <w:basedOn w:val="Normal"/>
    <w:rsid w:val="002C6719"/>
    <w:pP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76">
    <w:name w:val="xl76"/>
    <w:basedOn w:val="Normal"/>
    <w:rsid w:val="002C6719"/>
    <w:pPr>
      <w:pBdr>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TOCHeading1">
    <w:name w:val="TOC Heading1"/>
    <w:basedOn w:val="Heading1"/>
    <w:next w:val="Normal"/>
    <w:uiPriority w:val="39"/>
    <w:unhideWhenUsed/>
    <w:qFormat/>
    <w:rsid w:val="002C6719"/>
    <w:pPr>
      <w:keepNext/>
      <w:keepLines/>
      <w:widowControl/>
      <w:autoSpaceDE/>
      <w:autoSpaceDN/>
      <w:spacing w:before="240" w:line="259" w:lineRule="auto"/>
      <w:ind w:left="0"/>
      <w:outlineLvl w:val="9"/>
    </w:pPr>
    <w:rPr>
      <w:rFonts w:ascii="Calibri Light" w:hAnsi="Calibri Light"/>
      <w:b w:val="0"/>
      <w:bCs w:val="0"/>
      <w:color w:val="2F5496"/>
      <w:sz w:val="32"/>
      <w:szCs w:val="32"/>
    </w:rPr>
  </w:style>
  <w:style w:type="paragraph" w:styleId="TOC4">
    <w:name w:val="toc 4"/>
    <w:basedOn w:val="Normal"/>
    <w:next w:val="Normal"/>
    <w:autoRedefine/>
    <w:uiPriority w:val="39"/>
    <w:unhideWhenUsed/>
    <w:rsid w:val="002C6719"/>
    <w:pPr>
      <w:spacing w:after="100" w:line="240" w:lineRule="auto"/>
      <w:ind w:left="720"/>
    </w:pPr>
    <w:rPr>
      <w:rFonts w:ascii="Times New Roman" w:hAnsi="Times New Roman" w:cs="Times New Roman"/>
      <w:sz w:val="24"/>
      <w:szCs w:val="24"/>
      <w:lang w:val="en-GB" w:eastAsia="en-GB"/>
    </w:rPr>
  </w:style>
  <w:style w:type="paragraph" w:customStyle="1" w:styleId="xl77">
    <w:name w:val="xl77"/>
    <w:basedOn w:val="Normal"/>
    <w:rsid w:val="002C6719"/>
    <w:pP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78">
    <w:name w:val="xl78"/>
    <w:basedOn w:val="Normal"/>
    <w:rsid w:val="002C6719"/>
    <w:pP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9">
    <w:name w:val="xl79"/>
    <w:basedOn w:val="Normal"/>
    <w:rsid w:val="002C6719"/>
    <w:pPr>
      <w:shd w:val="clear" w:color="000000" w:fill="BDD7E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0">
    <w:name w:val="xl80"/>
    <w:basedOn w:val="Normal"/>
    <w:rsid w:val="002C6719"/>
    <w:pPr>
      <w:shd w:val="clear" w:color="000000" w:fill="BDD7E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uiPriority w:val="99"/>
    <w:unhideWhenUsed/>
    <w:rsid w:val="002C6719"/>
    <w:pPr>
      <w:spacing w:after="0" w:line="240" w:lineRule="auto"/>
    </w:pPr>
    <w:rPr>
      <w:rFonts w:ascii="Times New Roman" w:hAnsi="Times New Roman" w:cs="Times New Roman"/>
      <w:sz w:val="24"/>
      <w:szCs w:val="24"/>
      <w:lang w:val="en-GB" w:eastAsia="en-GB"/>
    </w:rPr>
  </w:style>
  <w:style w:type="character" w:customStyle="1" w:styleId="BalloonTextChar">
    <w:name w:val="Balloon Text Char"/>
    <w:basedOn w:val="DefaultParagraphFont"/>
    <w:link w:val="BalloonText"/>
    <w:uiPriority w:val="99"/>
    <w:semiHidden/>
    <w:rsid w:val="002C6719"/>
    <w:rPr>
      <w:rFonts w:ascii="Segoe UI" w:hAnsi="Segoe UI" w:cs="Segoe UI"/>
      <w:sz w:val="18"/>
      <w:szCs w:val="18"/>
      <w:lang w:eastAsia="en-GB"/>
    </w:rPr>
  </w:style>
  <w:style w:type="paragraph" w:styleId="BalloonText">
    <w:name w:val="Balloon Text"/>
    <w:basedOn w:val="Normal"/>
    <w:link w:val="BalloonTextChar"/>
    <w:uiPriority w:val="99"/>
    <w:semiHidden/>
    <w:unhideWhenUsed/>
    <w:rsid w:val="002C6719"/>
    <w:pPr>
      <w:spacing w:after="0" w:line="240" w:lineRule="auto"/>
    </w:pPr>
    <w:rPr>
      <w:rFonts w:ascii="Segoe UI" w:hAnsi="Segoe UI" w:cs="Segoe UI"/>
      <w:sz w:val="18"/>
      <w:szCs w:val="18"/>
      <w:lang w:eastAsia="en-GB"/>
    </w:rPr>
  </w:style>
  <w:style w:type="character" w:customStyle="1" w:styleId="BalloonTextChar1">
    <w:name w:val="Balloon Text Char1"/>
    <w:basedOn w:val="DefaultParagraphFont"/>
    <w:uiPriority w:val="99"/>
    <w:semiHidden/>
    <w:rsid w:val="002C6719"/>
    <w:rPr>
      <w:rFonts w:ascii="Segoe UI" w:hAnsi="Segoe UI" w:cs="Segoe UI"/>
      <w:sz w:val="18"/>
      <w:szCs w:val="18"/>
    </w:rPr>
  </w:style>
  <w:style w:type="paragraph" w:customStyle="1" w:styleId="xl81">
    <w:name w:val="xl81"/>
    <w:basedOn w:val="Normal"/>
    <w:rsid w:val="002C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GB" w:eastAsia="en-GB"/>
    </w:rPr>
  </w:style>
  <w:style w:type="paragraph" w:customStyle="1" w:styleId="xl82">
    <w:name w:val="xl82"/>
    <w:basedOn w:val="Normal"/>
    <w:rsid w:val="002C6719"/>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3">
    <w:name w:val="xl83"/>
    <w:basedOn w:val="Normal"/>
    <w:rsid w:val="002C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GB" w:eastAsia="en-GB"/>
    </w:rPr>
  </w:style>
  <w:style w:type="paragraph" w:customStyle="1" w:styleId="xl84">
    <w:name w:val="xl84"/>
    <w:basedOn w:val="Normal"/>
    <w:rsid w:val="002C6719"/>
    <w:pPr>
      <w:spacing w:before="100" w:beforeAutospacing="1" w:after="100" w:afterAutospacing="1" w:line="240" w:lineRule="auto"/>
    </w:pPr>
    <w:rPr>
      <w:rFonts w:ascii="Times New Roman" w:eastAsia="Times New Roman" w:hAnsi="Times New Roman" w:cs="Times New Roman"/>
      <w:sz w:val="16"/>
      <w:szCs w:val="16"/>
      <w:lang w:val="en-GB" w:eastAsia="en-GB"/>
    </w:rPr>
  </w:style>
  <w:style w:type="paragraph" w:customStyle="1" w:styleId="xl85">
    <w:name w:val="xl85"/>
    <w:basedOn w:val="Normal"/>
    <w:rsid w:val="002C6719"/>
    <w:pPr>
      <w:spacing w:before="100" w:beforeAutospacing="1" w:after="100" w:afterAutospacing="1" w:line="240" w:lineRule="auto"/>
    </w:pPr>
    <w:rPr>
      <w:rFonts w:ascii="Times New Roman" w:eastAsia="Times New Roman" w:hAnsi="Times New Roman" w:cs="Times New Roman"/>
      <w:b/>
      <w:bCs/>
      <w:color w:val="000000"/>
      <w:sz w:val="16"/>
      <w:szCs w:val="16"/>
      <w:lang w:val="en-GB" w:eastAsia="en-GB"/>
    </w:rPr>
  </w:style>
  <w:style w:type="paragraph" w:customStyle="1" w:styleId="xl86">
    <w:name w:val="xl86"/>
    <w:basedOn w:val="Normal"/>
    <w:rsid w:val="002C6719"/>
    <w:pP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87">
    <w:name w:val="xl87"/>
    <w:basedOn w:val="Normal"/>
    <w:rsid w:val="002C671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GB" w:eastAsia="en-GB"/>
    </w:rPr>
  </w:style>
  <w:style w:type="paragraph" w:customStyle="1" w:styleId="xl88">
    <w:name w:val="xl88"/>
    <w:basedOn w:val="Normal"/>
    <w:rsid w:val="002C6719"/>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9">
    <w:name w:val="xl89"/>
    <w:basedOn w:val="Normal"/>
    <w:rsid w:val="002C6719"/>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90">
    <w:name w:val="xl90"/>
    <w:basedOn w:val="Normal"/>
    <w:rsid w:val="002C6719"/>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GB" w:eastAsia="en-GB"/>
    </w:rPr>
  </w:style>
  <w:style w:type="paragraph" w:customStyle="1" w:styleId="xl91">
    <w:name w:val="xl91"/>
    <w:basedOn w:val="Normal"/>
    <w:rsid w:val="002C671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GB" w:eastAsia="en-GB"/>
    </w:rPr>
  </w:style>
  <w:style w:type="paragraph" w:customStyle="1" w:styleId="xl92">
    <w:name w:val="xl92"/>
    <w:basedOn w:val="Normal"/>
    <w:rsid w:val="002C6719"/>
    <w:pPr>
      <w:spacing w:before="100" w:beforeAutospacing="1" w:after="100" w:afterAutospacing="1" w:line="240" w:lineRule="auto"/>
    </w:pPr>
    <w:rPr>
      <w:rFonts w:ascii="Times New Roman" w:eastAsia="Times New Roman" w:hAnsi="Times New Roman" w:cs="Times New Roman"/>
      <w:sz w:val="16"/>
      <w:szCs w:val="16"/>
      <w:lang w:val="en-GB" w:eastAsia="en-GB"/>
    </w:rPr>
  </w:style>
  <w:style w:type="paragraph" w:customStyle="1" w:styleId="xl93">
    <w:name w:val="xl93"/>
    <w:basedOn w:val="Normal"/>
    <w:rsid w:val="002C671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GB" w:eastAsia="en-GB"/>
    </w:rPr>
  </w:style>
  <w:style w:type="paragraph" w:customStyle="1" w:styleId="xl94">
    <w:name w:val="xl94"/>
    <w:basedOn w:val="Normal"/>
    <w:rsid w:val="002C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95">
    <w:name w:val="xl95"/>
    <w:basedOn w:val="Normal"/>
    <w:rsid w:val="002C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96">
    <w:name w:val="xl96"/>
    <w:basedOn w:val="Normal"/>
    <w:rsid w:val="002C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GB" w:eastAsia="en-GB"/>
    </w:rPr>
  </w:style>
  <w:style w:type="paragraph" w:customStyle="1" w:styleId="xl97">
    <w:name w:val="xl97"/>
    <w:basedOn w:val="Normal"/>
    <w:rsid w:val="002C6719"/>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98">
    <w:name w:val="xl98"/>
    <w:basedOn w:val="Normal"/>
    <w:rsid w:val="002C6719"/>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99">
    <w:name w:val="xl99"/>
    <w:basedOn w:val="Normal"/>
    <w:rsid w:val="002C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00">
    <w:name w:val="xl100"/>
    <w:basedOn w:val="Normal"/>
    <w:rsid w:val="002C6719"/>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en-GB" w:eastAsia="en-GB"/>
    </w:rPr>
  </w:style>
  <w:style w:type="paragraph" w:customStyle="1" w:styleId="NoSpacing1">
    <w:name w:val="No Spacing1"/>
    <w:next w:val="NoSpacing"/>
    <w:link w:val="NoSpacingChar"/>
    <w:uiPriority w:val="1"/>
    <w:qFormat/>
    <w:rsid w:val="002C6719"/>
    <w:pPr>
      <w:spacing w:after="0" w:line="240" w:lineRule="auto"/>
    </w:pPr>
    <w:rPr>
      <w:rFonts w:eastAsia="Times New Roman"/>
    </w:rPr>
  </w:style>
  <w:style w:type="character" w:customStyle="1" w:styleId="NoSpacingChar">
    <w:name w:val="No Spacing Char"/>
    <w:basedOn w:val="DefaultParagraphFont"/>
    <w:link w:val="NoSpacing1"/>
    <w:uiPriority w:val="1"/>
    <w:rsid w:val="002C6719"/>
    <w:rPr>
      <w:rFonts w:eastAsia="Times New Roman"/>
    </w:rPr>
  </w:style>
  <w:style w:type="paragraph" w:customStyle="1" w:styleId="paragraph">
    <w:name w:val="paragraph"/>
    <w:basedOn w:val="Normal"/>
    <w:rsid w:val="002C67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C6719"/>
  </w:style>
  <w:style w:type="character" w:customStyle="1" w:styleId="spellingerror">
    <w:name w:val="spellingerror"/>
    <w:basedOn w:val="DefaultParagraphFont"/>
    <w:rsid w:val="002C6719"/>
  </w:style>
  <w:style w:type="paragraph" w:styleId="CommentText">
    <w:name w:val="annotation text"/>
    <w:basedOn w:val="Normal"/>
    <w:link w:val="CommentTextChar"/>
    <w:uiPriority w:val="99"/>
    <w:unhideWhenUsed/>
    <w:rsid w:val="002C6719"/>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C6719"/>
    <w:rPr>
      <w:rFonts w:ascii="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2C6719"/>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C6719"/>
    <w:rPr>
      <w:b/>
      <w:bCs/>
    </w:rPr>
  </w:style>
  <w:style w:type="character" w:customStyle="1" w:styleId="CommentSubjectChar1">
    <w:name w:val="Comment Subject Char1"/>
    <w:basedOn w:val="CommentTextChar"/>
    <w:uiPriority w:val="99"/>
    <w:semiHidden/>
    <w:rsid w:val="002C6719"/>
    <w:rPr>
      <w:rFonts w:ascii="Times New Roman" w:hAnsi="Times New Roman" w:cs="Times New Roman"/>
      <w:b/>
      <w:bCs/>
      <w:sz w:val="20"/>
      <w:szCs w:val="20"/>
      <w:lang w:val="en-GB" w:eastAsia="en-GB"/>
    </w:rPr>
  </w:style>
  <w:style w:type="paragraph" w:customStyle="1" w:styleId="Title1">
    <w:name w:val="Title1"/>
    <w:basedOn w:val="Normal"/>
    <w:next w:val="Normal"/>
    <w:uiPriority w:val="10"/>
    <w:qFormat/>
    <w:rsid w:val="002C6719"/>
    <w:pPr>
      <w:spacing w:after="0" w:line="240" w:lineRule="auto"/>
      <w:contextualSpacing/>
    </w:pPr>
    <w:rPr>
      <w:rFonts w:ascii="Calibri Light" w:eastAsia="Times New Roman" w:hAnsi="Calibri Light" w:cs="Times New Roman"/>
      <w:spacing w:val="-10"/>
      <w:kern w:val="28"/>
      <w:sz w:val="56"/>
      <w:szCs w:val="56"/>
      <w:lang w:val="en-GB" w:eastAsia="en-GB"/>
    </w:rPr>
  </w:style>
  <w:style w:type="character" w:customStyle="1" w:styleId="TitleChar">
    <w:name w:val="Title Char"/>
    <w:basedOn w:val="DefaultParagraphFont"/>
    <w:link w:val="Title"/>
    <w:uiPriority w:val="10"/>
    <w:rsid w:val="002C6719"/>
    <w:rPr>
      <w:rFonts w:ascii="Calibri Light" w:eastAsia="Times New Roman" w:hAnsi="Calibri Light" w:cs="Times New Roman"/>
      <w:spacing w:val="-10"/>
      <w:kern w:val="28"/>
      <w:sz w:val="56"/>
      <w:szCs w:val="56"/>
      <w:lang w:eastAsia="en-GB"/>
    </w:rPr>
  </w:style>
  <w:style w:type="character" w:customStyle="1" w:styleId="EndnoteTextChar">
    <w:name w:val="Endnote Text Char"/>
    <w:basedOn w:val="DefaultParagraphFont"/>
    <w:link w:val="EndnoteText"/>
    <w:uiPriority w:val="99"/>
    <w:semiHidden/>
    <w:rsid w:val="002C6719"/>
    <w:rPr>
      <w:sz w:val="20"/>
      <w:szCs w:val="20"/>
    </w:rPr>
  </w:style>
  <w:style w:type="paragraph" w:customStyle="1" w:styleId="EndnoteText1">
    <w:name w:val="Endnote Text1"/>
    <w:basedOn w:val="Normal"/>
    <w:next w:val="EndnoteText"/>
    <w:uiPriority w:val="99"/>
    <w:semiHidden/>
    <w:unhideWhenUsed/>
    <w:rsid w:val="002C6719"/>
    <w:pPr>
      <w:spacing w:after="0" w:line="240" w:lineRule="auto"/>
    </w:pPr>
    <w:rPr>
      <w:sz w:val="20"/>
      <w:szCs w:val="20"/>
      <w:lang w:val="en-GB"/>
    </w:rPr>
  </w:style>
  <w:style w:type="character" w:customStyle="1" w:styleId="EndnoteTextChar1">
    <w:name w:val="Endnote Text Char1"/>
    <w:basedOn w:val="DefaultParagraphFont"/>
    <w:uiPriority w:val="99"/>
    <w:semiHidden/>
    <w:rsid w:val="002C6719"/>
    <w:rPr>
      <w:rFonts w:ascii="Times New Roman" w:hAnsi="Times New Roman" w:cs="Times New Roman"/>
      <w:sz w:val="20"/>
      <w:szCs w:val="20"/>
      <w:lang w:eastAsia="en-GB"/>
    </w:rPr>
  </w:style>
  <w:style w:type="character" w:styleId="Strong">
    <w:name w:val="Strong"/>
    <w:basedOn w:val="DefaultParagraphFont"/>
    <w:uiPriority w:val="22"/>
    <w:qFormat/>
    <w:rsid w:val="002C6719"/>
    <w:rPr>
      <w:b/>
      <w:bCs/>
    </w:rPr>
  </w:style>
  <w:style w:type="paragraph" w:styleId="NormalWeb">
    <w:name w:val="Normal (Web)"/>
    <w:basedOn w:val="Normal"/>
    <w:uiPriority w:val="99"/>
    <w:unhideWhenUsed/>
    <w:rsid w:val="002C67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2C6719"/>
  </w:style>
  <w:style w:type="paragraph" w:customStyle="1" w:styleId="TOC51">
    <w:name w:val="TOC 51"/>
    <w:basedOn w:val="Normal"/>
    <w:next w:val="Normal"/>
    <w:autoRedefine/>
    <w:uiPriority w:val="39"/>
    <w:unhideWhenUsed/>
    <w:rsid w:val="002C6719"/>
    <w:pPr>
      <w:spacing w:after="100"/>
      <w:ind w:left="880"/>
    </w:pPr>
    <w:rPr>
      <w:rFonts w:eastAsia="Times New Roman"/>
      <w:lang w:val="en-GB" w:eastAsia="en-GB"/>
    </w:rPr>
  </w:style>
  <w:style w:type="paragraph" w:customStyle="1" w:styleId="TOC61">
    <w:name w:val="TOC 61"/>
    <w:basedOn w:val="Normal"/>
    <w:next w:val="Normal"/>
    <w:autoRedefine/>
    <w:uiPriority w:val="39"/>
    <w:unhideWhenUsed/>
    <w:rsid w:val="002C6719"/>
    <w:pPr>
      <w:spacing w:after="100"/>
      <w:ind w:left="1100"/>
    </w:pPr>
    <w:rPr>
      <w:rFonts w:eastAsia="Times New Roman"/>
      <w:lang w:val="en-GB" w:eastAsia="en-GB"/>
    </w:rPr>
  </w:style>
  <w:style w:type="paragraph" w:customStyle="1" w:styleId="TOC71">
    <w:name w:val="TOC 71"/>
    <w:basedOn w:val="Normal"/>
    <w:next w:val="Normal"/>
    <w:autoRedefine/>
    <w:uiPriority w:val="39"/>
    <w:unhideWhenUsed/>
    <w:rsid w:val="002C6719"/>
    <w:pPr>
      <w:spacing w:after="100"/>
      <w:ind w:left="1320"/>
    </w:pPr>
    <w:rPr>
      <w:rFonts w:eastAsia="Times New Roman"/>
      <w:lang w:val="en-GB" w:eastAsia="en-GB"/>
    </w:rPr>
  </w:style>
  <w:style w:type="paragraph" w:customStyle="1" w:styleId="TOC81">
    <w:name w:val="TOC 81"/>
    <w:basedOn w:val="Normal"/>
    <w:next w:val="Normal"/>
    <w:autoRedefine/>
    <w:uiPriority w:val="39"/>
    <w:unhideWhenUsed/>
    <w:rsid w:val="002C6719"/>
    <w:pPr>
      <w:spacing w:after="100"/>
      <w:ind w:left="1540"/>
    </w:pPr>
    <w:rPr>
      <w:rFonts w:eastAsia="Times New Roman"/>
      <w:lang w:val="en-GB" w:eastAsia="en-GB"/>
    </w:rPr>
  </w:style>
  <w:style w:type="paragraph" w:customStyle="1" w:styleId="TOC91">
    <w:name w:val="TOC 91"/>
    <w:basedOn w:val="Normal"/>
    <w:next w:val="Normal"/>
    <w:autoRedefine/>
    <w:uiPriority w:val="39"/>
    <w:unhideWhenUsed/>
    <w:rsid w:val="002C6719"/>
    <w:pPr>
      <w:spacing w:after="100"/>
      <w:ind w:left="1760"/>
    </w:pPr>
    <w:rPr>
      <w:rFonts w:eastAsia="Times New Roman"/>
      <w:lang w:val="en-GB" w:eastAsia="en-GB"/>
    </w:rPr>
  </w:style>
  <w:style w:type="table" w:customStyle="1" w:styleId="TableGrid1">
    <w:name w:val="Table Grid1"/>
    <w:basedOn w:val="TableNormal"/>
    <w:next w:val="TableGrid"/>
    <w:uiPriority w:val="59"/>
    <w:rsid w:val="002C6719"/>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719"/>
    <w:rPr>
      <w:sz w:val="16"/>
      <w:szCs w:val="16"/>
    </w:rPr>
  </w:style>
  <w:style w:type="character" w:customStyle="1" w:styleId="UnresolvedMention1">
    <w:name w:val="Unresolved Mention1"/>
    <w:basedOn w:val="DefaultParagraphFont"/>
    <w:uiPriority w:val="99"/>
    <w:semiHidden/>
    <w:unhideWhenUsed/>
    <w:rsid w:val="002C6719"/>
    <w:rPr>
      <w:color w:val="605E5C"/>
      <w:shd w:val="clear" w:color="auto" w:fill="E1DFDD"/>
    </w:rPr>
  </w:style>
  <w:style w:type="character" w:customStyle="1" w:styleId="FollowedHyperlink1">
    <w:name w:val="FollowedHyperlink1"/>
    <w:basedOn w:val="DefaultParagraphFont"/>
    <w:uiPriority w:val="99"/>
    <w:semiHidden/>
    <w:unhideWhenUsed/>
    <w:rsid w:val="002C6719"/>
    <w:rPr>
      <w:color w:val="954F72"/>
      <w:u w:val="single"/>
    </w:rPr>
  </w:style>
  <w:style w:type="character" w:styleId="PlaceholderText">
    <w:name w:val="Placeholder Text"/>
    <w:basedOn w:val="DefaultParagraphFont"/>
    <w:uiPriority w:val="99"/>
    <w:semiHidden/>
    <w:rsid w:val="002C6719"/>
    <w:rPr>
      <w:color w:val="808080"/>
    </w:rPr>
  </w:style>
  <w:style w:type="paragraph" w:styleId="Revision">
    <w:name w:val="Revision"/>
    <w:hidden/>
    <w:uiPriority w:val="99"/>
    <w:semiHidden/>
    <w:rsid w:val="002C6719"/>
    <w:pPr>
      <w:spacing w:after="0" w:line="240" w:lineRule="auto"/>
    </w:pPr>
    <w:rPr>
      <w:rFonts w:ascii="Times New Roman" w:hAnsi="Times New Roman" w:cs="Times New Roman"/>
      <w:sz w:val="24"/>
      <w:szCs w:val="24"/>
      <w:lang w:val="en-GB" w:eastAsia="en-GB"/>
    </w:rPr>
  </w:style>
  <w:style w:type="character" w:customStyle="1" w:styleId="Heading2Char1">
    <w:name w:val="Heading 2 Char1"/>
    <w:basedOn w:val="DefaultParagraphFont"/>
    <w:uiPriority w:val="9"/>
    <w:semiHidden/>
    <w:rsid w:val="002C671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C671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2C67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C6719"/>
    <w:rPr>
      <w:color w:val="0563C1" w:themeColor="hyperlink"/>
      <w:u w:val="single"/>
    </w:rPr>
  </w:style>
  <w:style w:type="paragraph" w:styleId="NoSpacing">
    <w:name w:val="No Spacing"/>
    <w:uiPriority w:val="1"/>
    <w:qFormat/>
    <w:rsid w:val="002C6719"/>
    <w:pPr>
      <w:spacing w:after="0" w:line="240" w:lineRule="auto"/>
    </w:pPr>
  </w:style>
  <w:style w:type="paragraph" w:styleId="Title">
    <w:name w:val="Title"/>
    <w:basedOn w:val="Normal"/>
    <w:next w:val="Normal"/>
    <w:link w:val="TitleChar"/>
    <w:uiPriority w:val="10"/>
    <w:qFormat/>
    <w:rsid w:val="002C6719"/>
    <w:pPr>
      <w:spacing w:after="0" w:line="240" w:lineRule="auto"/>
      <w:contextualSpacing/>
    </w:pPr>
    <w:rPr>
      <w:rFonts w:ascii="Calibri Light" w:eastAsia="Times New Roman" w:hAnsi="Calibri Light" w:cs="Times New Roman"/>
      <w:spacing w:val="-10"/>
      <w:kern w:val="28"/>
      <w:sz w:val="56"/>
      <w:szCs w:val="56"/>
      <w:lang w:eastAsia="en-GB"/>
    </w:rPr>
  </w:style>
  <w:style w:type="character" w:customStyle="1" w:styleId="TitleChar1">
    <w:name w:val="Title Char1"/>
    <w:basedOn w:val="DefaultParagraphFont"/>
    <w:uiPriority w:val="10"/>
    <w:rsid w:val="002C6719"/>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2C6719"/>
    <w:pPr>
      <w:spacing w:after="0" w:line="240" w:lineRule="auto"/>
    </w:pPr>
    <w:rPr>
      <w:sz w:val="20"/>
      <w:szCs w:val="20"/>
    </w:rPr>
  </w:style>
  <w:style w:type="character" w:customStyle="1" w:styleId="EndnoteTextChar2">
    <w:name w:val="Endnote Text Char2"/>
    <w:basedOn w:val="DefaultParagraphFont"/>
    <w:uiPriority w:val="99"/>
    <w:semiHidden/>
    <w:rsid w:val="002C6719"/>
    <w:rPr>
      <w:sz w:val="20"/>
      <w:szCs w:val="20"/>
    </w:rPr>
  </w:style>
  <w:style w:type="table" w:styleId="TableGrid">
    <w:name w:val="Table Grid"/>
    <w:basedOn w:val="TableNormal"/>
    <w:uiPriority w:val="39"/>
    <w:rsid w:val="002C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6719"/>
    <w:rPr>
      <w:color w:val="954F72" w:themeColor="followedHyperlink"/>
      <w:u w:val="single"/>
    </w:rPr>
  </w:style>
  <w:style w:type="paragraph" w:customStyle="1" w:styleId="Caption2">
    <w:name w:val="Caption2"/>
    <w:basedOn w:val="Normal"/>
    <w:next w:val="Normal"/>
    <w:uiPriority w:val="35"/>
    <w:unhideWhenUsed/>
    <w:qFormat/>
    <w:rsid w:val="002C6719"/>
    <w:pPr>
      <w:spacing w:after="200" w:line="240" w:lineRule="auto"/>
    </w:pPr>
    <w:rPr>
      <w:rFonts w:ascii="Times New Roman" w:hAnsi="Times New Roman" w:cs="Times New Roman"/>
      <w:i/>
      <w:iCs/>
      <w:color w:val="44546A"/>
      <w:sz w:val="18"/>
      <w:szCs w:val="18"/>
      <w:lang w:val="en-GB" w:eastAsia="en-GB"/>
    </w:rPr>
  </w:style>
  <w:style w:type="table" w:customStyle="1" w:styleId="TableGrid2">
    <w:name w:val="Table Grid2"/>
    <w:basedOn w:val="TableNormal"/>
    <w:next w:val="TableGrid"/>
    <w:uiPriority w:val="39"/>
    <w:rsid w:val="002C67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2C6719"/>
    <w:pPr>
      <w:keepNext/>
      <w:keepLines/>
      <w:widowControl/>
      <w:autoSpaceDE/>
      <w:autoSpaceDN/>
      <w:spacing w:before="240" w:line="259" w:lineRule="auto"/>
      <w:ind w:left="0"/>
      <w:outlineLvl w:val="9"/>
    </w:pPr>
    <w:rPr>
      <w:rFonts w:ascii="Calibri Light" w:eastAsia="Yu Gothic Light" w:hAnsi="Calibri Light"/>
      <w:b w:val="0"/>
      <w:bCs w:val="0"/>
      <w:color w:val="2E74B5"/>
      <w:sz w:val="32"/>
      <w:szCs w:val="32"/>
    </w:rPr>
  </w:style>
  <w:style w:type="table" w:customStyle="1" w:styleId="PlainTable21">
    <w:name w:val="Plain Table 21"/>
    <w:basedOn w:val="TableNormal"/>
    <w:next w:val="PlainTable2"/>
    <w:uiPriority w:val="42"/>
    <w:rsid w:val="002C6719"/>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ndnoteReference">
    <w:name w:val="endnote reference"/>
    <w:basedOn w:val="DefaultParagraphFont"/>
    <w:uiPriority w:val="99"/>
    <w:semiHidden/>
    <w:unhideWhenUsed/>
    <w:rsid w:val="002C6719"/>
    <w:rPr>
      <w:vertAlign w:val="superscript"/>
    </w:rPr>
  </w:style>
  <w:style w:type="table" w:customStyle="1" w:styleId="TableGridLight1">
    <w:name w:val="Table Grid Light1"/>
    <w:basedOn w:val="TableNormal"/>
    <w:uiPriority w:val="40"/>
    <w:rsid w:val="002C6719"/>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52">
    <w:name w:val="TOC 52"/>
    <w:basedOn w:val="Normal"/>
    <w:next w:val="Normal"/>
    <w:autoRedefine/>
    <w:uiPriority w:val="39"/>
    <w:unhideWhenUsed/>
    <w:rsid w:val="002C6719"/>
    <w:pPr>
      <w:spacing w:after="100"/>
      <w:ind w:left="880"/>
    </w:pPr>
    <w:rPr>
      <w:rFonts w:eastAsia="Yu Mincho"/>
      <w:lang w:val="en-GB" w:eastAsia="en-GB"/>
    </w:rPr>
  </w:style>
  <w:style w:type="paragraph" w:customStyle="1" w:styleId="TOC62">
    <w:name w:val="TOC 62"/>
    <w:basedOn w:val="Normal"/>
    <w:next w:val="Normal"/>
    <w:autoRedefine/>
    <w:uiPriority w:val="39"/>
    <w:unhideWhenUsed/>
    <w:rsid w:val="002C6719"/>
    <w:pPr>
      <w:spacing w:after="100"/>
      <w:ind w:left="1100"/>
    </w:pPr>
    <w:rPr>
      <w:rFonts w:eastAsia="Yu Mincho"/>
      <w:lang w:val="en-GB" w:eastAsia="en-GB"/>
    </w:rPr>
  </w:style>
  <w:style w:type="paragraph" w:customStyle="1" w:styleId="TOC72">
    <w:name w:val="TOC 72"/>
    <w:basedOn w:val="Normal"/>
    <w:next w:val="Normal"/>
    <w:autoRedefine/>
    <w:uiPriority w:val="39"/>
    <w:unhideWhenUsed/>
    <w:rsid w:val="002C6719"/>
    <w:pPr>
      <w:spacing w:after="100"/>
      <w:ind w:left="1320"/>
    </w:pPr>
    <w:rPr>
      <w:rFonts w:eastAsia="Yu Mincho"/>
      <w:lang w:val="en-GB" w:eastAsia="en-GB"/>
    </w:rPr>
  </w:style>
  <w:style w:type="paragraph" w:customStyle="1" w:styleId="TOC82">
    <w:name w:val="TOC 82"/>
    <w:basedOn w:val="Normal"/>
    <w:next w:val="Normal"/>
    <w:autoRedefine/>
    <w:uiPriority w:val="39"/>
    <w:unhideWhenUsed/>
    <w:rsid w:val="002C6719"/>
    <w:pPr>
      <w:spacing w:after="100"/>
      <w:ind w:left="1540"/>
    </w:pPr>
    <w:rPr>
      <w:rFonts w:eastAsia="Yu Mincho"/>
      <w:lang w:val="en-GB" w:eastAsia="en-GB"/>
    </w:rPr>
  </w:style>
  <w:style w:type="paragraph" w:customStyle="1" w:styleId="TOC92">
    <w:name w:val="TOC 92"/>
    <w:basedOn w:val="Normal"/>
    <w:next w:val="Normal"/>
    <w:autoRedefine/>
    <w:uiPriority w:val="39"/>
    <w:unhideWhenUsed/>
    <w:rsid w:val="002C6719"/>
    <w:pPr>
      <w:spacing w:after="100"/>
      <w:ind w:left="1760"/>
    </w:pPr>
    <w:rPr>
      <w:rFonts w:eastAsia="Yu Mincho"/>
      <w:lang w:val="en-GB" w:eastAsia="en-GB"/>
    </w:rPr>
  </w:style>
  <w:style w:type="character" w:styleId="UnresolvedMention">
    <w:name w:val="Unresolved Mention"/>
    <w:basedOn w:val="DefaultParagraphFont"/>
    <w:uiPriority w:val="99"/>
    <w:semiHidden/>
    <w:unhideWhenUsed/>
    <w:rsid w:val="002C6719"/>
    <w:rPr>
      <w:color w:val="605E5C"/>
      <w:shd w:val="clear" w:color="auto" w:fill="E1DFDD"/>
    </w:rPr>
  </w:style>
  <w:style w:type="table" w:styleId="PlainTable2">
    <w:name w:val="Plain Table 2"/>
    <w:basedOn w:val="TableNormal"/>
    <w:uiPriority w:val="42"/>
    <w:rsid w:val="002C67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0970">
      <w:bodyDiv w:val="1"/>
      <w:marLeft w:val="0"/>
      <w:marRight w:val="0"/>
      <w:marTop w:val="0"/>
      <w:marBottom w:val="0"/>
      <w:divBdr>
        <w:top w:val="none" w:sz="0" w:space="0" w:color="auto"/>
        <w:left w:val="none" w:sz="0" w:space="0" w:color="auto"/>
        <w:bottom w:val="none" w:sz="0" w:space="0" w:color="auto"/>
        <w:right w:val="none" w:sz="0" w:space="0" w:color="auto"/>
      </w:divBdr>
    </w:div>
    <w:div w:id="566457130">
      <w:bodyDiv w:val="1"/>
      <w:marLeft w:val="0"/>
      <w:marRight w:val="0"/>
      <w:marTop w:val="0"/>
      <w:marBottom w:val="0"/>
      <w:divBdr>
        <w:top w:val="none" w:sz="0" w:space="0" w:color="auto"/>
        <w:left w:val="none" w:sz="0" w:space="0" w:color="auto"/>
        <w:bottom w:val="none" w:sz="0" w:space="0" w:color="auto"/>
        <w:right w:val="none" w:sz="0" w:space="0" w:color="auto"/>
      </w:divBdr>
    </w:div>
    <w:div w:id="1030957227">
      <w:bodyDiv w:val="1"/>
      <w:marLeft w:val="0"/>
      <w:marRight w:val="0"/>
      <w:marTop w:val="0"/>
      <w:marBottom w:val="0"/>
      <w:divBdr>
        <w:top w:val="none" w:sz="0" w:space="0" w:color="auto"/>
        <w:left w:val="none" w:sz="0" w:space="0" w:color="auto"/>
        <w:bottom w:val="none" w:sz="0" w:space="0" w:color="auto"/>
        <w:right w:val="none" w:sz="0" w:space="0" w:color="auto"/>
      </w:divBdr>
    </w:div>
    <w:div w:id="1044644686">
      <w:bodyDiv w:val="1"/>
      <w:marLeft w:val="0"/>
      <w:marRight w:val="0"/>
      <w:marTop w:val="0"/>
      <w:marBottom w:val="0"/>
      <w:divBdr>
        <w:top w:val="none" w:sz="0" w:space="0" w:color="auto"/>
        <w:left w:val="none" w:sz="0" w:space="0" w:color="auto"/>
        <w:bottom w:val="none" w:sz="0" w:space="0" w:color="auto"/>
        <w:right w:val="none" w:sz="0" w:space="0" w:color="auto"/>
      </w:divBdr>
    </w:div>
    <w:div w:id="1086809242">
      <w:bodyDiv w:val="1"/>
      <w:marLeft w:val="0"/>
      <w:marRight w:val="0"/>
      <w:marTop w:val="0"/>
      <w:marBottom w:val="0"/>
      <w:divBdr>
        <w:top w:val="none" w:sz="0" w:space="0" w:color="auto"/>
        <w:left w:val="none" w:sz="0" w:space="0" w:color="auto"/>
        <w:bottom w:val="none" w:sz="0" w:space="0" w:color="auto"/>
        <w:right w:val="none" w:sz="0" w:space="0" w:color="auto"/>
      </w:divBdr>
    </w:div>
    <w:div w:id="1259750793">
      <w:bodyDiv w:val="1"/>
      <w:marLeft w:val="0"/>
      <w:marRight w:val="0"/>
      <w:marTop w:val="0"/>
      <w:marBottom w:val="0"/>
      <w:divBdr>
        <w:top w:val="none" w:sz="0" w:space="0" w:color="auto"/>
        <w:left w:val="none" w:sz="0" w:space="0" w:color="auto"/>
        <w:bottom w:val="none" w:sz="0" w:space="0" w:color="auto"/>
        <w:right w:val="none" w:sz="0" w:space="0" w:color="auto"/>
      </w:divBdr>
    </w:div>
    <w:div w:id="1295332104">
      <w:bodyDiv w:val="1"/>
      <w:marLeft w:val="0"/>
      <w:marRight w:val="0"/>
      <w:marTop w:val="0"/>
      <w:marBottom w:val="0"/>
      <w:divBdr>
        <w:top w:val="none" w:sz="0" w:space="0" w:color="auto"/>
        <w:left w:val="none" w:sz="0" w:space="0" w:color="auto"/>
        <w:bottom w:val="none" w:sz="0" w:space="0" w:color="auto"/>
        <w:right w:val="none" w:sz="0" w:space="0" w:color="auto"/>
      </w:divBdr>
    </w:div>
    <w:div w:id="1762679292">
      <w:bodyDiv w:val="1"/>
      <w:marLeft w:val="0"/>
      <w:marRight w:val="0"/>
      <w:marTop w:val="0"/>
      <w:marBottom w:val="0"/>
      <w:divBdr>
        <w:top w:val="none" w:sz="0" w:space="0" w:color="auto"/>
        <w:left w:val="none" w:sz="0" w:space="0" w:color="auto"/>
        <w:bottom w:val="none" w:sz="0" w:space="0" w:color="auto"/>
        <w:right w:val="none" w:sz="0" w:space="0" w:color="auto"/>
      </w:divBdr>
    </w:div>
    <w:div w:id="1783302088">
      <w:bodyDiv w:val="1"/>
      <w:marLeft w:val="0"/>
      <w:marRight w:val="0"/>
      <w:marTop w:val="0"/>
      <w:marBottom w:val="0"/>
      <w:divBdr>
        <w:top w:val="none" w:sz="0" w:space="0" w:color="auto"/>
        <w:left w:val="none" w:sz="0" w:space="0" w:color="auto"/>
        <w:bottom w:val="none" w:sz="0" w:space="0" w:color="auto"/>
        <w:right w:val="none" w:sz="0" w:space="0" w:color="auto"/>
      </w:divBdr>
    </w:div>
    <w:div w:id="1789926727">
      <w:bodyDiv w:val="1"/>
      <w:marLeft w:val="0"/>
      <w:marRight w:val="0"/>
      <w:marTop w:val="0"/>
      <w:marBottom w:val="0"/>
      <w:divBdr>
        <w:top w:val="none" w:sz="0" w:space="0" w:color="auto"/>
        <w:left w:val="none" w:sz="0" w:space="0" w:color="auto"/>
        <w:bottom w:val="none" w:sz="0" w:space="0" w:color="auto"/>
        <w:right w:val="none" w:sz="0" w:space="0" w:color="auto"/>
      </w:divBdr>
      <w:divsChild>
        <w:div w:id="3558094">
          <w:marLeft w:val="0"/>
          <w:marRight w:val="0"/>
          <w:marTop w:val="0"/>
          <w:marBottom w:val="0"/>
          <w:divBdr>
            <w:top w:val="none" w:sz="0" w:space="0" w:color="auto"/>
            <w:left w:val="none" w:sz="0" w:space="0" w:color="auto"/>
            <w:bottom w:val="none" w:sz="0" w:space="0" w:color="auto"/>
            <w:right w:val="none" w:sz="0" w:space="0" w:color="auto"/>
          </w:divBdr>
        </w:div>
        <w:div w:id="12194355">
          <w:marLeft w:val="0"/>
          <w:marRight w:val="0"/>
          <w:marTop w:val="0"/>
          <w:marBottom w:val="0"/>
          <w:divBdr>
            <w:top w:val="none" w:sz="0" w:space="0" w:color="auto"/>
            <w:left w:val="none" w:sz="0" w:space="0" w:color="auto"/>
            <w:bottom w:val="none" w:sz="0" w:space="0" w:color="auto"/>
            <w:right w:val="none" w:sz="0" w:space="0" w:color="auto"/>
          </w:divBdr>
        </w:div>
        <w:div w:id="14312011">
          <w:marLeft w:val="0"/>
          <w:marRight w:val="0"/>
          <w:marTop w:val="0"/>
          <w:marBottom w:val="0"/>
          <w:divBdr>
            <w:top w:val="none" w:sz="0" w:space="0" w:color="auto"/>
            <w:left w:val="none" w:sz="0" w:space="0" w:color="auto"/>
            <w:bottom w:val="none" w:sz="0" w:space="0" w:color="auto"/>
            <w:right w:val="none" w:sz="0" w:space="0" w:color="auto"/>
          </w:divBdr>
        </w:div>
        <w:div w:id="14699748">
          <w:marLeft w:val="0"/>
          <w:marRight w:val="0"/>
          <w:marTop w:val="0"/>
          <w:marBottom w:val="0"/>
          <w:divBdr>
            <w:top w:val="none" w:sz="0" w:space="0" w:color="auto"/>
            <w:left w:val="none" w:sz="0" w:space="0" w:color="auto"/>
            <w:bottom w:val="none" w:sz="0" w:space="0" w:color="auto"/>
            <w:right w:val="none" w:sz="0" w:space="0" w:color="auto"/>
          </w:divBdr>
        </w:div>
        <w:div w:id="17437479">
          <w:marLeft w:val="0"/>
          <w:marRight w:val="0"/>
          <w:marTop w:val="0"/>
          <w:marBottom w:val="0"/>
          <w:divBdr>
            <w:top w:val="none" w:sz="0" w:space="0" w:color="auto"/>
            <w:left w:val="none" w:sz="0" w:space="0" w:color="auto"/>
            <w:bottom w:val="none" w:sz="0" w:space="0" w:color="auto"/>
            <w:right w:val="none" w:sz="0" w:space="0" w:color="auto"/>
          </w:divBdr>
        </w:div>
        <w:div w:id="19014974">
          <w:marLeft w:val="0"/>
          <w:marRight w:val="0"/>
          <w:marTop w:val="0"/>
          <w:marBottom w:val="0"/>
          <w:divBdr>
            <w:top w:val="none" w:sz="0" w:space="0" w:color="auto"/>
            <w:left w:val="none" w:sz="0" w:space="0" w:color="auto"/>
            <w:bottom w:val="none" w:sz="0" w:space="0" w:color="auto"/>
            <w:right w:val="none" w:sz="0" w:space="0" w:color="auto"/>
          </w:divBdr>
        </w:div>
        <w:div w:id="20518631">
          <w:marLeft w:val="0"/>
          <w:marRight w:val="0"/>
          <w:marTop w:val="0"/>
          <w:marBottom w:val="0"/>
          <w:divBdr>
            <w:top w:val="none" w:sz="0" w:space="0" w:color="auto"/>
            <w:left w:val="none" w:sz="0" w:space="0" w:color="auto"/>
            <w:bottom w:val="none" w:sz="0" w:space="0" w:color="auto"/>
            <w:right w:val="none" w:sz="0" w:space="0" w:color="auto"/>
          </w:divBdr>
        </w:div>
        <w:div w:id="27030251">
          <w:marLeft w:val="0"/>
          <w:marRight w:val="0"/>
          <w:marTop w:val="0"/>
          <w:marBottom w:val="0"/>
          <w:divBdr>
            <w:top w:val="none" w:sz="0" w:space="0" w:color="auto"/>
            <w:left w:val="none" w:sz="0" w:space="0" w:color="auto"/>
            <w:bottom w:val="none" w:sz="0" w:space="0" w:color="auto"/>
            <w:right w:val="none" w:sz="0" w:space="0" w:color="auto"/>
          </w:divBdr>
        </w:div>
        <w:div w:id="33161263">
          <w:marLeft w:val="0"/>
          <w:marRight w:val="0"/>
          <w:marTop w:val="0"/>
          <w:marBottom w:val="0"/>
          <w:divBdr>
            <w:top w:val="none" w:sz="0" w:space="0" w:color="auto"/>
            <w:left w:val="none" w:sz="0" w:space="0" w:color="auto"/>
            <w:bottom w:val="none" w:sz="0" w:space="0" w:color="auto"/>
            <w:right w:val="none" w:sz="0" w:space="0" w:color="auto"/>
          </w:divBdr>
        </w:div>
        <w:div w:id="50734434">
          <w:marLeft w:val="0"/>
          <w:marRight w:val="0"/>
          <w:marTop w:val="0"/>
          <w:marBottom w:val="0"/>
          <w:divBdr>
            <w:top w:val="none" w:sz="0" w:space="0" w:color="auto"/>
            <w:left w:val="none" w:sz="0" w:space="0" w:color="auto"/>
            <w:bottom w:val="none" w:sz="0" w:space="0" w:color="auto"/>
            <w:right w:val="none" w:sz="0" w:space="0" w:color="auto"/>
          </w:divBdr>
        </w:div>
        <w:div w:id="54165271">
          <w:marLeft w:val="0"/>
          <w:marRight w:val="0"/>
          <w:marTop w:val="0"/>
          <w:marBottom w:val="0"/>
          <w:divBdr>
            <w:top w:val="none" w:sz="0" w:space="0" w:color="auto"/>
            <w:left w:val="none" w:sz="0" w:space="0" w:color="auto"/>
            <w:bottom w:val="none" w:sz="0" w:space="0" w:color="auto"/>
            <w:right w:val="none" w:sz="0" w:space="0" w:color="auto"/>
          </w:divBdr>
        </w:div>
        <w:div w:id="56124437">
          <w:marLeft w:val="0"/>
          <w:marRight w:val="0"/>
          <w:marTop w:val="0"/>
          <w:marBottom w:val="0"/>
          <w:divBdr>
            <w:top w:val="none" w:sz="0" w:space="0" w:color="auto"/>
            <w:left w:val="none" w:sz="0" w:space="0" w:color="auto"/>
            <w:bottom w:val="none" w:sz="0" w:space="0" w:color="auto"/>
            <w:right w:val="none" w:sz="0" w:space="0" w:color="auto"/>
          </w:divBdr>
        </w:div>
        <w:div w:id="59179973">
          <w:marLeft w:val="0"/>
          <w:marRight w:val="0"/>
          <w:marTop w:val="0"/>
          <w:marBottom w:val="0"/>
          <w:divBdr>
            <w:top w:val="none" w:sz="0" w:space="0" w:color="auto"/>
            <w:left w:val="none" w:sz="0" w:space="0" w:color="auto"/>
            <w:bottom w:val="none" w:sz="0" w:space="0" w:color="auto"/>
            <w:right w:val="none" w:sz="0" w:space="0" w:color="auto"/>
          </w:divBdr>
        </w:div>
        <w:div w:id="61753587">
          <w:marLeft w:val="0"/>
          <w:marRight w:val="0"/>
          <w:marTop w:val="0"/>
          <w:marBottom w:val="0"/>
          <w:divBdr>
            <w:top w:val="none" w:sz="0" w:space="0" w:color="auto"/>
            <w:left w:val="none" w:sz="0" w:space="0" w:color="auto"/>
            <w:bottom w:val="none" w:sz="0" w:space="0" w:color="auto"/>
            <w:right w:val="none" w:sz="0" w:space="0" w:color="auto"/>
          </w:divBdr>
        </w:div>
        <w:div w:id="66000165">
          <w:marLeft w:val="0"/>
          <w:marRight w:val="0"/>
          <w:marTop w:val="0"/>
          <w:marBottom w:val="0"/>
          <w:divBdr>
            <w:top w:val="none" w:sz="0" w:space="0" w:color="auto"/>
            <w:left w:val="none" w:sz="0" w:space="0" w:color="auto"/>
            <w:bottom w:val="none" w:sz="0" w:space="0" w:color="auto"/>
            <w:right w:val="none" w:sz="0" w:space="0" w:color="auto"/>
          </w:divBdr>
        </w:div>
        <w:div w:id="67772647">
          <w:marLeft w:val="0"/>
          <w:marRight w:val="0"/>
          <w:marTop w:val="0"/>
          <w:marBottom w:val="0"/>
          <w:divBdr>
            <w:top w:val="none" w:sz="0" w:space="0" w:color="auto"/>
            <w:left w:val="none" w:sz="0" w:space="0" w:color="auto"/>
            <w:bottom w:val="none" w:sz="0" w:space="0" w:color="auto"/>
            <w:right w:val="none" w:sz="0" w:space="0" w:color="auto"/>
          </w:divBdr>
        </w:div>
        <w:div w:id="70589881">
          <w:marLeft w:val="0"/>
          <w:marRight w:val="0"/>
          <w:marTop w:val="0"/>
          <w:marBottom w:val="0"/>
          <w:divBdr>
            <w:top w:val="none" w:sz="0" w:space="0" w:color="auto"/>
            <w:left w:val="none" w:sz="0" w:space="0" w:color="auto"/>
            <w:bottom w:val="none" w:sz="0" w:space="0" w:color="auto"/>
            <w:right w:val="none" w:sz="0" w:space="0" w:color="auto"/>
          </w:divBdr>
        </w:div>
        <w:div w:id="74205102">
          <w:marLeft w:val="0"/>
          <w:marRight w:val="0"/>
          <w:marTop w:val="0"/>
          <w:marBottom w:val="0"/>
          <w:divBdr>
            <w:top w:val="none" w:sz="0" w:space="0" w:color="auto"/>
            <w:left w:val="none" w:sz="0" w:space="0" w:color="auto"/>
            <w:bottom w:val="none" w:sz="0" w:space="0" w:color="auto"/>
            <w:right w:val="none" w:sz="0" w:space="0" w:color="auto"/>
          </w:divBdr>
        </w:div>
        <w:div w:id="74521080">
          <w:marLeft w:val="0"/>
          <w:marRight w:val="0"/>
          <w:marTop w:val="0"/>
          <w:marBottom w:val="0"/>
          <w:divBdr>
            <w:top w:val="none" w:sz="0" w:space="0" w:color="auto"/>
            <w:left w:val="none" w:sz="0" w:space="0" w:color="auto"/>
            <w:bottom w:val="none" w:sz="0" w:space="0" w:color="auto"/>
            <w:right w:val="none" w:sz="0" w:space="0" w:color="auto"/>
          </w:divBdr>
        </w:div>
        <w:div w:id="75831621">
          <w:marLeft w:val="0"/>
          <w:marRight w:val="0"/>
          <w:marTop w:val="0"/>
          <w:marBottom w:val="0"/>
          <w:divBdr>
            <w:top w:val="none" w:sz="0" w:space="0" w:color="auto"/>
            <w:left w:val="none" w:sz="0" w:space="0" w:color="auto"/>
            <w:bottom w:val="none" w:sz="0" w:space="0" w:color="auto"/>
            <w:right w:val="none" w:sz="0" w:space="0" w:color="auto"/>
          </w:divBdr>
        </w:div>
        <w:div w:id="77529645">
          <w:marLeft w:val="0"/>
          <w:marRight w:val="0"/>
          <w:marTop w:val="0"/>
          <w:marBottom w:val="0"/>
          <w:divBdr>
            <w:top w:val="none" w:sz="0" w:space="0" w:color="auto"/>
            <w:left w:val="none" w:sz="0" w:space="0" w:color="auto"/>
            <w:bottom w:val="none" w:sz="0" w:space="0" w:color="auto"/>
            <w:right w:val="none" w:sz="0" w:space="0" w:color="auto"/>
          </w:divBdr>
        </w:div>
        <w:div w:id="78450600">
          <w:marLeft w:val="0"/>
          <w:marRight w:val="0"/>
          <w:marTop w:val="0"/>
          <w:marBottom w:val="0"/>
          <w:divBdr>
            <w:top w:val="none" w:sz="0" w:space="0" w:color="auto"/>
            <w:left w:val="none" w:sz="0" w:space="0" w:color="auto"/>
            <w:bottom w:val="none" w:sz="0" w:space="0" w:color="auto"/>
            <w:right w:val="none" w:sz="0" w:space="0" w:color="auto"/>
          </w:divBdr>
        </w:div>
        <w:div w:id="78796085">
          <w:marLeft w:val="0"/>
          <w:marRight w:val="0"/>
          <w:marTop w:val="0"/>
          <w:marBottom w:val="0"/>
          <w:divBdr>
            <w:top w:val="none" w:sz="0" w:space="0" w:color="auto"/>
            <w:left w:val="none" w:sz="0" w:space="0" w:color="auto"/>
            <w:bottom w:val="none" w:sz="0" w:space="0" w:color="auto"/>
            <w:right w:val="none" w:sz="0" w:space="0" w:color="auto"/>
          </w:divBdr>
        </w:div>
        <w:div w:id="79959545">
          <w:marLeft w:val="0"/>
          <w:marRight w:val="0"/>
          <w:marTop w:val="0"/>
          <w:marBottom w:val="0"/>
          <w:divBdr>
            <w:top w:val="none" w:sz="0" w:space="0" w:color="auto"/>
            <w:left w:val="none" w:sz="0" w:space="0" w:color="auto"/>
            <w:bottom w:val="none" w:sz="0" w:space="0" w:color="auto"/>
            <w:right w:val="none" w:sz="0" w:space="0" w:color="auto"/>
          </w:divBdr>
        </w:div>
        <w:div w:id="88702614">
          <w:marLeft w:val="0"/>
          <w:marRight w:val="0"/>
          <w:marTop w:val="0"/>
          <w:marBottom w:val="0"/>
          <w:divBdr>
            <w:top w:val="none" w:sz="0" w:space="0" w:color="auto"/>
            <w:left w:val="none" w:sz="0" w:space="0" w:color="auto"/>
            <w:bottom w:val="none" w:sz="0" w:space="0" w:color="auto"/>
            <w:right w:val="none" w:sz="0" w:space="0" w:color="auto"/>
          </w:divBdr>
        </w:div>
        <w:div w:id="97915397">
          <w:marLeft w:val="0"/>
          <w:marRight w:val="0"/>
          <w:marTop w:val="0"/>
          <w:marBottom w:val="0"/>
          <w:divBdr>
            <w:top w:val="none" w:sz="0" w:space="0" w:color="auto"/>
            <w:left w:val="none" w:sz="0" w:space="0" w:color="auto"/>
            <w:bottom w:val="none" w:sz="0" w:space="0" w:color="auto"/>
            <w:right w:val="none" w:sz="0" w:space="0" w:color="auto"/>
          </w:divBdr>
        </w:div>
        <w:div w:id="100422743">
          <w:marLeft w:val="0"/>
          <w:marRight w:val="0"/>
          <w:marTop w:val="0"/>
          <w:marBottom w:val="0"/>
          <w:divBdr>
            <w:top w:val="none" w:sz="0" w:space="0" w:color="auto"/>
            <w:left w:val="none" w:sz="0" w:space="0" w:color="auto"/>
            <w:bottom w:val="none" w:sz="0" w:space="0" w:color="auto"/>
            <w:right w:val="none" w:sz="0" w:space="0" w:color="auto"/>
          </w:divBdr>
        </w:div>
        <w:div w:id="105120027">
          <w:marLeft w:val="0"/>
          <w:marRight w:val="0"/>
          <w:marTop w:val="0"/>
          <w:marBottom w:val="0"/>
          <w:divBdr>
            <w:top w:val="none" w:sz="0" w:space="0" w:color="auto"/>
            <w:left w:val="none" w:sz="0" w:space="0" w:color="auto"/>
            <w:bottom w:val="none" w:sz="0" w:space="0" w:color="auto"/>
            <w:right w:val="none" w:sz="0" w:space="0" w:color="auto"/>
          </w:divBdr>
        </w:div>
        <w:div w:id="108162101">
          <w:marLeft w:val="0"/>
          <w:marRight w:val="0"/>
          <w:marTop w:val="0"/>
          <w:marBottom w:val="0"/>
          <w:divBdr>
            <w:top w:val="none" w:sz="0" w:space="0" w:color="auto"/>
            <w:left w:val="none" w:sz="0" w:space="0" w:color="auto"/>
            <w:bottom w:val="none" w:sz="0" w:space="0" w:color="auto"/>
            <w:right w:val="none" w:sz="0" w:space="0" w:color="auto"/>
          </w:divBdr>
        </w:div>
        <w:div w:id="113797423">
          <w:marLeft w:val="0"/>
          <w:marRight w:val="0"/>
          <w:marTop w:val="0"/>
          <w:marBottom w:val="0"/>
          <w:divBdr>
            <w:top w:val="none" w:sz="0" w:space="0" w:color="auto"/>
            <w:left w:val="none" w:sz="0" w:space="0" w:color="auto"/>
            <w:bottom w:val="none" w:sz="0" w:space="0" w:color="auto"/>
            <w:right w:val="none" w:sz="0" w:space="0" w:color="auto"/>
          </w:divBdr>
        </w:div>
        <w:div w:id="119347781">
          <w:marLeft w:val="0"/>
          <w:marRight w:val="0"/>
          <w:marTop w:val="0"/>
          <w:marBottom w:val="0"/>
          <w:divBdr>
            <w:top w:val="none" w:sz="0" w:space="0" w:color="auto"/>
            <w:left w:val="none" w:sz="0" w:space="0" w:color="auto"/>
            <w:bottom w:val="none" w:sz="0" w:space="0" w:color="auto"/>
            <w:right w:val="none" w:sz="0" w:space="0" w:color="auto"/>
          </w:divBdr>
        </w:div>
        <w:div w:id="121466065">
          <w:marLeft w:val="0"/>
          <w:marRight w:val="0"/>
          <w:marTop w:val="0"/>
          <w:marBottom w:val="0"/>
          <w:divBdr>
            <w:top w:val="none" w:sz="0" w:space="0" w:color="auto"/>
            <w:left w:val="none" w:sz="0" w:space="0" w:color="auto"/>
            <w:bottom w:val="none" w:sz="0" w:space="0" w:color="auto"/>
            <w:right w:val="none" w:sz="0" w:space="0" w:color="auto"/>
          </w:divBdr>
        </w:div>
        <w:div w:id="135148153">
          <w:marLeft w:val="0"/>
          <w:marRight w:val="0"/>
          <w:marTop w:val="0"/>
          <w:marBottom w:val="0"/>
          <w:divBdr>
            <w:top w:val="none" w:sz="0" w:space="0" w:color="auto"/>
            <w:left w:val="none" w:sz="0" w:space="0" w:color="auto"/>
            <w:bottom w:val="none" w:sz="0" w:space="0" w:color="auto"/>
            <w:right w:val="none" w:sz="0" w:space="0" w:color="auto"/>
          </w:divBdr>
        </w:div>
        <w:div w:id="146678572">
          <w:marLeft w:val="0"/>
          <w:marRight w:val="0"/>
          <w:marTop w:val="0"/>
          <w:marBottom w:val="0"/>
          <w:divBdr>
            <w:top w:val="none" w:sz="0" w:space="0" w:color="auto"/>
            <w:left w:val="none" w:sz="0" w:space="0" w:color="auto"/>
            <w:bottom w:val="none" w:sz="0" w:space="0" w:color="auto"/>
            <w:right w:val="none" w:sz="0" w:space="0" w:color="auto"/>
          </w:divBdr>
        </w:div>
        <w:div w:id="149298119">
          <w:marLeft w:val="0"/>
          <w:marRight w:val="0"/>
          <w:marTop w:val="0"/>
          <w:marBottom w:val="0"/>
          <w:divBdr>
            <w:top w:val="none" w:sz="0" w:space="0" w:color="auto"/>
            <w:left w:val="none" w:sz="0" w:space="0" w:color="auto"/>
            <w:bottom w:val="none" w:sz="0" w:space="0" w:color="auto"/>
            <w:right w:val="none" w:sz="0" w:space="0" w:color="auto"/>
          </w:divBdr>
        </w:div>
        <w:div w:id="157767100">
          <w:marLeft w:val="0"/>
          <w:marRight w:val="0"/>
          <w:marTop w:val="0"/>
          <w:marBottom w:val="0"/>
          <w:divBdr>
            <w:top w:val="none" w:sz="0" w:space="0" w:color="auto"/>
            <w:left w:val="none" w:sz="0" w:space="0" w:color="auto"/>
            <w:bottom w:val="none" w:sz="0" w:space="0" w:color="auto"/>
            <w:right w:val="none" w:sz="0" w:space="0" w:color="auto"/>
          </w:divBdr>
        </w:div>
        <w:div w:id="163129643">
          <w:marLeft w:val="0"/>
          <w:marRight w:val="0"/>
          <w:marTop w:val="0"/>
          <w:marBottom w:val="0"/>
          <w:divBdr>
            <w:top w:val="none" w:sz="0" w:space="0" w:color="auto"/>
            <w:left w:val="none" w:sz="0" w:space="0" w:color="auto"/>
            <w:bottom w:val="none" w:sz="0" w:space="0" w:color="auto"/>
            <w:right w:val="none" w:sz="0" w:space="0" w:color="auto"/>
          </w:divBdr>
        </w:div>
        <w:div w:id="164250831">
          <w:marLeft w:val="0"/>
          <w:marRight w:val="0"/>
          <w:marTop w:val="0"/>
          <w:marBottom w:val="0"/>
          <w:divBdr>
            <w:top w:val="none" w:sz="0" w:space="0" w:color="auto"/>
            <w:left w:val="none" w:sz="0" w:space="0" w:color="auto"/>
            <w:bottom w:val="none" w:sz="0" w:space="0" w:color="auto"/>
            <w:right w:val="none" w:sz="0" w:space="0" w:color="auto"/>
          </w:divBdr>
        </w:div>
        <w:div w:id="170923012">
          <w:marLeft w:val="0"/>
          <w:marRight w:val="0"/>
          <w:marTop w:val="0"/>
          <w:marBottom w:val="0"/>
          <w:divBdr>
            <w:top w:val="none" w:sz="0" w:space="0" w:color="auto"/>
            <w:left w:val="none" w:sz="0" w:space="0" w:color="auto"/>
            <w:bottom w:val="none" w:sz="0" w:space="0" w:color="auto"/>
            <w:right w:val="none" w:sz="0" w:space="0" w:color="auto"/>
          </w:divBdr>
        </w:div>
        <w:div w:id="171922655">
          <w:marLeft w:val="0"/>
          <w:marRight w:val="0"/>
          <w:marTop w:val="0"/>
          <w:marBottom w:val="0"/>
          <w:divBdr>
            <w:top w:val="none" w:sz="0" w:space="0" w:color="auto"/>
            <w:left w:val="none" w:sz="0" w:space="0" w:color="auto"/>
            <w:bottom w:val="none" w:sz="0" w:space="0" w:color="auto"/>
            <w:right w:val="none" w:sz="0" w:space="0" w:color="auto"/>
          </w:divBdr>
        </w:div>
        <w:div w:id="175775031">
          <w:marLeft w:val="0"/>
          <w:marRight w:val="0"/>
          <w:marTop w:val="0"/>
          <w:marBottom w:val="0"/>
          <w:divBdr>
            <w:top w:val="none" w:sz="0" w:space="0" w:color="auto"/>
            <w:left w:val="none" w:sz="0" w:space="0" w:color="auto"/>
            <w:bottom w:val="none" w:sz="0" w:space="0" w:color="auto"/>
            <w:right w:val="none" w:sz="0" w:space="0" w:color="auto"/>
          </w:divBdr>
        </w:div>
        <w:div w:id="179198475">
          <w:marLeft w:val="0"/>
          <w:marRight w:val="0"/>
          <w:marTop w:val="0"/>
          <w:marBottom w:val="0"/>
          <w:divBdr>
            <w:top w:val="none" w:sz="0" w:space="0" w:color="auto"/>
            <w:left w:val="none" w:sz="0" w:space="0" w:color="auto"/>
            <w:bottom w:val="none" w:sz="0" w:space="0" w:color="auto"/>
            <w:right w:val="none" w:sz="0" w:space="0" w:color="auto"/>
          </w:divBdr>
        </w:div>
        <w:div w:id="189610205">
          <w:marLeft w:val="0"/>
          <w:marRight w:val="0"/>
          <w:marTop w:val="0"/>
          <w:marBottom w:val="0"/>
          <w:divBdr>
            <w:top w:val="none" w:sz="0" w:space="0" w:color="auto"/>
            <w:left w:val="none" w:sz="0" w:space="0" w:color="auto"/>
            <w:bottom w:val="none" w:sz="0" w:space="0" w:color="auto"/>
            <w:right w:val="none" w:sz="0" w:space="0" w:color="auto"/>
          </w:divBdr>
        </w:div>
        <w:div w:id="197356823">
          <w:marLeft w:val="0"/>
          <w:marRight w:val="0"/>
          <w:marTop w:val="0"/>
          <w:marBottom w:val="0"/>
          <w:divBdr>
            <w:top w:val="none" w:sz="0" w:space="0" w:color="auto"/>
            <w:left w:val="none" w:sz="0" w:space="0" w:color="auto"/>
            <w:bottom w:val="none" w:sz="0" w:space="0" w:color="auto"/>
            <w:right w:val="none" w:sz="0" w:space="0" w:color="auto"/>
          </w:divBdr>
        </w:div>
        <w:div w:id="200216142">
          <w:marLeft w:val="0"/>
          <w:marRight w:val="0"/>
          <w:marTop w:val="0"/>
          <w:marBottom w:val="0"/>
          <w:divBdr>
            <w:top w:val="none" w:sz="0" w:space="0" w:color="auto"/>
            <w:left w:val="none" w:sz="0" w:space="0" w:color="auto"/>
            <w:bottom w:val="none" w:sz="0" w:space="0" w:color="auto"/>
            <w:right w:val="none" w:sz="0" w:space="0" w:color="auto"/>
          </w:divBdr>
        </w:div>
        <w:div w:id="211233990">
          <w:marLeft w:val="0"/>
          <w:marRight w:val="0"/>
          <w:marTop w:val="0"/>
          <w:marBottom w:val="0"/>
          <w:divBdr>
            <w:top w:val="none" w:sz="0" w:space="0" w:color="auto"/>
            <w:left w:val="none" w:sz="0" w:space="0" w:color="auto"/>
            <w:bottom w:val="none" w:sz="0" w:space="0" w:color="auto"/>
            <w:right w:val="none" w:sz="0" w:space="0" w:color="auto"/>
          </w:divBdr>
        </w:div>
        <w:div w:id="211893977">
          <w:marLeft w:val="0"/>
          <w:marRight w:val="0"/>
          <w:marTop w:val="0"/>
          <w:marBottom w:val="0"/>
          <w:divBdr>
            <w:top w:val="none" w:sz="0" w:space="0" w:color="auto"/>
            <w:left w:val="none" w:sz="0" w:space="0" w:color="auto"/>
            <w:bottom w:val="none" w:sz="0" w:space="0" w:color="auto"/>
            <w:right w:val="none" w:sz="0" w:space="0" w:color="auto"/>
          </w:divBdr>
        </w:div>
        <w:div w:id="229510940">
          <w:marLeft w:val="0"/>
          <w:marRight w:val="0"/>
          <w:marTop w:val="0"/>
          <w:marBottom w:val="0"/>
          <w:divBdr>
            <w:top w:val="none" w:sz="0" w:space="0" w:color="auto"/>
            <w:left w:val="none" w:sz="0" w:space="0" w:color="auto"/>
            <w:bottom w:val="none" w:sz="0" w:space="0" w:color="auto"/>
            <w:right w:val="none" w:sz="0" w:space="0" w:color="auto"/>
          </w:divBdr>
        </w:div>
        <w:div w:id="229539231">
          <w:marLeft w:val="0"/>
          <w:marRight w:val="0"/>
          <w:marTop w:val="0"/>
          <w:marBottom w:val="0"/>
          <w:divBdr>
            <w:top w:val="none" w:sz="0" w:space="0" w:color="auto"/>
            <w:left w:val="none" w:sz="0" w:space="0" w:color="auto"/>
            <w:bottom w:val="none" w:sz="0" w:space="0" w:color="auto"/>
            <w:right w:val="none" w:sz="0" w:space="0" w:color="auto"/>
          </w:divBdr>
        </w:div>
        <w:div w:id="230623852">
          <w:marLeft w:val="0"/>
          <w:marRight w:val="0"/>
          <w:marTop w:val="0"/>
          <w:marBottom w:val="0"/>
          <w:divBdr>
            <w:top w:val="none" w:sz="0" w:space="0" w:color="auto"/>
            <w:left w:val="none" w:sz="0" w:space="0" w:color="auto"/>
            <w:bottom w:val="none" w:sz="0" w:space="0" w:color="auto"/>
            <w:right w:val="none" w:sz="0" w:space="0" w:color="auto"/>
          </w:divBdr>
        </w:div>
        <w:div w:id="231040868">
          <w:marLeft w:val="0"/>
          <w:marRight w:val="0"/>
          <w:marTop w:val="0"/>
          <w:marBottom w:val="0"/>
          <w:divBdr>
            <w:top w:val="none" w:sz="0" w:space="0" w:color="auto"/>
            <w:left w:val="none" w:sz="0" w:space="0" w:color="auto"/>
            <w:bottom w:val="none" w:sz="0" w:space="0" w:color="auto"/>
            <w:right w:val="none" w:sz="0" w:space="0" w:color="auto"/>
          </w:divBdr>
        </w:div>
        <w:div w:id="231163606">
          <w:marLeft w:val="0"/>
          <w:marRight w:val="0"/>
          <w:marTop w:val="0"/>
          <w:marBottom w:val="0"/>
          <w:divBdr>
            <w:top w:val="none" w:sz="0" w:space="0" w:color="auto"/>
            <w:left w:val="none" w:sz="0" w:space="0" w:color="auto"/>
            <w:bottom w:val="none" w:sz="0" w:space="0" w:color="auto"/>
            <w:right w:val="none" w:sz="0" w:space="0" w:color="auto"/>
          </w:divBdr>
        </w:div>
        <w:div w:id="232011216">
          <w:marLeft w:val="0"/>
          <w:marRight w:val="0"/>
          <w:marTop w:val="0"/>
          <w:marBottom w:val="0"/>
          <w:divBdr>
            <w:top w:val="none" w:sz="0" w:space="0" w:color="auto"/>
            <w:left w:val="none" w:sz="0" w:space="0" w:color="auto"/>
            <w:bottom w:val="none" w:sz="0" w:space="0" w:color="auto"/>
            <w:right w:val="none" w:sz="0" w:space="0" w:color="auto"/>
          </w:divBdr>
        </w:div>
        <w:div w:id="233659546">
          <w:marLeft w:val="0"/>
          <w:marRight w:val="0"/>
          <w:marTop w:val="0"/>
          <w:marBottom w:val="0"/>
          <w:divBdr>
            <w:top w:val="none" w:sz="0" w:space="0" w:color="auto"/>
            <w:left w:val="none" w:sz="0" w:space="0" w:color="auto"/>
            <w:bottom w:val="none" w:sz="0" w:space="0" w:color="auto"/>
            <w:right w:val="none" w:sz="0" w:space="0" w:color="auto"/>
          </w:divBdr>
        </w:div>
        <w:div w:id="236522461">
          <w:marLeft w:val="0"/>
          <w:marRight w:val="0"/>
          <w:marTop w:val="0"/>
          <w:marBottom w:val="0"/>
          <w:divBdr>
            <w:top w:val="none" w:sz="0" w:space="0" w:color="auto"/>
            <w:left w:val="none" w:sz="0" w:space="0" w:color="auto"/>
            <w:bottom w:val="none" w:sz="0" w:space="0" w:color="auto"/>
            <w:right w:val="none" w:sz="0" w:space="0" w:color="auto"/>
          </w:divBdr>
        </w:div>
        <w:div w:id="243346636">
          <w:marLeft w:val="0"/>
          <w:marRight w:val="0"/>
          <w:marTop w:val="0"/>
          <w:marBottom w:val="0"/>
          <w:divBdr>
            <w:top w:val="none" w:sz="0" w:space="0" w:color="auto"/>
            <w:left w:val="none" w:sz="0" w:space="0" w:color="auto"/>
            <w:bottom w:val="none" w:sz="0" w:space="0" w:color="auto"/>
            <w:right w:val="none" w:sz="0" w:space="0" w:color="auto"/>
          </w:divBdr>
        </w:div>
        <w:div w:id="246302890">
          <w:marLeft w:val="0"/>
          <w:marRight w:val="0"/>
          <w:marTop w:val="0"/>
          <w:marBottom w:val="0"/>
          <w:divBdr>
            <w:top w:val="none" w:sz="0" w:space="0" w:color="auto"/>
            <w:left w:val="none" w:sz="0" w:space="0" w:color="auto"/>
            <w:bottom w:val="none" w:sz="0" w:space="0" w:color="auto"/>
            <w:right w:val="none" w:sz="0" w:space="0" w:color="auto"/>
          </w:divBdr>
        </w:div>
        <w:div w:id="252782008">
          <w:marLeft w:val="0"/>
          <w:marRight w:val="0"/>
          <w:marTop w:val="0"/>
          <w:marBottom w:val="0"/>
          <w:divBdr>
            <w:top w:val="none" w:sz="0" w:space="0" w:color="auto"/>
            <w:left w:val="none" w:sz="0" w:space="0" w:color="auto"/>
            <w:bottom w:val="none" w:sz="0" w:space="0" w:color="auto"/>
            <w:right w:val="none" w:sz="0" w:space="0" w:color="auto"/>
          </w:divBdr>
        </w:div>
        <w:div w:id="268590968">
          <w:marLeft w:val="0"/>
          <w:marRight w:val="0"/>
          <w:marTop w:val="0"/>
          <w:marBottom w:val="0"/>
          <w:divBdr>
            <w:top w:val="none" w:sz="0" w:space="0" w:color="auto"/>
            <w:left w:val="none" w:sz="0" w:space="0" w:color="auto"/>
            <w:bottom w:val="none" w:sz="0" w:space="0" w:color="auto"/>
            <w:right w:val="none" w:sz="0" w:space="0" w:color="auto"/>
          </w:divBdr>
        </w:div>
        <w:div w:id="272202837">
          <w:marLeft w:val="0"/>
          <w:marRight w:val="0"/>
          <w:marTop w:val="0"/>
          <w:marBottom w:val="0"/>
          <w:divBdr>
            <w:top w:val="none" w:sz="0" w:space="0" w:color="auto"/>
            <w:left w:val="none" w:sz="0" w:space="0" w:color="auto"/>
            <w:bottom w:val="none" w:sz="0" w:space="0" w:color="auto"/>
            <w:right w:val="none" w:sz="0" w:space="0" w:color="auto"/>
          </w:divBdr>
        </w:div>
        <w:div w:id="274294898">
          <w:marLeft w:val="0"/>
          <w:marRight w:val="0"/>
          <w:marTop w:val="0"/>
          <w:marBottom w:val="0"/>
          <w:divBdr>
            <w:top w:val="none" w:sz="0" w:space="0" w:color="auto"/>
            <w:left w:val="none" w:sz="0" w:space="0" w:color="auto"/>
            <w:bottom w:val="none" w:sz="0" w:space="0" w:color="auto"/>
            <w:right w:val="none" w:sz="0" w:space="0" w:color="auto"/>
          </w:divBdr>
        </w:div>
        <w:div w:id="282462271">
          <w:marLeft w:val="0"/>
          <w:marRight w:val="0"/>
          <w:marTop w:val="0"/>
          <w:marBottom w:val="0"/>
          <w:divBdr>
            <w:top w:val="none" w:sz="0" w:space="0" w:color="auto"/>
            <w:left w:val="none" w:sz="0" w:space="0" w:color="auto"/>
            <w:bottom w:val="none" w:sz="0" w:space="0" w:color="auto"/>
            <w:right w:val="none" w:sz="0" w:space="0" w:color="auto"/>
          </w:divBdr>
        </w:div>
        <w:div w:id="285232453">
          <w:marLeft w:val="0"/>
          <w:marRight w:val="0"/>
          <w:marTop w:val="0"/>
          <w:marBottom w:val="0"/>
          <w:divBdr>
            <w:top w:val="none" w:sz="0" w:space="0" w:color="auto"/>
            <w:left w:val="none" w:sz="0" w:space="0" w:color="auto"/>
            <w:bottom w:val="none" w:sz="0" w:space="0" w:color="auto"/>
            <w:right w:val="none" w:sz="0" w:space="0" w:color="auto"/>
          </w:divBdr>
        </w:div>
        <w:div w:id="287473429">
          <w:marLeft w:val="0"/>
          <w:marRight w:val="0"/>
          <w:marTop w:val="0"/>
          <w:marBottom w:val="0"/>
          <w:divBdr>
            <w:top w:val="none" w:sz="0" w:space="0" w:color="auto"/>
            <w:left w:val="none" w:sz="0" w:space="0" w:color="auto"/>
            <w:bottom w:val="none" w:sz="0" w:space="0" w:color="auto"/>
            <w:right w:val="none" w:sz="0" w:space="0" w:color="auto"/>
          </w:divBdr>
        </w:div>
        <w:div w:id="293487650">
          <w:marLeft w:val="0"/>
          <w:marRight w:val="0"/>
          <w:marTop w:val="0"/>
          <w:marBottom w:val="0"/>
          <w:divBdr>
            <w:top w:val="none" w:sz="0" w:space="0" w:color="auto"/>
            <w:left w:val="none" w:sz="0" w:space="0" w:color="auto"/>
            <w:bottom w:val="none" w:sz="0" w:space="0" w:color="auto"/>
            <w:right w:val="none" w:sz="0" w:space="0" w:color="auto"/>
          </w:divBdr>
        </w:div>
        <w:div w:id="297494559">
          <w:marLeft w:val="0"/>
          <w:marRight w:val="0"/>
          <w:marTop w:val="0"/>
          <w:marBottom w:val="0"/>
          <w:divBdr>
            <w:top w:val="none" w:sz="0" w:space="0" w:color="auto"/>
            <w:left w:val="none" w:sz="0" w:space="0" w:color="auto"/>
            <w:bottom w:val="none" w:sz="0" w:space="0" w:color="auto"/>
            <w:right w:val="none" w:sz="0" w:space="0" w:color="auto"/>
          </w:divBdr>
        </w:div>
        <w:div w:id="304626890">
          <w:marLeft w:val="0"/>
          <w:marRight w:val="0"/>
          <w:marTop w:val="0"/>
          <w:marBottom w:val="0"/>
          <w:divBdr>
            <w:top w:val="none" w:sz="0" w:space="0" w:color="auto"/>
            <w:left w:val="none" w:sz="0" w:space="0" w:color="auto"/>
            <w:bottom w:val="none" w:sz="0" w:space="0" w:color="auto"/>
            <w:right w:val="none" w:sz="0" w:space="0" w:color="auto"/>
          </w:divBdr>
        </w:div>
        <w:div w:id="311065052">
          <w:marLeft w:val="0"/>
          <w:marRight w:val="0"/>
          <w:marTop w:val="0"/>
          <w:marBottom w:val="0"/>
          <w:divBdr>
            <w:top w:val="none" w:sz="0" w:space="0" w:color="auto"/>
            <w:left w:val="none" w:sz="0" w:space="0" w:color="auto"/>
            <w:bottom w:val="none" w:sz="0" w:space="0" w:color="auto"/>
            <w:right w:val="none" w:sz="0" w:space="0" w:color="auto"/>
          </w:divBdr>
        </w:div>
        <w:div w:id="313337188">
          <w:marLeft w:val="0"/>
          <w:marRight w:val="0"/>
          <w:marTop w:val="0"/>
          <w:marBottom w:val="0"/>
          <w:divBdr>
            <w:top w:val="none" w:sz="0" w:space="0" w:color="auto"/>
            <w:left w:val="none" w:sz="0" w:space="0" w:color="auto"/>
            <w:bottom w:val="none" w:sz="0" w:space="0" w:color="auto"/>
            <w:right w:val="none" w:sz="0" w:space="0" w:color="auto"/>
          </w:divBdr>
        </w:div>
        <w:div w:id="316879294">
          <w:marLeft w:val="0"/>
          <w:marRight w:val="0"/>
          <w:marTop w:val="0"/>
          <w:marBottom w:val="0"/>
          <w:divBdr>
            <w:top w:val="none" w:sz="0" w:space="0" w:color="auto"/>
            <w:left w:val="none" w:sz="0" w:space="0" w:color="auto"/>
            <w:bottom w:val="none" w:sz="0" w:space="0" w:color="auto"/>
            <w:right w:val="none" w:sz="0" w:space="0" w:color="auto"/>
          </w:divBdr>
        </w:div>
        <w:div w:id="318462977">
          <w:marLeft w:val="0"/>
          <w:marRight w:val="0"/>
          <w:marTop w:val="0"/>
          <w:marBottom w:val="0"/>
          <w:divBdr>
            <w:top w:val="none" w:sz="0" w:space="0" w:color="auto"/>
            <w:left w:val="none" w:sz="0" w:space="0" w:color="auto"/>
            <w:bottom w:val="none" w:sz="0" w:space="0" w:color="auto"/>
            <w:right w:val="none" w:sz="0" w:space="0" w:color="auto"/>
          </w:divBdr>
        </w:div>
        <w:div w:id="320696015">
          <w:marLeft w:val="0"/>
          <w:marRight w:val="0"/>
          <w:marTop w:val="0"/>
          <w:marBottom w:val="0"/>
          <w:divBdr>
            <w:top w:val="none" w:sz="0" w:space="0" w:color="auto"/>
            <w:left w:val="none" w:sz="0" w:space="0" w:color="auto"/>
            <w:bottom w:val="none" w:sz="0" w:space="0" w:color="auto"/>
            <w:right w:val="none" w:sz="0" w:space="0" w:color="auto"/>
          </w:divBdr>
        </w:div>
        <w:div w:id="327440890">
          <w:marLeft w:val="0"/>
          <w:marRight w:val="0"/>
          <w:marTop w:val="0"/>
          <w:marBottom w:val="0"/>
          <w:divBdr>
            <w:top w:val="none" w:sz="0" w:space="0" w:color="auto"/>
            <w:left w:val="none" w:sz="0" w:space="0" w:color="auto"/>
            <w:bottom w:val="none" w:sz="0" w:space="0" w:color="auto"/>
            <w:right w:val="none" w:sz="0" w:space="0" w:color="auto"/>
          </w:divBdr>
        </w:div>
        <w:div w:id="341904891">
          <w:marLeft w:val="0"/>
          <w:marRight w:val="0"/>
          <w:marTop w:val="0"/>
          <w:marBottom w:val="0"/>
          <w:divBdr>
            <w:top w:val="none" w:sz="0" w:space="0" w:color="auto"/>
            <w:left w:val="none" w:sz="0" w:space="0" w:color="auto"/>
            <w:bottom w:val="none" w:sz="0" w:space="0" w:color="auto"/>
            <w:right w:val="none" w:sz="0" w:space="0" w:color="auto"/>
          </w:divBdr>
        </w:div>
        <w:div w:id="350104273">
          <w:marLeft w:val="0"/>
          <w:marRight w:val="0"/>
          <w:marTop w:val="0"/>
          <w:marBottom w:val="0"/>
          <w:divBdr>
            <w:top w:val="none" w:sz="0" w:space="0" w:color="auto"/>
            <w:left w:val="none" w:sz="0" w:space="0" w:color="auto"/>
            <w:bottom w:val="none" w:sz="0" w:space="0" w:color="auto"/>
            <w:right w:val="none" w:sz="0" w:space="0" w:color="auto"/>
          </w:divBdr>
        </w:div>
        <w:div w:id="351614098">
          <w:marLeft w:val="0"/>
          <w:marRight w:val="0"/>
          <w:marTop w:val="0"/>
          <w:marBottom w:val="0"/>
          <w:divBdr>
            <w:top w:val="none" w:sz="0" w:space="0" w:color="auto"/>
            <w:left w:val="none" w:sz="0" w:space="0" w:color="auto"/>
            <w:bottom w:val="none" w:sz="0" w:space="0" w:color="auto"/>
            <w:right w:val="none" w:sz="0" w:space="0" w:color="auto"/>
          </w:divBdr>
        </w:div>
        <w:div w:id="357196465">
          <w:marLeft w:val="0"/>
          <w:marRight w:val="0"/>
          <w:marTop w:val="0"/>
          <w:marBottom w:val="0"/>
          <w:divBdr>
            <w:top w:val="none" w:sz="0" w:space="0" w:color="auto"/>
            <w:left w:val="none" w:sz="0" w:space="0" w:color="auto"/>
            <w:bottom w:val="none" w:sz="0" w:space="0" w:color="auto"/>
            <w:right w:val="none" w:sz="0" w:space="0" w:color="auto"/>
          </w:divBdr>
        </w:div>
        <w:div w:id="361367224">
          <w:marLeft w:val="0"/>
          <w:marRight w:val="0"/>
          <w:marTop w:val="0"/>
          <w:marBottom w:val="0"/>
          <w:divBdr>
            <w:top w:val="none" w:sz="0" w:space="0" w:color="auto"/>
            <w:left w:val="none" w:sz="0" w:space="0" w:color="auto"/>
            <w:bottom w:val="none" w:sz="0" w:space="0" w:color="auto"/>
            <w:right w:val="none" w:sz="0" w:space="0" w:color="auto"/>
          </w:divBdr>
        </w:div>
        <w:div w:id="361788345">
          <w:marLeft w:val="0"/>
          <w:marRight w:val="0"/>
          <w:marTop w:val="0"/>
          <w:marBottom w:val="0"/>
          <w:divBdr>
            <w:top w:val="none" w:sz="0" w:space="0" w:color="auto"/>
            <w:left w:val="none" w:sz="0" w:space="0" w:color="auto"/>
            <w:bottom w:val="none" w:sz="0" w:space="0" w:color="auto"/>
            <w:right w:val="none" w:sz="0" w:space="0" w:color="auto"/>
          </w:divBdr>
        </w:div>
        <w:div w:id="365568606">
          <w:marLeft w:val="0"/>
          <w:marRight w:val="0"/>
          <w:marTop w:val="0"/>
          <w:marBottom w:val="0"/>
          <w:divBdr>
            <w:top w:val="none" w:sz="0" w:space="0" w:color="auto"/>
            <w:left w:val="none" w:sz="0" w:space="0" w:color="auto"/>
            <w:bottom w:val="none" w:sz="0" w:space="0" w:color="auto"/>
            <w:right w:val="none" w:sz="0" w:space="0" w:color="auto"/>
          </w:divBdr>
        </w:div>
        <w:div w:id="372852887">
          <w:marLeft w:val="0"/>
          <w:marRight w:val="0"/>
          <w:marTop w:val="0"/>
          <w:marBottom w:val="0"/>
          <w:divBdr>
            <w:top w:val="none" w:sz="0" w:space="0" w:color="auto"/>
            <w:left w:val="none" w:sz="0" w:space="0" w:color="auto"/>
            <w:bottom w:val="none" w:sz="0" w:space="0" w:color="auto"/>
            <w:right w:val="none" w:sz="0" w:space="0" w:color="auto"/>
          </w:divBdr>
        </w:div>
        <w:div w:id="374620675">
          <w:marLeft w:val="0"/>
          <w:marRight w:val="0"/>
          <w:marTop w:val="0"/>
          <w:marBottom w:val="0"/>
          <w:divBdr>
            <w:top w:val="none" w:sz="0" w:space="0" w:color="auto"/>
            <w:left w:val="none" w:sz="0" w:space="0" w:color="auto"/>
            <w:bottom w:val="none" w:sz="0" w:space="0" w:color="auto"/>
            <w:right w:val="none" w:sz="0" w:space="0" w:color="auto"/>
          </w:divBdr>
        </w:div>
        <w:div w:id="381834493">
          <w:marLeft w:val="0"/>
          <w:marRight w:val="0"/>
          <w:marTop w:val="0"/>
          <w:marBottom w:val="0"/>
          <w:divBdr>
            <w:top w:val="none" w:sz="0" w:space="0" w:color="auto"/>
            <w:left w:val="none" w:sz="0" w:space="0" w:color="auto"/>
            <w:bottom w:val="none" w:sz="0" w:space="0" w:color="auto"/>
            <w:right w:val="none" w:sz="0" w:space="0" w:color="auto"/>
          </w:divBdr>
        </w:div>
        <w:div w:id="385642794">
          <w:marLeft w:val="0"/>
          <w:marRight w:val="0"/>
          <w:marTop w:val="0"/>
          <w:marBottom w:val="0"/>
          <w:divBdr>
            <w:top w:val="none" w:sz="0" w:space="0" w:color="auto"/>
            <w:left w:val="none" w:sz="0" w:space="0" w:color="auto"/>
            <w:bottom w:val="none" w:sz="0" w:space="0" w:color="auto"/>
            <w:right w:val="none" w:sz="0" w:space="0" w:color="auto"/>
          </w:divBdr>
        </w:div>
        <w:div w:id="388965213">
          <w:marLeft w:val="0"/>
          <w:marRight w:val="0"/>
          <w:marTop w:val="0"/>
          <w:marBottom w:val="0"/>
          <w:divBdr>
            <w:top w:val="none" w:sz="0" w:space="0" w:color="auto"/>
            <w:left w:val="none" w:sz="0" w:space="0" w:color="auto"/>
            <w:bottom w:val="none" w:sz="0" w:space="0" w:color="auto"/>
            <w:right w:val="none" w:sz="0" w:space="0" w:color="auto"/>
          </w:divBdr>
        </w:div>
        <w:div w:id="399328245">
          <w:marLeft w:val="0"/>
          <w:marRight w:val="0"/>
          <w:marTop w:val="0"/>
          <w:marBottom w:val="0"/>
          <w:divBdr>
            <w:top w:val="none" w:sz="0" w:space="0" w:color="auto"/>
            <w:left w:val="none" w:sz="0" w:space="0" w:color="auto"/>
            <w:bottom w:val="none" w:sz="0" w:space="0" w:color="auto"/>
            <w:right w:val="none" w:sz="0" w:space="0" w:color="auto"/>
          </w:divBdr>
        </w:div>
        <w:div w:id="406074798">
          <w:marLeft w:val="0"/>
          <w:marRight w:val="0"/>
          <w:marTop w:val="0"/>
          <w:marBottom w:val="0"/>
          <w:divBdr>
            <w:top w:val="none" w:sz="0" w:space="0" w:color="auto"/>
            <w:left w:val="none" w:sz="0" w:space="0" w:color="auto"/>
            <w:bottom w:val="none" w:sz="0" w:space="0" w:color="auto"/>
            <w:right w:val="none" w:sz="0" w:space="0" w:color="auto"/>
          </w:divBdr>
        </w:div>
        <w:div w:id="419259971">
          <w:marLeft w:val="0"/>
          <w:marRight w:val="0"/>
          <w:marTop w:val="0"/>
          <w:marBottom w:val="0"/>
          <w:divBdr>
            <w:top w:val="none" w:sz="0" w:space="0" w:color="auto"/>
            <w:left w:val="none" w:sz="0" w:space="0" w:color="auto"/>
            <w:bottom w:val="none" w:sz="0" w:space="0" w:color="auto"/>
            <w:right w:val="none" w:sz="0" w:space="0" w:color="auto"/>
          </w:divBdr>
        </w:div>
        <w:div w:id="425735143">
          <w:marLeft w:val="0"/>
          <w:marRight w:val="0"/>
          <w:marTop w:val="0"/>
          <w:marBottom w:val="0"/>
          <w:divBdr>
            <w:top w:val="none" w:sz="0" w:space="0" w:color="auto"/>
            <w:left w:val="none" w:sz="0" w:space="0" w:color="auto"/>
            <w:bottom w:val="none" w:sz="0" w:space="0" w:color="auto"/>
            <w:right w:val="none" w:sz="0" w:space="0" w:color="auto"/>
          </w:divBdr>
        </w:div>
        <w:div w:id="428548083">
          <w:marLeft w:val="0"/>
          <w:marRight w:val="0"/>
          <w:marTop w:val="0"/>
          <w:marBottom w:val="0"/>
          <w:divBdr>
            <w:top w:val="none" w:sz="0" w:space="0" w:color="auto"/>
            <w:left w:val="none" w:sz="0" w:space="0" w:color="auto"/>
            <w:bottom w:val="none" w:sz="0" w:space="0" w:color="auto"/>
            <w:right w:val="none" w:sz="0" w:space="0" w:color="auto"/>
          </w:divBdr>
        </w:div>
        <w:div w:id="429736921">
          <w:marLeft w:val="0"/>
          <w:marRight w:val="0"/>
          <w:marTop w:val="0"/>
          <w:marBottom w:val="0"/>
          <w:divBdr>
            <w:top w:val="none" w:sz="0" w:space="0" w:color="auto"/>
            <w:left w:val="none" w:sz="0" w:space="0" w:color="auto"/>
            <w:bottom w:val="none" w:sz="0" w:space="0" w:color="auto"/>
            <w:right w:val="none" w:sz="0" w:space="0" w:color="auto"/>
          </w:divBdr>
        </w:div>
        <w:div w:id="431629784">
          <w:marLeft w:val="0"/>
          <w:marRight w:val="0"/>
          <w:marTop w:val="0"/>
          <w:marBottom w:val="0"/>
          <w:divBdr>
            <w:top w:val="none" w:sz="0" w:space="0" w:color="auto"/>
            <w:left w:val="none" w:sz="0" w:space="0" w:color="auto"/>
            <w:bottom w:val="none" w:sz="0" w:space="0" w:color="auto"/>
            <w:right w:val="none" w:sz="0" w:space="0" w:color="auto"/>
          </w:divBdr>
        </w:div>
        <w:div w:id="443618369">
          <w:marLeft w:val="0"/>
          <w:marRight w:val="0"/>
          <w:marTop w:val="0"/>
          <w:marBottom w:val="0"/>
          <w:divBdr>
            <w:top w:val="none" w:sz="0" w:space="0" w:color="auto"/>
            <w:left w:val="none" w:sz="0" w:space="0" w:color="auto"/>
            <w:bottom w:val="none" w:sz="0" w:space="0" w:color="auto"/>
            <w:right w:val="none" w:sz="0" w:space="0" w:color="auto"/>
          </w:divBdr>
        </w:div>
        <w:div w:id="450171400">
          <w:marLeft w:val="0"/>
          <w:marRight w:val="0"/>
          <w:marTop w:val="0"/>
          <w:marBottom w:val="0"/>
          <w:divBdr>
            <w:top w:val="none" w:sz="0" w:space="0" w:color="auto"/>
            <w:left w:val="none" w:sz="0" w:space="0" w:color="auto"/>
            <w:bottom w:val="none" w:sz="0" w:space="0" w:color="auto"/>
            <w:right w:val="none" w:sz="0" w:space="0" w:color="auto"/>
          </w:divBdr>
        </w:div>
        <w:div w:id="452094758">
          <w:marLeft w:val="0"/>
          <w:marRight w:val="0"/>
          <w:marTop w:val="0"/>
          <w:marBottom w:val="0"/>
          <w:divBdr>
            <w:top w:val="none" w:sz="0" w:space="0" w:color="auto"/>
            <w:left w:val="none" w:sz="0" w:space="0" w:color="auto"/>
            <w:bottom w:val="none" w:sz="0" w:space="0" w:color="auto"/>
            <w:right w:val="none" w:sz="0" w:space="0" w:color="auto"/>
          </w:divBdr>
        </w:div>
        <w:div w:id="454368374">
          <w:marLeft w:val="0"/>
          <w:marRight w:val="0"/>
          <w:marTop w:val="0"/>
          <w:marBottom w:val="0"/>
          <w:divBdr>
            <w:top w:val="none" w:sz="0" w:space="0" w:color="auto"/>
            <w:left w:val="none" w:sz="0" w:space="0" w:color="auto"/>
            <w:bottom w:val="none" w:sz="0" w:space="0" w:color="auto"/>
            <w:right w:val="none" w:sz="0" w:space="0" w:color="auto"/>
          </w:divBdr>
        </w:div>
        <w:div w:id="458375711">
          <w:marLeft w:val="0"/>
          <w:marRight w:val="0"/>
          <w:marTop w:val="0"/>
          <w:marBottom w:val="0"/>
          <w:divBdr>
            <w:top w:val="none" w:sz="0" w:space="0" w:color="auto"/>
            <w:left w:val="none" w:sz="0" w:space="0" w:color="auto"/>
            <w:bottom w:val="none" w:sz="0" w:space="0" w:color="auto"/>
            <w:right w:val="none" w:sz="0" w:space="0" w:color="auto"/>
          </w:divBdr>
        </w:div>
        <w:div w:id="458378373">
          <w:marLeft w:val="0"/>
          <w:marRight w:val="0"/>
          <w:marTop w:val="0"/>
          <w:marBottom w:val="0"/>
          <w:divBdr>
            <w:top w:val="none" w:sz="0" w:space="0" w:color="auto"/>
            <w:left w:val="none" w:sz="0" w:space="0" w:color="auto"/>
            <w:bottom w:val="none" w:sz="0" w:space="0" w:color="auto"/>
            <w:right w:val="none" w:sz="0" w:space="0" w:color="auto"/>
          </w:divBdr>
        </w:div>
        <w:div w:id="459341875">
          <w:marLeft w:val="0"/>
          <w:marRight w:val="0"/>
          <w:marTop w:val="0"/>
          <w:marBottom w:val="0"/>
          <w:divBdr>
            <w:top w:val="none" w:sz="0" w:space="0" w:color="auto"/>
            <w:left w:val="none" w:sz="0" w:space="0" w:color="auto"/>
            <w:bottom w:val="none" w:sz="0" w:space="0" w:color="auto"/>
            <w:right w:val="none" w:sz="0" w:space="0" w:color="auto"/>
          </w:divBdr>
        </w:div>
        <w:div w:id="463502394">
          <w:marLeft w:val="0"/>
          <w:marRight w:val="0"/>
          <w:marTop w:val="0"/>
          <w:marBottom w:val="0"/>
          <w:divBdr>
            <w:top w:val="none" w:sz="0" w:space="0" w:color="auto"/>
            <w:left w:val="none" w:sz="0" w:space="0" w:color="auto"/>
            <w:bottom w:val="none" w:sz="0" w:space="0" w:color="auto"/>
            <w:right w:val="none" w:sz="0" w:space="0" w:color="auto"/>
          </w:divBdr>
        </w:div>
        <w:div w:id="465389241">
          <w:marLeft w:val="0"/>
          <w:marRight w:val="0"/>
          <w:marTop w:val="0"/>
          <w:marBottom w:val="0"/>
          <w:divBdr>
            <w:top w:val="none" w:sz="0" w:space="0" w:color="auto"/>
            <w:left w:val="none" w:sz="0" w:space="0" w:color="auto"/>
            <w:bottom w:val="none" w:sz="0" w:space="0" w:color="auto"/>
            <w:right w:val="none" w:sz="0" w:space="0" w:color="auto"/>
          </w:divBdr>
        </w:div>
        <w:div w:id="465860175">
          <w:marLeft w:val="0"/>
          <w:marRight w:val="0"/>
          <w:marTop w:val="0"/>
          <w:marBottom w:val="0"/>
          <w:divBdr>
            <w:top w:val="none" w:sz="0" w:space="0" w:color="auto"/>
            <w:left w:val="none" w:sz="0" w:space="0" w:color="auto"/>
            <w:bottom w:val="none" w:sz="0" w:space="0" w:color="auto"/>
            <w:right w:val="none" w:sz="0" w:space="0" w:color="auto"/>
          </w:divBdr>
        </w:div>
        <w:div w:id="468017406">
          <w:marLeft w:val="0"/>
          <w:marRight w:val="0"/>
          <w:marTop w:val="0"/>
          <w:marBottom w:val="0"/>
          <w:divBdr>
            <w:top w:val="none" w:sz="0" w:space="0" w:color="auto"/>
            <w:left w:val="none" w:sz="0" w:space="0" w:color="auto"/>
            <w:bottom w:val="none" w:sz="0" w:space="0" w:color="auto"/>
            <w:right w:val="none" w:sz="0" w:space="0" w:color="auto"/>
          </w:divBdr>
        </w:div>
        <w:div w:id="478573326">
          <w:marLeft w:val="0"/>
          <w:marRight w:val="0"/>
          <w:marTop w:val="0"/>
          <w:marBottom w:val="0"/>
          <w:divBdr>
            <w:top w:val="none" w:sz="0" w:space="0" w:color="auto"/>
            <w:left w:val="none" w:sz="0" w:space="0" w:color="auto"/>
            <w:bottom w:val="none" w:sz="0" w:space="0" w:color="auto"/>
            <w:right w:val="none" w:sz="0" w:space="0" w:color="auto"/>
          </w:divBdr>
        </w:div>
        <w:div w:id="482820193">
          <w:marLeft w:val="0"/>
          <w:marRight w:val="0"/>
          <w:marTop w:val="0"/>
          <w:marBottom w:val="0"/>
          <w:divBdr>
            <w:top w:val="none" w:sz="0" w:space="0" w:color="auto"/>
            <w:left w:val="none" w:sz="0" w:space="0" w:color="auto"/>
            <w:bottom w:val="none" w:sz="0" w:space="0" w:color="auto"/>
            <w:right w:val="none" w:sz="0" w:space="0" w:color="auto"/>
          </w:divBdr>
        </w:div>
        <w:div w:id="501428791">
          <w:marLeft w:val="0"/>
          <w:marRight w:val="0"/>
          <w:marTop w:val="0"/>
          <w:marBottom w:val="0"/>
          <w:divBdr>
            <w:top w:val="none" w:sz="0" w:space="0" w:color="auto"/>
            <w:left w:val="none" w:sz="0" w:space="0" w:color="auto"/>
            <w:bottom w:val="none" w:sz="0" w:space="0" w:color="auto"/>
            <w:right w:val="none" w:sz="0" w:space="0" w:color="auto"/>
          </w:divBdr>
        </w:div>
        <w:div w:id="502859900">
          <w:marLeft w:val="0"/>
          <w:marRight w:val="0"/>
          <w:marTop w:val="0"/>
          <w:marBottom w:val="0"/>
          <w:divBdr>
            <w:top w:val="none" w:sz="0" w:space="0" w:color="auto"/>
            <w:left w:val="none" w:sz="0" w:space="0" w:color="auto"/>
            <w:bottom w:val="none" w:sz="0" w:space="0" w:color="auto"/>
            <w:right w:val="none" w:sz="0" w:space="0" w:color="auto"/>
          </w:divBdr>
        </w:div>
        <w:div w:id="504980417">
          <w:marLeft w:val="0"/>
          <w:marRight w:val="0"/>
          <w:marTop w:val="0"/>
          <w:marBottom w:val="0"/>
          <w:divBdr>
            <w:top w:val="none" w:sz="0" w:space="0" w:color="auto"/>
            <w:left w:val="none" w:sz="0" w:space="0" w:color="auto"/>
            <w:bottom w:val="none" w:sz="0" w:space="0" w:color="auto"/>
            <w:right w:val="none" w:sz="0" w:space="0" w:color="auto"/>
          </w:divBdr>
        </w:div>
        <w:div w:id="505367193">
          <w:marLeft w:val="0"/>
          <w:marRight w:val="0"/>
          <w:marTop w:val="0"/>
          <w:marBottom w:val="0"/>
          <w:divBdr>
            <w:top w:val="none" w:sz="0" w:space="0" w:color="auto"/>
            <w:left w:val="none" w:sz="0" w:space="0" w:color="auto"/>
            <w:bottom w:val="none" w:sz="0" w:space="0" w:color="auto"/>
            <w:right w:val="none" w:sz="0" w:space="0" w:color="auto"/>
          </w:divBdr>
        </w:div>
        <w:div w:id="506140548">
          <w:marLeft w:val="0"/>
          <w:marRight w:val="0"/>
          <w:marTop w:val="0"/>
          <w:marBottom w:val="0"/>
          <w:divBdr>
            <w:top w:val="none" w:sz="0" w:space="0" w:color="auto"/>
            <w:left w:val="none" w:sz="0" w:space="0" w:color="auto"/>
            <w:bottom w:val="none" w:sz="0" w:space="0" w:color="auto"/>
            <w:right w:val="none" w:sz="0" w:space="0" w:color="auto"/>
          </w:divBdr>
        </w:div>
        <w:div w:id="518005775">
          <w:marLeft w:val="0"/>
          <w:marRight w:val="0"/>
          <w:marTop w:val="0"/>
          <w:marBottom w:val="0"/>
          <w:divBdr>
            <w:top w:val="none" w:sz="0" w:space="0" w:color="auto"/>
            <w:left w:val="none" w:sz="0" w:space="0" w:color="auto"/>
            <w:bottom w:val="none" w:sz="0" w:space="0" w:color="auto"/>
            <w:right w:val="none" w:sz="0" w:space="0" w:color="auto"/>
          </w:divBdr>
        </w:div>
        <w:div w:id="526874019">
          <w:marLeft w:val="0"/>
          <w:marRight w:val="0"/>
          <w:marTop w:val="0"/>
          <w:marBottom w:val="0"/>
          <w:divBdr>
            <w:top w:val="none" w:sz="0" w:space="0" w:color="auto"/>
            <w:left w:val="none" w:sz="0" w:space="0" w:color="auto"/>
            <w:bottom w:val="none" w:sz="0" w:space="0" w:color="auto"/>
            <w:right w:val="none" w:sz="0" w:space="0" w:color="auto"/>
          </w:divBdr>
        </w:div>
        <w:div w:id="531453819">
          <w:marLeft w:val="0"/>
          <w:marRight w:val="0"/>
          <w:marTop w:val="0"/>
          <w:marBottom w:val="0"/>
          <w:divBdr>
            <w:top w:val="none" w:sz="0" w:space="0" w:color="auto"/>
            <w:left w:val="none" w:sz="0" w:space="0" w:color="auto"/>
            <w:bottom w:val="none" w:sz="0" w:space="0" w:color="auto"/>
            <w:right w:val="none" w:sz="0" w:space="0" w:color="auto"/>
          </w:divBdr>
        </w:div>
        <w:div w:id="541863387">
          <w:marLeft w:val="0"/>
          <w:marRight w:val="0"/>
          <w:marTop w:val="0"/>
          <w:marBottom w:val="0"/>
          <w:divBdr>
            <w:top w:val="none" w:sz="0" w:space="0" w:color="auto"/>
            <w:left w:val="none" w:sz="0" w:space="0" w:color="auto"/>
            <w:bottom w:val="none" w:sz="0" w:space="0" w:color="auto"/>
            <w:right w:val="none" w:sz="0" w:space="0" w:color="auto"/>
          </w:divBdr>
        </w:div>
        <w:div w:id="548807593">
          <w:marLeft w:val="0"/>
          <w:marRight w:val="0"/>
          <w:marTop w:val="0"/>
          <w:marBottom w:val="0"/>
          <w:divBdr>
            <w:top w:val="none" w:sz="0" w:space="0" w:color="auto"/>
            <w:left w:val="none" w:sz="0" w:space="0" w:color="auto"/>
            <w:bottom w:val="none" w:sz="0" w:space="0" w:color="auto"/>
            <w:right w:val="none" w:sz="0" w:space="0" w:color="auto"/>
          </w:divBdr>
        </w:div>
        <w:div w:id="554393684">
          <w:marLeft w:val="0"/>
          <w:marRight w:val="0"/>
          <w:marTop w:val="0"/>
          <w:marBottom w:val="0"/>
          <w:divBdr>
            <w:top w:val="none" w:sz="0" w:space="0" w:color="auto"/>
            <w:left w:val="none" w:sz="0" w:space="0" w:color="auto"/>
            <w:bottom w:val="none" w:sz="0" w:space="0" w:color="auto"/>
            <w:right w:val="none" w:sz="0" w:space="0" w:color="auto"/>
          </w:divBdr>
        </w:div>
        <w:div w:id="559250208">
          <w:marLeft w:val="0"/>
          <w:marRight w:val="0"/>
          <w:marTop w:val="0"/>
          <w:marBottom w:val="0"/>
          <w:divBdr>
            <w:top w:val="none" w:sz="0" w:space="0" w:color="auto"/>
            <w:left w:val="none" w:sz="0" w:space="0" w:color="auto"/>
            <w:bottom w:val="none" w:sz="0" w:space="0" w:color="auto"/>
            <w:right w:val="none" w:sz="0" w:space="0" w:color="auto"/>
          </w:divBdr>
        </w:div>
        <w:div w:id="564997099">
          <w:marLeft w:val="0"/>
          <w:marRight w:val="0"/>
          <w:marTop w:val="0"/>
          <w:marBottom w:val="0"/>
          <w:divBdr>
            <w:top w:val="none" w:sz="0" w:space="0" w:color="auto"/>
            <w:left w:val="none" w:sz="0" w:space="0" w:color="auto"/>
            <w:bottom w:val="none" w:sz="0" w:space="0" w:color="auto"/>
            <w:right w:val="none" w:sz="0" w:space="0" w:color="auto"/>
          </w:divBdr>
        </w:div>
        <w:div w:id="568611419">
          <w:marLeft w:val="0"/>
          <w:marRight w:val="0"/>
          <w:marTop w:val="0"/>
          <w:marBottom w:val="0"/>
          <w:divBdr>
            <w:top w:val="none" w:sz="0" w:space="0" w:color="auto"/>
            <w:left w:val="none" w:sz="0" w:space="0" w:color="auto"/>
            <w:bottom w:val="none" w:sz="0" w:space="0" w:color="auto"/>
            <w:right w:val="none" w:sz="0" w:space="0" w:color="auto"/>
          </w:divBdr>
        </w:div>
        <w:div w:id="585072016">
          <w:marLeft w:val="0"/>
          <w:marRight w:val="0"/>
          <w:marTop w:val="0"/>
          <w:marBottom w:val="0"/>
          <w:divBdr>
            <w:top w:val="none" w:sz="0" w:space="0" w:color="auto"/>
            <w:left w:val="none" w:sz="0" w:space="0" w:color="auto"/>
            <w:bottom w:val="none" w:sz="0" w:space="0" w:color="auto"/>
            <w:right w:val="none" w:sz="0" w:space="0" w:color="auto"/>
          </w:divBdr>
        </w:div>
        <w:div w:id="585267122">
          <w:marLeft w:val="0"/>
          <w:marRight w:val="0"/>
          <w:marTop w:val="0"/>
          <w:marBottom w:val="0"/>
          <w:divBdr>
            <w:top w:val="none" w:sz="0" w:space="0" w:color="auto"/>
            <w:left w:val="none" w:sz="0" w:space="0" w:color="auto"/>
            <w:bottom w:val="none" w:sz="0" w:space="0" w:color="auto"/>
            <w:right w:val="none" w:sz="0" w:space="0" w:color="auto"/>
          </w:divBdr>
        </w:div>
        <w:div w:id="589047085">
          <w:marLeft w:val="0"/>
          <w:marRight w:val="0"/>
          <w:marTop w:val="0"/>
          <w:marBottom w:val="0"/>
          <w:divBdr>
            <w:top w:val="none" w:sz="0" w:space="0" w:color="auto"/>
            <w:left w:val="none" w:sz="0" w:space="0" w:color="auto"/>
            <w:bottom w:val="none" w:sz="0" w:space="0" w:color="auto"/>
            <w:right w:val="none" w:sz="0" w:space="0" w:color="auto"/>
          </w:divBdr>
        </w:div>
        <w:div w:id="591087405">
          <w:marLeft w:val="0"/>
          <w:marRight w:val="0"/>
          <w:marTop w:val="0"/>
          <w:marBottom w:val="0"/>
          <w:divBdr>
            <w:top w:val="none" w:sz="0" w:space="0" w:color="auto"/>
            <w:left w:val="none" w:sz="0" w:space="0" w:color="auto"/>
            <w:bottom w:val="none" w:sz="0" w:space="0" w:color="auto"/>
            <w:right w:val="none" w:sz="0" w:space="0" w:color="auto"/>
          </w:divBdr>
        </w:div>
        <w:div w:id="601692507">
          <w:marLeft w:val="0"/>
          <w:marRight w:val="0"/>
          <w:marTop w:val="0"/>
          <w:marBottom w:val="0"/>
          <w:divBdr>
            <w:top w:val="none" w:sz="0" w:space="0" w:color="auto"/>
            <w:left w:val="none" w:sz="0" w:space="0" w:color="auto"/>
            <w:bottom w:val="none" w:sz="0" w:space="0" w:color="auto"/>
            <w:right w:val="none" w:sz="0" w:space="0" w:color="auto"/>
          </w:divBdr>
        </w:div>
        <w:div w:id="606929189">
          <w:marLeft w:val="0"/>
          <w:marRight w:val="0"/>
          <w:marTop w:val="0"/>
          <w:marBottom w:val="0"/>
          <w:divBdr>
            <w:top w:val="none" w:sz="0" w:space="0" w:color="auto"/>
            <w:left w:val="none" w:sz="0" w:space="0" w:color="auto"/>
            <w:bottom w:val="none" w:sz="0" w:space="0" w:color="auto"/>
            <w:right w:val="none" w:sz="0" w:space="0" w:color="auto"/>
          </w:divBdr>
        </w:div>
        <w:div w:id="608052321">
          <w:marLeft w:val="0"/>
          <w:marRight w:val="0"/>
          <w:marTop w:val="0"/>
          <w:marBottom w:val="0"/>
          <w:divBdr>
            <w:top w:val="none" w:sz="0" w:space="0" w:color="auto"/>
            <w:left w:val="none" w:sz="0" w:space="0" w:color="auto"/>
            <w:bottom w:val="none" w:sz="0" w:space="0" w:color="auto"/>
            <w:right w:val="none" w:sz="0" w:space="0" w:color="auto"/>
          </w:divBdr>
        </w:div>
        <w:div w:id="612176914">
          <w:marLeft w:val="0"/>
          <w:marRight w:val="0"/>
          <w:marTop w:val="0"/>
          <w:marBottom w:val="0"/>
          <w:divBdr>
            <w:top w:val="none" w:sz="0" w:space="0" w:color="auto"/>
            <w:left w:val="none" w:sz="0" w:space="0" w:color="auto"/>
            <w:bottom w:val="none" w:sz="0" w:space="0" w:color="auto"/>
            <w:right w:val="none" w:sz="0" w:space="0" w:color="auto"/>
          </w:divBdr>
        </w:div>
        <w:div w:id="613827677">
          <w:marLeft w:val="0"/>
          <w:marRight w:val="0"/>
          <w:marTop w:val="0"/>
          <w:marBottom w:val="0"/>
          <w:divBdr>
            <w:top w:val="none" w:sz="0" w:space="0" w:color="auto"/>
            <w:left w:val="none" w:sz="0" w:space="0" w:color="auto"/>
            <w:bottom w:val="none" w:sz="0" w:space="0" w:color="auto"/>
            <w:right w:val="none" w:sz="0" w:space="0" w:color="auto"/>
          </w:divBdr>
        </w:div>
        <w:div w:id="617181489">
          <w:marLeft w:val="0"/>
          <w:marRight w:val="0"/>
          <w:marTop w:val="0"/>
          <w:marBottom w:val="0"/>
          <w:divBdr>
            <w:top w:val="none" w:sz="0" w:space="0" w:color="auto"/>
            <w:left w:val="none" w:sz="0" w:space="0" w:color="auto"/>
            <w:bottom w:val="none" w:sz="0" w:space="0" w:color="auto"/>
            <w:right w:val="none" w:sz="0" w:space="0" w:color="auto"/>
          </w:divBdr>
        </w:div>
        <w:div w:id="621955966">
          <w:marLeft w:val="0"/>
          <w:marRight w:val="0"/>
          <w:marTop w:val="0"/>
          <w:marBottom w:val="0"/>
          <w:divBdr>
            <w:top w:val="none" w:sz="0" w:space="0" w:color="auto"/>
            <w:left w:val="none" w:sz="0" w:space="0" w:color="auto"/>
            <w:bottom w:val="none" w:sz="0" w:space="0" w:color="auto"/>
            <w:right w:val="none" w:sz="0" w:space="0" w:color="auto"/>
          </w:divBdr>
        </w:div>
        <w:div w:id="622662958">
          <w:marLeft w:val="0"/>
          <w:marRight w:val="0"/>
          <w:marTop w:val="0"/>
          <w:marBottom w:val="0"/>
          <w:divBdr>
            <w:top w:val="none" w:sz="0" w:space="0" w:color="auto"/>
            <w:left w:val="none" w:sz="0" w:space="0" w:color="auto"/>
            <w:bottom w:val="none" w:sz="0" w:space="0" w:color="auto"/>
            <w:right w:val="none" w:sz="0" w:space="0" w:color="auto"/>
          </w:divBdr>
        </w:div>
        <w:div w:id="624196386">
          <w:marLeft w:val="0"/>
          <w:marRight w:val="0"/>
          <w:marTop w:val="0"/>
          <w:marBottom w:val="0"/>
          <w:divBdr>
            <w:top w:val="none" w:sz="0" w:space="0" w:color="auto"/>
            <w:left w:val="none" w:sz="0" w:space="0" w:color="auto"/>
            <w:bottom w:val="none" w:sz="0" w:space="0" w:color="auto"/>
            <w:right w:val="none" w:sz="0" w:space="0" w:color="auto"/>
          </w:divBdr>
        </w:div>
        <w:div w:id="637804608">
          <w:marLeft w:val="0"/>
          <w:marRight w:val="0"/>
          <w:marTop w:val="0"/>
          <w:marBottom w:val="0"/>
          <w:divBdr>
            <w:top w:val="none" w:sz="0" w:space="0" w:color="auto"/>
            <w:left w:val="none" w:sz="0" w:space="0" w:color="auto"/>
            <w:bottom w:val="none" w:sz="0" w:space="0" w:color="auto"/>
            <w:right w:val="none" w:sz="0" w:space="0" w:color="auto"/>
          </w:divBdr>
        </w:div>
        <w:div w:id="638345875">
          <w:marLeft w:val="0"/>
          <w:marRight w:val="0"/>
          <w:marTop w:val="0"/>
          <w:marBottom w:val="0"/>
          <w:divBdr>
            <w:top w:val="none" w:sz="0" w:space="0" w:color="auto"/>
            <w:left w:val="none" w:sz="0" w:space="0" w:color="auto"/>
            <w:bottom w:val="none" w:sz="0" w:space="0" w:color="auto"/>
            <w:right w:val="none" w:sz="0" w:space="0" w:color="auto"/>
          </w:divBdr>
        </w:div>
        <w:div w:id="643579559">
          <w:marLeft w:val="0"/>
          <w:marRight w:val="0"/>
          <w:marTop w:val="0"/>
          <w:marBottom w:val="0"/>
          <w:divBdr>
            <w:top w:val="none" w:sz="0" w:space="0" w:color="auto"/>
            <w:left w:val="none" w:sz="0" w:space="0" w:color="auto"/>
            <w:bottom w:val="none" w:sz="0" w:space="0" w:color="auto"/>
            <w:right w:val="none" w:sz="0" w:space="0" w:color="auto"/>
          </w:divBdr>
        </w:div>
        <w:div w:id="654067384">
          <w:marLeft w:val="0"/>
          <w:marRight w:val="0"/>
          <w:marTop w:val="0"/>
          <w:marBottom w:val="0"/>
          <w:divBdr>
            <w:top w:val="none" w:sz="0" w:space="0" w:color="auto"/>
            <w:left w:val="none" w:sz="0" w:space="0" w:color="auto"/>
            <w:bottom w:val="none" w:sz="0" w:space="0" w:color="auto"/>
            <w:right w:val="none" w:sz="0" w:space="0" w:color="auto"/>
          </w:divBdr>
        </w:div>
        <w:div w:id="664280201">
          <w:marLeft w:val="0"/>
          <w:marRight w:val="0"/>
          <w:marTop w:val="0"/>
          <w:marBottom w:val="0"/>
          <w:divBdr>
            <w:top w:val="none" w:sz="0" w:space="0" w:color="auto"/>
            <w:left w:val="none" w:sz="0" w:space="0" w:color="auto"/>
            <w:bottom w:val="none" w:sz="0" w:space="0" w:color="auto"/>
            <w:right w:val="none" w:sz="0" w:space="0" w:color="auto"/>
          </w:divBdr>
        </w:div>
        <w:div w:id="668219259">
          <w:marLeft w:val="0"/>
          <w:marRight w:val="0"/>
          <w:marTop w:val="0"/>
          <w:marBottom w:val="0"/>
          <w:divBdr>
            <w:top w:val="none" w:sz="0" w:space="0" w:color="auto"/>
            <w:left w:val="none" w:sz="0" w:space="0" w:color="auto"/>
            <w:bottom w:val="none" w:sz="0" w:space="0" w:color="auto"/>
            <w:right w:val="none" w:sz="0" w:space="0" w:color="auto"/>
          </w:divBdr>
        </w:div>
        <w:div w:id="668486731">
          <w:marLeft w:val="0"/>
          <w:marRight w:val="0"/>
          <w:marTop w:val="0"/>
          <w:marBottom w:val="0"/>
          <w:divBdr>
            <w:top w:val="none" w:sz="0" w:space="0" w:color="auto"/>
            <w:left w:val="none" w:sz="0" w:space="0" w:color="auto"/>
            <w:bottom w:val="none" w:sz="0" w:space="0" w:color="auto"/>
            <w:right w:val="none" w:sz="0" w:space="0" w:color="auto"/>
          </w:divBdr>
        </w:div>
        <w:div w:id="678436040">
          <w:marLeft w:val="0"/>
          <w:marRight w:val="0"/>
          <w:marTop w:val="0"/>
          <w:marBottom w:val="0"/>
          <w:divBdr>
            <w:top w:val="none" w:sz="0" w:space="0" w:color="auto"/>
            <w:left w:val="none" w:sz="0" w:space="0" w:color="auto"/>
            <w:bottom w:val="none" w:sz="0" w:space="0" w:color="auto"/>
            <w:right w:val="none" w:sz="0" w:space="0" w:color="auto"/>
          </w:divBdr>
        </w:div>
        <w:div w:id="679432430">
          <w:marLeft w:val="0"/>
          <w:marRight w:val="0"/>
          <w:marTop w:val="0"/>
          <w:marBottom w:val="0"/>
          <w:divBdr>
            <w:top w:val="none" w:sz="0" w:space="0" w:color="auto"/>
            <w:left w:val="none" w:sz="0" w:space="0" w:color="auto"/>
            <w:bottom w:val="none" w:sz="0" w:space="0" w:color="auto"/>
            <w:right w:val="none" w:sz="0" w:space="0" w:color="auto"/>
          </w:divBdr>
        </w:div>
        <w:div w:id="683938800">
          <w:marLeft w:val="0"/>
          <w:marRight w:val="0"/>
          <w:marTop w:val="0"/>
          <w:marBottom w:val="0"/>
          <w:divBdr>
            <w:top w:val="none" w:sz="0" w:space="0" w:color="auto"/>
            <w:left w:val="none" w:sz="0" w:space="0" w:color="auto"/>
            <w:bottom w:val="none" w:sz="0" w:space="0" w:color="auto"/>
            <w:right w:val="none" w:sz="0" w:space="0" w:color="auto"/>
          </w:divBdr>
        </w:div>
        <w:div w:id="692925599">
          <w:marLeft w:val="0"/>
          <w:marRight w:val="0"/>
          <w:marTop w:val="0"/>
          <w:marBottom w:val="0"/>
          <w:divBdr>
            <w:top w:val="none" w:sz="0" w:space="0" w:color="auto"/>
            <w:left w:val="none" w:sz="0" w:space="0" w:color="auto"/>
            <w:bottom w:val="none" w:sz="0" w:space="0" w:color="auto"/>
            <w:right w:val="none" w:sz="0" w:space="0" w:color="auto"/>
          </w:divBdr>
        </w:div>
        <w:div w:id="695927044">
          <w:marLeft w:val="0"/>
          <w:marRight w:val="0"/>
          <w:marTop w:val="0"/>
          <w:marBottom w:val="0"/>
          <w:divBdr>
            <w:top w:val="none" w:sz="0" w:space="0" w:color="auto"/>
            <w:left w:val="none" w:sz="0" w:space="0" w:color="auto"/>
            <w:bottom w:val="none" w:sz="0" w:space="0" w:color="auto"/>
            <w:right w:val="none" w:sz="0" w:space="0" w:color="auto"/>
          </w:divBdr>
        </w:div>
        <w:div w:id="700321837">
          <w:marLeft w:val="0"/>
          <w:marRight w:val="0"/>
          <w:marTop w:val="0"/>
          <w:marBottom w:val="0"/>
          <w:divBdr>
            <w:top w:val="none" w:sz="0" w:space="0" w:color="auto"/>
            <w:left w:val="none" w:sz="0" w:space="0" w:color="auto"/>
            <w:bottom w:val="none" w:sz="0" w:space="0" w:color="auto"/>
            <w:right w:val="none" w:sz="0" w:space="0" w:color="auto"/>
          </w:divBdr>
        </w:div>
        <w:div w:id="702244740">
          <w:marLeft w:val="0"/>
          <w:marRight w:val="0"/>
          <w:marTop w:val="0"/>
          <w:marBottom w:val="0"/>
          <w:divBdr>
            <w:top w:val="none" w:sz="0" w:space="0" w:color="auto"/>
            <w:left w:val="none" w:sz="0" w:space="0" w:color="auto"/>
            <w:bottom w:val="none" w:sz="0" w:space="0" w:color="auto"/>
            <w:right w:val="none" w:sz="0" w:space="0" w:color="auto"/>
          </w:divBdr>
        </w:div>
        <w:div w:id="705954914">
          <w:marLeft w:val="0"/>
          <w:marRight w:val="0"/>
          <w:marTop w:val="0"/>
          <w:marBottom w:val="0"/>
          <w:divBdr>
            <w:top w:val="none" w:sz="0" w:space="0" w:color="auto"/>
            <w:left w:val="none" w:sz="0" w:space="0" w:color="auto"/>
            <w:bottom w:val="none" w:sz="0" w:space="0" w:color="auto"/>
            <w:right w:val="none" w:sz="0" w:space="0" w:color="auto"/>
          </w:divBdr>
        </w:div>
        <w:div w:id="708530996">
          <w:marLeft w:val="0"/>
          <w:marRight w:val="0"/>
          <w:marTop w:val="0"/>
          <w:marBottom w:val="0"/>
          <w:divBdr>
            <w:top w:val="none" w:sz="0" w:space="0" w:color="auto"/>
            <w:left w:val="none" w:sz="0" w:space="0" w:color="auto"/>
            <w:bottom w:val="none" w:sz="0" w:space="0" w:color="auto"/>
            <w:right w:val="none" w:sz="0" w:space="0" w:color="auto"/>
          </w:divBdr>
        </w:div>
        <w:div w:id="709064756">
          <w:marLeft w:val="0"/>
          <w:marRight w:val="0"/>
          <w:marTop w:val="0"/>
          <w:marBottom w:val="0"/>
          <w:divBdr>
            <w:top w:val="none" w:sz="0" w:space="0" w:color="auto"/>
            <w:left w:val="none" w:sz="0" w:space="0" w:color="auto"/>
            <w:bottom w:val="none" w:sz="0" w:space="0" w:color="auto"/>
            <w:right w:val="none" w:sz="0" w:space="0" w:color="auto"/>
          </w:divBdr>
        </w:div>
        <w:div w:id="713316175">
          <w:marLeft w:val="0"/>
          <w:marRight w:val="0"/>
          <w:marTop w:val="0"/>
          <w:marBottom w:val="0"/>
          <w:divBdr>
            <w:top w:val="none" w:sz="0" w:space="0" w:color="auto"/>
            <w:left w:val="none" w:sz="0" w:space="0" w:color="auto"/>
            <w:bottom w:val="none" w:sz="0" w:space="0" w:color="auto"/>
            <w:right w:val="none" w:sz="0" w:space="0" w:color="auto"/>
          </w:divBdr>
        </w:div>
        <w:div w:id="717120735">
          <w:marLeft w:val="0"/>
          <w:marRight w:val="0"/>
          <w:marTop w:val="0"/>
          <w:marBottom w:val="0"/>
          <w:divBdr>
            <w:top w:val="none" w:sz="0" w:space="0" w:color="auto"/>
            <w:left w:val="none" w:sz="0" w:space="0" w:color="auto"/>
            <w:bottom w:val="none" w:sz="0" w:space="0" w:color="auto"/>
            <w:right w:val="none" w:sz="0" w:space="0" w:color="auto"/>
          </w:divBdr>
        </w:div>
        <w:div w:id="731928557">
          <w:marLeft w:val="0"/>
          <w:marRight w:val="0"/>
          <w:marTop w:val="0"/>
          <w:marBottom w:val="0"/>
          <w:divBdr>
            <w:top w:val="none" w:sz="0" w:space="0" w:color="auto"/>
            <w:left w:val="none" w:sz="0" w:space="0" w:color="auto"/>
            <w:bottom w:val="none" w:sz="0" w:space="0" w:color="auto"/>
            <w:right w:val="none" w:sz="0" w:space="0" w:color="auto"/>
          </w:divBdr>
        </w:div>
        <w:div w:id="737048166">
          <w:marLeft w:val="0"/>
          <w:marRight w:val="0"/>
          <w:marTop w:val="0"/>
          <w:marBottom w:val="0"/>
          <w:divBdr>
            <w:top w:val="none" w:sz="0" w:space="0" w:color="auto"/>
            <w:left w:val="none" w:sz="0" w:space="0" w:color="auto"/>
            <w:bottom w:val="none" w:sz="0" w:space="0" w:color="auto"/>
            <w:right w:val="none" w:sz="0" w:space="0" w:color="auto"/>
          </w:divBdr>
        </w:div>
        <w:div w:id="748380762">
          <w:marLeft w:val="0"/>
          <w:marRight w:val="0"/>
          <w:marTop w:val="0"/>
          <w:marBottom w:val="0"/>
          <w:divBdr>
            <w:top w:val="none" w:sz="0" w:space="0" w:color="auto"/>
            <w:left w:val="none" w:sz="0" w:space="0" w:color="auto"/>
            <w:bottom w:val="none" w:sz="0" w:space="0" w:color="auto"/>
            <w:right w:val="none" w:sz="0" w:space="0" w:color="auto"/>
          </w:divBdr>
        </w:div>
        <w:div w:id="750078263">
          <w:marLeft w:val="0"/>
          <w:marRight w:val="0"/>
          <w:marTop w:val="0"/>
          <w:marBottom w:val="0"/>
          <w:divBdr>
            <w:top w:val="none" w:sz="0" w:space="0" w:color="auto"/>
            <w:left w:val="none" w:sz="0" w:space="0" w:color="auto"/>
            <w:bottom w:val="none" w:sz="0" w:space="0" w:color="auto"/>
            <w:right w:val="none" w:sz="0" w:space="0" w:color="auto"/>
          </w:divBdr>
        </w:div>
        <w:div w:id="758794329">
          <w:marLeft w:val="0"/>
          <w:marRight w:val="0"/>
          <w:marTop w:val="0"/>
          <w:marBottom w:val="0"/>
          <w:divBdr>
            <w:top w:val="none" w:sz="0" w:space="0" w:color="auto"/>
            <w:left w:val="none" w:sz="0" w:space="0" w:color="auto"/>
            <w:bottom w:val="none" w:sz="0" w:space="0" w:color="auto"/>
            <w:right w:val="none" w:sz="0" w:space="0" w:color="auto"/>
          </w:divBdr>
        </w:div>
        <w:div w:id="763108927">
          <w:marLeft w:val="0"/>
          <w:marRight w:val="0"/>
          <w:marTop w:val="0"/>
          <w:marBottom w:val="0"/>
          <w:divBdr>
            <w:top w:val="none" w:sz="0" w:space="0" w:color="auto"/>
            <w:left w:val="none" w:sz="0" w:space="0" w:color="auto"/>
            <w:bottom w:val="none" w:sz="0" w:space="0" w:color="auto"/>
            <w:right w:val="none" w:sz="0" w:space="0" w:color="auto"/>
          </w:divBdr>
        </w:div>
        <w:div w:id="766122435">
          <w:marLeft w:val="0"/>
          <w:marRight w:val="0"/>
          <w:marTop w:val="0"/>
          <w:marBottom w:val="0"/>
          <w:divBdr>
            <w:top w:val="none" w:sz="0" w:space="0" w:color="auto"/>
            <w:left w:val="none" w:sz="0" w:space="0" w:color="auto"/>
            <w:bottom w:val="none" w:sz="0" w:space="0" w:color="auto"/>
            <w:right w:val="none" w:sz="0" w:space="0" w:color="auto"/>
          </w:divBdr>
        </w:div>
        <w:div w:id="769355461">
          <w:marLeft w:val="0"/>
          <w:marRight w:val="0"/>
          <w:marTop w:val="0"/>
          <w:marBottom w:val="0"/>
          <w:divBdr>
            <w:top w:val="none" w:sz="0" w:space="0" w:color="auto"/>
            <w:left w:val="none" w:sz="0" w:space="0" w:color="auto"/>
            <w:bottom w:val="none" w:sz="0" w:space="0" w:color="auto"/>
            <w:right w:val="none" w:sz="0" w:space="0" w:color="auto"/>
          </w:divBdr>
        </w:div>
        <w:div w:id="771434395">
          <w:marLeft w:val="0"/>
          <w:marRight w:val="0"/>
          <w:marTop w:val="0"/>
          <w:marBottom w:val="0"/>
          <w:divBdr>
            <w:top w:val="none" w:sz="0" w:space="0" w:color="auto"/>
            <w:left w:val="none" w:sz="0" w:space="0" w:color="auto"/>
            <w:bottom w:val="none" w:sz="0" w:space="0" w:color="auto"/>
            <w:right w:val="none" w:sz="0" w:space="0" w:color="auto"/>
          </w:divBdr>
        </w:div>
        <w:div w:id="773399682">
          <w:marLeft w:val="0"/>
          <w:marRight w:val="0"/>
          <w:marTop w:val="0"/>
          <w:marBottom w:val="0"/>
          <w:divBdr>
            <w:top w:val="none" w:sz="0" w:space="0" w:color="auto"/>
            <w:left w:val="none" w:sz="0" w:space="0" w:color="auto"/>
            <w:bottom w:val="none" w:sz="0" w:space="0" w:color="auto"/>
            <w:right w:val="none" w:sz="0" w:space="0" w:color="auto"/>
          </w:divBdr>
        </w:div>
        <w:div w:id="777799879">
          <w:marLeft w:val="0"/>
          <w:marRight w:val="0"/>
          <w:marTop w:val="0"/>
          <w:marBottom w:val="0"/>
          <w:divBdr>
            <w:top w:val="none" w:sz="0" w:space="0" w:color="auto"/>
            <w:left w:val="none" w:sz="0" w:space="0" w:color="auto"/>
            <w:bottom w:val="none" w:sz="0" w:space="0" w:color="auto"/>
            <w:right w:val="none" w:sz="0" w:space="0" w:color="auto"/>
          </w:divBdr>
        </w:div>
        <w:div w:id="779689190">
          <w:marLeft w:val="0"/>
          <w:marRight w:val="0"/>
          <w:marTop w:val="0"/>
          <w:marBottom w:val="0"/>
          <w:divBdr>
            <w:top w:val="none" w:sz="0" w:space="0" w:color="auto"/>
            <w:left w:val="none" w:sz="0" w:space="0" w:color="auto"/>
            <w:bottom w:val="none" w:sz="0" w:space="0" w:color="auto"/>
            <w:right w:val="none" w:sz="0" w:space="0" w:color="auto"/>
          </w:divBdr>
        </w:div>
        <w:div w:id="786199971">
          <w:marLeft w:val="0"/>
          <w:marRight w:val="0"/>
          <w:marTop w:val="0"/>
          <w:marBottom w:val="0"/>
          <w:divBdr>
            <w:top w:val="none" w:sz="0" w:space="0" w:color="auto"/>
            <w:left w:val="none" w:sz="0" w:space="0" w:color="auto"/>
            <w:bottom w:val="none" w:sz="0" w:space="0" w:color="auto"/>
            <w:right w:val="none" w:sz="0" w:space="0" w:color="auto"/>
          </w:divBdr>
        </w:div>
        <w:div w:id="791174124">
          <w:marLeft w:val="0"/>
          <w:marRight w:val="0"/>
          <w:marTop w:val="0"/>
          <w:marBottom w:val="0"/>
          <w:divBdr>
            <w:top w:val="none" w:sz="0" w:space="0" w:color="auto"/>
            <w:left w:val="none" w:sz="0" w:space="0" w:color="auto"/>
            <w:bottom w:val="none" w:sz="0" w:space="0" w:color="auto"/>
            <w:right w:val="none" w:sz="0" w:space="0" w:color="auto"/>
          </w:divBdr>
        </w:div>
        <w:div w:id="797185581">
          <w:marLeft w:val="0"/>
          <w:marRight w:val="0"/>
          <w:marTop w:val="0"/>
          <w:marBottom w:val="0"/>
          <w:divBdr>
            <w:top w:val="none" w:sz="0" w:space="0" w:color="auto"/>
            <w:left w:val="none" w:sz="0" w:space="0" w:color="auto"/>
            <w:bottom w:val="none" w:sz="0" w:space="0" w:color="auto"/>
            <w:right w:val="none" w:sz="0" w:space="0" w:color="auto"/>
          </w:divBdr>
        </w:div>
        <w:div w:id="800077604">
          <w:marLeft w:val="0"/>
          <w:marRight w:val="0"/>
          <w:marTop w:val="0"/>
          <w:marBottom w:val="0"/>
          <w:divBdr>
            <w:top w:val="none" w:sz="0" w:space="0" w:color="auto"/>
            <w:left w:val="none" w:sz="0" w:space="0" w:color="auto"/>
            <w:bottom w:val="none" w:sz="0" w:space="0" w:color="auto"/>
            <w:right w:val="none" w:sz="0" w:space="0" w:color="auto"/>
          </w:divBdr>
        </w:div>
        <w:div w:id="801002594">
          <w:marLeft w:val="0"/>
          <w:marRight w:val="0"/>
          <w:marTop w:val="0"/>
          <w:marBottom w:val="0"/>
          <w:divBdr>
            <w:top w:val="none" w:sz="0" w:space="0" w:color="auto"/>
            <w:left w:val="none" w:sz="0" w:space="0" w:color="auto"/>
            <w:bottom w:val="none" w:sz="0" w:space="0" w:color="auto"/>
            <w:right w:val="none" w:sz="0" w:space="0" w:color="auto"/>
          </w:divBdr>
        </w:div>
        <w:div w:id="802388571">
          <w:marLeft w:val="0"/>
          <w:marRight w:val="0"/>
          <w:marTop w:val="0"/>
          <w:marBottom w:val="0"/>
          <w:divBdr>
            <w:top w:val="none" w:sz="0" w:space="0" w:color="auto"/>
            <w:left w:val="none" w:sz="0" w:space="0" w:color="auto"/>
            <w:bottom w:val="none" w:sz="0" w:space="0" w:color="auto"/>
            <w:right w:val="none" w:sz="0" w:space="0" w:color="auto"/>
          </w:divBdr>
        </w:div>
        <w:div w:id="812989325">
          <w:marLeft w:val="0"/>
          <w:marRight w:val="0"/>
          <w:marTop w:val="0"/>
          <w:marBottom w:val="0"/>
          <w:divBdr>
            <w:top w:val="none" w:sz="0" w:space="0" w:color="auto"/>
            <w:left w:val="none" w:sz="0" w:space="0" w:color="auto"/>
            <w:bottom w:val="none" w:sz="0" w:space="0" w:color="auto"/>
            <w:right w:val="none" w:sz="0" w:space="0" w:color="auto"/>
          </w:divBdr>
        </w:div>
        <w:div w:id="815923320">
          <w:marLeft w:val="0"/>
          <w:marRight w:val="0"/>
          <w:marTop w:val="0"/>
          <w:marBottom w:val="0"/>
          <w:divBdr>
            <w:top w:val="none" w:sz="0" w:space="0" w:color="auto"/>
            <w:left w:val="none" w:sz="0" w:space="0" w:color="auto"/>
            <w:bottom w:val="none" w:sz="0" w:space="0" w:color="auto"/>
            <w:right w:val="none" w:sz="0" w:space="0" w:color="auto"/>
          </w:divBdr>
        </w:div>
        <w:div w:id="820384321">
          <w:marLeft w:val="0"/>
          <w:marRight w:val="0"/>
          <w:marTop w:val="0"/>
          <w:marBottom w:val="0"/>
          <w:divBdr>
            <w:top w:val="none" w:sz="0" w:space="0" w:color="auto"/>
            <w:left w:val="none" w:sz="0" w:space="0" w:color="auto"/>
            <w:bottom w:val="none" w:sz="0" w:space="0" w:color="auto"/>
            <w:right w:val="none" w:sz="0" w:space="0" w:color="auto"/>
          </w:divBdr>
        </w:div>
        <w:div w:id="824321380">
          <w:marLeft w:val="0"/>
          <w:marRight w:val="0"/>
          <w:marTop w:val="0"/>
          <w:marBottom w:val="0"/>
          <w:divBdr>
            <w:top w:val="none" w:sz="0" w:space="0" w:color="auto"/>
            <w:left w:val="none" w:sz="0" w:space="0" w:color="auto"/>
            <w:bottom w:val="none" w:sz="0" w:space="0" w:color="auto"/>
            <w:right w:val="none" w:sz="0" w:space="0" w:color="auto"/>
          </w:divBdr>
        </w:div>
        <w:div w:id="827096651">
          <w:marLeft w:val="0"/>
          <w:marRight w:val="0"/>
          <w:marTop w:val="0"/>
          <w:marBottom w:val="0"/>
          <w:divBdr>
            <w:top w:val="none" w:sz="0" w:space="0" w:color="auto"/>
            <w:left w:val="none" w:sz="0" w:space="0" w:color="auto"/>
            <w:bottom w:val="none" w:sz="0" w:space="0" w:color="auto"/>
            <w:right w:val="none" w:sz="0" w:space="0" w:color="auto"/>
          </w:divBdr>
        </w:div>
        <w:div w:id="829710043">
          <w:marLeft w:val="0"/>
          <w:marRight w:val="0"/>
          <w:marTop w:val="0"/>
          <w:marBottom w:val="0"/>
          <w:divBdr>
            <w:top w:val="none" w:sz="0" w:space="0" w:color="auto"/>
            <w:left w:val="none" w:sz="0" w:space="0" w:color="auto"/>
            <w:bottom w:val="none" w:sz="0" w:space="0" w:color="auto"/>
            <w:right w:val="none" w:sz="0" w:space="0" w:color="auto"/>
          </w:divBdr>
        </w:div>
        <w:div w:id="834147859">
          <w:marLeft w:val="0"/>
          <w:marRight w:val="0"/>
          <w:marTop w:val="0"/>
          <w:marBottom w:val="0"/>
          <w:divBdr>
            <w:top w:val="none" w:sz="0" w:space="0" w:color="auto"/>
            <w:left w:val="none" w:sz="0" w:space="0" w:color="auto"/>
            <w:bottom w:val="none" w:sz="0" w:space="0" w:color="auto"/>
            <w:right w:val="none" w:sz="0" w:space="0" w:color="auto"/>
          </w:divBdr>
        </w:div>
        <w:div w:id="834956187">
          <w:marLeft w:val="0"/>
          <w:marRight w:val="0"/>
          <w:marTop w:val="0"/>
          <w:marBottom w:val="0"/>
          <w:divBdr>
            <w:top w:val="none" w:sz="0" w:space="0" w:color="auto"/>
            <w:left w:val="none" w:sz="0" w:space="0" w:color="auto"/>
            <w:bottom w:val="none" w:sz="0" w:space="0" w:color="auto"/>
            <w:right w:val="none" w:sz="0" w:space="0" w:color="auto"/>
          </w:divBdr>
        </w:div>
        <w:div w:id="836848013">
          <w:marLeft w:val="0"/>
          <w:marRight w:val="0"/>
          <w:marTop w:val="0"/>
          <w:marBottom w:val="0"/>
          <w:divBdr>
            <w:top w:val="none" w:sz="0" w:space="0" w:color="auto"/>
            <w:left w:val="none" w:sz="0" w:space="0" w:color="auto"/>
            <w:bottom w:val="none" w:sz="0" w:space="0" w:color="auto"/>
            <w:right w:val="none" w:sz="0" w:space="0" w:color="auto"/>
          </w:divBdr>
        </w:div>
        <w:div w:id="837503495">
          <w:marLeft w:val="0"/>
          <w:marRight w:val="0"/>
          <w:marTop w:val="0"/>
          <w:marBottom w:val="0"/>
          <w:divBdr>
            <w:top w:val="none" w:sz="0" w:space="0" w:color="auto"/>
            <w:left w:val="none" w:sz="0" w:space="0" w:color="auto"/>
            <w:bottom w:val="none" w:sz="0" w:space="0" w:color="auto"/>
            <w:right w:val="none" w:sz="0" w:space="0" w:color="auto"/>
          </w:divBdr>
        </w:div>
        <w:div w:id="848375136">
          <w:marLeft w:val="0"/>
          <w:marRight w:val="0"/>
          <w:marTop w:val="0"/>
          <w:marBottom w:val="0"/>
          <w:divBdr>
            <w:top w:val="none" w:sz="0" w:space="0" w:color="auto"/>
            <w:left w:val="none" w:sz="0" w:space="0" w:color="auto"/>
            <w:bottom w:val="none" w:sz="0" w:space="0" w:color="auto"/>
            <w:right w:val="none" w:sz="0" w:space="0" w:color="auto"/>
          </w:divBdr>
        </w:div>
        <w:div w:id="861286577">
          <w:marLeft w:val="0"/>
          <w:marRight w:val="0"/>
          <w:marTop w:val="0"/>
          <w:marBottom w:val="0"/>
          <w:divBdr>
            <w:top w:val="none" w:sz="0" w:space="0" w:color="auto"/>
            <w:left w:val="none" w:sz="0" w:space="0" w:color="auto"/>
            <w:bottom w:val="none" w:sz="0" w:space="0" w:color="auto"/>
            <w:right w:val="none" w:sz="0" w:space="0" w:color="auto"/>
          </w:divBdr>
        </w:div>
        <w:div w:id="862590265">
          <w:marLeft w:val="0"/>
          <w:marRight w:val="0"/>
          <w:marTop w:val="0"/>
          <w:marBottom w:val="0"/>
          <w:divBdr>
            <w:top w:val="none" w:sz="0" w:space="0" w:color="auto"/>
            <w:left w:val="none" w:sz="0" w:space="0" w:color="auto"/>
            <w:bottom w:val="none" w:sz="0" w:space="0" w:color="auto"/>
            <w:right w:val="none" w:sz="0" w:space="0" w:color="auto"/>
          </w:divBdr>
        </w:div>
        <w:div w:id="863254987">
          <w:marLeft w:val="0"/>
          <w:marRight w:val="0"/>
          <w:marTop w:val="0"/>
          <w:marBottom w:val="0"/>
          <w:divBdr>
            <w:top w:val="none" w:sz="0" w:space="0" w:color="auto"/>
            <w:left w:val="none" w:sz="0" w:space="0" w:color="auto"/>
            <w:bottom w:val="none" w:sz="0" w:space="0" w:color="auto"/>
            <w:right w:val="none" w:sz="0" w:space="0" w:color="auto"/>
          </w:divBdr>
        </w:div>
        <w:div w:id="864057575">
          <w:marLeft w:val="0"/>
          <w:marRight w:val="0"/>
          <w:marTop w:val="0"/>
          <w:marBottom w:val="0"/>
          <w:divBdr>
            <w:top w:val="none" w:sz="0" w:space="0" w:color="auto"/>
            <w:left w:val="none" w:sz="0" w:space="0" w:color="auto"/>
            <w:bottom w:val="none" w:sz="0" w:space="0" w:color="auto"/>
            <w:right w:val="none" w:sz="0" w:space="0" w:color="auto"/>
          </w:divBdr>
        </w:div>
        <w:div w:id="866411413">
          <w:marLeft w:val="0"/>
          <w:marRight w:val="0"/>
          <w:marTop w:val="0"/>
          <w:marBottom w:val="0"/>
          <w:divBdr>
            <w:top w:val="none" w:sz="0" w:space="0" w:color="auto"/>
            <w:left w:val="none" w:sz="0" w:space="0" w:color="auto"/>
            <w:bottom w:val="none" w:sz="0" w:space="0" w:color="auto"/>
            <w:right w:val="none" w:sz="0" w:space="0" w:color="auto"/>
          </w:divBdr>
        </w:div>
        <w:div w:id="867181865">
          <w:marLeft w:val="0"/>
          <w:marRight w:val="0"/>
          <w:marTop w:val="0"/>
          <w:marBottom w:val="0"/>
          <w:divBdr>
            <w:top w:val="none" w:sz="0" w:space="0" w:color="auto"/>
            <w:left w:val="none" w:sz="0" w:space="0" w:color="auto"/>
            <w:bottom w:val="none" w:sz="0" w:space="0" w:color="auto"/>
            <w:right w:val="none" w:sz="0" w:space="0" w:color="auto"/>
          </w:divBdr>
        </w:div>
        <w:div w:id="867714971">
          <w:marLeft w:val="0"/>
          <w:marRight w:val="0"/>
          <w:marTop w:val="0"/>
          <w:marBottom w:val="0"/>
          <w:divBdr>
            <w:top w:val="none" w:sz="0" w:space="0" w:color="auto"/>
            <w:left w:val="none" w:sz="0" w:space="0" w:color="auto"/>
            <w:bottom w:val="none" w:sz="0" w:space="0" w:color="auto"/>
            <w:right w:val="none" w:sz="0" w:space="0" w:color="auto"/>
          </w:divBdr>
        </w:div>
        <w:div w:id="868951184">
          <w:marLeft w:val="0"/>
          <w:marRight w:val="0"/>
          <w:marTop w:val="0"/>
          <w:marBottom w:val="0"/>
          <w:divBdr>
            <w:top w:val="none" w:sz="0" w:space="0" w:color="auto"/>
            <w:left w:val="none" w:sz="0" w:space="0" w:color="auto"/>
            <w:bottom w:val="none" w:sz="0" w:space="0" w:color="auto"/>
            <w:right w:val="none" w:sz="0" w:space="0" w:color="auto"/>
          </w:divBdr>
        </w:div>
        <w:div w:id="870462731">
          <w:marLeft w:val="0"/>
          <w:marRight w:val="0"/>
          <w:marTop w:val="0"/>
          <w:marBottom w:val="0"/>
          <w:divBdr>
            <w:top w:val="none" w:sz="0" w:space="0" w:color="auto"/>
            <w:left w:val="none" w:sz="0" w:space="0" w:color="auto"/>
            <w:bottom w:val="none" w:sz="0" w:space="0" w:color="auto"/>
            <w:right w:val="none" w:sz="0" w:space="0" w:color="auto"/>
          </w:divBdr>
        </w:div>
        <w:div w:id="871184544">
          <w:marLeft w:val="0"/>
          <w:marRight w:val="0"/>
          <w:marTop w:val="0"/>
          <w:marBottom w:val="0"/>
          <w:divBdr>
            <w:top w:val="none" w:sz="0" w:space="0" w:color="auto"/>
            <w:left w:val="none" w:sz="0" w:space="0" w:color="auto"/>
            <w:bottom w:val="none" w:sz="0" w:space="0" w:color="auto"/>
            <w:right w:val="none" w:sz="0" w:space="0" w:color="auto"/>
          </w:divBdr>
        </w:div>
        <w:div w:id="875891660">
          <w:marLeft w:val="0"/>
          <w:marRight w:val="0"/>
          <w:marTop w:val="0"/>
          <w:marBottom w:val="0"/>
          <w:divBdr>
            <w:top w:val="none" w:sz="0" w:space="0" w:color="auto"/>
            <w:left w:val="none" w:sz="0" w:space="0" w:color="auto"/>
            <w:bottom w:val="none" w:sz="0" w:space="0" w:color="auto"/>
            <w:right w:val="none" w:sz="0" w:space="0" w:color="auto"/>
          </w:divBdr>
        </w:div>
        <w:div w:id="876700518">
          <w:marLeft w:val="0"/>
          <w:marRight w:val="0"/>
          <w:marTop w:val="0"/>
          <w:marBottom w:val="0"/>
          <w:divBdr>
            <w:top w:val="none" w:sz="0" w:space="0" w:color="auto"/>
            <w:left w:val="none" w:sz="0" w:space="0" w:color="auto"/>
            <w:bottom w:val="none" w:sz="0" w:space="0" w:color="auto"/>
            <w:right w:val="none" w:sz="0" w:space="0" w:color="auto"/>
          </w:divBdr>
        </w:div>
        <w:div w:id="877205126">
          <w:marLeft w:val="0"/>
          <w:marRight w:val="0"/>
          <w:marTop w:val="0"/>
          <w:marBottom w:val="0"/>
          <w:divBdr>
            <w:top w:val="none" w:sz="0" w:space="0" w:color="auto"/>
            <w:left w:val="none" w:sz="0" w:space="0" w:color="auto"/>
            <w:bottom w:val="none" w:sz="0" w:space="0" w:color="auto"/>
            <w:right w:val="none" w:sz="0" w:space="0" w:color="auto"/>
          </w:divBdr>
        </w:div>
        <w:div w:id="878668207">
          <w:marLeft w:val="0"/>
          <w:marRight w:val="0"/>
          <w:marTop w:val="0"/>
          <w:marBottom w:val="0"/>
          <w:divBdr>
            <w:top w:val="none" w:sz="0" w:space="0" w:color="auto"/>
            <w:left w:val="none" w:sz="0" w:space="0" w:color="auto"/>
            <w:bottom w:val="none" w:sz="0" w:space="0" w:color="auto"/>
            <w:right w:val="none" w:sz="0" w:space="0" w:color="auto"/>
          </w:divBdr>
        </w:div>
        <w:div w:id="883447434">
          <w:marLeft w:val="0"/>
          <w:marRight w:val="0"/>
          <w:marTop w:val="0"/>
          <w:marBottom w:val="0"/>
          <w:divBdr>
            <w:top w:val="none" w:sz="0" w:space="0" w:color="auto"/>
            <w:left w:val="none" w:sz="0" w:space="0" w:color="auto"/>
            <w:bottom w:val="none" w:sz="0" w:space="0" w:color="auto"/>
            <w:right w:val="none" w:sz="0" w:space="0" w:color="auto"/>
          </w:divBdr>
        </w:div>
        <w:div w:id="889342040">
          <w:marLeft w:val="0"/>
          <w:marRight w:val="0"/>
          <w:marTop w:val="0"/>
          <w:marBottom w:val="0"/>
          <w:divBdr>
            <w:top w:val="none" w:sz="0" w:space="0" w:color="auto"/>
            <w:left w:val="none" w:sz="0" w:space="0" w:color="auto"/>
            <w:bottom w:val="none" w:sz="0" w:space="0" w:color="auto"/>
            <w:right w:val="none" w:sz="0" w:space="0" w:color="auto"/>
          </w:divBdr>
        </w:div>
        <w:div w:id="900751954">
          <w:marLeft w:val="0"/>
          <w:marRight w:val="0"/>
          <w:marTop w:val="0"/>
          <w:marBottom w:val="0"/>
          <w:divBdr>
            <w:top w:val="none" w:sz="0" w:space="0" w:color="auto"/>
            <w:left w:val="none" w:sz="0" w:space="0" w:color="auto"/>
            <w:bottom w:val="none" w:sz="0" w:space="0" w:color="auto"/>
            <w:right w:val="none" w:sz="0" w:space="0" w:color="auto"/>
          </w:divBdr>
        </w:div>
        <w:div w:id="906916226">
          <w:marLeft w:val="0"/>
          <w:marRight w:val="0"/>
          <w:marTop w:val="0"/>
          <w:marBottom w:val="0"/>
          <w:divBdr>
            <w:top w:val="none" w:sz="0" w:space="0" w:color="auto"/>
            <w:left w:val="none" w:sz="0" w:space="0" w:color="auto"/>
            <w:bottom w:val="none" w:sz="0" w:space="0" w:color="auto"/>
            <w:right w:val="none" w:sz="0" w:space="0" w:color="auto"/>
          </w:divBdr>
        </w:div>
        <w:div w:id="914389540">
          <w:marLeft w:val="0"/>
          <w:marRight w:val="0"/>
          <w:marTop w:val="0"/>
          <w:marBottom w:val="0"/>
          <w:divBdr>
            <w:top w:val="none" w:sz="0" w:space="0" w:color="auto"/>
            <w:left w:val="none" w:sz="0" w:space="0" w:color="auto"/>
            <w:bottom w:val="none" w:sz="0" w:space="0" w:color="auto"/>
            <w:right w:val="none" w:sz="0" w:space="0" w:color="auto"/>
          </w:divBdr>
        </w:div>
        <w:div w:id="920337199">
          <w:marLeft w:val="0"/>
          <w:marRight w:val="0"/>
          <w:marTop w:val="0"/>
          <w:marBottom w:val="0"/>
          <w:divBdr>
            <w:top w:val="none" w:sz="0" w:space="0" w:color="auto"/>
            <w:left w:val="none" w:sz="0" w:space="0" w:color="auto"/>
            <w:bottom w:val="none" w:sz="0" w:space="0" w:color="auto"/>
            <w:right w:val="none" w:sz="0" w:space="0" w:color="auto"/>
          </w:divBdr>
        </w:div>
        <w:div w:id="921833348">
          <w:marLeft w:val="0"/>
          <w:marRight w:val="0"/>
          <w:marTop w:val="0"/>
          <w:marBottom w:val="0"/>
          <w:divBdr>
            <w:top w:val="none" w:sz="0" w:space="0" w:color="auto"/>
            <w:left w:val="none" w:sz="0" w:space="0" w:color="auto"/>
            <w:bottom w:val="none" w:sz="0" w:space="0" w:color="auto"/>
            <w:right w:val="none" w:sz="0" w:space="0" w:color="auto"/>
          </w:divBdr>
        </w:div>
        <w:div w:id="926377531">
          <w:marLeft w:val="0"/>
          <w:marRight w:val="0"/>
          <w:marTop w:val="0"/>
          <w:marBottom w:val="0"/>
          <w:divBdr>
            <w:top w:val="none" w:sz="0" w:space="0" w:color="auto"/>
            <w:left w:val="none" w:sz="0" w:space="0" w:color="auto"/>
            <w:bottom w:val="none" w:sz="0" w:space="0" w:color="auto"/>
            <w:right w:val="none" w:sz="0" w:space="0" w:color="auto"/>
          </w:divBdr>
        </w:div>
        <w:div w:id="929005432">
          <w:marLeft w:val="0"/>
          <w:marRight w:val="0"/>
          <w:marTop w:val="0"/>
          <w:marBottom w:val="0"/>
          <w:divBdr>
            <w:top w:val="none" w:sz="0" w:space="0" w:color="auto"/>
            <w:left w:val="none" w:sz="0" w:space="0" w:color="auto"/>
            <w:bottom w:val="none" w:sz="0" w:space="0" w:color="auto"/>
            <w:right w:val="none" w:sz="0" w:space="0" w:color="auto"/>
          </w:divBdr>
        </w:div>
        <w:div w:id="929972489">
          <w:marLeft w:val="0"/>
          <w:marRight w:val="0"/>
          <w:marTop w:val="0"/>
          <w:marBottom w:val="0"/>
          <w:divBdr>
            <w:top w:val="none" w:sz="0" w:space="0" w:color="auto"/>
            <w:left w:val="none" w:sz="0" w:space="0" w:color="auto"/>
            <w:bottom w:val="none" w:sz="0" w:space="0" w:color="auto"/>
            <w:right w:val="none" w:sz="0" w:space="0" w:color="auto"/>
          </w:divBdr>
        </w:div>
        <w:div w:id="933323654">
          <w:marLeft w:val="0"/>
          <w:marRight w:val="0"/>
          <w:marTop w:val="0"/>
          <w:marBottom w:val="0"/>
          <w:divBdr>
            <w:top w:val="none" w:sz="0" w:space="0" w:color="auto"/>
            <w:left w:val="none" w:sz="0" w:space="0" w:color="auto"/>
            <w:bottom w:val="none" w:sz="0" w:space="0" w:color="auto"/>
            <w:right w:val="none" w:sz="0" w:space="0" w:color="auto"/>
          </w:divBdr>
        </w:div>
        <w:div w:id="937904413">
          <w:marLeft w:val="0"/>
          <w:marRight w:val="0"/>
          <w:marTop w:val="0"/>
          <w:marBottom w:val="0"/>
          <w:divBdr>
            <w:top w:val="none" w:sz="0" w:space="0" w:color="auto"/>
            <w:left w:val="none" w:sz="0" w:space="0" w:color="auto"/>
            <w:bottom w:val="none" w:sz="0" w:space="0" w:color="auto"/>
            <w:right w:val="none" w:sz="0" w:space="0" w:color="auto"/>
          </w:divBdr>
        </w:div>
        <w:div w:id="938366910">
          <w:marLeft w:val="0"/>
          <w:marRight w:val="0"/>
          <w:marTop w:val="0"/>
          <w:marBottom w:val="0"/>
          <w:divBdr>
            <w:top w:val="none" w:sz="0" w:space="0" w:color="auto"/>
            <w:left w:val="none" w:sz="0" w:space="0" w:color="auto"/>
            <w:bottom w:val="none" w:sz="0" w:space="0" w:color="auto"/>
            <w:right w:val="none" w:sz="0" w:space="0" w:color="auto"/>
          </w:divBdr>
        </w:div>
        <w:div w:id="939030328">
          <w:marLeft w:val="0"/>
          <w:marRight w:val="0"/>
          <w:marTop w:val="0"/>
          <w:marBottom w:val="0"/>
          <w:divBdr>
            <w:top w:val="none" w:sz="0" w:space="0" w:color="auto"/>
            <w:left w:val="none" w:sz="0" w:space="0" w:color="auto"/>
            <w:bottom w:val="none" w:sz="0" w:space="0" w:color="auto"/>
            <w:right w:val="none" w:sz="0" w:space="0" w:color="auto"/>
          </w:divBdr>
        </w:div>
        <w:div w:id="950629396">
          <w:marLeft w:val="0"/>
          <w:marRight w:val="0"/>
          <w:marTop w:val="0"/>
          <w:marBottom w:val="0"/>
          <w:divBdr>
            <w:top w:val="none" w:sz="0" w:space="0" w:color="auto"/>
            <w:left w:val="none" w:sz="0" w:space="0" w:color="auto"/>
            <w:bottom w:val="none" w:sz="0" w:space="0" w:color="auto"/>
            <w:right w:val="none" w:sz="0" w:space="0" w:color="auto"/>
          </w:divBdr>
        </w:div>
        <w:div w:id="965743258">
          <w:marLeft w:val="0"/>
          <w:marRight w:val="0"/>
          <w:marTop w:val="0"/>
          <w:marBottom w:val="0"/>
          <w:divBdr>
            <w:top w:val="none" w:sz="0" w:space="0" w:color="auto"/>
            <w:left w:val="none" w:sz="0" w:space="0" w:color="auto"/>
            <w:bottom w:val="none" w:sz="0" w:space="0" w:color="auto"/>
            <w:right w:val="none" w:sz="0" w:space="0" w:color="auto"/>
          </w:divBdr>
        </w:div>
        <w:div w:id="966083776">
          <w:marLeft w:val="0"/>
          <w:marRight w:val="0"/>
          <w:marTop w:val="0"/>
          <w:marBottom w:val="0"/>
          <w:divBdr>
            <w:top w:val="none" w:sz="0" w:space="0" w:color="auto"/>
            <w:left w:val="none" w:sz="0" w:space="0" w:color="auto"/>
            <w:bottom w:val="none" w:sz="0" w:space="0" w:color="auto"/>
            <w:right w:val="none" w:sz="0" w:space="0" w:color="auto"/>
          </w:divBdr>
        </w:div>
        <w:div w:id="978458566">
          <w:marLeft w:val="0"/>
          <w:marRight w:val="0"/>
          <w:marTop w:val="0"/>
          <w:marBottom w:val="0"/>
          <w:divBdr>
            <w:top w:val="none" w:sz="0" w:space="0" w:color="auto"/>
            <w:left w:val="none" w:sz="0" w:space="0" w:color="auto"/>
            <w:bottom w:val="none" w:sz="0" w:space="0" w:color="auto"/>
            <w:right w:val="none" w:sz="0" w:space="0" w:color="auto"/>
          </w:divBdr>
        </w:div>
        <w:div w:id="997685781">
          <w:marLeft w:val="0"/>
          <w:marRight w:val="0"/>
          <w:marTop w:val="0"/>
          <w:marBottom w:val="0"/>
          <w:divBdr>
            <w:top w:val="none" w:sz="0" w:space="0" w:color="auto"/>
            <w:left w:val="none" w:sz="0" w:space="0" w:color="auto"/>
            <w:bottom w:val="none" w:sz="0" w:space="0" w:color="auto"/>
            <w:right w:val="none" w:sz="0" w:space="0" w:color="auto"/>
          </w:divBdr>
        </w:div>
        <w:div w:id="999389291">
          <w:marLeft w:val="0"/>
          <w:marRight w:val="0"/>
          <w:marTop w:val="0"/>
          <w:marBottom w:val="0"/>
          <w:divBdr>
            <w:top w:val="none" w:sz="0" w:space="0" w:color="auto"/>
            <w:left w:val="none" w:sz="0" w:space="0" w:color="auto"/>
            <w:bottom w:val="none" w:sz="0" w:space="0" w:color="auto"/>
            <w:right w:val="none" w:sz="0" w:space="0" w:color="auto"/>
          </w:divBdr>
        </w:div>
        <w:div w:id="1002244785">
          <w:marLeft w:val="0"/>
          <w:marRight w:val="0"/>
          <w:marTop w:val="0"/>
          <w:marBottom w:val="0"/>
          <w:divBdr>
            <w:top w:val="none" w:sz="0" w:space="0" w:color="auto"/>
            <w:left w:val="none" w:sz="0" w:space="0" w:color="auto"/>
            <w:bottom w:val="none" w:sz="0" w:space="0" w:color="auto"/>
            <w:right w:val="none" w:sz="0" w:space="0" w:color="auto"/>
          </w:divBdr>
        </w:div>
        <w:div w:id="1003119063">
          <w:marLeft w:val="0"/>
          <w:marRight w:val="0"/>
          <w:marTop w:val="0"/>
          <w:marBottom w:val="0"/>
          <w:divBdr>
            <w:top w:val="none" w:sz="0" w:space="0" w:color="auto"/>
            <w:left w:val="none" w:sz="0" w:space="0" w:color="auto"/>
            <w:bottom w:val="none" w:sz="0" w:space="0" w:color="auto"/>
            <w:right w:val="none" w:sz="0" w:space="0" w:color="auto"/>
          </w:divBdr>
        </w:div>
        <w:div w:id="1014915860">
          <w:marLeft w:val="0"/>
          <w:marRight w:val="0"/>
          <w:marTop w:val="0"/>
          <w:marBottom w:val="0"/>
          <w:divBdr>
            <w:top w:val="none" w:sz="0" w:space="0" w:color="auto"/>
            <w:left w:val="none" w:sz="0" w:space="0" w:color="auto"/>
            <w:bottom w:val="none" w:sz="0" w:space="0" w:color="auto"/>
            <w:right w:val="none" w:sz="0" w:space="0" w:color="auto"/>
          </w:divBdr>
        </w:div>
        <w:div w:id="1018779678">
          <w:marLeft w:val="0"/>
          <w:marRight w:val="0"/>
          <w:marTop w:val="0"/>
          <w:marBottom w:val="0"/>
          <w:divBdr>
            <w:top w:val="none" w:sz="0" w:space="0" w:color="auto"/>
            <w:left w:val="none" w:sz="0" w:space="0" w:color="auto"/>
            <w:bottom w:val="none" w:sz="0" w:space="0" w:color="auto"/>
            <w:right w:val="none" w:sz="0" w:space="0" w:color="auto"/>
          </w:divBdr>
        </w:div>
        <w:div w:id="1027635989">
          <w:marLeft w:val="0"/>
          <w:marRight w:val="0"/>
          <w:marTop w:val="0"/>
          <w:marBottom w:val="0"/>
          <w:divBdr>
            <w:top w:val="none" w:sz="0" w:space="0" w:color="auto"/>
            <w:left w:val="none" w:sz="0" w:space="0" w:color="auto"/>
            <w:bottom w:val="none" w:sz="0" w:space="0" w:color="auto"/>
            <w:right w:val="none" w:sz="0" w:space="0" w:color="auto"/>
          </w:divBdr>
        </w:div>
        <w:div w:id="1042482658">
          <w:marLeft w:val="0"/>
          <w:marRight w:val="0"/>
          <w:marTop w:val="0"/>
          <w:marBottom w:val="0"/>
          <w:divBdr>
            <w:top w:val="none" w:sz="0" w:space="0" w:color="auto"/>
            <w:left w:val="none" w:sz="0" w:space="0" w:color="auto"/>
            <w:bottom w:val="none" w:sz="0" w:space="0" w:color="auto"/>
            <w:right w:val="none" w:sz="0" w:space="0" w:color="auto"/>
          </w:divBdr>
        </w:div>
        <w:div w:id="1042679723">
          <w:marLeft w:val="0"/>
          <w:marRight w:val="0"/>
          <w:marTop w:val="0"/>
          <w:marBottom w:val="0"/>
          <w:divBdr>
            <w:top w:val="none" w:sz="0" w:space="0" w:color="auto"/>
            <w:left w:val="none" w:sz="0" w:space="0" w:color="auto"/>
            <w:bottom w:val="none" w:sz="0" w:space="0" w:color="auto"/>
            <w:right w:val="none" w:sz="0" w:space="0" w:color="auto"/>
          </w:divBdr>
        </w:div>
        <w:div w:id="1043939529">
          <w:marLeft w:val="0"/>
          <w:marRight w:val="0"/>
          <w:marTop w:val="0"/>
          <w:marBottom w:val="0"/>
          <w:divBdr>
            <w:top w:val="none" w:sz="0" w:space="0" w:color="auto"/>
            <w:left w:val="none" w:sz="0" w:space="0" w:color="auto"/>
            <w:bottom w:val="none" w:sz="0" w:space="0" w:color="auto"/>
            <w:right w:val="none" w:sz="0" w:space="0" w:color="auto"/>
          </w:divBdr>
        </w:div>
        <w:div w:id="1048410939">
          <w:marLeft w:val="0"/>
          <w:marRight w:val="0"/>
          <w:marTop w:val="0"/>
          <w:marBottom w:val="0"/>
          <w:divBdr>
            <w:top w:val="none" w:sz="0" w:space="0" w:color="auto"/>
            <w:left w:val="none" w:sz="0" w:space="0" w:color="auto"/>
            <w:bottom w:val="none" w:sz="0" w:space="0" w:color="auto"/>
            <w:right w:val="none" w:sz="0" w:space="0" w:color="auto"/>
          </w:divBdr>
        </w:div>
        <w:div w:id="1049840660">
          <w:marLeft w:val="0"/>
          <w:marRight w:val="0"/>
          <w:marTop w:val="0"/>
          <w:marBottom w:val="0"/>
          <w:divBdr>
            <w:top w:val="none" w:sz="0" w:space="0" w:color="auto"/>
            <w:left w:val="none" w:sz="0" w:space="0" w:color="auto"/>
            <w:bottom w:val="none" w:sz="0" w:space="0" w:color="auto"/>
            <w:right w:val="none" w:sz="0" w:space="0" w:color="auto"/>
          </w:divBdr>
        </w:div>
        <w:div w:id="1052848893">
          <w:marLeft w:val="0"/>
          <w:marRight w:val="0"/>
          <w:marTop w:val="0"/>
          <w:marBottom w:val="0"/>
          <w:divBdr>
            <w:top w:val="none" w:sz="0" w:space="0" w:color="auto"/>
            <w:left w:val="none" w:sz="0" w:space="0" w:color="auto"/>
            <w:bottom w:val="none" w:sz="0" w:space="0" w:color="auto"/>
            <w:right w:val="none" w:sz="0" w:space="0" w:color="auto"/>
          </w:divBdr>
        </w:div>
        <w:div w:id="1056079532">
          <w:marLeft w:val="0"/>
          <w:marRight w:val="0"/>
          <w:marTop w:val="0"/>
          <w:marBottom w:val="0"/>
          <w:divBdr>
            <w:top w:val="none" w:sz="0" w:space="0" w:color="auto"/>
            <w:left w:val="none" w:sz="0" w:space="0" w:color="auto"/>
            <w:bottom w:val="none" w:sz="0" w:space="0" w:color="auto"/>
            <w:right w:val="none" w:sz="0" w:space="0" w:color="auto"/>
          </w:divBdr>
        </w:div>
        <w:div w:id="1065838518">
          <w:marLeft w:val="0"/>
          <w:marRight w:val="0"/>
          <w:marTop w:val="0"/>
          <w:marBottom w:val="0"/>
          <w:divBdr>
            <w:top w:val="none" w:sz="0" w:space="0" w:color="auto"/>
            <w:left w:val="none" w:sz="0" w:space="0" w:color="auto"/>
            <w:bottom w:val="none" w:sz="0" w:space="0" w:color="auto"/>
            <w:right w:val="none" w:sz="0" w:space="0" w:color="auto"/>
          </w:divBdr>
        </w:div>
        <w:div w:id="1066800303">
          <w:marLeft w:val="0"/>
          <w:marRight w:val="0"/>
          <w:marTop w:val="0"/>
          <w:marBottom w:val="0"/>
          <w:divBdr>
            <w:top w:val="none" w:sz="0" w:space="0" w:color="auto"/>
            <w:left w:val="none" w:sz="0" w:space="0" w:color="auto"/>
            <w:bottom w:val="none" w:sz="0" w:space="0" w:color="auto"/>
            <w:right w:val="none" w:sz="0" w:space="0" w:color="auto"/>
          </w:divBdr>
        </w:div>
        <w:div w:id="1075592896">
          <w:marLeft w:val="0"/>
          <w:marRight w:val="0"/>
          <w:marTop w:val="0"/>
          <w:marBottom w:val="0"/>
          <w:divBdr>
            <w:top w:val="none" w:sz="0" w:space="0" w:color="auto"/>
            <w:left w:val="none" w:sz="0" w:space="0" w:color="auto"/>
            <w:bottom w:val="none" w:sz="0" w:space="0" w:color="auto"/>
            <w:right w:val="none" w:sz="0" w:space="0" w:color="auto"/>
          </w:divBdr>
        </w:div>
        <w:div w:id="1085688014">
          <w:marLeft w:val="0"/>
          <w:marRight w:val="0"/>
          <w:marTop w:val="0"/>
          <w:marBottom w:val="0"/>
          <w:divBdr>
            <w:top w:val="none" w:sz="0" w:space="0" w:color="auto"/>
            <w:left w:val="none" w:sz="0" w:space="0" w:color="auto"/>
            <w:bottom w:val="none" w:sz="0" w:space="0" w:color="auto"/>
            <w:right w:val="none" w:sz="0" w:space="0" w:color="auto"/>
          </w:divBdr>
        </w:div>
        <w:div w:id="1086026984">
          <w:marLeft w:val="0"/>
          <w:marRight w:val="0"/>
          <w:marTop w:val="0"/>
          <w:marBottom w:val="0"/>
          <w:divBdr>
            <w:top w:val="none" w:sz="0" w:space="0" w:color="auto"/>
            <w:left w:val="none" w:sz="0" w:space="0" w:color="auto"/>
            <w:bottom w:val="none" w:sz="0" w:space="0" w:color="auto"/>
            <w:right w:val="none" w:sz="0" w:space="0" w:color="auto"/>
          </w:divBdr>
        </w:div>
        <w:div w:id="1090541916">
          <w:marLeft w:val="0"/>
          <w:marRight w:val="0"/>
          <w:marTop w:val="0"/>
          <w:marBottom w:val="0"/>
          <w:divBdr>
            <w:top w:val="none" w:sz="0" w:space="0" w:color="auto"/>
            <w:left w:val="none" w:sz="0" w:space="0" w:color="auto"/>
            <w:bottom w:val="none" w:sz="0" w:space="0" w:color="auto"/>
            <w:right w:val="none" w:sz="0" w:space="0" w:color="auto"/>
          </w:divBdr>
        </w:div>
        <w:div w:id="1108700542">
          <w:marLeft w:val="0"/>
          <w:marRight w:val="0"/>
          <w:marTop w:val="0"/>
          <w:marBottom w:val="0"/>
          <w:divBdr>
            <w:top w:val="none" w:sz="0" w:space="0" w:color="auto"/>
            <w:left w:val="none" w:sz="0" w:space="0" w:color="auto"/>
            <w:bottom w:val="none" w:sz="0" w:space="0" w:color="auto"/>
            <w:right w:val="none" w:sz="0" w:space="0" w:color="auto"/>
          </w:divBdr>
        </w:div>
        <w:div w:id="1112940348">
          <w:marLeft w:val="0"/>
          <w:marRight w:val="0"/>
          <w:marTop w:val="0"/>
          <w:marBottom w:val="0"/>
          <w:divBdr>
            <w:top w:val="none" w:sz="0" w:space="0" w:color="auto"/>
            <w:left w:val="none" w:sz="0" w:space="0" w:color="auto"/>
            <w:bottom w:val="none" w:sz="0" w:space="0" w:color="auto"/>
            <w:right w:val="none" w:sz="0" w:space="0" w:color="auto"/>
          </w:divBdr>
        </w:div>
        <w:div w:id="1113407080">
          <w:marLeft w:val="0"/>
          <w:marRight w:val="0"/>
          <w:marTop w:val="0"/>
          <w:marBottom w:val="0"/>
          <w:divBdr>
            <w:top w:val="none" w:sz="0" w:space="0" w:color="auto"/>
            <w:left w:val="none" w:sz="0" w:space="0" w:color="auto"/>
            <w:bottom w:val="none" w:sz="0" w:space="0" w:color="auto"/>
            <w:right w:val="none" w:sz="0" w:space="0" w:color="auto"/>
          </w:divBdr>
        </w:div>
        <w:div w:id="1116024987">
          <w:marLeft w:val="0"/>
          <w:marRight w:val="0"/>
          <w:marTop w:val="0"/>
          <w:marBottom w:val="0"/>
          <w:divBdr>
            <w:top w:val="none" w:sz="0" w:space="0" w:color="auto"/>
            <w:left w:val="none" w:sz="0" w:space="0" w:color="auto"/>
            <w:bottom w:val="none" w:sz="0" w:space="0" w:color="auto"/>
            <w:right w:val="none" w:sz="0" w:space="0" w:color="auto"/>
          </w:divBdr>
        </w:div>
        <w:div w:id="1124422992">
          <w:marLeft w:val="0"/>
          <w:marRight w:val="0"/>
          <w:marTop w:val="0"/>
          <w:marBottom w:val="0"/>
          <w:divBdr>
            <w:top w:val="none" w:sz="0" w:space="0" w:color="auto"/>
            <w:left w:val="none" w:sz="0" w:space="0" w:color="auto"/>
            <w:bottom w:val="none" w:sz="0" w:space="0" w:color="auto"/>
            <w:right w:val="none" w:sz="0" w:space="0" w:color="auto"/>
          </w:divBdr>
        </w:div>
        <w:div w:id="1129663182">
          <w:marLeft w:val="0"/>
          <w:marRight w:val="0"/>
          <w:marTop w:val="0"/>
          <w:marBottom w:val="0"/>
          <w:divBdr>
            <w:top w:val="none" w:sz="0" w:space="0" w:color="auto"/>
            <w:left w:val="none" w:sz="0" w:space="0" w:color="auto"/>
            <w:bottom w:val="none" w:sz="0" w:space="0" w:color="auto"/>
            <w:right w:val="none" w:sz="0" w:space="0" w:color="auto"/>
          </w:divBdr>
        </w:div>
        <w:div w:id="1145775805">
          <w:marLeft w:val="0"/>
          <w:marRight w:val="0"/>
          <w:marTop w:val="0"/>
          <w:marBottom w:val="0"/>
          <w:divBdr>
            <w:top w:val="none" w:sz="0" w:space="0" w:color="auto"/>
            <w:left w:val="none" w:sz="0" w:space="0" w:color="auto"/>
            <w:bottom w:val="none" w:sz="0" w:space="0" w:color="auto"/>
            <w:right w:val="none" w:sz="0" w:space="0" w:color="auto"/>
          </w:divBdr>
        </w:div>
        <w:div w:id="1146168353">
          <w:marLeft w:val="0"/>
          <w:marRight w:val="0"/>
          <w:marTop w:val="0"/>
          <w:marBottom w:val="0"/>
          <w:divBdr>
            <w:top w:val="none" w:sz="0" w:space="0" w:color="auto"/>
            <w:left w:val="none" w:sz="0" w:space="0" w:color="auto"/>
            <w:bottom w:val="none" w:sz="0" w:space="0" w:color="auto"/>
            <w:right w:val="none" w:sz="0" w:space="0" w:color="auto"/>
          </w:divBdr>
        </w:div>
        <w:div w:id="1146313991">
          <w:marLeft w:val="0"/>
          <w:marRight w:val="0"/>
          <w:marTop w:val="0"/>
          <w:marBottom w:val="0"/>
          <w:divBdr>
            <w:top w:val="none" w:sz="0" w:space="0" w:color="auto"/>
            <w:left w:val="none" w:sz="0" w:space="0" w:color="auto"/>
            <w:bottom w:val="none" w:sz="0" w:space="0" w:color="auto"/>
            <w:right w:val="none" w:sz="0" w:space="0" w:color="auto"/>
          </w:divBdr>
        </w:div>
        <w:div w:id="1147551616">
          <w:marLeft w:val="0"/>
          <w:marRight w:val="0"/>
          <w:marTop w:val="0"/>
          <w:marBottom w:val="0"/>
          <w:divBdr>
            <w:top w:val="none" w:sz="0" w:space="0" w:color="auto"/>
            <w:left w:val="none" w:sz="0" w:space="0" w:color="auto"/>
            <w:bottom w:val="none" w:sz="0" w:space="0" w:color="auto"/>
            <w:right w:val="none" w:sz="0" w:space="0" w:color="auto"/>
          </w:divBdr>
        </w:div>
        <w:div w:id="1152867579">
          <w:marLeft w:val="0"/>
          <w:marRight w:val="0"/>
          <w:marTop w:val="0"/>
          <w:marBottom w:val="0"/>
          <w:divBdr>
            <w:top w:val="none" w:sz="0" w:space="0" w:color="auto"/>
            <w:left w:val="none" w:sz="0" w:space="0" w:color="auto"/>
            <w:bottom w:val="none" w:sz="0" w:space="0" w:color="auto"/>
            <w:right w:val="none" w:sz="0" w:space="0" w:color="auto"/>
          </w:divBdr>
        </w:div>
        <w:div w:id="1159922924">
          <w:marLeft w:val="0"/>
          <w:marRight w:val="0"/>
          <w:marTop w:val="0"/>
          <w:marBottom w:val="0"/>
          <w:divBdr>
            <w:top w:val="none" w:sz="0" w:space="0" w:color="auto"/>
            <w:left w:val="none" w:sz="0" w:space="0" w:color="auto"/>
            <w:bottom w:val="none" w:sz="0" w:space="0" w:color="auto"/>
            <w:right w:val="none" w:sz="0" w:space="0" w:color="auto"/>
          </w:divBdr>
        </w:div>
        <w:div w:id="1160660134">
          <w:marLeft w:val="0"/>
          <w:marRight w:val="0"/>
          <w:marTop w:val="0"/>
          <w:marBottom w:val="0"/>
          <w:divBdr>
            <w:top w:val="none" w:sz="0" w:space="0" w:color="auto"/>
            <w:left w:val="none" w:sz="0" w:space="0" w:color="auto"/>
            <w:bottom w:val="none" w:sz="0" w:space="0" w:color="auto"/>
            <w:right w:val="none" w:sz="0" w:space="0" w:color="auto"/>
          </w:divBdr>
        </w:div>
        <w:div w:id="1162695260">
          <w:marLeft w:val="0"/>
          <w:marRight w:val="0"/>
          <w:marTop w:val="0"/>
          <w:marBottom w:val="0"/>
          <w:divBdr>
            <w:top w:val="none" w:sz="0" w:space="0" w:color="auto"/>
            <w:left w:val="none" w:sz="0" w:space="0" w:color="auto"/>
            <w:bottom w:val="none" w:sz="0" w:space="0" w:color="auto"/>
            <w:right w:val="none" w:sz="0" w:space="0" w:color="auto"/>
          </w:divBdr>
        </w:div>
        <w:div w:id="1166556925">
          <w:marLeft w:val="0"/>
          <w:marRight w:val="0"/>
          <w:marTop w:val="0"/>
          <w:marBottom w:val="0"/>
          <w:divBdr>
            <w:top w:val="none" w:sz="0" w:space="0" w:color="auto"/>
            <w:left w:val="none" w:sz="0" w:space="0" w:color="auto"/>
            <w:bottom w:val="none" w:sz="0" w:space="0" w:color="auto"/>
            <w:right w:val="none" w:sz="0" w:space="0" w:color="auto"/>
          </w:divBdr>
        </w:div>
        <w:div w:id="1174999513">
          <w:marLeft w:val="0"/>
          <w:marRight w:val="0"/>
          <w:marTop w:val="0"/>
          <w:marBottom w:val="0"/>
          <w:divBdr>
            <w:top w:val="none" w:sz="0" w:space="0" w:color="auto"/>
            <w:left w:val="none" w:sz="0" w:space="0" w:color="auto"/>
            <w:bottom w:val="none" w:sz="0" w:space="0" w:color="auto"/>
            <w:right w:val="none" w:sz="0" w:space="0" w:color="auto"/>
          </w:divBdr>
        </w:div>
        <w:div w:id="1184633532">
          <w:marLeft w:val="0"/>
          <w:marRight w:val="0"/>
          <w:marTop w:val="0"/>
          <w:marBottom w:val="0"/>
          <w:divBdr>
            <w:top w:val="none" w:sz="0" w:space="0" w:color="auto"/>
            <w:left w:val="none" w:sz="0" w:space="0" w:color="auto"/>
            <w:bottom w:val="none" w:sz="0" w:space="0" w:color="auto"/>
            <w:right w:val="none" w:sz="0" w:space="0" w:color="auto"/>
          </w:divBdr>
        </w:div>
        <w:div w:id="1185630955">
          <w:marLeft w:val="0"/>
          <w:marRight w:val="0"/>
          <w:marTop w:val="0"/>
          <w:marBottom w:val="0"/>
          <w:divBdr>
            <w:top w:val="none" w:sz="0" w:space="0" w:color="auto"/>
            <w:left w:val="none" w:sz="0" w:space="0" w:color="auto"/>
            <w:bottom w:val="none" w:sz="0" w:space="0" w:color="auto"/>
            <w:right w:val="none" w:sz="0" w:space="0" w:color="auto"/>
          </w:divBdr>
        </w:div>
        <w:div w:id="1194460891">
          <w:marLeft w:val="0"/>
          <w:marRight w:val="0"/>
          <w:marTop w:val="0"/>
          <w:marBottom w:val="0"/>
          <w:divBdr>
            <w:top w:val="none" w:sz="0" w:space="0" w:color="auto"/>
            <w:left w:val="none" w:sz="0" w:space="0" w:color="auto"/>
            <w:bottom w:val="none" w:sz="0" w:space="0" w:color="auto"/>
            <w:right w:val="none" w:sz="0" w:space="0" w:color="auto"/>
          </w:divBdr>
        </w:div>
        <w:div w:id="1196651785">
          <w:marLeft w:val="0"/>
          <w:marRight w:val="0"/>
          <w:marTop w:val="0"/>
          <w:marBottom w:val="0"/>
          <w:divBdr>
            <w:top w:val="none" w:sz="0" w:space="0" w:color="auto"/>
            <w:left w:val="none" w:sz="0" w:space="0" w:color="auto"/>
            <w:bottom w:val="none" w:sz="0" w:space="0" w:color="auto"/>
            <w:right w:val="none" w:sz="0" w:space="0" w:color="auto"/>
          </w:divBdr>
        </w:div>
        <w:div w:id="1200170377">
          <w:marLeft w:val="0"/>
          <w:marRight w:val="0"/>
          <w:marTop w:val="0"/>
          <w:marBottom w:val="0"/>
          <w:divBdr>
            <w:top w:val="none" w:sz="0" w:space="0" w:color="auto"/>
            <w:left w:val="none" w:sz="0" w:space="0" w:color="auto"/>
            <w:bottom w:val="none" w:sz="0" w:space="0" w:color="auto"/>
            <w:right w:val="none" w:sz="0" w:space="0" w:color="auto"/>
          </w:divBdr>
        </w:div>
        <w:div w:id="1206062243">
          <w:marLeft w:val="0"/>
          <w:marRight w:val="0"/>
          <w:marTop w:val="0"/>
          <w:marBottom w:val="0"/>
          <w:divBdr>
            <w:top w:val="none" w:sz="0" w:space="0" w:color="auto"/>
            <w:left w:val="none" w:sz="0" w:space="0" w:color="auto"/>
            <w:bottom w:val="none" w:sz="0" w:space="0" w:color="auto"/>
            <w:right w:val="none" w:sz="0" w:space="0" w:color="auto"/>
          </w:divBdr>
        </w:div>
        <w:div w:id="1212420927">
          <w:marLeft w:val="0"/>
          <w:marRight w:val="0"/>
          <w:marTop w:val="0"/>
          <w:marBottom w:val="0"/>
          <w:divBdr>
            <w:top w:val="none" w:sz="0" w:space="0" w:color="auto"/>
            <w:left w:val="none" w:sz="0" w:space="0" w:color="auto"/>
            <w:bottom w:val="none" w:sz="0" w:space="0" w:color="auto"/>
            <w:right w:val="none" w:sz="0" w:space="0" w:color="auto"/>
          </w:divBdr>
        </w:div>
        <w:div w:id="1213886272">
          <w:marLeft w:val="0"/>
          <w:marRight w:val="0"/>
          <w:marTop w:val="0"/>
          <w:marBottom w:val="0"/>
          <w:divBdr>
            <w:top w:val="none" w:sz="0" w:space="0" w:color="auto"/>
            <w:left w:val="none" w:sz="0" w:space="0" w:color="auto"/>
            <w:bottom w:val="none" w:sz="0" w:space="0" w:color="auto"/>
            <w:right w:val="none" w:sz="0" w:space="0" w:color="auto"/>
          </w:divBdr>
        </w:div>
        <w:div w:id="1221861584">
          <w:marLeft w:val="0"/>
          <w:marRight w:val="0"/>
          <w:marTop w:val="0"/>
          <w:marBottom w:val="0"/>
          <w:divBdr>
            <w:top w:val="none" w:sz="0" w:space="0" w:color="auto"/>
            <w:left w:val="none" w:sz="0" w:space="0" w:color="auto"/>
            <w:bottom w:val="none" w:sz="0" w:space="0" w:color="auto"/>
            <w:right w:val="none" w:sz="0" w:space="0" w:color="auto"/>
          </w:divBdr>
        </w:div>
        <w:div w:id="1221867332">
          <w:marLeft w:val="0"/>
          <w:marRight w:val="0"/>
          <w:marTop w:val="0"/>
          <w:marBottom w:val="0"/>
          <w:divBdr>
            <w:top w:val="none" w:sz="0" w:space="0" w:color="auto"/>
            <w:left w:val="none" w:sz="0" w:space="0" w:color="auto"/>
            <w:bottom w:val="none" w:sz="0" w:space="0" w:color="auto"/>
            <w:right w:val="none" w:sz="0" w:space="0" w:color="auto"/>
          </w:divBdr>
        </w:div>
        <w:div w:id="1223828196">
          <w:marLeft w:val="0"/>
          <w:marRight w:val="0"/>
          <w:marTop w:val="0"/>
          <w:marBottom w:val="0"/>
          <w:divBdr>
            <w:top w:val="none" w:sz="0" w:space="0" w:color="auto"/>
            <w:left w:val="none" w:sz="0" w:space="0" w:color="auto"/>
            <w:bottom w:val="none" w:sz="0" w:space="0" w:color="auto"/>
            <w:right w:val="none" w:sz="0" w:space="0" w:color="auto"/>
          </w:divBdr>
        </w:div>
        <w:div w:id="1231572668">
          <w:marLeft w:val="0"/>
          <w:marRight w:val="0"/>
          <w:marTop w:val="0"/>
          <w:marBottom w:val="0"/>
          <w:divBdr>
            <w:top w:val="none" w:sz="0" w:space="0" w:color="auto"/>
            <w:left w:val="none" w:sz="0" w:space="0" w:color="auto"/>
            <w:bottom w:val="none" w:sz="0" w:space="0" w:color="auto"/>
            <w:right w:val="none" w:sz="0" w:space="0" w:color="auto"/>
          </w:divBdr>
        </w:div>
        <w:div w:id="1236359155">
          <w:marLeft w:val="0"/>
          <w:marRight w:val="0"/>
          <w:marTop w:val="0"/>
          <w:marBottom w:val="0"/>
          <w:divBdr>
            <w:top w:val="none" w:sz="0" w:space="0" w:color="auto"/>
            <w:left w:val="none" w:sz="0" w:space="0" w:color="auto"/>
            <w:bottom w:val="none" w:sz="0" w:space="0" w:color="auto"/>
            <w:right w:val="none" w:sz="0" w:space="0" w:color="auto"/>
          </w:divBdr>
        </w:div>
        <w:div w:id="1238322789">
          <w:marLeft w:val="0"/>
          <w:marRight w:val="0"/>
          <w:marTop w:val="0"/>
          <w:marBottom w:val="0"/>
          <w:divBdr>
            <w:top w:val="none" w:sz="0" w:space="0" w:color="auto"/>
            <w:left w:val="none" w:sz="0" w:space="0" w:color="auto"/>
            <w:bottom w:val="none" w:sz="0" w:space="0" w:color="auto"/>
            <w:right w:val="none" w:sz="0" w:space="0" w:color="auto"/>
          </w:divBdr>
        </w:div>
        <w:div w:id="1239512011">
          <w:marLeft w:val="0"/>
          <w:marRight w:val="0"/>
          <w:marTop w:val="0"/>
          <w:marBottom w:val="0"/>
          <w:divBdr>
            <w:top w:val="none" w:sz="0" w:space="0" w:color="auto"/>
            <w:left w:val="none" w:sz="0" w:space="0" w:color="auto"/>
            <w:bottom w:val="none" w:sz="0" w:space="0" w:color="auto"/>
            <w:right w:val="none" w:sz="0" w:space="0" w:color="auto"/>
          </w:divBdr>
        </w:div>
        <w:div w:id="1242985545">
          <w:marLeft w:val="0"/>
          <w:marRight w:val="0"/>
          <w:marTop w:val="0"/>
          <w:marBottom w:val="0"/>
          <w:divBdr>
            <w:top w:val="none" w:sz="0" w:space="0" w:color="auto"/>
            <w:left w:val="none" w:sz="0" w:space="0" w:color="auto"/>
            <w:bottom w:val="none" w:sz="0" w:space="0" w:color="auto"/>
            <w:right w:val="none" w:sz="0" w:space="0" w:color="auto"/>
          </w:divBdr>
        </w:div>
        <w:div w:id="1244492314">
          <w:marLeft w:val="0"/>
          <w:marRight w:val="0"/>
          <w:marTop w:val="0"/>
          <w:marBottom w:val="0"/>
          <w:divBdr>
            <w:top w:val="none" w:sz="0" w:space="0" w:color="auto"/>
            <w:left w:val="none" w:sz="0" w:space="0" w:color="auto"/>
            <w:bottom w:val="none" w:sz="0" w:space="0" w:color="auto"/>
            <w:right w:val="none" w:sz="0" w:space="0" w:color="auto"/>
          </w:divBdr>
        </w:div>
        <w:div w:id="1244880341">
          <w:marLeft w:val="0"/>
          <w:marRight w:val="0"/>
          <w:marTop w:val="0"/>
          <w:marBottom w:val="0"/>
          <w:divBdr>
            <w:top w:val="none" w:sz="0" w:space="0" w:color="auto"/>
            <w:left w:val="none" w:sz="0" w:space="0" w:color="auto"/>
            <w:bottom w:val="none" w:sz="0" w:space="0" w:color="auto"/>
            <w:right w:val="none" w:sz="0" w:space="0" w:color="auto"/>
          </w:divBdr>
        </w:div>
        <w:div w:id="1246109382">
          <w:marLeft w:val="0"/>
          <w:marRight w:val="0"/>
          <w:marTop w:val="0"/>
          <w:marBottom w:val="0"/>
          <w:divBdr>
            <w:top w:val="none" w:sz="0" w:space="0" w:color="auto"/>
            <w:left w:val="none" w:sz="0" w:space="0" w:color="auto"/>
            <w:bottom w:val="none" w:sz="0" w:space="0" w:color="auto"/>
            <w:right w:val="none" w:sz="0" w:space="0" w:color="auto"/>
          </w:divBdr>
        </w:div>
        <w:div w:id="1250308428">
          <w:marLeft w:val="0"/>
          <w:marRight w:val="0"/>
          <w:marTop w:val="0"/>
          <w:marBottom w:val="0"/>
          <w:divBdr>
            <w:top w:val="none" w:sz="0" w:space="0" w:color="auto"/>
            <w:left w:val="none" w:sz="0" w:space="0" w:color="auto"/>
            <w:bottom w:val="none" w:sz="0" w:space="0" w:color="auto"/>
            <w:right w:val="none" w:sz="0" w:space="0" w:color="auto"/>
          </w:divBdr>
        </w:div>
        <w:div w:id="1250653657">
          <w:marLeft w:val="0"/>
          <w:marRight w:val="0"/>
          <w:marTop w:val="0"/>
          <w:marBottom w:val="0"/>
          <w:divBdr>
            <w:top w:val="none" w:sz="0" w:space="0" w:color="auto"/>
            <w:left w:val="none" w:sz="0" w:space="0" w:color="auto"/>
            <w:bottom w:val="none" w:sz="0" w:space="0" w:color="auto"/>
            <w:right w:val="none" w:sz="0" w:space="0" w:color="auto"/>
          </w:divBdr>
        </w:div>
        <w:div w:id="1253276541">
          <w:marLeft w:val="0"/>
          <w:marRight w:val="0"/>
          <w:marTop w:val="0"/>
          <w:marBottom w:val="0"/>
          <w:divBdr>
            <w:top w:val="none" w:sz="0" w:space="0" w:color="auto"/>
            <w:left w:val="none" w:sz="0" w:space="0" w:color="auto"/>
            <w:bottom w:val="none" w:sz="0" w:space="0" w:color="auto"/>
            <w:right w:val="none" w:sz="0" w:space="0" w:color="auto"/>
          </w:divBdr>
        </w:div>
        <w:div w:id="1255631390">
          <w:marLeft w:val="0"/>
          <w:marRight w:val="0"/>
          <w:marTop w:val="0"/>
          <w:marBottom w:val="0"/>
          <w:divBdr>
            <w:top w:val="none" w:sz="0" w:space="0" w:color="auto"/>
            <w:left w:val="none" w:sz="0" w:space="0" w:color="auto"/>
            <w:bottom w:val="none" w:sz="0" w:space="0" w:color="auto"/>
            <w:right w:val="none" w:sz="0" w:space="0" w:color="auto"/>
          </w:divBdr>
        </w:div>
        <w:div w:id="1258060990">
          <w:marLeft w:val="0"/>
          <w:marRight w:val="0"/>
          <w:marTop w:val="0"/>
          <w:marBottom w:val="0"/>
          <w:divBdr>
            <w:top w:val="none" w:sz="0" w:space="0" w:color="auto"/>
            <w:left w:val="none" w:sz="0" w:space="0" w:color="auto"/>
            <w:bottom w:val="none" w:sz="0" w:space="0" w:color="auto"/>
            <w:right w:val="none" w:sz="0" w:space="0" w:color="auto"/>
          </w:divBdr>
        </w:div>
        <w:div w:id="1258828121">
          <w:marLeft w:val="0"/>
          <w:marRight w:val="0"/>
          <w:marTop w:val="0"/>
          <w:marBottom w:val="0"/>
          <w:divBdr>
            <w:top w:val="none" w:sz="0" w:space="0" w:color="auto"/>
            <w:left w:val="none" w:sz="0" w:space="0" w:color="auto"/>
            <w:bottom w:val="none" w:sz="0" w:space="0" w:color="auto"/>
            <w:right w:val="none" w:sz="0" w:space="0" w:color="auto"/>
          </w:divBdr>
        </w:div>
        <w:div w:id="1263731242">
          <w:marLeft w:val="0"/>
          <w:marRight w:val="0"/>
          <w:marTop w:val="0"/>
          <w:marBottom w:val="0"/>
          <w:divBdr>
            <w:top w:val="none" w:sz="0" w:space="0" w:color="auto"/>
            <w:left w:val="none" w:sz="0" w:space="0" w:color="auto"/>
            <w:bottom w:val="none" w:sz="0" w:space="0" w:color="auto"/>
            <w:right w:val="none" w:sz="0" w:space="0" w:color="auto"/>
          </w:divBdr>
        </w:div>
        <w:div w:id="1266888436">
          <w:marLeft w:val="0"/>
          <w:marRight w:val="0"/>
          <w:marTop w:val="0"/>
          <w:marBottom w:val="0"/>
          <w:divBdr>
            <w:top w:val="none" w:sz="0" w:space="0" w:color="auto"/>
            <w:left w:val="none" w:sz="0" w:space="0" w:color="auto"/>
            <w:bottom w:val="none" w:sz="0" w:space="0" w:color="auto"/>
            <w:right w:val="none" w:sz="0" w:space="0" w:color="auto"/>
          </w:divBdr>
        </w:div>
        <w:div w:id="1273783964">
          <w:marLeft w:val="0"/>
          <w:marRight w:val="0"/>
          <w:marTop w:val="0"/>
          <w:marBottom w:val="0"/>
          <w:divBdr>
            <w:top w:val="none" w:sz="0" w:space="0" w:color="auto"/>
            <w:left w:val="none" w:sz="0" w:space="0" w:color="auto"/>
            <w:bottom w:val="none" w:sz="0" w:space="0" w:color="auto"/>
            <w:right w:val="none" w:sz="0" w:space="0" w:color="auto"/>
          </w:divBdr>
        </w:div>
        <w:div w:id="1289118853">
          <w:marLeft w:val="0"/>
          <w:marRight w:val="0"/>
          <w:marTop w:val="0"/>
          <w:marBottom w:val="0"/>
          <w:divBdr>
            <w:top w:val="none" w:sz="0" w:space="0" w:color="auto"/>
            <w:left w:val="none" w:sz="0" w:space="0" w:color="auto"/>
            <w:bottom w:val="none" w:sz="0" w:space="0" w:color="auto"/>
            <w:right w:val="none" w:sz="0" w:space="0" w:color="auto"/>
          </w:divBdr>
        </w:div>
        <w:div w:id="1292437556">
          <w:marLeft w:val="0"/>
          <w:marRight w:val="0"/>
          <w:marTop w:val="0"/>
          <w:marBottom w:val="0"/>
          <w:divBdr>
            <w:top w:val="none" w:sz="0" w:space="0" w:color="auto"/>
            <w:left w:val="none" w:sz="0" w:space="0" w:color="auto"/>
            <w:bottom w:val="none" w:sz="0" w:space="0" w:color="auto"/>
            <w:right w:val="none" w:sz="0" w:space="0" w:color="auto"/>
          </w:divBdr>
        </w:div>
        <w:div w:id="1292634953">
          <w:marLeft w:val="0"/>
          <w:marRight w:val="0"/>
          <w:marTop w:val="0"/>
          <w:marBottom w:val="0"/>
          <w:divBdr>
            <w:top w:val="none" w:sz="0" w:space="0" w:color="auto"/>
            <w:left w:val="none" w:sz="0" w:space="0" w:color="auto"/>
            <w:bottom w:val="none" w:sz="0" w:space="0" w:color="auto"/>
            <w:right w:val="none" w:sz="0" w:space="0" w:color="auto"/>
          </w:divBdr>
        </w:div>
        <w:div w:id="1308777119">
          <w:marLeft w:val="0"/>
          <w:marRight w:val="0"/>
          <w:marTop w:val="0"/>
          <w:marBottom w:val="0"/>
          <w:divBdr>
            <w:top w:val="none" w:sz="0" w:space="0" w:color="auto"/>
            <w:left w:val="none" w:sz="0" w:space="0" w:color="auto"/>
            <w:bottom w:val="none" w:sz="0" w:space="0" w:color="auto"/>
            <w:right w:val="none" w:sz="0" w:space="0" w:color="auto"/>
          </w:divBdr>
        </w:div>
        <w:div w:id="1309631035">
          <w:marLeft w:val="0"/>
          <w:marRight w:val="0"/>
          <w:marTop w:val="0"/>
          <w:marBottom w:val="0"/>
          <w:divBdr>
            <w:top w:val="none" w:sz="0" w:space="0" w:color="auto"/>
            <w:left w:val="none" w:sz="0" w:space="0" w:color="auto"/>
            <w:bottom w:val="none" w:sz="0" w:space="0" w:color="auto"/>
            <w:right w:val="none" w:sz="0" w:space="0" w:color="auto"/>
          </w:divBdr>
        </w:div>
        <w:div w:id="1328288519">
          <w:marLeft w:val="0"/>
          <w:marRight w:val="0"/>
          <w:marTop w:val="0"/>
          <w:marBottom w:val="0"/>
          <w:divBdr>
            <w:top w:val="none" w:sz="0" w:space="0" w:color="auto"/>
            <w:left w:val="none" w:sz="0" w:space="0" w:color="auto"/>
            <w:bottom w:val="none" w:sz="0" w:space="0" w:color="auto"/>
            <w:right w:val="none" w:sz="0" w:space="0" w:color="auto"/>
          </w:divBdr>
        </w:div>
        <w:div w:id="1334838585">
          <w:marLeft w:val="0"/>
          <w:marRight w:val="0"/>
          <w:marTop w:val="0"/>
          <w:marBottom w:val="0"/>
          <w:divBdr>
            <w:top w:val="none" w:sz="0" w:space="0" w:color="auto"/>
            <w:left w:val="none" w:sz="0" w:space="0" w:color="auto"/>
            <w:bottom w:val="none" w:sz="0" w:space="0" w:color="auto"/>
            <w:right w:val="none" w:sz="0" w:space="0" w:color="auto"/>
          </w:divBdr>
        </w:div>
        <w:div w:id="1354652895">
          <w:marLeft w:val="0"/>
          <w:marRight w:val="0"/>
          <w:marTop w:val="0"/>
          <w:marBottom w:val="0"/>
          <w:divBdr>
            <w:top w:val="none" w:sz="0" w:space="0" w:color="auto"/>
            <w:left w:val="none" w:sz="0" w:space="0" w:color="auto"/>
            <w:bottom w:val="none" w:sz="0" w:space="0" w:color="auto"/>
            <w:right w:val="none" w:sz="0" w:space="0" w:color="auto"/>
          </w:divBdr>
        </w:div>
        <w:div w:id="1357736796">
          <w:marLeft w:val="0"/>
          <w:marRight w:val="0"/>
          <w:marTop w:val="0"/>
          <w:marBottom w:val="0"/>
          <w:divBdr>
            <w:top w:val="none" w:sz="0" w:space="0" w:color="auto"/>
            <w:left w:val="none" w:sz="0" w:space="0" w:color="auto"/>
            <w:bottom w:val="none" w:sz="0" w:space="0" w:color="auto"/>
            <w:right w:val="none" w:sz="0" w:space="0" w:color="auto"/>
          </w:divBdr>
        </w:div>
        <w:div w:id="1363018990">
          <w:marLeft w:val="0"/>
          <w:marRight w:val="0"/>
          <w:marTop w:val="0"/>
          <w:marBottom w:val="0"/>
          <w:divBdr>
            <w:top w:val="none" w:sz="0" w:space="0" w:color="auto"/>
            <w:left w:val="none" w:sz="0" w:space="0" w:color="auto"/>
            <w:bottom w:val="none" w:sz="0" w:space="0" w:color="auto"/>
            <w:right w:val="none" w:sz="0" w:space="0" w:color="auto"/>
          </w:divBdr>
        </w:div>
        <w:div w:id="1363895820">
          <w:marLeft w:val="0"/>
          <w:marRight w:val="0"/>
          <w:marTop w:val="0"/>
          <w:marBottom w:val="0"/>
          <w:divBdr>
            <w:top w:val="none" w:sz="0" w:space="0" w:color="auto"/>
            <w:left w:val="none" w:sz="0" w:space="0" w:color="auto"/>
            <w:bottom w:val="none" w:sz="0" w:space="0" w:color="auto"/>
            <w:right w:val="none" w:sz="0" w:space="0" w:color="auto"/>
          </w:divBdr>
        </w:div>
        <w:div w:id="1374041353">
          <w:marLeft w:val="0"/>
          <w:marRight w:val="0"/>
          <w:marTop w:val="0"/>
          <w:marBottom w:val="0"/>
          <w:divBdr>
            <w:top w:val="none" w:sz="0" w:space="0" w:color="auto"/>
            <w:left w:val="none" w:sz="0" w:space="0" w:color="auto"/>
            <w:bottom w:val="none" w:sz="0" w:space="0" w:color="auto"/>
            <w:right w:val="none" w:sz="0" w:space="0" w:color="auto"/>
          </w:divBdr>
        </w:div>
        <w:div w:id="1392730551">
          <w:marLeft w:val="0"/>
          <w:marRight w:val="0"/>
          <w:marTop w:val="0"/>
          <w:marBottom w:val="0"/>
          <w:divBdr>
            <w:top w:val="none" w:sz="0" w:space="0" w:color="auto"/>
            <w:left w:val="none" w:sz="0" w:space="0" w:color="auto"/>
            <w:bottom w:val="none" w:sz="0" w:space="0" w:color="auto"/>
            <w:right w:val="none" w:sz="0" w:space="0" w:color="auto"/>
          </w:divBdr>
        </w:div>
        <w:div w:id="1394159813">
          <w:marLeft w:val="0"/>
          <w:marRight w:val="0"/>
          <w:marTop w:val="0"/>
          <w:marBottom w:val="0"/>
          <w:divBdr>
            <w:top w:val="none" w:sz="0" w:space="0" w:color="auto"/>
            <w:left w:val="none" w:sz="0" w:space="0" w:color="auto"/>
            <w:bottom w:val="none" w:sz="0" w:space="0" w:color="auto"/>
            <w:right w:val="none" w:sz="0" w:space="0" w:color="auto"/>
          </w:divBdr>
        </w:div>
        <w:div w:id="1403019150">
          <w:marLeft w:val="0"/>
          <w:marRight w:val="0"/>
          <w:marTop w:val="0"/>
          <w:marBottom w:val="0"/>
          <w:divBdr>
            <w:top w:val="none" w:sz="0" w:space="0" w:color="auto"/>
            <w:left w:val="none" w:sz="0" w:space="0" w:color="auto"/>
            <w:bottom w:val="none" w:sz="0" w:space="0" w:color="auto"/>
            <w:right w:val="none" w:sz="0" w:space="0" w:color="auto"/>
          </w:divBdr>
        </w:div>
        <w:div w:id="1403747806">
          <w:marLeft w:val="0"/>
          <w:marRight w:val="0"/>
          <w:marTop w:val="0"/>
          <w:marBottom w:val="0"/>
          <w:divBdr>
            <w:top w:val="none" w:sz="0" w:space="0" w:color="auto"/>
            <w:left w:val="none" w:sz="0" w:space="0" w:color="auto"/>
            <w:bottom w:val="none" w:sz="0" w:space="0" w:color="auto"/>
            <w:right w:val="none" w:sz="0" w:space="0" w:color="auto"/>
          </w:divBdr>
        </w:div>
        <w:div w:id="1407260841">
          <w:marLeft w:val="0"/>
          <w:marRight w:val="0"/>
          <w:marTop w:val="0"/>
          <w:marBottom w:val="0"/>
          <w:divBdr>
            <w:top w:val="none" w:sz="0" w:space="0" w:color="auto"/>
            <w:left w:val="none" w:sz="0" w:space="0" w:color="auto"/>
            <w:bottom w:val="none" w:sz="0" w:space="0" w:color="auto"/>
            <w:right w:val="none" w:sz="0" w:space="0" w:color="auto"/>
          </w:divBdr>
        </w:div>
        <w:div w:id="1426538344">
          <w:marLeft w:val="0"/>
          <w:marRight w:val="0"/>
          <w:marTop w:val="0"/>
          <w:marBottom w:val="0"/>
          <w:divBdr>
            <w:top w:val="none" w:sz="0" w:space="0" w:color="auto"/>
            <w:left w:val="none" w:sz="0" w:space="0" w:color="auto"/>
            <w:bottom w:val="none" w:sz="0" w:space="0" w:color="auto"/>
            <w:right w:val="none" w:sz="0" w:space="0" w:color="auto"/>
          </w:divBdr>
        </w:div>
        <w:div w:id="1426807997">
          <w:marLeft w:val="0"/>
          <w:marRight w:val="0"/>
          <w:marTop w:val="0"/>
          <w:marBottom w:val="0"/>
          <w:divBdr>
            <w:top w:val="none" w:sz="0" w:space="0" w:color="auto"/>
            <w:left w:val="none" w:sz="0" w:space="0" w:color="auto"/>
            <w:bottom w:val="none" w:sz="0" w:space="0" w:color="auto"/>
            <w:right w:val="none" w:sz="0" w:space="0" w:color="auto"/>
          </w:divBdr>
        </w:div>
        <w:div w:id="1436557259">
          <w:marLeft w:val="0"/>
          <w:marRight w:val="0"/>
          <w:marTop w:val="0"/>
          <w:marBottom w:val="0"/>
          <w:divBdr>
            <w:top w:val="none" w:sz="0" w:space="0" w:color="auto"/>
            <w:left w:val="none" w:sz="0" w:space="0" w:color="auto"/>
            <w:bottom w:val="none" w:sz="0" w:space="0" w:color="auto"/>
            <w:right w:val="none" w:sz="0" w:space="0" w:color="auto"/>
          </w:divBdr>
        </w:div>
        <w:div w:id="1447626112">
          <w:marLeft w:val="0"/>
          <w:marRight w:val="0"/>
          <w:marTop w:val="0"/>
          <w:marBottom w:val="0"/>
          <w:divBdr>
            <w:top w:val="none" w:sz="0" w:space="0" w:color="auto"/>
            <w:left w:val="none" w:sz="0" w:space="0" w:color="auto"/>
            <w:bottom w:val="none" w:sz="0" w:space="0" w:color="auto"/>
            <w:right w:val="none" w:sz="0" w:space="0" w:color="auto"/>
          </w:divBdr>
        </w:div>
        <w:div w:id="1448623273">
          <w:marLeft w:val="0"/>
          <w:marRight w:val="0"/>
          <w:marTop w:val="0"/>
          <w:marBottom w:val="0"/>
          <w:divBdr>
            <w:top w:val="none" w:sz="0" w:space="0" w:color="auto"/>
            <w:left w:val="none" w:sz="0" w:space="0" w:color="auto"/>
            <w:bottom w:val="none" w:sz="0" w:space="0" w:color="auto"/>
            <w:right w:val="none" w:sz="0" w:space="0" w:color="auto"/>
          </w:divBdr>
        </w:div>
        <w:div w:id="1451972580">
          <w:marLeft w:val="0"/>
          <w:marRight w:val="0"/>
          <w:marTop w:val="0"/>
          <w:marBottom w:val="0"/>
          <w:divBdr>
            <w:top w:val="none" w:sz="0" w:space="0" w:color="auto"/>
            <w:left w:val="none" w:sz="0" w:space="0" w:color="auto"/>
            <w:bottom w:val="none" w:sz="0" w:space="0" w:color="auto"/>
            <w:right w:val="none" w:sz="0" w:space="0" w:color="auto"/>
          </w:divBdr>
        </w:div>
        <w:div w:id="1452942685">
          <w:marLeft w:val="0"/>
          <w:marRight w:val="0"/>
          <w:marTop w:val="0"/>
          <w:marBottom w:val="0"/>
          <w:divBdr>
            <w:top w:val="none" w:sz="0" w:space="0" w:color="auto"/>
            <w:left w:val="none" w:sz="0" w:space="0" w:color="auto"/>
            <w:bottom w:val="none" w:sz="0" w:space="0" w:color="auto"/>
            <w:right w:val="none" w:sz="0" w:space="0" w:color="auto"/>
          </w:divBdr>
        </w:div>
        <w:div w:id="1456872235">
          <w:marLeft w:val="0"/>
          <w:marRight w:val="0"/>
          <w:marTop w:val="0"/>
          <w:marBottom w:val="0"/>
          <w:divBdr>
            <w:top w:val="none" w:sz="0" w:space="0" w:color="auto"/>
            <w:left w:val="none" w:sz="0" w:space="0" w:color="auto"/>
            <w:bottom w:val="none" w:sz="0" w:space="0" w:color="auto"/>
            <w:right w:val="none" w:sz="0" w:space="0" w:color="auto"/>
          </w:divBdr>
        </w:div>
        <w:div w:id="1467428328">
          <w:marLeft w:val="0"/>
          <w:marRight w:val="0"/>
          <w:marTop w:val="0"/>
          <w:marBottom w:val="0"/>
          <w:divBdr>
            <w:top w:val="none" w:sz="0" w:space="0" w:color="auto"/>
            <w:left w:val="none" w:sz="0" w:space="0" w:color="auto"/>
            <w:bottom w:val="none" w:sz="0" w:space="0" w:color="auto"/>
            <w:right w:val="none" w:sz="0" w:space="0" w:color="auto"/>
          </w:divBdr>
        </w:div>
        <w:div w:id="1469974791">
          <w:marLeft w:val="0"/>
          <w:marRight w:val="0"/>
          <w:marTop w:val="0"/>
          <w:marBottom w:val="0"/>
          <w:divBdr>
            <w:top w:val="none" w:sz="0" w:space="0" w:color="auto"/>
            <w:left w:val="none" w:sz="0" w:space="0" w:color="auto"/>
            <w:bottom w:val="none" w:sz="0" w:space="0" w:color="auto"/>
            <w:right w:val="none" w:sz="0" w:space="0" w:color="auto"/>
          </w:divBdr>
        </w:div>
        <w:div w:id="1472937448">
          <w:marLeft w:val="0"/>
          <w:marRight w:val="0"/>
          <w:marTop w:val="0"/>
          <w:marBottom w:val="0"/>
          <w:divBdr>
            <w:top w:val="none" w:sz="0" w:space="0" w:color="auto"/>
            <w:left w:val="none" w:sz="0" w:space="0" w:color="auto"/>
            <w:bottom w:val="none" w:sz="0" w:space="0" w:color="auto"/>
            <w:right w:val="none" w:sz="0" w:space="0" w:color="auto"/>
          </w:divBdr>
        </w:div>
        <w:div w:id="1473250171">
          <w:marLeft w:val="0"/>
          <w:marRight w:val="0"/>
          <w:marTop w:val="0"/>
          <w:marBottom w:val="0"/>
          <w:divBdr>
            <w:top w:val="none" w:sz="0" w:space="0" w:color="auto"/>
            <w:left w:val="none" w:sz="0" w:space="0" w:color="auto"/>
            <w:bottom w:val="none" w:sz="0" w:space="0" w:color="auto"/>
            <w:right w:val="none" w:sz="0" w:space="0" w:color="auto"/>
          </w:divBdr>
        </w:div>
        <w:div w:id="1476528188">
          <w:marLeft w:val="0"/>
          <w:marRight w:val="0"/>
          <w:marTop w:val="0"/>
          <w:marBottom w:val="0"/>
          <w:divBdr>
            <w:top w:val="none" w:sz="0" w:space="0" w:color="auto"/>
            <w:left w:val="none" w:sz="0" w:space="0" w:color="auto"/>
            <w:bottom w:val="none" w:sz="0" w:space="0" w:color="auto"/>
            <w:right w:val="none" w:sz="0" w:space="0" w:color="auto"/>
          </w:divBdr>
        </w:div>
        <w:div w:id="1482965753">
          <w:marLeft w:val="0"/>
          <w:marRight w:val="0"/>
          <w:marTop w:val="0"/>
          <w:marBottom w:val="0"/>
          <w:divBdr>
            <w:top w:val="none" w:sz="0" w:space="0" w:color="auto"/>
            <w:left w:val="none" w:sz="0" w:space="0" w:color="auto"/>
            <w:bottom w:val="none" w:sz="0" w:space="0" w:color="auto"/>
            <w:right w:val="none" w:sz="0" w:space="0" w:color="auto"/>
          </w:divBdr>
        </w:div>
        <w:div w:id="1488782898">
          <w:marLeft w:val="0"/>
          <w:marRight w:val="0"/>
          <w:marTop w:val="0"/>
          <w:marBottom w:val="0"/>
          <w:divBdr>
            <w:top w:val="none" w:sz="0" w:space="0" w:color="auto"/>
            <w:left w:val="none" w:sz="0" w:space="0" w:color="auto"/>
            <w:bottom w:val="none" w:sz="0" w:space="0" w:color="auto"/>
            <w:right w:val="none" w:sz="0" w:space="0" w:color="auto"/>
          </w:divBdr>
        </w:div>
        <w:div w:id="1501238302">
          <w:marLeft w:val="0"/>
          <w:marRight w:val="0"/>
          <w:marTop w:val="0"/>
          <w:marBottom w:val="0"/>
          <w:divBdr>
            <w:top w:val="none" w:sz="0" w:space="0" w:color="auto"/>
            <w:left w:val="none" w:sz="0" w:space="0" w:color="auto"/>
            <w:bottom w:val="none" w:sz="0" w:space="0" w:color="auto"/>
            <w:right w:val="none" w:sz="0" w:space="0" w:color="auto"/>
          </w:divBdr>
        </w:div>
        <w:div w:id="1507744659">
          <w:marLeft w:val="0"/>
          <w:marRight w:val="0"/>
          <w:marTop w:val="0"/>
          <w:marBottom w:val="0"/>
          <w:divBdr>
            <w:top w:val="none" w:sz="0" w:space="0" w:color="auto"/>
            <w:left w:val="none" w:sz="0" w:space="0" w:color="auto"/>
            <w:bottom w:val="none" w:sz="0" w:space="0" w:color="auto"/>
            <w:right w:val="none" w:sz="0" w:space="0" w:color="auto"/>
          </w:divBdr>
        </w:div>
        <w:div w:id="1511337915">
          <w:marLeft w:val="0"/>
          <w:marRight w:val="0"/>
          <w:marTop w:val="0"/>
          <w:marBottom w:val="0"/>
          <w:divBdr>
            <w:top w:val="none" w:sz="0" w:space="0" w:color="auto"/>
            <w:left w:val="none" w:sz="0" w:space="0" w:color="auto"/>
            <w:bottom w:val="none" w:sz="0" w:space="0" w:color="auto"/>
            <w:right w:val="none" w:sz="0" w:space="0" w:color="auto"/>
          </w:divBdr>
        </w:div>
        <w:div w:id="1514881954">
          <w:marLeft w:val="0"/>
          <w:marRight w:val="0"/>
          <w:marTop w:val="0"/>
          <w:marBottom w:val="0"/>
          <w:divBdr>
            <w:top w:val="none" w:sz="0" w:space="0" w:color="auto"/>
            <w:left w:val="none" w:sz="0" w:space="0" w:color="auto"/>
            <w:bottom w:val="none" w:sz="0" w:space="0" w:color="auto"/>
            <w:right w:val="none" w:sz="0" w:space="0" w:color="auto"/>
          </w:divBdr>
        </w:div>
        <w:div w:id="1514998988">
          <w:marLeft w:val="0"/>
          <w:marRight w:val="0"/>
          <w:marTop w:val="0"/>
          <w:marBottom w:val="0"/>
          <w:divBdr>
            <w:top w:val="none" w:sz="0" w:space="0" w:color="auto"/>
            <w:left w:val="none" w:sz="0" w:space="0" w:color="auto"/>
            <w:bottom w:val="none" w:sz="0" w:space="0" w:color="auto"/>
            <w:right w:val="none" w:sz="0" w:space="0" w:color="auto"/>
          </w:divBdr>
        </w:div>
        <w:div w:id="1516923190">
          <w:marLeft w:val="0"/>
          <w:marRight w:val="0"/>
          <w:marTop w:val="0"/>
          <w:marBottom w:val="0"/>
          <w:divBdr>
            <w:top w:val="none" w:sz="0" w:space="0" w:color="auto"/>
            <w:left w:val="none" w:sz="0" w:space="0" w:color="auto"/>
            <w:bottom w:val="none" w:sz="0" w:space="0" w:color="auto"/>
            <w:right w:val="none" w:sz="0" w:space="0" w:color="auto"/>
          </w:divBdr>
        </w:div>
        <w:div w:id="1534146434">
          <w:marLeft w:val="0"/>
          <w:marRight w:val="0"/>
          <w:marTop w:val="0"/>
          <w:marBottom w:val="0"/>
          <w:divBdr>
            <w:top w:val="none" w:sz="0" w:space="0" w:color="auto"/>
            <w:left w:val="none" w:sz="0" w:space="0" w:color="auto"/>
            <w:bottom w:val="none" w:sz="0" w:space="0" w:color="auto"/>
            <w:right w:val="none" w:sz="0" w:space="0" w:color="auto"/>
          </w:divBdr>
        </w:div>
        <w:div w:id="1534611008">
          <w:marLeft w:val="0"/>
          <w:marRight w:val="0"/>
          <w:marTop w:val="0"/>
          <w:marBottom w:val="0"/>
          <w:divBdr>
            <w:top w:val="none" w:sz="0" w:space="0" w:color="auto"/>
            <w:left w:val="none" w:sz="0" w:space="0" w:color="auto"/>
            <w:bottom w:val="none" w:sz="0" w:space="0" w:color="auto"/>
            <w:right w:val="none" w:sz="0" w:space="0" w:color="auto"/>
          </w:divBdr>
        </w:div>
        <w:div w:id="1543244416">
          <w:marLeft w:val="0"/>
          <w:marRight w:val="0"/>
          <w:marTop w:val="0"/>
          <w:marBottom w:val="0"/>
          <w:divBdr>
            <w:top w:val="none" w:sz="0" w:space="0" w:color="auto"/>
            <w:left w:val="none" w:sz="0" w:space="0" w:color="auto"/>
            <w:bottom w:val="none" w:sz="0" w:space="0" w:color="auto"/>
            <w:right w:val="none" w:sz="0" w:space="0" w:color="auto"/>
          </w:divBdr>
        </w:div>
        <w:div w:id="1545289855">
          <w:marLeft w:val="0"/>
          <w:marRight w:val="0"/>
          <w:marTop w:val="0"/>
          <w:marBottom w:val="0"/>
          <w:divBdr>
            <w:top w:val="none" w:sz="0" w:space="0" w:color="auto"/>
            <w:left w:val="none" w:sz="0" w:space="0" w:color="auto"/>
            <w:bottom w:val="none" w:sz="0" w:space="0" w:color="auto"/>
            <w:right w:val="none" w:sz="0" w:space="0" w:color="auto"/>
          </w:divBdr>
        </w:div>
        <w:div w:id="1549217692">
          <w:marLeft w:val="0"/>
          <w:marRight w:val="0"/>
          <w:marTop w:val="0"/>
          <w:marBottom w:val="0"/>
          <w:divBdr>
            <w:top w:val="none" w:sz="0" w:space="0" w:color="auto"/>
            <w:left w:val="none" w:sz="0" w:space="0" w:color="auto"/>
            <w:bottom w:val="none" w:sz="0" w:space="0" w:color="auto"/>
            <w:right w:val="none" w:sz="0" w:space="0" w:color="auto"/>
          </w:divBdr>
        </w:div>
        <w:div w:id="1557232258">
          <w:marLeft w:val="0"/>
          <w:marRight w:val="0"/>
          <w:marTop w:val="0"/>
          <w:marBottom w:val="0"/>
          <w:divBdr>
            <w:top w:val="none" w:sz="0" w:space="0" w:color="auto"/>
            <w:left w:val="none" w:sz="0" w:space="0" w:color="auto"/>
            <w:bottom w:val="none" w:sz="0" w:space="0" w:color="auto"/>
            <w:right w:val="none" w:sz="0" w:space="0" w:color="auto"/>
          </w:divBdr>
        </w:div>
        <w:div w:id="1561211141">
          <w:marLeft w:val="0"/>
          <w:marRight w:val="0"/>
          <w:marTop w:val="0"/>
          <w:marBottom w:val="0"/>
          <w:divBdr>
            <w:top w:val="none" w:sz="0" w:space="0" w:color="auto"/>
            <w:left w:val="none" w:sz="0" w:space="0" w:color="auto"/>
            <w:bottom w:val="none" w:sz="0" w:space="0" w:color="auto"/>
            <w:right w:val="none" w:sz="0" w:space="0" w:color="auto"/>
          </w:divBdr>
        </w:div>
        <w:div w:id="1593733391">
          <w:marLeft w:val="0"/>
          <w:marRight w:val="0"/>
          <w:marTop w:val="0"/>
          <w:marBottom w:val="0"/>
          <w:divBdr>
            <w:top w:val="none" w:sz="0" w:space="0" w:color="auto"/>
            <w:left w:val="none" w:sz="0" w:space="0" w:color="auto"/>
            <w:bottom w:val="none" w:sz="0" w:space="0" w:color="auto"/>
            <w:right w:val="none" w:sz="0" w:space="0" w:color="auto"/>
          </w:divBdr>
        </w:div>
        <w:div w:id="1594969903">
          <w:marLeft w:val="0"/>
          <w:marRight w:val="0"/>
          <w:marTop w:val="0"/>
          <w:marBottom w:val="0"/>
          <w:divBdr>
            <w:top w:val="none" w:sz="0" w:space="0" w:color="auto"/>
            <w:left w:val="none" w:sz="0" w:space="0" w:color="auto"/>
            <w:bottom w:val="none" w:sz="0" w:space="0" w:color="auto"/>
            <w:right w:val="none" w:sz="0" w:space="0" w:color="auto"/>
          </w:divBdr>
        </w:div>
        <w:div w:id="1597519795">
          <w:marLeft w:val="0"/>
          <w:marRight w:val="0"/>
          <w:marTop w:val="0"/>
          <w:marBottom w:val="0"/>
          <w:divBdr>
            <w:top w:val="none" w:sz="0" w:space="0" w:color="auto"/>
            <w:left w:val="none" w:sz="0" w:space="0" w:color="auto"/>
            <w:bottom w:val="none" w:sz="0" w:space="0" w:color="auto"/>
            <w:right w:val="none" w:sz="0" w:space="0" w:color="auto"/>
          </w:divBdr>
        </w:div>
        <w:div w:id="1597791503">
          <w:marLeft w:val="0"/>
          <w:marRight w:val="0"/>
          <w:marTop w:val="0"/>
          <w:marBottom w:val="0"/>
          <w:divBdr>
            <w:top w:val="none" w:sz="0" w:space="0" w:color="auto"/>
            <w:left w:val="none" w:sz="0" w:space="0" w:color="auto"/>
            <w:bottom w:val="none" w:sz="0" w:space="0" w:color="auto"/>
            <w:right w:val="none" w:sz="0" w:space="0" w:color="auto"/>
          </w:divBdr>
        </w:div>
        <w:div w:id="1611161195">
          <w:marLeft w:val="0"/>
          <w:marRight w:val="0"/>
          <w:marTop w:val="0"/>
          <w:marBottom w:val="0"/>
          <w:divBdr>
            <w:top w:val="none" w:sz="0" w:space="0" w:color="auto"/>
            <w:left w:val="none" w:sz="0" w:space="0" w:color="auto"/>
            <w:bottom w:val="none" w:sz="0" w:space="0" w:color="auto"/>
            <w:right w:val="none" w:sz="0" w:space="0" w:color="auto"/>
          </w:divBdr>
        </w:div>
        <w:div w:id="1615097576">
          <w:marLeft w:val="0"/>
          <w:marRight w:val="0"/>
          <w:marTop w:val="0"/>
          <w:marBottom w:val="0"/>
          <w:divBdr>
            <w:top w:val="none" w:sz="0" w:space="0" w:color="auto"/>
            <w:left w:val="none" w:sz="0" w:space="0" w:color="auto"/>
            <w:bottom w:val="none" w:sz="0" w:space="0" w:color="auto"/>
            <w:right w:val="none" w:sz="0" w:space="0" w:color="auto"/>
          </w:divBdr>
        </w:div>
        <w:div w:id="1617329619">
          <w:marLeft w:val="0"/>
          <w:marRight w:val="0"/>
          <w:marTop w:val="0"/>
          <w:marBottom w:val="0"/>
          <w:divBdr>
            <w:top w:val="none" w:sz="0" w:space="0" w:color="auto"/>
            <w:left w:val="none" w:sz="0" w:space="0" w:color="auto"/>
            <w:bottom w:val="none" w:sz="0" w:space="0" w:color="auto"/>
            <w:right w:val="none" w:sz="0" w:space="0" w:color="auto"/>
          </w:divBdr>
        </w:div>
        <w:div w:id="1624997170">
          <w:marLeft w:val="0"/>
          <w:marRight w:val="0"/>
          <w:marTop w:val="0"/>
          <w:marBottom w:val="0"/>
          <w:divBdr>
            <w:top w:val="none" w:sz="0" w:space="0" w:color="auto"/>
            <w:left w:val="none" w:sz="0" w:space="0" w:color="auto"/>
            <w:bottom w:val="none" w:sz="0" w:space="0" w:color="auto"/>
            <w:right w:val="none" w:sz="0" w:space="0" w:color="auto"/>
          </w:divBdr>
        </w:div>
        <w:div w:id="1634167840">
          <w:marLeft w:val="0"/>
          <w:marRight w:val="0"/>
          <w:marTop w:val="0"/>
          <w:marBottom w:val="0"/>
          <w:divBdr>
            <w:top w:val="none" w:sz="0" w:space="0" w:color="auto"/>
            <w:left w:val="none" w:sz="0" w:space="0" w:color="auto"/>
            <w:bottom w:val="none" w:sz="0" w:space="0" w:color="auto"/>
            <w:right w:val="none" w:sz="0" w:space="0" w:color="auto"/>
          </w:divBdr>
        </w:div>
        <w:div w:id="1641495370">
          <w:marLeft w:val="0"/>
          <w:marRight w:val="0"/>
          <w:marTop w:val="0"/>
          <w:marBottom w:val="0"/>
          <w:divBdr>
            <w:top w:val="none" w:sz="0" w:space="0" w:color="auto"/>
            <w:left w:val="none" w:sz="0" w:space="0" w:color="auto"/>
            <w:bottom w:val="none" w:sz="0" w:space="0" w:color="auto"/>
            <w:right w:val="none" w:sz="0" w:space="0" w:color="auto"/>
          </w:divBdr>
        </w:div>
        <w:div w:id="1653439281">
          <w:marLeft w:val="0"/>
          <w:marRight w:val="0"/>
          <w:marTop w:val="0"/>
          <w:marBottom w:val="0"/>
          <w:divBdr>
            <w:top w:val="none" w:sz="0" w:space="0" w:color="auto"/>
            <w:left w:val="none" w:sz="0" w:space="0" w:color="auto"/>
            <w:bottom w:val="none" w:sz="0" w:space="0" w:color="auto"/>
            <w:right w:val="none" w:sz="0" w:space="0" w:color="auto"/>
          </w:divBdr>
        </w:div>
        <w:div w:id="1654681564">
          <w:marLeft w:val="0"/>
          <w:marRight w:val="0"/>
          <w:marTop w:val="0"/>
          <w:marBottom w:val="0"/>
          <w:divBdr>
            <w:top w:val="none" w:sz="0" w:space="0" w:color="auto"/>
            <w:left w:val="none" w:sz="0" w:space="0" w:color="auto"/>
            <w:bottom w:val="none" w:sz="0" w:space="0" w:color="auto"/>
            <w:right w:val="none" w:sz="0" w:space="0" w:color="auto"/>
          </w:divBdr>
        </w:div>
        <w:div w:id="1668704187">
          <w:marLeft w:val="0"/>
          <w:marRight w:val="0"/>
          <w:marTop w:val="0"/>
          <w:marBottom w:val="0"/>
          <w:divBdr>
            <w:top w:val="none" w:sz="0" w:space="0" w:color="auto"/>
            <w:left w:val="none" w:sz="0" w:space="0" w:color="auto"/>
            <w:bottom w:val="none" w:sz="0" w:space="0" w:color="auto"/>
            <w:right w:val="none" w:sz="0" w:space="0" w:color="auto"/>
          </w:divBdr>
        </w:div>
        <w:div w:id="1674066040">
          <w:marLeft w:val="0"/>
          <w:marRight w:val="0"/>
          <w:marTop w:val="0"/>
          <w:marBottom w:val="0"/>
          <w:divBdr>
            <w:top w:val="none" w:sz="0" w:space="0" w:color="auto"/>
            <w:left w:val="none" w:sz="0" w:space="0" w:color="auto"/>
            <w:bottom w:val="none" w:sz="0" w:space="0" w:color="auto"/>
            <w:right w:val="none" w:sz="0" w:space="0" w:color="auto"/>
          </w:divBdr>
        </w:div>
        <w:div w:id="1683360609">
          <w:marLeft w:val="0"/>
          <w:marRight w:val="0"/>
          <w:marTop w:val="0"/>
          <w:marBottom w:val="0"/>
          <w:divBdr>
            <w:top w:val="none" w:sz="0" w:space="0" w:color="auto"/>
            <w:left w:val="none" w:sz="0" w:space="0" w:color="auto"/>
            <w:bottom w:val="none" w:sz="0" w:space="0" w:color="auto"/>
            <w:right w:val="none" w:sz="0" w:space="0" w:color="auto"/>
          </w:divBdr>
        </w:div>
        <w:div w:id="1691908157">
          <w:marLeft w:val="0"/>
          <w:marRight w:val="0"/>
          <w:marTop w:val="0"/>
          <w:marBottom w:val="0"/>
          <w:divBdr>
            <w:top w:val="none" w:sz="0" w:space="0" w:color="auto"/>
            <w:left w:val="none" w:sz="0" w:space="0" w:color="auto"/>
            <w:bottom w:val="none" w:sz="0" w:space="0" w:color="auto"/>
            <w:right w:val="none" w:sz="0" w:space="0" w:color="auto"/>
          </w:divBdr>
        </w:div>
        <w:div w:id="1696997056">
          <w:marLeft w:val="0"/>
          <w:marRight w:val="0"/>
          <w:marTop w:val="0"/>
          <w:marBottom w:val="0"/>
          <w:divBdr>
            <w:top w:val="none" w:sz="0" w:space="0" w:color="auto"/>
            <w:left w:val="none" w:sz="0" w:space="0" w:color="auto"/>
            <w:bottom w:val="none" w:sz="0" w:space="0" w:color="auto"/>
            <w:right w:val="none" w:sz="0" w:space="0" w:color="auto"/>
          </w:divBdr>
        </w:div>
        <w:div w:id="1699428084">
          <w:marLeft w:val="0"/>
          <w:marRight w:val="0"/>
          <w:marTop w:val="0"/>
          <w:marBottom w:val="0"/>
          <w:divBdr>
            <w:top w:val="none" w:sz="0" w:space="0" w:color="auto"/>
            <w:left w:val="none" w:sz="0" w:space="0" w:color="auto"/>
            <w:bottom w:val="none" w:sz="0" w:space="0" w:color="auto"/>
            <w:right w:val="none" w:sz="0" w:space="0" w:color="auto"/>
          </w:divBdr>
        </w:div>
        <w:div w:id="1704214030">
          <w:marLeft w:val="0"/>
          <w:marRight w:val="0"/>
          <w:marTop w:val="0"/>
          <w:marBottom w:val="0"/>
          <w:divBdr>
            <w:top w:val="none" w:sz="0" w:space="0" w:color="auto"/>
            <w:left w:val="none" w:sz="0" w:space="0" w:color="auto"/>
            <w:bottom w:val="none" w:sz="0" w:space="0" w:color="auto"/>
            <w:right w:val="none" w:sz="0" w:space="0" w:color="auto"/>
          </w:divBdr>
        </w:div>
        <w:div w:id="1705670071">
          <w:marLeft w:val="0"/>
          <w:marRight w:val="0"/>
          <w:marTop w:val="0"/>
          <w:marBottom w:val="0"/>
          <w:divBdr>
            <w:top w:val="none" w:sz="0" w:space="0" w:color="auto"/>
            <w:left w:val="none" w:sz="0" w:space="0" w:color="auto"/>
            <w:bottom w:val="none" w:sz="0" w:space="0" w:color="auto"/>
            <w:right w:val="none" w:sz="0" w:space="0" w:color="auto"/>
          </w:divBdr>
        </w:div>
        <w:div w:id="1707365961">
          <w:marLeft w:val="0"/>
          <w:marRight w:val="0"/>
          <w:marTop w:val="0"/>
          <w:marBottom w:val="0"/>
          <w:divBdr>
            <w:top w:val="none" w:sz="0" w:space="0" w:color="auto"/>
            <w:left w:val="none" w:sz="0" w:space="0" w:color="auto"/>
            <w:bottom w:val="none" w:sz="0" w:space="0" w:color="auto"/>
            <w:right w:val="none" w:sz="0" w:space="0" w:color="auto"/>
          </w:divBdr>
        </w:div>
        <w:div w:id="1710646857">
          <w:marLeft w:val="0"/>
          <w:marRight w:val="0"/>
          <w:marTop w:val="0"/>
          <w:marBottom w:val="0"/>
          <w:divBdr>
            <w:top w:val="none" w:sz="0" w:space="0" w:color="auto"/>
            <w:left w:val="none" w:sz="0" w:space="0" w:color="auto"/>
            <w:bottom w:val="none" w:sz="0" w:space="0" w:color="auto"/>
            <w:right w:val="none" w:sz="0" w:space="0" w:color="auto"/>
          </w:divBdr>
        </w:div>
        <w:div w:id="1723560423">
          <w:marLeft w:val="0"/>
          <w:marRight w:val="0"/>
          <w:marTop w:val="0"/>
          <w:marBottom w:val="0"/>
          <w:divBdr>
            <w:top w:val="none" w:sz="0" w:space="0" w:color="auto"/>
            <w:left w:val="none" w:sz="0" w:space="0" w:color="auto"/>
            <w:bottom w:val="none" w:sz="0" w:space="0" w:color="auto"/>
            <w:right w:val="none" w:sz="0" w:space="0" w:color="auto"/>
          </w:divBdr>
        </w:div>
        <w:div w:id="1724409159">
          <w:marLeft w:val="0"/>
          <w:marRight w:val="0"/>
          <w:marTop w:val="0"/>
          <w:marBottom w:val="0"/>
          <w:divBdr>
            <w:top w:val="none" w:sz="0" w:space="0" w:color="auto"/>
            <w:left w:val="none" w:sz="0" w:space="0" w:color="auto"/>
            <w:bottom w:val="none" w:sz="0" w:space="0" w:color="auto"/>
            <w:right w:val="none" w:sz="0" w:space="0" w:color="auto"/>
          </w:divBdr>
        </w:div>
        <w:div w:id="1741831359">
          <w:marLeft w:val="0"/>
          <w:marRight w:val="0"/>
          <w:marTop w:val="0"/>
          <w:marBottom w:val="0"/>
          <w:divBdr>
            <w:top w:val="none" w:sz="0" w:space="0" w:color="auto"/>
            <w:left w:val="none" w:sz="0" w:space="0" w:color="auto"/>
            <w:bottom w:val="none" w:sz="0" w:space="0" w:color="auto"/>
            <w:right w:val="none" w:sz="0" w:space="0" w:color="auto"/>
          </w:divBdr>
        </w:div>
        <w:div w:id="1744792814">
          <w:marLeft w:val="0"/>
          <w:marRight w:val="0"/>
          <w:marTop w:val="0"/>
          <w:marBottom w:val="0"/>
          <w:divBdr>
            <w:top w:val="none" w:sz="0" w:space="0" w:color="auto"/>
            <w:left w:val="none" w:sz="0" w:space="0" w:color="auto"/>
            <w:bottom w:val="none" w:sz="0" w:space="0" w:color="auto"/>
            <w:right w:val="none" w:sz="0" w:space="0" w:color="auto"/>
          </w:divBdr>
        </w:div>
        <w:div w:id="1746344354">
          <w:marLeft w:val="0"/>
          <w:marRight w:val="0"/>
          <w:marTop w:val="0"/>
          <w:marBottom w:val="0"/>
          <w:divBdr>
            <w:top w:val="none" w:sz="0" w:space="0" w:color="auto"/>
            <w:left w:val="none" w:sz="0" w:space="0" w:color="auto"/>
            <w:bottom w:val="none" w:sz="0" w:space="0" w:color="auto"/>
            <w:right w:val="none" w:sz="0" w:space="0" w:color="auto"/>
          </w:divBdr>
        </w:div>
        <w:div w:id="1748722353">
          <w:marLeft w:val="0"/>
          <w:marRight w:val="0"/>
          <w:marTop w:val="0"/>
          <w:marBottom w:val="0"/>
          <w:divBdr>
            <w:top w:val="none" w:sz="0" w:space="0" w:color="auto"/>
            <w:left w:val="none" w:sz="0" w:space="0" w:color="auto"/>
            <w:bottom w:val="none" w:sz="0" w:space="0" w:color="auto"/>
            <w:right w:val="none" w:sz="0" w:space="0" w:color="auto"/>
          </w:divBdr>
        </w:div>
        <w:div w:id="1753310456">
          <w:marLeft w:val="0"/>
          <w:marRight w:val="0"/>
          <w:marTop w:val="0"/>
          <w:marBottom w:val="0"/>
          <w:divBdr>
            <w:top w:val="none" w:sz="0" w:space="0" w:color="auto"/>
            <w:left w:val="none" w:sz="0" w:space="0" w:color="auto"/>
            <w:bottom w:val="none" w:sz="0" w:space="0" w:color="auto"/>
            <w:right w:val="none" w:sz="0" w:space="0" w:color="auto"/>
          </w:divBdr>
        </w:div>
        <w:div w:id="1775244100">
          <w:marLeft w:val="0"/>
          <w:marRight w:val="0"/>
          <w:marTop w:val="0"/>
          <w:marBottom w:val="0"/>
          <w:divBdr>
            <w:top w:val="none" w:sz="0" w:space="0" w:color="auto"/>
            <w:left w:val="none" w:sz="0" w:space="0" w:color="auto"/>
            <w:bottom w:val="none" w:sz="0" w:space="0" w:color="auto"/>
            <w:right w:val="none" w:sz="0" w:space="0" w:color="auto"/>
          </w:divBdr>
        </w:div>
        <w:div w:id="1777552229">
          <w:marLeft w:val="0"/>
          <w:marRight w:val="0"/>
          <w:marTop w:val="0"/>
          <w:marBottom w:val="0"/>
          <w:divBdr>
            <w:top w:val="none" w:sz="0" w:space="0" w:color="auto"/>
            <w:left w:val="none" w:sz="0" w:space="0" w:color="auto"/>
            <w:bottom w:val="none" w:sz="0" w:space="0" w:color="auto"/>
            <w:right w:val="none" w:sz="0" w:space="0" w:color="auto"/>
          </w:divBdr>
        </w:div>
        <w:div w:id="1782916460">
          <w:marLeft w:val="0"/>
          <w:marRight w:val="0"/>
          <w:marTop w:val="0"/>
          <w:marBottom w:val="0"/>
          <w:divBdr>
            <w:top w:val="none" w:sz="0" w:space="0" w:color="auto"/>
            <w:left w:val="none" w:sz="0" w:space="0" w:color="auto"/>
            <w:bottom w:val="none" w:sz="0" w:space="0" w:color="auto"/>
            <w:right w:val="none" w:sz="0" w:space="0" w:color="auto"/>
          </w:divBdr>
        </w:div>
        <w:div w:id="1803616401">
          <w:marLeft w:val="0"/>
          <w:marRight w:val="0"/>
          <w:marTop w:val="0"/>
          <w:marBottom w:val="0"/>
          <w:divBdr>
            <w:top w:val="none" w:sz="0" w:space="0" w:color="auto"/>
            <w:left w:val="none" w:sz="0" w:space="0" w:color="auto"/>
            <w:bottom w:val="none" w:sz="0" w:space="0" w:color="auto"/>
            <w:right w:val="none" w:sz="0" w:space="0" w:color="auto"/>
          </w:divBdr>
        </w:div>
        <w:div w:id="1804300815">
          <w:marLeft w:val="0"/>
          <w:marRight w:val="0"/>
          <w:marTop w:val="0"/>
          <w:marBottom w:val="0"/>
          <w:divBdr>
            <w:top w:val="none" w:sz="0" w:space="0" w:color="auto"/>
            <w:left w:val="none" w:sz="0" w:space="0" w:color="auto"/>
            <w:bottom w:val="none" w:sz="0" w:space="0" w:color="auto"/>
            <w:right w:val="none" w:sz="0" w:space="0" w:color="auto"/>
          </w:divBdr>
        </w:div>
        <w:div w:id="1806509398">
          <w:marLeft w:val="0"/>
          <w:marRight w:val="0"/>
          <w:marTop w:val="0"/>
          <w:marBottom w:val="0"/>
          <w:divBdr>
            <w:top w:val="none" w:sz="0" w:space="0" w:color="auto"/>
            <w:left w:val="none" w:sz="0" w:space="0" w:color="auto"/>
            <w:bottom w:val="none" w:sz="0" w:space="0" w:color="auto"/>
            <w:right w:val="none" w:sz="0" w:space="0" w:color="auto"/>
          </w:divBdr>
        </w:div>
        <w:div w:id="1814253706">
          <w:marLeft w:val="0"/>
          <w:marRight w:val="0"/>
          <w:marTop w:val="0"/>
          <w:marBottom w:val="0"/>
          <w:divBdr>
            <w:top w:val="none" w:sz="0" w:space="0" w:color="auto"/>
            <w:left w:val="none" w:sz="0" w:space="0" w:color="auto"/>
            <w:bottom w:val="none" w:sz="0" w:space="0" w:color="auto"/>
            <w:right w:val="none" w:sz="0" w:space="0" w:color="auto"/>
          </w:divBdr>
        </w:div>
        <w:div w:id="1827435372">
          <w:marLeft w:val="0"/>
          <w:marRight w:val="0"/>
          <w:marTop w:val="0"/>
          <w:marBottom w:val="0"/>
          <w:divBdr>
            <w:top w:val="none" w:sz="0" w:space="0" w:color="auto"/>
            <w:left w:val="none" w:sz="0" w:space="0" w:color="auto"/>
            <w:bottom w:val="none" w:sz="0" w:space="0" w:color="auto"/>
            <w:right w:val="none" w:sz="0" w:space="0" w:color="auto"/>
          </w:divBdr>
        </w:div>
        <w:div w:id="1828158760">
          <w:marLeft w:val="0"/>
          <w:marRight w:val="0"/>
          <w:marTop w:val="0"/>
          <w:marBottom w:val="0"/>
          <w:divBdr>
            <w:top w:val="none" w:sz="0" w:space="0" w:color="auto"/>
            <w:left w:val="none" w:sz="0" w:space="0" w:color="auto"/>
            <w:bottom w:val="none" w:sz="0" w:space="0" w:color="auto"/>
            <w:right w:val="none" w:sz="0" w:space="0" w:color="auto"/>
          </w:divBdr>
        </w:div>
        <w:div w:id="1828738729">
          <w:marLeft w:val="0"/>
          <w:marRight w:val="0"/>
          <w:marTop w:val="0"/>
          <w:marBottom w:val="0"/>
          <w:divBdr>
            <w:top w:val="none" w:sz="0" w:space="0" w:color="auto"/>
            <w:left w:val="none" w:sz="0" w:space="0" w:color="auto"/>
            <w:bottom w:val="none" w:sz="0" w:space="0" w:color="auto"/>
            <w:right w:val="none" w:sz="0" w:space="0" w:color="auto"/>
          </w:divBdr>
        </w:div>
        <w:div w:id="1829200635">
          <w:marLeft w:val="0"/>
          <w:marRight w:val="0"/>
          <w:marTop w:val="0"/>
          <w:marBottom w:val="0"/>
          <w:divBdr>
            <w:top w:val="none" w:sz="0" w:space="0" w:color="auto"/>
            <w:left w:val="none" w:sz="0" w:space="0" w:color="auto"/>
            <w:bottom w:val="none" w:sz="0" w:space="0" w:color="auto"/>
            <w:right w:val="none" w:sz="0" w:space="0" w:color="auto"/>
          </w:divBdr>
        </w:div>
        <w:div w:id="1840583620">
          <w:marLeft w:val="0"/>
          <w:marRight w:val="0"/>
          <w:marTop w:val="0"/>
          <w:marBottom w:val="0"/>
          <w:divBdr>
            <w:top w:val="none" w:sz="0" w:space="0" w:color="auto"/>
            <w:left w:val="none" w:sz="0" w:space="0" w:color="auto"/>
            <w:bottom w:val="none" w:sz="0" w:space="0" w:color="auto"/>
            <w:right w:val="none" w:sz="0" w:space="0" w:color="auto"/>
          </w:divBdr>
        </w:div>
        <w:div w:id="1853837980">
          <w:marLeft w:val="0"/>
          <w:marRight w:val="0"/>
          <w:marTop w:val="0"/>
          <w:marBottom w:val="0"/>
          <w:divBdr>
            <w:top w:val="none" w:sz="0" w:space="0" w:color="auto"/>
            <w:left w:val="none" w:sz="0" w:space="0" w:color="auto"/>
            <w:bottom w:val="none" w:sz="0" w:space="0" w:color="auto"/>
            <w:right w:val="none" w:sz="0" w:space="0" w:color="auto"/>
          </w:divBdr>
        </w:div>
        <w:div w:id="1853910172">
          <w:marLeft w:val="0"/>
          <w:marRight w:val="0"/>
          <w:marTop w:val="0"/>
          <w:marBottom w:val="0"/>
          <w:divBdr>
            <w:top w:val="none" w:sz="0" w:space="0" w:color="auto"/>
            <w:left w:val="none" w:sz="0" w:space="0" w:color="auto"/>
            <w:bottom w:val="none" w:sz="0" w:space="0" w:color="auto"/>
            <w:right w:val="none" w:sz="0" w:space="0" w:color="auto"/>
          </w:divBdr>
        </w:div>
        <w:div w:id="1856534480">
          <w:marLeft w:val="0"/>
          <w:marRight w:val="0"/>
          <w:marTop w:val="0"/>
          <w:marBottom w:val="0"/>
          <w:divBdr>
            <w:top w:val="none" w:sz="0" w:space="0" w:color="auto"/>
            <w:left w:val="none" w:sz="0" w:space="0" w:color="auto"/>
            <w:bottom w:val="none" w:sz="0" w:space="0" w:color="auto"/>
            <w:right w:val="none" w:sz="0" w:space="0" w:color="auto"/>
          </w:divBdr>
        </w:div>
        <w:div w:id="1856580137">
          <w:marLeft w:val="0"/>
          <w:marRight w:val="0"/>
          <w:marTop w:val="0"/>
          <w:marBottom w:val="0"/>
          <w:divBdr>
            <w:top w:val="none" w:sz="0" w:space="0" w:color="auto"/>
            <w:left w:val="none" w:sz="0" w:space="0" w:color="auto"/>
            <w:bottom w:val="none" w:sz="0" w:space="0" w:color="auto"/>
            <w:right w:val="none" w:sz="0" w:space="0" w:color="auto"/>
          </w:divBdr>
        </w:div>
        <w:div w:id="1864395029">
          <w:marLeft w:val="0"/>
          <w:marRight w:val="0"/>
          <w:marTop w:val="0"/>
          <w:marBottom w:val="0"/>
          <w:divBdr>
            <w:top w:val="none" w:sz="0" w:space="0" w:color="auto"/>
            <w:left w:val="none" w:sz="0" w:space="0" w:color="auto"/>
            <w:bottom w:val="none" w:sz="0" w:space="0" w:color="auto"/>
            <w:right w:val="none" w:sz="0" w:space="0" w:color="auto"/>
          </w:divBdr>
        </w:div>
        <w:div w:id="1866743843">
          <w:marLeft w:val="0"/>
          <w:marRight w:val="0"/>
          <w:marTop w:val="0"/>
          <w:marBottom w:val="0"/>
          <w:divBdr>
            <w:top w:val="none" w:sz="0" w:space="0" w:color="auto"/>
            <w:left w:val="none" w:sz="0" w:space="0" w:color="auto"/>
            <w:bottom w:val="none" w:sz="0" w:space="0" w:color="auto"/>
            <w:right w:val="none" w:sz="0" w:space="0" w:color="auto"/>
          </w:divBdr>
        </w:div>
        <w:div w:id="1867013693">
          <w:marLeft w:val="0"/>
          <w:marRight w:val="0"/>
          <w:marTop w:val="0"/>
          <w:marBottom w:val="0"/>
          <w:divBdr>
            <w:top w:val="none" w:sz="0" w:space="0" w:color="auto"/>
            <w:left w:val="none" w:sz="0" w:space="0" w:color="auto"/>
            <w:bottom w:val="none" w:sz="0" w:space="0" w:color="auto"/>
            <w:right w:val="none" w:sz="0" w:space="0" w:color="auto"/>
          </w:divBdr>
        </w:div>
        <w:div w:id="1871797443">
          <w:marLeft w:val="0"/>
          <w:marRight w:val="0"/>
          <w:marTop w:val="0"/>
          <w:marBottom w:val="0"/>
          <w:divBdr>
            <w:top w:val="none" w:sz="0" w:space="0" w:color="auto"/>
            <w:left w:val="none" w:sz="0" w:space="0" w:color="auto"/>
            <w:bottom w:val="none" w:sz="0" w:space="0" w:color="auto"/>
            <w:right w:val="none" w:sz="0" w:space="0" w:color="auto"/>
          </w:divBdr>
        </w:div>
        <w:div w:id="1872650150">
          <w:marLeft w:val="0"/>
          <w:marRight w:val="0"/>
          <w:marTop w:val="0"/>
          <w:marBottom w:val="0"/>
          <w:divBdr>
            <w:top w:val="none" w:sz="0" w:space="0" w:color="auto"/>
            <w:left w:val="none" w:sz="0" w:space="0" w:color="auto"/>
            <w:bottom w:val="none" w:sz="0" w:space="0" w:color="auto"/>
            <w:right w:val="none" w:sz="0" w:space="0" w:color="auto"/>
          </w:divBdr>
        </w:div>
        <w:div w:id="1876768769">
          <w:marLeft w:val="0"/>
          <w:marRight w:val="0"/>
          <w:marTop w:val="0"/>
          <w:marBottom w:val="0"/>
          <w:divBdr>
            <w:top w:val="none" w:sz="0" w:space="0" w:color="auto"/>
            <w:left w:val="none" w:sz="0" w:space="0" w:color="auto"/>
            <w:bottom w:val="none" w:sz="0" w:space="0" w:color="auto"/>
            <w:right w:val="none" w:sz="0" w:space="0" w:color="auto"/>
          </w:divBdr>
        </w:div>
        <w:div w:id="1880433900">
          <w:marLeft w:val="0"/>
          <w:marRight w:val="0"/>
          <w:marTop w:val="0"/>
          <w:marBottom w:val="0"/>
          <w:divBdr>
            <w:top w:val="none" w:sz="0" w:space="0" w:color="auto"/>
            <w:left w:val="none" w:sz="0" w:space="0" w:color="auto"/>
            <w:bottom w:val="none" w:sz="0" w:space="0" w:color="auto"/>
            <w:right w:val="none" w:sz="0" w:space="0" w:color="auto"/>
          </w:divBdr>
        </w:div>
        <w:div w:id="1881358000">
          <w:marLeft w:val="0"/>
          <w:marRight w:val="0"/>
          <w:marTop w:val="0"/>
          <w:marBottom w:val="0"/>
          <w:divBdr>
            <w:top w:val="none" w:sz="0" w:space="0" w:color="auto"/>
            <w:left w:val="none" w:sz="0" w:space="0" w:color="auto"/>
            <w:bottom w:val="none" w:sz="0" w:space="0" w:color="auto"/>
            <w:right w:val="none" w:sz="0" w:space="0" w:color="auto"/>
          </w:divBdr>
        </w:div>
        <w:div w:id="1886408110">
          <w:marLeft w:val="0"/>
          <w:marRight w:val="0"/>
          <w:marTop w:val="0"/>
          <w:marBottom w:val="0"/>
          <w:divBdr>
            <w:top w:val="none" w:sz="0" w:space="0" w:color="auto"/>
            <w:left w:val="none" w:sz="0" w:space="0" w:color="auto"/>
            <w:bottom w:val="none" w:sz="0" w:space="0" w:color="auto"/>
            <w:right w:val="none" w:sz="0" w:space="0" w:color="auto"/>
          </w:divBdr>
        </w:div>
        <w:div w:id="1898123857">
          <w:marLeft w:val="0"/>
          <w:marRight w:val="0"/>
          <w:marTop w:val="0"/>
          <w:marBottom w:val="0"/>
          <w:divBdr>
            <w:top w:val="none" w:sz="0" w:space="0" w:color="auto"/>
            <w:left w:val="none" w:sz="0" w:space="0" w:color="auto"/>
            <w:bottom w:val="none" w:sz="0" w:space="0" w:color="auto"/>
            <w:right w:val="none" w:sz="0" w:space="0" w:color="auto"/>
          </w:divBdr>
        </w:div>
        <w:div w:id="1900676547">
          <w:marLeft w:val="0"/>
          <w:marRight w:val="0"/>
          <w:marTop w:val="0"/>
          <w:marBottom w:val="0"/>
          <w:divBdr>
            <w:top w:val="none" w:sz="0" w:space="0" w:color="auto"/>
            <w:left w:val="none" w:sz="0" w:space="0" w:color="auto"/>
            <w:bottom w:val="none" w:sz="0" w:space="0" w:color="auto"/>
            <w:right w:val="none" w:sz="0" w:space="0" w:color="auto"/>
          </w:divBdr>
        </w:div>
        <w:div w:id="1901094667">
          <w:marLeft w:val="0"/>
          <w:marRight w:val="0"/>
          <w:marTop w:val="0"/>
          <w:marBottom w:val="0"/>
          <w:divBdr>
            <w:top w:val="none" w:sz="0" w:space="0" w:color="auto"/>
            <w:left w:val="none" w:sz="0" w:space="0" w:color="auto"/>
            <w:bottom w:val="none" w:sz="0" w:space="0" w:color="auto"/>
            <w:right w:val="none" w:sz="0" w:space="0" w:color="auto"/>
          </w:divBdr>
        </w:div>
        <w:div w:id="1906716138">
          <w:marLeft w:val="0"/>
          <w:marRight w:val="0"/>
          <w:marTop w:val="0"/>
          <w:marBottom w:val="0"/>
          <w:divBdr>
            <w:top w:val="none" w:sz="0" w:space="0" w:color="auto"/>
            <w:left w:val="none" w:sz="0" w:space="0" w:color="auto"/>
            <w:bottom w:val="none" w:sz="0" w:space="0" w:color="auto"/>
            <w:right w:val="none" w:sz="0" w:space="0" w:color="auto"/>
          </w:divBdr>
        </w:div>
        <w:div w:id="1907646239">
          <w:marLeft w:val="0"/>
          <w:marRight w:val="0"/>
          <w:marTop w:val="0"/>
          <w:marBottom w:val="0"/>
          <w:divBdr>
            <w:top w:val="none" w:sz="0" w:space="0" w:color="auto"/>
            <w:left w:val="none" w:sz="0" w:space="0" w:color="auto"/>
            <w:bottom w:val="none" w:sz="0" w:space="0" w:color="auto"/>
            <w:right w:val="none" w:sz="0" w:space="0" w:color="auto"/>
          </w:divBdr>
        </w:div>
        <w:div w:id="1914125564">
          <w:marLeft w:val="0"/>
          <w:marRight w:val="0"/>
          <w:marTop w:val="0"/>
          <w:marBottom w:val="0"/>
          <w:divBdr>
            <w:top w:val="none" w:sz="0" w:space="0" w:color="auto"/>
            <w:left w:val="none" w:sz="0" w:space="0" w:color="auto"/>
            <w:bottom w:val="none" w:sz="0" w:space="0" w:color="auto"/>
            <w:right w:val="none" w:sz="0" w:space="0" w:color="auto"/>
          </w:divBdr>
        </w:div>
        <w:div w:id="1918780691">
          <w:marLeft w:val="0"/>
          <w:marRight w:val="0"/>
          <w:marTop w:val="0"/>
          <w:marBottom w:val="0"/>
          <w:divBdr>
            <w:top w:val="none" w:sz="0" w:space="0" w:color="auto"/>
            <w:left w:val="none" w:sz="0" w:space="0" w:color="auto"/>
            <w:bottom w:val="none" w:sz="0" w:space="0" w:color="auto"/>
            <w:right w:val="none" w:sz="0" w:space="0" w:color="auto"/>
          </w:divBdr>
        </w:div>
        <w:div w:id="1922257274">
          <w:marLeft w:val="0"/>
          <w:marRight w:val="0"/>
          <w:marTop w:val="0"/>
          <w:marBottom w:val="0"/>
          <w:divBdr>
            <w:top w:val="none" w:sz="0" w:space="0" w:color="auto"/>
            <w:left w:val="none" w:sz="0" w:space="0" w:color="auto"/>
            <w:bottom w:val="none" w:sz="0" w:space="0" w:color="auto"/>
            <w:right w:val="none" w:sz="0" w:space="0" w:color="auto"/>
          </w:divBdr>
        </w:div>
        <w:div w:id="1929969852">
          <w:marLeft w:val="0"/>
          <w:marRight w:val="0"/>
          <w:marTop w:val="0"/>
          <w:marBottom w:val="0"/>
          <w:divBdr>
            <w:top w:val="none" w:sz="0" w:space="0" w:color="auto"/>
            <w:left w:val="none" w:sz="0" w:space="0" w:color="auto"/>
            <w:bottom w:val="none" w:sz="0" w:space="0" w:color="auto"/>
            <w:right w:val="none" w:sz="0" w:space="0" w:color="auto"/>
          </w:divBdr>
        </w:div>
        <w:div w:id="1942298237">
          <w:marLeft w:val="0"/>
          <w:marRight w:val="0"/>
          <w:marTop w:val="0"/>
          <w:marBottom w:val="0"/>
          <w:divBdr>
            <w:top w:val="none" w:sz="0" w:space="0" w:color="auto"/>
            <w:left w:val="none" w:sz="0" w:space="0" w:color="auto"/>
            <w:bottom w:val="none" w:sz="0" w:space="0" w:color="auto"/>
            <w:right w:val="none" w:sz="0" w:space="0" w:color="auto"/>
          </w:divBdr>
        </w:div>
        <w:div w:id="1942449815">
          <w:marLeft w:val="0"/>
          <w:marRight w:val="0"/>
          <w:marTop w:val="0"/>
          <w:marBottom w:val="0"/>
          <w:divBdr>
            <w:top w:val="none" w:sz="0" w:space="0" w:color="auto"/>
            <w:left w:val="none" w:sz="0" w:space="0" w:color="auto"/>
            <w:bottom w:val="none" w:sz="0" w:space="0" w:color="auto"/>
            <w:right w:val="none" w:sz="0" w:space="0" w:color="auto"/>
          </w:divBdr>
        </w:div>
        <w:div w:id="1943223299">
          <w:marLeft w:val="0"/>
          <w:marRight w:val="0"/>
          <w:marTop w:val="0"/>
          <w:marBottom w:val="0"/>
          <w:divBdr>
            <w:top w:val="none" w:sz="0" w:space="0" w:color="auto"/>
            <w:left w:val="none" w:sz="0" w:space="0" w:color="auto"/>
            <w:bottom w:val="none" w:sz="0" w:space="0" w:color="auto"/>
            <w:right w:val="none" w:sz="0" w:space="0" w:color="auto"/>
          </w:divBdr>
        </w:div>
        <w:div w:id="1948076091">
          <w:marLeft w:val="0"/>
          <w:marRight w:val="0"/>
          <w:marTop w:val="0"/>
          <w:marBottom w:val="0"/>
          <w:divBdr>
            <w:top w:val="none" w:sz="0" w:space="0" w:color="auto"/>
            <w:left w:val="none" w:sz="0" w:space="0" w:color="auto"/>
            <w:bottom w:val="none" w:sz="0" w:space="0" w:color="auto"/>
            <w:right w:val="none" w:sz="0" w:space="0" w:color="auto"/>
          </w:divBdr>
        </w:div>
        <w:div w:id="1953052055">
          <w:marLeft w:val="0"/>
          <w:marRight w:val="0"/>
          <w:marTop w:val="0"/>
          <w:marBottom w:val="0"/>
          <w:divBdr>
            <w:top w:val="none" w:sz="0" w:space="0" w:color="auto"/>
            <w:left w:val="none" w:sz="0" w:space="0" w:color="auto"/>
            <w:bottom w:val="none" w:sz="0" w:space="0" w:color="auto"/>
            <w:right w:val="none" w:sz="0" w:space="0" w:color="auto"/>
          </w:divBdr>
        </w:div>
        <w:div w:id="1956713788">
          <w:marLeft w:val="0"/>
          <w:marRight w:val="0"/>
          <w:marTop w:val="0"/>
          <w:marBottom w:val="0"/>
          <w:divBdr>
            <w:top w:val="none" w:sz="0" w:space="0" w:color="auto"/>
            <w:left w:val="none" w:sz="0" w:space="0" w:color="auto"/>
            <w:bottom w:val="none" w:sz="0" w:space="0" w:color="auto"/>
            <w:right w:val="none" w:sz="0" w:space="0" w:color="auto"/>
          </w:divBdr>
        </w:div>
        <w:div w:id="1959994777">
          <w:marLeft w:val="0"/>
          <w:marRight w:val="0"/>
          <w:marTop w:val="0"/>
          <w:marBottom w:val="0"/>
          <w:divBdr>
            <w:top w:val="none" w:sz="0" w:space="0" w:color="auto"/>
            <w:left w:val="none" w:sz="0" w:space="0" w:color="auto"/>
            <w:bottom w:val="none" w:sz="0" w:space="0" w:color="auto"/>
            <w:right w:val="none" w:sz="0" w:space="0" w:color="auto"/>
          </w:divBdr>
        </w:div>
        <w:div w:id="1961912771">
          <w:marLeft w:val="0"/>
          <w:marRight w:val="0"/>
          <w:marTop w:val="0"/>
          <w:marBottom w:val="0"/>
          <w:divBdr>
            <w:top w:val="none" w:sz="0" w:space="0" w:color="auto"/>
            <w:left w:val="none" w:sz="0" w:space="0" w:color="auto"/>
            <w:bottom w:val="none" w:sz="0" w:space="0" w:color="auto"/>
            <w:right w:val="none" w:sz="0" w:space="0" w:color="auto"/>
          </w:divBdr>
        </w:div>
        <w:div w:id="1971861773">
          <w:marLeft w:val="0"/>
          <w:marRight w:val="0"/>
          <w:marTop w:val="0"/>
          <w:marBottom w:val="0"/>
          <w:divBdr>
            <w:top w:val="none" w:sz="0" w:space="0" w:color="auto"/>
            <w:left w:val="none" w:sz="0" w:space="0" w:color="auto"/>
            <w:bottom w:val="none" w:sz="0" w:space="0" w:color="auto"/>
            <w:right w:val="none" w:sz="0" w:space="0" w:color="auto"/>
          </w:divBdr>
        </w:div>
        <w:div w:id="1975215653">
          <w:marLeft w:val="0"/>
          <w:marRight w:val="0"/>
          <w:marTop w:val="0"/>
          <w:marBottom w:val="0"/>
          <w:divBdr>
            <w:top w:val="none" w:sz="0" w:space="0" w:color="auto"/>
            <w:left w:val="none" w:sz="0" w:space="0" w:color="auto"/>
            <w:bottom w:val="none" w:sz="0" w:space="0" w:color="auto"/>
            <w:right w:val="none" w:sz="0" w:space="0" w:color="auto"/>
          </w:divBdr>
        </w:div>
        <w:div w:id="1975671060">
          <w:marLeft w:val="0"/>
          <w:marRight w:val="0"/>
          <w:marTop w:val="0"/>
          <w:marBottom w:val="0"/>
          <w:divBdr>
            <w:top w:val="none" w:sz="0" w:space="0" w:color="auto"/>
            <w:left w:val="none" w:sz="0" w:space="0" w:color="auto"/>
            <w:bottom w:val="none" w:sz="0" w:space="0" w:color="auto"/>
            <w:right w:val="none" w:sz="0" w:space="0" w:color="auto"/>
          </w:divBdr>
        </w:div>
        <w:div w:id="1982998017">
          <w:marLeft w:val="0"/>
          <w:marRight w:val="0"/>
          <w:marTop w:val="0"/>
          <w:marBottom w:val="0"/>
          <w:divBdr>
            <w:top w:val="none" w:sz="0" w:space="0" w:color="auto"/>
            <w:left w:val="none" w:sz="0" w:space="0" w:color="auto"/>
            <w:bottom w:val="none" w:sz="0" w:space="0" w:color="auto"/>
            <w:right w:val="none" w:sz="0" w:space="0" w:color="auto"/>
          </w:divBdr>
        </w:div>
        <w:div w:id="2012248133">
          <w:marLeft w:val="0"/>
          <w:marRight w:val="0"/>
          <w:marTop w:val="0"/>
          <w:marBottom w:val="0"/>
          <w:divBdr>
            <w:top w:val="none" w:sz="0" w:space="0" w:color="auto"/>
            <w:left w:val="none" w:sz="0" w:space="0" w:color="auto"/>
            <w:bottom w:val="none" w:sz="0" w:space="0" w:color="auto"/>
            <w:right w:val="none" w:sz="0" w:space="0" w:color="auto"/>
          </w:divBdr>
        </w:div>
        <w:div w:id="2014606581">
          <w:marLeft w:val="0"/>
          <w:marRight w:val="0"/>
          <w:marTop w:val="0"/>
          <w:marBottom w:val="0"/>
          <w:divBdr>
            <w:top w:val="none" w:sz="0" w:space="0" w:color="auto"/>
            <w:left w:val="none" w:sz="0" w:space="0" w:color="auto"/>
            <w:bottom w:val="none" w:sz="0" w:space="0" w:color="auto"/>
            <w:right w:val="none" w:sz="0" w:space="0" w:color="auto"/>
          </w:divBdr>
        </w:div>
        <w:div w:id="2026440366">
          <w:marLeft w:val="0"/>
          <w:marRight w:val="0"/>
          <w:marTop w:val="0"/>
          <w:marBottom w:val="0"/>
          <w:divBdr>
            <w:top w:val="none" w:sz="0" w:space="0" w:color="auto"/>
            <w:left w:val="none" w:sz="0" w:space="0" w:color="auto"/>
            <w:bottom w:val="none" w:sz="0" w:space="0" w:color="auto"/>
            <w:right w:val="none" w:sz="0" w:space="0" w:color="auto"/>
          </w:divBdr>
        </w:div>
        <w:div w:id="2028628594">
          <w:marLeft w:val="0"/>
          <w:marRight w:val="0"/>
          <w:marTop w:val="0"/>
          <w:marBottom w:val="0"/>
          <w:divBdr>
            <w:top w:val="none" w:sz="0" w:space="0" w:color="auto"/>
            <w:left w:val="none" w:sz="0" w:space="0" w:color="auto"/>
            <w:bottom w:val="none" w:sz="0" w:space="0" w:color="auto"/>
            <w:right w:val="none" w:sz="0" w:space="0" w:color="auto"/>
          </w:divBdr>
        </w:div>
        <w:div w:id="2033994157">
          <w:marLeft w:val="0"/>
          <w:marRight w:val="0"/>
          <w:marTop w:val="0"/>
          <w:marBottom w:val="0"/>
          <w:divBdr>
            <w:top w:val="none" w:sz="0" w:space="0" w:color="auto"/>
            <w:left w:val="none" w:sz="0" w:space="0" w:color="auto"/>
            <w:bottom w:val="none" w:sz="0" w:space="0" w:color="auto"/>
            <w:right w:val="none" w:sz="0" w:space="0" w:color="auto"/>
          </w:divBdr>
        </w:div>
        <w:div w:id="2034458512">
          <w:marLeft w:val="0"/>
          <w:marRight w:val="0"/>
          <w:marTop w:val="0"/>
          <w:marBottom w:val="0"/>
          <w:divBdr>
            <w:top w:val="none" w:sz="0" w:space="0" w:color="auto"/>
            <w:left w:val="none" w:sz="0" w:space="0" w:color="auto"/>
            <w:bottom w:val="none" w:sz="0" w:space="0" w:color="auto"/>
            <w:right w:val="none" w:sz="0" w:space="0" w:color="auto"/>
          </w:divBdr>
        </w:div>
        <w:div w:id="2047945112">
          <w:marLeft w:val="0"/>
          <w:marRight w:val="0"/>
          <w:marTop w:val="0"/>
          <w:marBottom w:val="0"/>
          <w:divBdr>
            <w:top w:val="none" w:sz="0" w:space="0" w:color="auto"/>
            <w:left w:val="none" w:sz="0" w:space="0" w:color="auto"/>
            <w:bottom w:val="none" w:sz="0" w:space="0" w:color="auto"/>
            <w:right w:val="none" w:sz="0" w:space="0" w:color="auto"/>
          </w:divBdr>
        </w:div>
        <w:div w:id="2063744968">
          <w:marLeft w:val="0"/>
          <w:marRight w:val="0"/>
          <w:marTop w:val="0"/>
          <w:marBottom w:val="0"/>
          <w:divBdr>
            <w:top w:val="none" w:sz="0" w:space="0" w:color="auto"/>
            <w:left w:val="none" w:sz="0" w:space="0" w:color="auto"/>
            <w:bottom w:val="none" w:sz="0" w:space="0" w:color="auto"/>
            <w:right w:val="none" w:sz="0" w:space="0" w:color="auto"/>
          </w:divBdr>
        </w:div>
        <w:div w:id="2066105550">
          <w:marLeft w:val="0"/>
          <w:marRight w:val="0"/>
          <w:marTop w:val="0"/>
          <w:marBottom w:val="0"/>
          <w:divBdr>
            <w:top w:val="none" w:sz="0" w:space="0" w:color="auto"/>
            <w:left w:val="none" w:sz="0" w:space="0" w:color="auto"/>
            <w:bottom w:val="none" w:sz="0" w:space="0" w:color="auto"/>
            <w:right w:val="none" w:sz="0" w:space="0" w:color="auto"/>
          </w:divBdr>
        </w:div>
        <w:div w:id="2070835198">
          <w:marLeft w:val="0"/>
          <w:marRight w:val="0"/>
          <w:marTop w:val="0"/>
          <w:marBottom w:val="0"/>
          <w:divBdr>
            <w:top w:val="none" w:sz="0" w:space="0" w:color="auto"/>
            <w:left w:val="none" w:sz="0" w:space="0" w:color="auto"/>
            <w:bottom w:val="none" w:sz="0" w:space="0" w:color="auto"/>
            <w:right w:val="none" w:sz="0" w:space="0" w:color="auto"/>
          </w:divBdr>
        </w:div>
        <w:div w:id="2076051914">
          <w:marLeft w:val="0"/>
          <w:marRight w:val="0"/>
          <w:marTop w:val="0"/>
          <w:marBottom w:val="0"/>
          <w:divBdr>
            <w:top w:val="none" w:sz="0" w:space="0" w:color="auto"/>
            <w:left w:val="none" w:sz="0" w:space="0" w:color="auto"/>
            <w:bottom w:val="none" w:sz="0" w:space="0" w:color="auto"/>
            <w:right w:val="none" w:sz="0" w:space="0" w:color="auto"/>
          </w:divBdr>
        </w:div>
        <w:div w:id="2076120146">
          <w:marLeft w:val="0"/>
          <w:marRight w:val="0"/>
          <w:marTop w:val="0"/>
          <w:marBottom w:val="0"/>
          <w:divBdr>
            <w:top w:val="none" w:sz="0" w:space="0" w:color="auto"/>
            <w:left w:val="none" w:sz="0" w:space="0" w:color="auto"/>
            <w:bottom w:val="none" w:sz="0" w:space="0" w:color="auto"/>
            <w:right w:val="none" w:sz="0" w:space="0" w:color="auto"/>
          </w:divBdr>
        </w:div>
        <w:div w:id="2079739291">
          <w:marLeft w:val="0"/>
          <w:marRight w:val="0"/>
          <w:marTop w:val="0"/>
          <w:marBottom w:val="0"/>
          <w:divBdr>
            <w:top w:val="none" w:sz="0" w:space="0" w:color="auto"/>
            <w:left w:val="none" w:sz="0" w:space="0" w:color="auto"/>
            <w:bottom w:val="none" w:sz="0" w:space="0" w:color="auto"/>
            <w:right w:val="none" w:sz="0" w:space="0" w:color="auto"/>
          </w:divBdr>
        </w:div>
        <w:div w:id="2089881498">
          <w:marLeft w:val="0"/>
          <w:marRight w:val="0"/>
          <w:marTop w:val="0"/>
          <w:marBottom w:val="0"/>
          <w:divBdr>
            <w:top w:val="none" w:sz="0" w:space="0" w:color="auto"/>
            <w:left w:val="none" w:sz="0" w:space="0" w:color="auto"/>
            <w:bottom w:val="none" w:sz="0" w:space="0" w:color="auto"/>
            <w:right w:val="none" w:sz="0" w:space="0" w:color="auto"/>
          </w:divBdr>
        </w:div>
        <w:div w:id="2090929928">
          <w:marLeft w:val="0"/>
          <w:marRight w:val="0"/>
          <w:marTop w:val="0"/>
          <w:marBottom w:val="0"/>
          <w:divBdr>
            <w:top w:val="none" w:sz="0" w:space="0" w:color="auto"/>
            <w:left w:val="none" w:sz="0" w:space="0" w:color="auto"/>
            <w:bottom w:val="none" w:sz="0" w:space="0" w:color="auto"/>
            <w:right w:val="none" w:sz="0" w:space="0" w:color="auto"/>
          </w:divBdr>
        </w:div>
        <w:div w:id="2094928287">
          <w:marLeft w:val="0"/>
          <w:marRight w:val="0"/>
          <w:marTop w:val="0"/>
          <w:marBottom w:val="0"/>
          <w:divBdr>
            <w:top w:val="none" w:sz="0" w:space="0" w:color="auto"/>
            <w:left w:val="none" w:sz="0" w:space="0" w:color="auto"/>
            <w:bottom w:val="none" w:sz="0" w:space="0" w:color="auto"/>
            <w:right w:val="none" w:sz="0" w:space="0" w:color="auto"/>
          </w:divBdr>
        </w:div>
        <w:div w:id="2104566974">
          <w:marLeft w:val="0"/>
          <w:marRight w:val="0"/>
          <w:marTop w:val="0"/>
          <w:marBottom w:val="0"/>
          <w:divBdr>
            <w:top w:val="none" w:sz="0" w:space="0" w:color="auto"/>
            <w:left w:val="none" w:sz="0" w:space="0" w:color="auto"/>
            <w:bottom w:val="none" w:sz="0" w:space="0" w:color="auto"/>
            <w:right w:val="none" w:sz="0" w:space="0" w:color="auto"/>
          </w:divBdr>
        </w:div>
        <w:div w:id="2104760834">
          <w:marLeft w:val="0"/>
          <w:marRight w:val="0"/>
          <w:marTop w:val="0"/>
          <w:marBottom w:val="0"/>
          <w:divBdr>
            <w:top w:val="none" w:sz="0" w:space="0" w:color="auto"/>
            <w:left w:val="none" w:sz="0" w:space="0" w:color="auto"/>
            <w:bottom w:val="none" w:sz="0" w:space="0" w:color="auto"/>
            <w:right w:val="none" w:sz="0" w:space="0" w:color="auto"/>
          </w:divBdr>
        </w:div>
        <w:div w:id="2105765452">
          <w:marLeft w:val="0"/>
          <w:marRight w:val="0"/>
          <w:marTop w:val="0"/>
          <w:marBottom w:val="0"/>
          <w:divBdr>
            <w:top w:val="none" w:sz="0" w:space="0" w:color="auto"/>
            <w:left w:val="none" w:sz="0" w:space="0" w:color="auto"/>
            <w:bottom w:val="none" w:sz="0" w:space="0" w:color="auto"/>
            <w:right w:val="none" w:sz="0" w:space="0" w:color="auto"/>
          </w:divBdr>
        </w:div>
        <w:div w:id="2108698410">
          <w:marLeft w:val="0"/>
          <w:marRight w:val="0"/>
          <w:marTop w:val="0"/>
          <w:marBottom w:val="0"/>
          <w:divBdr>
            <w:top w:val="none" w:sz="0" w:space="0" w:color="auto"/>
            <w:left w:val="none" w:sz="0" w:space="0" w:color="auto"/>
            <w:bottom w:val="none" w:sz="0" w:space="0" w:color="auto"/>
            <w:right w:val="none" w:sz="0" w:space="0" w:color="auto"/>
          </w:divBdr>
        </w:div>
        <w:div w:id="2109228311">
          <w:marLeft w:val="0"/>
          <w:marRight w:val="0"/>
          <w:marTop w:val="0"/>
          <w:marBottom w:val="0"/>
          <w:divBdr>
            <w:top w:val="none" w:sz="0" w:space="0" w:color="auto"/>
            <w:left w:val="none" w:sz="0" w:space="0" w:color="auto"/>
            <w:bottom w:val="none" w:sz="0" w:space="0" w:color="auto"/>
            <w:right w:val="none" w:sz="0" w:space="0" w:color="auto"/>
          </w:divBdr>
        </w:div>
        <w:div w:id="2117626938">
          <w:marLeft w:val="0"/>
          <w:marRight w:val="0"/>
          <w:marTop w:val="0"/>
          <w:marBottom w:val="0"/>
          <w:divBdr>
            <w:top w:val="none" w:sz="0" w:space="0" w:color="auto"/>
            <w:left w:val="none" w:sz="0" w:space="0" w:color="auto"/>
            <w:bottom w:val="none" w:sz="0" w:space="0" w:color="auto"/>
            <w:right w:val="none" w:sz="0" w:space="0" w:color="auto"/>
          </w:divBdr>
        </w:div>
        <w:div w:id="2120297487">
          <w:marLeft w:val="0"/>
          <w:marRight w:val="0"/>
          <w:marTop w:val="0"/>
          <w:marBottom w:val="0"/>
          <w:divBdr>
            <w:top w:val="none" w:sz="0" w:space="0" w:color="auto"/>
            <w:left w:val="none" w:sz="0" w:space="0" w:color="auto"/>
            <w:bottom w:val="none" w:sz="0" w:space="0" w:color="auto"/>
            <w:right w:val="none" w:sz="0" w:space="0" w:color="auto"/>
          </w:divBdr>
        </w:div>
        <w:div w:id="2131627542">
          <w:marLeft w:val="0"/>
          <w:marRight w:val="0"/>
          <w:marTop w:val="0"/>
          <w:marBottom w:val="0"/>
          <w:divBdr>
            <w:top w:val="none" w:sz="0" w:space="0" w:color="auto"/>
            <w:left w:val="none" w:sz="0" w:space="0" w:color="auto"/>
            <w:bottom w:val="none" w:sz="0" w:space="0" w:color="auto"/>
            <w:right w:val="none" w:sz="0" w:space="0" w:color="auto"/>
          </w:divBdr>
        </w:div>
        <w:div w:id="2136369630">
          <w:marLeft w:val="0"/>
          <w:marRight w:val="0"/>
          <w:marTop w:val="0"/>
          <w:marBottom w:val="0"/>
          <w:divBdr>
            <w:top w:val="none" w:sz="0" w:space="0" w:color="auto"/>
            <w:left w:val="none" w:sz="0" w:space="0" w:color="auto"/>
            <w:bottom w:val="none" w:sz="0" w:space="0" w:color="auto"/>
            <w:right w:val="none" w:sz="0" w:space="0" w:color="auto"/>
          </w:divBdr>
        </w:div>
        <w:div w:id="2146845765">
          <w:marLeft w:val="0"/>
          <w:marRight w:val="0"/>
          <w:marTop w:val="0"/>
          <w:marBottom w:val="0"/>
          <w:divBdr>
            <w:top w:val="none" w:sz="0" w:space="0" w:color="auto"/>
            <w:left w:val="none" w:sz="0" w:space="0" w:color="auto"/>
            <w:bottom w:val="none" w:sz="0" w:space="0" w:color="auto"/>
            <w:right w:val="none" w:sz="0" w:space="0" w:color="auto"/>
          </w:divBdr>
        </w:div>
      </w:divsChild>
    </w:div>
    <w:div w:id="1839883058">
      <w:bodyDiv w:val="1"/>
      <w:marLeft w:val="0"/>
      <w:marRight w:val="0"/>
      <w:marTop w:val="0"/>
      <w:marBottom w:val="0"/>
      <w:divBdr>
        <w:top w:val="none" w:sz="0" w:space="0" w:color="auto"/>
        <w:left w:val="none" w:sz="0" w:space="0" w:color="auto"/>
        <w:bottom w:val="none" w:sz="0" w:space="0" w:color="auto"/>
        <w:right w:val="none" w:sz="0" w:space="0" w:color="auto"/>
      </w:divBdr>
    </w:div>
    <w:div w:id="2045471907">
      <w:bodyDiv w:val="1"/>
      <w:marLeft w:val="0"/>
      <w:marRight w:val="0"/>
      <w:marTop w:val="0"/>
      <w:marBottom w:val="0"/>
      <w:divBdr>
        <w:top w:val="none" w:sz="0" w:space="0" w:color="auto"/>
        <w:left w:val="none" w:sz="0" w:space="0" w:color="auto"/>
        <w:bottom w:val="none" w:sz="0" w:space="0" w:color="auto"/>
        <w:right w:val="none" w:sz="0" w:space="0" w:color="auto"/>
      </w:divBdr>
      <w:divsChild>
        <w:div w:id="1824814104">
          <w:marLeft w:val="0"/>
          <w:marRight w:val="0"/>
          <w:marTop w:val="0"/>
          <w:marBottom w:val="0"/>
          <w:divBdr>
            <w:top w:val="none" w:sz="0" w:space="0" w:color="auto"/>
            <w:left w:val="none" w:sz="0" w:space="0" w:color="auto"/>
            <w:bottom w:val="none" w:sz="0" w:space="0" w:color="auto"/>
            <w:right w:val="none" w:sz="0" w:space="0" w:color="auto"/>
          </w:divBdr>
        </w:div>
      </w:divsChild>
    </w:div>
    <w:div w:id="2058240402">
      <w:bodyDiv w:val="1"/>
      <w:marLeft w:val="0"/>
      <w:marRight w:val="0"/>
      <w:marTop w:val="0"/>
      <w:marBottom w:val="0"/>
      <w:divBdr>
        <w:top w:val="none" w:sz="0" w:space="0" w:color="auto"/>
        <w:left w:val="none" w:sz="0" w:space="0" w:color="auto"/>
        <w:bottom w:val="none" w:sz="0" w:space="0" w:color="auto"/>
        <w:right w:val="none" w:sz="0" w:space="0" w:color="auto"/>
      </w:divBdr>
    </w:div>
    <w:div w:id="2086489693">
      <w:bodyDiv w:val="1"/>
      <w:marLeft w:val="0"/>
      <w:marRight w:val="0"/>
      <w:marTop w:val="0"/>
      <w:marBottom w:val="0"/>
      <w:divBdr>
        <w:top w:val="none" w:sz="0" w:space="0" w:color="auto"/>
        <w:left w:val="none" w:sz="0" w:space="0" w:color="auto"/>
        <w:bottom w:val="none" w:sz="0" w:space="0" w:color="auto"/>
        <w:right w:val="none" w:sz="0" w:space="0" w:color="auto"/>
      </w:divBdr>
    </w:div>
    <w:div w:id="212568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156445" TargetMode="External"/><Relationship Id="rId18" Type="http://schemas.openxmlformats.org/officeDocument/2006/relationships/hyperlink" Target="https://documents1.worldbank.org/curated/en/971881576078190397/pdf/Finance-in-Transition-Unlocking-Capital-Markets-for-Vietnam-s-Future-Develop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c.gov/news/speech/spch394.htm" TargetMode="External"/><Relationship Id="rId17" Type="http://schemas.openxmlformats.org/officeDocument/2006/relationships/hyperlink" Target="http://dx.doi.org/10.2139/ssrn.2848167" TargetMode="External"/><Relationship Id="rId2" Type="http://schemas.openxmlformats.org/officeDocument/2006/relationships/customXml" Target="../customXml/item2.xml"/><Relationship Id="rId16" Type="http://schemas.openxmlformats.org/officeDocument/2006/relationships/hyperlink" Target="https://www.nytimes.com/2012/03/11/opinion/sunday/washington-has-a-very-short-mem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ec.gov/news/speech/2012-spch121312cml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derson.ucla.edu/documents/areas/fac/accounting/working-%20papers/workshop%20papers/MarkPaulKim_JMP_2019010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sey.senate.gov/newsroom/releases/casey-to-sec-protect-us-investors-in-chinese-ipos-transactions-could-leave-us-investors-with-few-safeguards-if-they-invest-in-shell-corporations" TargetMode="External"/><Relationship Id="rId1" Type="http://schemas.openxmlformats.org/officeDocument/2006/relationships/hyperlink" Target="https://publications.parliament.uk/pa/ld200304/ldselect/ldconst/68/68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05F5490F68BF47B2C140578E2F0E88" ma:contentTypeVersion="14" ma:contentTypeDescription="Create a new document." ma:contentTypeScope="" ma:versionID="0a84648ef66502aa86e63ba36436e75d">
  <xsd:schema xmlns:xsd="http://www.w3.org/2001/XMLSchema" xmlns:xs="http://www.w3.org/2001/XMLSchema" xmlns:p="http://schemas.microsoft.com/office/2006/metadata/properties" xmlns:ns3="4970cdd3-03e4-4b68-9e85-31f02305a1fa" xmlns:ns4="40e733ad-a985-48d6-b853-b726a341e359" targetNamespace="http://schemas.microsoft.com/office/2006/metadata/properties" ma:root="true" ma:fieldsID="f041c6dd8a0dcda748e0afcd84f46987" ns3:_="" ns4:_="">
    <xsd:import namespace="4970cdd3-03e4-4b68-9e85-31f02305a1fa"/>
    <xsd:import namespace="40e733ad-a985-48d6-b853-b726a341e3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0cdd3-03e4-4b68-9e85-31f02305a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733ad-a985-48d6-b853-b726a341e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97F2E-E985-4E1F-B692-0E99151168E1}">
  <ds:schemaRefs>
    <ds:schemaRef ds:uri="http://schemas.microsoft.com/sharepoint/v3/contenttype/forms"/>
  </ds:schemaRefs>
</ds:datastoreItem>
</file>

<file path=customXml/itemProps2.xml><?xml version="1.0" encoding="utf-8"?>
<ds:datastoreItem xmlns:ds="http://schemas.openxmlformats.org/officeDocument/2006/customXml" ds:itemID="{6273617C-96DD-43BD-8B68-0986F64EE1B1}">
  <ds:schemaRefs>
    <ds:schemaRef ds:uri="http://schemas.openxmlformats.org/officeDocument/2006/bibliography"/>
  </ds:schemaRefs>
</ds:datastoreItem>
</file>

<file path=customXml/itemProps3.xml><?xml version="1.0" encoding="utf-8"?>
<ds:datastoreItem xmlns:ds="http://schemas.openxmlformats.org/officeDocument/2006/customXml" ds:itemID="{1796A6CF-5163-4722-A09F-DE1077D30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78DB4-70E5-4CC8-9ED0-7C1919CE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0cdd3-03e4-4b68-9e85-31f02305a1fa"/>
    <ds:schemaRef ds:uri="40e733ad-a985-48d6-b853-b726a341e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48714</Words>
  <Characters>277671</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Tran</dc:creator>
  <cp:keywords/>
  <dc:description/>
  <cp:lastModifiedBy>Tran, Vy 4</cp:lastModifiedBy>
  <cp:revision>3</cp:revision>
  <dcterms:created xsi:type="dcterms:W3CDTF">2023-01-18T13:42:00Z</dcterms:created>
  <dcterms:modified xsi:type="dcterms:W3CDTF">2023-01-18T13:43:00Z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0x0101002405F5490F68BF47B2C140578E2F0E88</vt:lpwstr>
  </property>
</Properties>
</file>